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489199A6" w14:textId="77777777" w:rsidTr="000706DC">
        <w:trPr>
          <w:trHeight w:val="720"/>
        </w:trPr>
        <w:tc>
          <w:tcPr>
            <w:tcW w:w="6494" w:type="dxa"/>
            <w:gridSpan w:val="2"/>
            <w:tcBorders>
              <w:bottom w:val="single" w:sz="18" w:space="0" w:color="auto"/>
            </w:tcBorders>
            <w:vAlign w:val="center"/>
          </w:tcPr>
          <w:p w14:paraId="446EEF27" w14:textId="77777777" w:rsidR="00B8570D" w:rsidRDefault="00B8570D" w:rsidP="00C503FA">
            <w:pPr>
              <w:rPr>
                <w:rFonts w:ascii="Univers" w:hAnsi="Univers"/>
                <w:b/>
                <w:sz w:val="28"/>
                <w:szCs w:val="28"/>
                <w:lang w:val="es-MX"/>
              </w:rPr>
            </w:pPr>
            <w:r>
              <w:rPr>
                <w:rFonts w:ascii="Univers" w:hAnsi="Univers"/>
                <w:b/>
                <w:sz w:val="28"/>
                <w:szCs w:val="28"/>
                <w:lang w:val="es-MX"/>
              </w:rPr>
              <w:t>NACIONES</w:t>
            </w:r>
          </w:p>
          <w:p w14:paraId="6ED97319" w14:textId="77777777" w:rsidR="00B8570D" w:rsidRDefault="00B8570D"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7216E4F" w14:textId="77777777" w:rsidR="00B8570D" w:rsidRPr="00F87EFD" w:rsidRDefault="00B8570D" w:rsidP="00C503FA">
            <w:pPr>
              <w:jc w:val="right"/>
              <w:rPr>
                <w:rFonts w:ascii="Univers" w:hAnsi="Univers" w:cstheme="minorBidi"/>
                <w:sz w:val="52"/>
                <w:szCs w:val="52"/>
              </w:rPr>
            </w:pPr>
            <w:r>
              <w:rPr>
                <w:rFonts w:ascii="Univers" w:hAnsi="Univers" w:cstheme="minorBidi"/>
                <w:b/>
                <w:sz w:val="72"/>
              </w:rPr>
              <w:t>EP</w:t>
            </w:r>
          </w:p>
        </w:tc>
      </w:tr>
      <w:tr w:rsidR="006A24A7" w:rsidRPr="00522040" w14:paraId="580B68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C0640D" w14:textId="0F7FBE2D" w:rsidR="00B8570D" w:rsidRDefault="00B8570D"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88701965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887019657"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B8570D" w:rsidRDefault="00B8570D"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F99696C" w14:textId="3E8C8EA1" w:rsidR="00B8570D" w:rsidRDefault="00B8570D"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6E17E6" w14:textId="77777777" w:rsidR="00B8570D" w:rsidRDefault="00B8570D"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99786DB" w14:textId="77777777" w:rsidR="00B8570D" w:rsidRDefault="00B8570D"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51D5127" w14:textId="77777777" w:rsidR="00B8570D" w:rsidRDefault="00B8570D" w:rsidP="00C503FA">
            <w:pPr>
              <w:spacing w:before="720"/>
              <w:rPr>
                <w:lang w:val="es-ES"/>
              </w:rPr>
            </w:pPr>
          </w:p>
        </w:tc>
        <w:tc>
          <w:tcPr>
            <w:tcW w:w="3586" w:type="dxa"/>
            <w:tcBorders>
              <w:top w:val="nil"/>
              <w:left w:val="nil"/>
              <w:bottom w:val="single" w:sz="36" w:space="0" w:color="auto"/>
              <w:right w:val="nil"/>
            </w:tcBorders>
          </w:tcPr>
          <w:p w14:paraId="30BF3DF4" w14:textId="77777777" w:rsidR="00B8570D" w:rsidRDefault="00B8570D" w:rsidP="00C503FA">
            <w:pPr>
              <w:rPr>
                <w:lang w:val="es-ES"/>
              </w:rPr>
            </w:pPr>
          </w:p>
          <w:p w14:paraId="33B88BFD" w14:textId="77777777" w:rsidR="00B8570D" w:rsidRDefault="00B8570D" w:rsidP="00C503FA">
            <w:pPr>
              <w:rPr>
                <w:lang w:val="es-ES"/>
              </w:rPr>
            </w:pPr>
            <w:r>
              <w:rPr>
                <w:lang w:val="es-ES"/>
              </w:rPr>
              <w:t>Distr.</w:t>
            </w:r>
          </w:p>
          <w:p w14:paraId="49DF344A" w14:textId="77777777" w:rsidR="00B8570D" w:rsidRDefault="00B8570D" w:rsidP="00C503FA">
            <w:pPr>
              <w:rPr>
                <w:lang w:val="es-ES"/>
              </w:rPr>
            </w:pPr>
            <w:r>
              <w:rPr>
                <w:lang w:val="es-ES"/>
              </w:rPr>
              <w:t>GENERAL</w:t>
            </w:r>
          </w:p>
          <w:p w14:paraId="12E5CA63" w14:textId="77777777" w:rsidR="00B8570D" w:rsidRDefault="00B8570D" w:rsidP="00C503FA">
            <w:pPr>
              <w:rPr>
                <w:lang w:val="es-ES"/>
              </w:rPr>
            </w:pPr>
          </w:p>
          <w:p w14:paraId="1491E0BB" w14:textId="0779D9B2" w:rsidR="00B8570D" w:rsidRPr="00064429" w:rsidRDefault="00B8570D" w:rsidP="00C503FA">
            <w:pPr>
              <w:rPr>
                <w:lang w:val="es-AR"/>
              </w:rPr>
            </w:pPr>
            <w:r>
              <w:fldChar w:fldCharType="begin"/>
            </w:r>
            <w:r>
              <w:rPr>
                <w:lang w:val="es-AR"/>
              </w:rPr>
              <w:instrText xml:space="preserve"> DOCPROPERTY "Document number"  \* MERGEFORMAT </w:instrText>
            </w:r>
            <w:r>
              <w:fldChar w:fldCharType="separate"/>
            </w:r>
            <w:r>
              <w:rPr>
                <w:lang w:val="es-AR"/>
              </w:rPr>
              <w:t>UNEP/OzL.Pro/ExCom/99/69</w:t>
            </w:r>
            <w:r>
              <w:fldChar w:fldCharType="end"/>
            </w:r>
          </w:p>
          <w:p w14:paraId="6280C6A4" w14:textId="2E031363" w:rsidR="00B8570D" w:rsidRPr="008802CF" w:rsidRDefault="00B8570D" w:rsidP="00B84CF6">
            <w:pPr>
              <w:rPr>
                <w:lang w:val="es-ES"/>
              </w:rPr>
            </w:pPr>
            <w:r>
              <w:fldChar w:fldCharType="begin"/>
            </w:r>
            <w:r>
              <w:rPr>
                <w:lang w:val="es-ES"/>
              </w:rPr>
              <w:instrText xml:space="preserve"> DOCPROPERTY "Revision date" \@ "d MMMM YYYY"  \* MERGEFORMAT </w:instrText>
            </w:r>
            <w:r>
              <w:fldChar w:fldCharType="separate"/>
            </w:r>
            <w:r>
              <w:rPr>
                <w:lang w:val="es-ES"/>
              </w:rPr>
              <w:t>27 de octubre de 2026</w:t>
            </w:r>
            <w:r>
              <w:fldChar w:fldCharType="end"/>
            </w:r>
          </w:p>
          <w:p w14:paraId="1E8DDC36" w14:textId="77777777" w:rsidR="00B8570D" w:rsidRPr="008802CF" w:rsidRDefault="00B8570D" w:rsidP="00C503FA">
            <w:pPr>
              <w:rPr>
                <w:caps/>
                <w:lang w:val="es-ES"/>
              </w:rPr>
            </w:pPr>
          </w:p>
          <w:p w14:paraId="3F794FD0" w14:textId="77777777" w:rsidR="00B8570D" w:rsidRDefault="00B8570D" w:rsidP="00C503FA">
            <w:pPr>
              <w:rPr>
                <w:lang w:val="es-MX"/>
              </w:rPr>
            </w:pPr>
            <w:r>
              <w:rPr>
                <w:lang w:val="es-MX"/>
              </w:rPr>
              <w:t xml:space="preserve">ESPAÑOL </w:t>
            </w:r>
          </w:p>
          <w:p w14:paraId="2BF7AF43" w14:textId="77777777" w:rsidR="00B8570D" w:rsidRDefault="00B8570D" w:rsidP="00C503FA">
            <w:pPr>
              <w:rPr>
                <w:lang w:val="es-ES"/>
              </w:rPr>
            </w:pPr>
            <w:r>
              <w:rPr>
                <w:lang w:val="es-ES"/>
              </w:rPr>
              <w:t xml:space="preserve">ORIGINAL: </w:t>
            </w:r>
            <w:r>
              <w:rPr>
                <w:lang w:val="es-MX"/>
              </w:rPr>
              <w:t>INGLÉS</w:t>
            </w:r>
          </w:p>
        </w:tc>
      </w:tr>
    </w:tbl>
    <w:p w14:paraId="0D81C755" w14:textId="640B58D1" w:rsidR="00B8570D" w:rsidRPr="008802CF" w:rsidRDefault="00B8570D" w:rsidP="008802CF">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Pr>
          <w:lang w:val="es-ES"/>
        </w:rPr>
        <w:t>Nonagésima novena reunión</w:t>
      </w:r>
    </w:p>
    <w:p w14:paraId="7DAF4929" w14:textId="4311477B" w:rsidR="00B8570D" w:rsidRPr="008802CF" w:rsidRDefault="00B8570D" w:rsidP="008802CF">
      <w:pPr>
        <w:jc w:val="left"/>
        <w:rPr>
          <w:lang w:val="es-ES"/>
        </w:rPr>
      </w:pPr>
      <w:r>
        <w:rPr>
          <w:lang w:val="es-ES"/>
        </w:rPr>
        <w:t>Montreal, 7-11 de diciembre de 2026</w:t>
      </w:r>
    </w:p>
    <w:p w14:paraId="5213E32A" w14:textId="3A1180DA" w:rsidR="00CB0432" w:rsidRPr="00766F51" w:rsidRDefault="00CB0432" w:rsidP="00CB0432">
      <w:pPr>
        <w:jc w:val="left"/>
        <w:rPr>
          <w:lang w:val="es-ES"/>
        </w:rPr>
      </w:pPr>
      <w:r>
        <w:rPr>
          <w:lang w:val="es-ES"/>
        </w:rPr>
        <w:t>Punto 9 d) del orden del día provisional</w:t>
      </w:r>
      <w:r>
        <w:rPr>
          <w:rStyle w:val="FootnoteReference"/>
        </w:rPr>
        <w:footnoteReference w:id="1"/>
      </w:r>
    </w:p>
    <w:p w14:paraId="5FFEA9E2" w14:textId="77777777" w:rsidR="00CB0432" w:rsidRPr="00766F51" w:rsidRDefault="00CB0432" w:rsidP="00CB0432">
      <w:pPr>
        <w:jc w:val="left"/>
        <w:rPr>
          <w:lang w:val="es-ES"/>
        </w:rPr>
      </w:pPr>
    </w:p>
    <w:p w14:paraId="47C824F5" w14:textId="77777777" w:rsidR="00CB0432" w:rsidRPr="00766F51" w:rsidRDefault="00CB0432" w:rsidP="00CB0432">
      <w:pPr>
        <w:pStyle w:val="Heading1"/>
        <w:numPr>
          <w:ilvl w:val="0"/>
          <w:numId w:val="0"/>
        </w:numPr>
        <w:spacing w:after="0"/>
        <w:rPr>
          <w:b/>
          <w:bCs/>
          <w:lang w:val="es-ES"/>
        </w:rPr>
      </w:pPr>
    </w:p>
    <w:p w14:paraId="45DC27EB" w14:textId="77777777" w:rsidR="009A7AA9" w:rsidRPr="00766F51" w:rsidRDefault="009A7AA9" w:rsidP="00246CC4">
      <w:pPr>
        <w:rPr>
          <w:b/>
          <w:lang w:val="es-ES"/>
        </w:rPr>
      </w:pPr>
    </w:p>
    <w:p w14:paraId="666BB31B" w14:textId="4F39E211" w:rsidR="00CB0432" w:rsidRPr="00BD3E4B" w:rsidRDefault="00637A61" w:rsidP="00CB0432">
      <w:pPr>
        <w:jc w:val="center"/>
        <w:rPr>
          <w:b/>
          <w:lang w:val="es-ES"/>
        </w:rPr>
      </w:pPr>
      <w:r>
        <w:rPr>
          <w:b/>
          <w:lang w:val="es-ES"/>
        </w:rPr>
        <w:t>PROPUESTAS DE PROYECTOS: SANTO TOMÉ Y PRÍNCIPE</w:t>
      </w:r>
    </w:p>
    <w:p w14:paraId="4CC2FC4F" w14:textId="77777777" w:rsidR="00CB0432" w:rsidRPr="00BD3E4B" w:rsidRDefault="00CB0432" w:rsidP="00CB0432">
      <w:pPr>
        <w:rPr>
          <w:lang w:val="es-ES"/>
        </w:rPr>
      </w:pPr>
    </w:p>
    <w:p w14:paraId="6F5632F2" w14:textId="77777777" w:rsidR="00CB0432" w:rsidRPr="00766F51" w:rsidRDefault="00CB0432" w:rsidP="00CB0432">
      <w:pPr>
        <w:rPr>
          <w:lang w:val="es-ES"/>
        </w:rPr>
      </w:pPr>
    </w:p>
    <w:p w14:paraId="58ED5C5B" w14:textId="77777777" w:rsidR="00CB0432" w:rsidRPr="00766F51" w:rsidRDefault="00CB0432" w:rsidP="00CB0432">
      <w:pPr>
        <w:ind w:firstLine="720"/>
        <w:rPr>
          <w:lang w:val="es-ES"/>
        </w:rPr>
      </w:pPr>
      <w:r>
        <w:rPr>
          <w:lang w:val="es-ES"/>
        </w:rPr>
        <w:t>Este documento consiste en las observaciones y la recomendación de la Secretaría sobre las siguientes propuestas de proyecto:</w:t>
      </w:r>
    </w:p>
    <w:p w14:paraId="19C3E016" w14:textId="77777777" w:rsidR="00CB0432" w:rsidRPr="00BE38DF" w:rsidRDefault="00CB0432" w:rsidP="00CB0432">
      <w:pPr>
        <w:spacing w:before="240" w:after="240"/>
        <w:rPr>
          <w:b/>
        </w:rPr>
      </w:pPr>
      <w:r>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5"/>
        <w:gridCol w:w="2085"/>
        <w:gridCol w:w="2210"/>
      </w:tblGrid>
      <w:tr w:rsidR="00CB0432" w:rsidRPr="00BE38DF" w14:paraId="00A7CA63" w14:textId="77777777" w:rsidTr="00B50897">
        <w:tc>
          <w:tcPr>
            <w:tcW w:w="2761" w:type="pct"/>
          </w:tcPr>
          <w:p w14:paraId="0A7865EA" w14:textId="040EEF8A" w:rsidR="00CB0432" w:rsidRPr="00766F51" w:rsidRDefault="00CB0432">
            <w:pPr>
              <w:pStyle w:val="ListParagraph"/>
              <w:numPr>
                <w:ilvl w:val="0"/>
                <w:numId w:val="6"/>
              </w:numPr>
              <w:ind w:left="604" w:hanging="714"/>
              <w:jc w:val="left"/>
              <w:rPr>
                <w:lang w:val="es-ES"/>
              </w:rPr>
            </w:pPr>
            <w:r>
              <w:rPr>
                <w:lang w:val="es-ES"/>
              </w:rPr>
              <w:t>Plan de gestión de eliminación de los HCFC (etapa II, primer tramo)</w:t>
            </w:r>
          </w:p>
        </w:tc>
        <w:tc>
          <w:tcPr>
            <w:tcW w:w="1087" w:type="pct"/>
          </w:tcPr>
          <w:p w14:paraId="47EA8525" w14:textId="5C4B94D3" w:rsidR="00CB0432" w:rsidRPr="00BE38DF" w:rsidRDefault="00B50897" w:rsidP="00B50897">
            <w:r>
              <w:rPr>
                <w:lang w:val="es-ES"/>
              </w:rPr>
              <w:t xml:space="preserve">    </w:t>
            </w:r>
            <w:r w:rsidR="00222140">
              <w:rPr>
                <w:lang w:val="es-ES"/>
              </w:rPr>
              <w:t xml:space="preserve">      </w:t>
            </w:r>
            <w:r w:rsidR="003E313D">
              <w:t xml:space="preserve">PNUMA </w:t>
            </w:r>
          </w:p>
        </w:tc>
        <w:tc>
          <w:tcPr>
            <w:tcW w:w="1152" w:type="pct"/>
          </w:tcPr>
          <w:p w14:paraId="0B02ACB1" w14:textId="2AF4A0C0" w:rsidR="00CB0432" w:rsidRPr="00BE38DF" w:rsidRDefault="00CB0432">
            <w:pPr>
              <w:jc w:val="right"/>
            </w:pPr>
            <w:r>
              <w:t>Consideración individual</w:t>
            </w:r>
          </w:p>
        </w:tc>
      </w:tr>
    </w:tbl>
    <w:p w14:paraId="400BE167" w14:textId="77777777" w:rsidR="00CB0432" w:rsidRPr="00BE38DF" w:rsidRDefault="00CB0432" w:rsidP="00CB0432">
      <w:pPr>
        <w:spacing w:before="240" w:after="240"/>
        <w:rPr>
          <w:u w:val="single"/>
        </w:rPr>
      </w:pPr>
      <w:r>
        <w:rPr>
          <w:u w:val="single"/>
        </w:rPr>
        <w:t>Reducción gradual</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230"/>
        <w:gridCol w:w="2160"/>
      </w:tblGrid>
      <w:tr w:rsidR="00CB0432" w:rsidRPr="00BE38DF" w14:paraId="644E8AC7" w14:textId="77777777" w:rsidTr="00B50897">
        <w:trPr>
          <w:trHeight w:val="601"/>
        </w:trPr>
        <w:tc>
          <w:tcPr>
            <w:tcW w:w="5240" w:type="dxa"/>
          </w:tcPr>
          <w:p w14:paraId="22D2F10E" w14:textId="77777777" w:rsidR="00CB0432" w:rsidRPr="00766F51" w:rsidRDefault="00CB0432">
            <w:pPr>
              <w:pStyle w:val="ListParagraph"/>
              <w:numPr>
                <w:ilvl w:val="0"/>
                <w:numId w:val="6"/>
              </w:numPr>
              <w:ind w:left="604" w:hanging="714"/>
              <w:jc w:val="left"/>
              <w:rPr>
                <w:lang w:val="es-ES"/>
              </w:rPr>
            </w:pPr>
            <w:r>
              <w:rPr>
                <w:lang w:val="es-ES"/>
              </w:rPr>
              <w:t>Plan de aplicación de la Enmienda de Kigali relativa a los HFC (</w:t>
            </w:r>
            <w:r>
              <w:rPr>
                <w:shd w:val="clear" w:color="auto" w:fill="FFFFFF" w:themeFill="background1"/>
                <w:lang w:val="es-ES"/>
              </w:rPr>
              <w:t>etapa I, primer tramo</w:t>
            </w:r>
            <w:r>
              <w:rPr>
                <w:lang w:val="es-ES"/>
              </w:rPr>
              <w:t>)</w:t>
            </w:r>
          </w:p>
        </w:tc>
        <w:tc>
          <w:tcPr>
            <w:tcW w:w="2230" w:type="dxa"/>
          </w:tcPr>
          <w:p w14:paraId="117673B7" w14:textId="496FA993" w:rsidR="00CB0432" w:rsidRPr="00BE38DF" w:rsidRDefault="003E313D">
            <w:pPr>
              <w:jc w:val="center"/>
            </w:pPr>
            <w:r>
              <w:t xml:space="preserve">PNUMA </w:t>
            </w:r>
          </w:p>
        </w:tc>
        <w:tc>
          <w:tcPr>
            <w:tcW w:w="2160" w:type="dxa"/>
          </w:tcPr>
          <w:p w14:paraId="0841EDDA" w14:textId="77777777" w:rsidR="00CB0432" w:rsidRPr="00BE38DF" w:rsidRDefault="00CB0432" w:rsidP="00B50897">
            <w:pPr>
              <w:jc w:val="right"/>
            </w:pPr>
            <w:r>
              <w:t>Consideración individual</w:t>
            </w:r>
          </w:p>
        </w:tc>
      </w:tr>
    </w:tbl>
    <w:p w14:paraId="342ED22E" w14:textId="77777777" w:rsidR="00CB0432" w:rsidRPr="00BE38DF" w:rsidRDefault="00CB0432" w:rsidP="00CB0432">
      <w:pPr>
        <w:tabs>
          <w:tab w:val="left" w:pos="3892"/>
        </w:tabs>
        <w:jc w:val="left"/>
      </w:pPr>
    </w:p>
    <w:p w14:paraId="0341F90B" w14:textId="77777777" w:rsidR="00CB0432" w:rsidRPr="00BE38DF" w:rsidRDefault="00CB0432" w:rsidP="00CB0432"/>
    <w:p w14:paraId="14FBD5AB" w14:textId="77777777" w:rsidR="00CB0432" w:rsidRPr="00BE38DF" w:rsidRDefault="00CB0432" w:rsidP="00CB0432"/>
    <w:p w14:paraId="1C40BD38" w14:textId="77777777" w:rsidR="00CB0432" w:rsidRPr="00BE38DF" w:rsidRDefault="00CB0432" w:rsidP="00CB0432"/>
    <w:p w14:paraId="7AA7CB62" w14:textId="77777777" w:rsidR="00CB0432" w:rsidRPr="00BE38DF" w:rsidRDefault="00CB0432" w:rsidP="00CB0432">
      <w:pPr>
        <w:pStyle w:val="StyleHeader4Para4Left0Firstline0"/>
        <w:widowControl/>
        <w:numPr>
          <w:ilvl w:val="0"/>
          <w:numId w:val="0"/>
        </w:numPr>
        <w:tabs>
          <w:tab w:val="clear" w:pos="2880"/>
          <w:tab w:val="clear" w:pos="5760"/>
        </w:tabs>
        <w:jc w:val="left"/>
        <w:rPr>
          <w:b/>
          <w:sz w:val="22"/>
        </w:rPr>
      </w:pPr>
      <w:r>
        <w:rPr>
          <w:b/>
          <w:sz w:val="22"/>
        </w:rPr>
        <w:br w:type="page"/>
      </w:r>
    </w:p>
    <w:p w14:paraId="1F87A11E" w14:textId="77777777" w:rsidR="00037539" w:rsidRPr="00766F51" w:rsidRDefault="00037539" w:rsidP="00037539">
      <w:pPr>
        <w:spacing w:before="120" w:after="120"/>
        <w:ind w:left="-425" w:right="-420"/>
        <w:jc w:val="center"/>
        <w:rPr>
          <w:b/>
          <w:lang w:val="es-ES"/>
        </w:rPr>
      </w:pPr>
      <w:r>
        <w:rPr>
          <w:b/>
          <w:lang w:val="es-ES"/>
        </w:rPr>
        <w:lastRenderedPageBreak/>
        <w:t>HOJA DE EVALUACIÓN DE PROYECTO – PROYECTOS PLURIANUALES</w:t>
      </w:r>
    </w:p>
    <w:p w14:paraId="313CAC01" w14:textId="022B2377" w:rsidR="00037539" w:rsidRDefault="00037539" w:rsidP="00037539">
      <w:pPr>
        <w:spacing w:before="200" w:after="200"/>
        <w:ind w:left="-425" w:right="-420"/>
        <w:jc w:val="center"/>
        <w:rPr>
          <w:b/>
          <w:bCs/>
        </w:rPr>
      </w:pPr>
      <w:r>
        <w:rPr>
          <w:b/>
          <w:bCs/>
        </w:rPr>
        <w:t>Santo Tomé y Príncipe</w:t>
      </w:r>
    </w:p>
    <w:tbl>
      <w:tblPr>
        <w:tblStyle w:val="TableGrid"/>
        <w:tblW w:w="5364" w:type="pct"/>
        <w:jc w:val="center"/>
        <w:tblLayout w:type="fixed"/>
        <w:tblLook w:val="04A0" w:firstRow="1" w:lastRow="0" w:firstColumn="1" w:lastColumn="0" w:noHBand="0" w:noVBand="1"/>
      </w:tblPr>
      <w:tblGrid>
        <w:gridCol w:w="5147"/>
        <w:gridCol w:w="4980"/>
      </w:tblGrid>
      <w:tr w:rsidR="00037539" w:rsidRPr="00EB31E3" w14:paraId="2D158F5A" w14:textId="77777777">
        <w:trPr>
          <w:trHeight w:val="139"/>
          <w:jc w:val="center"/>
        </w:trPr>
        <w:tc>
          <w:tcPr>
            <w:tcW w:w="2541" w:type="pct"/>
            <w:vAlign w:val="center"/>
          </w:tcPr>
          <w:p w14:paraId="7F9F6D5D" w14:textId="77777777" w:rsidR="00037539" w:rsidRPr="00996241" w:rsidRDefault="00037539">
            <w:pPr>
              <w:keepNext/>
              <w:spacing w:before="20" w:after="20"/>
              <w:jc w:val="center"/>
              <w:rPr>
                <w:b/>
                <w:sz w:val="20"/>
              </w:rPr>
            </w:pPr>
            <w:r>
              <w:rPr>
                <w:b/>
                <w:sz w:val="20"/>
              </w:rPr>
              <w:t>TÍTULO DEL PROYECTO</w:t>
            </w:r>
          </w:p>
        </w:tc>
        <w:tc>
          <w:tcPr>
            <w:tcW w:w="2459" w:type="pct"/>
            <w:vAlign w:val="center"/>
          </w:tcPr>
          <w:p w14:paraId="2233822C" w14:textId="77777777" w:rsidR="00037539" w:rsidRPr="00996241" w:rsidRDefault="00037539">
            <w:pPr>
              <w:keepNext/>
              <w:spacing w:before="20" w:after="20"/>
              <w:jc w:val="center"/>
              <w:rPr>
                <w:b/>
                <w:sz w:val="20"/>
              </w:rPr>
            </w:pPr>
            <w:r>
              <w:rPr>
                <w:b/>
                <w:sz w:val="20"/>
              </w:rPr>
              <w:t>ORGANISMO</w:t>
            </w:r>
          </w:p>
        </w:tc>
      </w:tr>
      <w:tr w:rsidR="00037539" w:rsidRPr="00EB31E3" w14:paraId="437861AC" w14:textId="77777777">
        <w:trPr>
          <w:trHeight w:val="326"/>
          <w:jc w:val="center"/>
        </w:trPr>
        <w:tc>
          <w:tcPr>
            <w:tcW w:w="2541" w:type="pct"/>
            <w:vAlign w:val="center"/>
          </w:tcPr>
          <w:p w14:paraId="2F294078" w14:textId="77777777" w:rsidR="00037539" w:rsidRPr="00766F51" w:rsidRDefault="00037539">
            <w:pPr>
              <w:spacing w:before="20" w:after="20"/>
              <w:jc w:val="center"/>
              <w:rPr>
                <w:color w:val="000000" w:themeColor="text1"/>
                <w:kern w:val="2"/>
                <w:sz w:val="20"/>
                <w:szCs w:val="20"/>
                <w:lang w:val="es-ES" w:eastAsia="en-CA"/>
                <w14:ligatures w14:val="standardContextual"/>
              </w:rPr>
            </w:pPr>
            <w:r>
              <w:rPr>
                <w:color w:val="000000"/>
                <w:sz w:val="20"/>
                <w:szCs w:val="20"/>
                <w:lang w:val="es-ES"/>
              </w:rPr>
              <w:t>Plan de gestión de eliminación de los HCFC (etapa II)</w:t>
            </w:r>
          </w:p>
        </w:tc>
        <w:tc>
          <w:tcPr>
            <w:tcW w:w="2459" w:type="pct"/>
            <w:vAlign w:val="center"/>
          </w:tcPr>
          <w:p w14:paraId="5C9B0E17" w14:textId="77777777" w:rsidR="00037539" w:rsidRPr="00BC18B8" w:rsidRDefault="00037539">
            <w:pPr>
              <w:spacing w:before="20" w:after="20"/>
              <w:jc w:val="center"/>
              <w:rPr>
                <w:color w:val="000000" w:themeColor="text1"/>
                <w:kern w:val="2"/>
                <w:sz w:val="20"/>
                <w:szCs w:val="20"/>
                <w:lang w:eastAsia="en-CA"/>
                <w14:ligatures w14:val="standardContextual"/>
              </w:rPr>
            </w:pPr>
            <w:r>
              <w:rPr>
                <w:color w:val="000000"/>
                <w:sz w:val="20"/>
                <w:szCs w:val="20"/>
              </w:rPr>
              <w:t>PNUMA (principal)</w:t>
            </w:r>
          </w:p>
        </w:tc>
      </w:tr>
    </w:tbl>
    <w:p w14:paraId="7C47CABD" w14:textId="77777777" w:rsidR="00037539" w:rsidRPr="00BE2DAA"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5146"/>
        <w:gridCol w:w="2147"/>
        <w:gridCol w:w="2834"/>
      </w:tblGrid>
      <w:tr w:rsidR="00037539" w:rsidRPr="00BC18B8" w14:paraId="0DA894BC" w14:textId="77777777">
        <w:trPr>
          <w:trHeight w:val="334"/>
          <w:jc w:val="center"/>
        </w:trPr>
        <w:tc>
          <w:tcPr>
            <w:tcW w:w="2541" w:type="pct"/>
            <w:vAlign w:val="center"/>
          </w:tcPr>
          <w:p w14:paraId="6939AAE5" w14:textId="77777777" w:rsidR="00037539" w:rsidRPr="00766F51" w:rsidRDefault="00037539">
            <w:pPr>
              <w:spacing w:before="20" w:after="20"/>
              <w:jc w:val="left"/>
              <w:rPr>
                <w:b/>
                <w:sz w:val="20"/>
                <w:lang w:val="es-ES"/>
              </w:rPr>
            </w:pPr>
            <w:r>
              <w:rPr>
                <w:b/>
                <w:sz w:val="20"/>
                <w:lang w:val="es-ES"/>
              </w:rPr>
              <w:t>DATOS CON ARREGLO AL ARTÍCULO 7 (Anexo C, Grupo I)</w:t>
            </w:r>
          </w:p>
        </w:tc>
        <w:tc>
          <w:tcPr>
            <w:tcW w:w="1060" w:type="pct"/>
            <w:vAlign w:val="center"/>
          </w:tcPr>
          <w:p w14:paraId="645E054E" w14:textId="77777777" w:rsidR="00037539" w:rsidRPr="00996241" w:rsidRDefault="00037539">
            <w:pPr>
              <w:spacing w:before="20" w:after="20"/>
              <w:jc w:val="center"/>
              <w:rPr>
                <w:sz w:val="20"/>
              </w:rPr>
            </w:pPr>
            <w:r>
              <w:rPr>
                <w:b/>
                <w:bCs/>
                <w:sz w:val="20"/>
              </w:rPr>
              <w:t>Año:</w:t>
            </w:r>
            <w:r>
              <w:rPr>
                <w:b/>
                <w:bCs/>
                <w:color w:val="000000" w:themeColor="text1"/>
                <w:sz w:val="20"/>
              </w:rPr>
              <w:t xml:space="preserve"> 2025</w:t>
            </w:r>
          </w:p>
        </w:tc>
        <w:tc>
          <w:tcPr>
            <w:tcW w:w="1399" w:type="pct"/>
            <w:vAlign w:val="center"/>
          </w:tcPr>
          <w:p w14:paraId="05FE73AE" w14:textId="77777777" w:rsidR="00037539" w:rsidRPr="00BC18B8" w:rsidRDefault="00037539">
            <w:pPr>
              <w:spacing w:before="20" w:after="20"/>
              <w:jc w:val="right"/>
              <w:rPr>
                <w:kern w:val="2"/>
                <w:sz w:val="20"/>
                <w:szCs w:val="20"/>
                <w:lang w:eastAsia="en-CA"/>
                <w14:ligatures w14:val="standardContextual"/>
              </w:rPr>
            </w:pPr>
            <w:r>
              <w:rPr>
                <w:color w:val="000000"/>
                <w:sz w:val="20"/>
                <w:szCs w:val="20"/>
              </w:rPr>
              <w:t>0,04 toneladas PAO</w:t>
            </w:r>
          </w:p>
        </w:tc>
      </w:tr>
    </w:tbl>
    <w:p w14:paraId="175E9E75" w14:textId="77777777" w:rsidR="00037539" w:rsidRPr="00DC561D" w:rsidRDefault="00037539" w:rsidP="00037539">
      <w:pPr>
        <w:jc w:val="center"/>
        <w:rPr>
          <w:sz w:val="18"/>
        </w:rPr>
      </w:pPr>
    </w:p>
    <w:tbl>
      <w:tblPr>
        <w:tblStyle w:val="TableGrid"/>
        <w:tblW w:w="5360" w:type="pct"/>
        <w:jc w:val="center"/>
        <w:tblLayout w:type="fixed"/>
        <w:tblLook w:val="04A0" w:firstRow="1" w:lastRow="0" w:firstColumn="1" w:lastColumn="0" w:noHBand="0" w:noVBand="1"/>
      </w:tblPr>
      <w:tblGrid>
        <w:gridCol w:w="1417"/>
        <w:gridCol w:w="864"/>
        <w:gridCol w:w="1002"/>
        <w:gridCol w:w="1146"/>
        <w:gridCol w:w="1431"/>
        <w:gridCol w:w="1585"/>
        <w:gridCol w:w="1137"/>
        <w:gridCol w:w="716"/>
        <w:gridCol w:w="822"/>
      </w:tblGrid>
      <w:tr w:rsidR="00037539" w:rsidRPr="008533A5" w14:paraId="5DA0F225" w14:textId="77777777">
        <w:trPr>
          <w:trHeight w:val="128"/>
          <w:jc w:val="center"/>
        </w:trPr>
        <w:tc>
          <w:tcPr>
            <w:tcW w:w="4240" w:type="pct"/>
            <w:gridSpan w:val="7"/>
            <w:tcBorders>
              <w:right w:val="single" w:sz="4" w:space="0" w:color="auto"/>
            </w:tcBorders>
            <w:vAlign w:val="center"/>
          </w:tcPr>
          <w:p w14:paraId="23F19DC9" w14:textId="77777777" w:rsidR="00037539" w:rsidRPr="00766F51" w:rsidRDefault="00037539">
            <w:pPr>
              <w:keepNext/>
              <w:spacing w:before="20" w:after="20"/>
              <w:jc w:val="left"/>
              <w:rPr>
                <w:b/>
                <w:sz w:val="20"/>
                <w:lang w:val="es-ES"/>
              </w:rPr>
            </w:pPr>
            <w:r>
              <w:rPr>
                <w:b/>
                <w:sz w:val="20"/>
                <w:lang w:val="es-ES"/>
              </w:rPr>
              <w:t>DATOS SECTORIALES DEL PROGRAMA DE PAÍS (toneladas PAO)</w:t>
            </w:r>
          </w:p>
        </w:tc>
        <w:tc>
          <w:tcPr>
            <w:tcW w:w="354" w:type="pct"/>
            <w:tcBorders>
              <w:top w:val="single" w:sz="4" w:space="0" w:color="auto"/>
              <w:left w:val="single" w:sz="4" w:space="0" w:color="auto"/>
              <w:bottom w:val="single" w:sz="4" w:space="0" w:color="auto"/>
              <w:right w:val="nil"/>
            </w:tcBorders>
            <w:vAlign w:val="center"/>
          </w:tcPr>
          <w:p w14:paraId="073EF31A" w14:textId="77777777" w:rsidR="00037539" w:rsidRPr="008533A5" w:rsidRDefault="00037539">
            <w:pPr>
              <w:keepNext/>
              <w:spacing w:before="20" w:after="20"/>
              <w:jc w:val="center"/>
              <w:rPr>
                <w:b/>
                <w:sz w:val="20"/>
                <w:highlight w:val="cyan"/>
              </w:rPr>
            </w:pPr>
            <w:r>
              <w:rPr>
                <w:b/>
                <w:sz w:val="16"/>
                <w:szCs w:val="16"/>
              </w:rPr>
              <w:t>Año:</w:t>
            </w:r>
          </w:p>
        </w:tc>
        <w:tc>
          <w:tcPr>
            <w:tcW w:w="406" w:type="pct"/>
            <w:tcBorders>
              <w:top w:val="single" w:sz="4" w:space="0" w:color="auto"/>
              <w:left w:val="nil"/>
              <w:bottom w:val="single" w:sz="4" w:space="0" w:color="auto"/>
              <w:right w:val="single" w:sz="4" w:space="0" w:color="auto"/>
            </w:tcBorders>
            <w:vAlign w:val="center"/>
          </w:tcPr>
          <w:p w14:paraId="1500E013" w14:textId="77777777" w:rsidR="00037539" w:rsidRPr="008533A5" w:rsidRDefault="00037539">
            <w:pPr>
              <w:keepNext/>
              <w:spacing w:before="20" w:after="20"/>
              <w:jc w:val="right"/>
              <w:rPr>
                <w:b/>
                <w:sz w:val="20"/>
                <w:highlight w:val="cyan"/>
              </w:rPr>
            </w:pPr>
            <w:r>
              <w:rPr>
                <w:b/>
                <w:color w:val="000000" w:themeColor="text1"/>
                <w:sz w:val="16"/>
                <w:szCs w:val="16"/>
              </w:rPr>
              <w:t>2025</w:t>
            </w:r>
          </w:p>
        </w:tc>
      </w:tr>
      <w:tr w:rsidR="00037539" w:rsidRPr="00EB31E3" w14:paraId="4B3DAA24" w14:textId="77777777">
        <w:trPr>
          <w:trHeight w:val="63"/>
          <w:jc w:val="center"/>
        </w:trPr>
        <w:tc>
          <w:tcPr>
            <w:tcW w:w="700" w:type="pct"/>
            <w:vMerge w:val="restart"/>
            <w:vAlign w:val="center"/>
          </w:tcPr>
          <w:p w14:paraId="02766CF5" w14:textId="77777777" w:rsidR="00037539" w:rsidRPr="009931F4" w:rsidRDefault="00037539">
            <w:pPr>
              <w:keepNext/>
              <w:spacing w:before="20" w:after="20"/>
              <w:jc w:val="center"/>
              <w:rPr>
                <w:sz w:val="20"/>
              </w:rPr>
            </w:pPr>
            <w:r>
              <w:rPr>
                <w:sz w:val="16"/>
                <w:szCs w:val="16"/>
              </w:rPr>
              <w:t>Sustancia</w:t>
            </w:r>
          </w:p>
        </w:tc>
        <w:tc>
          <w:tcPr>
            <w:tcW w:w="427" w:type="pct"/>
            <w:vMerge w:val="restart"/>
            <w:vAlign w:val="center"/>
          </w:tcPr>
          <w:p w14:paraId="143E9B9E" w14:textId="77777777" w:rsidR="00037539" w:rsidRPr="00996241" w:rsidRDefault="00037539">
            <w:pPr>
              <w:keepNext/>
              <w:spacing w:before="20" w:after="20"/>
              <w:ind w:left="-106" w:right="-97"/>
              <w:jc w:val="center"/>
              <w:rPr>
                <w:sz w:val="20"/>
              </w:rPr>
            </w:pPr>
            <w:r>
              <w:rPr>
                <w:sz w:val="16"/>
                <w:szCs w:val="16"/>
              </w:rPr>
              <w:t>Aerosoles</w:t>
            </w:r>
          </w:p>
        </w:tc>
        <w:tc>
          <w:tcPr>
            <w:tcW w:w="495" w:type="pct"/>
            <w:vMerge w:val="restart"/>
            <w:vAlign w:val="center"/>
          </w:tcPr>
          <w:p w14:paraId="40E4C11C" w14:textId="77777777" w:rsidR="00037539" w:rsidRPr="00996241" w:rsidRDefault="00037539">
            <w:pPr>
              <w:keepNext/>
              <w:spacing w:before="20" w:after="20"/>
              <w:jc w:val="center"/>
              <w:rPr>
                <w:sz w:val="20"/>
              </w:rPr>
            </w:pPr>
            <w:r>
              <w:rPr>
                <w:sz w:val="16"/>
                <w:szCs w:val="16"/>
              </w:rPr>
              <w:t>Espumas</w:t>
            </w:r>
          </w:p>
        </w:tc>
        <w:tc>
          <w:tcPr>
            <w:tcW w:w="566" w:type="pct"/>
            <w:vMerge w:val="restart"/>
            <w:vAlign w:val="center"/>
          </w:tcPr>
          <w:p w14:paraId="22D12F4F" w14:textId="77777777" w:rsidR="00037539" w:rsidRPr="00996241" w:rsidRDefault="00037539">
            <w:pPr>
              <w:keepNext/>
              <w:spacing w:before="20" w:after="20"/>
              <w:ind w:left="-106" w:right="-112"/>
              <w:jc w:val="center"/>
              <w:rPr>
                <w:sz w:val="20"/>
              </w:rPr>
            </w:pPr>
            <w:r>
              <w:rPr>
                <w:sz w:val="16"/>
                <w:szCs w:val="16"/>
              </w:rPr>
              <w:t>Extinción de incendios</w:t>
            </w:r>
          </w:p>
        </w:tc>
        <w:tc>
          <w:tcPr>
            <w:tcW w:w="1490" w:type="pct"/>
            <w:gridSpan w:val="2"/>
            <w:vAlign w:val="center"/>
          </w:tcPr>
          <w:p w14:paraId="4E109EE6" w14:textId="77777777" w:rsidR="00037539" w:rsidRPr="00996241" w:rsidRDefault="00037539">
            <w:pPr>
              <w:keepNext/>
              <w:spacing w:before="20" w:after="20"/>
              <w:jc w:val="center"/>
              <w:rPr>
                <w:sz w:val="20"/>
              </w:rPr>
            </w:pPr>
            <w:r>
              <w:rPr>
                <w:sz w:val="16"/>
                <w:szCs w:val="16"/>
              </w:rPr>
              <w:t>Refrigeración</w:t>
            </w:r>
          </w:p>
        </w:tc>
        <w:tc>
          <w:tcPr>
            <w:tcW w:w="561" w:type="pct"/>
            <w:vMerge w:val="restart"/>
            <w:vAlign w:val="center"/>
          </w:tcPr>
          <w:p w14:paraId="6EACB60B" w14:textId="77777777" w:rsidR="00037539" w:rsidRPr="00996241" w:rsidRDefault="00037539">
            <w:pPr>
              <w:keepNext/>
              <w:spacing w:before="20" w:after="20"/>
              <w:ind w:left="-106" w:right="-105"/>
              <w:jc w:val="center"/>
              <w:rPr>
                <w:sz w:val="20"/>
              </w:rPr>
            </w:pPr>
            <w:r>
              <w:rPr>
                <w:sz w:val="16"/>
                <w:szCs w:val="16"/>
              </w:rPr>
              <w:t>Disolventes</w:t>
            </w:r>
          </w:p>
        </w:tc>
        <w:tc>
          <w:tcPr>
            <w:tcW w:w="760" w:type="pct"/>
            <w:gridSpan w:val="2"/>
            <w:vMerge w:val="restart"/>
            <w:tcBorders>
              <w:top w:val="single" w:sz="4" w:space="0" w:color="auto"/>
            </w:tcBorders>
            <w:vAlign w:val="center"/>
          </w:tcPr>
          <w:p w14:paraId="72D0B1B0" w14:textId="77777777" w:rsidR="00037539" w:rsidRPr="00996241" w:rsidRDefault="00037539">
            <w:pPr>
              <w:keepNext/>
              <w:spacing w:before="20" w:after="20"/>
              <w:jc w:val="center"/>
              <w:rPr>
                <w:sz w:val="20"/>
              </w:rPr>
            </w:pPr>
            <w:r>
              <w:rPr>
                <w:sz w:val="16"/>
                <w:szCs w:val="16"/>
              </w:rPr>
              <w:t>Consumo total del sector</w:t>
            </w:r>
          </w:p>
        </w:tc>
      </w:tr>
      <w:tr w:rsidR="00037539" w:rsidRPr="00EB31E3" w14:paraId="5AE6823D" w14:textId="77777777">
        <w:trPr>
          <w:trHeight w:val="46"/>
          <w:jc w:val="center"/>
        </w:trPr>
        <w:tc>
          <w:tcPr>
            <w:tcW w:w="700" w:type="pct"/>
            <w:vMerge/>
            <w:vAlign w:val="center"/>
          </w:tcPr>
          <w:p w14:paraId="17B51500" w14:textId="77777777" w:rsidR="00037539" w:rsidRPr="009931F4" w:rsidRDefault="00037539">
            <w:pPr>
              <w:keepNext/>
              <w:spacing w:before="20" w:after="20"/>
              <w:jc w:val="center"/>
              <w:rPr>
                <w:sz w:val="20"/>
              </w:rPr>
            </w:pPr>
          </w:p>
        </w:tc>
        <w:tc>
          <w:tcPr>
            <w:tcW w:w="427" w:type="pct"/>
            <w:vMerge/>
            <w:vAlign w:val="center"/>
          </w:tcPr>
          <w:p w14:paraId="18F36663" w14:textId="77777777" w:rsidR="00037539" w:rsidRPr="00996241" w:rsidRDefault="00037539">
            <w:pPr>
              <w:keepNext/>
              <w:spacing w:before="20" w:after="20"/>
              <w:ind w:left="-106" w:right="-97"/>
              <w:jc w:val="center"/>
              <w:rPr>
                <w:sz w:val="20"/>
              </w:rPr>
            </w:pPr>
          </w:p>
        </w:tc>
        <w:tc>
          <w:tcPr>
            <w:tcW w:w="495" w:type="pct"/>
            <w:vMerge/>
            <w:vAlign w:val="center"/>
          </w:tcPr>
          <w:p w14:paraId="4CAB9F15" w14:textId="77777777" w:rsidR="00037539" w:rsidRPr="00996241" w:rsidRDefault="00037539">
            <w:pPr>
              <w:keepNext/>
              <w:spacing w:before="20" w:after="20"/>
              <w:jc w:val="center"/>
              <w:rPr>
                <w:sz w:val="20"/>
              </w:rPr>
            </w:pPr>
          </w:p>
        </w:tc>
        <w:tc>
          <w:tcPr>
            <w:tcW w:w="566" w:type="pct"/>
            <w:vMerge/>
            <w:vAlign w:val="center"/>
          </w:tcPr>
          <w:p w14:paraId="6F02CE87" w14:textId="77777777" w:rsidR="00037539" w:rsidRPr="00996241" w:rsidRDefault="00037539">
            <w:pPr>
              <w:keepNext/>
              <w:spacing w:before="20" w:after="20"/>
              <w:ind w:left="-106" w:right="-112"/>
              <w:jc w:val="center"/>
              <w:rPr>
                <w:sz w:val="20"/>
              </w:rPr>
            </w:pPr>
          </w:p>
        </w:tc>
        <w:tc>
          <w:tcPr>
            <w:tcW w:w="707" w:type="pct"/>
            <w:vAlign w:val="center"/>
          </w:tcPr>
          <w:p w14:paraId="59BA1271" w14:textId="77777777" w:rsidR="00037539" w:rsidRPr="00996241" w:rsidRDefault="00037539">
            <w:pPr>
              <w:keepNext/>
              <w:spacing w:before="20" w:after="20"/>
              <w:jc w:val="center"/>
              <w:rPr>
                <w:sz w:val="20"/>
              </w:rPr>
            </w:pPr>
            <w:r>
              <w:rPr>
                <w:sz w:val="16"/>
                <w:szCs w:val="16"/>
              </w:rPr>
              <w:t>Fabricación</w:t>
            </w:r>
          </w:p>
        </w:tc>
        <w:tc>
          <w:tcPr>
            <w:tcW w:w="783" w:type="pct"/>
            <w:vAlign w:val="center"/>
          </w:tcPr>
          <w:p w14:paraId="52626D90" w14:textId="77777777" w:rsidR="00037539" w:rsidRPr="00996241" w:rsidRDefault="00037539">
            <w:pPr>
              <w:keepNext/>
              <w:spacing w:before="20" w:after="20"/>
              <w:jc w:val="center"/>
              <w:rPr>
                <w:sz w:val="20"/>
              </w:rPr>
            </w:pPr>
            <w:r>
              <w:rPr>
                <w:sz w:val="16"/>
                <w:szCs w:val="16"/>
              </w:rPr>
              <w:t>Servicio técnico</w:t>
            </w:r>
          </w:p>
        </w:tc>
        <w:tc>
          <w:tcPr>
            <w:tcW w:w="561" w:type="pct"/>
            <w:vMerge/>
            <w:vAlign w:val="center"/>
          </w:tcPr>
          <w:p w14:paraId="25121876" w14:textId="77777777" w:rsidR="00037539" w:rsidRPr="00996241" w:rsidRDefault="00037539">
            <w:pPr>
              <w:keepNext/>
              <w:spacing w:before="20" w:after="20"/>
              <w:ind w:left="-106" w:right="-105"/>
              <w:jc w:val="center"/>
              <w:rPr>
                <w:sz w:val="20"/>
              </w:rPr>
            </w:pPr>
          </w:p>
        </w:tc>
        <w:tc>
          <w:tcPr>
            <w:tcW w:w="760" w:type="pct"/>
            <w:gridSpan w:val="2"/>
            <w:vMerge/>
            <w:vAlign w:val="center"/>
          </w:tcPr>
          <w:p w14:paraId="424136F7" w14:textId="77777777" w:rsidR="00037539" w:rsidRPr="00996241" w:rsidRDefault="00037539">
            <w:pPr>
              <w:keepNext/>
              <w:spacing w:before="20" w:after="20"/>
              <w:jc w:val="center"/>
              <w:rPr>
                <w:sz w:val="20"/>
              </w:rPr>
            </w:pPr>
          </w:p>
        </w:tc>
      </w:tr>
      <w:tr w:rsidR="00037539" w:rsidRPr="00EB31E3" w14:paraId="63A9E992" w14:textId="77777777">
        <w:trPr>
          <w:trHeight w:val="250"/>
          <w:jc w:val="center"/>
        </w:trPr>
        <w:tc>
          <w:tcPr>
            <w:tcW w:w="700" w:type="pct"/>
            <w:vAlign w:val="center"/>
          </w:tcPr>
          <w:p w14:paraId="581F3633" w14:textId="77777777" w:rsidR="00037539" w:rsidRPr="005C66B3" w:rsidRDefault="00037539">
            <w:pPr>
              <w:spacing w:before="20" w:after="20"/>
              <w:jc w:val="left"/>
              <w:rPr>
                <w:sz w:val="20"/>
                <w:szCs w:val="20"/>
              </w:rPr>
            </w:pPr>
            <w:r>
              <w:rPr>
                <w:color w:val="000000" w:themeColor="text1"/>
                <w:sz w:val="16"/>
                <w:szCs w:val="16"/>
              </w:rPr>
              <w:t>HCFC‑22</w:t>
            </w:r>
          </w:p>
        </w:tc>
        <w:tc>
          <w:tcPr>
            <w:tcW w:w="427" w:type="pct"/>
            <w:vAlign w:val="center"/>
          </w:tcPr>
          <w:p w14:paraId="406F2CC7" w14:textId="77777777" w:rsidR="00037539" w:rsidRPr="005C66B3" w:rsidRDefault="00037539">
            <w:pPr>
              <w:spacing w:before="20" w:after="20"/>
              <w:jc w:val="right"/>
              <w:rPr>
                <w:sz w:val="20"/>
                <w:szCs w:val="20"/>
              </w:rPr>
            </w:pPr>
          </w:p>
        </w:tc>
        <w:tc>
          <w:tcPr>
            <w:tcW w:w="495" w:type="pct"/>
            <w:vAlign w:val="center"/>
          </w:tcPr>
          <w:p w14:paraId="04159780" w14:textId="77777777" w:rsidR="00037539" w:rsidRPr="005C66B3" w:rsidRDefault="00037539">
            <w:pPr>
              <w:spacing w:before="20" w:after="20"/>
              <w:jc w:val="right"/>
              <w:rPr>
                <w:sz w:val="20"/>
                <w:szCs w:val="20"/>
              </w:rPr>
            </w:pPr>
          </w:p>
        </w:tc>
        <w:tc>
          <w:tcPr>
            <w:tcW w:w="566" w:type="pct"/>
            <w:vAlign w:val="center"/>
          </w:tcPr>
          <w:p w14:paraId="4B61CEBC" w14:textId="77777777" w:rsidR="00037539" w:rsidRPr="005C66B3" w:rsidRDefault="00037539">
            <w:pPr>
              <w:spacing w:before="20" w:after="20"/>
              <w:jc w:val="right"/>
              <w:rPr>
                <w:sz w:val="20"/>
                <w:szCs w:val="20"/>
              </w:rPr>
            </w:pPr>
          </w:p>
        </w:tc>
        <w:tc>
          <w:tcPr>
            <w:tcW w:w="707" w:type="pct"/>
            <w:vAlign w:val="center"/>
          </w:tcPr>
          <w:p w14:paraId="0244D5D9" w14:textId="77777777" w:rsidR="00037539" w:rsidRPr="005C66B3" w:rsidRDefault="00037539">
            <w:pPr>
              <w:spacing w:before="20" w:after="20"/>
              <w:jc w:val="right"/>
              <w:rPr>
                <w:sz w:val="20"/>
                <w:szCs w:val="20"/>
              </w:rPr>
            </w:pPr>
          </w:p>
        </w:tc>
        <w:tc>
          <w:tcPr>
            <w:tcW w:w="783" w:type="pct"/>
            <w:vAlign w:val="center"/>
          </w:tcPr>
          <w:p w14:paraId="25CC8741" w14:textId="77777777" w:rsidR="00037539" w:rsidRPr="005C66B3" w:rsidRDefault="00037539">
            <w:pPr>
              <w:spacing w:before="20" w:after="20"/>
              <w:jc w:val="right"/>
              <w:rPr>
                <w:kern w:val="2"/>
                <w:sz w:val="20"/>
                <w:szCs w:val="20"/>
                <w:lang w:eastAsia="en-CA"/>
                <w14:ligatures w14:val="standardContextual"/>
              </w:rPr>
            </w:pPr>
            <w:r>
              <w:rPr>
                <w:color w:val="000000"/>
                <w:sz w:val="16"/>
                <w:szCs w:val="16"/>
              </w:rPr>
              <w:t>0,04</w:t>
            </w:r>
          </w:p>
        </w:tc>
        <w:tc>
          <w:tcPr>
            <w:tcW w:w="561" w:type="pct"/>
            <w:vAlign w:val="center"/>
          </w:tcPr>
          <w:p w14:paraId="326D7C8B" w14:textId="77777777" w:rsidR="00037539" w:rsidRPr="005C66B3" w:rsidRDefault="00037539">
            <w:pPr>
              <w:spacing w:before="20" w:after="20"/>
              <w:jc w:val="right"/>
              <w:rPr>
                <w:sz w:val="20"/>
                <w:szCs w:val="20"/>
              </w:rPr>
            </w:pPr>
          </w:p>
        </w:tc>
        <w:tc>
          <w:tcPr>
            <w:tcW w:w="760" w:type="pct"/>
            <w:gridSpan w:val="2"/>
            <w:vAlign w:val="center"/>
          </w:tcPr>
          <w:p w14:paraId="2D4FA641" w14:textId="77777777" w:rsidR="00037539" w:rsidRPr="005C66B3" w:rsidRDefault="00037539">
            <w:pPr>
              <w:spacing w:before="20" w:after="20"/>
              <w:jc w:val="right"/>
              <w:rPr>
                <w:kern w:val="2"/>
                <w:sz w:val="20"/>
                <w:szCs w:val="20"/>
                <w:lang w:eastAsia="en-CA"/>
                <w14:ligatures w14:val="standardContextual"/>
              </w:rPr>
            </w:pPr>
            <w:r>
              <w:rPr>
                <w:color w:val="000000"/>
                <w:sz w:val="16"/>
                <w:szCs w:val="16"/>
              </w:rPr>
              <w:t>0,04</w:t>
            </w:r>
          </w:p>
        </w:tc>
      </w:tr>
    </w:tbl>
    <w:p w14:paraId="08727DB4" w14:textId="77777777" w:rsidR="00037539" w:rsidRPr="00BE2DAA"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2080"/>
        <w:gridCol w:w="2210"/>
        <w:gridCol w:w="4292"/>
        <w:gridCol w:w="1545"/>
      </w:tblGrid>
      <w:tr w:rsidR="00037539" w:rsidRPr="00506434" w14:paraId="47C29205" w14:textId="77777777">
        <w:trPr>
          <w:trHeight w:val="272"/>
          <w:jc w:val="center"/>
        </w:trPr>
        <w:tc>
          <w:tcPr>
            <w:tcW w:w="5000" w:type="pct"/>
            <w:gridSpan w:val="4"/>
            <w:vAlign w:val="center"/>
          </w:tcPr>
          <w:p w14:paraId="2B4D18F1" w14:textId="77777777" w:rsidR="00037539" w:rsidRPr="00766F51" w:rsidRDefault="00037539">
            <w:pPr>
              <w:keepNext/>
              <w:spacing w:before="20" w:after="20"/>
              <w:jc w:val="left"/>
              <w:rPr>
                <w:b/>
                <w:sz w:val="20"/>
                <w:lang w:val="es-ES"/>
              </w:rPr>
            </w:pPr>
            <w:r>
              <w:rPr>
                <w:b/>
                <w:sz w:val="20"/>
                <w:lang w:val="es-ES"/>
              </w:rPr>
              <w:t>DATOS DE CONSUMO (toneladas PAO)</w:t>
            </w:r>
          </w:p>
        </w:tc>
      </w:tr>
      <w:tr w:rsidR="00037539" w:rsidRPr="00EB31E3" w14:paraId="02C75143" w14:textId="77777777">
        <w:trPr>
          <w:trHeight w:val="272"/>
          <w:jc w:val="center"/>
        </w:trPr>
        <w:tc>
          <w:tcPr>
            <w:tcW w:w="1027" w:type="pct"/>
            <w:vAlign w:val="center"/>
          </w:tcPr>
          <w:p w14:paraId="0E6893B3" w14:textId="77777777" w:rsidR="00037539" w:rsidRPr="009931F4" w:rsidRDefault="00037539">
            <w:pPr>
              <w:keepNext/>
              <w:spacing w:before="20" w:after="20"/>
              <w:jc w:val="center"/>
              <w:rPr>
                <w:sz w:val="20"/>
              </w:rPr>
            </w:pPr>
            <w:r>
              <w:rPr>
                <w:sz w:val="20"/>
              </w:rPr>
              <w:t>Nivel básico en 2009–2010:</w:t>
            </w:r>
          </w:p>
        </w:tc>
        <w:tc>
          <w:tcPr>
            <w:tcW w:w="1091" w:type="pct"/>
            <w:vAlign w:val="center"/>
          </w:tcPr>
          <w:p w14:paraId="5CF6F140" w14:textId="77777777" w:rsidR="00037539" w:rsidRPr="005C66B3" w:rsidRDefault="00037539">
            <w:pPr>
              <w:keepNext/>
              <w:spacing w:before="20" w:after="20"/>
              <w:jc w:val="right"/>
              <w:rPr>
                <w:kern w:val="2"/>
                <w:sz w:val="20"/>
                <w:szCs w:val="20"/>
                <w:lang w:eastAsia="en-CA"/>
                <w14:ligatures w14:val="standardContextual"/>
              </w:rPr>
            </w:pPr>
            <w:r>
              <w:rPr>
                <w:sz w:val="20"/>
                <w:szCs w:val="20"/>
              </w:rPr>
              <w:t>2,20</w:t>
            </w:r>
          </w:p>
        </w:tc>
        <w:tc>
          <w:tcPr>
            <w:tcW w:w="2119" w:type="pct"/>
            <w:vAlign w:val="center"/>
          </w:tcPr>
          <w:p w14:paraId="0891F913" w14:textId="77777777" w:rsidR="00037539" w:rsidRPr="00766F51" w:rsidRDefault="00037539">
            <w:pPr>
              <w:keepNext/>
              <w:spacing w:before="20" w:after="20"/>
              <w:jc w:val="center"/>
              <w:rPr>
                <w:sz w:val="20"/>
                <w:lang w:val="es-ES"/>
              </w:rPr>
            </w:pPr>
            <w:r>
              <w:rPr>
                <w:sz w:val="20"/>
                <w:lang w:val="es-ES"/>
              </w:rPr>
              <w:t>Punto de partida para las reducciones acumuladas sostenidas:</w:t>
            </w:r>
          </w:p>
        </w:tc>
        <w:tc>
          <w:tcPr>
            <w:tcW w:w="763" w:type="pct"/>
            <w:vAlign w:val="center"/>
          </w:tcPr>
          <w:p w14:paraId="630CF2B1" w14:textId="77777777" w:rsidR="00037539" w:rsidRPr="005C66B3" w:rsidRDefault="00037539">
            <w:pPr>
              <w:keepNext/>
              <w:spacing w:before="20" w:after="20"/>
              <w:jc w:val="right"/>
              <w:rPr>
                <w:kern w:val="2"/>
                <w:sz w:val="20"/>
                <w:szCs w:val="20"/>
                <w:lang w:eastAsia="en-CA"/>
                <w14:ligatures w14:val="standardContextual"/>
              </w:rPr>
            </w:pPr>
            <w:r>
              <w:rPr>
                <w:sz w:val="20"/>
                <w:szCs w:val="20"/>
              </w:rPr>
              <w:t>0,15</w:t>
            </w:r>
          </w:p>
        </w:tc>
      </w:tr>
      <w:tr w:rsidR="00037539" w:rsidRPr="00506434" w14:paraId="1707A2C2" w14:textId="77777777">
        <w:trPr>
          <w:trHeight w:val="163"/>
          <w:jc w:val="center"/>
        </w:trPr>
        <w:tc>
          <w:tcPr>
            <w:tcW w:w="5000" w:type="pct"/>
            <w:gridSpan w:val="4"/>
          </w:tcPr>
          <w:p w14:paraId="33852C77" w14:textId="77777777" w:rsidR="00037539" w:rsidRPr="00766F51" w:rsidRDefault="00037539">
            <w:pPr>
              <w:keepNext/>
              <w:tabs>
                <w:tab w:val="left" w:pos="993"/>
              </w:tabs>
              <w:spacing w:before="20" w:after="20"/>
              <w:ind w:left="426"/>
              <w:jc w:val="left"/>
              <w:rPr>
                <w:b/>
                <w:sz w:val="20"/>
                <w:lang w:val="es-ES"/>
              </w:rPr>
            </w:pPr>
            <w:r>
              <w:rPr>
                <w:b/>
                <w:sz w:val="20"/>
                <w:lang w:val="es-ES"/>
              </w:rPr>
              <w:t>CONSUMO ADMISIBLE PARA LA FINANCIACIÓN</w:t>
            </w:r>
          </w:p>
        </w:tc>
      </w:tr>
      <w:tr w:rsidR="00037539" w:rsidRPr="00EB31E3" w14:paraId="37DDD069" w14:textId="77777777">
        <w:trPr>
          <w:trHeight w:val="272"/>
          <w:jc w:val="center"/>
        </w:trPr>
        <w:tc>
          <w:tcPr>
            <w:tcW w:w="1027" w:type="pct"/>
            <w:vAlign w:val="center"/>
          </w:tcPr>
          <w:p w14:paraId="1AFBA892" w14:textId="77777777" w:rsidR="00037539" w:rsidRPr="009931F4" w:rsidRDefault="00037539">
            <w:pPr>
              <w:spacing w:before="20" w:after="20"/>
              <w:jc w:val="center"/>
              <w:rPr>
                <w:sz w:val="20"/>
              </w:rPr>
            </w:pPr>
            <w:r>
              <w:rPr>
                <w:sz w:val="20"/>
              </w:rPr>
              <w:t>Ya aprobado:</w:t>
            </w:r>
          </w:p>
        </w:tc>
        <w:tc>
          <w:tcPr>
            <w:tcW w:w="1091" w:type="pct"/>
            <w:vAlign w:val="center"/>
          </w:tcPr>
          <w:p w14:paraId="437EB671" w14:textId="77777777" w:rsidR="00037539" w:rsidRPr="00996241" w:rsidRDefault="00037539">
            <w:pPr>
              <w:spacing w:before="20" w:after="20"/>
              <w:jc w:val="right"/>
              <w:rPr>
                <w:sz w:val="20"/>
              </w:rPr>
            </w:pPr>
            <w:r>
              <w:rPr>
                <w:color w:val="000000" w:themeColor="text1"/>
                <w:sz w:val="20"/>
              </w:rPr>
              <w:t>0,05</w:t>
            </w:r>
          </w:p>
        </w:tc>
        <w:tc>
          <w:tcPr>
            <w:tcW w:w="2119" w:type="pct"/>
            <w:vAlign w:val="center"/>
          </w:tcPr>
          <w:p w14:paraId="6F29D8E0" w14:textId="77777777" w:rsidR="00037539" w:rsidRPr="00996241" w:rsidRDefault="00037539">
            <w:pPr>
              <w:spacing w:before="20" w:after="20"/>
              <w:jc w:val="center"/>
              <w:rPr>
                <w:sz w:val="20"/>
              </w:rPr>
            </w:pPr>
            <w:r>
              <w:rPr>
                <w:sz w:val="20"/>
              </w:rPr>
              <w:t>Restante:</w:t>
            </w:r>
          </w:p>
        </w:tc>
        <w:tc>
          <w:tcPr>
            <w:tcW w:w="763" w:type="pct"/>
            <w:vAlign w:val="center"/>
          </w:tcPr>
          <w:p w14:paraId="337202AF" w14:textId="77777777" w:rsidR="00037539" w:rsidRPr="00996241" w:rsidRDefault="00037539">
            <w:pPr>
              <w:spacing w:before="20" w:after="20"/>
              <w:jc w:val="right"/>
              <w:rPr>
                <w:sz w:val="20"/>
              </w:rPr>
            </w:pPr>
            <w:r>
              <w:rPr>
                <w:color w:val="000000" w:themeColor="text1"/>
                <w:sz w:val="20"/>
              </w:rPr>
              <w:t>0,10</w:t>
            </w:r>
          </w:p>
        </w:tc>
      </w:tr>
    </w:tbl>
    <w:p w14:paraId="53912801" w14:textId="77777777" w:rsidR="00037539" w:rsidRPr="00DC561D" w:rsidRDefault="00037539" w:rsidP="00037539">
      <w:pPr>
        <w:jc w:val="center"/>
        <w:rPr>
          <w:sz w:val="18"/>
        </w:rPr>
      </w:pPr>
    </w:p>
    <w:tbl>
      <w:tblPr>
        <w:tblStyle w:val="TableGrid"/>
        <w:tblW w:w="5364" w:type="pct"/>
        <w:jc w:val="center"/>
        <w:tblLayout w:type="fixed"/>
        <w:tblLook w:val="04A0" w:firstRow="1" w:lastRow="0" w:firstColumn="1" w:lastColumn="0" w:noHBand="0" w:noVBand="1"/>
      </w:tblPr>
      <w:tblGrid>
        <w:gridCol w:w="1578"/>
        <w:gridCol w:w="2718"/>
        <w:gridCol w:w="1428"/>
        <w:gridCol w:w="1428"/>
        <w:gridCol w:w="1428"/>
        <w:gridCol w:w="1547"/>
      </w:tblGrid>
      <w:tr w:rsidR="00037539" w:rsidRPr="00EB31E3" w14:paraId="013A3CBE" w14:textId="77777777">
        <w:trPr>
          <w:trHeight w:val="258"/>
          <w:jc w:val="center"/>
        </w:trPr>
        <w:tc>
          <w:tcPr>
            <w:tcW w:w="2120" w:type="pct"/>
            <w:gridSpan w:val="2"/>
            <w:vAlign w:val="center"/>
          </w:tcPr>
          <w:p w14:paraId="02B8A2BB" w14:textId="77777777" w:rsidR="00037539" w:rsidRPr="00996241" w:rsidRDefault="00037539">
            <w:pPr>
              <w:keepNext/>
              <w:spacing w:before="20" w:after="20"/>
              <w:jc w:val="left"/>
              <w:rPr>
                <w:b/>
                <w:sz w:val="20"/>
              </w:rPr>
            </w:pPr>
            <w:r>
              <w:rPr>
                <w:b/>
                <w:sz w:val="20"/>
              </w:rPr>
              <w:t>PLAN ADMINISTRATIVO APROBADO</w:t>
            </w:r>
          </w:p>
        </w:tc>
        <w:tc>
          <w:tcPr>
            <w:tcW w:w="705" w:type="pct"/>
            <w:vAlign w:val="center"/>
          </w:tcPr>
          <w:p w14:paraId="004796C9" w14:textId="77777777" w:rsidR="00037539" w:rsidRPr="00996241" w:rsidRDefault="00037539">
            <w:pPr>
              <w:keepNext/>
              <w:spacing w:before="20" w:after="20"/>
              <w:jc w:val="center"/>
              <w:rPr>
                <w:b/>
                <w:sz w:val="20"/>
              </w:rPr>
            </w:pPr>
            <w:r>
              <w:rPr>
                <w:b/>
                <w:sz w:val="20"/>
              </w:rPr>
              <w:t>2026</w:t>
            </w:r>
          </w:p>
        </w:tc>
        <w:tc>
          <w:tcPr>
            <w:tcW w:w="705" w:type="pct"/>
            <w:vAlign w:val="center"/>
          </w:tcPr>
          <w:p w14:paraId="55704F00" w14:textId="77777777" w:rsidR="00037539" w:rsidRPr="00996241" w:rsidRDefault="00037539">
            <w:pPr>
              <w:keepNext/>
              <w:spacing w:before="20" w:after="20"/>
              <w:jc w:val="center"/>
              <w:rPr>
                <w:b/>
                <w:sz w:val="20"/>
              </w:rPr>
            </w:pPr>
            <w:r>
              <w:rPr>
                <w:b/>
                <w:sz w:val="20"/>
              </w:rPr>
              <w:t>2027</w:t>
            </w:r>
          </w:p>
        </w:tc>
        <w:tc>
          <w:tcPr>
            <w:tcW w:w="705" w:type="pct"/>
            <w:vAlign w:val="center"/>
          </w:tcPr>
          <w:p w14:paraId="50938364" w14:textId="77777777" w:rsidR="00037539" w:rsidRPr="00996241" w:rsidRDefault="00037539">
            <w:pPr>
              <w:keepNext/>
              <w:spacing w:before="20" w:after="20"/>
              <w:jc w:val="center"/>
              <w:rPr>
                <w:b/>
                <w:sz w:val="20"/>
              </w:rPr>
            </w:pPr>
            <w:r>
              <w:rPr>
                <w:b/>
                <w:sz w:val="20"/>
              </w:rPr>
              <w:t>2028</w:t>
            </w:r>
          </w:p>
        </w:tc>
        <w:tc>
          <w:tcPr>
            <w:tcW w:w="765" w:type="pct"/>
            <w:vAlign w:val="center"/>
          </w:tcPr>
          <w:p w14:paraId="46247F73" w14:textId="77777777" w:rsidR="00037539" w:rsidRPr="00996241" w:rsidRDefault="00037539">
            <w:pPr>
              <w:keepNext/>
              <w:spacing w:before="20" w:after="20"/>
              <w:jc w:val="center"/>
              <w:rPr>
                <w:b/>
                <w:sz w:val="20"/>
              </w:rPr>
            </w:pPr>
            <w:r>
              <w:rPr>
                <w:b/>
                <w:sz w:val="20"/>
              </w:rPr>
              <w:t>Total</w:t>
            </w:r>
          </w:p>
        </w:tc>
      </w:tr>
      <w:tr w:rsidR="00037539" w:rsidRPr="00EB31E3" w14:paraId="63A50661" w14:textId="77777777">
        <w:trPr>
          <w:trHeight w:val="258"/>
          <w:jc w:val="center"/>
        </w:trPr>
        <w:tc>
          <w:tcPr>
            <w:tcW w:w="779" w:type="pct"/>
            <w:vMerge w:val="restart"/>
            <w:vAlign w:val="center"/>
          </w:tcPr>
          <w:p w14:paraId="3238EFF5" w14:textId="77777777" w:rsidR="00037539" w:rsidRPr="008A76E4" w:rsidRDefault="00037539">
            <w:pPr>
              <w:keepNext/>
              <w:spacing w:before="20" w:after="20"/>
              <w:jc w:val="center"/>
              <w:rPr>
                <w:kern w:val="2"/>
                <w:sz w:val="20"/>
                <w:lang w:eastAsia="en-CA"/>
                <w14:ligatures w14:val="standardContextual"/>
              </w:rPr>
            </w:pPr>
            <w:r>
              <w:rPr>
                <w:color w:val="000000"/>
                <w:sz w:val="20"/>
                <w:szCs w:val="20"/>
              </w:rPr>
              <w:t>PNUMA</w:t>
            </w:r>
          </w:p>
        </w:tc>
        <w:tc>
          <w:tcPr>
            <w:tcW w:w="1342" w:type="pct"/>
            <w:vAlign w:val="center"/>
          </w:tcPr>
          <w:p w14:paraId="4D5A66EA" w14:textId="77777777" w:rsidR="00037539" w:rsidRPr="00766F51" w:rsidRDefault="00037539">
            <w:pPr>
              <w:keepNext/>
              <w:spacing w:before="20" w:after="20"/>
              <w:jc w:val="left"/>
              <w:rPr>
                <w:sz w:val="20"/>
                <w:lang w:val="es-ES"/>
              </w:rPr>
            </w:pPr>
            <w:r>
              <w:rPr>
                <w:sz w:val="20"/>
                <w:lang w:val="es-ES"/>
              </w:rPr>
              <w:t>Eliminación de SAO (toneladas PAO)</w:t>
            </w:r>
          </w:p>
        </w:tc>
        <w:tc>
          <w:tcPr>
            <w:tcW w:w="705" w:type="pct"/>
            <w:vAlign w:val="center"/>
          </w:tcPr>
          <w:p w14:paraId="202B0D58" w14:textId="77777777" w:rsidR="00037539" w:rsidRPr="008A76E4" w:rsidRDefault="00037539">
            <w:pPr>
              <w:keepNext/>
              <w:spacing w:before="20" w:after="20"/>
              <w:jc w:val="right"/>
              <w:rPr>
                <w:kern w:val="2"/>
                <w:sz w:val="20"/>
                <w:lang w:eastAsia="en-CA"/>
                <w14:ligatures w14:val="standardContextual"/>
              </w:rPr>
            </w:pPr>
            <w:r>
              <w:rPr>
                <w:sz w:val="20"/>
                <w:szCs w:val="20"/>
              </w:rPr>
              <w:t>0,02</w:t>
            </w:r>
          </w:p>
        </w:tc>
        <w:tc>
          <w:tcPr>
            <w:tcW w:w="705" w:type="pct"/>
            <w:vAlign w:val="center"/>
          </w:tcPr>
          <w:p w14:paraId="2EAB9B2C" w14:textId="77777777" w:rsidR="00037539" w:rsidRPr="008A76E4" w:rsidRDefault="00037539">
            <w:pPr>
              <w:keepNext/>
              <w:spacing w:before="20" w:after="20"/>
              <w:jc w:val="right"/>
              <w:rPr>
                <w:kern w:val="2"/>
                <w:sz w:val="20"/>
                <w:lang w:eastAsia="en-CA"/>
                <w14:ligatures w14:val="standardContextual"/>
              </w:rPr>
            </w:pPr>
            <w:r>
              <w:rPr>
                <w:sz w:val="20"/>
                <w:szCs w:val="20"/>
              </w:rPr>
              <w:t>0,00</w:t>
            </w:r>
          </w:p>
        </w:tc>
        <w:tc>
          <w:tcPr>
            <w:tcW w:w="705" w:type="pct"/>
            <w:vAlign w:val="center"/>
          </w:tcPr>
          <w:p w14:paraId="086CB54A" w14:textId="77777777" w:rsidR="00037539" w:rsidRPr="008A76E4" w:rsidRDefault="00037539">
            <w:pPr>
              <w:keepNext/>
              <w:spacing w:before="20" w:after="20"/>
              <w:jc w:val="right"/>
              <w:rPr>
                <w:kern w:val="2"/>
                <w:sz w:val="20"/>
                <w:lang w:eastAsia="en-CA"/>
                <w14:ligatures w14:val="standardContextual"/>
              </w:rPr>
            </w:pPr>
            <w:r>
              <w:rPr>
                <w:sz w:val="20"/>
                <w:szCs w:val="20"/>
              </w:rPr>
              <w:t>0,00</w:t>
            </w:r>
          </w:p>
        </w:tc>
        <w:tc>
          <w:tcPr>
            <w:tcW w:w="765" w:type="pct"/>
            <w:vAlign w:val="center"/>
          </w:tcPr>
          <w:p w14:paraId="4D73843D" w14:textId="77777777" w:rsidR="00037539" w:rsidRPr="008A76E4" w:rsidRDefault="00037539">
            <w:pPr>
              <w:keepNext/>
              <w:spacing w:before="20" w:after="20"/>
              <w:jc w:val="right"/>
              <w:rPr>
                <w:kern w:val="2"/>
                <w:sz w:val="20"/>
                <w:lang w:eastAsia="en-CA"/>
                <w14:ligatures w14:val="standardContextual"/>
              </w:rPr>
            </w:pPr>
            <w:r>
              <w:rPr>
                <w:sz w:val="20"/>
                <w:szCs w:val="20"/>
              </w:rPr>
              <w:t>0,02</w:t>
            </w:r>
          </w:p>
        </w:tc>
      </w:tr>
      <w:tr w:rsidR="00037539" w:rsidRPr="00EB31E3" w14:paraId="2DCDC27E" w14:textId="77777777">
        <w:trPr>
          <w:trHeight w:val="258"/>
          <w:jc w:val="center"/>
        </w:trPr>
        <w:tc>
          <w:tcPr>
            <w:tcW w:w="779" w:type="pct"/>
            <w:vMerge/>
            <w:vAlign w:val="center"/>
          </w:tcPr>
          <w:p w14:paraId="4CF2987F" w14:textId="77777777" w:rsidR="00037539" w:rsidRPr="00996241" w:rsidRDefault="00037539">
            <w:pPr>
              <w:spacing w:before="20" w:after="20"/>
              <w:jc w:val="center"/>
              <w:rPr>
                <w:sz w:val="20"/>
              </w:rPr>
            </w:pPr>
          </w:p>
        </w:tc>
        <w:tc>
          <w:tcPr>
            <w:tcW w:w="1342" w:type="pct"/>
            <w:vAlign w:val="center"/>
          </w:tcPr>
          <w:p w14:paraId="11D11123" w14:textId="77777777" w:rsidR="00037539" w:rsidRPr="00996241" w:rsidRDefault="00037539">
            <w:pPr>
              <w:spacing w:before="20" w:after="20"/>
              <w:jc w:val="left"/>
              <w:rPr>
                <w:sz w:val="20"/>
              </w:rPr>
            </w:pPr>
            <w:r>
              <w:rPr>
                <w:sz w:val="20"/>
              </w:rPr>
              <w:t>Financiación (USD)</w:t>
            </w:r>
          </w:p>
        </w:tc>
        <w:tc>
          <w:tcPr>
            <w:tcW w:w="705" w:type="pct"/>
            <w:vAlign w:val="center"/>
          </w:tcPr>
          <w:p w14:paraId="1C8B2CC1" w14:textId="747032A1" w:rsidR="00037539" w:rsidRPr="008A76E4" w:rsidRDefault="00AB3113">
            <w:pPr>
              <w:spacing w:before="20" w:after="20"/>
              <w:jc w:val="right"/>
              <w:rPr>
                <w:kern w:val="2"/>
                <w:sz w:val="20"/>
                <w:lang w:eastAsia="en-CA"/>
                <w14:ligatures w14:val="standardContextual"/>
              </w:rPr>
            </w:pPr>
            <w:r>
              <w:rPr>
                <w:kern w:val="2"/>
                <w:sz w:val="20"/>
                <w14:ligatures w14:val="standardContextual"/>
              </w:rPr>
              <w:t>169.535</w:t>
            </w:r>
          </w:p>
        </w:tc>
        <w:tc>
          <w:tcPr>
            <w:tcW w:w="705" w:type="pct"/>
            <w:vAlign w:val="center"/>
          </w:tcPr>
          <w:p w14:paraId="2240B511" w14:textId="77777777" w:rsidR="00037539" w:rsidRPr="008A76E4" w:rsidRDefault="00037539">
            <w:pPr>
              <w:spacing w:before="20" w:after="20"/>
              <w:jc w:val="right"/>
              <w:rPr>
                <w:kern w:val="2"/>
                <w:sz w:val="20"/>
                <w:lang w:eastAsia="en-CA"/>
                <w14:ligatures w14:val="standardContextual"/>
              </w:rPr>
            </w:pPr>
            <w:r>
              <w:rPr>
                <w:sz w:val="20"/>
                <w:szCs w:val="20"/>
              </w:rPr>
              <w:t>0</w:t>
            </w:r>
          </w:p>
        </w:tc>
        <w:tc>
          <w:tcPr>
            <w:tcW w:w="705" w:type="pct"/>
            <w:vAlign w:val="center"/>
          </w:tcPr>
          <w:p w14:paraId="276F158F" w14:textId="77777777" w:rsidR="00037539" w:rsidRPr="008A76E4" w:rsidRDefault="00037539">
            <w:pPr>
              <w:spacing w:before="20" w:after="20"/>
              <w:jc w:val="right"/>
              <w:rPr>
                <w:kern w:val="2"/>
                <w:sz w:val="20"/>
                <w:lang w:eastAsia="en-CA"/>
                <w14:ligatures w14:val="standardContextual"/>
              </w:rPr>
            </w:pPr>
            <w:r>
              <w:rPr>
                <w:sz w:val="20"/>
                <w:szCs w:val="20"/>
              </w:rPr>
              <w:t>0</w:t>
            </w:r>
          </w:p>
        </w:tc>
        <w:tc>
          <w:tcPr>
            <w:tcW w:w="765" w:type="pct"/>
            <w:vAlign w:val="center"/>
          </w:tcPr>
          <w:p w14:paraId="6B9AD441" w14:textId="4742A303" w:rsidR="00037539" w:rsidRPr="008A76E4" w:rsidRDefault="00AC2334">
            <w:pPr>
              <w:spacing w:before="20" w:after="20"/>
              <w:jc w:val="right"/>
              <w:rPr>
                <w:kern w:val="2"/>
                <w:sz w:val="20"/>
                <w:lang w:eastAsia="en-CA"/>
                <w14:ligatures w14:val="standardContextual"/>
              </w:rPr>
            </w:pPr>
            <w:r>
              <w:rPr>
                <w:sz w:val="20"/>
                <w:szCs w:val="20"/>
              </w:rPr>
              <w:t>169.535</w:t>
            </w:r>
          </w:p>
        </w:tc>
      </w:tr>
    </w:tbl>
    <w:p w14:paraId="49AB1F6F" w14:textId="77777777" w:rsidR="00037539" w:rsidRPr="00BE2DAA" w:rsidRDefault="00037539" w:rsidP="00037539">
      <w:pPr>
        <w:spacing w:after="120"/>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74"/>
        <w:gridCol w:w="1123"/>
        <w:gridCol w:w="1743"/>
        <w:gridCol w:w="947"/>
        <w:gridCol w:w="947"/>
        <w:gridCol w:w="947"/>
        <w:gridCol w:w="947"/>
        <w:gridCol w:w="947"/>
        <w:gridCol w:w="945"/>
      </w:tblGrid>
      <w:tr w:rsidR="00037539" w:rsidRPr="00996241" w14:paraId="331F4002" w14:textId="77777777" w:rsidTr="00C40C17">
        <w:trPr>
          <w:trHeight w:val="260"/>
          <w:jc w:val="center"/>
        </w:trPr>
        <w:tc>
          <w:tcPr>
            <w:tcW w:w="2193" w:type="pct"/>
            <w:gridSpan w:val="3"/>
            <w:vAlign w:val="center"/>
          </w:tcPr>
          <w:p w14:paraId="44E1BFFD" w14:textId="77777777" w:rsidR="00037539" w:rsidRPr="00766F51" w:rsidRDefault="00037539">
            <w:pPr>
              <w:keepNext/>
              <w:spacing w:before="20" w:after="20"/>
              <w:jc w:val="left"/>
              <w:rPr>
                <w:b/>
                <w:bCs/>
                <w:sz w:val="16"/>
                <w:szCs w:val="16"/>
                <w:lang w:val="es-ES"/>
              </w:rPr>
            </w:pPr>
            <w:r>
              <w:rPr>
                <w:b/>
                <w:sz w:val="20"/>
                <w:lang w:val="es-ES"/>
              </w:rPr>
              <w:t xml:space="preserve">DATOS DEL PROYECTO SEGÚN LO ACORDADO </w:t>
            </w:r>
          </w:p>
        </w:tc>
        <w:tc>
          <w:tcPr>
            <w:tcW w:w="468" w:type="pct"/>
            <w:vAlign w:val="center"/>
          </w:tcPr>
          <w:p w14:paraId="238F1E82" w14:textId="77777777" w:rsidR="00037539" w:rsidRPr="00996241" w:rsidRDefault="00037539">
            <w:pPr>
              <w:keepNext/>
              <w:spacing w:before="20" w:after="20"/>
              <w:jc w:val="center"/>
              <w:rPr>
                <w:b/>
                <w:sz w:val="20"/>
              </w:rPr>
            </w:pPr>
            <w:r>
              <w:rPr>
                <w:b/>
                <w:sz w:val="20"/>
              </w:rPr>
              <w:t>2026</w:t>
            </w:r>
          </w:p>
        </w:tc>
        <w:tc>
          <w:tcPr>
            <w:tcW w:w="468" w:type="pct"/>
            <w:vAlign w:val="center"/>
          </w:tcPr>
          <w:p w14:paraId="449233A6" w14:textId="77777777" w:rsidR="00037539" w:rsidRPr="00996241" w:rsidRDefault="00037539">
            <w:pPr>
              <w:keepNext/>
              <w:spacing w:before="20" w:after="20"/>
              <w:jc w:val="center"/>
              <w:rPr>
                <w:b/>
                <w:sz w:val="20"/>
              </w:rPr>
            </w:pPr>
            <w:r>
              <w:rPr>
                <w:b/>
                <w:sz w:val="20"/>
              </w:rPr>
              <w:t>2027</w:t>
            </w:r>
          </w:p>
        </w:tc>
        <w:tc>
          <w:tcPr>
            <w:tcW w:w="468" w:type="pct"/>
            <w:vAlign w:val="center"/>
          </w:tcPr>
          <w:p w14:paraId="37D439A7" w14:textId="77777777" w:rsidR="00037539" w:rsidRPr="00996241" w:rsidRDefault="00037539">
            <w:pPr>
              <w:keepNext/>
              <w:spacing w:before="20" w:after="20"/>
              <w:jc w:val="center"/>
              <w:rPr>
                <w:b/>
                <w:sz w:val="20"/>
              </w:rPr>
            </w:pPr>
            <w:r>
              <w:rPr>
                <w:b/>
                <w:sz w:val="20"/>
              </w:rPr>
              <w:t>2028</w:t>
            </w:r>
          </w:p>
        </w:tc>
        <w:tc>
          <w:tcPr>
            <w:tcW w:w="468" w:type="pct"/>
            <w:vAlign w:val="center"/>
          </w:tcPr>
          <w:p w14:paraId="63B4870B" w14:textId="77777777" w:rsidR="00037539" w:rsidRPr="00996241" w:rsidRDefault="00037539">
            <w:pPr>
              <w:keepNext/>
              <w:spacing w:before="20" w:after="20"/>
              <w:jc w:val="center"/>
              <w:rPr>
                <w:b/>
                <w:sz w:val="20"/>
              </w:rPr>
            </w:pPr>
            <w:r>
              <w:rPr>
                <w:b/>
                <w:sz w:val="20"/>
              </w:rPr>
              <w:t>2029</w:t>
            </w:r>
          </w:p>
        </w:tc>
        <w:tc>
          <w:tcPr>
            <w:tcW w:w="468" w:type="pct"/>
            <w:vAlign w:val="center"/>
          </w:tcPr>
          <w:p w14:paraId="1FADA6DC" w14:textId="77777777" w:rsidR="00037539" w:rsidRDefault="00037539">
            <w:pPr>
              <w:keepNext/>
              <w:spacing w:before="20" w:after="20"/>
              <w:jc w:val="center"/>
              <w:rPr>
                <w:b/>
                <w:sz w:val="20"/>
              </w:rPr>
            </w:pPr>
            <w:r>
              <w:rPr>
                <w:b/>
                <w:sz w:val="20"/>
              </w:rPr>
              <w:t>2030</w:t>
            </w:r>
          </w:p>
        </w:tc>
        <w:tc>
          <w:tcPr>
            <w:tcW w:w="468" w:type="pct"/>
            <w:vAlign w:val="center"/>
          </w:tcPr>
          <w:p w14:paraId="63E7150B" w14:textId="77777777" w:rsidR="00037539" w:rsidRPr="00996241" w:rsidRDefault="00037539">
            <w:pPr>
              <w:keepNext/>
              <w:spacing w:before="20" w:after="20"/>
              <w:jc w:val="center"/>
              <w:rPr>
                <w:b/>
                <w:sz w:val="20"/>
              </w:rPr>
            </w:pPr>
            <w:r>
              <w:rPr>
                <w:b/>
                <w:sz w:val="20"/>
              </w:rPr>
              <w:t>Total</w:t>
            </w:r>
          </w:p>
        </w:tc>
      </w:tr>
      <w:tr w:rsidR="00037539" w:rsidRPr="00996241" w14:paraId="14AEB2F1" w14:textId="77777777" w:rsidTr="00C40C17">
        <w:trPr>
          <w:trHeight w:val="67"/>
          <w:jc w:val="center"/>
        </w:trPr>
        <w:tc>
          <w:tcPr>
            <w:tcW w:w="777" w:type="pct"/>
            <w:vMerge w:val="restart"/>
            <w:vAlign w:val="center"/>
          </w:tcPr>
          <w:p w14:paraId="50E74D9D" w14:textId="77777777" w:rsidR="00037539" w:rsidRPr="009931F4" w:rsidRDefault="00037539">
            <w:pPr>
              <w:keepNext/>
              <w:tabs>
                <w:tab w:val="left" w:pos="8280"/>
              </w:tabs>
              <w:spacing w:before="20" w:after="20"/>
              <w:ind w:right="-8"/>
              <w:jc w:val="left"/>
              <w:rPr>
                <w:sz w:val="20"/>
              </w:rPr>
            </w:pPr>
            <w:r>
              <w:rPr>
                <w:sz w:val="20"/>
              </w:rPr>
              <w:t>Consumo (toneladas PAO)</w:t>
            </w:r>
          </w:p>
        </w:tc>
        <w:tc>
          <w:tcPr>
            <w:tcW w:w="1416" w:type="pct"/>
            <w:gridSpan w:val="2"/>
            <w:vAlign w:val="center"/>
          </w:tcPr>
          <w:p w14:paraId="5499656A" w14:textId="77777777" w:rsidR="00037539" w:rsidRPr="00766F51" w:rsidRDefault="00037539">
            <w:pPr>
              <w:keepNext/>
              <w:tabs>
                <w:tab w:val="left" w:pos="8280"/>
              </w:tabs>
              <w:spacing w:before="20" w:after="20"/>
              <w:ind w:right="-8"/>
              <w:jc w:val="left"/>
              <w:rPr>
                <w:sz w:val="20"/>
                <w:lang w:val="es-ES"/>
              </w:rPr>
            </w:pPr>
            <w:r>
              <w:rPr>
                <w:sz w:val="20"/>
                <w:lang w:val="es-ES"/>
              </w:rPr>
              <w:t>Límites del Protocolo de Montreal</w:t>
            </w:r>
          </w:p>
        </w:tc>
        <w:tc>
          <w:tcPr>
            <w:tcW w:w="468" w:type="pct"/>
            <w:vAlign w:val="center"/>
          </w:tcPr>
          <w:p w14:paraId="1BD46422" w14:textId="56BE715C" w:rsidR="00037539" w:rsidRPr="00320C4B" w:rsidRDefault="00037539">
            <w:pPr>
              <w:keepNext/>
              <w:spacing w:before="20" w:after="20"/>
              <w:jc w:val="right"/>
              <w:rPr>
                <w:kern w:val="2"/>
                <w:sz w:val="20"/>
                <w:szCs w:val="20"/>
                <w:lang w:eastAsia="en-CA"/>
                <w14:ligatures w14:val="standardContextual"/>
              </w:rPr>
            </w:pPr>
            <w:r>
              <w:rPr>
                <w:sz w:val="20"/>
                <w:szCs w:val="20"/>
              </w:rPr>
              <w:t>0,72</w:t>
            </w:r>
          </w:p>
        </w:tc>
        <w:tc>
          <w:tcPr>
            <w:tcW w:w="468" w:type="pct"/>
            <w:vAlign w:val="center"/>
          </w:tcPr>
          <w:p w14:paraId="3E1230E9" w14:textId="23E78539" w:rsidR="00037539" w:rsidRPr="00320C4B" w:rsidRDefault="00037539">
            <w:pPr>
              <w:keepNext/>
              <w:spacing w:before="20" w:after="20"/>
              <w:jc w:val="right"/>
              <w:rPr>
                <w:kern w:val="2"/>
                <w:sz w:val="20"/>
                <w:szCs w:val="20"/>
                <w:lang w:eastAsia="en-CA"/>
                <w14:ligatures w14:val="standardContextual"/>
              </w:rPr>
            </w:pPr>
            <w:r>
              <w:rPr>
                <w:sz w:val="20"/>
                <w:szCs w:val="20"/>
              </w:rPr>
              <w:t>0,72</w:t>
            </w:r>
          </w:p>
        </w:tc>
        <w:tc>
          <w:tcPr>
            <w:tcW w:w="468" w:type="pct"/>
            <w:vAlign w:val="center"/>
          </w:tcPr>
          <w:p w14:paraId="5AEB3C33" w14:textId="208B67E8" w:rsidR="00037539" w:rsidRPr="00320C4B" w:rsidRDefault="00037539">
            <w:pPr>
              <w:keepNext/>
              <w:spacing w:before="20" w:after="20"/>
              <w:jc w:val="right"/>
              <w:rPr>
                <w:kern w:val="2"/>
                <w:sz w:val="20"/>
                <w:szCs w:val="20"/>
                <w:lang w:eastAsia="en-CA"/>
                <w14:ligatures w14:val="standardContextual"/>
              </w:rPr>
            </w:pPr>
            <w:r>
              <w:rPr>
                <w:sz w:val="20"/>
                <w:szCs w:val="20"/>
              </w:rPr>
              <w:t>0,72</w:t>
            </w:r>
          </w:p>
        </w:tc>
        <w:tc>
          <w:tcPr>
            <w:tcW w:w="468" w:type="pct"/>
            <w:vAlign w:val="center"/>
          </w:tcPr>
          <w:p w14:paraId="0D715D67" w14:textId="2C6E5E63" w:rsidR="00037539" w:rsidRPr="00320C4B" w:rsidRDefault="00037539">
            <w:pPr>
              <w:keepNext/>
              <w:spacing w:before="20" w:after="20"/>
              <w:jc w:val="right"/>
              <w:rPr>
                <w:kern w:val="2"/>
                <w:sz w:val="20"/>
                <w:szCs w:val="20"/>
                <w:lang w:eastAsia="en-CA"/>
                <w14:ligatures w14:val="standardContextual"/>
              </w:rPr>
            </w:pPr>
            <w:r>
              <w:rPr>
                <w:sz w:val="20"/>
                <w:szCs w:val="20"/>
              </w:rPr>
              <w:t>0,72</w:t>
            </w:r>
          </w:p>
        </w:tc>
        <w:tc>
          <w:tcPr>
            <w:tcW w:w="468" w:type="pct"/>
            <w:vAlign w:val="center"/>
          </w:tcPr>
          <w:p w14:paraId="5118E8F9" w14:textId="77777777" w:rsidR="00037539" w:rsidRPr="00320C4B" w:rsidRDefault="00037539">
            <w:pPr>
              <w:keepNext/>
              <w:spacing w:before="20" w:after="20"/>
              <w:jc w:val="right"/>
              <w:rPr>
                <w:kern w:val="2"/>
                <w:sz w:val="20"/>
                <w:szCs w:val="20"/>
                <w:highlight w:val="cyan"/>
                <w:lang w:eastAsia="en-CA"/>
                <w14:ligatures w14:val="standardContextual"/>
              </w:rPr>
            </w:pPr>
            <w:r>
              <w:rPr>
                <w:sz w:val="20"/>
                <w:szCs w:val="20"/>
              </w:rPr>
              <w:t>0,00</w:t>
            </w:r>
          </w:p>
        </w:tc>
        <w:tc>
          <w:tcPr>
            <w:tcW w:w="468" w:type="pct"/>
            <w:vAlign w:val="center"/>
          </w:tcPr>
          <w:p w14:paraId="43AE66E8" w14:textId="77777777" w:rsidR="00037539" w:rsidRPr="00320C4B" w:rsidRDefault="00037539">
            <w:pPr>
              <w:keepNext/>
              <w:tabs>
                <w:tab w:val="left" w:pos="8280"/>
              </w:tabs>
              <w:spacing w:before="20" w:after="20"/>
              <w:jc w:val="right"/>
              <w:rPr>
                <w:sz w:val="20"/>
                <w:szCs w:val="20"/>
              </w:rPr>
            </w:pPr>
            <w:r>
              <w:rPr>
                <w:sz w:val="20"/>
                <w:szCs w:val="20"/>
              </w:rPr>
              <w:t>n.a.</w:t>
            </w:r>
          </w:p>
        </w:tc>
      </w:tr>
      <w:tr w:rsidR="00037539" w:rsidRPr="00996241" w14:paraId="205456F3" w14:textId="77777777" w:rsidTr="00C40C17">
        <w:trPr>
          <w:trHeight w:val="190"/>
          <w:jc w:val="center"/>
        </w:trPr>
        <w:tc>
          <w:tcPr>
            <w:tcW w:w="777" w:type="pct"/>
            <w:vMerge/>
            <w:vAlign w:val="center"/>
          </w:tcPr>
          <w:p w14:paraId="0D13872B" w14:textId="77777777" w:rsidR="00037539" w:rsidRPr="00996241" w:rsidRDefault="00037539">
            <w:pPr>
              <w:keepNext/>
              <w:tabs>
                <w:tab w:val="left" w:pos="8280"/>
              </w:tabs>
              <w:spacing w:before="20" w:after="20"/>
              <w:jc w:val="left"/>
              <w:rPr>
                <w:sz w:val="20"/>
              </w:rPr>
            </w:pPr>
          </w:p>
        </w:tc>
        <w:tc>
          <w:tcPr>
            <w:tcW w:w="1416" w:type="pct"/>
            <w:gridSpan w:val="2"/>
            <w:vAlign w:val="center"/>
          </w:tcPr>
          <w:p w14:paraId="41353844" w14:textId="77777777" w:rsidR="00037539" w:rsidRPr="00996241" w:rsidRDefault="00037539">
            <w:pPr>
              <w:keepNext/>
              <w:tabs>
                <w:tab w:val="left" w:pos="8280"/>
              </w:tabs>
              <w:spacing w:before="20" w:after="20"/>
              <w:jc w:val="left"/>
              <w:rPr>
                <w:sz w:val="20"/>
              </w:rPr>
            </w:pPr>
            <w:r>
              <w:rPr>
                <w:sz w:val="20"/>
              </w:rPr>
              <w:t>Máximo admisible</w:t>
            </w:r>
          </w:p>
        </w:tc>
        <w:tc>
          <w:tcPr>
            <w:tcW w:w="468" w:type="pct"/>
            <w:vAlign w:val="center"/>
          </w:tcPr>
          <w:p w14:paraId="31BC52A9" w14:textId="3CEE11F1"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20BBDB96" w14:textId="365937A6"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61E3DA30" w14:textId="72804B61"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7D365553" w14:textId="3536968D"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287454F4" w14:textId="77777777" w:rsidR="00037539" w:rsidRPr="00320C4B" w:rsidRDefault="00037539">
            <w:pPr>
              <w:keepNext/>
              <w:spacing w:before="20" w:after="20"/>
              <w:jc w:val="right"/>
              <w:rPr>
                <w:kern w:val="2"/>
                <w:sz w:val="20"/>
                <w:szCs w:val="20"/>
                <w:highlight w:val="cyan"/>
                <w:lang w:eastAsia="en-CA"/>
                <w14:ligatures w14:val="standardContextual"/>
              </w:rPr>
            </w:pPr>
            <w:r>
              <w:rPr>
                <w:sz w:val="20"/>
                <w:szCs w:val="20"/>
              </w:rPr>
              <w:t>0,00</w:t>
            </w:r>
          </w:p>
        </w:tc>
        <w:tc>
          <w:tcPr>
            <w:tcW w:w="468" w:type="pct"/>
            <w:vAlign w:val="center"/>
          </w:tcPr>
          <w:p w14:paraId="11EBDB9A" w14:textId="77777777" w:rsidR="00037539" w:rsidRPr="00320C4B" w:rsidRDefault="00037539">
            <w:pPr>
              <w:keepNext/>
              <w:tabs>
                <w:tab w:val="left" w:pos="8280"/>
              </w:tabs>
              <w:spacing w:before="20" w:after="20"/>
              <w:jc w:val="right"/>
              <w:rPr>
                <w:sz w:val="20"/>
                <w:szCs w:val="20"/>
              </w:rPr>
            </w:pPr>
            <w:r>
              <w:rPr>
                <w:sz w:val="20"/>
                <w:szCs w:val="20"/>
              </w:rPr>
              <w:t>n.a.</w:t>
            </w:r>
          </w:p>
        </w:tc>
      </w:tr>
      <w:tr w:rsidR="00037539" w:rsidRPr="00996241" w14:paraId="43CAB02D" w14:textId="77777777" w:rsidTr="00C40C17">
        <w:trPr>
          <w:trHeight w:val="106"/>
          <w:jc w:val="center"/>
        </w:trPr>
        <w:tc>
          <w:tcPr>
            <w:tcW w:w="777" w:type="pct"/>
            <w:vMerge w:val="restart"/>
            <w:vAlign w:val="center"/>
          </w:tcPr>
          <w:p w14:paraId="5E985E00" w14:textId="77777777" w:rsidR="00037539" w:rsidRPr="00766F51" w:rsidRDefault="00037539">
            <w:pPr>
              <w:keepNext/>
              <w:tabs>
                <w:tab w:val="left" w:pos="8280"/>
              </w:tabs>
              <w:spacing w:before="20" w:after="20"/>
              <w:ind w:right="-3"/>
              <w:jc w:val="left"/>
              <w:rPr>
                <w:sz w:val="20"/>
                <w:lang w:val="es-ES"/>
              </w:rPr>
            </w:pPr>
            <w:r>
              <w:rPr>
                <w:sz w:val="20"/>
                <w:lang w:val="es-ES"/>
              </w:rPr>
              <w:t xml:space="preserve">Costos </w:t>
            </w:r>
            <w:r>
              <w:rPr>
                <w:sz w:val="20"/>
                <w:szCs w:val="20"/>
                <w:lang w:val="es-ES"/>
              </w:rPr>
              <w:t xml:space="preserve">del proyecto </w:t>
            </w:r>
            <w:r>
              <w:rPr>
                <w:sz w:val="20"/>
                <w:lang w:val="es-ES"/>
              </w:rPr>
              <w:t>solicitados en principio (USD)</w:t>
            </w:r>
          </w:p>
        </w:tc>
        <w:tc>
          <w:tcPr>
            <w:tcW w:w="555" w:type="pct"/>
            <w:vMerge w:val="restart"/>
            <w:vAlign w:val="center"/>
          </w:tcPr>
          <w:p w14:paraId="165B08E9" w14:textId="77777777" w:rsidR="00037539" w:rsidRPr="00E31F1A" w:rsidRDefault="00037539">
            <w:pPr>
              <w:keepNext/>
              <w:spacing w:before="20" w:after="20"/>
              <w:jc w:val="center"/>
              <w:rPr>
                <w:kern w:val="2"/>
                <w:sz w:val="20"/>
                <w:lang w:eastAsia="en-CA"/>
                <w14:ligatures w14:val="standardContextual"/>
              </w:rPr>
            </w:pPr>
            <w:r>
              <w:rPr>
                <w:sz w:val="20"/>
                <w:szCs w:val="20"/>
              </w:rPr>
              <w:t>PNUMA</w:t>
            </w:r>
          </w:p>
        </w:tc>
        <w:tc>
          <w:tcPr>
            <w:tcW w:w="861" w:type="pct"/>
            <w:vAlign w:val="center"/>
          </w:tcPr>
          <w:p w14:paraId="3D717D21" w14:textId="77777777" w:rsidR="00037539" w:rsidRPr="00996241" w:rsidRDefault="00037539">
            <w:pPr>
              <w:keepNext/>
              <w:tabs>
                <w:tab w:val="left" w:pos="8280"/>
              </w:tabs>
              <w:spacing w:before="20" w:after="20"/>
              <w:jc w:val="left"/>
              <w:rPr>
                <w:sz w:val="20"/>
              </w:rPr>
            </w:pPr>
            <w:r>
              <w:rPr>
                <w:sz w:val="20"/>
              </w:rPr>
              <w:t>Costos de proyecto</w:t>
            </w:r>
          </w:p>
        </w:tc>
        <w:tc>
          <w:tcPr>
            <w:tcW w:w="468" w:type="pct"/>
            <w:vAlign w:val="center"/>
          </w:tcPr>
          <w:p w14:paraId="45DA3474" w14:textId="77777777" w:rsidR="00037539" w:rsidRPr="00320C4B" w:rsidRDefault="00037539">
            <w:pPr>
              <w:keepNext/>
              <w:spacing w:before="20" w:after="20"/>
              <w:jc w:val="right"/>
              <w:rPr>
                <w:kern w:val="2"/>
                <w:sz w:val="20"/>
                <w:szCs w:val="20"/>
                <w:lang w:eastAsia="en-CA"/>
                <w14:ligatures w14:val="standardContextual"/>
              </w:rPr>
            </w:pPr>
            <w:r>
              <w:rPr>
                <w:sz w:val="20"/>
                <w:szCs w:val="20"/>
              </w:rPr>
              <w:t>85.500</w:t>
            </w:r>
          </w:p>
        </w:tc>
        <w:tc>
          <w:tcPr>
            <w:tcW w:w="468" w:type="pct"/>
            <w:vAlign w:val="center"/>
          </w:tcPr>
          <w:p w14:paraId="5F1B1B55"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2DF479E0" w14:textId="77777777" w:rsidR="00037539" w:rsidRPr="00320C4B" w:rsidRDefault="00037539">
            <w:pPr>
              <w:keepNext/>
              <w:spacing w:before="20" w:after="20"/>
              <w:jc w:val="right"/>
              <w:rPr>
                <w:kern w:val="2"/>
                <w:sz w:val="20"/>
                <w:szCs w:val="20"/>
                <w:lang w:eastAsia="en-CA"/>
                <w14:ligatures w14:val="standardContextual"/>
              </w:rPr>
            </w:pPr>
            <w:r>
              <w:rPr>
                <w:sz w:val="20"/>
                <w:szCs w:val="20"/>
              </w:rPr>
              <w:t>86.400</w:t>
            </w:r>
          </w:p>
        </w:tc>
        <w:tc>
          <w:tcPr>
            <w:tcW w:w="468" w:type="pct"/>
            <w:vAlign w:val="center"/>
          </w:tcPr>
          <w:p w14:paraId="16F452BB"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361686EF"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19.100</w:t>
            </w:r>
          </w:p>
        </w:tc>
        <w:tc>
          <w:tcPr>
            <w:tcW w:w="468" w:type="pct"/>
            <w:vAlign w:val="center"/>
          </w:tcPr>
          <w:p w14:paraId="19433EBE"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191.000</w:t>
            </w:r>
          </w:p>
        </w:tc>
      </w:tr>
      <w:tr w:rsidR="00037539" w:rsidRPr="00996241" w14:paraId="4EFE3A25" w14:textId="77777777" w:rsidTr="00C40C17">
        <w:trPr>
          <w:trHeight w:val="46"/>
          <w:jc w:val="center"/>
        </w:trPr>
        <w:tc>
          <w:tcPr>
            <w:tcW w:w="777" w:type="pct"/>
            <w:vMerge/>
            <w:vAlign w:val="center"/>
          </w:tcPr>
          <w:p w14:paraId="51D58E2E" w14:textId="77777777" w:rsidR="00037539" w:rsidRPr="00996241" w:rsidRDefault="00037539">
            <w:pPr>
              <w:keepNext/>
              <w:tabs>
                <w:tab w:val="left" w:pos="8280"/>
              </w:tabs>
              <w:spacing w:before="20" w:after="20"/>
              <w:jc w:val="left"/>
              <w:rPr>
                <w:sz w:val="20"/>
              </w:rPr>
            </w:pPr>
          </w:p>
        </w:tc>
        <w:tc>
          <w:tcPr>
            <w:tcW w:w="555" w:type="pct"/>
            <w:vMerge/>
            <w:vAlign w:val="center"/>
          </w:tcPr>
          <w:p w14:paraId="08BC60C4" w14:textId="77777777" w:rsidR="00037539" w:rsidRPr="00996241" w:rsidRDefault="00037539">
            <w:pPr>
              <w:keepNext/>
              <w:tabs>
                <w:tab w:val="left" w:pos="8280"/>
              </w:tabs>
              <w:spacing w:before="20" w:after="20"/>
              <w:jc w:val="center"/>
              <w:rPr>
                <w:sz w:val="20"/>
              </w:rPr>
            </w:pPr>
          </w:p>
        </w:tc>
        <w:tc>
          <w:tcPr>
            <w:tcW w:w="861" w:type="pct"/>
            <w:vAlign w:val="center"/>
          </w:tcPr>
          <w:p w14:paraId="3DD901D1" w14:textId="77777777" w:rsidR="00037539" w:rsidRPr="00996241" w:rsidRDefault="00037539">
            <w:pPr>
              <w:keepNext/>
              <w:tabs>
                <w:tab w:val="left" w:pos="8280"/>
              </w:tabs>
              <w:spacing w:before="20" w:after="20"/>
              <w:jc w:val="left"/>
              <w:rPr>
                <w:sz w:val="20"/>
              </w:rPr>
            </w:pPr>
            <w:r>
              <w:rPr>
                <w:sz w:val="20"/>
              </w:rPr>
              <w:t>Gastos de apoyo</w:t>
            </w:r>
          </w:p>
        </w:tc>
        <w:tc>
          <w:tcPr>
            <w:tcW w:w="468" w:type="pct"/>
            <w:vAlign w:val="center"/>
          </w:tcPr>
          <w:p w14:paraId="492774C2"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11.115</w:t>
            </w:r>
          </w:p>
        </w:tc>
        <w:tc>
          <w:tcPr>
            <w:tcW w:w="468" w:type="pct"/>
            <w:vAlign w:val="center"/>
          </w:tcPr>
          <w:p w14:paraId="09B71B69"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50A331F5"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11.232</w:t>
            </w:r>
          </w:p>
        </w:tc>
        <w:tc>
          <w:tcPr>
            <w:tcW w:w="468" w:type="pct"/>
            <w:vAlign w:val="center"/>
          </w:tcPr>
          <w:p w14:paraId="1FC0614B"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32613331" w14:textId="77777777" w:rsidR="00037539" w:rsidRPr="00320C4B" w:rsidRDefault="00037539">
            <w:pPr>
              <w:keepNext/>
              <w:spacing w:before="20" w:after="20"/>
              <w:jc w:val="right"/>
              <w:rPr>
                <w:kern w:val="2"/>
                <w:sz w:val="20"/>
                <w:szCs w:val="20"/>
                <w:lang w:eastAsia="en-CA"/>
                <w14:ligatures w14:val="standardContextual"/>
              </w:rPr>
            </w:pPr>
            <w:r>
              <w:rPr>
                <w:sz w:val="20"/>
                <w:szCs w:val="20"/>
              </w:rPr>
              <w:t>2.483</w:t>
            </w:r>
          </w:p>
        </w:tc>
        <w:tc>
          <w:tcPr>
            <w:tcW w:w="468" w:type="pct"/>
            <w:vAlign w:val="center"/>
          </w:tcPr>
          <w:p w14:paraId="55F5BA70" w14:textId="77777777" w:rsidR="00037539" w:rsidRPr="00320C4B" w:rsidRDefault="00037539">
            <w:pPr>
              <w:keepNext/>
              <w:spacing w:before="20" w:after="20"/>
              <w:jc w:val="right"/>
              <w:rPr>
                <w:kern w:val="2"/>
                <w:sz w:val="20"/>
                <w:szCs w:val="20"/>
                <w:lang w:eastAsia="en-CA"/>
                <w14:ligatures w14:val="standardContextual"/>
              </w:rPr>
            </w:pPr>
            <w:r>
              <w:rPr>
                <w:sz w:val="20"/>
                <w:szCs w:val="20"/>
              </w:rPr>
              <w:t>24.830</w:t>
            </w:r>
          </w:p>
        </w:tc>
      </w:tr>
      <w:tr w:rsidR="00037539" w:rsidRPr="00996241" w14:paraId="66E00A3F" w14:textId="77777777" w:rsidTr="00C40C17">
        <w:trPr>
          <w:trHeight w:val="157"/>
          <w:jc w:val="center"/>
        </w:trPr>
        <w:tc>
          <w:tcPr>
            <w:tcW w:w="1332" w:type="pct"/>
            <w:gridSpan w:val="2"/>
            <w:vMerge w:val="restart"/>
            <w:vAlign w:val="center"/>
          </w:tcPr>
          <w:p w14:paraId="0A098705" w14:textId="77777777" w:rsidR="00037539" w:rsidRPr="00766F51" w:rsidRDefault="00037539">
            <w:pPr>
              <w:keepNext/>
              <w:tabs>
                <w:tab w:val="left" w:pos="8280"/>
              </w:tabs>
              <w:spacing w:before="20" w:after="20"/>
              <w:jc w:val="left"/>
              <w:rPr>
                <w:sz w:val="20"/>
                <w:lang w:val="es-ES"/>
              </w:rPr>
            </w:pPr>
            <w:r>
              <w:rPr>
                <w:sz w:val="20"/>
                <w:lang w:val="es-ES"/>
              </w:rPr>
              <w:t>Montos totales recomendados en principio (USD)</w:t>
            </w:r>
          </w:p>
        </w:tc>
        <w:tc>
          <w:tcPr>
            <w:tcW w:w="861" w:type="pct"/>
            <w:vAlign w:val="center"/>
          </w:tcPr>
          <w:p w14:paraId="2A8D7BAC" w14:textId="77777777" w:rsidR="00037539" w:rsidRPr="002F50A8" w:rsidRDefault="00037539">
            <w:pPr>
              <w:keepNext/>
              <w:tabs>
                <w:tab w:val="left" w:pos="8280"/>
              </w:tabs>
              <w:spacing w:before="20" w:after="20"/>
              <w:jc w:val="left"/>
              <w:rPr>
                <w:sz w:val="20"/>
              </w:rPr>
            </w:pPr>
            <w:r>
              <w:rPr>
                <w:sz w:val="20"/>
              </w:rPr>
              <w:t>Costos de proyecto</w:t>
            </w:r>
          </w:p>
        </w:tc>
        <w:tc>
          <w:tcPr>
            <w:tcW w:w="468" w:type="pct"/>
            <w:vAlign w:val="center"/>
          </w:tcPr>
          <w:p w14:paraId="10CE3973" w14:textId="77777777" w:rsidR="00037539" w:rsidRPr="00320C4B" w:rsidRDefault="00037539">
            <w:pPr>
              <w:keepNext/>
              <w:spacing w:before="20" w:after="20"/>
              <w:jc w:val="right"/>
              <w:rPr>
                <w:kern w:val="2"/>
                <w:sz w:val="20"/>
                <w:szCs w:val="20"/>
                <w:lang w:eastAsia="en-CA"/>
                <w14:ligatures w14:val="standardContextual"/>
              </w:rPr>
            </w:pPr>
            <w:r>
              <w:rPr>
                <w:sz w:val="20"/>
                <w:szCs w:val="20"/>
              </w:rPr>
              <w:t>85.500</w:t>
            </w:r>
          </w:p>
        </w:tc>
        <w:tc>
          <w:tcPr>
            <w:tcW w:w="468" w:type="pct"/>
            <w:vAlign w:val="center"/>
          </w:tcPr>
          <w:p w14:paraId="527E9A96"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5DFD53F7" w14:textId="77777777" w:rsidR="00037539" w:rsidRPr="00320C4B" w:rsidRDefault="00037539">
            <w:pPr>
              <w:keepNext/>
              <w:spacing w:before="20" w:after="20"/>
              <w:jc w:val="right"/>
              <w:rPr>
                <w:kern w:val="2"/>
                <w:sz w:val="20"/>
                <w:szCs w:val="20"/>
                <w:lang w:eastAsia="en-CA"/>
                <w14:ligatures w14:val="standardContextual"/>
              </w:rPr>
            </w:pPr>
            <w:r>
              <w:rPr>
                <w:sz w:val="20"/>
                <w:szCs w:val="20"/>
              </w:rPr>
              <w:t>86.400</w:t>
            </w:r>
          </w:p>
        </w:tc>
        <w:tc>
          <w:tcPr>
            <w:tcW w:w="468" w:type="pct"/>
            <w:vAlign w:val="center"/>
          </w:tcPr>
          <w:p w14:paraId="5A8B2503"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2717CEB7"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19.100</w:t>
            </w:r>
          </w:p>
        </w:tc>
        <w:tc>
          <w:tcPr>
            <w:tcW w:w="468" w:type="pct"/>
            <w:vAlign w:val="center"/>
          </w:tcPr>
          <w:p w14:paraId="5762082A"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191.000</w:t>
            </w:r>
          </w:p>
        </w:tc>
      </w:tr>
      <w:tr w:rsidR="00037539" w:rsidRPr="00996241" w14:paraId="127E37D2" w14:textId="77777777" w:rsidTr="00C40C17">
        <w:trPr>
          <w:trHeight w:val="202"/>
          <w:jc w:val="center"/>
        </w:trPr>
        <w:tc>
          <w:tcPr>
            <w:tcW w:w="1332" w:type="pct"/>
            <w:gridSpan w:val="2"/>
            <w:vMerge/>
            <w:vAlign w:val="center"/>
          </w:tcPr>
          <w:p w14:paraId="3BF60EAB" w14:textId="77777777" w:rsidR="00037539" w:rsidRPr="002F50A8" w:rsidRDefault="00037539">
            <w:pPr>
              <w:keepNext/>
              <w:tabs>
                <w:tab w:val="left" w:pos="8280"/>
              </w:tabs>
              <w:spacing w:before="20" w:after="20"/>
              <w:jc w:val="left"/>
              <w:rPr>
                <w:sz w:val="20"/>
              </w:rPr>
            </w:pPr>
          </w:p>
        </w:tc>
        <w:tc>
          <w:tcPr>
            <w:tcW w:w="861" w:type="pct"/>
            <w:vAlign w:val="center"/>
          </w:tcPr>
          <w:p w14:paraId="699D92A8" w14:textId="77777777" w:rsidR="00037539" w:rsidRPr="002F50A8" w:rsidRDefault="00037539">
            <w:pPr>
              <w:keepNext/>
              <w:tabs>
                <w:tab w:val="left" w:pos="8280"/>
              </w:tabs>
              <w:spacing w:before="20" w:after="20"/>
              <w:jc w:val="left"/>
              <w:rPr>
                <w:sz w:val="20"/>
              </w:rPr>
            </w:pPr>
            <w:r>
              <w:rPr>
                <w:sz w:val="20"/>
              </w:rPr>
              <w:t>Gastos de apoyo</w:t>
            </w:r>
          </w:p>
        </w:tc>
        <w:tc>
          <w:tcPr>
            <w:tcW w:w="468" w:type="pct"/>
            <w:vAlign w:val="center"/>
          </w:tcPr>
          <w:p w14:paraId="5D101D62"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11.115</w:t>
            </w:r>
          </w:p>
        </w:tc>
        <w:tc>
          <w:tcPr>
            <w:tcW w:w="468" w:type="pct"/>
            <w:vAlign w:val="center"/>
          </w:tcPr>
          <w:p w14:paraId="4E441716"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253682B5"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11.232</w:t>
            </w:r>
          </w:p>
        </w:tc>
        <w:tc>
          <w:tcPr>
            <w:tcW w:w="468" w:type="pct"/>
            <w:vAlign w:val="center"/>
          </w:tcPr>
          <w:p w14:paraId="374119D2"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57884C61" w14:textId="77777777" w:rsidR="00037539" w:rsidRPr="00320C4B" w:rsidRDefault="00037539">
            <w:pPr>
              <w:keepNext/>
              <w:spacing w:before="20" w:after="20"/>
              <w:jc w:val="right"/>
              <w:rPr>
                <w:kern w:val="2"/>
                <w:sz w:val="20"/>
                <w:szCs w:val="20"/>
                <w:lang w:eastAsia="en-CA"/>
                <w14:ligatures w14:val="standardContextual"/>
              </w:rPr>
            </w:pPr>
            <w:r>
              <w:rPr>
                <w:sz w:val="20"/>
                <w:szCs w:val="20"/>
              </w:rPr>
              <w:t>2.483</w:t>
            </w:r>
          </w:p>
        </w:tc>
        <w:tc>
          <w:tcPr>
            <w:tcW w:w="468" w:type="pct"/>
            <w:vAlign w:val="center"/>
          </w:tcPr>
          <w:p w14:paraId="22E6FCD5" w14:textId="77777777" w:rsidR="00037539" w:rsidRPr="00320C4B" w:rsidRDefault="00037539">
            <w:pPr>
              <w:keepNext/>
              <w:spacing w:before="20" w:after="20"/>
              <w:jc w:val="right"/>
              <w:rPr>
                <w:kern w:val="2"/>
                <w:sz w:val="20"/>
                <w:szCs w:val="20"/>
                <w:lang w:eastAsia="en-CA"/>
                <w14:ligatures w14:val="standardContextual"/>
              </w:rPr>
            </w:pPr>
            <w:r>
              <w:rPr>
                <w:sz w:val="20"/>
                <w:szCs w:val="20"/>
              </w:rPr>
              <w:t>24.830</w:t>
            </w:r>
          </w:p>
        </w:tc>
      </w:tr>
      <w:tr w:rsidR="00037539" w:rsidRPr="00996241" w14:paraId="196057BB" w14:textId="77777777" w:rsidTr="00C40C17">
        <w:trPr>
          <w:trHeight w:val="46"/>
          <w:jc w:val="center"/>
        </w:trPr>
        <w:tc>
          <w:tcPr>
            <w:tcW w:w="1332" w:type="pct"/>
            <w:gridSpan w:val="2"/>
            <w:vMerge/>
            <w:vAlign w:val="center"/>
          </w:tcPr>
          <w:p w14:paraId="0F302EDC" w14:textId="77777777" w:rsidR="00037539" w:rsidRPr="002F50A8" w:rsidRDefault="00037539">
            <w:pPr>
              <w:tabs>
                <w:tab w:val="left" w:pos="8280"/>
              </w:tabs>
              <w:spacing w:before="20" w:after="20"/>
              <w:jc w:val="left"/>
              <w:rPr>
                <w:sz w:val="20"/>
              </w:rPr>
            </w:pPr>
          </w:p>
        </w:tc>
        <w:tc>
          <w:tcPr>
            <w:tcW w:w="861" w:type="pct"/>
            <w:vAlign w:val="center"/>
          </w:tcPr>
          <w:p w14:paraId="468270E8" w14:textId="77777777" w:rsidR="00037539" w:rsidRPr="002F50A8" w:rsidRDefault="00037539">
            <w:pPr>
              <w:tabs>
                <w:tab w:val="left" w:pos="8280"/>
              </w:tabs>
              <w:spacing w:before="20" w:after="20"/>
              <w:jc w:val="left"/>
              <w:rPr>
                <w:sz w:val="20"/>
              </w:rPr>
            </w:pPr>
            <w:r>
              <w:rPr>
                <w:sz w:val="20"/>
              </w:rPr>
              <w:t>Financiación total</w:t>
            </w:r>
          </w:p>
        </w:tc>
        <w:tc>
          <w:tcPr>
            <w:tcW w:w="468" w:type="pct"/>
            <w:vAlign w:val="center"/>
          </w:tcPr>
          <w:p w14:paraId="15325CF6" w14:textId="77777777" w:rsidR="00037539" w:rsidRPr="00320C4B" w:rsidRDefault="00037539">
            <w:pPr>
              <w:spacing w:before="20" w:after="20"/>
              <w:jc w:val="right"/>
              <w:rPr>
                <w:kern w:val="2"/>
                <w:sz w:val="20"/>
                <w:szCs w:val="20"/>
                <w:lang w:eastAsia="en-CA"/>
                <w14:ligatures w14:val="standardContextual"/>
              </w:rPr>
            </w:pPr>
            <w:r>
              <w:rPr>
                <w:sz w:val="20"/>
                <w:szCs w:val="20"/>
              </w:rPr>
              <w:t>96.615</w:t>
            </w:r>
          </w:p>
        </w:tc>
        <w:tc>
          <w:tcPr>
            <w:tcW w:w="468" w:type="pct"/>
            <w:vAlign w:val="center"/>
          </w:tcPr>
          <w:p w14:paraId="4824F354"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4C97AC91" w14:textId="77777777" w:rsidR="00037539" w:rsidRPr="00320C4B" w:rsidRDefault="00037539">
            <w:pPr>
              <w:spacing w:before="20" w:after="20"/>
              <w:jc w:val="right"/>
              <w:rPr>
                <w:kern w:val="2"/>
                <w:sz w:val="20"/>
                <w:szCs w:val="20"/>
                <w:lang w:eastAsia="en-CA"/>
                <w14:ligatures w14:val="standardContextual"/>
              </w:rPr>
            </w:pPr>
            <w:r>
              <w:rPr>
                <w:sz w:val="20"/>
                <w:szCs w:val="20"/>
              </w:rPr>
              <w:t>97.632</w:t>
            </w:r>
          </w:p>
        </w:tc>
        <w:tc>
          <w:tcPr>
            <w:tcW w:w="468" w:type="pct"/>
            <w:vAlign w:val="center"/>
          </w:tcPr>
          <w:p w14:paraId="71C4025A"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079B2212" w14:textId="77777777" w:rsidR="00037539" w:rsidRPr="00320C4B" w:rsidRDefault="00037539">
            <w:pPr>
              <w:spacing w:before="20" w:after="20"/>
              <w:jc w:val="right"/>
              <w:rPr>
                <w:kern w:val="2"/>
                <w:sz w:val="20"/>
                <w:szCs w:val="20"/>
                <w:lang w:eastAsia="en-CA"/>
                <w14:ligatures w14:val="standardContextual"/>
              </w:rPr>
            </w:pPr>
            <w:r>
              <w:rPr>
                <w:sz w:val="20"/>
                <w:szCs w:val="20"/>
              </w:rPr>
              <w:t>21.583</w:t>
            </w:r>
          </w:p>
        </w:tc>
        <w:tc>
          <w:tcPr>
            <w:tcW w:w="468" w:type="pct"/>
            <w:vAlign w:val="center"/>
          </w:tcPr>
          <w:p w14:paraId="6576CB41" w14:textId="77777777" w:rsidR="00037539" w:rsidRPr="00320C4B" w:rsidRDefault="00037539">
            <w:pPr>
              <w:spacing w:before="20" w:after="20"/>
              <w:jc w:val="right"/>
              <w:rPr>
                <w:kern w:val="2"/>
                <w:sz w:val="20"/>
                <w:szCs w:val="20"/>
                <w:lang w:eastAsia="en-CA"/>
                <w14:ligatures w14:val="standardContextual"/>
              </w:rPr>
            </w:pPr>
            <w:r>
              <w:rPr>
                <w:sz w:val="20"/>
                <w:szCs w:val="20"/>
              </w:rPr>
              <w:t>215.830</w:t>
            </w:r>
          </w:p>
        </w:tc>
      </w:tr>
    </w:tbl>
    <w:p w14:paraId="20124F9E" w14:textId="77777777" w:rsidR="00037539" w:rsidRPr="005C7DD3" w:rsidRDefault="00037539" w:rsidP="00037539">
      <w:pPr>
        <w:spacing w:after="120"/>
        <w:ind w:left="-284" w:right="-279"/>
        <w:rPr>
          <w:sz w:val="18"/>
          <w:szCs w:val="18"/>
        </w:rPr>
      </w:pPr>
    </w:p>
    <w:tbl>
      <w:tblPr>
        <w:tblStyle w:val="TableGrid10"/>
        <w:tblW w:w="5364" w:type="pct"/>
        <w:jc w:val="center"/>
        <w:tblLayout w:type="fixed"/>
        <w:tblLook w:val="04A0" w:firstRow="1" w:lastRow="0" w:firstColumn="1" w:lastColumn="0" w:noHBand="0" w:noVBand="1"/>
      </w:tblPr>
      <w:tblGrid>
        <w:gridCol w:w="3375"/>
        <w:gridCol w:w="3376"/>
        <w:gridCol w:w="3376"/>
      </w:tblGrid>
      <w:tr w:rsidR="00037539" w:rsidRPr="00506434" w14:paraId="0246DF51" w14:textId="77777777">
        <w:trPr>
          <w:trHeight w:val="261"/>
          <w:jc w:val="center"/>
        </w:trPr>
        <w:tc>
          <w:tcPr>
            <w:tcW w:w="5000" w:type="pct"/>
            <w:gridSpan w:val="3"/>
          </w:tcPr>
          <w:p w14:paraId="79851A17" w14:textId="77777777" w:rsidR="00037539" w:rsidRPr="00766F51" w:rsidRDefault="00037539">
            <w:pPr>
              <w:keepNext/>
              <w:spacing w:before="20" w:after="20"/>
              <w:rPr>
                <w:b/>
                <w:color w:val="000000" w:themeColor="text1"/>
                <w:sz w:val="20"/>
                <w:lang w:val="es-ES"/>
              </w:rPr>
            </w:pPr>
            <w:r>
              <w:rPr>
                <w:b/>
                <w:color w:val="000000" w:themeColor="text1"/>
                <w:sz w:val="20"/>
                <w:lang w:val="es-ES"/>
              </w:rPr>
              <w:t>Solicitud de financiamiento para el primer tramo (2026)</w:t>
            </w:r>
          </w:p>
        </w:tc>
      </w:tr>
      <w:tr w:rsidR="00037539" w:rsidRPr="00EB31E3" w14:paraId="7A5134FB" w14:textId="77777777">
        <w:trPr>
          <w:trHeight w:val="261"/>
          <w:jc w:val="center"/>
        </w:trPr>
        <w:tc>
          <w:tcPr>
            <w:tcW w:w="1666" w:type="pct"/>
          </w:tcPr>
          <w:p w14:paraId="73F1DCBF" w14:textId="77777777" w:rsidR="00037539" w:rsidRPr="009931F4" w:rsidRDefault="00037539">
            <w:pPr>
              <w:keepNext/>
              <w:spacing w:before="20" w:after="20"/>
              <w:jc w:val="center"/>
              <w:rPr>
                <w:b/>
                <w:color w:val="000000" w:themeColor="text1"/>
                <w:sz w:val="20"/>
              </w:rPr>
            </w:pPr>
            <w:r>
              <w:rPr>
                <w:b/>
                <w:color w:val="000000" w:themeColor="text1"/>
                <w:sz w:val="20"/>
              </w:rPr>
              <w:t>Organismo de ejecución</w:t>
            </w:r>
          </w:p>
        </w:tc>
        <w:tc>
          <w:tcPr>
            <w:tcW w:w="1667" w:type="pct"/>
          </w:tcPr>
          <w:p w14:paraId="20AE7FAE" w14:textId="77777777" w:rsidR="00037539" w:rsidRPr="00996241" w:rsidRDefault="00037539">
            <w:pPr>
              <w:keepNext/>
              <w:spacing w:before="20" w:after="20"/>
              <w:jc w:val="center"/>
              <w:rPr>
                <w:b/>
                <w:color w:val="000000" w:themeColor="text1"/>
                <w:sz w:val="20"/>
              </w:rPr>
            </w:pPr>
            <w:r>
              <w:rPr>
                <w:b/>
                <w:color w:val="000000" w:themeColor="text1"/>
                <w:sz w:val="20"/>
              </w:rPr>
              <w:t>Fondos recomendados (USD)</w:t>
            </w:r>
          </w:p>
        </w:tc>
        <w:tc>
          <w:tcPr>
            <w:tcW w:w="1667" w:type="pct"/>
          </w:tcPr>
          <w:p w14:paraId="6164FD2B" w14:textId="77777777" w:rsidR="00037539" w:rsidRPr="00996241" w:rsidRDefault="00037539">
            <w:pPr>
              <w:keepNext/>
              <w:spacing w:before="20" w:after="20"/>
              <w:jc w:val="center"/>
              <w:rPr>
                <w:b/>
                <w:color w:val="000000" w:themeColor="text1"/>
                <w:sz w:val="20"/>
              </w:rPr>
            </w:pPr>
            <w:r>
              <w:rPr>
                <w:b/>
                <w:color w:val="000000" w:themeColor="text1"/>
                <w:sz w:val="20"/>
              </w:rPr>
              <w:t>Gastos de apoyo (USD)</w:t>
            </w:r>
          </w:p>
        </w:tc>
      </w:tr>
      <w:tr w:rsidR="00037539" w:rsidRPr="00EB31E3" w14:paraId="1F27EA82" w14:textId="77777777">
        <w:trPr>
          <w:trHeight w:val="261"/>
          <w:jc w:val="center"/>
        </w:trPr>
        <w:tc>
          <w:tcPr>
            <w:tcW w:w="1666" w:type="pct"/>
          </w:tcPr>
          <w:p w14:paraId="186A83A3" w14:textId="77777777" w:rsidR="00037539" w:rsidRPr="00A05BAE" w:rsidRDefault="00037539">
            <w:pPr>
              <w:keepNext/>
              <w:spacing w:before="20" w:after="20"/>
              <w:rPr>
                <w:color w:val="000000" w:themeColor="text1"/>
                <w:kern w:val="2"/>
                <w:sz w:val="20"/>
                <w:lang w:eastAsia="en-CA"/>
                <w14:ligatures w14:val="standardContextual"/>
              </w:rPr>
            </w:pPr>
            <w:r>
              <w:rPr>
                <w:color w:val="000000"/>
                <w:sz w:val="20"/>
                <w:szCs w:val="20"/>
              </w:rPr>
              <w:t>PNUMA</w:t>
            </w:r>
          </w:p>
        </w:tc>
        <w:tc>
          <w:tcPr>
            <w:tcW w:w="1667" w:type="pct"/>
          </w:tcPr>
          <w:p w14:paraId="4948C0D5" w14:textId="77777777" w:rsidR="00037539" w:rsidRPr="00A05BAE" w:rsidRDefault="00037539">
            <w:pPr>
              <w:keepNext/>
              <w:spacing w:before="20" w:after="20"/>
              <w:jc w:val="right"/>
              <w:rPr>
                <w:color w:val="000000" w:themeColor="text1"/>
                <w:kern w:val="2"/>
                <w:sz w:val="20"/>
                <w:lang w:eastAsia="en-CA"/>
                <w14:ligatures w14:val="standardContextual"/>
              </w:rPr>
            </w:pPr>
            <w:r>
              <w:rPr>
                <w:sz w:val="20"/>
                <w:szCs w:val="20"/>
              </w:rPr>
              <w:t>85.500</w:t>
            </w:r>
          </w:p>
        </w:tc>
        <w:tc>
          <w:tcPr>
            <w:tcW w:w="1667" w:type="pct"/>
          </w:tcPr>
          <w:p w14:paraId="071A8333" w14:textId="77777777" w:rsidR="00037539" w:rsidRPr="00A05BAE" w:rsidRDefault="00037539">
            <w:pPr>
              <w:keepNext/>
              <w:spacing w:before="20" w:after="20"/>
              <w:jc w:val="right"/>
              <w:rPr>
                <w:color w:val="000000" w:themeColor="text1"/>
                <w:kern w:val="2"/>
                <w:sz w:val="20"/>
                <w:lang w:eastAsia="en-CA"/>
                <w14:ligatures w14:val="standardContextual"/>
              </w:rPr>
            </w:pPr>
            <w:r>
              <w:rPr>
                <w:sz w:val="20"/>
                <w:szCs w:val="20"/>
              </w:rPr>
              <w:t>11.115</w:t>
            </w:r>
          </w:p>
        </w:tc>
      </w:tr>
      <w:tr w:rsidR="00037539" w:rsidRPr="00EB31E3" w14:paraId="0C055B61" w14:textId="77777777">
        <w:trPr>
          <w:trHeight w:val="261"/>
          <w:jc w:val="center"/>
        </w:trPr>
        <w:tc>
          <w:tcPr>
            <w:tcW w:w="1666" w:type="pct"/>
          </w:tcPr>
          <w:p w14:paraId="595C52CB" w14:textId="77777777" w:rsidR="00037539" w:rsidRPr="009931F4" w:rsidRDefault="00037539">
            <w:pPr>
              <w:spacing w:before="20" w:after="20"/>
              <w:rPr>
                <w:color w:val="000000" w:themeColor="text1"/>
                <w:sz w:val="20"/>
                <w:highlight w:val="cyan"/>
              </w:rPr>
            </w:pPr>
            <w:r>
              <w:rPr>
                <w:color w:val="000000" w:themeColor="text1"/>
                <w:sz w:val="20"/>
              </w:rPr>
              <w:t>Total</w:t>
            </w:r>
          </w:p>
        </w:tc>
        <w:tc>
          <w:tcPr>
            <w:tcW w:w="1667" w:type="pct"/>
          </w:tcPr>
          <w:p w14:paraId="45E12038"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85.500</w:t>
            </w:r>
          </w:p>
        </w:tc>
        <w:tc>
          <w:tcPr>
            <w:tcW w:w="1667" w:type="pct"/>
          </w:tcPr>
          <w:p w14:paraId="689DE274"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11.115</w:t>
            </w:r>
          </w:p>
        </w:tc>
      </w:tr>
    </w:tbl>
    <w:p w14:paraId="448F468B" w14:textId="77777777" w:rsidR="00037539" w:rsidRPr="00C56812"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5063"/>
        <w:gridCol w:w="5064"/>
      </w:tblGrid>
      <w:tr w:rsidR="00037539" w:rsidRPr="00EB31E3" w14:paraId="3864102F" w14:textId="77777777">
        <w:trPr>
          <w:trHeight w:hRule="exact" w:val="281"/>
          <w:jc w:val="center"/>
        </w:trPr>
        <w:tc>
          <w:tcPr>
            <w:tcW w:w="2500" w:type="pct"/>
          </w:tcPr>
          <w:p w14:paraId="47922613" w14:textId="77777777" w:rsidR="00037539" w:rsidRPr="00996241" w:rsidRDefault="00037539">
            <w:pPr>
              <w:spacing w:before="20" w:after="20"/>
              <w:jc w:val="left"/>
              <w:rPr>
                <w:b/>
                <w:color w:val="000000" w:themeColor="text1"/>
                <w:sz w:val="20"/>
              </w:rPr>
            </w:pPr>
            <w:r>
              <w:rPr>
                <w:b/>
                <w:color w:val="000000" w:themeColor="text1"/>
                <w:sz w:val="20"/>
              </w:rPr>
              <w:t>Recomendación de la Secretaría:</w:t>
            </w:r>
          </w:p>
        </w:tc>
        <w:tc>
          <w:tcPr>
            <w:tcW w:w="2500" w:type="pct"/>
          </w:tcPr>
          <w:p w14:paraId="4CCB901A" w14:textId="77777777" w:rsidR="00037539" w:rsidRPr="00996241" w:rsidRDefault="00037539">
            <w:pPr>
              <w:spacing w:before="20" w:after="20"/>
              <w:jc w:val="center"/>
              <w:rPr>
                <w:color w:val="000000" w:themeColor="text1"/>
                <w:sz w:val="20"/>
              </w:rPr>
            </w:pPr>
            <w:r>
              <w:rPr>
                <w:color w:val="000000" w:themeColor="text1"/>
                <w:sz w:val="20"/>
              </w:rPr>
              <w:t>Consideración individual</w:t>
            </w:r>
          </w:p>
        </w:tc>
      </w:tr>
    </w:tbl>
    <w:p w14:paraId="71CDB3A3" w14:textId="77777777" w:rsidR="00037539" w:rsidRDefault="00037539" w:rsidP="00037539">
      <w:pPr>
        <w:keepNext/>
        <w:tabs>
          <w:tab w:val="left" w:pos="2880"/>
          <w:tab w:val="left" w:pos="5760"/>
        </w:tabs>
        <w:spacing w:before="240" w:after="240"/>
        <w:jc w:val="center"/>
        <w:rPr>
          <w:b/>
        </w:rPr>
      </w:pPr>
    </w:p>
    <w:p w14:paraId="7B7168E0" w14:textId="77777777" w:rsidR="00037539" w:rsidRDefault="00037539" w:rsidP="00037539">
      <w:pPr>
        <w:rPr>
          <w:b/>
        </w:rPr>
      </w:pPr>
      <w:r>
        <w:rPr>
          <w:b/>
        </w:rPr>
        <w:br w:type="page"/>
      </w:r>
    </w:p>
    <w:p w14:paraId="48D15289" w14:textId="77777777" w:rsidR="00037539" w:rsidRPr="00996241" w:rsidRDefault="00037539" w:rsidP="00037539">
      <w:pPr>
        <w:keepNext/>
        <w:tabs>
          <w:tab w:val="left" w:pos="2880"/>
          <w:tab w:val="left" w:pos="5760"/>
        </w:tabs>
        <w:spacing w:before="240" w:after="240"/>
        <w:jc w:val="center"/>
        <w:rPr>
          <w:b/>
        </w:rPr>
      </w:pPr>
      <w:r>
        <w:rPr>
          <w:b/>
        </w:rPr>
        <w:lastRenderedPageBreak/>
        <w:t>DESCRIPCIÓN DEL PROYECTO</w:t>
      </w:r>
    </w:p>
    <w:p w14:paraId="215820AC" w14:textId="77777777" w:rsidR="00037539" w:rsidRPr="00996241" w:rsidRDefault="00037539" w:rsidP="00037539">
      <w:pPr>
        <w:keepNext/>
        <w:spacing w:after="240"/>
        <w:rPr>
          <w:b/>
        </w:rPr>
      </w:pPr>
      <w:r>
        <w:rPr>
          <w:b/>
        </w:rPr>
        <w:t>Antecedentes</w:t>
      </w:r>
    </w:p>
    <w:p w14:paraId="4CEA243A" w14:textId="77777777" w:rsidR="00037539" w:rsidRPr="00766F51" w:rsidRDefault="00037539" w:rsidP="00037539">
      <w:pPr>
        <w:pStyle w:val="Heading1"/>
        <w:rPr>
          <w:lang w:val="es-ES" w:eastAsia="en-CA"/>
          <w14:ligatures w14:val="standardContextual"/>
        </w:rPr>
      </w:pPr>
      <w:r>
        <w:rPr>
          <w:lang w:val="es-ES"/>
        </w:rPr>
        <w:t>En nombre del Gobierno de Santo Tomé y Príncipe, el PNUMA, en su calidad de organismo de ejecución designado, ha presentado una solicitud para la etapa II del plan de gestión de eliminación de los HCFC (PGEH), por un importe de USD 191.000, más los gastos de apoyo al organismo de USD 24.830, según lo originalmente solicitado.</w:t>
      </w:r>
      <w:r>
        <w:rPr>
          <w:rStyle w:val="FootnoteReference"/>
        </w:rPr>
        <w:footnoteReference w:id="2"/>
      </w:r>
      <w:r>
        <w:rPr>
          <w:lang w:val="es-ES"/>
        </w:rPr>
        <w:t xml:space="preserve"> La ejecución de la etapa II del PGEH permitirá eliminar progresivamente el consumo remanente de HCFC para 2030.</w:t>
      </w:r>
    </w:p>
    <w:p w14:paraId="4D7C9252" w14:textId="77777777" w:rsidR="00037539" w:rsidRPr="00766F51" w:rsidRDefault="00037539" w:rsidP="00037539">
      <w:pPr>
        <w:pStyle w:val="Heading1"/>
        <w:rPr>
          <w:lang w:val="es-ES"/>
        </w:rPr>
      </w:pPr>
      <w:r>
        <w:rPr>
          <w:lang w:val="es-ES"/>
        </w:rPr>
        <w:t>El primer tramo de la etapa II del PGEH que se solicita en esta reunión asciende a USD 85.500, más gastos de apoyo al organismo de USD 11.115 para el PNUMA, tal como se presentó originalmente.</w:t>
      </w:r>
    </w:p>
    <w:p w14:paraId="3F06380B" w14:textId="77777777" w:rsidR="00037539" w:rsidRPr="00766F51" w:rsidRDefault="00037539" w:rsidP="00037539">
      <w:pPr>
        <w:keepNext/>
        <w:spacing w:after="240"/>
        <w:outlineLvl w:val="0"/>
        <w:rPr>
          <w:b/>
          <w:lang w:val="es-ES"/>
        </w:rPr>
      </w:pPr>
      <w:r>
        <w:rPr>
          <w:b/>
          <w:lang w:val="es-ES"/>
        </w:rPr>
        <w:t xml:space="preserve">Situación de ejecución de </w:t>
      </w:r>
      <w:r>
        <w:rPr>
          <w:b/>
          <w:bCs/>
          <w:lang w:val="es-ES"/>
        </w:rPr>
        <w:t xml:space="preserve">la etapa I </w:t>
      </w:r>
      <w:r>
        <w:rPr>
          <w:b/>
          <w:lang w:val="es-ES"/>
        </w:rPr>
        <w:t>del plan de gestión de eliminación de los HCFC</w:t>
      </w:r>
    </w:p>
    <w:p w14:paraId="6CA0D92E" w14:textId="77777777" w:rsidR="00037539" w:rsidRPr="00766F51" w:rsidRDefault="00037539" w:rsidP="00037539">
      <w:pPr>
        <w:pStyle w:val="Heading1"/>
        <w:tabs>
          <w:tab w:val="num" w:pos="709"/>
        </w:tabs>
        <w:rPr>
          <w:lang w:val="es-ES"/>
        </w:rPr>
      </w:pPr>
      <w:r>
        <w:rPr>
          <w:lang w:val="es-ES"/>
        </w:rPr>
        <w:t>La etapa I del PGEH para Santo Tomé y Príncipe fue aprobada en la 63</w:t>
      </w:r>
      <w:r>
        <w:rPr>
          <w:vertAlign w:val="superscript"/>
          <w:lang w:val="es-ES"/>
        </w:rPr>
        <w:t>a</w:t>
      </w:r>
      <w:r>
        <w:rPr>
          <w:lang w:val="es-ES"/>
        </w:rPr>
        <w:t> reunión</w:t>
      </w:r>
      <w:r>
        <w:rPr>
          <w:rStyle w:val="FootnoteReference"/>
        </w:rPr>
        <w:footnoteReference w:id="3"/>
      </w:r>
      <w:r>
        <w:rPr>
          <w:lang w:val="es-ES"/>
        </w:rPr>
        <w:t xml:space="preserve"> del Comité Ejecutivo para realizar la eliminación progresiva de 0,05 toneladas PAO de HCFC utilizados en el sector de servicio técnico de equipos de refrigeración y aire acondicionado (RAC) y alcanzar la reducción del 35 % con respecto al nivel básico para 2020, con un costo total de USD 160.000, más los gastos de apoyo al organismo por valor de USD 20.800. La etapa I del PGEH concluyó en diciembre de 2021.</w:t>
      </w:r>
    </w:p>
    <w:p w14:paraId="71B8BC15" w14:textId="77777777" w:rsidR="00037539" w:rsidRPr="00766F51" w:rsidRDefault="00037539" w:rsidP="00037539">
      <w:pPr>
        <w:keepNext/>
        <w:spacing w:after="240"/>
        <w:rPr>
          <w:lang w:val="es-ES"/>
        </w:rPr>
      </w:pPr>
      <w:r>
        <w:rPr>
          <w:u w:val="single"/>
          <w:lang w:val="es-ES"/>
        </w:rPr>
        <w:t xml:space="preserve">Informe sobre el consumo de HCFC </w:t>
      </w:r>
      <w:bookmarkStart w:id="0" w:name="_Hlk170900703"/>
    </w:p>
    <w:bookmarkEnd w:id="0"/>
    <w:p w14:paraId="571473EE" w14:textId="48CE181F" w:rsidR="00037539" w:rsidRPr="00766F51" w:rsidRDefault="00037539" w:rsidP="00037539">
      <w:pPr>
        <w:pStyle w:val="Heading1"/>
        <w:rPr>
          <w:lang w:val="es-ES" w:eastAsia="en-CA"/>
          <w14:ligatures w14:val="standardContextual"/>
        </w:rPr>
      </w:pPr>
      <w:r>
        <w:rPr>
          <w:lang w:val="es-ES"/>
        </w:rPr>
        <w:t>El Gobierno de Santo Tomé y Príncipe notificó un consumo de 0,04 toneladas PAO de HCFC en 2025, lo que supone un 98,2 % por debajo del nivel básico para el cumplimiento y un 73,3 % por debajo del punto de partida para reducciones acumuladas en el consumo de 0,15 toneladas PAO. El consumo de HCFC para el período 2021–2025 se muestra en el cuadro 1.</w:t>
      </w:r>
    </w:p>
    <w:p w14:paraId="46B04681" w14:textId="77777777" w:rsidR="00037539" w:rsidRPr="00766F51" w:rsidRDefault="00037539" w:rsidP="00037539">
      <w:pPr>
        <w:keepNext/>
        <w:spacing w:before="240"/>
        <w:rPr>
          <w:kern w:val="2"/>
          <w:lang w:val="es-ES" w:eastAsia="en-CA"/>
          <w14:ligatures w14:val="standardContextual"/>
        </w:rPr>
      </w:pPr>
      <w:r>
        <w:rPr>
          <w:b/>
          <w:bCs/>
          <w:lang w:val="es-ES"/>
        </w:rPr>
        <w:t>Cuadro 1. Consumo de HCFC en 2021–2025 en Santo Tomé y Príncipe (datos del artículo 7)</w:t>
      </w:r>
    </w:p>
    <w:tbl>
      <w:tblPr>
        <w:tblW w:w="5000" w:type="pct"/>
        <w:tblLayout w:type="fixed"/>
        <w:tblLook w:val="04A0" w:firstRow="1" w:lastRow="0" w:firstColumn="1" w:lastColumn="0" w:noHBand="0" w:noVBand="1"/>
      </w:tblPr>
      <w:tblGrid>
        <w:gridCol w:w="2248"/>
        <w:gridCol w:w="1259"/>
        <w:gridCol w:w="976"/>
        <w:gridCol w:w="1240"/>
        <w:gridCol w:w="1240"/>
        <w:gridCol w:w="1240"/>
        <w:gridCol w:w="1237"/>
      </w:tblGrid>
      <w:tr w:rsidR="00037539" w:rsidRPr="00EB31E3" w14:paraId="5464E7B2" w14:textId="77777777" w:rsidTr="00BD3E4B">
        <w:trPr>
          <w:trHeight w:val="248"/>
          <w:tblHeader/>
        </w:trPr>
        <w:tc>
          <w:tcPr>
            <w:tcW w:w="119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38DA2EB" w14:textId="77777777" w:rsidR="00037539" w:rsidRPr="00996241" w:rsidRDefault="00037539">
            <w:pPr>
              <w:keepNext/>
              <w:spacing w:before="20" w:after="20"/>
              <w:jc w:val="left"/>
              <w:rPr>
                <w:b/>
                <w:color w:val="000000"/>
                <w:sz w:val="20"/>
              </w:rPr>
            </w:pPr>
            <w:r>
              <w:rPr>
                <w:b/>
                <w:color w:val="000000"/>
                <w:sz w:val="20"/>
              </w:rPr>
              <w:t>HCFC‑22</w:t>
            </w:r>
          </w:p>
        </w:tc>
        <w:tc>
          <w:tcPr>
            <w:tcW w:w="667" w:type="pct"/>
            <w:tcBorders>
              <w:top w:val="single" w:sz="4" w:space="0" w:color="auto"/>
              <w:left w:val="nil"/>
              <w:bottom w:val="single" w:sz="4" w:space="0" w:color="auto"/>
              <w:right w:val="single" w:sz="4" w:space="0" w:color="auto"/>
            </w:tcBorders>
            <w:noWrap/>
            <w:vAlign w:val="center"/>
            <w:hideMark/>
          </w:tcPr>
          <w:p w14:paraId="1BB00C55" w14:textId="77777777" w:rsidR="00037539" w:rsidRPr="00996241" w:rsidRDefault="00037539">
            <w:pPr>
              <w:keepNext/>
              <w:spacing w:before="20" w:after="20"/>
              <w:jc w:val="center"/>
              <w:rPr>
                <w:b/>
                <w:color w:val="000000"/>
                <w:sz w:val="20"/>
              </w:rPr>
            </w:pPr>
            <w:r>
              <w:rPr>
                <w:b/>
                <w:color w:val="000000"/>
                <w:sz w:val="20"/>
              </w:rPr>
              <w:t>2021</w:t>
            </w:r>
          </w:p>
        </w:tc>
        <w:tc>
          <w:tcPr>
            <w:tcW w:w="517" w:type="pct"/>
            <w:tcBorders>
              <w:top w:val="single" w:sz="4" w:space="0" w:color="auto"/>
              <w:left w:val="nil"/>
              <w:bottom w:val="single" w:sz="4" w:space="0" w:color="auto"/>
              <w:right w:val="single" w:sz="4" w:space="0" w:color="auto"/>
            </w:tcBorders>
            <w:vAlign w:val="center"/>
          </w:tcPr>
          <w:p w14:paraId="4BD5CF34" w14:textId="77777777" w:rsidR="00037539" w:rsidRPr="00996241" w:rsidRDefault="00037539">
            <w:pPr>
              <w:keepNext/>
              <w:spacing w:before="20" w:after="20"/>
              <w:jc w:val="center"/>
              <w:rPr>
                <w:b/>
                <w:color w:val="000000"/>
                <w:sz w:val="20"/>
              </w:rPr>
            </w:pPr>
            <w:r>
              <w:rPr>
                <w:b/>
                <w:color w:val="000000"/>
                <w:sz w:val="20"/>
              </w:rPr>
              <w:t>2022</w:t>
            </w:r>
          </w:p>
        </w:tc>
        <w:tc>
          <w:tcPr>
            <w:tcW w:w="657" w:type="pct"/>
            <w:tcBorders>
              <w:top w:val="single" w:sz="4" w:space="0" w:color="auto"/>
              <w:left w:val="single" w:sz="4" w:space="0" w:color="auto"/>
              <w:bottom w:val="single" w:sz="4" w:space="0" w:color="auto"/>
              <w:right w:val="single" w:sz="4" w:space="0" w:color="auto"/>
            </w:tcBorders>
            <w:vAlign w:val="center"/>
          </w:tcPr>
          <w:p w14:paraId="647ACBD0" w14:textId="77777777" w:rsidR="00037539" w:rsidRPr="00996241" w:rsidRDefault="00037539">
            <w:pPr>
              <w:keepNext/>
              <w:spacing w:before="20" w:after="20"/>
              <w:jc w:val="center"/>
              <w:rPr>
                <w:b/>
                <w:color w:val="000000"/>
                <w:sz w:val="20"/>
              </w:rPr>
            </w:pPr>
            <w:r>
              <w:rPr>
                <w:b/>
                <w:color w:val="000000"/>
                <w:sz w:val="20"/>
              </w:rPr>
              <w:t>2023</w:t>
            </w:r>
          </w:p>
        </w:tc>
        <w:tc>
          <w:tcPr>
            <w:tcW w:w="657" w:type="pct"/>
            <w:tcBorders>
              <w:top w:val="single" w:sz="4" w:space="0" w:color="auto"/>
              <w:left w:val="single" w:sz="4" w:space="0" w:color="auto"/>
              <w:bottom w:val="single" w:sz="4" w:space="0" w:color="auto"/>
              <w:right w:val="single" w:sz="4" w:space="0" w:color="auto"/>
            </w:tcBorders>
            <w:vAlign w:val="center"/>
          </w:tcPr>
          <w:p w14:paraId="55E9E72B" w14:textId="77777777" w:rsidR="00037539" w:rsidRPr="00996241" w:rsidRDefault="00037539">
            <w:pPr>
              <w:keepNext/>
              <w:spacing w:before="20" w:after="20"/>
              <w:jc w:val="center"/>
              <w:rPr>
                <w:b/>
                <w:color w:val="000000"/>
                <w:sz w:val="20"/>
              </w:rPr>
            </w:pPr>
            <w:r>
              <w:rPr>
                <w:b/>
                <w:color w:val="000000"/>
                <w:sz w:val="20"/>
              </w:rPr>
              <w:t>2024</w:t>
            </w:r>
          </w:p>
        </w:tc>
        <w:tc>
          <w:tcPr>
            <w:tcW w:w="657" w:type="pct"/>
            <w:tcBorders>
              <w:top w:val="single" w:sz="4" w:space="0" w:color="auto"/>
              <w:left w:val="single" w:sz="4" w:space="0" w:color="auto"/>
              <w:bottom w:val="single" w:sz="4" w:space="0" w:color="auto"/>
              <w:right w:val="single" w:sz="4" w:space="0" w:color="auto"/>
            </w:tcBorders>
            <w:vAlign w:val="center"/>
          </w:tcPr>
          <w:p w14:paraId="09563916" w14:textId="77777777" w:rsidR="00037539" w:rsidRPr="00996241" w:rsidRDefault="00037539">
            <w:pPr>
              <w:keepNext/>
              <w:spacing w:before="20" w:after="20"/>
              <w:jc w:val="center"/>
              <w:rPr>
                <w:b/>
                <w:color w:val="000000"/>
                <w:sz w:val="20"/>
              </w:rPr>
            </w:pPr>
            <w:r>
              <w:rPr>
                <w:b/>
                <w:color w:val="000000"/>
                <w:sz w:val="20"/>
              </w:rPr>
              <w:t>2025</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4BD8BA03" w14:textId="77777777" w:rsidR="00037539" w:rsidRPr="00996241" w:rsidRDefault="00037539">
            <w:pPr>
              <w:keepNext/>
              <w:spacing w:before="20" w:after="20"/>
              <w:jc w:val="center"/>
              <w:rPr>
                <w:b/>
                <w:color w:val="000000"/>
                <w:sz w:val="20"/>
              </w:rPr>
            </w:pPr>
            <w:r>
              <w:rPr>
                <w:b/>
                <w:color w:val="000000"/>
                <w:sz w:val="20"/>
              </w:rPr>
              <w:t>Nivel básico</w:t>
            </w:r>
          </w:p>
        </w:tc>
      </w:tr>
      <w:tr w:rsidR="00037539" w:rsidRPr="00EB31E3" w14:paraId="1967A5D2" w14:textId="77777777" w:rsidTr="00BD3E4B">
        <w:trPr>
          <w:trHeight w:val="240"/>
        </w:trPr>
        <w:tc>
          <w:tcPr>
            <w:tcW w:w="119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E197301" w14:textId="77777777" w:rsidR="00037539" w:rsidRPr="00987590" w:rsidRDefault="00037539">
            <w:pPr>
              <w:keepNext/>
              <w:spacing w:before="20" w:after="20"/>
              <w:jc w:val="left"/>
              <w:rPr>
                <w:b/>
                <w:bCs/>
                <w:color w:val="000000"/>
                <w:sz w:val="20"/>
              </w:rPr>
            </w:pPr>
            <w:r>
              <w:rPr>
                <w:b/>
                <w:bCs/>
                <w:color w:val="000000"/>
                <w:sz w:val="20"/>
              </w:rPr>
              <w:t>Toneladas métricas (tm)</w:t>
            </w:r>
          </w:p>
        </w:tc>
        <w:tc>
          <w:tcPr>
            <w:tcW w:w="667" w:type="pct"/>
            <w:tcBorders>
              <w:top w:val="nil"/>
              <w:left w:val="nil"/>
              <w:bottom w:val="single" w:sz="4" w:space="0" w:color="auto"/>
              <w:right w:val="single" w:sz="4" w:space="0" w:color="auto"/>
            </w:tcBorders>
            <w:noWrap/>
            <w:tcMar>
              <w:left w:w="115" w:type="dxa"/>
              <w:right w:w="230" w:type="dxa"/>
            </w:tcMar>
          </w:tcPr>
          <w:p w14:paraId="715DB0F2" w14:textId="77777777" w:rsidR="00037539" w:rsidRPr="007E66FB" w:rsidRDefault="00037539">
            <w:pPr>
              <w:keepNext/>
              <w:spacing w:before="20" w:after="20"/>
              <w:ind w:right="-125"/>
              <w:jc w:val="right"/>
              <w:rPr>
                <w:kern w:val="2"/>
                <w:sz w:val="20"/>
                <w:highlight w:val="cyan"/>
                <w:lang w:eastAsia="en-CA"/>
                <w14:ligatures w14:val="standardContextual"/>
              </w:rPr>
            </w:pPr>
            <w:r>
              <w:rPr>
                <w:sz w:val="20"/>
                <w:szCs w:val="20"/>
              </w:rPr>
              <w:t>1,00</w:t>
            </w:r>
          </w:p>
        </w:tc>
        <w:tc>
          <w:tcPr>
            <w:tcW w:w="517" w:type="pct"/>
            <w:tcBorders>
              <w:top w:val="single" w:sz="4" w:space="0" w:color="auto"/>
              <w:left w:val="nil"/>
              <w:bottom w:val="single" w:sz="4" w:space="0" w:color="auto"/>
              <w:right w:val="single" w:sz="4" w:space="0" w:color="auto"/>
            </w:tcBorders>
            <w:tcMar>
              <w:left w:w="115" w:type="dxa"/>
              <w:right w:w="230" w:type="dxa"/>
            </w:tcMar>
          </w:tcPr>
          <w:p w14:paraId="325A2DF9" w14:textId="77777777" w:rsidR="00037539" w:rsidRPr="007E66FB" w:rsidRDefault="00037539">
            <w:pPr>
              <w:keepNext/>
              <w:spacing w:before="20" w:after="20"/>
              <w:ind w:right="-125"/>
              <w:jc w:val="right"/>
              <w:rPr>
                <w:kern w:val="2"/>
                <w:sz w:val="20"/>
                <w:highlight w:val="cyan"/>
                <w:lang w:eastAsia="en-CA"/>
                <w14:ligatures w14:val="standardContextual"/>
              </w:rPr>
            </w:pPr>
            <w:r>
              <w:rPr>
                <w:sz w:val="20"/>
                <w:szCs w:val="20"/>
              </w:rPr>
              <w:t>0,90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48A27F40" w14:textId="77777777" w:rsidR="00037539" w:rsidRPr="007E66FB" w:rsidRDefault="00037539">
            <w:pPr>
              <w:keepNext/>
              <w:spacing w:before="20" w:after="20"/>
              <w:ind w:right="-125"/>
              <w:jc w:val="right"/>
              <w:rPr>
                <w:kern w:val="2"/>
                <w:sz w:val="20"/>
                <w:highlight w:val="cyan"/>
                <w:lang w:eastAsia="en-CA"/>
                <w14:ligatures w14:val="standardContextual"/>
              </w:rPr>
            </w:pPr>
            <w:r>
              <w:rPr>
                <w:sz w:val="20"/>
                <w:szCs w:val="20"/>
              </w:rPr>
              <w:t>0,80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1CF89344" w14:textId="77777777" w:rsidR="00037539" w:rsidRPr="007E66FB" w:rsidRDefault="00037539">
            <w:pPr>
              <w:keepNext/>
              <w:spacing w:before="20" w:after="20"/>
              <w:ind w:right="-125"/>
              <w:jc w:val="right"/>
              <w:rPr>
                <w:rFonts w:eastAsiaTheme="minorHAnsi"/>
                <w:color w:val="000000"/>
                <w:kern w:val="2"/>
                <w:sz w:val="20"/>
                <w:highlight w:val="cyan"/>
                <w:lang w:eastAsia="en-CA"/>
                <w14:ligatures w14:val="standardContextual"/>
              </w:rPr>
            </w:pPr>
            <w:r>
              <w:rPr>
                <w:sz w:val="20"/>
                <w:szCs w:val="20"/>
              </w:rPr>
              <w:t>0,80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07366974" w14:textId="77777777" w:rsidR="00037539" w:rsidRPr="007E66FB" w:rsidRDefault="00037539">
            <w:pPr>
              <w:keepNext/>
              <w:spacing w:before="20" w:after="20"/>
              <w:ind w:right="-125"/>
              <w:jc w:val="right"/>
              <w:rPr>
                <w:color w:val="000000"/>
                <w:kern w:val="2"/>
                <w:sz w:val="20"/>
                <w:highlight w:val="cyan"/>
                <w:lang w:eastAsia="en-CA"/>
                <w14:ligatures w14:val="standardContextual"/>
              </w:rPr>
            </w:pPr>
            <w:r>
              <w:rPr>
                <w:sz w:val="20"/>
                <w:szCs w:val="20"/>
              </w:rPr>
              <w:t>0,70</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4D784122" w14:textId="77777777" w:rsidR="00037539" w:rsidRPr="007E66FB" w:rsidRDefault="00037539">
            <w:pPr>
              <w:keepNext/>
              <w:spacing w:before="20" w:after="20"/>
              <w:ind w:right="-125"/>
              <w:jc w:val="right"/>
              <w:rPr>
                <w:color w:val="000000"/>
                <w:kern w:val="2"/>
                <w:sz w:val="20"/>
                <w:highlight w:val="cyan"/>
                <w:lang w:eastAsia="en-CA"/>
                <w14:ligatures w14:val="standardContextual"/>
              </w:rPr>
            </w:pPr>
            <w:r>
              <w:rPr>
                <w:sz w:val="20"/>
                <w:szCs w:val="20"/>
              </w:rPr>
              <w:t>38,95</w:t>
            </w:r>
          </w:p>
        </w:tc>
      </w:tr>
      <w:tr w:rsidR="00037539" w:rsidRPr="00EB31E3" w14:paraId="2F2FFB48" w14:textId="77777777" w:rsidTr="00BD3E4B">
        <w:trPr>
          <w:trHeight w:val="40"/>
        </w:trPr>
        <w:tc>
          <w:tcPr>
            <w:tcW w:w="119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51356B" w14:textId="77777777" w:rsidR="00037539" w:rsidRPr="00987590" w:rsidRDefault="00037539">
            <w:pPr>
              <w:keepNext/>
              <w:spacing w:before="20" w:after="20"/>
              <w:jc w:val="left"/>
              <w:rPr>
                <w:b/>
                <w:bCs/>
                <w:color w:val="000000"/>
                <w:sz w:val="20"/>
              </w:rPr>
            </w:pPr>
            <w:r>
              <w:rPr>
                <w:b/>
                <w:bCs/>
                <w:color w:val="000000"/>
                <w:sz w:val="20"/>
              </w:rPr>
              <w:t>Toneladas PAO</w:t>
            </w:r>
          </w:p>
        </w:tc>
        <w:tc>
          <w:tcPr>
            <w:tcW w:w="667" w:type="pct"/>
            <w:tcBorders>
              <w:top w:val="single" w:sz="4" w:space="0" w:color="auto"/>
              <w:left w:val="nil"/>
              <w:bottom w:val="single" w:sz="4" w:space="0" w:color="auto"/>
              <w:right w:val="single" w:sz="4" w:space="0" w:color="auto"/>
            </w:tcBorders>
            <w:noWrap/>
            <w:tcMar>
              <w:left w:w="115" w:type="dxa"/>
              <w:right w:w="230" w:type="dxa"/>
            </w:tcMar>
          </w:tcPr>
          <w:p w14:paraId="1E7B1254"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0,06</w:t>
            </w:r>
          </w:p>
        </w:tc>
        <w:tc>
          <w:tcPr>
            <w:tcW w:w="517" w:type="pct"/>
            <w:tcBorders>
              <w:top w:val="single" w:sz="4" w:space="0" w:color="auto"/>
              <w:left w:val="nil"/>
              <w:bottom w:val="single" w:sz="4" w:space="0" w:color="auto"/>
              <w:right w:val="single" w:sz="4" w:space="0" w:color="auto"/>
            </w:tcBorders>
            <w:tcMar>
              <w:left w:w="115" w:type="dxa"/>
              <w:right w:w="230" w:type="dxa"/>
            </w:tcMar>
          </w:tcPr>
          <w:p w14:paraId="727AECCA"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0,05</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70DAFE23"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1C546F31"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0,04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6E3A629F"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0,04</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0E653F7"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2,20</w:t>
            </w:r>
          </w:p>
        </w:tc>
      </w:tr>
    </w:tbl>
    <w:p w14:paraId="5EC7B6BF" w14:textId="7F2792AA" w:rsidR="00037539" w:rsidRPr="00766F51" w:rsidRDefault="00037539" w:rsidP="00037539">
      <w:pPr>
        <w:pStyle w:val="Heading1"/>
        <w:spacing w:before="240"/>
        <w:rPr>
          <w:lang w:val="es-ES"/>
        </w:rPr>
      </w:pPr>
      <w:r>
        <w:rPr>
          <w:lang w:val="es-ES"/>
        </w:rPr>
        <w:t>La reducción del consumo de HCFC durante el período 2021–2025 refleja la ejecución continuada del sistema de concesión de licencias y cupos, el impacto de las actividades llevadas a cabo en el marco de la etapa I del PGEH y la adopción gradual de alternativas libres de HCFC.</w:t>
      </w:r>
    </w:p>
    <w:p w14:paraId="2EBAA311" w14:textId="77777777" w:rsidR="00037539" w:rsidRPr="00766F51" w:rsidRDefault="00037539" w:rsidP="00037539">
      <w:pPr>
        <w:keepNext/>
        <w:spacing w:after="240"/>
        <w:rPr>
          <w:i/>
          <w:lang w:val="es-ES"/>
        </w:rPr>
      </w:pPr>
      <w:bookmarkStart w:id="1" w:name="_Hlk126915671"/>
      <w:r>
        <w:rPr>
          <w:i/>
          <w:lang w:val="es-ES"/>
        </w:rPr>
        <w:t>Informe de ejecución del programa de país</w:t>
      </w:r>
    </w:p>
    <w:bookmarkEnd w:id="1"/>
    <w:p w14:paraId="490E894F" w14:textId="77777777" w:rsidR="00037539" w:rsidRPr="00766F51" w:rsidRDefault="00037539" w:rsidP="00037539">
      <w:pPr>
        <w:pStyle w:val="Heading1"/>
        <w:rPr>
          <w:lang w:val="es-ES"/>
        </w:rPr>
      </w:pPr>
      <w:r>
        <w:rPr>
          <w:lang w:val="es-ES"/>
        </w:rPr>
        <w:t>El Gobierno de Santo Tomé y Príncipe comunicó los datos de consumo sectorial de HCFC en el informe de ejecución del programa de país de 2025, los que concuerdan con los comunicados en virtud del artículo 7 del Protocolo de Montreal.</w:t>
      </w:r>
    </w:p>
    <w:p w14:paraId="4DB67623" w14:textId="77777777" w:rsidR="00037539" w:rsidRDefault="00037539" w:rsidP="00037539">
      <w:pPr>
        <w:keepNext/>
        <w:spacing w:after="240"/>
        <w:rPr>
          <w:i/>
        </w:rPr>
      </w:pPr>
      <w:bookmarkStart w:id="2" w:name="_Hlk126915680"/>
      <w:r>
        <w:rPr>
          <w:i/>
        </w:rPr>
        <w:t>Informe de verificación</w:t>
      </w:r>
      <w:bookmarkEnd w:id="2"/>
    </w:p>
    <w:p w14:paraId="6BDEFFC5" w14:textId="73B962CE" w:rsidR="00037539" w:rsidRPr="00766F51" w:rsidRDefault="00037539" w:rsidP="00037539">
      <w:pPr>
        <w:pStyle w:val="Heading1"/>
        <w:rPr>
          <w:lang w:val="es-ES"/>
        </w:rPr>
      </w:pPr>
      <w:r>
        <w:rPr>
          <w:lang w:val="es-ES"/>
        </w:rPr>
        <w:t xml:space="preserve">El informe de verificación confirmó que el Gobierno estaba ejecutando un sistema de concesión de licencias y cupos para las importaciones y exportaciones de HCFC, y que el consumo total de HCFC comunicado en virtud del artículo 7 del Protocolo de Montreal para el período 2020–2025 era correcto (tal y como se muestra en el cuadro 1 anterior para 2021–2025). La verificación concluyó que Santo Tomé y </w:t>
      </w:r>
      <w:r>
        <w:rPr>
          <w:lang w:val="es-ES"/>
        </w:rPr>
        <w:lastRenderedPageBreak/>
        <w:t>Príncipe cumplía con el Protocolo de Montreal y con el Acuerdo con el Comité Ejecutivo para esos años. La verificación también concluyó que el sistema de control de Santo Tomé y Príncipe funciona de manera eficaz y que las cantidades de HCFC importadas y notificadas se situaban por debajo del nivel permitido cada año.</w:t>
      </w:r>
    </w:p>
    <w:p w14:paraId="65070759" w14:textId="77777777" w:rsidR="00037539" w:rsidRPr="00766F51" w:rsidRDefault="00037539" w:rsidP="00037539">
      <w:pPr>
        <w:keepNext/>
        <w:spacing w:before="240" w:after="240"/>
        <w:rPr>
          <w:u w:val="single"/>
          <w:lang w:val="es-ES"/>
        </w:rPr>
      </w:pPr>
      <w:bookmarkStart w:id="3" w:name="_Hlk126915699"/>
      <w:r>
        <w:rPr>
          <w:u w:val="single"/>
          <w:lang w:val="es-ES"/>
        </w:rPr>
        <w:t>Situación de la marcha de las actividades y los desembolsos</w:t>
      </w:r>
    </w:p>
    <w:p w14:paraId="59B1D8FE" w14:textId="77777777" w:rsidR="00037539" w:rsidRPr="008C7D4E" w:rsidRDefault="00037539" w:rsidP="00037539">
      <w:pPr>
        <w:keepNext/>
        <w:spacing w:before="240" w:after="240"/>
        <w:rPr>
          <w:i/>
          <w:iCs/>
        </w:rPr>
      </w:pPr>
      <w:r>
        <w:rPr>
          <w:i/>
          <w:iCs/>
        </w:rPr>
        <w:t>Marco jurídico</w:t>
      </w:r>
    </w:p>
    <w:p w14:paraId="16DE6530" w14:textId="224825A8" w:rsidR="00037539" w:rsidRPr="00766F51" w:rsidRDefault="005F70F1" w:rsidP="00797253">
      <w:pPr>
        <w:pStyle w:val="Heading1"/>
        <w:rPr>
          <w:lang w:val="es-ES"/>
        </w:rPr>
      </w:pPr>
      <w:bookmarkStart w:id="4" w:name="_Hlk126915708"/>
      <w:bookmarkEnd w:id="3"/>
      <w:r>
        <w:rPr>
          <w:lang w:val="es-ES"/>
        </w:rPr>
        <w:t>El Ministerio del Medio Ambiente, Juventud y Turismo Sostenible actúa como autoridad nacional designada para el Protocolo de Montreal. La Oficina Nacional del Ozono (ONO) depende de la Dirección de Inspección, Asuntos Jurídicos y Evaluación de Impacto Ambiental del Ministerio, dentro de la Dirección General de Medio Ambiente y Acción Climática. El Comité Nacional del Ozono (CNO) se creó como órgano consultivo para apoyar a la ONO e incluye al Ministerio del Medio Ambiente, Juventud y Turismo Sostenible, al Ministerio de Comercio, a la Dirección General de Aduanas, a la Policía Fiscal, al Instituto Nacional de Estadística, a las asociaciones gremiales del sector refrigeración y aire acondicionado, a la Empresa Portuaria, al Instituto de Aviación Civil y a la empresa nacional de combustibles. La responsabilidad general en materia de políticas y reglamentación recae en el Ministerio del Medio Ambiente, Juventud y Turismo Sostenible, a través de la ONO. La ONO coordina la labor relativa a la introducción de medidas legislativas y reglamentarias y supervisa las actividades de seguimiento y evaluación. En el marco de la etapa I del PGEH, se introdujeron varias medidas reglamentarias, entre ellas un sistema de concesión de licencias y cupos para los HCFC con el fin de regular la importación, la venta y el uso de sustancias que agotan la capa de ozono (SAO), disposiciones sobre la recuperación y el reciclaje, y la prohibición de importar polioles premezclados. El Gobierno ratificó la Enmienda de Kigali en 2019, y el sistema de concesión de licencias y cupos para las SAO se ha ampliado para incluir a los HFC.</w:t>
      </w:r>
    </w:p>
    <w:p w14:paraId="6CDC9EE7" w14:textId="45ACC39E" w:rsidR="00037539" w:rsidRPr="00766F51" w:rsidRDefault="00037539" w:rsidP="00037539">
      <w:pPr>
        <w:pStyle w:val="Heading1"/>
        <w:rPr>
          <w:lang w:val="es-ES"/>
        </w:rPr>
      </w:pPr>
      <w:r>
        <w:rPr>
          <w:lang w:val="es-ES"/>
        </w:rPr>
        <w:t>Durante la etapa I del PGEH, se realizó la capacitación para 144 personas fiscalizadoras encargadas de hacer cumplir la ley con el objetivo de reforzar el control de los HCFC y prevenir el comercio ilícito: 61 personas funcionarias de aduanas, 39 personas inspectoras ambientales, 24 personas agentes de la policía fiscal, tres personas funcionarias de comercio y 17 personas de otros cuerpos encargados de hacer cumplir la ley. Los temas de la capacitación incluyeron el control y la identificación de los HCFC, los equipos a base de HCFC y los refrigerantes importados, las revisiones de los códigos del Sistema Armonizado (SA) y la prevención del comercio ilícito de sustancias controladas y equipos. Además, se realizaron adquisiciones de cuatro identificadores de refrigerantes y se distribuyeron en los principales puertos de entrada para ayudar a detectar y supervisar las importaciones de HCFC.</w:t>
      </w:r>
    </w:p>
    <w:p w14:paraId="66C8F429" w14:textId="77777777" w:rsidR="00037539" w:rsidRPr="00766F51" w:rsidRDefault="00037539" w:rsidP="00037539">
      <w:pPr>
        <w:rPr>
          <w:i/>
          <w:iCs/>
          <w:lang w:val="es-ES"/>
        </w:rPr>
      </w:pPr>
      <w:r>
        <w:rPr>
          <w:i/>
          <w:iCs/>
          <w:lang w:val="es-ES"/>
        </w:rPr>
        <w:t>Sector de servicio técnico de equipos de refrigeración</w:t>
      </w:r>
    </w:p>
    <w:p w14:paraId="464BA6A1" w14:textId="77777777" w:rsidR="00037539" w:rsidRPr="00766F51" w:rsidRDefault="00037539" w:rsidP="00037539">
      <w:pPr>
        <w:rPr>
          <w:i/>
          <w:iCs/>
          <w:lang w:val="es-ES"/>
        </w:rPr>
      </w:pPr>
    </w:p>
    <w:p w14:paraId="5F44513E" w14:textId="46850E2D" w:rsidR="00037539" w:rsidRPr="00766F51" w:rsidRDefault="00037539" w:rsidP="00037539">
      <w:pPr>
        <w:pStyle w:val="Heading1"/>
        <w:rPr>
          <w:i/>
          <w:iCs/>
          <w:kern w:val="2"/>
          <w:lang w:val="es-ES" w:eastAsia="en-CA"/>
          <w14:ligatures w14:val="standardContextual"/>
        </w:rPr>
      </w:pPr>
      <w:r>
        <w:rPr>
          <w:lang w:val="es-ES"/>
        </w:rPr>
        <w:t>Durante la ejecución de la etapa I del PGEH, se impartió formación o se actualizaron los conocimientos de 188 personas técnicas de refrigeración y aire acondicionado sobre buenas prácticas de servicio técnico, técnicas de recuperación y reciclaje, mantenimiento de equipos de refrigeración y aire acondicionado que utilizan HCFC, y la manipulación segura de refrigerantes inflamables. Se organizó un taller de formación para 20 personas formadoras en refrigeración y aire acondicionado sobre buenas prácticas de servicio técnico, la manipulación segura de hidrocarburos y el mantenimiento de equipos a base de HCFC, y se dotó a las personas formadoras de juegos de herramientas para la realización de un servicio técnico adecuado. Se identificaron instituciones de formación profesional y grandes talleres de reparación como centros de referencia para la formación de personas técnicas de refrigeración y aire acondicionado y para la gestión de equipos básicos de servicio técnico. Se firmó un protocolo de acuerdo con el Centro de Formación Profesional de Santo Tomé y Príncipe, y se introdujo un módulo sobre el ozono en los planes de estudios de la escuela. También se llevaron a cabo actividades de sensibilización dirigidas a consumidores e importadores sobre la reglamentación relativa a los HCFC y la disponibilidad de alternativas respetuosas del medio ambiente.</w:t>
      </w:r>
    </w:p>
    <w:p w14:paraId="5AEDA0CC" w14:textId="77777777" w:rsidR="00037539" w:rsidRPr="0012189C" w:rsidRDefault="00037539" w:rsidP="002E0FDF">
      <w:pPr>
        <w:pStyle w:val="Heading1"/>
        <w:keepNext/>
        <w:numPr>
          <w:ilvl w:val="0"/>
          <w:numId w:val="0"/>
        </w:numPr>
        <w:rPr>
          <w:i/>
          <w:iCs/>
          <w:kern w:val="2"/>
          <w:lang w:eastAsia="en-CA"/>
          <w14:ligatures w14:val="standardContextual"/>
        </w:rPr>
      </w:pPr>
      <w:r>
        <w:rPr>
          <w:i/>
          <w:iCs/>
          <w:kern w:val="2"/>
          <w:lang w:eastAsia="en-CA"/>
          <w14:ligatures w14:val="standardContextual"/>
        </w:rPr>
        <w:lastRenderedPageBreak/>
        <w:t>Ejecución y seguimiento del proyecto</w:t>
      </w:r>
    </w:p>
    <w:p w14:paraId="693E93D0" w14:textId="30546FAC" w:rsidR="00037539" w:rsidRPr="00766F51" w:rsidRDefault="00037539" w:rsidP="002E0FDF">
      <w:pPr>
        <w:pStyle w:val="Heading1"/>
        <w:keepNext/>
        <w:rPr>
          <w:lang w:val="es-ES"/>
        </w:rPr>
      </w:pPr>
      <w:r>
        <w:rPr>
          <w:lang w:val="es-ES"/>
        </w:rPr>
        <w:t>La ONO supervisa la ejecución del PGEH, evalúa los avances y elabora informes, además de gestionar la ejecución del proyecto. La ONO, con el apoyo de dos personas consultoras, supervisó la ejecución efectiva de las actividades del PGEH.</w:t>
      </w:r>
    </w:p>
    <w:p w14:paraId="20B98D5F" w14:textId="77777777" w:rsidR="00037539" w:rsidRPr="00766F51" w:rsidRDefault="00037539" w:rsidP="00DE144F">
      <w:pPr>
        <w:keepNext/>
        <w:rPr>
          <w:i/>
          <w:iCs/>
          <w:lang w:val="es-ES"/>
        </w:rPr>
      </w:pPr>
      <w:r>
        <w:rPr>
          <w:i/>
          <w:iCs/>
          <w:lang w:val="es-ES"/>
        </w:rPr>
        <w:t>Nivel de desembolso de los fondos</w:t>
      </w:r>
    </w:p>
    <w:p w14:paraId="09714431" w14:textId="77777777" w:rsidR="00037539" w:rsidRPr="00766F51" w:rsidRDefault="00037539" w:rsidP="00DE144F">
      <w:pPr>
        <w:keepNext/>
        <w:rPr>
          <w:lang w:val="es-ES"/>
        </w:rPr>
      </w:pPr>
    </w:p>
    <w:p w14:paraId="5951B4A3" w14:textId="6B3835A1" w:rsidR="00037539" w:rsidRPr="00766F51" w:rsidRDefault="00037539" w:rsidP="00DE144F">
      <w:pPr>
        <w:pStyle w:val="Heading1"/>
        <w:keepNext/>
        <w:rPr>
          <w:lang w:val="es-ES"/>
        </w:rPr>
      </w:pPr>
      <w:r>
        <w:rPr>
          <w:lang w:val="es-ES"/>
        </w:rPr>
        <w:t>A fecha de agosto de 2026, se había realizado el desembolso completo de los USD 160.000 aprobados para la etapa I.</w:t>
      </w:r>
    </w:p>
    <w:p w14:paraId="2E8BAAD5" w14:textId="77777777" w:rsidR="00037539" w:rsidRPr="00766F51" w:rsidRDefault="00037539" w:rsidP="00037539">
      <w:pPr>
        <w:keepNext/>
        <w:autoSpaceDE w:val="0"/>
        <w:autoSpaceDN w:val="0"/>
        <w:adjustRightInd w:val="0"/>
        <w:spacing w:after="240"/>
        <w:rPr>
          <w:b/>
          <w:lang w:val="es-ES"/>
        </w:rPr>
      </w:pPr>
      <w:r>
        <w:rPr>
          <w:b/>
          <w:lang w:val="es-ES"/>
        </w:rPr>
        <w:t>Etapa II del plan de gestión de eliminación de los HCFC</w:t>
      </w:r>
    </w:p>
    <w:p w14:paraId="3F256A25" w14:textId="77777777" w:rsidR="00037539" w:rsidRPr="00766F51" w:rsidRDefault="00037539" w:rsidP="00037539">
      <w:pPr>
        <w:keepNext/>
        <w:spacing w:after="240"/>
        <w:outlineLvl w:val="0"/>
        <w:rPr>
          <w:u w:val="single"/>
          <w:lang w:val="es-ES"/>
        </w:rPr>
      </w:pPr>
      <w:r>
        <w:rPr>
          <w:u w:val="single"/>
          <w:lang w:val="es-ES"/>
        </w:rPr>
        <w:t>Consumo restante admisible para la financiación</w:t>
      </w:r>
    </w:p>
    <w:p w14:paraId="1965F332" w14:textId="77D52379" w:rsidR="00037539" w:rsidRPr="00766F51" w:rsidRDefault="00037539" w:rsidP="00037539">
      <w:pPr>
        <w:pStyle w:val="Heading1"/>
        <w:rPr>
          <w:lang w:val="es-ES" w:eastAsia="en-CA"/>
          <w14:ligatures w14:val="standardContextual"/>
        </w:rPr>
      </w:pPr>
      <w:bookmarkStart w:id="5" w:name="_Hlk126915728"/>
      <w:bookmarkEnd w:id="4"/>
      <w:r>
        <w:rPr>
          <w:lang w:val="es-ES"/>
        </w:rPr>
        <w:t>Después de deducir 0,05 toneladas PAO de HCFC asociadas con la etapa I del PGEH, el consumo remanente admisible para la financiación en el marco de la etapa II asciende a 0,10 toneladas PAO de HCFC‑22. Santo Tomé y Príncipe alcanzó el objetivo de reducción del 67,5 % para 2025 sin el apoyo del Fondo Multilateral.</w:t>
      </w:r>
    </w:p>
    <w:p w14:paraId="772F9243" w14:textId="77777777" w:rsidR="00037539" w:rsidRPr="00766F51" w:rsidRDefault="00037539" w:rsidP="00037539">
      <w:pPr>
        <w:keepNext/>
        <w:spacing w:after="240"/>
        <w:outlineLvl w:val="0"/>
        <w:rPr>
          <w:u w:val="single"/>
          <w:lang w:val="es-ES"/>
        </w:rPr>
      </w:pPr>
      <w:r>
        <w:rPr>
          <w:u w:val="single"/>
          <w:lang w:val="es-ES"/>
        </w:rPr>
        <w:t>Distribución por sectores de los HCFC</w:t>
      </w:r>
    </w:p>
    <w:bookmarkEnd w:id="5"/>
    <w:p w14:paraId="770B1104" w14:textId="4DD9F1D4" w:rsidR="00037539" w:rsidRPr="00766F51" w:rsidRDefault="00037539" w:rsidP="00037539">
      <w:pPr>
        <w:pStyle w:val="Heading1"/>
        <w:rPr>
          <w:lang w:val="es-ES" w:eastAsia="en-CA"/>
          <w14:ligatures w14:val="standardContextual"/>
        </w:rPr>
      </w:pPr>
      <w:r>
        <w:rPr>
          <w:lang w:val="es-ES"/>
        </w:rPr>
        <w:t>Hay aproximadamente 110 personas técnicas (entre ellas cuatro mujeres) y 34 talleres de refrigeración y aire acondicionado (RAC) que operan en el sector de servicio técnico de equipos de refrigeración y aire acondicionado, y que consumen HCFC‑22 para el servicio técnico de sistemas de aire acondicionado (AC) residenciales y comerciales, tal y como se muestra en el cuadro 2. No se ha establecido ningún sistema de certificación para las personas técnicas de refrigeración y aire acondicionado, y el sector está compuesto principalmente por personas técnicas independientes o pequeños talleres, incluidos aquellos con formación no reglada. El HCFC‑22 representa el 10 % de los refrigerantes utilizados en el sector de servicio técnico de equipos de refrigeración y aire acondicionado, y los HFC, el 90 % remanente.</w:t>
      </w:r>
    </w:p>
    <w:p w14:paraId="3C2B8FCF" w14:textId="06EB5668" w:rsidR="00F24238" w:rsidRPr="00766F51" w:rsidRDefault="00037539" w:rsidP="00037539">
      <w:pPr>
        <w:keepNext/>
        <w:rPr>
          <w:kern w:val="2"/>
          <w:lang w:val="es-ES" w:eastAsia="en-CA"/>
          <w14:ligatures w14:val="standardContextual"/>
        </w:rPr>
      </w:pPr>
      <w:bookmarkStart w:id="6" w:name="_Hlk126915738"/>
      <w:r>
        <w:rPr>
          <w:b/>
          <w:bCs/>
          <w:lang w:val="es-ES"/>
        </w:rPr>
        <w:t>Cuadro 2. Estimación de la demanda de HCFC‑22 en el sector de servicio técnico en Santo Tomé y Príncipe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1"/>
        <w:gridCol w:w="1369"/>
        <w:gridCol w:w="1369"/>
        <w:gridCol w:w="1371"/>
        <w:gridCol w:w="1369"/>
        <w:gridCol w:w="1371"/>
      </w:tblGrid>
      <w:tr w:rsidR="00F24238" w14:paraId="565454CF" w14:textId="77777777">
        <w:trPr>
          <w:tblHeader/>
        </w:trPr>
        <w:tc>
          <w:tcPr>
            <w:tcW w:w="1373" w:type="pct"/>
            <w:vMerge w:val="restart"/>
            <w:tcMar>
              <w:left w:w="28" w:type="dxa"/>
              <w:right w:w="28" w:type="dxa"/>
            </w:tcMar>
            <w:vAlign w:val="center"/>
            <w:hideMark/>
          </w:tcPr>
          <w:p w14:paraId="34E13009" w14:textId="77777777" w:rsidR="00F24238" w:rsidRDefault="00F24238">
            <w:pPr>
              <w:keepNext/>
              <w:jc w:val="center"/>
              <w:rPr>
                <w:kern w:val="2"/>
                <w:lang w:eastAsia="en-CA"/>
                <w14:ligatures w14:val="standardContextual"/>
              </w:rPr>
            </w:pPr>
            <w:r>
              <w:rPr>
                <w:b/>
                <w:bCs/>
                <w:sz w:val="20"/>
                <w:szCs w:val="20"/>
              </w:rPr>
              <w:t>Sector/aplicación</w:t>
            </w:r>
          </w:p>
        </w:tc>
        <w:tc>
          <w:tcPr>
            <w:tcW w:w="725" w:type="pct"/>
            <w:tcMar>
              <w:left w:w="28" w:type="dxa"/>
              <w:right w:w="28" w:type="dxa"/>
            </w:tcMar>
            <w:vAlign w:val="center"/>
            <w:hideMark/>
          </w:tcPr>
          <w:p w14:paraId="3DFC9998" w14:textId="77777777" w:rsidR="00F24238" w:rsidRDefault="00F24238">
            <w:pPr>
              <w:keepNext/>
              <w:jc w:val="center"/>
            </w:pPr>
            <w:r>
              <w:rPr>
                <w:b/>
                <w:bCs/>
                <w:sz w:val="20"/>
                <w:szCs w:val="20"/>
              </w:rPr>
              <w:t>(a)</w:t>
            </w:r>
          </w:p>
        </w:tc>
        <w:tc>
          <w:tcPr>
            <w:tcW w:w="725" w:type="pct"/>
            <w:tcMar>
              <w:left w:w="28" w:type="dxa"/>
              <w:right w:w="28" w:type="dxa"/>
            </w:tcMar>
            <w:vAlign w:val="center"/>
            <w:hideMark/>
          </w:tcPr>
          <w:p w14:paraId="1E9D2B45" w14:textId="77777777" w:rsidR="00F24238" w:rsidRDefault="00F24238">
            <w:pPr>
              <w:keepNext/>
              <w:jc w:val="center"/>
            </w:pPr>
            <w:r>
              <w:rPr>
                <w:b/>
                <w:bCs/>
                <w:sz w:val="20"/>
                <w:szCs w:val="20"/>
              </w:rPr>
              <w:t>(b)</w:t>
            </w:r>
          </w:p>
        </w:tc>
        <w:tc>
          <w:tcPr>
            <w:tcW w:w="726" w:type="pct"/>
            <w:tcMar>
              <w:left w:w="28" w:type="dxa"/>
              <w:right w:w="28" w:type="dxa"/>
            </w:tcMar>
            <w:vAlign w:val="center"/>
            <w:hideMark/>
          </w:tcPr>
          <w:p w14:paraId="0E91C1BF" w14:textId="77777777" w:rsidR="00F24238" w:rsidRDefault="00F24238">
            <w:pPr>
              <w:keepNext/>
              <w:jc w:val="center"/>
            </w:pPr>
            <w:r>
              <w:rPr>
                <w:b/>
                <w:bCs/>
                <w:sz w:val="20"/>
                <w:szCs w:val="20"/>
              </w:rPr>
              <w:t>(c)</w:t>
            </w:r>
          </w:p>
        </w:tc>
        <w:tc>
          <w:tcPr>
            <w:tcW w:w="725" w:type="pct"/>
            <w:tcMar>
              <w:left w:w="28" w:type="dxa"/>
              <w:right w:w="28" w:type="dxa"/>
            </w:tcMar>
            <w:vAlign w:val="center"/>
            <w:hideMark/>
          </w:tcPr>
          <w:p w14:paraId="08C28166" w14:textId="77777777" w:rsidR="00F24238" w:rsidRDefault="00F24238">
            <w:pPr>
              <w:keepNext/>
              <w:jc w:val="center"/>
            </w:pPr>
            <w:r>
              <w:rPr>
                <w:b/>
                <w:bCs/>
                <w:sz w:val="20"/>
                <w:szCs w:val="20"/>
              </w:rPr>
              <w:t>(d)</w:t>
            </w:r>
          </w:p>
        </w:tc>
        <w:tc>
          <w:tcPr>
            <w:tcW w:w="726" w:type="pct"/>
            <w:tcMar>
              <w:left w:w="28" w:type="dxa"/>
              <w:right w:w="28" w:type="dxa"/>
            </w:tcMar>
            <w:vAlign w:val="center"/>
            <w:hideMark/>
          </w:tcPr>
          <w:p w14:paraId="28EAE4B2" w14:textId="77777777" w:rsidR="00F24238" w:rsidRDefault="00F24238">
            <w:pPr>
              <w:keepNext/>
              <w:jc w:val="center"/>
            </w:pPr>
            <w:r>
              <w:rPr>
                <w:b/>
                <w:bCs/>
                <w:sz w:val="20"/>
                <w:szCs w:val="20"/>
              </w:rPr>
              <w:t>(a*b*c*d)</w:t>
            </w:r>
          </w:p>
        </w:tc>
      </w:tr>
      <w:tr w:rsidR="00F24238" w:rsidRPr="00506434" w14:paraId="1E42EA5A" w14:textId="77777777">
        <w:trPr>
          <w:tblHeader/>
        </w:trPr>
        <w:tc>
          <w:tcPr>
            <w:tcW w:w="1373" w:type="pct"/>
            <w:vMerge/>
            <w:tcMar>
              <w:left w:w="28" w:type="dxa"/>
              <w:right w:w="28" w:type="dxa"/>
            </w:tcMar>
            <w:vAlign w:val="center"/>
            <w:hideMark/>
          </w:tcPr>
          <w:p w14:paraId="7C46625C" w14:textId="77777777" w:rsidR="00F24238" w:rsidRDefault="00F24238">
            <w:pPr>
              <w:keepNext/>
            </w:pPr>
          </w:p>
        </w:tc>
        <w:tc>
          <w:tcPr>
            <w:tcW w:w="725" w:type="pct"/>
            <w:tcMar>
              <w:left w:w="28" w:type="dxa"/>
              <w:right w:w="28" w:type="dxa"/>
            </w:tcMar>
            <w:vAlign w:val="center"/>
            <w:hideMark/>
          </w:tcPr>
          <w:p w14:paraId="33386978" w14:textId="77777777" w:rsidR="00F24238" w:rsidRDefault="00F24238">
            <w:pPr>
              <w:keepNext/>
              <w:jc w:val="center"/>
            </w:pPr>
            <w:r>
              <w:rPr>
                <w:b/>
                <w:bCs/>
                <w:sz w:val="20"/>
                <w:szCs w:val="20"/>
              </w:rPr>
              <w:t>Inventario de equipos</w:t>
            </w:r>
          </w:p>
        </w:tc>
        <w:tc>
          <w:tcPr>
            <w:tcW w:w="725" w:type="pct"/>
            <w:tcMar>
              <w:left w:w="28" w:type="dxa"/>
              <w:right w:w="28" w:type="dxa"/>
            </w:tcMar>
            <w:vAlign w:val="center"/>
            <w:hideMark/>
          </w:tcPr>
          <w:p w14:paraId="1632F8CA" w14:textId="77777777" w:rsidR="00F24238" w:rsidRDefault="00F24238">
            <w:pPr>
              <w:keepNext/>
              <w:jc w:val="center"/>
            </w:pPr>
            <w:r>
              <w:rPr>
                <w:b/>
                <w:bCs/>
                <w:sz w:val="20"/>
                <w:szCs w:val="20"/>
              </w:rPr>
              <w:t>Carga media (kg)</w:t>
            </w:r>
          </w:p>
        </w:tc>
        <w:tc>
          <w:tcPr>
            <w:tcW w:w="726" w:type="pct"/>
            <w:tcMar>
              <w:left w:w="28" w:type="dxa"/>
              <w:right w:w="28" w:type="dxa"/>
            </w:tcMar>
            <w:vAlign w:val="center"/>
            <w:hideMark/>
          </w:tcPr>
          <w:p w14:paraId="3C7F08D7" w14:textId="77777777" w:rsidR="00F24238" w:rsidRDefault="00F24238">
            <w:pPr>
              <w:keepNext/>
              <w:jc w:val="center"/>
            </w:pPr>
            <w:r>
              <w:rPr>
                <w:b/>
                <w:bCs/>
                <w:sz w:val="20"/>
                <w:szCs w:val="20"/>
              </w:rPr>
              <w:t>Equipos con servicio técnico (%)</w:t>
            </w:r>
          </w:p>
        </w:tc>
        <w:tc>
          <w:tcPr>
            <w:tcW w:w="725" w:type="pct"/>
            <w:tcMar>
              <w:left w:w="28" w:type="dxa"/>
              <w:right w:w="28" w:type="dxa"/>
            </w:tcMar>
            <w:vAlign w:val="center"/>
            <w:hideMark/>
          </w:tcPr>
          <w:p w14:paraId="7083076E" w14:textId="77777777" w:rsidR="00F24238" w:rsidRDefault="00F24238">
            <w:pPr>
              <w:keepNext/>
              <w:jc w:val="center"/>
            </w:pPr>
            <w:r>
              <w:rPr>
                <w:b/>
                <w:bCs/>
                <w:sz w:val="20"/>
                <w:szCs w:val="20"/>
              </w:rPr>
              <w:t>Tasa de fugas estimada (%)</w:t>
            </w:r>
          </w:p>
        </w:tc>
        <w:tc>
          <w:tcPr>
            <w:tcW w:w="726" w:type="pct"/>
            <w:tcMar>
              <w:left w:w="28" w:type="dxa"/>
              <w:right w:w="28" w:type="dxa"/>
            </w:tcMar>
            <w:vAlign w:val="center"/>
            <w:hideMark/>
          </w:tcPr>
          <w:p w14:paraId="6DC0F34E" w14:textId="0D55155E" w:rsidR="00F24238" w:rsidRPr="00766F51" w:rsidRDefault="004F7313">
            <w:pPr>
              <w:keepNext/>
              <w:jc w:val="center"/>
              <w:rPr>
                <w:lang w:val="es-ES"/>
              </w:rPr>
            </w:pPr>
            <w:r>
              <w:rPr>
                <w:b/>
                <w:bCs/>
                <w:sz w:val="20"/>
                <w:szCs w:val="20"/>
                <w:lang w:val="es-ES"/>
              </w:rPr>
              <w:t>Necesidades anuales de servicio técnico (2025) (tm)</w:t>
            </w:r>
          </w:p>
        </w:tc>
      </w:tr>
      <w:tr w:rsidR="00F24238" w14:paraId="3F1FEF6A" w14:textId="77777777">
        <w:tc>
          <w:tcPr>
            <w:tcW w:w="1373" w:type="pct"/>
            <w:tcMar>
              <w:left w:w="28" w:type="dxa"/>
              <w:right w:w="28" w:type="dxa"/>
            </w:tcMar>
            <w:vAlign w:val="center"/>
            <w:hideMark/>
          </w:tcPr>
          <w:p w14:paraId="082551A5" w14:textId="0EB6C4B9" w:rsidR="00F24238" w:rsidRDefault="00A21DC5">
            <w:pPr>
              <w:keepNext/>
              <w:jc w:val="left"/>
            </w:pPr>
            <w:r>
              <w:rPr>
                <w:sz w:val="20"/>
                <w:szCs w:val="20"/>
              </w:rPr>
              <w:t>Aire acondicionado residencial</w:t>
            </w:r>
          </w:p>
        </w:tc>
        <w:tc>
          <w:tcPr>
            <w:tcW w:w="725" w:type="pct"/>
            <w:tcMar>
              <w:left w:w="102" w:type="dxa"/>
              <w:right w:w="102" w:type="dxa"/>
            </w:tcMar>
            <w:vAlign w:val="center"/>
            <w:hideMark/>
          </w:tcPr>
          <w:p w14:paraId="1AB9DD58" w14:textId="77777777" w:rsidR="00F24238" w:rsidRDefault="00F24238">
            <w:pPr>
              <w:keepNext/>
              <w:jc w:val="right"/>
            </w:pPr>
            <w:r>
              <w:rPr>
                <w:sz w:val="20"/>
                <w:szCs w:val="20"/>
              </w:rPr>
              <w:t>669</w:t>
            </w:r>
          </w:p>
        </w:tc>
        <w:tc>
          <w:tcPr>
            <w:tcW w:w="725" w:type="pct"/>
            <w:tcMar>
              <w:left w:w="102" w:type="dxa"/>
              <w:right w:w="102" w:type="dxa"/>
            </w:tcMar>
            <w:vAlign w:val="center"/>
            <w:hideMark/>
          </w:tcPr>
          <w:p w14:paraId="676D277F" w14:textId="77777777" w:rsidR="00F24238" w:rsidRDefault="00F24238">
            <w:pPr>
              <w:keepNext/>
              <w:jc w:val="right"/>
            </w:pPr>
            <w:r>
              <w:rPr>
                <w:sz w:val="20"/>
                <w:szCs w:val="20"/>
              </w:rPr>
              <w:t>1,17</w:t>
            </w:r>
          </w:p>
        </w:tc>
        <w:tc>
          <w:tcPr>
            <w:tcW w:w="726" w:type="pct"/>
            <w:tcMar>
              <w:left w:w="102" w:type="dxa"/>
              <w:right w:w="102" w:type="dxa"/>
            </w:tcMar>
            <w:vAlign w:val="center"/>
            <w:hideMark/>
          </w:tcPr>
          <w:p w14:paraId="61912B9F" w14:textId="0D5E9772" w:rsidR="00F24238" w:rsidRDefault="00F24238">
            <w:pPr>
              <w:keepNext/>
              <w:jc w:val="right"/>
            </w:pPr>
            <w:r>
              <w:rPr>
                <w:sz w:val="20"/>
                <w:szCs w:val="20"/>
              </w:rPr>
              <w:t>30</w:t>
            </w:r>
          </w:p>
        </w:tc>
        <w:tc>
          <w:tcPr>
            <w:tcW w:w="725" w:type="pct"/>
            <w:tcMar>
              <w:left w:w="102" w:type="dxa"/>
              <w:right w:w="102" w:type="dxa"/>
            </w:tcMar>
            <w:vAlign w:val="center"/>
            <w:hideMark/>
          </w:tcPr>
          <w:p w14:paraId="19434F9A" w14:textId="00E4A4B8" w:rsidR="00F24238" w:rsidRDefault="00F24238">
            <w:pPr>
              <w:keepNext/>
              <w:jc w:val="right"/>
            </w:pPr>
            <w:r>
              <w:rPr>
                <w:sz w:val="20"/>
                <w:szCs w:val="20"/>
              </w:rPr>
              <w:t>15</w:t>
            </w:r>
          </w:p>
        </w:tc>
        <w:tc>
          <w:tcPr>
            <w:tcW w:w="726" w:type="pct"/>
            <w:tcMar>
              <w:left w:w="102" w:type="dxa"/>
              <w:right w:w="102" w:type="dxa"/>
            </w:tcMar>
            <w:vAlign w:val="center"/>
            <w:hideMark/>
          </w:tcPr>
          <w:p w14:paraId="46517C72" w14:textId="77777777" w:rsidR="00F24238" w:rsidRDefault="00F24238">
            <w:pPr>
              <w:keepNext/>
              <w:jc w:val="right"/>
            </w:pPr>
            <w:r>
              <w:rPr>
                <w:sz w:val="20"/>
                <w:szCs w:val="20"/>
              </w:rPr>
              <w:t>0,04</w:t>
            </w:r>
          </w:p>
        </w:tc>
      </w:tr>
      <w:tr w:rsidR="00F24238" w14:paraId="1BEC1EE4" w14:textId="77777777">
        <w:tc>
          <w:tcPr>
            <w:tcW w:w="1373" w:type="pct"/>
            <w:tcMar>
              <w:left w:w="28" w:type="dxa"/>
              <w:right w:w="28" w:type="dxa"/>
            </w:tcMar>
            <w:vAlign w:val="center"/>
            <w:hideMark/>
          </w:tcPr>
          <w:p w14:paraId="473092B8" w14:textId="74185237" w:rsidR="00F24238" w:rsidRDefault="00A21DC5">
            <w:pPr>
              <w:keepNext/>
              <w:jc w:val="left"/>
            </w:pPr>
            <w:r>
              <w:rPr>
                <w:sz w:val="20"/>
                <w:szCs w:val="20"/>
              </w:rPr>
              <w:t>Aire acondicionado comercial</w:t>
            </w:r>
          </w:p>
        </w:tc>
        <w:tc>
          <w:tcPr>
            <w:tcW w:w="725" w:type="pct"/>
            <w:tcMar>
              <w:left w:w="102" w:type="dxa"/>
              <w:right w:w="102" w:type="dxa"/>
            </w:tcMar>
            <w:vAlign w:val="center"/>
            <w:hideMark/>
          </w:tcPr>
          <w:p w14:paraId="2D797530" w14:textId="77777777" w:rsidR="00F24238" w:rsidRDefault="00F24238">
            <w:pPr>
              <w:keepNext/>
              <w:jc w:val="right"/>
            </w:pPr>
            <w:r>
              <w:rPr>
                <w:sz w:val="20"/>
                <w:szCs w:val="20"/>
              </w:rPr>
              <w:t>902</w:t>
            </w:r>
          </w:p>
        </w:tc>
        <w:tc>
          <w:tcPr>
            <w:tcW w:w="725" w:type="pct"/>
            <w:tcMar>
              <w:left w:w="102" w:type="dxa"/>
              <w:right w:w="102" w:type="dxa"/>
            </w:tcMar>
            <w:vAlign w:val="center"/>
            <w:hideMark/>
          </w:tcPr>
          <w:p w14:paraId="27916BD6" w14:textId="77777777" w:rsidR="00F24238" w:rsidRDefault="00F24238">
            <w:pPr>
              <w:keepNext/>
              <w:jc w:val="right"/>
            </w:pPr>
            <w:r>
              <w:rPr>
                <w:sz w:val="20"/>
                <w:szCs w:val="20"/>
              </w:rPr>
              <w:t>6,00</w:t>
            </w:r>
          </w:p>
        </w:tc>
        <w:tc>
          <w:tcPr>
            <w:tcW w:w="726" w:type="pct"/>
            <w:tcMar>
              <w:left w:w="102" w:type="dxa"/>
              <w:right w:w="102" w:type="dxa"/>
            </w:tcMar>
            <w:vAlign w:val="center"/>
            <w:hideMark/>
          </w:tcPr>
          <w:p w14:paraId="10E2A977" w14:textId="5E8FD213" w:rsidR="00F24238" w:rsidRDefault="00F24238">
            <w:pPr>
              <w:keepNext/>
              <w:jc w:val="right"/>
            </w:pPr>
            <w:r>
              <w:rPr>
                <w:sz w:val="20"/>
                <w:szCs w:val="20"/>
              </w:rPr>
              <w:t xml:space="preserve">30 </w:t>
            </w:r>
          </w:p>
        </w:tc>
        <w:tc>
          <w:tcPr>
            <w:tcW w:w="725" w:type="pct"/>
            <w:tcMar>
              <w:left w:w="102" w:type="dxa"/>
              <w:right w:w="102" w:type="dxa"/>
            </w:tcMar>
            <w:vAlign w:val="center"/>
            <w:hideMark/>
          </w:tcPr>
          <w:p w14:paraId="628C00F6" w14:textId="4E7B1BB0" w:rsidR="00F24238" w:rsidRDefault="00F24238">
            <w:pPr>
              <w:keepNext/>
              <w:jc w:val="right"/>
            </w:pPr>
            <w:r>
              <w:rPr>
                <w:sz w:val="20"/>
                <w:szCs w:val="20"/>
              </w:rPr>
              <w:t>35</w:t>
            </w:r>
          </w:p>
        </w:tc>
        <w:tc>
          <w:tcPr>
            <w:tcW w:w="726" w:type="pct"/>
            <w:tcMar>
              <w:left w:w="102" w:type="dxa"/>
              <w:right w:w="102" w:type="dxa"/>
            </w:tcMar>
            <w:vAlign w:val="center"/>
            <w:hideMark/>
          </w:tcPr>
          <w:p w14:paraId="300DC931" w14:textId="77777777" w:rsidR="00F24238" w:rsidRDefault="00F24238">
            <w:pPr>
              <w:keepNext/>
              <w:jc w:val="right"/>
            </w:pPr>
            <w:r>
              <w:rPr>
                <w:sz w:val="20"/>
                <w:szCs w:val="20"/>
              </w:rPr>
              <w:t>0,57</w:t>
            </w:r>
          </w:p>
        </w:tc>
      </w:tr>
      <w:tr w:rsidR="00F24238" w14:paraId="2CC4243D" w14:textId="77777777">
        <w:tc>
          <w:tcPr>
            <w:tcW w:w="1373" w:type="pct"/>
            <w:tcMar>
              <w:left w:w="28" w:type="dxa"/>
              <w:right w:w="28" w:type="dxa"/>
            </w:tcMar>
            <w:vAlign w:val="center"/>
            <w:hideMark/>
          </w:tcPr>
          <w:p w14:paraId="4C69CC3F" w14:textId="77777777" w:rsidR="00F24238" w:rsidRDefault="00F24238">
            <w:r>
              <w:rPr>
                <w:b/>
                <w:bCs/>
                <w:sz w:val="20"/>
                <w:szCs w:val="20"/>
              </w:rPr>
              <w:t>Total</w:t>
            </w:r>
          </w:p>
        </w:tc>
        <w:tc>
          <w:tcPr>
            <w:tcW w:w="725" w:type="pct"/>
            <w:tcMar>
              <w:left w:w="102" w:type="dxa"/>
              <w:right w:w="102" w:type="dxa"/>
            </w:tcMar>
            <w:vAlign w:val="center"/>
            <w:hideMark/>
          </w:tcPr>
          <w:p w14:paraId="11CD684D" w14:textId="77777777" w:rsidR="00F24238" w:rsidRDefault="00F24238">
            <w:pPr>
              <w:jc w:val="right"/>
            </w:pPr>
            <w:r>
              <w:rPr>
                <w:b/>
                <w:bCs/>
                <w:sz w:val="20"/>
                <w:szCs w:val="20"/>
              </w:rPr>
              <w:t>1.571</w:t>
            </w:r>
          </w:p>
        </w:tc>
        <w:tc>
          <w:tcPr>
            <w:tcW w:w="725" w:type="pct"/>
            <w:tcMar>
              <w:left w:w="102" w:type="dxa"/>
              <w:right w:w="102" w:type="dxa"/>
            </w:tcMar>
            <w:vAlign w:val="center"/>
            <w:hideMark/>
          </w:tcPr>
          <w:p w14:paraId="10271C88" w14:textId="77777777" w:rsidR="00F24238" w:rsidRDefault="00F24238">
            <w:pPr>
              <w:jc w:val="right"/>
            </w:pPr>
          </w:p>
        </w:tc>
        <w:tc>
          <w:tcPr>
            <w:tcW w:w="726" w:type="pct"/>
            <w:tcMar>
              <w:left w:w="102" w:type="dxa"/>
              <w:right w:w="102" w:type="dxa"/>
            </w:tcMar>
            <w:vAlign w:val="center"/>
            <w:hideMark/>
          </w:tcPr>
          <w:p w14:paraId="477E369E" w14:textId="77777777" w:rsidR="00F24238" w:rsidRDefault="00F24238">
            <w:pPr>
              <w:jc w:val="right"/>
            </w:pPr>
          </w:p>
        </w:tc>
        <w:tc>
          <w:tcPr>
            <w:tcW w:w="725" w:type="pct"/>
            <w:tcMar>
              <w:left w:w="102" w:type="dxa"/>
              <w:right w:w="102" w:type="dxa"/>
            </w:tcMar>
            <w:vAlign w:val="center"/>
            <w:hideMark/>
          </w:tcPr>
          <w:p w14:paraId="5002217E" w14:textId="77777777" w:rsidR="00F24238" w:rsidRDefault="00F24238">
            <w:pPr>
              <w:jc w:val="right"/>
            </w:pPr>
          </w:p>
        </w:tc>
        <w:tc>
          <w:tcPr>
            <w:tcW w:w="726" w:type="pct"/>
            <w:tcMar>
              <w:left w:w="102" w:type="dxa"/>
              <w:right w:w="102" w:type="dxa"/>
            </w:tcMar>
            <w:vAlign w:val="center"/>
            <w:hideMark/>
          </w:tcPr>
          <w:p w14:paraId="7CCBAD4B" w14:textId="77777777" w:rsidR="00F24238" w:rsidRDefault="00F24238">
            <w:pPr>
              <w:jc w:val="right"/>
            </w:pPr>
            <w:r>
              <w:rPr>
                <w:b/>
                <w:bCs/>
                <w:sz w:val="20"/>
                <w:szCs w:val="20"/>
              </w:rPr>
              <w:t>0,61</w:t>
            </w:r>
          </w:p>
        </w:tc>
      </w:tr>
    </w:tbl>
    <w:p w14:paraId="661C414D" w14:textId="5B142D34" w:rsidR="00037539" w:rsidRPr="009931F4" w:rsidRDefault="00037539" w:rsidP="00037539">
      <w:pPr>
        <w:keepNext/>
        <w:spacing w:before="240" w:after="240"/>
        <w:rPr>
          <w:b/>
        </w:rPr>
      </w:pPr>
      <w:r>
        <w:rPr>
          <w:u w:val="single"/>
        </w:rPr>
        <w:t>Estrategia de eliminación</w:t>
      </w:r>
    </w:p>
    <w:bookmarkEnd w:id="6"/>
    <w:p w14:paraId="65020B60" w14:textId="2AD3BE82" w:rsidR="00037539" w:rsidRPr="00766F51" w:rsidRDefault="00AC3D0D" w:rsidP="00037539">
      <w:pPr>
        <w:pStyle w:val="Heading1"/>
        <w:rPr>
          <w:lang w:val="es-ES" w:eastAsia="en-CA"/>
          <w14:ligatures w14:val="standardContextual"/>
        </w:rPr>
      </w:pPr>
      <w:r>
        <w:rPr>
          <w:lang w:val="es-ES"/>
        </w:rPr>
        <w:t>El Gobierno de Santo Tomé y Príncipe propone la eliminación total de los HCFC para 2030, con una reserva para servicio técnico hasta 2040, de acuerdo con el Protocolo de Montreal. La etapa II constará de tres tramos, que se basarán en los avances logrados en la etapa I y se centrarán en seguir reforzando el marco jurídico y normativo; mejorar la capacidad técnica del país para gestionar los HCFC y sus alternativas; establecer un sistema de certificación; reforzar la capacidad de aplicación de la normativa; y garantizar el seguimiento, la evaluación y la presentación de informes de forma continua. El país tiene previsto introducir una prohibición de la importación de equipos a base de HCFC y de la importación de HCFC en bombonas no recargables durante la etapa II. La etapa II del PGEH se ejecutará en coordinación con la etapa I del PAK, propuesto en la presente reunión.</w:t>
      </w:r>
    </w:p>
    <w:p w14:paraId="1A7B4B01" w14:textId="77777777" w:rsidR="00037539" w:rsidRDefault="00037539" w:rsidP="00037539">
      <w:pPr>
        <w:keepNext/>
        <w:spacing w:after="240"/>
        <w:rPr>
          <w:i/>
          <w:iCs/>
        </w:rPr>
      </w:pPr>
      <w:r>
        <w:rPr>
          <w:i/>
          <w:iCs/>
        </w:rPr>
        <w:lastRenderedPageBreak/>
        <w:t>Actividades propuestas</w:t>
      </w:r>
    </w:p>
    <w:p w14:paraId="06F912C6" w14:textId="79F7029C" w:rsidR="00037539" w:rsidRPr="00766F51" w:rsidRDefault="00037539" w:rsidP="00037539">
      <w:pPr>
        <w:pStyle w:val="Heading1"/>
        <w:rPr>
          <w:kern w:val="2"/>
          <w:lang w:val="es-ES" w:eastAsia="en-CA"/>
          <w14:ligatures w14:val="standardContextual"/>
        </w:rPr>
      </w:pPr>
      <w:bookmarkStart w:id="7" w:name="_Hlk126915743"/>
      <w:r>
        <w:rPr>
          <w:lang w:val="es-ES"/>
        </w:rPr>
        <w:t>En el cuadro 3 se presentan las actividades propuestas para su ejecución en el sector de servicio técnico en el marco de la etapa II y en el primer tramo, así como el desglose de costos.</w:t>
      </w:r>
    </w:p>
    <w:p w14:paraId="1C51EC41" w14:textId="77777777" w:rsidR="00037539" w:rsidRPr="00766F51" w:rsidRDefault="00037539" w:rsidP="00037539">
      <w:pPr>
        <w:keepNext/>
        <w:shd w:val="clear" w:color="auto" w:fill="FFFFFF"/>
        <w:rPr>
          <w:kern w:val="2"/>
          <w:lang w:val="es-ES" w:eastAsia="en-CA"/>
          <w14:ligatures w14:val="standardContextual"/>
        </w:rPr>
      </w:pPr>
      <w:r>
        <w:rPr>
          <w:b/>
          <w:bCs/>
          <w:color w:val="000000"/>
          <w:lang w:val="es-ES"/>
        </w:rPr>
        <w:t>Cuadro 3. Actividades y desglose de costos en el marco de la etapa II del PGEH para Santo Tomé y Príncipe, según se presentó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232"/>
        <w:gridCol w:w="1603"/>
        <w:gridCol w:w="1605"/>
      </w:tblGrid>
      <w:tr w:rsidR="00037539" w14:paraId="50FCACA0" w14:textId="77777777">
        <w:trPr>
          <w:tblHeader/>
        </w:trPr>
        <w:tc>
          <w:tcPr>
            <w:tcW w:w="3301" w:type="pct"/>
            <w:tcMar>
              <w:top w:w="0" w:type="dxa"/>
              <w:left w:w="108" w:type="dxa"/>
              <w:bottom w:w="0" w:type="dxa"/>
              <w:right w:w="108" w:type="dxa"/>
            </w:tcMar>
            <w:vAlign w:val="center"/>
            <w:hideMark/>
          </w:tcPr>
          <w:p w14:paraId="0DE1478B" w14:textId="77777777" w:rsidR="00037539" w:rsidRDefault="00037539">
            <w:pPr>
              <w:rPr>
                <w:kern w:val="2"/>
                <w:lang w:eastAsia="en-CA"/>
                <w14:ligatures w14:val="standardContextual"/>
              </w:rPr>
            </w:pPr>
            <w:bookmarkStart w:id="8" w:name="_Hlk126915749"/>
            <w:bookmarkEnd w:id="7"/>
            <w:r>
              <w:rPr>
                <w:b/>
                <w:bCs/>
                <w:sz w:val="20"/>
                <w:szCs w:val="20"/>
              </w:rPr>
              <w:t>Actividad</w:t>
            </w:r>
          </w:p>
        </w:tc>
        <w:tc>
          <w:tcPr>
            <w:tcW w:w="849" w:type="pct"/>
            <w:tcMar>
              <w:top w:w="0" w:type="dxa"/>
              <w:left w:w="108" w:type="dxa"/>
              <w:bottom w:w="0" w:type="dxa"/>
              <w:right w:w="108" w:type="dxa"/>
            </w:tcMar>
            <w:vAlign w:val="center"/>
            <w:hideMark/>
          </w:tcPr>
          <w:p w14:paraId="16824F61" w14:textId="77777777" w:rsidR="00037539" w:rsidRPr="00766F51" w:rsidRDefault="00037539">
            <w:pPr>
              <w:jc w:val="center"/>
              <w:rPr>
                <w:lang w:val="es-ES"/>
              </w:rPr>
            </w:pPr>
            <w:r>
              <w:rPr>
                <w:b/>
                <w:bCs/>
                <w:sz w:val="20"/>
                <w:szCs w:val="20"/>
                <w:lang w:val="es-ES"/>
              </w:rPr>
              <w:t>Costo de la etapa II (USD)</w:t>
            </w:r>
          </w:p>
        </w:tc>
        <w:tc>
          <w:tcPr>
            <w:tcW w:w="850" w:type="pct"/>
            <w:tcMar>
              <w:top w:w="0" w:type="dxa"/>
              <w:left w:w="108" w:type="dxa"/>
              <w:bottom w:w="0" w:type="dxa"/>
              <w:right w:w="108" w:type="dxa"/>
            </w:tcMar>
            <w:vAlign w:val="center"/>
            <w:hideMark/>
          </w:tcPr>
          <w:p w14:paraId="202BF257" w14:textId="77777777" w:rsidR="00037539" w:rsidRDefault="00037539">
            <w:pPr>
              <w:jc w:val="center"/>
            </w:pPr>
            <w:r>
              <w:rPr>
                <w:b/>
                <w:bCs/>
                <w:sz w:val="20"/>
                <w:szCs w:val="20"/>
              </w:rPr>
              <w:t>Primer tramo (USD)</w:t>
            </w:r>
          </w:p>
        </w:tc>
      </w:tr>
      <w:tr w:rsidR="00037539" w:rsidRPr="00506434" w14:paraId="6593D945" w14:textId="77777777">
        <w:tc>
          <w:tcPr>
            <w:tcW w:w="0" w:type="auto"/>
            <w:gridSpan w:val="3"/>
            <w:tcMar>
              <w:top w:w="0" w:type="dxa"/>
              <w:left w:w="108" w:type="dxa"/>
              <w:bottom w:w="0" w:type="dxa"/>
              <w:right w:w="108" w:type="dxa"/>
            </w:tcMar>
            <w:vAlign w:val="center"/>
            <w:hideMark/>
          </w:tcPr>
          <w:p w14:paraId="087758BC" w14:textId="77777777" w:rsidR="00037539" w:rsidRPr="00766F51" w:rsidRDefault="00037539">
            <w:pPr>
              <w:keepNext/>
              <w:rPr>
                <w:lang w:val="es-ES"/>
              </w:rPr>
            </w:pPr>
            <w:r>
              <w:rPr>
                <w:b/>
                <w:bCs/>
                <w:sz w:val="20"/>
                <w:szCs w:val="20"/>
                <w:lang w:val="es-ES"/>
              </w:rPr>
              <w:t>1. Fortalecimiento del marco jurídico y reglamentario para apoyar la eliminación gradual de los HCFC</w:t>
            </w:r>
          </w:p>
        </w:tc>
      </w:tr>
      <w:tr w:rsidR="00037539" w14:paraId="7A2BD498" w14:textId="77777777">
        <w:tc>
          <w:tcPr>
            <w:tcW w:w="3301" w:type="pct"/>
            <w:tcMar>
              <w:top w:w="0" w:type="dxa"/>
              <w:left w:w="108" w:type="dxa"/>
              <w:bottom w:w="0" w:type="dxa"/>
              <w:right w:w="108" w:type="dxa"/>
            </w:tcMar>
            <w:vAlign w:val="center"/>
            <w:hideMark/>
          </w:tcPr>
          <w:p w14:paraId="74031603" w14:textId="1E28E309" w:rsidR="00037539" w:rsidRPr="00766F51" w:rsidRDefault="00037539">
            <w:pPr>
              <w:keepNext/>
              <w:rPr>
                <w:sz w:val="20"/>
                <w:szCs w:val="20"/>
                <w:lang w:val="es-ES"/>
              </w:rPr>
            </w:pPr>
            <w:r>
              <w:rPr>
                <w:sz w:val="20"/>
                <w:szCs w:val="20"/>
                <w:lang w:val="es-ES"/>
              </w:rPr>
              <w:t>1.1 Introducir una prohibición de importar equipos a base de HCFC y HCFC en bombonas no recargables para 2028, así como una prohibición de importar HCFC a partir de 2030; analizar el consumo anual previsto de HCFC en el país para el período 2030–2040, de acuerdo con el período de reserva para servicio técnico; organizar dos reuniones de sensibilización dirigidas a las personas importadoras, la Dirección de Aduanas y el Ministerio de Comercio sobre las prohibiciones y la reserva para servicio técnico</w:t>
            </w:r>
          </w:p>
        </w:tc>
        <w:tc>
          <w:tcPr>
            <w:tcW w:w="849" w:type="pct"/>
            <w:tcMar>
              <w:top w:w="0" w:type="dxa"/>
              <w:left w:w="108" w:type="dxa"/>
              <w:bottom w:w="0" w:type="dxa"/>
              <w:right w:w="108" w:type="dxa"/>
            </w:tcMar>
            <w:vAlign w:val="center"/>
            <w:hideMark/>
          </w:tcPr>
          <w:p w14:paraId="35706B26" w14:textId="77777777" w:rsidR="00037539" w:rsidRDefault="00037539">
            <w:pPr>
              <w:jc w:val="right"/>
            </w:pPr>
            <w:r>
              <w:rPr>
                <w:sz w:val="20"/>
                <w:szCs w:val="20"/>
              </w:rPr>
              <w:t>12.000</w:t>
            </w:r>
          </w:p>
        </w:tc>
        <w:tc>
          <w:tcPr>
            <w:tcW w:w="850" w:type="pct"/>
            <w:tcMar>
              <w:top w:w="0" w:type="dxa"/>
              <w:left w:w="108" w:type="dxa"/>
              <w:bottom w:w="0" w:type="dxa"/>
              <w:right w:w="108" w:type="dxa"/>
            </w:tcMar>
            <w:vAlign w:val="center"/>
            <w:hideMark/>
          </w:tcPr>
          <w:p w14:paraId="34CB6699" w14:textId="15634871" w:rsidR="00037539" w:rsidRDefault="00037539">
            <w:pPr>
              <w:jc w:val="right"/>
            </w:pPr>
            <w:r>
              <w:rPr>
                <w:sz w:val="20"/>
                <w:szCs w:val="20"/>
              </w:rPr>
              <w:t>4.000</w:t>
            </w:r>
          </w:p>
        </w:tc>
      </w:tr>
      <w:tr w:rsidR="00037539" w14:paraId="29DC0893" w14:textId="77777777">
        <w:tc>
          <w:tcPr>
            <w:tcW w:w="3301" w:type="pct"/>
            <w:tcMar>
              <w:top w:w="0" w:type="dxa"/>
              <w:left w:w="108" w:type="dxa"/>
              <w:bottom w:w="0" w:type="dxa"/>
              <w:right w:w="108" w:type="dxa"/>
            </w:tcMar>
            <w:vAlign w:val="center"/>
            <w:hideMark/>
          </w:tcPr>
          <w:p w14:paraId="7E87C353" w14:textId="7B7D4AB1" w:rsidR="00037539" w:rsidRPr="00766F51" w:rsidRDefault="00037539">
            <w:pPr>
              <w:rPr>
                <w:kern w:val="2"/>
                <w:lang w:val="es-ES" w:eastAsia="en-CA"/>
                <w14:ligatures w14:val="standardContextual"/>
              </w:rPr>
            </w:pPr>
            <w:r>
              <w:rPr>
                <w:sz w:val="20"/>
                <w:szCs w:val="20"/>
                <w:lang w:val="es-ES"/>
              </w:rPr>
              <w:t>1.2 Mejorar la recopilación de datos, sistematización y presentación de informes, y reforzar la colaboración entre las partes interesadas, incluido el establecimiento y mantenimiento de la base de datos nacional sobre talleres de refrigeración y aire acondicionado (RAC), equipos de refrigeración y aire acondicionado y centros de capacitación en RAC, y organizar dos talleres para las partes interesadas sobre el uso de la base de datos y la presentación de datos</w:t>
            </w:r>
          </w:p>
        </w:tc>
        <w:tc>
          <w:tcPr>
            <w:tcW w:w="849" w:type="pct"/>
            <w:tcMar>
              <w:top w:w="0" w:type="dxa"/>
              <w:left w:w="108" w:type="dxa"/>
              <w:bottom w:w="0" w:type="dxa"/>
              <w:right w:w="108" w:type="dxa"/>
            </w:tcMar>
            <w:vAlign w:val="center"/>
            <w:hideMark/>
          </w:tcPr>
          <w:p w14:paraId="395D4DF3" w14:textId="77777777" w:rsidR="00037539" w:rsidRDefault="00037539">
            <w:pPr>
              <w:jc w:val="right"/>
            </w:pPr>
            <w:r>
              <w:rPr>
                <w:sz w:val="20"/>
                <w:szCs w:val="20"/>
              </w:rPr>
              <w:t>30.000</w:t>
            </w:r>
          </w:p>
        </w:tc>
        <w:tc>
          <w:tcPr>
            <w:tcW w:w="850" w:type="pct"/>
            <w:tcMar>
              <w:top w:w="0" w:type="dxa"/>
              <w:left w:w="108" w:type="dxa"/>
              <w:bottom w:w="0" w:type="dxa"/>
              <w:right w:w="108" w:type="dxa"/>
            </w:tcMar>
            <w:vAlign w:val="center"/>
            <w:hideMark/>
          </w:tcPr>
          <w:p w14:paraId="4B84346D" w14:textId="77777777" w:rsidR="00037539" w:rsidRDefault="00037539">
            <w:pPr>
              <w:jc w:val="right"/>
            </w:pPr>
            <w:r>
              <w:rPr>
                <w:sz w:val="20"/>
                <w:szCs w:val="20"/>
              </w:rPr>
              <w:t>20.000</w:t>
            </w:r>
          </w:p>
        </w:tc>
      </w:tr>
      <w:tr w:rsidR="00037539" w14:paraId="3DB840A2" w14:textId="77777777">
        <w:tc>
          <w:tcPr>
            <w:tcW w:w="3301" w:type="pct"/>
            <w:tcMar>
              <w:top w:w="0" w:type="dxa"/>
              <w:left w:w="108" w:type="dxa"/>
              <w:bottom w:w="0" w:type="dxa"/>
              <w:right w:w="108" w:type="dxa"/>
            </w:tcMar>
            <w:vAlign w:val="center"/>
            <w:hideMark/>
          </w:tcPr>
          <w:p w14:paraId="7941B41C" w14:textId="77777777" w:rsidR="00037539" w:rsidRDefault="00037539">
            <w:r>
              <w:rPr>
                <w:b/>
                <w:bCs/>
                <w:sz w:val="20"/>
                <w:szCs w:val="20"/>
              </w:rPr>
              <w:t>Subtotal</w:t>
            </w:r>
          </w:p>
        </w:tc>
        <w:tc>
          <w:tcPr>
            <w:tcW w:w="849" w:type="pct"/>
            <w:tcMar>
              <w:top w:w="0" w:type="dxa"/>
              <w:left w:w="108" w:type="dxa"/>
              <w:bottom w:w="0" w:type="dxa"/>
              <w:right w:w="108" w:type="dxa"/>
            </w:tcMar>
            <w:vAlign w:val="center"/>
            <w:hideMark/>
          </w:tcPr>
          <w:p w14:paraId="68A785AA" w14:textId="77777777" w:rsidR="00037539" w:rsidRDefault="00037539">
            <w:pPr>
              <w:jc w:val="right"/>
            </w:pPr>
            <w:r>
              <w:rPr>
                <w:b/>
                <w:bCs/>
                <w:sz w:val="20"/>
                <w:szCs w:val="20"/>
              </w:rPr>
              <w:t>42.000</w:t>
            </w:r>
          </w:p>
        </w:tc>
        <w:tc>
          <w:tcPr>
            <w:tcW w:w="850" w:type="pct"/>
            <w:tcMar>
              <w:top w:w="0" w:type="dxa"/>
              <w:left w:w="108" w:type="dxa"/>
              <w:bottom w:w="0" w:type="dxa"/>
              <w:right w:w="108" w:type="dxa"/>
            </w:tcMar>
            <w:vAlign w:val="center"/>
            <w:hideMark/>
          </w:tcPr>
          <w:p w14:paraId="7DBFAF62" w14:textId="77777777" w:rsidR="00037539" w:rsidRDefault="00037539">
            <w:pPr>
              <w:jc w:val="right"/>
            </w:pPr>
            <w:r>
              <w:rPr>
                <w:b/>
                <w:bCs/>
                <w:sz w:val="20"/>
                <w:szCs w:val="20"/>
              </w:rPr>
              <w:t>24.000</w:t>
            </w:r>
          </w:p>
        </w:tc>
      </w:tr>
      <w:tr w:rsidR="00037539" w:rsidRPr="00506434" w14:paraId="7DC3F594" w14:textId="77777777">
        <w:tc>
          <w:tcPr>
            <w:tcW w:w="3301" w:type="pct"/>
            <w:tcMar>
              <w:top w:w="0" w:type="dxa"/>
              <w:left w:w="108" w:type="dxa"/>
              <w:bottom w:w="0" w:type="dxa"/>
              <w:right w:w="108" w:type="dxa"/>
            </w:tcMar>
            <w:vAlign w:val="center"/>
          </w:tcPr>
          <w:p w14:paraId="60944E68" w14:textId="7EAB24CB" w:rsidR="00037539" w:rsidRPr="00766F51" w:rsidRDefault="00037539">
            <w:pPr>
              <w:rPr>
                <w:b/>
                <w:bCs/>
                <w:sz w:val="20"/>
                <w:szCs w:val="20"/>
                <w:lang w:val="es-ES"/>
              </w:rPr>
            </w:pPr>
            <w:r>
              <w:rPr>
                <w:b/>
                <w:bCs/>
                <w:sz w:val="20"/>
                <w:szCs w:val="20"/>
                <w:lang w:val="es-ES"/>
              </w:rPr>
              <w:t>2. Fortalecimiento de las capacidades del personal de aduanas y de fiscalización</w:t>
            </w:r>
          </w:p>
        </w:tc>
        <w:tc>
          <w:tcPr>
            <w:tcW w:w="849" w:type="pct"/>
            <w:tcMar>
              <w:top w:w="0" w:type="dxa"/>
              <w:left w:w="108" w:type="dxa"/>
              <w:bottom w:w="0" w:type="dxa"/>
              <w:right w:w="108" w:type="dxa"/>
            </w:tcMar>
            <w:vAlign w:val="center"/>
          </w:tcPr>
          <w:p w14:paraId="3490D787" w14:textId="77777777" w:rsidR="00037539" w:rsidRPr="00766F51" w:rsidRDefault="00037539">
            <w:pPr>
              <w:jc w:val="right"/>
              <w:rPr>
                <w:b/>
                <w:bCs/>
                <w:sz w:val="20"/>
                <w:szCs w:val="20"/>
                <w:lang w:val="es-ES"/>
              </w:rPr>
            </w:pPr>
          </w:p>
        </w:tc>
        <w:tc>
          <w:tcPr>
            <w:tcW w:w="850" w:type="pct"/>
            <w:tcMar>
              <w:top w:w="0" w:type="dxa"/>
              <w:left w:w="108" w:type="dxa"/>
              <w:bottom w:w="0" w:type="dxa"/>
              <w:right w:w="108" w:type="dxa"/>
            </w:tcMar>
            <w:vAlign w:val="center"/>
          </w:tcPr>
          <w:p w14:paraId="33A93787" w14:textId="77777777" w:rsidR="00037539" w:rsidRPr="00766F51" w:rsidRDefault="00037539">
            <w:pPr>
              <w:jc w:val="right"/>
              <w:rPr>
                <w:b/>
                <w:bCs/>
                <w:sz w:val="20"/>
                <w:szCs w:val="20"/>
                <w:lang w:val="es-ES"/>
              </w:rPr>
            </w:pPr>
          </w:p>
        </w:tc>
      </w:tr>
      <w:tr w:rsidR="00037539" w14:paraId="24C85395" w14:textId="77777777">
        <w:tc>
          <w:tcPr>
            <w:tcW w:w="3301" w:type="pct"/>
            <w:tcMar>
              <w:top w:w="0" w:type="dxa"/>
              <w:left w:w="108" w:type="dxa"/>
              <w:bottom w:w="0" w:type="dxa"/>
              <w:right w:w="108" w:type="dxa"/>
            </w:tcMar>
            <w:vAlign w:val="center"/>
          </w:tcPr>
          <w:p w14:paraId="61B1302A" w14:textId="77777777" w:rsidR="00037539" w:rsidRPr="00766F51" w:rsidRDefault="00037539">
            <w:pPr>
              <w:rPr>
                <w:b/>
                <w:bCs/>
                <w:sz w:val="20"/>
                <w:szCs w:val="20"/>
                <w:lang w:val="es-ES"/>
              </w:rPr>
            </w:pPr>
            <w:r>
              <w:rPr>
                <w:sz w:val="20"/>
                <w:szCs w:val="20"/>
                <w:lang w:val="es-ES"/>
              </w:rPr>
              <w:t>2.1 Actualización de los materiales de capacitación; y organización de nueve cursos de capacitación para 180 personas funcionarias de aduanas y de la policía fiscal sobre la reglamentación relativa a las sustancias que agotan la capa de ozono, la identificación de sustancias controladas y el seguimiento</w:t>
            </w:r>
          </w:p>
        </w:tc>
        <w:tc>
          <w:tcPr>
            <w:tcW w:w="849" w:type="pct"/>
            <w:tcMar>
              <w:top w:w="0" w:type="dxa"/>
              <w:left w:w="108" w:type="dxa"/>
              <w:bottom w:w="0" w:type="dxa"/>
              <w:right w:w="108" w:type="dxa"/>
            </w:tcMar>
            <w:vAlign w:val="center"/>
          </w:tcPr>
          <w:p w14:paraId="6591AFC5" w14:textId="77777777" w:rsidR="00037539" w:rsidRDefault="00037539">
            <w:pPr>
              <w:jc w:val="right"/>
              <w:rPr>
                <w:b/>
                <w:bCs/>
                <w:sz w:val="20"/>
                <w:szCs w:val="20"/>
              </w:rPr>
            </w:pPr>
            <w:r>
              <w:rPr>
                <w:sz w:val="20"/>
                <w:szCs w:val="20"/>
              </w:rPr>
              <w:t>40.000</w:t>
            </w:r>
          </w:p>
        </w:tc>
        <w:tc>
          <w:tcPr>
            <w:tcW w:w="850" w:type="pct"/>
            <w:tcMar>
              <w:top w:w="0" w:type="dxa"/>
              <w:left w:w="108" w:type="dxa"/>
              <w:bottom w:w="0" w:type="dxa"/>
              <w:right w:w="108" w:type="dxa"/>
            </w:tcMar>
            <w:vAlign w:val="center"/>
          </w:tcPr>
          <w:p w14:paraId="211103B7" w14:textId="77777777" w:rsidR="00037539" w:rsidRDefault="00037539">
            <w:pPr>
              <w:jc w:val="right"/>
              <w:rPr>
                <w:b/>
                <w:bCs/>
                <w:sz w:val="20"/>
                <w:szCs w:val="20"/>
              </w:rPr>
            </w:pPr>
            <w:r>
              <w:rPr>
                <w:sz w:val="20"/>
                <w:szCs w:val="20"/>
              </w:rPr>
              <w:t>19.000</w:t>
            </w:r>
          </w:p>
        </w:tc>
      </w:tr>
      <w:tr w:rsidR="00037539" w14:paraId="6B071EAC" w14:textId="77777777">
        <w:tc>
          <w:tcPr>
            <w:tcW w:w="3301" w:type="pct"/>
            <w:tcMar>
              <w:top w:w="0" w:type="dxa"/>
              <w:left w:w="108" w:type="dxa"/>
              <w:bottom w:w="0" w:type="dxa"/>
              <w:right w:w="108" w:type="dxa"/>
            </w:tcMar>
            <w:vAlign w:val="center"/>
          </w:tcPr>
          <w:p w14:paraId="343B3546" w14:textId="77777777" w:rsidR="00037539" w:rsidRDefault="00037539">
            <w:pPr>
              <w:rPr>
                <w:b/>
                <w:bCs/>
                <w:sz w:val="20"/>
                <w:szCs w:val="20"/>
              </w:rPr>
            </w:pPr>
            <w:r>
              <w:rPr>
                <w:b/>
                <w:bCs/>
                <w:sz w:val="20"/>
                <w:szCs w:val="20"/>
              </w:rPr>
              <w:t>Subtotal</w:t>
            </w:r>
          </w:p>
        </w:tc>
        <w:tc>
          <w:tcPr>
            <w:tcW w:w="849" w:type="pct"/>
            <w:tcMar>
              <w:top w:w="0" w:type="dxa"/>
              <w:left w:w="108" w:type="dxa"/>
              <w:bottom w:w="0" w:type="dxa"/>
              <w:right w:w="108" w:type="dxa"/>
            </w:tcMar>
            <w:vAlign w:val="center"/>
          </w:tcPr>
          <w:p w14:paraId="5E779678" w14:textId="77777777" w:rsidR="00037539" w:rsidRDefault="00037539">
            <w:pPr>
              <w:jc w:val="right"/>
              <w:rPr>
                <w:b/>
                <w:bCs/>
                <w:sz w:val="20"/>
                <w:szCs w:val="20"/>
              </w:rPr>
            </w:pPr>
            <w:r>
              <w:rPr>
                <w:b/>
                <w:bCs/>
                <w:sz w:val="20"/>
                <w:szCs w:val="20"/>
              </w:rPr>
              <w:t>40.000</w:t>
            </w:r>
          </w:p>
        </w:tc>
        <w:tc>
          <w:tcPr>
            <w:tcW w:w="850" w:type="pct"/>
            <w:tcMar>
              <w:top w:w="0" w:type="dxa"/>
              <w:left w:w="108" w:type="dxa"/>
              <w:bottom w:w="0" w:type="dxa"/>
              <w:right w:w="108" w:type="dxa"/>
            </w:tcMar>
            <w:vAlign w:val="center"/>
          </w:tcPr>
          <w:p w14:paraId="2CD463D8" w14:textId="77777777" w:rsidR="00037539" w:rsidRDefault="00037539">
            <w:pPr>
              <w:jc w:val="right"/>
              <w:rPr>
                <w:b/>
                <w:bCs/>
                <w:sz w:val="20"/>
                <w:szCs w:val="20"/>
              </w:rPr>
            </w:pPr>
            <w:r>
              <w:rPr>
                <w:b/>
                <w:bCs/>
                <w:sz w:val="20"/>
                <w:szCs w:val="20"/>
              </w:rPr>
              <w:t>19.000</w:t>
            </w:r>
          </w:p>
        </w:tc>
      </w:tr>
      <w:tr w:rsidR="00037539" w:rsidRPr="00506434" w14:paraId="6247312C" w14:textId="77777777">
        <w:tc>
          <w:tcPr>
            <w:tcW w:w="0" w:type="auto"/>
            <w:gridSpan w:val="3"/>
            <w:tcMar>
              <w:top w:w="0" w:type="dxa"/>
              <w:left w:w="108" w:type="dxa"/>
              <w:bottom w:w="0" w:type="dxa"/>
              <w:right w:w="108" w:type="dxa"/>
            </w:tcMar>
            <w:vAlign w:val="center"/>
            <w:hideMark/>
          </w:tcPr>
          <w:p w14:paraId="0B309816" w14:textId="3565F6D1" w:rsidR="00037539" w:rsidRPr="00766F51" w:rsidRDefault="00037539">
            <w:pPr>
              <w:rPr>
                <w:lang w:val="es-ES"/>
              </w:rPr>
            </w:pPr>
            <w:r>
              <w:rPr>
                <w:b/>
                <w:bCs/>
                <w:sz w:val="20"/>
                <w:szCs w:val="20"/>
                <w:lang w:val="es-ES"/>
              </w:rPr>
              <w:t>3. Creación de capacidad de técnicos de refrigeración y aire acondicionado</w:t>
            </w:r>
          </w:p>
        </w:tc>
      </w:tr>
      <w:tr w:rsidR="00037539" w14:paraId="420334AC" w14:textId="77777777">
        <w:tc>
          <w:tcPr>
            <w:tcW w:w="3301" w:type="pct"/>
            <w:tcMar>
              <w:top w:w="0" w:type="dxa"/>
              <w:left w:w="108" w:type="dxa"/>
              <w:bottom w:w="0" w:type="dxa"/>
              <w:right w:w="108" w:type="dxa"/>
            </w:tcMar>
            <w:vAlign w:val="center"/>
            <w:hideMark/>
          </w:tcPr>
          <w:p w14:paraId="60365321" w14:textId="394DA3D8" w:rsidR="00037539" w:rsidRPr="00766F51" w:rsidRDefault="00037539">
            <w:pPr>
              <w:rPr>
                <w:kern w:val="2"/>
                <w:lang w:val="es-ES" w:eastAsia="en-CA"/>
                <w14:ligatures w14:val="standardContextual"/>
              </w:rPr>
            </w:pPr>
            <w:r>
              <w:rPr>
                <w:sz w:val="20"/>
                <w:szCs w:val="20"/>
                <w:lang w:val="es-ES"/>
              </w:rPr>
              <w:t>3.1 Actualizar el material formativo; impartir cuatro cursos de formación a 80 personas técnicas de refrigeración y aire acondicionado sobre buenas prácticas de servicio técnico y manipulación segura de refrigerantes inflamables; llevar a cabo una campaña para fomentar la participación de las mujeres en el sector de la refrigeración y el aire acondicionado, que incluya la elaboración de material sobre las oportunidades en dicho sector y la organización de sesiones informativas y presentaciones en centros de educación secundaria y formación profesional</w:t>
            </w:r>
          </w:p>
        </w:tc>
        <w:tc>
          <w:tcPr>
            <w:tcW w:w="849" w:type="pct"/>
            <w:tcMar>
              <w:top w:w="0" w:type="dxa"/>
              <w:left w:w="108" w:type="dxa"/>
              <w:bottom w:w="0" w:type="dxa"/>
              <w:right w:w="108" w:type="dxa"/>
            </w:tcMar>
            <w:vAlign w:val="center"/>
            <w:hideMark/>
          </w:tcPr>
          <w:p w14:paraId="1F1FF347" w14:textId="2EF684A7" w:rsidR="00037539" w:rsidRDefault="009D2215">
            <w:pPr>
              <w:jc w:val="right"/>
            </w:pPr>
            <w:r>
              <w:rPr>
                <w:sz w:val="20"/>
                <w:szCs w:val="20"/>
              </w:rPr>
              <w:t>27.000</w:t>
            </w:r>
          </w:p>
        </w:tc>
        <w:tc>
          <w:tcPr>
            <w:tcW w:w="850" w:type="pct"/>
            <w:tcMar>
              <w:top w:w="0" w:type="dxa"/>
              <w:left w:w="108" w:type="dxa"/>
              <w:bottom w:w="0" w:type="dxa"/>
              <w:right w:w="108" w:type="dxa"/>
            </w:tcMar>
            <w:vAlign w:val="center"/>
            <w:hideMark/>
          </w:tcPr>
          <w:p w14:paraId="27C4BFEA" w14:textId="01D3F309" w:rsidR="00037539" w:rsidRDefault="002F56FA">
            <w:pPr>
              <w:jc w:val="right"/>
            </w:pPr>
            <w:r>
              <w:rPr>
                <w:sz w:val="20"/>
                <w:szCs w:val="20"/>
              </w:rPr>
              <w:t>14.500</w:t>
            </w:r>
          </w:p>
        </w:tc>
      </w:tr>
      <w:tr w:rsidR="00037539" w14:paraId="25DE7FE1" w14:textId="77777777">
        <w:tc>
          <w:tcPr>
            <w:tcW w:w="3301" w:type="pct"/>
            <w:tcMar>
              <w:top w:w="0" w:type="dxa"/>
              <w:left w:w="108" w:type="dxa"/>
              <w:bottom w:w="0" w:type="dxa"/>
              <w:right w:w="108" w:type="dxa"/>
            </w:tcMar>
            <w:vAlign w:val="center"/>
            <w:hideMark/>
          </w:tcPr>
          <w:p w14:paraId="10087AF6" w14:textId="17D4D1F0" w:rsidR="00037539" w:rsidRPr="00766F51" w:rsidRDefault="00037539">
            <w:pPr>
              <w:rPr>
                <w:kern w:val="2"/>
                <w:lang w:val="es-ES" w:eastAsia="en-CA"/>
                <w14:ligatures w14:val="standardContextual"/>
              </w:rPr>
            </w:pPr>
            <w:r>
              <w:rPr>
                <w:sz w:val="20"/>
                <w:szCs w:val="20"/>
                <w:lang w:val="es-ES"/>
              </w:rPr>
              <w:t>3.2 Desarrollar y poner en práctica un plan de certificación para personas técnicas de refrigeración y aire acondicionado, lo que incluye la organización de dos talleres de consulta con contrapartes, la evaluación y el refuerzo de los centros de capacitación mediante visitas sobre el terreno, la elaboración de normas de competencia laboral y directrices de certificación, la creación de centros de certificación y la certificación de 25 personas técnicas de refrigeración y aire acondicionado</w:t>
            </w:r>
          </w:p>
        </w:tc>
        <w:tc>
          <w:tcPr>
            <w:tcW w:w="849" w:type="pct"/>
            <w:tcMar>
              <w:top w:w="0" w:type="dxa"/>
              <w:left w:w="108" w:type="dxa"/>
              <w:bottom w:w="0" w:type="dxa"/>
              <w:right w:w="108" w:type="dxa"/>
            </w:tcMar>
            <w:vAlign w:val="center"/>
            <w:hideMark/>
          </w:tcPr>
          <w:p w14:paraId="3061E5FE" w14:textId="77777777" w:rsidR="00037539" w:rsidRDefault="00037539">
            <w:pPr>
              <w:jc w:val="right"/>
            </w:pPr>
            <w:r>
              <w:rPr>
                <w:sz w:val="20"/>
                <w:szCs w:val="20"/>
              </w:rPr>
              <w:t>60.000</w:t>
            </w:r>
          </w:p>
        </w:tc>
        <w:tc>
          <w:tcPr>
            <w:tcW w:w="850" w:type="pct"/>
            <w:tcMar>
              <w:top w:w="0" w:type="dxa"/>
              <w:left w:w="108" w:type="dxa"/>
              <w:bottom w:w="0" w:type="dxa"/>
              <w:right w:w="108" w:type="dxa"/>
            </w:tcMar>
            <w:vAlign w:val="center"/>
            <w:hideMark/>
          </w:tcPr>
          <w:p w14:paraId="36C104B6" w14:textId="77777777" w:rsidR="00037539" w:rsidRDefault="00037539">
            <w:pPr>
              <w:jc w:val="right"/>
            </w:pPr>
            <w:r>
              <w:rPr>
                <w:sz w:val="20"/>
                <w:szCs w:val="20"/>
              </w:rPr>
              <w:t>17.000</w:t>
            </w:r>
          </w:p>
        </w:tc>
      </w:tr>
      <w:tr w:rsidR="00037539" w14:paraId="291547F8" w14:textId="77777777">
        <w:tc>
          <w:tcPr>
            <w:tcW w:w="3301" w:type="pct"/>
            <w:tcMar>
              <w:top w:w="0" w:type="dxa"/>
              <w:left w:w="108" w:type="dxa"/>
              <w:bottom w:w="0" w:type="dxa"/>
              <w:right w:w="108" w:type="dxa"/>
            </w:tcMar>
            <w:vAlign w:val="center"/>
            <w:hideMark/>
          </w:tcPr>
          <w:p w14:paraId="5B8ACFF8" w14:textId="77777777" w:rsidR="00037539" w:rsidRDefault="00037539">
            <w:r>
              <w:rPr>
                <w:b/>
                <w:bCs/>
                <w:sz w:val="20"/>
                <w:szCs w:val="20"/>
              </w:rPr>
              <w:t>Subtotal</w:t>
            </w:r>
          </w:p>
        </w:tc>
        <w:tc>
          <w:tcPr>
            <w:tcW w:w="849" w:type="pct"/>
            <w:tcMar>
              <w:top w:w="0" w:type="dxa"/>
              <w:left w:w="108" w:type="dxa"/>
              <w:bottom w:w="0" w:type="dxa"/>
              <w:right w:w="108" w:type="dxa"/>
            </w:tcMar>
            <w:vAlign w:val="center"/>
            <w:hideMark/>
          </w:tcPr>
          <w:p w14:paraId="775941A5" w14:textId="77777777" w:rsidR="00037539" w:rsidRDefault="00037539">
            <w:pPr>
              <w:jc w:val="right"/>
            </w:pPr>
            <w:r>
              <w:rPr>
                <w:b/>
                <w:bCs/>
                <w:sz w:val="20"/>
                <w:szCs w:val="20"/>
              </w:rPr>
              <w:t>87.000</w:t>
            </w:r>
          </w:p>
        </w:tc>
        <w:tc>
          <w:tcPr>
            <w:tcW w:w="850" w:type="pct"/>
            <w:tcMar>
              <w:top w:w="0" w:type="dxa"/>
              <w:left w:w="108" w:type="dxa"/>
              <w:bottom w:w="0" w:type="dxa"/>
              <w:right w:w="108" w:type="dxa"/>
            </w:tcMar>
            <w:vAlign w:val="center"/>
            <w:hideMark/>
          </w:tcPr>
          <w:p w14:paraId="36384E01" w14:textId="77777777" w:rsidR="00037539" w:rsidRDefault="00037539">
            <w:pPr>
              <w:jc w:val="right"/>
            </w:pPr>
            <w:r>
              <w:rPr>
                <w:b/>
                <w:bCs/>
                <w:sz w:val="20"/>
                <w:szCs w:val="20"/>
              </w:rPr>
              <w:t>31.500</w:t>
            </w:r>
          </w:p>
        </w:tc>
      </w:tr>
      <w:tr w:rsidR="00037539" w:rsidRPr="00B50897" w14:paraId="54C3087A" w14:textId="77777777">
        <w:tc>
          <w:tcPr>
            <w:tcW w:w="0" w:type="auto"/>
            <w:gridSpan w:val="3"/>
            <w:tcMar>
              <w:top w:w="0" w:type="dxa"/>
              <w:left w:w="108" w:type="dxa"/>
              <w:bottom w:w="0" w:type="dxa"/>
              <w:right w:w="108" w:type="dxa"/>
            </w:tcMar>
            <w:vAlign w:val="center"/>
            <w:hideMark/>
          </w:tcPr>
          <w:p w14:paraId="3076B323" w14:textId="77777777" w:rsidR="00037539" w:rsidRPr="00766F51" w:rsidRDefault="00037539">
            <w:pPr>
              <w:rPr>
                <w:lang w:val="es-ES"/>
              </w:rPr>
            </w:pPr>
            <w:r>
              <w:rPr>
                <w:b/>
                <w:bCs/>
                <w:sz w:val="20"/>
                <w:szCs w:val="20"/>
                <w:lang w:val="es-ES"/>
              </w:rPr>
              <w:t>4. Seguimiento, evaluación y presentación de informes</w:t>
            </w:r>
          </w:p>
        </w:tc>
      </w:tr>
      <w:tr w:rsidR="00037539" w14:paraId="649015FA" w14:textId="77777777">
        <w:tc>
          <w:tcPr>
            <w:tcW w:w="3301" w:type="pct"/>
            <w:tcMar>
              <w:top w:w="0" w:type="dxa"/>
              <w:left w:w="108" w:type="dxa"/>
              <w:bottom w:w="0" w:type="dxa"/>
              <w:right w:w="108" w:type="dxa"/>
            </w:tcMar>
            <w:vAlign w:val="center"/>
            <w:hideMark/>
          </w:tcPr>
          <w:p w14:paraId="59290417" w14:textId="77777777" w:rsidR="00037539" w:rsidRPr="00766F51" w:rsidRDefault="00037539">
            <w:pPr>
              <w:rPr>
                <w:kern w:val="2"/>
                <w:lang w:val="es-ES" w:eastAsia="en-CA"/>
                <w14:ligatures w14:val="standardContextual"/>
              </w:rPr>
            </w:pPr>
            <w:r>
              <w:rPr>
                <w:sz w:val="20"/>
                <w:szCs w:val="20"/>
                <w:lang w:val="es-ES"/>
              </w:rPr>
              <w:t>4.1 Llevar a cabo actividades de seguimiento, evaluación y presentación de informes</w:t>
            </w:r>
          </w:p>
        </w:tc>
        <w:tc>
          <w:tcPr>
            <w:tcW w:w="849" w:type="pct"/>
            <w:tcMar>
              <w:top w:w="0" w:type="dxa"/>
              <w:left w:w="108" w:type="dxa"/>
              <w:bottom w:w="0" w:type="dxa"/>
              <w:right w:w="108" w:type="dxa"/>
            </w:tcMar>
            <w:vAlign w:val="center"/>
            <w:hideMark/>
          </w:tcPr>
          <w:p w14:paraId="158EC30B" w14:textId="77777777" w:rsidR="00037539" w:rsidRDefault="00037539">
            <w:pPr>
              <w:jc w:val="right"/>
            </w:pPr>
            <w:r>
              <w:rPr>
                <w:sz w:val="20"/>
                <w:szCs w:val="20"/>
              </w:rPr>
              <w:t>22.000</w:t>
            </w:r>
          </w:p>
        </w:tc>
        <w:tc>
          <w:tcPr>
            <w:tcW w:w="850" w:type="pct"/>
            <w:tcMar>
              <w:top w:w="0" w:type="dxa"/>
              <w:left w:w="108" w:type="dxa"/>
              <w:bottom w:w="0" w:type="dxa"/>
              <w:right w:w="108" w:type="dxa"/>
            </w:tcMar>
            <w:vAlign w:val="center"/>
            <w:hideMark/>
          </w:tcPr>
          <w:p w14:paraId="20DD4AEC" w14:textId="77777777" w:rsidR="00037539" w:rsidRDefault="00037539">
            <w:pPr>
              <w:jc w:val="right"/>
            </w:pPr>
            <w:r>
              <w:rPr>
                <w:sz w:val="20"/>
                <w:szCs w:val="20"/>
              </w:rPr>
              <w:t>11.000</w:t>
            </w:r>
          </w:p>
        </w:tc>
      </w:tr>
      <w:tr w:rsidR="00037539" w14:paraId="39FAF300" w14:textId="77777777">
        <w:tc>
          <w:tcPr>
            <w:tcW w:w="3301" w:type="pct"/>
            <w:tcMar>
              <w:top w:w="0" w:type="dxa"/>
              <w:left w:w="108" w:type="dxa"/>
              <w:bottom w:w="0" w:type="dxa"/>
              <w:right w:w="108" w:type="dxa"/>
            </w:tcMar>
            <w:vAlign w:val="center"/>
            <w:hideMark/>
          </w:tcPr>
          <w:p w14:paraId="06A7F449" w14:textId="77777777" w:rsidR="00037539" w:rsidRDefault="00037539">
            <w:r>
              <w:rPr>
                <w:b/>
                <w:bCs/>
                <w:sz w:val="20"/>
                <w:szCs w:val="20"/>
              </w:rPr>
              <w:t>Subtotal</w:t>
            </w:r>
          </w:p>
        </w:tc>
        <w:tc>
          <w:tcPr>
            <w:tcW w:w="849" w:type="pct"/>
            <w:tcMar>
              <w:top w:w="0" w:type="dxa"/>
              <w:left w:w="108" w:type="dxa"/>
              <w:bottom w:w="0" w:type="dxa"/>
              <w:right w:w="108" w:type="dxa"/>
            </w:tcMar>
            <w:vAlign w:val="center"/>
            <w:hideMark/>
          </w:tcPr>
          <w:p w14:paraId="74534D89" w14:textId="77777777" w:rsidR="00037539" w:rsidRDefault="00037539">
            <w:pPr>
              <w:jc w:val="right"/>
            </w:pPr>
            <w:r>
              <w:rPr>
                <w:b/>
                <w:bCs/>
                <w:sz w:val="20"/>
                <w:szCs w:val="20"/>
              </w:rPr>
              <w:t>22.000</w:t>
            </w:r>
          </w:p>
        </w:tc>
        <w:tc>
          <w:tcPr>
            <w:tcW w:w="850" w:type="pct"/>
            <w:tcMar>
              <w:top w:w="0" w:type="dxa"/>
              <w:left w:w="108" w:type="dxa"/>
              <w:bottom w:w="0" w:type="dxa"/>
              <w:right w:w="108" w:type="dxa"/>
            </w:tcMar>
            <w:vAlign w:val="center"/>
            <w:hideMark/>
          </w:tcPr>
          <w:p w14:paraId="3AD289BD" w14:textId="77777777" w:rsidR="00037539" w:rsidRDefault="00037539">
            <w:pPr>
              <w:jc w:val="right"/>
            </w:pPr>
            <w:r>
              <w:rPr>
                <w:b/>
                <w:bCs/>
                <w:sz w:val="20"/>
                <w:szCs w:val="20"/>
              </w:rPr>
              <w:t>11.000</w:t>
            </w:r>
          </w:p>
        </w:tc>
      </w:tr>
      <w:tr w:rsidR="00037539" w14:paraId="61F1AB86" w14:textId="77777777">
        <w:tc>
          <w:tcPr>
            <w:tcW w:w="3301" w:type="pct"/>
            <w:tcMar>
              <w:top w:w="0" w:type="dxa"/>
              <w:left w:w="108" w:type="dxa"/>
              <w:bottom w:w="0" w:type="dxa"/>
              <w:right w:w="108" w:type="dxa"/>
            </w:tcMar>
            <w:vAlign w:val="center"/>
            <w:hideMark/>
          </w:tcPr>
          <w:p w14:paraId="6B490A95" w14:textId="77777777" w:rsidR="00037539" w:rsidRDefault="00037539">
            <w:r>
              <w:rPr>
                <w:b/>
                <w:bCs/>
                <w:sz w:val="20"/>
                <w:szCs w:val="20"/>
              </w:rPr>
              <w:t>Total general</w:t>
            </w:r>
          </w:p>
        </w:tc>
        <w:tc>
          <w:tcPr>
            <w:tcW w:w="849" w:type="pct"/>
            <w:tcMar>
              <w:top w:w="0" w:type="dxa"/>
              <w:left w:w="108" w:type="dxa"/>
              <w:bottom w:w="0" w:type="dxa"/>
              <w:right w:w="108" w:type="dxa"/>
            </w:tcMar>
            <w:vAlign w:val="center"/>
            <w:hideMark/>
          </w:tcPr>
          <w:p w14:paraId="6C27F02F" w14:textId="77777777" w:rsidR="00037539" w:rsidRDefault="00037539">
            <w:pPr>
              <w:jc w:val="right"/>
            </w:pPr>
            <w:r>
              <w:rPr>
                <w:b/>
                <w:bCs/>
                <w:sz w:val="20"/>
                <w:szCs w:val="20"/>
              </w:rPr>
              <w:t>191.000</w:t>
            </w:r>
          </w:p>
        </w:tc>
        <w:tc>
          <w:tcPr>
            <w:tcW w:w="850" w:type="pct"/>
            <w:tcMar>
              <w:top w:w="0" w:type="dxa"/>
              <w:left w:w="108" w:type="dxa"/>
              <w:bottom w:w="0" w:type="dxa"/>
              <w:right w:w="108" w:type="dxa"/>
            </w:tcMar>
            <w:vAlign w:val="center"/>
            <w:hideMark/>
          </w:tcPr>
          <w:p w14:paraId="5336373B" w14:textId="77777777" w:rsidR="00037539" w:rsidRDefault="00037539">
            <w:pPr>
              <w:jc w:val="right"/>
            </w:pPr>
            <w:r>
              <w:rPr>
                <w:b/>
                <w:bCs/>
                <w:sz w:val="20"/>
                <w:szCs w:val="20"/>
              </w:rPr>
              <w:t>85.500</w:t>
            </w:r>
          </w:p>
        </w:tc>
      </w:tr>
    </w:tbl>
    <w:p w14:paraId="0F4E0C66" w14:textId="77777777" w:rsidR="00037539" w:rsidRPr="00F42294" w:rsidRDefault="00037539" w:rsidP="00037539">
      <w:pPr>
        <w:keepNext/>
        <w:spacing w:before="240" w:after="240"/>
        <w:rPr>
          <w:i/>
          <w:iCs/>
        </w:rPr>
      </w:pPr>
      <w:r>
        <w:rPr>
          <w:i/>
          <w:iCs/>
        </w:rPr>
        <w:lastRenderedPageBreak/>
        <w:t xml:space="preserve">Ejecución y seguimiento del proyecto </w:t>
      </w:r>
    </w:p>
    <w:p w14:paraId="403E5AEE" w14:textId="37BEA34E" w:rsidR="00037539" w:rsidRPr="00766F51" w:rsidRDefault="00037539" w:rsidP="00037539">
      <w:pPr>
        <w:pStyle w:val="Heading1"/>
        <w:rPr>
          <w:lang w:val="es-ES" w:eastAsia="en-CA"/>
          <w14:ligatures w14:val="standardContextual"/>
        </w:rPr>
      </w:pPr>
      <w:bookmarkStart w:id="9" w:name="_Hlk126915798"/>
      <w:bookmarkEnd w:id="8"/>
      <w:r>
        <w:rPr>
          <w:lang w:val="es-ES"/>
        </w:rPr>
        <w:t>El sistema establecido en la etapa I del PGEH continuará en la etapa II, en la que la ONO y el PNUMA llevarán a cabo actividades de seguimiento, informarán sobre los avances y colaborarán con las partes interesadas para llevar a cabo la eliminación gradual de los HCFC. El gasto de esas actividades asciende a USD 22.000 para el PNUMA, incluidos el personal del proyecto y los consultores (USD 12.000), viajes (USD 4.000), reuniones y talleres (USD 3.000) y otros gastos (USD 3.000).</w:t>
      </w:r>
    </w:p>
    <w:p w14:paraId="333326F1" w14:textId="77777777" w:rsidR="00037539" w:rsidRPr="00766F51" w:rsidRDefault="00037539" w:rsidP="00037539">
      <w:pPr>
        <w:keepNext/>
        <w:spacing w:after="240"/>
        <w:outlineLvl w:val="0"/>
        <w:rPr>
          <w:u w:val="single"/>
          <w:lang w:val="es-ES"/>
        </w:rPr>
      </w:pPr>
      <w:bookmarkStart w:id="10" w:name="_Hlk126915819"/>
      <w:bookmarkEnd w:id="9"/>
      <w:r>
        <w:rPr>
          <w:u w:val="single"/>
          <w:lang w:val="es-ES"/>
        </w:rPr>
        <w:t>Costo total de la etapa II del plan de gestión de eliminación de los HCFC</w:t>
      </w:r>
    </w:p>
    <w:bookmarkEnd w:id="10"/>
    <w:p w14:paraId="4C69B428" w14:textId="77777777" w:rsidR="00037539" w:rsidRPr="00766F51" w:rsidRDefault="00037539" w:rsidP="00037539">
      <w:pPr>
        <w:pStyle w:val="Heading1"/>
        <w:rPr>
          <w:lang w:val="es-ES" w:eastAsia="en-CA"/>
          <w14:ligatures w14:val="standardContextual"/>
        </w:rPr>
      </w:pPr>
      <w:r>
        <w:rPr>
          <w:lang w:val="es-ES"/>
        </w:rPr>
        <w:t>El costo total de la etapa II del PGEH de Santo Tomé y Príncipe se ha estimado en USD 191.000 (más los gastos de apoyo al organismo), tal como se presentó inicialmente, con el objetivo de alcanzar un 100 % de reducción para 2030. En el cuadro 3 se resumen las actividades propuestas con su desglose de costos.</w:t>
      </w:r>
    </w:p>
    <w:p w14:paraId="0E313CC0" w14:textId="77777777" w:rsidR="00037539" w:rsidRPr="00766F51" w:rsidRDefault="00037539" w:rsidP="00037539">
      <w:pPr>
        <w:keepNext/>
        <w:spacing w:before="240" w:after="240"/>
        <w:rPr>
          <w:lang w:val="es-ES"/>
        </w:rPr>
      </w:pPr>
      <w:bookmarkStart w:id="11" w:name="_Hlk126915832"/>
      <w:r>
        <w:rPr>
          <w:u w:val="single"/>
          <w:lang w:val="es-ES"/>
        </w:rPr>
        <w:t>Plan de ejecución para el primer tramo de la etapa II del plan de gestión de eliminación de los HCFC</w:t>
      </w:r>
    </w:p>
    <w:bookmarkEnd w:id="11"/>
    <w:p w14:paraId="11F4398A" w14:textId="77777777" w:rsidR="00037539" w:rsidRPr="00766F51" w:rsidRDefault="00037539" w:rsidP="00037539">
      <w:pPr>
        <w:pStyle w:val="Heading1"/>
        <w:rPr>
          <w:lang w:val="es-ES" w:eastAsia="en-CA"/>
          <w14:ligatures w14:val="standardContextual"/>
        </w:rPr>
      </w:pPr>
      <w:r>
        <w:rPr>
          <w:lang w:val="es-ES"/>
        </w:rPr>
        <w:t>El primer tramo de financiamiento de la etapa II del PGEH, por un importe total de USD 85.500, se ejecutará entre enero de 2027 y diciembre de 2029. En el cuadro 3 anterior se presenta información detallada sobre las actividades incluidas en el primer tramo y el nivel de fondos solicitados.</w:t>
      </w:r>
    </w:p>
    <w:p w14:paraId="615027EA" w14:textId="77777777" w:rsidR="00037539" w:rsidRPr="00766F51" w:rsidRDefault="00037539" w:rsidP="00037539">
      <w:pPr>
        <w:keepNext/>
        <w:spacing w:before="360" w:after="240"/>
        <w:jc w:val="center"/>
        <w:rPr>
          <w:b/>
          <w:lang w:val="es-ES"/>
        </w:rPr>
      </w:pPr>
      <w:r>
        <w:rPr>
          <w:b/>
          <w:lang w:val="es-ES"/>
        </w:rPr>
        <w:t>OBSERVACIONES Y RECOMENDACIÓN DE LA SECRETARÍA</w:t>
      </w:r>
    </w:p>
    <w:p w14:paraId="5B183278" w14:textId="77777777" w:rsidR="00037539" w:rsidRPr="00996241" w:rsidRDefault="00037539" w:rsidP="00037539">
      <w:pPr>
        <w:keepNext/>
        <w:spacing w:after="240"/>
        <w:rPr>
          <w:b/>
        </w:rPr>
      </w:pPr>
      <w:r>
        <w:rPr>
          <w:b/>
        </w:rPr>
        <w:t>OBSERVACIONES</w:t>
      </w:r>
    </w:p>
    <w:p w14:paraId="4A55061A" w14:textId="77777777" w:rsidR="00037539" w:rsidRPr="00766F51" w:rsidRDefault="00037539" w:rsidP="00037539">
      <w:pPr>
        <w:pStyle w:val="Heading1"/>
        <w:rPr>
          <w:lang w:val="es-ES"/>
        </w:rPr>
      </w:pPr>
      <w:r>
        <w:rPr>
          <w:lang w:val="es-ES"/>
        </w:rPr>
        <w:t>La Secretaría ha revisado la etapa II del PGEH teniendo en cuenta la etapa I, las políticas y las directrices del Fondo Multilateral, incluidos los criterios para financiar la eliminación de los HCFC en el sector de consumo en la etapa II del PGEH (decisiones 74/50 y 90/31) y el plan administrativo del Fondo Multilateral para el período 2026–2028.</w:t>
      </w:r>
    </w:p>
    <w:p w14:paraId="3AD7EB7D" w14:textId="77777777" w:rsidR="00037539" w:rsidRPr="002132EE" w:rsidRDefault="00037539" w:rsidP="00037539">
      <w:pPr>
        <w:keepNext/>
        <w:spacing w:after="240"/>
        <w:rPr>
          <w:u w:val="single"/>
        </w:rPr>
      </w:pPr>
      <w:r>
        <w:rPr>
          <w:u w:val="single"/>
        </w:rPr>
        <w:t>Estrategia general</w:t>
      </w:r>
    </w:p>
    <w:p w14:paraId="0871DE4D" w14:textId="4090BB32" w:rsidR="00037539" w:rsidRPr="00766F51" w:rsidRDefault="00037539" w:rsidP="00037539">
      <w:pPr>
        <w:pStyle w:val="Heading1"/>
        <w:rPr>
          <w:lang w:val="es-ES"/>
        </w:rPr>
      </w:pPr>
      <w:r>
        <w:rPr>
          <w:lang w:val="es-ES"/>
        </w:rPr>
        <w:t>El Gobierno de Santo Tomé y Príncipe se propone alcanzar una reducción del 100 % de su consumo de referencia de HCFC para 2030, y mantener un consumo anual máximo de HCFC en el período comprendido entre 2030 y 2040 a un nivel en concordancia con el artículo 5, párrafo 8 ter e) i), del Protocolo de Montreal.</w:t>
      </w:r>
      <w:r>
        <w:rPr>
          <w:vertAlign w:val="superscript"/>
        </w:rPr>
        <w:footnoteReference w:id="4"/>
      </w:r>
      <w:r>
        <w:rPr>
          <w:lang w:val="es-ES"/>
        </w:rPr>
        <w:t xml:space="preserve"> El Gobierno se compromete a seguir ejecutando medidas estrictas de seguimiento y control para supervisar y controlar los niveles de importación y los usos de los HCFC durante ese período, a fin de garantizar que se limiten a las condiciones establecidas por el Protocolo de Montreal.</w:t>
      </w:r>
    </w:p>
    <w:p w14:paraId="1369D2D1" w14:textId="77777777" w:rsidR="00037539" w:rsidRPr="00766F51" w:rsidRDefault="00037539" w:rsidP="00037539">
      <w:pPr>
        <w:pStyle w:val="Heading1"/>
        <w:spacing w:after="0"/>
        <w:rPr>
          <w:lang w:val="es-ES"/>
        </w:rPr>
      </w:pPr>
      <w:r>
        <w:rPr>
          <w:lang w:val="es-ES"/>
        </w:rPr>
        <w:t>De conformidad con la decisión 86/51, para permitir el examen del tramo final de su PGEH, el Gobierno de Santo Tomé y Príncipe convino en presentar una descripción detallada del marco normativo y de políticas para aplicar medidas destinadas a garantizar que el consumo de HCFC sea conforme con el párrafo 8 ter e) i) del artículo 5 del Protocolo de Montreal para el período 2030–2040, así como el consumo anual previsto de HCFC en Santo Tomé y Príncipe para el período 2030–2040.</w:t>
      </w:r>
    </w:p>
    <w:p w14:paraId="5DC96128" w14:textId="77777777" w:rsidR="00037539" w:rsidRPr="0077794E" w:rsidRDefault="00037539" w:rsidP="00037539">
      <w:pPr>
        <w:pStyle w:val="Heading1"/>
        <w:keepNext/>
        <w:numPr>
          <w:ilvl w:val="0"/>
          <w:numId w:val="0"/>
        </w:numPr>
        <w:spacing w:before="240"/>
        <w:rPr>
          <w:highlight w:val="magenta"/>
        </w:rPr>
      </w:pPr>
      <w:r>
        <w:rPr>
          <w:u w:val="single"/>
        </w:rPr>
        <w:lastRenderedPageBreak/>
        <w:t>Marco jurídico</w:t>
      </w:r>
    </w:p>
    <w:p w14:paraId="11A13571" w14:textId="789D27EC" w:rsidR="00037539" w:rsidRPr="00766F51" w:rsidRDefault="00037539" w:rsidP="00037539">
      <w:pPr>
        <w:numPr>
          <w:ilvl w:val="0"/>
          <w:numId w:val="1"/>
        </w:numPr>
        <w:spacing w:after="240"/>
        <w:outlineLvl w:val="0"/>
        <w:rPr>
          <w:lang w:val="es-ES"/>
        </w:rPr>
      </w:pPr>
      <w:r>
        <w:rPr>
          <w:lang w:val="es-ES"/>
        </w:rPr>
        <w:t>El Gobierno de Santo Tomé y Príncipe ha emitido cupos de importación de HCFC para 2026 de 0,04 toneladas PAO, cifra inferior a la meta de control del Protocolo de Montreal.</w:t>
      </w:r>
    </w:p>
    <w:p w14:paraId="708BF7D4" w14:textId="77777777" w:rsidR="00037539" w:rsidRPr="00766F51" w:rsidRDefault="00037539" w:rsidP="00037539">
      <w:pPr>
        <w:keepNext/>
        <w:spacing w:after="240"/>
        <w:rPr>
          <w:lang w:val="es-ES"/>
        </w:rPr>
      </w:pPr>
      <w:r>
        <w:rPr>
          <w:u w:val="single"/>
          <w:lang w:val="es-ES"/>
        </w:rPr>
        <w:t>Cuestiones técnicas y relacionadas con los costos</w:t>
      </w:r>
    </w:p>
    <w:p w14:paraId="44AF80AB" w14:textId="1BFD9FD9" w:rsidR="00037539" w:rsidRPr="00766F51" w:rsidRDefault="00037539" w:rsidP="00037539">
      <w:pPr>
        <w:pStyle w:val="Heading1"/>
        <w:rPr>
          <w:lang w:val="es-ES"/>
        </w:rPr>
      </w:pPr>
      <w:r>
        <w:rPr>
          <w:lang w:val="es-ES"/>
        </w:rPr>
        <w:t>La Secretaría tomó nota de que la etapa I del PGEH se completó en 2021 y que el proyecto de preparación de la etapa II fue aprobado en la 81</w:t>
      </w:r>
      <w:r>
        <w:rPr>
          <w:vertAlign w:val="superscript"/>
          <w:lang w:val="es-ES"/>
        </w:rPr>
        <w:t>a</w:t>
      </w:r>
      <w:r>
        <w:rPr>
          <w:lang w:val="es-ES"/>
        </w:rPr>
        <w:t> reunión, pero que la presentación de la etapa II se había retrasado considerablemente. El PNUMA explicó que unas circunstancias excepcionales habían afectado temporalmente a la disponibilidad de la ONO, y que la persona coordinadora recién nombrada necesitó entonces un período de transición para familiarizarse con las actividades en curso, los requisitos de presentación de informes y la preparación de la etapa II del PGEH y la etapa I del PAK. Los considerables cambios institucionales que se produjeron en el Gobierno durante ese período también afectaron a la continuidad y a los plazos de ejecución. El PNUMA añadió que, si bien estas circunstancias habían provocado un retraso inevitable en la presentación, el país confirmaba su firme compromiso con la ejecución oportuna de la etapa II del PGEH y de la etapa I del PAK, una vez obtenida la aprobación.</w:t>
      </w:r>
    </w:p>
    <w:p w14:paraId="1BE7F551" w14:textId="0B5E910B" w:rsidR="00037539" w:rsidRPr="00766F51" w:rsidRDefault="00037539" w:rsidP="00037539">
      <w:pPr>
        <w:pStyle w:val="Heading1"/>
        <w:rPr>
          <w:lang w:val="es-ES"/>
        </w:rPr>
      </w:pPr>
      <w:r>
        <w:rPr>
          <w:lang w:val="es-ES"/>
        </w:rPr>
        <w:t>En cuanto a la coordinación entre la etapa II del PGEH y la etapa I del PAK, el PNUMA confirmó que, dado que ambos proyectos se ejecutarán en paralelo, se adoptará un enfoque integral para incentivar sinergias, garantizar la armonización y la coordinación, evitar la duplicación de funciones y ahorrar recursos financieros y de otro tipo. El PNUMA añadió que las actividades previstas en la etapa II del PGEH, entre las que se incluyen el refuerzo de la presentación de datos y el sistema de certificación, también contribuirán a la ejecución de la etapa I del PAK.</w:t>
      </w:r>
    </w:p>
    <w:p w14:paraId="19FEC7CE" w14:textId="77777777" w:rsidR="00037539" w:rsidRPr="007E56E0" w:rsidRDefault="00037539" w:rsidP="00037539">
      <w:pPr>
        <w:keepNext/>
        <w:spacing w:before="240" w:after="240"/>
        <w:outlineLvl w:val="0"/>
        <w:rPr>
          <w:u w:val="single"/>
        </w:rPr>
      </w:pPr>
      <w:r>
        <w:rPr>
          <w:u w:val="single"/>
        </w:rPr>
        <w:t>Costo total del proyecto</w:t>
      </w:r>
    </w:p>
    <w:p w14:paraId="5E43E0D5" w14:textId="5264CF80" w:rsidR="00037539" w:rsidRPr="00B50897" w:rsidRDefault="00037539" w:rsidP="00037539">
      <w:pPr>
        <w:pStyle w:val="Heading1"/>
        <w:rPr>
          <w:lang w:val="es-ES" w:eastAsia="en-CA"/>
          <w14:ligatures w14:val="standardContextual"/>
        </w:rPr>
      </w:pPr>
      <w:r>
        <w:rPr>
          <w:lang w:val="es-ES"/>
        </w:rPr>
        <w:t>El costo total de la etapa II del PGEH asciende a USD 191.000, sobre la base de la decisión 74/50 c) xii) acerca del nivel de financiación admisible para un país con bajo nivel de consumo. Se acordó el financiamiento del primer tramo según se presentó, por un importe de USD 85.500.</w:t>
      </w:r>
    </w:p>
    <w:p w14:paraId="6D1531A7" w14:textId="77777777" w:rsidR="00037539" w:rsidRPr="00766F51" w:rsidRDefault="00037539" w:rsidP="00037539">
      <w:pPr>
        <w:keepNext/>
        <w:spacing w:before="240" w:after="240"/>
        <w:rPr>
          <w:lang w:val="es-ES"/>
        </w:rPr>
      </w:pPr>
      <w:r>
        <w:rPr>
          <w:u w:val="single"/>
          <w:lang w:val="es-ES"/>
        </w:rPr>
        <w:t>Plan de ejecución acordado para el primer tramo de la etapa II del plan de gestión de eliminación de los HCFC</w:t>
      </w:r>
    </w:p>
    <w:p w14:paraId="611ED18C" w14:textId="77777777" w:rsidR="00037539" w:rsidRPr="00766F51" w:rsidRDefault="00037539" w:rsidP="00037539">
      <w:pPr>
        <w:pStyle w:val="Heading1"/>
        <w:rPr>
          <w:lang w:val="es-ES"/>
        </w:rPr>
      </w:pPr>
      <w:r>
        <w:rPr>
          <w:lang w:val="es-ES"/>
        </w:rPr>
        <w:t>El plan de acción acordado incluirá las siguientes actividades:</w:t>
      </w:r>
    </w:p>
    <w:p w14:paraId="7659C7B1" w14:textId="2E095B8A" w:rsidR="00037539" w:rsidRPr="00766F51" w:rsidRDefault="00037539" w:rsidP="00037539">
      <w:pPr>
        <w:pStyle w:val="Heading2"/>
        <w:rPr>
          <w:lang w:val="es-ES"/>
        </w:rPr>
      </w:pPr>
      <w:r>
        <w:rPr>
          <w:i/>
          <w:lang w:val="es-ES"/>
        </w:rPr>
        <w:t xml:space="preserve">Fortalecimiento del marco jurídico: </w:t>
      </w:r>
      <w:r>
        <w:rPr>
          <w:lang w:val="es-ES"/>
        </w:rPr>
        <w:t>Introducción de la prohibición de importar equipos a base de HCFC y la importación de HCFC en bombonas no recargables a más tardar el 1 de enero de 2028, así como de la prohibición de importar HCFC a partir de 2030; organización de una reunión de sensibilización dirigida a las personas importadoras, las autoridades aduaneras y el Ministerio de Comercio sobre las prohibiciones y la reserva para servicio técnico; creación de una base de datos nacional (USD 24.000);</w:t>
      </w:r>
    </w:p>
    <w:p w14:paraId="6D4EB75A" w14:textId="0FAC893D" w:rsidR="00037539" w:rsidRPr="00CC4D0F" w:rsidRDefault="00037539" w:rsidP="00037539">
      <w:pPr>
        <w:pStyle w:val="Heading2"/>
      </w:pPr>
      <w:r>
        <w:rPr>
          <w:i/>
          <w:lang w:val="es-ES"/>
        </w:rPr>
        <w:t xml:space="preserve">Creación de capacidad del personal de aduanas y de fiscalización: </w:t>
      </w:r>
      <w:r>
        <w:rPr>
          <w:lang w:val="es-ES"/>
        </w:rPr>
        <w:t xml:space="preserve">Actualización de los materiales de capacitación; organización de cuatro períodos de capacitación para 75 personas funcionarias de aduanas y de la policía fiscal sobre el Protocolo de Montreal, la normativa legal y reglamentaria pertinente. </w:t>
      </w:r>
      <w:r>
        <w:t>(USD 19.000);</w:t>
      </w:r>
    </w:p>
    <w:p w14:paraId="7FDCE0D1" w14:textId="6B0C6DB6" w:rsidR="00037539" w:rsidRPr="00766F51" w:rsidRDefault="00037539" w:rsidP="00037539">
      <w:pPr>
        <w:pStyle w:val="Heading2"/>
        <w:rPr>
          <w:lang w:val="es-ES"/>
        </w:rPr>
      </w:pPr>
      <w:r>
        <w:rPr>
          <w:i/>
          <w:lang w:val="es-ES"/>
        </w:rPr>
        <w:t xml:space="preserve">Creación de capacidad de personas técnicas de refrigeración y aire acondicionado: </w:t>
      </w:r>
      <w:r>
        <w:rPr>
          <w:lang w:val="es-ES"/>
        </w:rPr>
        <w:t xml:space="preserve">Actualización del material didáctico para la formación de personas técnicas; organización de una sesión de formación para 20 personas técnicas sobre buenas prácticas de servicio; celebración de reuniones y talleres relacionados con la certificación de personas técnicas; realización de visitas sobre el terreno para recopilar datos pertinentes, evaluar los centros de </w:t>
      </w:r>
      <w:r>
        <w:rPr>
          <w:lang w:val="es-ES"/>
        </w:rPr>
        <w:lastRenderedPageBreak/>
        <w:t>formación y valorar el equipamiento; organización de una campaña de sensibilización dirigida a las mujeres del sector de la refrigeración y el aire acondicionado (USD 31.500); y</w:t>
      </w:r>
    </w:p>
    <w:p w14:paraId="57A9AC22" w14:textId="5C2D0717" w:rsidR="00037539" w:rsidRPr="00766F51" w:rsidRDefault="00037539" w:rsidP="00037539">
      <w:pPr>
        <w:pStyle w:val="Heading2"/>
        <w:rPr>
          <w:lang w:val="es-ES"/>
        </w:rPr>
      </w:pPr>
      <w:r>
        <w:rPr>
          <w:i/>
          <w:iCs/>
          <w:lang w:val="es-ES"/>
        </w:rPr>
        <w:t xml:space="preserve">Ejecución y </w:t>
      </w:r>
      <w:r>
        <w:rPr>
          <w:i/>
          <w:lang w:val="es-ES"/>
        </w:rPr>
        <w:t xml:space="preserve">supervisión </w:t>
      </w:r>
      <w:r>
        <w:rPr>
          <w:i/>
          <w:iCs/>
          <w:lang w:val="es-ES"/>
        </w:rPr>
        <w:t>del proyecto</w:t>
      </w:r>
      <w:r>
        <w:rPr>
          <w:i/>
          <w:lang w:val="es-ES"/>
        </w:rPr>
        <w:t xml:space="preserve">: </w:t>
      </w:r>
      <w:r>
        <w:rPr>
          <w:lang w:val="es-ES"/>
        </w:rPr>
        <w:t>actividades que incluyen la contratación de consultores locales, desplazamientos, reuniones y otros gastos (USD 11.000).</w:t>
      </w:r>
    </w:p>
    <w:p w14:paraId="233D7815" w14:textId="77777777" w:rsidR="00037539" w:rsidRPr="009854AA" w:rsidRDefault="00037539" w:rsidP="00037539">
      <w:pPr>
        <w:keepNext/>
        <w:shd w:val="clear" w:color="auto" w:fill="FFFFFF" w:themeFill="background1"/>
        <w:spacing w:after="240"/>
        <w:outlineLvl w:val="0"/>
        <w:rPr>
          <w:bCs/>
          <w:u w:val="single"/>
        </w:rPr>
      </w:pPr>
      <w:r>
        <w:rPr>
          <w:bCs/>
          <w:u w:val="single"/>
        </w:rPr>
        <w:t>Cofinanciación</w:t>
      </w:r>
    </w:p>
    <w:p w14:paraId="08348E68" w14:textId="77777777" w:rsidR="00037539" w:rsidRPr="00766F51" w:rsidRDefault="00037539" w:rsidP="00037539">
      <w:pPr>
        <w:pStyle w:val="Heading1"/>
        <w:rPr>
          <w:lang w:val="es-ES" w:eastAsia="en-CA"/>
          <w14:ligatures w14:val="standardContextual"/>
        </w:rPr>
      </w:pPr>
      <w:r>
        <w:rPr>
          <w:lang w:val="es-ES"/>
        </w:rPr>
        <w:t>El Gobierno de Santo Tomé y Príncipe aportará cofinanciación en bienes y servicios para apoyar la coordinación y gestión de la etapa II del PGEH, lo que incluye la puesta a disposición de oficinas, la asignación de personal local temporal para prestar asistencia en reuniones y talleres, y la organización del transporte de las personas participantes en las reuniones y talleres.</w:t>
      </w:r>
    </w:p>
    <w:p w14:paraId="6347D7EA" w14:textId="77777777" w:rsidR="00037539" w:rsidRPr="00766F51" w:rsidRDefault="00037539" w:rsidP="00037539">
      <w:pPr>
        <w:keepNext/>
        <w:spacing w:after="240"/>
        <w:outlineLvl w:val="0"/>
        <w:rPr>
          <w:bCs/>
          <w:u w:val="single"/>
          <w:lang w:val="es-ES"/>
        </w:rPr>
      </w:pPr>
      <w:r>
        <w:rPr>
          <w:bCs/>
          <w:u w:val="single"/>
          <w:lang w:val="es-ES"/>
        </w:rPr>
        <w:t>Proyecto de plan administrativo del Fondo Multilateral para el período 2026–2028</w:t>
      </w:r>
    </w:p>
    <w:p w14:paraId="56330552" w14:textId="3B3F06F3" w:rsidR="00037539" w:rsidRPr="00766F51" w:rsidRDefault="00037539" w:rsidP="00037539">
      <w:pPr>
        <w:pStyle w:val="Heading1"/>
        <w:rPr>
          <w:lang w:val="es-ES"/>
        </w:rPr>
      </w:pPr>
      <w:r>
        <w:rPr>
          <w:lang w:val="es-ES"/>
        </w:rPr>
        <w:t>El PNUMA solicita USD 191.000, más los gastos de apoyo al organismo, para la ejecución de la etapa II del PGEH de Santo Tomé y Príncipe. El importe total solicitado, de USD 194.247, incluidos los gastos de apoyo al organismo para el período 2026–2028, supera en USD 24.712 la cantidad prevista en el plan administrativo.</w:t>
      </w:r>
    </w:p>
    <w:p w14:paraId="7E600868" w14:textId="77777777" w:rsidR="00037539" w:rsidRPr="00766F51" w:rsidRDefault="00037539" w:rsidP="00037539">
      <w:pPr>
        <w:keepNext/>
        <w:spacing w:after="240"/>
        <w:rPr>
          <w:iCs/>
          <w:u w:val="single"/>
          <w:lang w:val="es-ES"/>
        </w:rPr>
      </w:pPr>
      <w:r>
        <w:rPr>
          <w:iCs/>
          <w:u w:val="single"/>
          <w:lang w:val="es-ES"/>
        </w:rPr>
        <w:t>Aplicación de la política de género</w:t>
      </w:r>
    </w:p>
    <w:p w14:paraId="452F7405" w14:textId="246D7EE6" w:rsidR="00037539" w:rsidRPr="00766F51" w:rsidRDefault="00037539" w:rsidP="00037539">
      <w:pPr>
        <w:pStyle w:val="Heading1"/>
        <w:rPr>
          <w:lang w:val="es-ES" w:eastAsia="en-CA"/>
          <w14:ligatures w14:val="standardContextual"/>
        </w:rPr>
      </w:pPr>
      <w:r>
        <w:rPr>
          <w:lang w:val="es-ES"/>
        </w:rPr>
        <w:t>De acuerdo con las decisiones 84/92 d), 90/48 c) y 92/40 b), el Gobierno de Santo Tomé y Príncipe ha incorporado dicha política en la preparación de proyectos y la formulación para la etapa II del PGEH. Durante la ejecución de la etapa I del PGEH, se informó de que el 22 % de las personas participantes en las sesiones de capacitación aduanera eran mujeres. La ONO está llevando a cabo consultas con las partes interesadas con el fin de desarrollar estrategias para hacer un seguimiento y incentivar la participación de las mujeres en las actividades del PGEH. En la etapa II del PGEH, el país recopilará y supervisará los datos de las personas participantes, incentivará la participación de las mujeres en actividades de formación y certificación, organizará un taller específico para motivar a las estudiantes a formarse e incorporarse al sector de la refrigeración y el aire acondicionado (RAC), e informará sobre los avances.</w:t>
      </w:r>
    </w:p>
    <w:p w14:paraId="4882AF92" w14:textId="77777777" w:rsidR="00037539" w:rsidRPr="00766F51" w:rsidRDefault="00037539" w:rsidP="00037539">
      <w:pPr>
        <w:keepNext/>
        <w:spacing w:after="240"/>
        <w:rPr>
          <w:u w:val="single"/>
          <w:lang w:val="es-ES"/>
        </w:rPr>
      </w:pPr>
      <w:r>
        <w:rPr>
          <w:u w:val="single"/>
          <w:lang w:val="es-ES"/>
        </w:rPr>
        <w:t>Sostenibilidad de la eliminación de los HCFC y evaluación de riesgos</w:t>
      </w:r>
    </w:p>
    <w:p w14:paraId="066A5186" w14:textId="295914D4" w:rsidR="00BD3E4B" w:rsidRPr="00B50897" w:rsidRDefault="00BD3E4B" w:rsidP="00BD3E4B">
      <w:pPr>
        <w:pStyle w:val="Heading1"/>
        <w:rPr>
          <w:lang w:val="es-ES" w:eastAsia="en-CA"/>
        </w:rPr>
      </w:pPr>
      <w:r w:rsidRPr="00B50897">
        <w:rPr>
          <w:lang w:val="es-ES" w:eastAsia="en-CA"/>
        </w:rPr>
        <w:t>La eliminación sostenible de los HCFC se verá respaldada por el fortalecimiento de la capacidad de los técnicos de RAC mediante la capacitación, la participación de las asociaciones de RAC, la introducción de un sistema de certificación, la capacitación continua de los oficiales de aduanas y de los agentes del orden, el seguimiento de la aplicación de la prohibición de importar equipos que utilizan HCFC y la ejecución de las actividades del KIP. En conjunto, estas medidas facilitarán la adopción segura y sostenible de alternativas de bajo y menor potencial de calentamiento atmosférico (PCA).</w:t>
      </w:r>
    </w:p>
    <w:p w14:paraId="58964004" w14:textId="12D0A73E" w:rsidR="00037539" w:rsidRPr="00766F51" w:rsidRDefault="00037539" w:rsidP="00037539">
      <w:pPr>
        <w:pStyle w:val="Heading1"/>
        <w:rPr>
          <w:lang w:val="es-ES" w:eastAsia="en-CA"/>
          <w14:ligatures w14:val="standardContextual"/>
        </w:rPr>
      </w:pPr>
      <w:r>
        <w:rPr>
          <w:lang w:val="es-ES"/>
        </w:rPr>
        <w:t>Entre los riesgos para la ejecución y la sostenibilidad de la etapa II del PGEH figuran posibles cambios administrativos o institucionales que afecten al compromiso nacional, factores externos que afecten a la ejecución oportuna y la incapacidad de los mecanismos de control de las importaciones y de aplicación de la ley para responder a las dificultades asociadas a la eliminación de HCFC. Estos riesgos se mitigarán mediante la labor continua de promoción por parte de la ONO, la estrecha coordinación del PNUMA con la ONO, las consultas periódicas con contrapartes, el refuerzo de la colaboración entre contrapartes, la capacitación continua y la creación de capacidad técnica de las autoridades aduaneras y de fiscalización, y la formación y certificación de personas técnicas de refrigeración y aire acondicionado.</w:t>
      </w:r>
    </w:p>
    <w:p w14:paraId="1722BA57" w14:textId="77777777" w:rsidR="00037539" w:rsidRPr="00996241" w:rsidRDefault="00037539" w:rsidP="00037539">
      <w:pPr>
        <w:keepNext/>
        <w:spacing w:after="240"/>
        <w:rPr>
          <w:u w:val="single"/>
        </w:rPr>
      </w:pPr>
      <w:r>
        <w:rPr>
          <w:u w:val="single"/>
        </w:rPr>
        <w:lastRenderedPageBreak/>
        <w:t>Impacto sobre el clima</w:t>
      </w:r>
    </w:p>
    <w:p w14:paraId="2A5349C3" w14:textId="01770DED" w:rsidR="00037539" w:rsidRPr="00766F51" w:rsidRDefault="00037539" w:rsidP="00037539">
      <w:pPr>
        <w:pStyle w:val="Heading1"/>
        <w:rPr>
          <w:lang w:val="es-ES" w:eastAsia="en-CA"/>
          <w14:ligatures w14:val="standardContextual"/>
        </w:rPr>
      </w:pPr>
      <w:r>
        <w:rPr>
          <w:lang w:val="es-ES"/>
        </w:rPr>
        <w:t>Las actividades propuestas en el sector del mantenimiento, incluida una mejor gestión de los refrigerantes mediante la formación de personas técnicas de refrigeración y aire acondicionado y la prohibición de importar equipos a base de HCFC, reducirán el uso de HCFC‑22 en las operaciones de mantenimiento. Cada kilogramo de HCFC‑22 que no se emita gracias a mejores prácticas de refrigeración supone un ahorro de aproximadamente 1,8 toneladas de CO</w:t>
      </w:r>
      <w:r>
        <w:rPr>
          <w:vertAlign w:val="subscript"/>
          <w:lang w:val="es-ES"/>
        </w:rPr>
        <w:t>2</w:t>
      </w:r>
      <w:r>
        <w:rPr>
          <w:lang w:val="es-ES"/>
        </w:rPr>
        <w:t xml:space="preserve"> equivalente. Aunque en el PGEH no se incluyó un cálculo de los efectos sobre el clima, las actividades previstas por Santo Tomé y Príncipe, incluidos sus esfuerzos por reforzar la capacidad de las personas técnicas mediante la capacitación y la certificación, así como la mejora del seguimiento a través de la presentación de datos, indican que la ejecución del PGEH reducirá las emisiones de refrigerantes a la atmósfera, lo que reportará beneficios climáticos.</w:t>
      </w:r>
    </w:p>
    <w:p w14:paraId="5841937B" w14:textId="77777777" w:rsidR="00037539" w:rsidRPr="00DC2B3A" w:rsidRDefault="00037539" w:rsidP="00037539">
      <w:pPr>
        <w:spacing w:after="240"/>
        <w:outlineLvl w:val="0"/>
        <w:rPr>
          <w:bCs/>
          <w:u w:val="single"/>
        </w:rPr>
      </w:pPr>
      <w:r>
        <w:rPr>
          <w:bCs/>
          <w:u w:val="single"/>
        </w:rPr>
        <w:t>Proyecto de Acuerdo</w:t>
      </w:r>
    </w:p>
    <w:p w14:paraId="66C3C71F" w14:textId="77777777" w:rsidR="00037539" w:rsidRPr="00766F51" w:rsidRDefault="00037539" w:rsidP="00037539">
      <w:pPr>
        <w:pStyle w:val="Heading1"/>
        <w:rPr>
          <w:lang w:val="es-ES" w:eastAsia="en-CA"/>
          <w14:ligatures w14:val="standardContextual"/>
        </w:rPr>
      </w:pPr>
      <w:r>
        <w:rPr>
          <w:lang w:val="es-ES"/>
        </w:rPr>
        <w:t>En el anexo I del presente documento figura un proyecto de Acuerdo entre el Gobierno de Santo Tomé y Príncipe y el Comité Ejecutivo para la etapa II del PGEH.</w:t>
      </w:r>
    </w:p>
    <w:p w14:paraId="7FBAF09C" w14:textId="77777777" w:rsidR="00037539" w:rsidRPr="00996241" w:rsidRDefault="00037539" w:rsidP="00037539">
      <w:pPr>
        <w:keepNext/>
        <w:autoSpaceDE w:val="0"/>
        <w:autoSpaceDN w:val="0"/>
        <w:adjustRightInd w:val="0"/>
        <w:spacing w:before="360" w:after="240"/>
        <w:outlineLvl w:val="0"/>
        <w:rPr>
          <w:b/>
        </w:rPr>
      </w:pPr>
      <w:r>
        <w:rPr>
          <w:b/>
        </w:rPr>
        <w:t>RECOMENDACIÓN</w:t>
      </w:r>
    </w:p>
    <w:p w14:paraId="41AD96A5" w14:textId="77777777" w:rsidR="00037539" w:rsidRPr="00766F51" w:rsidRDefault="00037539" w:rsidP="00037539">
      <w:pPr>
        <w:pStyle w:val="Heading1"/>
        <w:rPr>
          <w:lang w:val="es-ES" w:eastAsia="en-CA"/>
          <w14:ligatures w14:val="standardContextual"/>
        </w:rPr>
      </w:pPr>
      <w:r>
        <w:rPr>
          <w:lang w:val="es-ES"/>
        </w:rPr>
        <w:t>El Comité Ejecutivo tal vez desee considerar lo siguiente:</w:t>
      </w:r>
    </w:p>
    <w:p w14:paraId="3B790917" w14:textId="77777777" w:rsidR="00037539" w:rsidRPr="00766F51" w:rsidRDefault="00037539" w:rsidP="00037539">
      <w:pPr>
        <w:pStyle w:val="Heading2"/>
        <w:rPr>
          <w:lang w:val="es-ES" w:eastAsia="en-CA"/>
          <w14:ligatures w14:val="standardContextual"/>
        </w:rPr>
      </w:pPr>
      <w:r>
        <w:rPr>
          <w:lang w:val="es-ES"/>
        </w:rPr>
        <w:t>Aprobar, en principio, la etapa II del plan de gestión de eliminación de los HCFC (PGEH) para Santo Tomé y Príncipe para el período 2026–2030, con el fin de eliminar por completo el consumo de HCFC, por un importe de USD 191.000, más los gastos de apoyo al organismo por valor de USD 24.830, para el PNUMA, en el entendimiento de que no se proporcionará más financiamiento del Fondo Multilateral para la eliminación de los HCFC;</w:t>
      </w:r>
    </w:p>
    <w:p w14:paraId="2D5E8655" w14:textId="77777777" w:rsidR="00037539" w:rsidRPr="00766F51" w:rsidRDefault="00037539" w:rsidP="00037539">
      <w:pPr>
        <w:pStyle w:val="Heading2"/>
        <w:rPr>
          <w:lang w:val="es-ES"/>
        </w:rPr>
      </w:pPr>
      <w:r>
        <w:rPr>
          <w:lang w:val="es-ES"/>
        </w:rPr>
        <w:t xml:space="preserve">Tomando nota del compromiso del Gobierno de Santo Tomé y Príncipe </w:t>
      </w:r>
    </w:p>
    <w:p w14:paraId="1E542F97" w14:textId="69D32284" w:rsidR="00037539" w:rsidRPr="00766F51" w:rsidRDefault="00037539" w:rsidP="00037539">
      <w:pPr>
        <w:pStyle w:val="Heading3"/>
        <w:rPr>
          <w:lang w:val="es-ES"/>
        </w:rPr>
      </w:pPr>
      <w:r>
        <w:rPr>
          <w:lang w:val="es-ES"/>
        </w:rPr>
        <w:t>Eliminar totalmente los HCFC para el 1 de enero de 2030, y que no se importarán HCFC después de dicha fecha, excepto aquellos permitidos para la reserva para servicio técnico entre 2030 y 2040 cuando sea necesario, y en consonancia con las disposiciones del Protocolo de Montreal;</w:t>
      </w:r>
    </w:p>
    <w:p w14:paraId="1EB27CFD" w14:textId="281ED308" w:rsidR="00037539" w:rsidRPr="00766F51" w:rsidRDefault="00037539" w:rsidP="00037539">
      <w:pPr>
        <w:pStyle w:val="Heading3"/>
        <w:rPr>
          <w:lang w:val="es-ES"/>
        </w:rPr>
      </w:pPr>
      <w:r>
        <w:rPr>
          <w:lang w:val="es-ES"/>
        </w:rPr>
        <w:t>Aplicar una prohibición de la importación de equipos a base de HCFC y de la importación de HCFC en bombonas no recargables a más tardar el 1 de enero de 2028;</w:t>
      </w:r>
    </w:p>
    <w:p w14:paraId="4071B42D" w14:textId="77777777" w:rsidR="00037539" w:rsidRPr="00766F51" w:rsidRDefault="00037539" w:rsidP="00037539">
      <w:pPr>
        <w:pStyle w:val="Heading2"/>
        <w:rPr>
          <w:kern w:val="2"/>
          <w:lang w:val="es-ES" w:eastAsia="en-CA"/>
          <w14:ligatures w14:val="standardContextual"/>
        </w:rPr>
      </w:pPr>
      <w:r>
        <w:rPr>
          <w:lang w:val="es-ES"/>
        </w:rPr>
        <w:t>Deducir 0,10 toneladas PAO de HCFC del consumo remanente de HCFC admisible para su financiación;</w:t>
      </w:r>
    </w:p>
    <w:p w14:paraId="6519FA03" w14:textId="77777777" w:rsidR="00037539" w:rsidRPr="00766F51" w:rsidRDefault="00037539" w:rsidP="00037539">
      <w:pPr>
        <w:pStyle w:val="Heading2"/>
        <w:rPr>
          <w:kern w:val="2"/>
          <w:lang w:val="es-ES" w:eastAsia="en-CA"/>
          <w14:ligatures w14:val="standardContextual"/>
        </w:rPr>
      </w:pPr>
      <w:r>
        <w:rPr>
          <w:lang w:val="es-ES"/>
        </w:rPr>
        <w:t>Aprobar el proyecto de Acuerdo entre el Gobierno de Santo Tomé y Príncipe y el Comité Ejecutivo para la reducción del consumo de los HCFC, de conformidad con la etapa II del PGEH, incluido en el anexo I del presente documento;</w:t>
      </w:r>
    </w:p>
    <w:p w14:paraId="309932DC" w14:textId="77777777" w:rsidR="00037539" w:rsidRPr="00766F51" w:rsidRDefault="00037539" w:rsidP="00037539">
      <w:pPr>
        <w:pStyle w:val="Heading2"/>
        <w:rPr>
          <w:kern w:val="2"/>
          <w:lang w:val="es-ES" w:eastAsia="en-CA"/>
          <w14:ligatures w14:val="standardContextual"/>
        </w:rPr>
      </w:pPr>
      <w:r>
        <w:rPr>
          <w:lang w:val="es-ES"/>
        </w:rPr>
        <w:t>Que, para permitir el examen del último tramo de su PGEH, el Gobierno de Santo Tomé y Príncipe deberá presentar:</w:t>
      </w:r>
    </w:p>
    <w:p w14:paraId="0040FFBC" w14:textId="77777777" w:rsidR="00037539" w:rsidRPr="00766F51" w:rsidRDefault="00037539" w:rsidP="00037539">
      <w:pPr>
        <w:pStyle w:val="Heading3"/>
        <w:rPr>
          <w:kern w:val="2"/>
          <w:lang w:val="es-ES" w:eastAsia="en-CA"/>
          <w14:ligatures w14:val="standardContextual"/>
        </w:rPr>
      </w:pPr>
      <w:r>
        <w:rPr>
          <w:lang w:val="es-ES"/>
        </w:rPr>
        <w:t>Una descripción detallada del marco reglamentario y normativo vigente para aplicar las medidas destinadas a asegurar que el consumo de los HCFC cumple con el párrafo 8 ter e) i) del artículo 5 del Protocolo de Montreal para el período 2030–2040;</w:t>
      </w:r>
      <w:r>
        <w:rPr>
          <w:lang w:val="es-ES"/>
        </w:rPr>
        <w:br/>
      </w:r>
    </w:p>
    <w:p w14:paraId="589F92A8" w14:textId="77777777" w:rsidR="00037539" w:rsidRPr="00766F51" w:rsidRDefault="00037539" w:rsidP="00037539">
      <w:pPr>
        <w:pStyle w:val="Heading3"/>
        <w:rPr>
          <w:kern w:val="2"/>
          <w:lang w:val="es-ES" w:eastAsia="en-CA"/>
          <w14:ligatures w14:val="standardContextual"/>
        </w:rPr>
      </w:pPr>
      <w:r>
        <w:rPr>
          <w:lang w:val="es-ES"/>
        </w:rPr>
        <w:lastRenderedPageBreak/>
        <w:t>El consumo anual previsto de HCFC en Santo Tomé y Príncipe para el período 2030–2040; y</w:t>
      </w:r>
    </w:p>
    <w:p w14:paraId="7CCA1C2F" w14:textId="255A3AE7" w:rsidR="00037539" w:rsidRPr="00766F51" w:rsidRDefault="00037539" w:rsidP="00037539">
      <w:pPr>
        <w:pStyle w:val="Heading2"/>
        <w:rPr>
          <w:lang w:val="es-ES"/>
        </w:rPr>
        <w:sectPr w:rsidR="00037539" w:rsidRPr="00766F51" w:rsidSect="00037539">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r>
        <w:rPr>
          <w:lang w:val="es-ES"/>
        </w:rPr>
        <w:t>Aprobar el primer tramo de la etapa II del PGEH de Santo Tomé y Príncipe, así como el correspondiente plan de ejecución del tramo, por un importe de USD 85.500, más los gastos de apoyo al organismo, que ascienden a USD 11.115, para el PNUMA.</w:t>
      </w:r>
    </w:p>
    <w:p w14:paraId="305C4E6B" w14:textId="77777777" w:rsidR="00CB0432" w:rsidRPr="00766F51" w:rsidRDefault="00CB0432" w:rsidP="00564D13">
      <w:pPr>
        <w:spacing w:before="120" w:after="120"/>
        <w:jc w:val="center"/>
        <w:rPr>
          <w:b/>
          <w:lang w:val="es-ES"/>
        </w:rPr>
      </w:pPr>
      <w:r>
        <w:rPr>
          <w:b/>
          <w:lang w:val="es-ES"/>
        </w:rPr>
        <w:lastRenderedPageBreak/>
        <w:t>HOJA DE EVALUACIÓN DE PROYECTO – PROYECTOS PLURIANUALES</w:t>
      </w:r>
    </w:p>
    <w:p w14:paraId="38C5B1C9" w14:textId="5170A01B" w:rsidR="001C4BB0" w:rsidRPr="00BE38DF" w:rsidRDefault="00452F0B">
      <w:pPr>
        <w:spacing w:after="200"/>
        <w:jc w:val="center"/>
        <w:rPr>
          <w:kern w:val="2"/>
          <w:lang w:eastAsia="en-CA"/>
          <w14:ligatures w14:val="standardContextual"/>
        </w:rPr>
      </w:pPr>
      <w:r>
        <w:rPr>
          <w:b/>
          <w:bCs/>
        </w:rPr>
        <w:t xml:space="preserve">Santo Tomé y Príncipe </w:t>
      </w:r>
    </w:p>
    <w:tbl>
      <w:tblPr>
        <w:tblStyle w:val="TableGrid"/>
        <w:tblW w:w="5360" w:type="pct"/>
        <w:jc w:val="center"/>
        <w:tblLayout w:type="fixed"/>
        <w:tblLook w:val="04A0" w:firstRow="1" w:lastRow="0" w:firstColumn="1" w:lastColumn="0" w:noHBand="0" w:noVBand="1"/>
      </w:tblPr>
      <w:tblGrid>
        <w:gridCol w:w="6413"/>
        <w:gridCol w:w="3610"/>
      </w:tblGrid>
      <w:tr w:rsidR="00CB0432" w:rsidRPr="00BE38DF" w14:paraId="490829E7" w14:textId="77777777">
        <w:trPr>
          <w:jc w:val="center"/>
        </w:trPr>
        <w:tc>
          <w:tcPr>
            <w:tcW w:w="3199" w:type="pct"/>
          </w:tcPr>
          <w:p w14:paraId="09FA4111" w14:textId="77777777" w:rsidR="00CB0432" w:rsidRPr="00BE38DF" w:rsidRDefault="00CB0432">
            <w:pPr>
              <w:keepNext/>
              <w:spacing w:before="20" w:after="20"/>
              <w:jc w:val="center"/>
              <w:rPr>
                <w:b/>
                <w:sz w:val="20"/>
              </w:rPr>
            </w:pPr>
            <w:r>
              <w:rPr>
                <w:b/>
                <w:sz w:val="18"/>
                <w:szCs w:val="18"/>
              </w:rPr>
              <w:t>TÍTULO DEL PROYECTO</w:t>
            </w:r>
          </w:p>
        </w:tc>
        <w:tc>
          <w:tcPr>
            <w:tcW w:w="1801" w:type="pct"/>
          </w:tcPr>
          <w:p w14:paraId="609ED96E" w14:textId="77777777" w:rsidR="00CB0432" w:rsidRPr="00BE38DF" w:rsidRDefault="00CB0432">
            <w:pPr>
              <w:keepNext/>
              <w:spacing w:before="20" w:after="20"/>
              <w:jc w:val="center"/>
              <w:rPr>
                <w:b/>
                <w:sz w:val="20"/>
              </w:rPr>
            </w:pPr>
            <w:r>
              <w:rPr>
                <w:b/>
                <w:sz w:val="18"/>
                <w:szCs w:val="18"/>
              </w:rPr>
              <w:t>ORGANISMO</w:t>
            </w:r>
          </w:p>
        </w:tc>
      </w:tr>
      <w:tr w:rsidR="00CB0432" w:rsidRPr="00BE38DF" w14:paraId="6029772B" w14:textId="77777777">
        <w:trPr>
          <w:jc w:val="center"/>
        </w:trPr>
        <w:tc>
          <w:tcPr>
            <w:tcW w:w="3199" w:type="pct"/>
            <w:vAlign w:val="center"/>
          </w:tcPr>
          <w:p w14:paraId="593C4DB2" w14:textId="77777777" w:rsidR="00CB0432" w:rsidRPr="00766F51" w:rsidRDefault="00CB0432">
            <w:pPr>
              <w:spacing w:before="20" w:after="20"/>
              <w:jc w:val="center"/>
              <w:rPr>
                <w:color w:val="000000" w:themeColor="text1"/>
                <w:sz w:val="20"/>
                <w:lang w:val="es-ES"/>
              </w:rPr>
            </w:pPr>
            <w:r>
              <w:rPr>
                <w:color w:val="000000" w:themeColor="text1"/>
                <w:sz w:val="18"/>
                <w:szCs w:val="18"/>
                <w:lang w:val="es-ES"/>
              </w:rPr>
              <w:t>Plan de aplicación de la Enmienda de Kigali relativa a los HFC (etapa I)</w:t>
            </w:r>
          </w:p>
        </w:tc>
        <w:tc>
          <w:tcPr>
            <w:tcW w:w="1801" w:type="pct"/>
            <w:vAlign w:val="center"/>
          </w:tcPr>
          <w:p w14:paraId="797D8A24" w14:textId="16121549" w:rsidR="00CB0432" w:rsidRPr="00BE38DF" w:rsidRDefault="001C4BB0" w:rsidP="001C4BB0">
            <w:pPr>
              <w:spacing w:before="20" w:after="20"/>
              <w:jc w:val="center"/>
              <w:rPr>
                <w:color w:val="000000" w:themeColor="text1"/>
                <w:kern w:val="2"/>
                <w:sz w:val="20"/>
                <w:lang w:eastAsia="en-CA"/>
                <w14:ligatures w14:val="standardContextual"/>
              </w:rPr>
            </w:pPr>
            <w:r>
              <w:rPr>
                <w:color w:val="000000"/>
                <w:sz w:val="18"/>
                <w:szCs w:val="18"/>
              </w:rPr>
              <w:t>PNUMA (principal)</w:t>
            </w:r>
          </w:p>
        </w:tc>
      </w:tr>
    </w:tbl>
    <w:p w14:paraId="31CDA2A2"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997"/>
        <w:gridCol w:w="1668"/>
        <w:gridCol w:w="1558"/>
        <w:gridCol w:w="2800"/>
      </w:tblGrid>
      <w:tr w:rsidR="00CB0432" w:rsidRPr="00BE38DF" w14:paraId="17C65D12" w14:textId="77777777">
        <w:trPr>
          <w:jc w:val="center"/>
        </w:trPr>
        <w:tc>
          <w:tcPr>
            <w:tcW w:w="1994" w:type="pct"/>
          </w:tcPr>
          <w:p w14:paraId="38E4FDEA" w14:textId="77777777" w:rsidR="00CB0432" w:rsidRPr="00766F51" w:rsidRDefault="00CB0432">
            <w:pPr>
              <w:spacing w:before="20" w:after="20"/>
              <w:jc w:val="left"/>
              <w:rPr>
                <w:b/>
                <w:sz w:val="20"/>
                <w:lang w:val="es-ES"/>
              </w:rPr>
            </w:pPr>
            <w:r>
              <w:rPr>
                <w:b/>
                <w:sz w:val="18"/>
                <w:szCs w:val="18"/>
                <w:lang w:val="es-ES"/>
              </w:rPr>
              <w:t>DATOS CON ARREGLO AL ARTÍCULO 7 (Anexo F)</w:t>
            </w:r>
          </w:p>
        </w:tc>
        <w:tc>
          <w:tcPr>
            <w:tcW w:w="832" w:type="pct"/>
          </w:tcPr>
          <w:p w14:paraId="43EDC469" w14:textId="77777777" w:rsidR="00CB0432" w:rsidRPr="00BE38DF" w:rsidRDefault="00CB0432">
            <w:pPr>
              <w:spacing w:before="20" w:after="20"/>
              <w:ind w:right="-247"/>
              <w:jc w:val="left"/>
              <w:rPr>
                <w:sz w:val="20"/>
              </w:rPr>
            </w:pPr>
            <w:r>
              <w:rPr>
                <w:b/>
                <w:bCs/>
                <w:sz w:val="18"/>
                <w:szCs w:val="18"/>
              </w:rPr>
              <w:t>Año:</w:t>
            </w:r>
            <w:r>
              <w:rPr>
                <w:b/>
                <w:bCs/>
                <w:color w:val="000000" w:themeColor="text1"/>
                <w:sz w:val="18"/>
                <w:szCs w:val="18"/>
              </w:rPr>
              <w:t xml:space="preserve"> 2025</w:t>
            </w:r>
          </w:p>
        </w:tc>
        <w:tc>
          <w:tcPr>
            <w:tcW w:w="777" w:type="pct"/>
          </w:tcPr>
          <w:p w14:paraId="1394D826" w14:textId="58860D18" w:rsidR="00CB0432" w:rsidRPr="00BE38DF" w:rsidRDefault="001C4BB0" w:rsidP="001C4BB0">
            <w:pPr>
              <w:spacing w:before="20" w:after="20"/>
              <w:ind w:left="-109"/>
              <w:jc w:val="right"/>
              <w:rPr>
                <w:kern w:val="2"/>
                <w:sz w:val="20"/>
                <w:lang w:eastAsia="en-CA"/>
                <w14:ligatures w14:val="standardContextual"/>
              </w:rPr>
            </w:pPr>
            <w:r>
              <w:rPr>
                <w:color w:val="000000"/>
                <w:sz w:val="18"/>
                <w:szCs w:val="18"/>
              </w:rPr>
              <w:t>14,70 tm</w:t>
            </w:r>
          </w:p>
        </w:tc>
        <w:tc>
          <w:tcPr>
            <w:tcW w:w="1397" w:type="pct"/>
          </w:tcPr>
          <w:p w14:paraId="5034E1C7" w14:textId="28F15A03" w:rsidR="00CB0432" w:rsidRPr="00BE38DF" w:rsidRDefault="001C4BB0" w:rsidP="001C4BB0">
            <w:pPr>
              <w:spacing w:before="20" w:after="20"/>
              <w:ind w:left="38" w:right="33"/>
              <w:jc w:val="right"/>
              <w:rPr>
                <w:kern w:val="2"/>
                <w:sz w:val="20"/>
                <w:lang w:eastAsia="en-CA"/>
                <w14:ligatures w14:val="standardContextual"/>
              </w:rPr>
            </w:pPr>
            <w:r>
              <w:rPr>
                <w:color w:val="000000"/>
                <w:sz w:val="18"/>
                <w:szCs w:val="18"/>
              </w:rPr>
              <w:t>34.040 </w:t>
            </w:r>
            <w:r>
              <w:rPr>
                <w:sz w:val="18"/>
                <w:szCs w:val="18"/>
              </w:rPr>
              <w:t>toneladas de CO</w:t>
            </w:r>
            <w:r>
              <w:rPr>
                <w:sz w:val="18"/>
                <w:szCs w:val="18"/>
                <w:vertAlign w:val="subscript"/>
              </w:rPr>
              <w:t>2</w:t>
            </w:r>
            <w:r>
              <w:rPr>
                <w:sz w:val="18"/>
                <w:szCs w:val="18"/>
              </w:rPr>
              <w:t xml:space="preserve"> equivalente</w:t>
            </w:r>
          </w:p>
        </w:tc>
      </w:tr>
    </w:tbl>
    <w:p w14:paraId="2FED43D9"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4"/>
        <w:gridCol w:w="852"/>
        <w:gridCol w:w="848"/>
        <w:gridCol w:w="852"/>
        <w:gridCol w:w="1369"/>
        <w:gridCol w:w="838"/>
        <w:gridCol w:w="718"/>
        <w:gridCol w:w="1070"/>
        <w:gridCol w:w="972"/>
        <w:gridCol w:w="670"/>
      </w:tblGrid>
      <w:tr w:rsidR="00CB0432" w:rsidRPr="00BE38DF" w14:paraId="240C2DB2" w14:textId="77777777" w:rsidTr="00860D99">
        <w:trPr>
          <w:jc w:val="center"/>
        </w:trPr>
        <w:tc>
          <w:tcPr>
            <w:tcW w:w="4181" w:type="pct"/>
            <w:gridSpan w:val="8"/>
            <w:tcBorders>
              <w:right w:val="single" w:sz="4" w:space="0" w:color="auto"/>
            </w:tcBorders>
            <w:vAlign w:val="center"/>
          </w:tcPr>
          <w:p w14:paraId="3C509A2C" w14:textId="77777777" w:rsidR="00CB0432" w:rsidRPr="00766F51" w:rsidRDefault="00CB0432">
            <w:pPr>
              <w:keepNext/>
              <w:spacing w:before="20" w:after="20"/>
              <w:ind w:right="33"/>
              <w:jc w:val="left"/>
              <w:rPr>
                <w:b/>
                <w:sz w:val="20"/>
                <w:lang w:val="es-ES"/>
              </w:rPr>
            </w:pPr>
            <w:r>
              <w:rPr>
                <w:b/>
                <w:sz w:val="18"/>
                <w:szCs w:val="18"/>
                <w:lang w:val="es-ES"/>
              </w:rPr>
              <w:t>DATOS SECTORIALES DEL PROGRAMA DE PAÍS (toneladas de CO</w:t>
            </w:r>
            <w:r>
              <w:rPr>
                <w:b/>
                <w:sz w:val="18"/>
                <w:szCs w:val="18"/>
                <w:vertAlign w:val="subscript"/>
                <w:lang w:val="es-ES"/>
              </w:rPr>
              <w:t>2</w:t>
            </w:r>
            <w:r>
              <w:rPr>
                <w:b/>
                <w:sz w:val="18"/>
                <w:szCs w:val="18"/>
                <w:lang w:val="es-ES"/>
              </w:rPr>
              <w:t xml:space="preserve"> equivalente) Y ACTIVIDADES</w:t>
            </w:r>
          </w:p>
        </w:tc>
        <w:tc>
          <w:tcPr>
            <w:tcW w:w="485" w:type="pct"/>
            <w:tcBorders>
              <w:top w:val="single" w:sz="4" w:space="0" w:color="auto"/>
              <w:left w:val="single" w:sz="4" w:space="0" w:color="auto"/>
              <w:bottom w:val="single" w:sz="4" w:space="0" w:color="auto"/>
              <w:right w:val="nil"/>
            </w:tcBorders>
            <w:vAlign w:val="center"/>
          </w:tcPr>
          <w:p w14:paraId="7B37689E" w14:textId="77777777" w:rsidR="00CB0432" w:rsidRPr="00BE38DF" w:rsidRDefault="00CB0432">
            <w:pPr>
              <w:keepNext/>
              <w:spacing w:before="20" w:after="20"/>
              <w:ind w:right="33"/>
              <w:jc w:val="left"/>
              <w:rPr>
                <w:bCs/>
                <w:sz w:val="20"/>
              </w:rPr>
            </w:pPr>
            <w:r>
              <w:rPr>
                <w:b/>
                <w:sz w:val="16"/>
                <w:szCs w:val="16"/>
              </w:rPr>
              <w:t>Año:</w:t>
            </w:r>
          </w:p>
        </w:tc>
        <w:tc>
          <w:tcPr>
            <w:tcW w:w="334" w:type="pct"/>
            <w:tcBorders>
              <w:top w:val="single" w:sz="4" w:space="0" w:color="auto"/>
              <w:left w:val="nil"/>
              <w:bottom w:val="single" w:sz="4" w:space="0" w:color="auto"/>
              <w:right w:val="single" w:sz="4" w:space="0" w:color="auto"/>
            </w:tcBorders>
            <w:vAlign w:val="center"/>
          </w:tcPr>
          <w:p w14:paraId="17B55F0D" w14:textId="77777777" w:rsidR="00CB0432" w:rsidRPr="00BE38DF" w:rsidRDefault="00CB0432">
            <w:pPr>
              <w:keepNext/>
              <w:spacing w:before="20" w:after="20"/>
              <w:ind w:right="33"/>
              <w:jc w:val="right"/>
              <w:rPr>
                <w:b/>
                <w:sz w:val="20"/>
              </w:rPr>
            </w:pPr>
            <w:r>
              <w:rPr>
                <w:b/>
                <w:sz w:val="16"/>
                <w:szCs w:val="16"/>
              </w:rPr>
              <w:t>2025</w:t>
            </w:r>
          </w:p>
        </w:tc>
      </w:tr>
      <w:tr w:rsidR="00CB0432" w:rsidRPr="00BE38DF" w14:paraId="04D6D7A7" w14:textId="77777777" w:rsidTr="00860D99">
        <w:trPr>
          <w:jc w:val="center"/>
        </w:trPr>
        <w:tc>
          <w:tcPr>
            <w:tcW w:w="915" w:type="pct"/>
            <w:vMerge w:val="restart"/>
            <w:tcMar>
              <w:left w:w="85" w:type="dxa"/>
              <w:right w:w="85" w:type="dxa"/>
            </w:tcMar>
            <w:vAlign w:val="center"/>
          </w:tcPr>
          <w:p w14:paraId="0241D372" w14:textId="77777777" w:rsidR="00CB0432" w:rsidRPr="00BE38DF" w:rsidRDefault="00CB0432">
            <w:pPr>
              <w:keepNext/>
              <w:spacing w:before="20" w:after="20"/>
              <w:jc w:val="center"/>
              <w:rPr>
                <w:sz w:val="20"/>
              </w:rPr>
            </w:pPr>
          </w:p>
        </w:tc>
        <w:tc>
          <w:tcPr>
            <w:tcW w:w="425" w:type="pct"/>
            <w:vMerge w:val="restart"/>
            <w:tcMar>
              <w:left w:w="85" w:type="dxa"/>
              <w:right w:w="85" w:type="dxa"/>
            </w:tcMar>
            <w:vAlign w:val="center"/>
          </w:tcPr>
          <w:p w14:paraId="32595E5C" w14:textId="77777777" w:rsidR="00CB0432" w:rsidRPr="00BE38DF" w:rsidRDefault="00CB0432">
            <w:pPr>
              <w:keepNext/>
              <w:spacing w:before="20" w:after="20"/>
              <w:jc w:val="center"/>
              <w:rPr>
                <w:sz w:val="20"/>
              </w:rPr>
            </w:pPr>
            <w:r>
              <w:rPr>
                <w:sz w:val="16"/>
                <w:szCs w:val="16"/>
              </w:rPr>
              <w:t>Aerosoles</w:t>
            </w:r>
          </w:p>
        </w:tc>
        <w:tc>
          <w:tcPr>
            <w:tcW w:w="423" w:type="pct"/>
            <w:vMerge w:val="restart"/>
            <w:tcMar>
              <w:left w:w="85" w:type="dxa"/>
              <w:right w:w="85" w:type="dxa"/>
            </w:tcMar>
            <w:vAlign w:val="center"/>
          </w:tcPr>
          <w:p w14:paraId="2985ADC4" w14:textId="77777777" w:rsidR="00CB0432" w:rsidRPr="00BE38DF" w:rsidRDefault="00CB0432">
            <w:pPr>
              <w:keepNext/>
              <w:spacing w:before="20" w:after="20"/>
              <w:jc w:val="center"/>
              <w:rPr>
                <w:sz w:val="20"/>
              </w:rPr>
            </w:pPr>
            <w:r>
              <w:rPr>
                <w:sz w:val="16"/>
                <w:szCs w:val="16"/>
              </w:rPr>
              <w:t>Espumas</w:t>
            </w:r>
          </w:p>
        </w:tc>
        <w:tc>
          <w:tcPr>
            <w:tcW w:w="425" w:type="pct"/>
            <w:vMerge w:val="restart"/>
            <w:tcMar>
              <w:left w:w="85" w:type="dxa"/>
              <w:right w:w="85" w:type="dxa"/>
            </w:tcMar>
            <w:vAlign w:val="center"/>
          </w:tcPr>
          <w:p w14:paraId="0868077B" w14:textId="77777777" w:rsidR="00CB0432" w:rsidRPr="00BE38DF" w:rsidRDefault="00CB0432">
            <w:pPr>
              <w:keepNext/>
              <w:spacing w:before="20" w:after="20"/>
              <w:jc w:val="center"/>
              <w:rPr>
                <w:sz w:val="20"/>
              </w:rPr>
            </w:pPr>
            <w:r>
              <w:rPr>
                <w:sz w:val="16"/>
                <w:szCs w:val="16"/>
              </w:rPr>
              <w:t>Extinción de incendios</w:t>
            </w:r>
          </w:p>
        </w:tc>
        <w:tc>
          <w:tcPr>
            <w:tcW w:w="1992" w:type="pct"/>
            <w:gridSpan w:val="4"/>
            <w:tcMar>
              <w:left w:w="85" w:type="dxa"/>
              <w:right w:w="85" w:type="dxa"/>
            </w:tcMar>
            <w:vAlign w:val="center"/>
          </w:tcPr>
          <w:p w14:paraId="19F3B3E8" w14:textId="77777777" w:rsidR="00CB0432" w:rsidRPr="00766F51" w:rsidRDefault="00CB0432">
            <w:pPr>
              <w:keepNext/>
              <w:spacing w:before="20" w:after="20"/>
              <w:jc w:val="center"/>
              <w:rPr>
                <w:sz w:val="20"/>
                <w:lang w:val="es-ES"/>
              </w:rPr>
            </w:pPr>
            <w:r>
              <w:rPr>
                <w:sz w:val="16"/>
                <w:szCs w:val="16"/>
                <w:lang w:val="es-ES"/>
              </w:rPr>
              <w:t>Aire acondicionado (AC) y refrigeración</w:t>
            </w:r>
          </w:p>
        </w:tc>
        <w:tc>
          <w:tcPr>
            <w:tcW w:w="485" w:type="pct"/>
            <w:vMerge w:val="restart"/>
            <w:tcBorders>
              <w:top w:val="single" w:sz="4" w:space="0" w:color="auto"/>
            </w:tcBorders>
            <w:tcMar>
              <w:left w:w="85" w:type="dxa"/>
              <w:right w:w="85" w:type="dxa"/>
            </w:tcMar>
            <w:vAlign w:val="center"/>
          </w:tcPr>
          <w:p w14:paraId="354983EE" w14:textId="77777777" w:rsidR="00CB0432" w:rsidRPr="00BE38DF" w:rsidRDefault="00CB0432">
            <w:pPr>
              <w:keepNext/>
              <w:spacing w:before="20" w:after="20"/>
              <w:ind w:left="-26"/>
              <w:jc w:val="center"/>
              <w:rPr>
                <w:sz w:val="20"/>
              </w:rPr>
            </w:pPr>
            <w:r>
              <w:rPr>
                <w:sz w:val="16"/>
                <w:szCs w:val="16"/>
              </w:rPr>
              <w:t>Disolventes</w:t>
            </w:r>
          </w:p>
        </w:tc>
        <w:tc>
          <w:tcPr>
            <w:tcW w:w="334" w:type="pct"/>
            <w:vMerge w:val="restart"/>
            <w:tcBorders>
              <w:top w:val="single" w:sz="4" w:space="0" w:color="auto"/>
            </w:tcBorders>
            <w:tcMar>
              <w:left w:w="85" w:type="dxa"/>
              <w:right w:w="85" w:type="dxa"/>
            </w:tcMar>
            <w:vAlign w:val="center"/>
          </w:tcPr>
          <w:p w14:paraId="60570139" w14:textId="77777777" w:rsidR="00CB0432" w:rsidRPr="00BE38DF" w:rsidRDefault="00CB0432">
            <w:pPr>
              <w:keepNext/>
              <w:spacing w:before="20" w:after="20"/>
              <w:jc w:val="center"/>
              <w:rPr>
                <w:sz w:val="20"/>
              </w:rPr>
            </w:pPr>
            <w:r>
              <w:rPr>
                <w:sz w:val="16"/>
                <w:szCs w:val="16"/>
              </w:rPr>
              <w:t>Otros</w:t>
            </w:r>
          </w:p>
        </w:tc>
      </w:tr>
      <w:tr w:rsidR="00CB0432" w:rsidRPr="00BE38DF" w14:paraId="06329649" w14:textId="77777777" w:rsidTr="00860D99">
        <w:trPr>
          <w:jc w:val="center"/>
        </w:trPr>
        <w:tc>
          <w:tcPr>
            <w:tcW w:w="915" w:type="pct"/>
            <w:vMerge/>
            <w:tcMar>
              <w:left w:w="85" w:type="dxa"/>
              <w:right w:w="85" w:type="dxa"/>
            </w:tcMar>
            <w:vAlign w:val="center"/>
          </w:tcPr>
          <w:p w14:paraId="411BE361"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65EEE58A" w14:textId="77777777" w:rsidR="00CB0432" w:rsidRPr="00BE38DF" w:rsidRDefault="00CB0432">
            <w:pPr>
              <w:keepNext/>
              <w:spacing w:before="20" w:after="20"/>
              <w:jc w:val="center"/>
              <w:rPr>
                <w:sz w:val="20"/>
              </w:rPr>
            </w:pPr>
          </w:p>
        </w:tc>
        <w:tc>
          <w:tcPr>
            <w:tcW w:w="423" w:type="pct"/>
            <w:vMerge/>
            <w:tcMar>
              <w:left w:w="85" w:type="dxa"/>
              <w:right w:w="85" w:type="dxa"/>
            </w:tcMar>
            <w:vAlign w:val="center"/>
          </w:tcPr>
          <w:p w14:paraId="18E8CF27"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365FD3D9" w14:textId="77777777" w:rsidR="00CB0432" w:rsidRPr="00BE38DF" w:rsidRDefault="00CB0432">
            <w:pPr>
              <w:keepNext/>
              <w:spacing w:before="20" w:after="20"/>
              <w:jc w:val="center"/>
              <w:rPr>
                <w:sz w:val="20"/>
              </w:rPr>
            </w:pPr>
          </w:p>
        </w:tc>
        <w:tc>
          <w:tcPr>
            <w:tcW w:w="1459" w:type="pct"/>
            <w:gridSpan w:val="3"/>
            <w:tcMar>
              <w:left w:w="85" w:type="dxa"/>
              <w:right w:w="85" w:type="dxa"/>
            </w:tcMar>
            <w:vAlign w:val="center"/>
          </w:tcPr>
          <w:p w14:paraId="154F0D04" w14:textId="77777777" w:rsidR="00CB0432" w:rsidRPr="00BE38DF" w:rsidRDefault="00CB0432">
            <w:pPr>
              <w:keepNext/>
              <w:spacing w:before="20" w:after="20"/>
              <w:jc w:val="center"/>
              <w:rPr>
                <w:sz w:val="20"/>
              </w:rPr>
            </w:pPr>
            <w:r>
              <w:rPr>
                <w:sz w:val="16"/>
                <w:szCs w:val="16"/>
              </w:rPr>
              <w:t>Fabricación</w:t>
            </w:r>
          </w:p>
        </w:tc>
        <w:tc>
          <w:tcPr>
            <w:tcW w:w="533" w:type="pct"/>
            <w:vMerge w:val="restart"/>
            <w:tcMar>
              <w:left w:w="85" w:type="dxa"/>
              <w:right w:w="85" w:type="dxa"/>
            </w:tcMar>
            <w:vAlign w:val="center"/>
          </w:tcPr>
          <w:p w14:paraId="14B31C7C" w14:textId="77777777" w:rsidR="00CB0432" w:rsidRPr="00BE38DF" w:rsidRDefault="00CB0432">
            <w:pPr>
              <w:keepNext/>
              <w:spacing w:before="20" w:after="20"/>
              <w:jc w:val="center"/>
              <w:rPr>
                <w:sz w:val="20"/>
              </w:rPr>
            </w:pPr>
            <w:r>
              <w:rPr>
                <w:sz w:val="16"/>
                <w:szCs w:val="16"/>
              </w:rPr>
              <w:t>Servicio técnico</w:t>
            </w:r>
          </w:p>
        </w:tc>
        <w:tc>
          <w:tcPr>
            <w:tcW w:w="485" w:type="pct"/>
            <w:vMerge/>
            <w:tcMar>
              <w:left w:w="85" w:type="dxa"/>
              <w:right w:w="85" w:type="dxa"/>
            </w:tcMar>
            <w:vAlign w:val="center"/>
          </w:tcPr>
          <w:p w14:paraId="36588635" w14:textId="77777777" w:rsidR="00CB0432" w:rsidRPr="00BE38DF" w:rsidRDefault="00CB0432">
            <w:pPr>
              <w:keepNext/>
              <w:spacing w:before="20" w:after="20"/>
              <w:jc w:val="center"/>
              <w:rPr>
                <w:sz w:val="20"/>
              </w:rPr>
            </w:pPr>
          </w:p>
        </w:tc>
        <w:tc>
          <w:tcPr>
            <w:tcW w:w="334" w:type="pct"/>
            <w:vMerge/>
            <w:tcMar>
              <w:left w:w="85" w:type="dxa"/>
              <w:right w:w="85" w:type="dxa"/>
            </w:tcMar>
            <w:vAlign w:val="center"/>
          </w:tcPr>
          <w:p w14:paraId="7D216BD4" w14:textId="77777777" w:rsidR="00CB0432" w:rsidRPr="00BE38DF" w:rsidRDefault="00CB0432">
            <w:pPr>
              <w:keepNext/>
              <w:spacing w:before="20" w:after="20"/>
              <w:jc w:val="center"/>
              <w:rPr>
                <w:sz w:val="20"/>
              </w:rPr>
            </w:pPr>
          </w:p>
        </w:tc>
      </w:tr>
      <w:tr w:rsidR="00CB0432" w:rsidRPr="00BE38DF" w14:paraId="2D5317C1" w14:textId="77777777" w:rsidTr="00860D99">
        <w:trPr>
          <w:jc w:val="center"/>
        </w:trPr>
        <w:tc>
          <w:tcPr>
            <w:tcW w:w="915" w:type="pct"/>
            <w:vMerge/>
            <w:tcMar>
              <w:left w:w="85" w:type="dxa"/>
              <w:right w:w="85" w:type="dxa"/>
            </w:tcMar>
            <w:vAlign w:val="center"/>
          </w:tcPr>
          <w:p w14:paraId="5DBC2225"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1576C50E" w14:textId="77777777" w:rsidR="00CB0432" w:rsidRPr="00BE38DF" w:rsidRDefault="00CB0432">
            <w:pPr>
              <w:keepNext/>
              <w:spacing w:before="20" w:after="20"/>
              <w:jc w:val="center"/>
              <w:rPr>
                <w:sz w:val="20"/>
              </w:rPr>
            </w:pPr>
          </w:p>
        </w:tc>
        <w:tc>
          <w:tcPr>
            <w:tcW w:w="423" w:type="pct"/>
            <w:vMerge/>
            <w:tcMar>
              <w:left w:w="85" w:type="dxa"/>
              <w:right w:w="85" w:type="dxa"/>
            </w:tcMar>
            <w:vAlign w:val="center"/>
          </w:tcPr>
          <w:p w14:paraId="087254E0"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252EBDFD" w14:textId="77777777" w:rsidR="00CB0432" w:rsidRPr="00BE38DF" w:rsidRDefault="00CB0432">
            <w:pPr>
              <w:keepNext/>
              <w:spacing w:before="20" w:after="20"/>
              <w:jc w:val="center"/>
              <w:rPr>
                <w:sz w:val="20"/>
              </w:rPr>
            </w:pPr>
          </w:p>
        </w:tc>
        <w:tc>
          <w:tcPr>
            <w:tcW w:w="683" w:type="pct"/>
            <w:tcMar>
              <w:left w:w="85" w:type="dxa"/>
              <w:right w:w="85" w:type="dxa"/>
            </w:tcMar>
            <w:vAlign w:val="center"/>
          </w:tcPr>
          <w:p w14:paraId="0D3B579F" w14:textId="77777777" w:rsidR="00CB0432" w:rsidRPr="00BE38DF" w:rsidRDefault="00CB0432">
            <w:pPr>
              <w:keepNext/>
              <w:spacing w:before="20" w:after="20"/>
              <w:jc w:val="center"/>
              <w:rPr>
                <w:sz w:val="20"/>
              </w:rPr>
            </w:pPr>
            <w:r>
              <w:rPr>
                <w:sz w:val="16"/>
                <w:szCs w:val="16"/>
              </w:rPr>
              <w:t>Refrigeración</w:t>
            </w:r>
          </w:p>
        </w:tc>
        <w:tc>
          <w:tcPr>
            <w:tcW w:w="418" w:type="pct"/>
            <w:tcMar>
              <w:left w:w="85" w:type="dxa"/>
              <w:right w:w="85" w:type="dxa"/>
            </w:tcMar>
            <w:vAlign w:val="center"/>
          </w:tcPr>
          <w:p w14:paraId="389D37E4" w14:textId="77777777" w:rsidR="00CB0432" w:rsidRPr="00BE38DF" w:rsidRDefault="00CB0432">
            <w:pPr>
              <w:keepNext/>
              <w:spacing w:before="20" w:after="20"/>
              <w:jc w:val="center"/>
              <w:rPr>
                <w:sz w:val="20"/>
              </w:rPr>
            </w:pPr>
            <w:r>
              <w:rPr>
                <w:sz w:val="16"/>
                <w:szCs w:val="16"/>
              </w:rPr>
              <w:t>AC</w:t>
            </w:r>
          </w:p>
        </w:tc>
        <w:tc>
          <w:tcPr>
            <w:tcW w:w="358" w:type="pct"/>
            <w:vAlign w:val="center"/>
          </w:tcPr>
          <w:p w14:paraId="02760A76" w14:textId="77777777" w:rsidR="00CB0432" w:rsidRPr="00BE38DF" w:rsidRDefault="00CB0432">
            <w:pPr>
              <w:keepNext/>
              <w:spacing w:before="20" w:after="20"/>
              <w:jc w:val="center"/>
              <w:rPr>
                <w:sz w:val="20"/>
              </w:rPr>
            </w:pPr>
            <w:r>
              <w:rPr>
                <w:sz w:val="16"/>
                <w:szCs w:val="16"/>
              </w:rPr>
              <w:t>Otros</w:t>
            </w:r>
          </w:p>
        </w:tc>
        <w:tc>
          <w:tcPr>
            <w:tcW w:w="533" w:type="pct"/>
            <w:vMerge/>
            <w:tcMar>
              <w:left w:w="85" w:type="dxa"/>
              <w:right w:w="85" w:type="dxa"/>
            </w:tcMar>
            <w:vAlign w:val="center"/>
          </w:tcPr>
          <w:p w14:paraId="057C022D" w14:textId="77777777" w:rsidR="00CB0432" w:rsidRPr="00BE38DF" w:rsidRDefault="00CB0432">
            <w:pPr>
              <w:keepNext/>
              <w:spacing w:before="20" w:after="20"/>
              <w:jc w:val="center"/>
              <w:rPr>
                <w:sz w:val="20"/>
              </w:rPr>
            </w:pPr>
          </w:p>
        </w:tc>
        <w:tc>
          <w:tcPr>
            <w:tcW w:w="485" w:type="pct"/>
            <w:vMerge/>
            <w:tcMar>
              <w:left w:w="85" w:type="dxa"/>
              <w:right w:w="85" w:type="dxa"/>
            </w:tcMar>
            <w:vAlign w:val="center"/>
          </w:tcPr>
          <w:p w14:paraId="016C1966" w14:textId="77777777" w:rsidR="00CB0432" w:rsidRPr="00BE38DF" w:rsidRDefault="00CB0432">
            <w:pPr>
              <w:keepNext/>
              <w:spacing w:before="20" w:after="20"/>
              <w:jc w:val="center"/>
              <w:rPr>
                <w:sz w:val="20"/>
              </w:rPr>
            </w:pPr>
          </w:p>
        </w:tc>
        <w:tc>
          <w:tcPr>
            <w:tcW w:w="334" w:type="pct"/>
            <w:vMerge/>
            <w:tcMar>
              <w:left w:w="85" w:type="dxa"/>
              <w:right w:w="85" w:type="dxa"/>
            </w:tcMar>
            <w:vAlign w:val="center"/>
          </w:tcPr>
          <w:p w14:paraId="2B170622" w14:textId="77777777" w:rsidR="00CB0432" w:rsidRPr="00BE38DF" w:rsidRDefault="00CB0432">
            <w:pPr>
              <w:keepNext/>
              <w:spacing w:before="20" w:after="20"/>
              <w:jc w:val="center"/>
              <w:rPr>
                <w:sz w:val="20"/>
              </w:rPr>
            </w:pPr>
          </w:p>
        </w:tc>
      </w:tr>
      <w:tr w:rsidR="00CB0432" w:rsidRPr="00BE38DF" w14:paraId="7555BB8A" w14:textId="77777777" w:rsidTr="00860D99">
        <w:trPr>
          <w:jc w:val="center"/>
        </w:trPr>
        <w:tc>
          <w:tcPr>
            <w:tcW w:w="915" w:type="pct"/>
            <w:vAlign w:val="center"/>
          </w:tcPr>
          <w:p w14:paraId="67C3178C" w14:textId="77777777" w:rsidR="00CB0432" w:rsidRPr="00BE38DF" w:rsidRDefault="00CB0432">
            <w:pPr>
              <w:keepNext/>
              <w:spacing w:before="20" w:after="20"/>
              <w:jc w:val="left"/>
              <w:rPr>
                <w:sz w:val="20"/>
              </w:rPr>
            </w:pPr>
            <w:r>
              <w:rPr>
                <w:sz w:val="18"/>
                <w:szCs w:val="18"/>
              </w:rPr>
              <w:t>HFC</w:t>
            </w:r>
          </w:p>
        </w:tc>
        <w:tc>
          <w:tcPr>
            <w:tcW w:w="425" w:type="pct"/>
            <w:vAlign w:val="center"/>
          </w:tcPr>
          <w:p w14:paraId="426B428B" w14:textId="7613648D" w:rsidR="00CB0432" w:rsidRPr="00BE38DF" w:rsidRDefault="0053284B" w:rsidP="0053284B">
            <w:pPr>
              <w:keepNext/>
              <w:spacing w:before="20" w:after="20"/>
              <w:ind w:left="-113"/>
              <w:jc w:val="right"/>
              <w:rPr>
                <w:kern w:val="2"/>
                <w:sz w:val="20"/>
                <w:lang w:eastAsia="en-CA"/>
                <w14:ligatures w14:val="standardContextual"/>
              </w:rPr>
            </w:pPr>
            <w:r>
              <w:rPr>
                <w:sz w:val="18"/>
                <w:szCs w:val="18"/>
              </w:rPr>
              <w:t>0</w:t>
            </w:r>
          </w:p>
        </w:tc>
        <w:tc>
          <w:tcPr>
            <w:tcW w:w="423" w:type="pct"/>
            <w:vAlign w:val="center"/>
          </w:tcPr>
          <w:p w14:paraId="27E4A737" w14:textId="7A1332B0" w:rsidR="00CB0432" w:rsidRPr="00BE38DF" w:rsidRDefault="0053284B" w:rsidP="0053284B">
            <w:pPr>
              <w:keepNext/>
              <w:spacing w:before="20" w:after="20"/>
              <w:ind w:left="-120"/>
              <w:jc w:val="right"/>
              <w:rPr>
                <w:kern w:val="2"/>
                <w:sz w:val="20"/>
                <w:lang w:eastAsia="en-CA"/>
                <w14:ligatures w14:val="standardContextual"/>
              </w:rPr>
            </w:pPr>
            <w:r>
              <w:rPr>
                <w:sz w:val="18"/>
                <w:szCs w:val="18"/>
              </w:rPr>
              <w:t>0</w:t>
            </w:r>
          </w:p>
        </w:tc>
        <w:tc>
          <w:tcPr>
            <w:tcW w:w="425" w:type="pct"/>
            <w:vAlign w:val="center"/>
          </w:tcPr>
          <w:p w14:paraId="09EF9EDC" w14:textId="0BA35A5D" w:rsidR="00CB0432" w:rsidRPr="00BE38DF" w:rsidRDefault="0053284B" w:rsidP="0053284B">
            <w:pPr>
              <w:keepNext/>
              <w:spacing w:before="20" w:after="20"/>
              <w:ind w:left="-110"/>
              <w:jc w:val="right"/>
              <w:rPr>
                <w:kern w:val="2"/>
                <w:sz w:val="20"/>
                <w:lang w:eastAsia="en-CA"/>
                <w14:ligatures w14:val="standardContextual"/>
              </w:rPr>
            </w:pPr>
            <w:r>
              <w:rPr>
                <w:sz w:val="18"/>
                <w:szCs w:val="18"/>
              </w:rPr>
              <w:t>0</w:t>
            </w:r>
          </w:p>
        </w:tc>
        <w:tc>
          <w:tcPr>
            <w:tcW w:w="683" w:type="pct"/>
            <w:vAlign w:val="center"/>
          </w:tcPr>
          <w:p w14:paraId="48AE020A" w14:textId="42FAD445" w:rsidR="00CB0432" w:rsidRPr="00BE38DF" w:rsidRDefault="0053284B" w:rsidP="0053284B">
            <w:pPr>
              <w:keepNext/>
              <w:spacing w:before="20" w:after="20"/>
              <w:ind w:left="-108"/>
              <w:jc w:val="right"/>
              <w:rPr>
                <w:kern w:val="2"/>
                <w:sz w:val="20"/>
                <w:lang w:eastAsia="en-CA"/>
                <w14:ligatures w14:val="standardContextual"/>
              </w:rPr>
            </w:pPr>
            <w:r>
              <w:rPr>
                <w:sz w:val="18"/>
                <w:szCs w:val="18"/>
              </w:rPr>
              <w:t>0</w:t>
            </w:r>
          </w:p>
        </w:tc>
        <w:tc>
          <w:tcPr>
            <w:tcW w:w="418" w:type="pct"/>
            <w:vAlign w:val="center"/>
          </w:tcPr>
          <w:p w14:paraId="5691023D" w14:textId="25A808D7" w:rsidR="00CB0432" w:rsidRPr="00BE38DF" w:rsidRDefault="0053284B" w:rsidP="0053284B">
            <w:pPr>
              <w:keepNext/>
              <w:spacing w:before="20" w:after="20"/>
              <w:ind w:left="-106"/>
              <w:jc w:val="right"/>
              <w:rPr>
                <w:kern w:val="2"/>
                <w:sz w:val="20"/>
                <w:lang w:eastAsia="en-CA"/>
                <w14:ligatures w14:val="standardContextual"/>
              </w:rPr>
            </w:pPr>
            <w:r>
              <w:rPr>
                <w:sz w:val="18"/>
                <w:szCs w:val="18"/>
              </w:rPr>
              <w:t>0</w:t>
            </w:r>
          </w:p>
        </w:tc>
        <w:tc>
          <w:tcPr>
            <w:tcW w:w="358" w:type="pct"/>
            <w:vAlign w:val="center"/>
          </w:tcPr>
          <w:p w14:paraId="140FB860" w14:textId="3D520D10" w:rsidR="00CB0432" w:rsidRPr="00BE38DF" w:rsidRDefault="0053284B" w:rsidP="0053284B">
            <w:pPr>
              <w:keepNext/>
              <w:spacing w:before="20" w:after="20"/>
              <w:ind w:left="-106"/>
              <w:jc w:val="right"/>
              <w:rPr>
                <w:kern w:val="2"/>
                <w:sz w:val="20"/>
                <w:lang w:eastAsia="en-CA"/>
                <w14:ligatures w14:val="standardContextual"/>
              </w:rPr>
            </w:pPr>
            <w:r>
              <w:rPr>
                <w:sz w:val="18"/>
                <w:szCs w:val="18"/>
              </w:rPr>
              <w:t>0</w:t>
            </w:r>
          </w:p>
        </w:tc>
        <w:tc>
          <w:tcPr>
            <w:tcW w:w="533" w:type="pct"/>
            <w:vAlign w:val="center"/>
          </w:tcPr>
          <w:p w14:paraId="3A210907" w14:textId="3C35F7E1" w:rsidR="00CB0432" w:rsidRPr="00BE38DF" w:rsidRDefault="0053284B" w:rsidP="0053284B">
            <w:pPr>
              <w:keepNext/>
              <w:spacing w:before="20" w:after="20"/>
              <w:ind w:left="-110"/>
              <w:jc w:val="right"/>
              <w:rPr>
                <w:kern w:val="2"/>
                <w:sz w:val="20"/>
                <w:lang w:eastAsia="en-CA"/>
                <w14:ligatures w14:val="standardContextual"/>
              </w:rPr>
            </w:pPr>
            <w:r>
              <w:rPr>
                <w:sz w:val="18"/>
                <w:szCs w:val="18"/>
              </w:rPr>
              <w:t>34.040</w:t>
            </w:r>
          </w:p>
        </w:tc>
        <w:tc>
          <w:tcPr>
            <w:tcW w:w="485" w:type="pct"/>
            <w:vAlign w:val="center"/>
          </w:tcPr>
          <w:p w14:paraId="20641654" w14:textId="36C64269" w:rsidR="00CB0432" w:rsidRPr="00BE38DF" w:rsidRDefault="0053284B" w:rsidP="0053284B">
            <w:pPr>
              <w:keepNext/>
              <w:spacing w:before="20" w:after="20"/>
              <w:ind w:left="-108"/>
              <w:jc w:val="right"/>
              <w:rPr>
                <w:kern w:val="2"/>
                <w:sz w:val="20"/>
                <w:lang w:eastAsia="en-CA"/>
                <w14:ligatures w14:val="standardContextual"/>
              </w:rPr>
            </w:pPr>
            <w:r>
              <w:rPr>
                <w:sz w:val="18"/>
                <w:szCs w:val="18"/>
              </w:rPr>
              <w:t>0</w:t>
            </w:r>
          </w:p>
        </w:tc>
        <w:tc>
          <w:tcPr>
            <w:tcW w:w="334" w:type="pct"/>
            <w:vAlign w:val="center"/>
          </w:tcPr>
          <w:p w14:paraId="3AB9649D" w14:textId="666CB23F" w:rsidR="00CB0432" w:rsidRPr="00BE38DF" w:rsidRDefault="0053284B" w:rsidP="0053284B">
            <w:pPr>
              <w:keepNext/>
              <w:spacing w:before="20" w:after="20"/>
              <w:ind w:left="-114" w:right="-10"/>
              <w:jc w:val="right"/>
              <w:rPr>
                <w:kern w:val="2"/>
                <w:sz w:val="20"/>
                <w:lang w:eastAsia="en-CA"/>
                <w14:ligatures w14:val="standardContextual"/>
              </w:rPr>
            </w:pPr>
            <w:r>
              <w:rPr>
                <w:sz w:val="18"/>
                <w:szCs w:val="18"/>
              </w:rPr>
              <w:t>0</w:t>
            </w:r>
          </w:p>
        </w:tc>
      </w:tr>
      <w:tr w:rsidR="00CB0432" w:rsidRPr="00BE38DF" w14:paraId="7C7517CA" w14:textId="77777777" w:rsidTr="00860D99">
        <w:trPr>
          <w:jc w:val="center"/>
        </w:trPr>
        <w:tc>
          <w:tcPr>
            <w:tcW w:w="915" w:type="pct"/>
            <w:vAlign w:val="center"/>
          </w:tcPr>
          <w:p w14:paraId="43A718A6" w14:textId="77777777" w:rsidR="00CB0432" w:rsidRPr="00766F51" w:rsidRDefault="00CB0432">
            <w:pPr>
              <w:spacing w:before="20" w:after="20"/>
              <w:ind w:right="-108"/>
              <w:jc w:val="left"/>
              <w:rPr>
                <w:color w:val="000000" w:themeColor="text1"/>
                <w:sz w:val="20"/>
                <w:lang w:val="es-ES"/>
              </w:rPr>
            </w:pPr>
            <w:r>
              <w:rPr>
                <w:color w:val="000000" w:themeColor="text1"/>
                <w:sz w:val="18"/>
                <w:szCs w:val="18"/>
                <w:lang w:val="es-ES"/>
              </w:rPr>
              <w:t>Actividades previstas acordadas (S/N)</w:t>
            </w:r>
          </w:p>
        </w:tc>
        <w:tc>
          <w:tcPr>
            <w:tcW w:w="425" w:type="pct"/>
            <w:vAlign w:val="center"/>
          </w:tcPr>
          <w:p w14:paraId="7C6968D9" w14:textId="31C0AF02" w:rsidR="00CB0432" w:rsidRPr="00766F51" w:rsidRDefault="00CB0432" w:rsidP="0053284B">
            <w:pPr>
              <w:spacing w:before="20" w:after="20"/>
              <w:jc w:val="center"/>
              <w:rPr>
                <w:kern w:val="2"/>
                <w:sz w:val="20"/>
                <w:lang w:val="es-ES" w:eastAsia="en-CA"/>
                <w14:ligatures w14:val="standardContextual"/>
              </w:rPr>
            </w:pPr>
          </w:p>
        </w:tc>
        <w:tc>
          <w:tcPr>
            <w:tcW w:w="423" w:type="pct"/>
            <w:vAlign w:val="center"/>
          </w:tcPr>
          <w:p w14:paraId="72E85726" w14:textId="721F31A6" w:rsidR="00CB0432" w:rsidRPr="00766F51" w:rsidRDefault="00CB0432" w:rsidP="0053284B">
            <w:pPr>
              <w:spacing w:before="20" w:after="20"/>
              <w:jc w:val="center"/>
              <w:rPr>
                <w:kern w:val="2"/>
                <w:sz w:val="20"/>
                <w:lang w:val="es-ES" w:eastAsia="en-CA"/>
                <w14:ligatures w14:val="standardContextual"/>
              </w:rPr>
            </w:pPr>
          </w:p>
        </w:tc>
        <w:tc>
          <w:tcPr>
            <w:tcW w:w="425" w:type="pct"/>
            <w:vAlign w:val="center"/>
          </w:tcPr>
          <w:p w14:paraId="566432A2" w14:textId="004F027D" w:rsidR="00CB0432" w:rsidRPr="00766F51" w:rsidRDefault="00CB0432" w:rsidP="0053284B">
            <w:pPr>
              <w:spacing w:before="20" w:after="20"/>
              <w:jc w:val="center"/>
              <w:rPr>
                <w:kern w:val="2"/>
                <w:sz w:val="20"/>
                <w:lang w:val="es-ES" w:eastAsia="en-CA"/>
                <w14:ligatures w14:val="standardContextual"/>
              </w:rPr>
            </w:pPr>
          </w:p>
        </w:tc>
        <w:tc>
          <w:tcPr>
            <w:tcW w:w="683" w:type="pct"/>
            <w:vAlign w:val="center"/>
          </w:tcPr>
          <w:p w14:paraId="5CF744FF" w14:textId="487309E2" w:rsidR="00CB0432" w:rsidRPr="00766F51" w:rsidRDefault="00CB0432" w:rsidP="0053284B">
            <w:pPr>
              <w:spacing w:before="20" w:after="20"/>
              <w:jc w:val="center"/>
              <w:rPr>
                <w:kern w:val="2"/>
                <w:sz w:val="20"/>
                <w:lang w:val="es-ES" w:eastAsia="en-CA"/>
                <w14:ligatures w14:val="standardContextual"/>
              </w:rPr>
            </w:pPr>
          </w:p>
        </w:tc>
        <w:tc>
          <w:tcPr>
            <w:tcW w:w="418" w:type="pct"/>
            <w:vAlign w:val="center"/>
          </w:tcPr>
          <w:p w14:paraId="151EC3CE" w14:textId="74C1C36C" w:rsidR="00CB0432" w:rsidRPr="00766F51" w:rsidRDefault="00CB0432" w:rsidP="0053284B">
            <w:pPr>
              <w:spacing w:before="20" w:after="20"/>
              <w:jc w:val="center"/>
              <w:rPr>
                <w:kern w:val="2"/>
                <w:sz w:val="20"/>
                <w:lang w:val="es-ES" w:eastAsia="en-CA"/>
                <w14:ligatures w14:val="standardContextual"/>
              </w:rPr>
            </w:pPr>
          </w:p>
        </w:tc>
        <w:tc>
          <w:tcPr>
            <w:tcW w:w="358" w:type="pct"/>
            <w:vAlign w:val="center"/>
          </w:tcPr>
          <w:p w14:paraId="584A6F28" w14:textId="4104EB40" w:rsidR="00CB0432" w:rsidRPr="00766F51" w:rsidRDefault="00CB0432" w:rsidP="0053284B">
            <w:pPr>
              <w:spacing w:before="20" w:after="20"/>
              <w:jc w:val="center"/>
              <w:rPr>
                <w:kern w:val="2"/>
                <w:sz w:val="20"/>
                <w:lang w:val="es-ES" w:eastAsia="en-CA"/>
                <w14:ligatures w14:val="standardContextual"/>
              </w:rPr>
            </w:pPr>
          </w:p>
        </w:tc>
        <w:tc>
          <w:tcPr>
            <w:tcW w:w="533" w:type="pct"/>
            <w:vAlign w:val="center"/>
          </w:tcPr>
          <w:p w14:paraId="3A9729A6" w14:textId="1BDB9FCC" w:rsidR="00CB0432" w:rsidRPr="00BE38DF" w:rsidRDefault="0053284B" w:rsidP="0053284B">
            <w:pPr>
              <w:spacing w:before="20" w:after="20"/>
              <w:jc w:val="center"/>
              <w:rPr>
                <w:kern w:val="2"/>
                <w:sz w:val="20"/>
                <w:lang w:eastAsia="en-CA"/>
                <w14:ligatures w14:val="standardContextual"/>
              </w:rPr>
            </w:pPr>
            <w:r>
              <w:rPr>
                <w:sz w:val="18"/>
                <w:szCs w:val="18"/>
              </w:rPr>
              <w:t>S</w:t>
            </w:r>
          </w:p>
        </w:tc>
        <w:tc>
          <w:tcPr>
            <w:tcW w:w="485" w:type="pct"/>
            <w:vAlign w:val="center"/>
          </w:tcPr>
          <w:p w14:paraId="54259028" w14:textId="5FD3C35B" w:rsidR="00CB0432" w:rsidRPr="00BE38DF" w:rsidRDefault="00CB0432" w:rsidP="0053284B">
            <w:pPr>
              <w:spacing w:before="20" w:after="20"/>
              <w:jc w:val="center"/>
              <w:rPr>
                <w:kern w:val="2"/>
                <w:sz w:val="20"/>
                <w:lang w:eastAsia="en-CA"/>
                <w14:ligatures w14:val="standardContextual"/>
              </w:rPr>
            </w:pPr>
          </w:p>
        </w:tc>
        <w:tc>
          <w:tcPr>
            <w:tcW w:w="334" w:type="pct"/>
            <w:vAlign w:val="center"/>
          </w:tcPr>
          <w:p w14:paraId="401839FB" w14:textId="5C025069" w:rsidR="00CB0432" w:rsidRPr="00BE38DF" w:rsidRDefault="00CB0432" w:rsidP="0053284B">
            <w:pPr>
              <w:spacing w:before="20" w:after="20"/>
              <w:jc w:val="center"/>
              <w:rPr>
                <w:kern w:val="2"/>
                <w:sz w:val="20"/>
                <w:lang w:eastAsia="en-CA"/>
                <w14:ligatures w14:val="standardContextual"/>
              </w:rPr>
            </w:pPr>
          </w:p>
        </w:tc>
      </w:tr>
    </w:tbl>
    <w:p w14:paraId="0A287C09" w14:textId="77777777" w:rsidR="00540DFC" w:rsidRPr="00BE38DF" w:rsidRDefault="00540DFC" w:rsidP="00540DFC">
      <w:pPr>
        <w:ind w:left="-284" w:right="-279"/>
        <w:rPr>
          <w:kern w:val="2"/>
          <w:lang w:eastAsia="en-CA"/>
          <w14:ligatures w14:val="standardContextual"/>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BE38DF" w14:paraId="5E448B20" w14:textId="77777777">
        <w:trPr>
          <w:trHeight w:val="156"/>
          <w:jc w:val="center"/>
        </w:trPr>
        <w:tc>
          <w:tcPr>
            <w:tcW w:w="3030" w:type="pct"/>
            <w:tcMar>
              <w:top w:w="17" w:type="dxa"/>
              <w:left w:w="108" w:type="dxa"/>
              <w:bottom w:w="17" w:type="dxa"/>
              <w:right w:w="108" w:type="dxa"/>
            </w:tcMar>
          </w:tcPr>
          <w:p w14:paraId="655130F8" w14:textId="77777777" w:rsidR="00CB0432" w:rsidRPr="00766F51" w:rsidRDefault="00CB0432">
            <w:pPr>
              <w:spacing w:before="20" w:after="20"/>
              <w:ind w:right="-95"/>
              <w:jc w:val="left"/>
              <w:rPr>
                <w:b/>
                <w:caps/>
                <w:sz w:val="20"/>
                <w:szCs w:val="20"/>
                <w:lang w:val="es-ES"/>
              </w:rPr>
            </w:pPr>
            <w:r>
              <w:rPr>
                <w:b/>
                <w:caps/>
                <w:sz w:val="18"/>
                <w:szCs w:val="18"/>
                <w:lang w:val="es-ES"/>
              </w:rPr>
              <w:t>Consumo promedio de HFC en el período 2020–2022 en servicio técnico</w:t>
            </w:r>
          </w:p>
        </w:tc>
        <w:tc>
          <w:tcPr>
            <w:tcW w:w="758" w:type="pct"/>
          </w:tcPr>
          <w:p w14:paraId="76D083F7" w14:textId="5E2CE422" w:rsidR="00CB0432" w:rsidRPr="00BE38DF" w:rsidRDefault="001C4BB0" w:rsidP="001C4BB0">
            <w:pPr>
              <w:spacing w:before="20" w:after="20"/>
              <w:ind w:right="116"/>
              <w:jc w:val="right"/>
              <w:rPr>
                <w:bCs/>
                <w:kern w:val="2"/>
                <w:sz w:val="20"/>
                <w:szCs w:val="20"/>
                <w:lang w:eastAsia="en-CA"/>
                <w14:ligatures w14:val="standardContextual"/>
              </w:rPr>
            </w:pPr>
            <w:r>
              <w:rPr>
                <w:color w:val="000000"/>
                <w:sz w:val="18"/>
                <w:szCs w:val="18"/>
              </w:rPr>
              <w:t>10,77 tm</w:t>
            </w:r>
          </w:p>
        </w:tc>
        <w:tc>
          <w:tcPr>
            <w:tcW w:w="1212" w:type="pct"/>
          </w:tcPr>
          <w:p w14:paraId="38638DD2" w14:textId="70BD4B92" w:rsidR="00CB0432" w:rsidRPr="00BE38DF" w:rsidRDefault="001C4BB0" w:rsidP="001C4BB0">
            <w:pPr>
              <w:spacing w:before="20" w:after="20"/>
              <w:ind w:right="116"/>
              <w:jc w:val="right"/>
              <w:rPr>
                <w:kern w:val="2"/>
                <w:sz w:val="20"/>
                <w:szCs w:val="20"/>
                <w:lang w:eastAsia="en-CA"/>
                <w14:ligatures w14:val="standardContextual"/>
              </w:rPr>
            </w:pPr>
            <w:r>
              <w:rPr>
                <w:color w:val="000000"/>
                <w:sz w:val="18"/>
                <w:szCs w:val="18"/>
              </w:rPr>
              <w:t>25.214 </w:t>
            </w:r>
            <w:r>
              <w:rPr>
                <w:sz w:val="18"/>
                <w:szCs w:val="18"/>
              </w:rPr>
              <w:t>toneladas de CO</w:t>
            </w:r>
            <w:r>
              <w:rPr>
                <w:sz w:val="18"/>
                <w:szCs w:val="18"/>
                <w:vertAlign w:val="subscript"/>
              </w:rPr>
              <w:t>2</w:t>
            </w:r>
            <w:r>
              <w:rPr>
                <w:sz w:val="18"/>
                <w:szCs w:val="18"/>
              </w:rPr>
              <w:t xml:space="preserve"> equivalente</w:t>
            </w:r>
          </w:p>
        </w:tc>
      </w:tr>
    </w:tbl>
    <w:p w14:paraId="069A42AA" w14:textId="77777777" w:rsidR="00CB0432" w:rsidRPr="00BE38DF"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BE38DF" w14:paraId="04453002" w14:textId="77777777" w:rsidTr="00860D99">
        <w:trPr>
          <w:tblHeader/>
          <w:jc w:val="center"/>
        </w:trPr>
        <w:tc>
          <w:tcPr>
            <w:tcW w:w="1763" w:type="pct"/>
            <w:tcMar>
              <w:top w:w="17" w:type="dxa"/>
              <w:left w:w="108" w:type="dxa"/>
              <w:bottom w:w="17" w:type="dxa"/>
              <w:right w:w="108" w:type="dxa"/>
            </w:tcMar>
            <w:vAlign w:val="center"/>
          </w:tcPr>
          <w:p w14:paraId="66FC26C8" w14:textId="77777777" w:rsidR="00CB0432" w:rsidRPr="00766F51" w:rsidRDefault="00CB0432">
            <w:pPr>
              <w:keepNext/>
              <w:spacing w:before="20" w:after="20"/>
              <w:jc w:val="left"/>
              <w:rPr>
                <w:b/>
                <w:bCs/>
                <w:sz w:val="20"/>
                <w:szCs w:val="20"/>
                <w:lang w:val="es-ES"/>
              </w:rPr>
            </w:pPr>
            <w:r>
              <w:rPr>
                <w:b/>
                <w:sz w:val="18"/>
                <w:szCs w:val="18"/>
                <w:lang w:val="es-ES"/>
              </w:rPr>
              <w:t>DATOS DE NIVEL BÁSICO (toneladas de CO</w:t>
            </w:r>
            <w:r>
              <w:rPr>
                <w:b/>
                <w:sz w:val="18"/>
                <w:szCs w:val="18"/>
                <w:vertAlign w:val="subscript"/>
                <w:lang w:val="es-ES"/>
              </w:rPr>
              <w:t>2</w:t>
            </w:r>
            <w:r>
              <w:rPr>
                <w:b/>
                <w:sz w:val="18"/>
                <w:szCs w:val="18"/>
                <w:lang w:val="es-ES"/>
              </w:rPr>
              <w:t xml:space="preserve"> equivalente)</w:t>
            </w:r>
          </w:p>
        </w:tc>
        <w:tc>
          <w:tcPr>
            <w:tcW w:w="755" w:type="pct"/>
            <w:vAlign w:val="center"/>
          </w:tcPr>
          <w:p w14:paraId="7268BB3E" w14:textId="77777777" w:rsidR="00CB0432" w:rsidRPr="00BE38DF" w:rsidRDefault="00CB0432">
            <w:pPr>
              <w:keepNext/>
              <w:spacing w:before="20" w:after="20"/>
              <w:jc w:val="center"/>
              <w:rPr>
                <w:b/>
                <w:bCs/>
                <w:sz w:val="20"/>
                <w:szCs w:val="20"/>
              </w:rPr>
            </w:pPr>
            <w:r>
              <w:rPr>
                <w:b/>
                <w:bCs/>
                <w:sz w:val="18"/>
                <w:szCs w:val="18"/>
              </w:rPr>
              <w:t>2020</w:t>
            </w:r>
          </w:p>
        </w:tc>
        <w:tc>
          <w:tcPr>
            <w:tcW w:w="755" w:type="pct"/>
            <w:tcMar>
              <w:top w:w="17" w:type="dxa"/>
              <w:left w:w="108" w:type="dxa"/>
              <w:bottom w:w="17" w:type="dxa"/>
              <w:right w:w="108" w:type="dxa"/>
            </w:tcMar>
            <w:vAlign w:val="center"/>
          </w:tcPr>
          <w:p w14:paraId="36E42BA4" w14:textId="77777777" w:rsidR="00CB0432" w:rsidRPr="00BE38DF" w:rsidRDefault="00CB0432">
            <w:pPr>
              <w:keepNext/>
              <w:spacing w:before="20" w:after="20"/>
              <w:jc w:val="center"/>
              <w:rPr>
                <w:b/>
                <w:bCs/>
                <w:sz w:val="20"/>
                <w:szCs w:val="20"/>
              </w:rPr>
            </w:pPr>
            <w:r>
              <w:rPr>
                <w:b/>
                <w:bCs/>
                <w:sz w:val="18"/>
                <w:szCs w:val="18"/>
              </w:rPr>
              <w:t>2021</w:t>
            </w:r>
          </w:p>
        </w:tc>
        <w:tc>
          <w:tcPr>
            <w:tcW w:w="755" w:type="pct"/>
            <w:tcMar>
              <w:top w:w="17" w:type="dxa"/>
              <w:left w:w="108" w:type="dxa"/>
              <w:bottom w:w="17" w:type="dxa"/>
              <w:right w:w="108" w:type="dxa"/>
            </w:tcMar>
            <w:vAlign w:val="center"/>
          </w:tcPr>
          <w:p w14:paraId="6A6AFEA1" w14:textId="77777777" w:rsidR="00CB0432" w:rsidRPr="00BE38DF" w:rsidRDefault="00CB0432">
            <w:pPr>
              <w:keepNext/>
              <w:spacing w:before="20" w:after="20"/>
              <w:jc w:val="center"/>
              <w:rPr>
                <w:b/>
                <w:bCs/>
                <w:sz w:val="20"/>
                <w:szCs w:val="20"/>
              </w:rPr>
            </w:pPr>
            <w:r>
              <w:rPr>
                <w:b/>
                <w:bCs/>
                <w:sz w:val="18"/>
                <w:szCs w:val="18"/>
              </w:rPr>
              <w:t>2022</w:t>
            </w:r>
          </w:p>
        </w:tc>
        <w:tc>
          <w:tcPr>
            <w:tcW w:w="972" w:type="pct"/>
            <w:tcMar>
              <w:top w:w="17" w:type="dxa"/>
              <w:left w:w="108" w:type="dxa"/>
              <w:bottom w:w="17" w:type="dxa"/>
              <w:right w:w="108" w:type="dxa"/>
            </w:tcMar>
            <w:vAlign w:val="center"/>
          </w:tcPr>
          <w:p w14:paraId="25B74E57" w14:textId="77777777" w:rsidR="00CB0432" w:rsidRPr="00BE38DF" w:rsidRDefault="00CB0432">
            <w:pPr>
              <w:keepNext/>
              <w:spacing w:before="20" w:after="20"/>
              <w:jc w:val="center"/>
              <w:rPr>
                <w:b/>
                <w:bCs/>
                <w:sz w:val="20"/>
                <w:szCs w:val="20"/>
              </w:rPr>
            </w:pPr>
            <w:r>
              <w:rPr>
                <w:b/>
                <w:bCs/>
                <w:sz w:val="18"/>
                <w:szCs w:val="18"/>
              </w:rPr>
              <w:t>Promedio 2020–2022</w:t>
            </w:r>
          </w:p>
        </w:tc>
      </w:tr>
      <w:tr w:rsidR="00CB0432" w:rsidRPr="00BE38DF" w14:paraId="7492011E" w14:textId="77777777" w:rsidTr="00860D99">
        <w:trPr>
          <w:jc w:val="center"/>
        </w:trPr>
        <w:tc>
          <w:tcPr>
            <w:tcW w:w="1763" w:type="pct"/>
            <w:tcMar>
              <w:top w:w="17" w:type="dxa"/>
              <w:left w:w="108" w:type="dxa"/>
              <w:bottom w:w="17" w:type="dxa"/>
              <w:right w:w="108" w:type="dxa"/>
            </w:tcMar>
            <w:vAlign w:val="center"/>
          </w:tcPr>
          <w:p w14:paraId="6D4F6C61" w14:textId="77777777" w:rsidR="00CB0432" w:rsidRPr="00BE38DF" w:rsidRDefault="00CB0432">
            <w:pPr>
              <w:keepNext/>
              <w:spacing w:before="20" w:after="20"/>
              <w:rPr>
                <w:sz w:val="20"/>
                <w:szCs w:val="20"/>
              </w:rPr>
            </w:pPr>
            <w:r>
              <w:rPr>
                <w:sz w:val="18"/>
                <w:szCs w:val="18"/>
              </w:rPr>
              <w:t>Consumo anual de HFC</w:t>
            </w:r>
          </w:p>
        </w:tc>
        <w:tc>
          <w:tcPr>
            <w:tcW w:w="755" w:type="pct"/>
            <w:vAlign w:val="center"/>
          </w:tcPr>
          <w:p w14:paraId="1AFDB329" w14:textId="23A5B608" w:rsidR="00CB0432" w:rsidRPr="00BE38DF" w:rsidRDefault="001C4BB0" w:rsidP="001C4BB0">
            <w:pPr>
              <w:keepNext/>
              <w:spacing w:before="20" w:after="20"/>
              <w:ind w:right="147"/>
              <w:jc w:val="right"/>
              <w:rPr>
                <w:kern w:val="2"/>
                <w:sz w:val="20"/>
                <w:szCs w:val="20"/>
                <w:lang w:eastAsia="en-CA"/>
                <w14:ligatures w14:val="standardContextual"/>
              </w:rPr>
            </w:pPr>
            <w:r>
              <w:rPr>
                <w:color w:val="000000"/>
                <w:sz w:val="18"/>
                <w:szCs w:val="18"/>
              </w:rPr>
              <w:t>17.696</w:t>
            </w:r>
          </w:p>
        </w:tc>
        <w:tc>
          <w:tcPr>
            <w:tcW w:w="755" w:type="pct"/>
            <w:tcMar>
              <w:top w:w="17" w:type="dxa"/>
              <w:left w:w="108" w:type="dxa"/>
              <w:bottom w:w="17" w:type="dxa"/>
              <w:right w:w="108" w:type="dxa"/>
            </w:tcMar>
            <w:vAlign w:val="center"/>
          </w:tcPr>
          <w:p w14:paraId="11CEF15B" w14:textId="721DCEA2" w:rsidR="00CB0432" w:rsidRPr="00BE38DF" w:rsidRDefault="001C4BB0" w:rsidP="001C4BB0">
            <w:pPr>
              <w:keepNext/>
              <w:spacing w:before="20" w:after="20"/>
              <w:ind w:right="38"/>
              <w:jc w:val="right"/>
              <w:rPr>
                <w:kern w:val="2"/>
                <w:sz w:val="20"/>
                <w:szCs w:val="20"/>
                <w:lang w:eastAsia="en-CA"/>
                <w14:ligatures w14:val="standardContextual"/>
              </w:rPr>
            </w:pPr>
            <w:r>
              <w:rPr>
                <w:color w:val="000000"/>
                <w:sz w:val="18"/>
                <w:szCs w:val="18"/>
              </w:rPr>
              <w:t>29.038</w:t>
            </w:r>
          </w:p>
        </w:tc>
        <w:tc>
          <w:tcPr>
            <w:tcW w:w="755" w:type="pct"/>
            <w:tcMar>
              <w:top w:w="17" w:type="dxa"/>
              <w:left w:w="108" w:type="dxa"/>
              <w:bottom w:w="17" w:type="dxa"/>
              <w:right w:w="108" w:type="dxa"/>
            </w:tcMar>
            <w:vAlign w:val="center"/>
          </w:tcPr>
          <w:p w14:paraId="4B0DF225" w14:textId="0162F907" w:rsidR="00CB0432" w:rsidRPr="00BE38DF" w:rsidRDefault="001C4BB0" w:rsidP="001C4BB0">
            <w:pPr>
              <w:keepNext/>
              <w:spacing w:before="20" w:after="20"/>
              <w:ind w:right="34"/>
              <w:jc w:val="right"/>
              <w:rPr>
                <w:kern w:val="2"/>
                <w:sz w:val="20"/>
                <w:szCs w:val="20"/>
                <w:lang w:eastAsia="en-CA"/>
                <w14:ligatures w14:val="standardContextual"/>
              </w:rPr>
            </w:pPr>
            <w:r>
              <w:rPr>
                <w:color w:val="000000"/>
                <w:sz w:val="18"/>
                <w:szCs w:val="18"/>
              </w:rPr>
              <w:t>28.907</w:t>
            </w:r>
          </w:p>
        </w:tc>
        <w:tc>
          <w:tcPr>
            <w:tcW w:w="972" w:type="pct"/>
            <w:tcMar>
              <w:top w:w="17" w:type="dxa"/>
              <w:left w:w="108" w:type="dxa"/>
              <w:bottom w:w="17" w:type="dxa"/>
              <w:right w:w="108" w:type="dxa"/>
            </w:tcMar>
            <w:vAlign w:val="center"/>
          </w:tcPr>
          <w:p w14:paraId="710F5738" w14:textId="6E8D5C82" w:rsidR="00CB0432" w:rsidRPr="00BE38DF" w:rsidRDefault="001C4BB0" w:rsidP="001C4BB0">
            <w:pPr>
              <w:keepNext/>
              <w:spacing w:before="20" w:after="20"/>
              <w:ind w:right="33"/>
              <w:jc w:val="right"/>
              <w:rPr>
                <w:kern w:val="2"/>
                <w:sz w:val="20"/>
                <w:szCs w:val="20"/>
                <w:lang w:eastAsia="en-CA"/>
                <w14:ligatures w14:val="standardContextual"/>
              </w:rPr>
            </w:pPr>
            <w:r>
              <w:rPr>
                <w:color w:val="000000"/>
                <w:sz w:val="18"/>
                <w:szCs w:val="18"/>
              </w:rPr>
              <w:t>25.214</w:t>
            </w:r>
          </w:p>
        </w:tc>
      </w:tr>
      <w:tr w:rsidR="00CB0432" w:rsidRPr="00BE38DF" w14:paraId="22560D77" w14:textId="77777777" w:rsidTr="00860D99">
        <w:trPr>
          <w:jc w:val="center"/>
        </w:trPr>
        <w:tc>
          <w:tcPr>
            <w:tcW w:w="4028" w:type="pct"/>
            <w:gridSpan w:val="4"/>
            <w:tcBorders>
              <w:bottom w:val="single" w:sz="4" w:space="0" w:color="auto"/>
            </w:tcBorders>
            <w:tcMar>
              <w:top w:w="17" w:type="dxa"/>
              <w:left w:w="108" w:type="dxa"/>
              <w:bottom w:w="17" w:type="dxa"/>
              <w:right w:w="108" w:type="dxa"/>
            </w:tcMar>
            <w:vAlign w:val="center"/>
          </w:tcPr>
          <w:p w14:paraId="2041CCD1" w14:textId="77777777" w:rsidR="00CB0432" w:rsidRPr="00BE38DF" w:rsidRDefault="00CB0432">
            <w:pPr>
              <w:keepNext/>
              <w:spacing w:before="20" w:after="20"/>
              <w:ind w:right="113"/>
              <w:jc w:val="left"/>
              <w:rPr>
                <w:sz w:val="20"/>
                <w:szCs w:val="20"/>
              </w:rPr>
            </w:pPr>
            <w:r>
              <w:rPr>
                <w:sz w:val="18"/>
                <w:szCs w:val="18"/>
              </w:rPr>
              <w:t>Nivel básico de HCFC (65 %)</w:t>
            </w:r>
          </w:p>
        </w:tc>
        <w:tc>
          <w:tcPr>
            <w:tcW w:w="972" w:type="pct"/>
            <w:tcBorders>
              <w:bottom w:val="single" w:sz="4" w:space="0" w:color="auto"/>
            </w:tcBorders>
            <w:vAlign w:val="center"/>
          </w:tcPr>
          <w:p w14:paraId="175B3D94" w14:textId="699E079F" w:rsidR="00CB0432" w:rsidRPr="00BE38DF" w:rsidRDefault="001C4BB0" w:rsidP="001C4BB0">
            <w:pPr>
              <w:keepNext/>
              <w:spacing w:before="20" w:after="20"/>
              <w:ind w:right="116"/>
              <w:jc w:val="right"/>
              <w:rPr>
                <w:kern w:val="2"/>
                <w:sz w:val="20"/>
                <w:szCs w:val="20"/>
                <w:lang w:eastAsia="en-CA"/>
                <w14:ligatures w14:val="standardContextual"/>
              </w:rPr>
            </w:pPr>
            <w:r>
              <w:rPr>
                <w:color w:val="000000"/>
                <w:sz w:val="18"/>
                <w:szCs w:val="18"/>
              </w:rPr>
              <w:t>45.825</w:t>
            </w:r>
          </w:p>
        </w:tc>
      </w:tr>
      <w:tr w:rsidR="00CB0432" w:rsidRPr="00BE38DF" w14:paraId="20C75788" w14:textId="77777777" w:rsidTr="00860D99">
        <w:trPr>
          <w:jc w:val="center"/>
        </w:trPr>
        <w:tc>
          <w:tcPr>
            <w:tcW w:w="4028" w:type="pct"/>
            <w:gridSpan w:val="4"/>
            <w:tcBorders>
              <w:bottom w:val="single" w:sz="4" w:space="0" w:color="auto"/>
            </w:tcBorders>
            <w:tcMar>
              <w:top w:w="17" w:type="dxa"/>
              <w:left w:w="108" w:type="dxa"/>
              <w:bottom w:w="17" w:type="dxa"/>
              <w:right w:w="108" w:type="dxa"/>
            </w:tcMar>
            <w:vAlign w:val="center"/>
          </w:tcPr>
          <w:p w14:paraId="5A4F58A2" w14:textId="77777777" w:rsidR="00CB0432" w:rsidRPr="00BE38DF" w:rsidRDefault="00CB0432">
            <w:pPr>
              <w:spacing w:before="20" w:after="20"/>
              <w:ind w:right="116"/>
              <w:jc w:val="left"/>
              <w:rPr>
                <w:sz w:val="20"/>
                <w:szCs w:val="20"/>
              </w:rPr>
            </w:pPr>
            <w:r>
              <w:rPr>
                <w:sz w:val="18"/>
                <w:szCs w:val="18"/>
              </w:rPr>
              <w:t>Nivel básico de HFC</w:t>
            </w:r>
          </w:p>
        </w:tc>
        <w:tc>
          <w:tcPr>
            <w:tcW w:w="972" w:type="pct"/>
            <w:tcBorders>
              <w:bottom w:val="single" w:sz="4" w:space="0" w:color="auto"/>
            </w:tcBorders>
            <w:vAlign w:val="center"/>
          </w:tcPr>
          <w:p w14:paraId="310826DA" w14:textId="30849936" w:rsidR="00CB0432" w:rsidRPr="00BE38DF" w:rsidRDefault="001C4BB0" w:rsidP="001C4BB0">
            <w:pPr>
              <w:spacing w:before="20" w:after="20"/>
              <w:ind w:right="116"/>
              <w:jc w:val="right"/>
              <w:rPr>
                <w:kern w:val="2"/>
                <w:sz w:val="20"/>
                <w:lang w:eastAsia="en-CA"/>
                <w14:ligatures w14:val="standardContextual"/>
              </w:rPr>
            </w:pPr>
            <w:r>
              <w:rPr>
                <w:color w:val="000000"/>
                <w:sz w:val="18"/>
                <w:szCs w:val="18"/>
              </w:rPr>
              <w:t>71.039</w:t>
            </w:r>
          </w:p>
        </w:tc>
      </w:tr>
    </w:tbl>
    <w:p w14:paraId="1A75CA2F" w14:textId="77777777" w:rsidR="00CB0432" w:rsidRPr="00BE38DF"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CB0432" w:rsidRPr="00B50897" w14:paraId="553EAEF1" w14:textId="77777777">
        <w:trPr>
          <w:jc w:val="center"/>
        </w:trPr>
        <w:tc>
          <w:tcPr>
            <w:tcW w:w="5000" w:type="pct"/>
            <w:gridSpan w:val="2"/>
            <w:tcMar>
              <w:top w:w="17" w:type="dxa"/>
              <w:left w:w="108" w:type="dxa"/>
              <w:bottom w:w="17" w:type="dxa"/>
              <w:right w:w="108" w:type="dxa"/>
            </w:tcMar>
          </w:tcPr>
          <w:p w14:paraId="33DA3562" w14:textId="77777777" w:rsidR="00CB0432" w:rsidRPr="00766F51" w:rsidRDefault="00CB0432">
            <w:pPr>
              <w:keepNext/>
              <w:spacing w:before="20" w:after="20"/>
              <w:ind w:right="116"/>
              <w:jc w:val="left"/>
              <w:rPr>
                <w:sz w:val="20"/>
                <w:szCs w:val="20"/>
                <w:lang w:val="es-ES"/>
              </w:rPr>
            </w:pPr>
            <w:r>
              <w:rPr>
                <w:b/>
                <w:bCs/>
                <w:sz w:val="18"/>
                <w:szCs w:val="18"/>
                <w:lang w:val="es-ES"/>
              </w:rPr>
              <w:t>CONSUMO DE HFC ADMISIBLE PARA LA FINANCIACIÓN (toneladas de CO</w:t>
            </w:r>
            <w:r>
              <w:rPr>
                <w:b/>
                <w:bCs/>
                <w:sz w:val="18"/>
                <w:szCs w:val="18"/>
                <w:vertAlign w:val="subscript"/>
                <w:lang w:val="es-ES"/>
              </w:rPr>
              <w:t>2</w:t>
            </w:r>
            <w:r>
              <w:rPr>
                <w:b/>
                <w:bCs/>
                <w:sz w:val="18"/>
                <w:szCs w:val="18"/>
                <w:lang w:val="es-ES"/>
              </w:rPr>
              <w:t xml:space="preserve"> equivalente)</w:t>
            </w:r>
          </w:p>
        </w:tc>
      </w:tr>
      <w:tr w:rsidR="00CB0432" w:rsidRPr="00BE38DF" w14:paraId="7B4B7D63" w14:textId="77777777">
        <w:trPr>
          <w:jc w:val="center"/>
        </w:trPr>
        <w:tc>
          <w:tcPr>
            <w:tcW w:w="2500" w:type="pct"/>
            <w:tcMar>
              <w:top w:w="17" w:type="dxa"/>
              <w:left w:w="108" w:type="dxa"/>
              <w:bottom w:w="17" w:type="dxa"/>
              <w:right w:w="108" w:type="dxa"/>
            </w:tcMar>
            <w:vAlign w:val="center"/>
          </w:tcPr>
          <w:p w14:paraId="60CA322F" w14:textId="77777777" w:rsidR="00CB0432" w:rsidRPr="00766F51" w:rsidRDefault="00CB0432">
            <w:pPr>
              <w:keepNext/>
              <w:spacing w:before="20" w:after="20"/>
              <w:ind w:right="55"/>
              <w:jc w:val="left"/>
              <w:rPr>
                <w:sz w:val="20"/>
                <w:szCs w:val="20"/>
                <w:lang w:val="es-ES"/>
              </w:rPr>
            </w:pPr>
            <w:r>
              <w:rPr>
                <w:sz w:val="18"/>
                <w:szCs w:val="18"/>
                <w:lang w:val="es-ES"/>
              </w:rPr>
              <w:t>Punto de partida para las reducciones acumuladas sostenidas</w:t>
            </w:r>
          </w:p>
        </w:tc>
        <w:tc>
          <w:tcPr>
            <w:tcW w:w="2500" w:type="pct"/>
            <w:vAlign w:val="center"/>
          </w:tcPr>
          <w:p w14:paraId="47F41EB9" w14:textId="34CE6CDC" w:rsidR="00CB0432" w:rsidRPr="00BE38DF" w:rsidRDefault="00D30874" w:rsidP="00D30874">
            <w:pPr>
              <w:keepNext/>
              <w:spacing w:before="20" w:after="20"/>
              <w:ind w:left="-29" w:right="116"/>
              <w:jc w:val="center"/>
              <w:rPr>
                <w:kern w:val="2"/>
                <w:sz w:val="20"/>
                <w:lang w:eastAsia="en-CA"/>
                <w14:ligatures w14:val="standardContextual"/>
              </w:rPr>
            </w:pPr>
            <w:r>
              <w:rPr>
                <w:sz w:val="18"/>
                <w:szCs w:val="18"/>
              </w:rPr>
              <w:t>n.a.</w:t>
            </w:r>
          </w:p>
        </w:tc>
      </w:tr>
      <w:tr w:rsidR="00CB0432" w:rsidRPr="00BE38DF" w14:paraId="49662498" w14:textId="77777777">
        <w:trPr>
          <w:jc w:val="center"/>
        </w:trPr>
        <w:tc>
          <w:tcPr>
            <w:tcW w:w="2500" w:type="pct"/>
            <w:tcMar>
              <w:top w:w="17" w:type="dxa"/>
              <w:left w:w="108" w:type="dxa"/>
              <w:bottom w:w="17" w:type="dxa"/>
              <w:right w:w="108" w:type="dxa"/>
            </w:tcMar>
            <w:vAlign w:val="center"/>
          </w:tcPr>
          <w:p w14:paraId="1A164B88" w14:textId="77777777" w:rsidR="00CB0432" w:rsidRPr="00766F51" w:rsidRDefault="00CB0432">
            <w:pPr>
              <w:keepNext/>
              <w:spacing w:before="20" w:after="20"/>
              <w:ind w:right="55"/>
              <w:jc w:val="left"/>
              <w:rPr>
                <w:b/>
                <w:sz w:val="20"/>
                <w:lang w:val="es-ES"/>
              </w:rPr>
            </w:pPr>
            <w:r>
              <w:rPr>
                <w:sz w:val="18"/>
                <w:szCs w:val="18"/>
                <w:lang w:val="es-ES"/>
              </w:rPr>
              <w:t>Proyectos de inversión aprobados anteriormente para la reducción de HFC</w:t>
            </w:r>
          </w:p>
        </w:tc>
        <w:tc>
          <w:tcPr>
            <w:tcW w:w="2500" w:type="pct"/>
            <w:vAlign w:val="center"/>
          </w:tcPr>
          <w:p w14:paraId="645C70F4" w14:textId="32F5ED83" w:rsidR="00CB0432" w:rsidRPr="00BE38DF" w:rsidRDefault="00D30874" w:rsidP="00D30874">
            <w:pPr>
              <w:keepNext/>
              <w:spacing w:before="20" w:after="20"/>
              <w:ind w:right="116"/>
              <w:jc w:val="center"/>
              <w:rPr>
                <w:b/>
                <w:kern w:val="2"/>
                <w:sz w:val="20"/>
                <w:lang w:eastAsia="en-CA"/>
                <w14:ligatures w14:val="standardContextual"/>
              </w:rPr>
            </w:pPr>
            <w:r>
              <w:rPr>
                <w:sz w:val="18"/>
                <w:szCs w:val="18"/>
              </w:rPr>
              <w:t>No</w:t>
            </w:r>
          </w:p>
        </w:tc>
      </w:tr>
      <w:tr w:rsidR="00CB0432" w:rsidRPr="00BE38DF" w14:paraId="5E7B2360" w14:textId="77777777">
        <w:trPr>
          <w:jc w:val="center"/>
        </w:trPr>
        <w:tc>
          <w:tcPr>
            <w:tcW w:w="2500" w:type="pct"/>
            <w:tcMar>
              <w:top w:w="17" w:type="dxa"/>
              <w:left w:w="108" w:type="dxa"/>
              <w:bottom w:w="17" w:type="dxa"/>
              <w:right w:w="108" w:type="dxa"/>
            </w:tcMar>
            <w:vAlign w:val="center"/>
          </w:tcPr>
          <w:p w14:paraId="6E96C0E5" w14:textId="77777777" w:rsidR="00CB0432" w:rsidRPr="00766F51" w:rsidRDefault="00CB0432">
            <w:pPr>
              <w:spacing w:before="20" w:after="20"/>
              <w:ind w:right="172"/>
              <w:jc w:val="left"/>
              <w:rPr>
                <w:sz w:val="20"/>
                <w:szCs w:val="20"/>
                <w:lang w:val="es-ES"/>
              </w:rPr>
            </w:pPr>
            <w:r>
              <w:rPr>
                <w:sz w:val="18"/>
                <w:szCs w:val="18"/>
                <w:lang w:val="es-ES"/>
              </w:rPr>
              <w:t>Reducciones acumuladas de proyectos aprobados anteriormente</w:t>
            </w:r>
          </w:p>
        </w:tc>
        <w:tc>
          <w:tcPr>
            <w:tcW w:w="2500" w:type="pct"/>
            <w:vAlign w:val="center"/>
          </w:tcPr>
          <w:p w14:paraId="2872FDB0" w14:textId="32E9D63D" w:rsidR="00CB0432" w:rsidRPr="00BE38DF" w:rsidRDefault="00D30874" w:rsidP="00D30874">
            <w:pPr>
              <w:spacing w:before="20" w:after="20"/>
              <w:ind w:right="116"/>
              <w:jc w:val="center"/>
              <w:rPr>
                <w:kern w:val="2"/>
                <w:sz w:val="20"/>
                <w:szCs w:val="20"/>
                <w:lang w:eastAsia="en-CA"/>
                <w14:ligatures w14:val="standardContextual"/>
              </w:rPr>
            </w:pPr>
            <w:r>
              <w:rPr>
                <w:sz w:val="18"/>
                <w:szCs w:val="18"/>
              </w:rPr>
              <w:t>n.a.</w:t>
            </w:r>
          </w:p>
        </w:tc>
      </w:tr>
    </w:tbl>
    <w:p w14:paraId="3508FCEE" w14:textId="77777777" w:rsidR="00CB0432" w:rsidRPr="00BE38DF" w:rsidRDefault="00CB0432" w:rsidP="00CB0432">
      <w:pPr>
        <w:ind w:left="-284" w:right="-279"/>
        <w:jc w:val="center"/>
        <w:rPr>
          <w:sz w:val="12"/>
          <w:szCs w:val="12"/>
        </w:rPr>
      </w:pPr>
    </w:p>
    <w:tbl>
      <w:tblPr>
        <w:tblStyle w:val="1"/>
        <w:tblW w:w="5360" w:type="pct"/>
        <w:jc w:val="center"/>
        <w:tblLayout w:type="fixed"/>
        <w:tblLook w:val="04A0" w:firstRow="1" w:lastRow="0" w:firstColumn="1" w:lastColumn="0" w:noHBand="0" w:noVBand="1"/>
      </w:tblPr>
      <w:tblGrid>
        <w:gridCol w:w="1713"/>
        <w:gridCol w:w="1270"/>
        <w:gridCol w:w="1960"/>
        <w:gridCol w:w="1239"/>
        <w:gridCol w:w="848"/>
        <w:gridCol w:w="948"/>
        <w:gridCol w:w="948"/>
        <w:gridCol w:w="1097"/>
      </w:tblGrid>
      <w:tr w:rsidR="00CB0432" w:rsidRPr="00BE38DF" w14:paraId="35360A3D" w14:textId="77777777" w:rsidTr="008F35FC">
        <w:trPr>
          <w:trHeight w:val="216"/>
          <w:jc w:val="center"/>
        </w:trPr>
        <w:tc>
          <w:tcPr>
            <w:tcW w:w="2465" w:type="pct"/>
            <w:gridSpan w:val="3"/>
            <w:vAlign w:val="center"/>
          </w:tcPr>
          <w:p w14:paraId="34DC153F" w14:textId="77777777" w:rsidR="00CB0432" w:rsidRPr="00766F51" w:rsidRDefault="00CB0432">
            <w:pPr>
              <w:keepNext/>
              <w:spacing w:before="20" w:after="20"/>
              <w:jc w:val="left"/>
              <w:rPr>
                <w:b/>
                <w:bCs/>
                <w:sz w:val="20"/>
                <w:szCs w:val="20"/>
                <w:lang w:val="es-ES"/>
              </w:rPr>
            </w:pPr>
            <w:r>
              <w:rPr>
                <w:b/>
                <w:bCs/>
                <w:sz w:val="18"/>
                <w:szCs w:val="18"/>
                <w:lang w:val="es-ES"/>
              </w:rPr>
              <w:t>DATOS DEL PROYECTO SEGÚN LO ACORDADO</w:t>
            </w:r>
          </w:p>
        </w:tc>
        <w:tc>
          <w:tcPr>
            <w:tcW w:w="618" w:type="pct"/>
            <w:vAlign w:val="center"/>
          </w:tcPr>
          <w:p w14:paraId="7A27E31B" w14:textId="77777777" w:rsidR="00CB0432" w:rsidRPr="00BE38DF" w:rsidRDefault="00CB0432">
            <w:pPr>
              <w:keepNext/>
              <w:spacing w:before="20" w:after="20"/>
              <w:jc w:val="center"/>
              <w:rPr>
                <w:b/>
                <w:bCs/>
                <w:sz w:val="20"/>
                <w:szCs w:val="20"/>
              </w:rPr>
            </w:pPr>
            <w:r>
              <w:rPr>
                <w:b/>
                <w:bCs/>
                <w:sz w:val="18"/>
                <w:szCs w:val="18"/>
              </w:rPr>
              <w:t>2026*</w:t>
            </w:r>
          </w:p>
        </w:tc>
        <w:tc>
          <w:tcPr>
            <w:tcW w:w="423" w:type="pct"/>
            <w:vAlign w:val="center"/>
          </w:tcPr>
          <w:p w14:paraId="67407F1D" w14:textId="77777777" w:rsidR="00CB0432" w:rsidRPr="00BE38DF" w:rsidRDefault="00CB0432">
            <w:pPr>
              <w:keepNext/>
              <w:spacing w:before="20" w:after="20"/>
              <w:jc w:val="center"/>
              <w:rPr>
                <w:b/>
                <w:bCs/>
                <w:sz w:val="20"/>
                <w:szCs w:val="20"/>
              </w:rPr>
            </w:pPr>
            <w:r>
              <w:rPr>
                <w:b/>
                <w:bCs/>
                <w:sz w:val="18"/>
                <w:szCs w:val="18"/>
              </w:rPr>
              <w:t>2027</w:t>
            </w:r>
          </w:p>
        </w:tc>
        <w:tc>
          <w:tcPr>
            <w:tcW w:w="473" w:type="pct"/>
            <w:vAlign w:val="center"/>
          </w:tcPr>
          <w:p w14:paraId="30596290" w14:textId="77777777" w:rsidR="00CB0432" w:rsidRPr="00BE38DF" w:rsidRDefault="00CB0432">
            <w:pPr>
              <w:keepNext/>
              <w:spacing w:before="20" w:after="20"/>
              <w:jc w:val="center"/>
              <w:rPr>
                <w:b/>
                <w:bCs/>
                <w:sz w:val="20"/>
                <w:szCs w:val="20"/>
              </w:rPr>
            </w:pPr>
            <w:r>
              <w:rPr>
                <w:b/>
                <w:bCs/>
                <w:sz w:val="18"/>
                <w:szCs w:val="18"/>
              </w:rPr>
              <w:t>2028</w:t>
            </w:r>
          </w:p>
        </w:tc>
        <w:tc>
          <w:tcPr>
            <w:tcW w:w="473" w:type="pct"/>
            <w:vAlign w:val="center"/>
          </w:tcPr>
          <w:p w14:paraId="7026FEC8" w14:textId="77777777" w:rsidR="00CB0432" w:rsidRPr="00BE38DF" w:rsidRDefault="00CB0432">
            <w:pPr>
              <w:keepNext/>
              <w:spacing w:before="20" w:after="20"/>
              <w:jc w:val="center"/>
              <w:rPr>
                <w:b/>
                <w:bCs/>
                <w:sz w:val="20"/>
                <w:szCs w:val="20"/>
              </w:rPr>
            </w:pPr>
            <w:r>
              <w:rPr>
                <w:b/>
                <w:bCs/>
                <w:sz w:val="18"/>
                <w:szCs w:val="18"/>
              </w:rPr>
              <w:t>2029</w:t>
            </w:r>
          </w:p>
        </w:tc>
        <w:tc>
          <w:tcPr>
            <w:tcW w:w="547" w:type="pct"/>
            <w:vAlign w:val="center"/>
          </w:tcPr>
          <w:p w14:paraId="23094202" w14:textId="77777777" w:rsidR="00CB0432" w:rsidRPr="00BE38DF" w:rsidRDefault="00CB0432">
            <w:pPr>
              <w:keepNext/>
              <w:spacing w:before="20" w:after="20"/>
              <w:jc w:val="center"/>
              <w:rPr>
                <w:b/>
                <w:bCs/>
                <w:sz w:val="20"/>
                <w:szCs w:val="20"/>
              </w:rPr>
            </w:pPr>
            <w:r>
              <w:rPr>
                <w:b/>
                <w:bCs/>
                <w:sz w:val="18"/>
                <w:szCs w:val="18"/>
              </w:rPr>
              <w:t>Total</w:t>
            </w:r>
          </w:p>
        </w:tc>
      </w:tr>
      <w:tr w:rsidR="00CB0432" w:rsidRPr="00BE38DF" w14:paraId="64D9BAEA" w14:textId="77777777" w:rsidTr="008F35FC">
        <w:trPr>
          <w:trHeight w:val="119"/>
          <w:jc w:val="center"/>
        </w:trPr>
        <w:tc>
          <w:tcPr>
            <w:tcW w:w="854" w:type="pct"/>
            <w:vMerge w:val="restart"/>
            <w:vAlign w:val="center"/>
          </w:tcPr>
          <w:p w14:paraId="753392E2" w14:textId="24DEC939" w:rsidR="00CB0432" w:rsidRPr="00766F51" w:rsidRDefault="0082554A">
            <w:pPr>
              <w:keepNext/>
              <w:jc w:val="left"/>
              <w:rPr>
                <w:sz w:val="20"/>
                <w:szCs w:val="20"/>
                <w:lang w:val="es-ES"/>
              </w:rPr>
            </w:pPr>
            <w:r>
              <w:rPr>
                <w:sz w:val="18"/>
                <w:szCs w:val="18"/>
                <w:lang w:val="es-ES"/>
              </w:rPr>
              <w:t>Consumo (toneladas de CO</w:t>
            </w:r>
            <w:r>
              <w:rPr>
                <w:sz w:val="18"/>
                <w:szCs w:val="18"/>
                <w:vertAlign w:val="subscript"/>
                <w:lang w:val="es-ES"/>
              </w:rPr>
              <w:t>2</w:t>
            </w:r>
            <w:r>
              <w:rPr>
                <w:sz w:val="18"/>
                <w:szCs w:val="18"/>
                <w:lang w:val="es-ES"/>
              </w:rPr>
              <w:t xml:space="preserve"> equivalente)</w:t>
            </w:r>
          </w:p>
        </w:tc>
        <w:tc>
          <w:tcPr>
            <w:tcW w:w="1611" w:type="pct"/>
            <w:gridSpan w:val="2"/>
            <w:vAlign w:val="center"/>
          </w:tcPr>
          <w:p w14:paraId="5696E84E" w14:textId="7E9DA4BE" w:rsidR="00CB0432" w:rsidRPr="00766F51" w:rsidRDefault="0082554A">
            <w:pPr>
              <w:keepNext/>
              <w:spacing w:before="20" w:after="20"/>
              <w:jc w:val="left"/>
              <w:rPr>
                <w:sz w:val="20"/>
                <w:szCs w:val="20"/>
                <w:lang w:val="es-ES"/>
              </w:rPr>
            </w:pPr>
            <w:r>
              <w:rPr>
                <w:sz w:val="18"/>
                <w:szCs w:val="18"/>
                <w:lang w:val="es-ES"/>
              </w:rPr>
              <w:t>Límites del Protocolo de Montreal</w:t>
            </w:r>
          </w:p>
        </w:tc>
        <w:tc>
          <w:tcPr>
            <w:tcW w:w="618" w:type="pct"/>
            <w:vAlign w:val="center"/>
          </w:tcPr>
          <w:p w14:paraId="765ACA14" w14:textId="463E9B1D" w:rsidR="00CB0432" w:rsidRPr="00BE38DF" w:rsidRDefault="0082554A" w:rsidP="005D3316">
            <w:pPr>
              <w:keepNext/>
              <w:spacing w:before="20" w:after="20"/>
              <w:jc w:val="right"/>
              <w:rPr>
                <w:sz w:val="20"/>
                <w:szCs w:val="20"/>
              </w:rPr>
            </w:pPr>
            <w:r>
              <w:rPr>
                <w:sz w:val="18"/>
                <w:szCs w:val="18"/>
              </w:rPr>
              <w:t>71.039</w:t>
            </w:r>
          </w:p>
        </w:tc>
        <w:tc>
          <w:tcPr>
            <w:tcW w:w="423" w:type="pct"/>
            <w:vAlign w:val="center"/>
          </w:tcPr>
          <w:p w14:paraId="140767FD" w14:textId="03517206" w:rsidR="00CB0432" w:rsidRPr="00BE38DF" w:rsidRDefault="0082554A" w:rsidP="005D3316">
            <w:pPr>
              <w:keepNext/>
              <w:spacing w:before="20" w:after="20"/>
              <w:jc w:val="right"/>
              <w:rPr>
                <w:sz w:val="20"/>
                <w:szCs w:val="20"/>
              </w:rPr>
            </w:pPr>
            <w:r>
              <w:rPr>
                <w:sz w:val="18"/>
                <w:szCs w:val="18"/>
              </w:rPr>
              <w:t>71.039</w:t>
            </w:r>
          </w:p>
        </w:tc>
        <w:tc>
          <w:tcPr>
            <w:tcW w:w="473" w:type="pct"/>
            <w:vAlign w:val="center"/>
          </w:tcPr>
          <w:p w14:paraId="7B2D1F29" w14:textId="3BE3ACFC" w:rsidR="00CB0432" w:rsidRPr="00BE38DF" w:rsidRDefault="0082554A" w:rsidP="005D3316">
            <w:pPr>
              <w:keepNext/>
              <w:spacing w:before="20" w:after="20"/>
              <w:jc w:val="right"/>
              <w:rPr>
                <w:sz w:val="20"/>
                <w:szCs w:val="20"/>
              </w:rPr>
            </w:pPr>
            <w:r>
              <w:rPr>
                <w:sz w:val="18"/>
                <w:szCs w:val="18"/>
              </w:rPr>
              <w:t>71.039</w:t>
            </w:r>
          </w:p>
        </w:tc>
        <w:tc>
          <w:tcPr>
            <w:tcW w:w="473" w:type="pct"/>
            <w:vAlign w:val="center"/>
          </w:tcPr>
          <w:p w14:paraId="0D116853" w14:textId="6F1AA1AE" w:rsidR="00CB0432" w:rsidRPr="00BE38DF" w:rsidRDefault="0082554A" w:rsidP="005D3316">
            <w:pPr>
              <w:keepNext/>
              <w:spacing w:before="20" w:after="20"/>
              <w:jc w:val="right"/>
              <w:rPr>
                <w:sz w:val="20"/>
                <w:szCs w:val="20"/>
              </w:rPr>
            </w:pPr>
            <w:r>
              <w:rPr>
                <w:sz w:val="18"/>
                <w:szCs w:val="18"/>
              </w:rPr>
              <w:t>63.935</w:t>
            </w:r>
          </w:p>
        </w:tc>
        <w:tc>
          <w:tcPr>
            <w:tcW w:w="547" w:type="pct"/>
            <w:vAlign w:val="center"/>
          </w:tcPr>
          <w:p w14:paraId="6FDBF883" w14:textId="442BDAC7" w:rsidR="00CB0432" w:rsidRPr="00BE38DF" w:rsidRDefault="0082554A" w:rsidP="005D3316">
            <w:pPr>
              <w:keepNext/>
              <w:spacing w:before="20" w:after="20"/>
              <w:jc w:val="right"/>
              <w:rPr>
                <w:sz w:val="20"/>
                <w:szCs w:val="20"/>
              </w:rPr>
            </w:pPr>
            <w:r>
              <w:rPr>
                <w:sz w:val="18"/>
                <w:szCs w:val="18"/>
              </w:rPr>
              <w:t>n.a.</w:t>
            </w:r>
          </w:p>
        </w:tc>
      </w:tr>
      <w:tr w:rsidR="00CB0432" w:rsidRPr="00BE38DF" w14:paraId="3FDFB5FB" w14:textId="77777777" w:rsidTr="008F35FC">
        <w:trPr>
          <w:trHeight w:val="46"/>
          <w:jc w:val="center"/>
        </w:trPr>
        <w:tc>
          <w:tcPr>
            <w:tcW w:w="854" w:type="pct"/>
            <w:vMerge/>
            <w:vAlign w:val="center"/>
          </w:tcPr>
          <w:p w14:paraId="0FE490A2" w14:textId="77777777" w:rsidR="00CB0432" w:rsidRPr="00BE38DF" w:rsidRDefault="00CB0432">
            <w:pPr>
              <w:keepNext/>
              <w:rPr>
                <w:sz w:val="20"/>
                <w:szCs w:val="20"/>
              </w:rPr>
            </w:pPr>
          </w:p>
        </w:tc>
        <w:tc>
          <w:tcPr>
            <w:tcW w:w="1611" w:type="pct"/>
            <w:gridSpan w:val="2"/>
            <w:vAlign w:val="center"/>
          </w:tcPr>
          <w:p w14:paraId="4E8D405C" w14:textId="77777777" w:rsidR="00CB0432" w:rsidRPr="00BE38DF" w:rsidRDefault="00CB0432">
            <w:pPr>
              <w:keepNext/>
              <w:spacing w:before="20" w:after="20"/>
              <w:jc w:val="left"/>
              <w:rPr>
                <w:sz w:val="20"/>
                <w:szCs w:val="20"/>
              </w:rPr>
            </w:pPr>
            <w:r>
              <w:rPr>
                <w:sz w:val="18"/>
                <w:szCs w:val="18"/>
              </w:rPr>
              <w:t>Máximo admisible</w:t>
            </w:r>
          </w:p>
        </w:tc>
        <w:tc>
          <w:tcPr>
            <w:tcW w:w="618" w:type="pct"/>
            <w:vAlign w:val="center"/>
          </w:tcPr>
          <w:p w14:paraId="1BEAFB64" w14:textId="7B17E2D3" w:rsidR="00CB0432" w:rsidRPr="00BE38DF" w:rsidRDefault="0097360C" w:rsidP="005D3316">
            <w:pPr>
              <w:keepNext/>
              <w:spacing w:before="20" w:after="20"/>
              <w:jc w:val="right"/>
              <w:rPr>
                <w:sz w:val="20"/>
                <w:szCs w:val="20"/>
              </w:rPr>
            </w:pPr>
            <w:r>
              <w:rPr>
                <w:sz w:val="18"/>
                <w:szCs w:val="18"/>
              </w:rPr>
              <w:t>38.962</w:t>
            </w:r>
          </w:p>
        </w:tc>
        <w:tc>
          <w:tcPr>
            <w:tcW w:w="423" w:type="pct"/>
            <w:vAlign w:val="center"/>
          </w:tcPr>
          <w:p w14:paraId="20BAE95F" w14:textId="1D7477A2" w:rsidR="00CB0432" w:rsidRPr="00BE38DF" w:rsidRDefault="0097360C" w:rsidP="005D3316">
            <w:pPr>
              <w:keepNext/>
              <w:spacing w:before="20" w:after="20"/>
              <w:jc w:val="right"/>
              <w:rPr>
                <w:sz w:val="20"/>
                <w:szCs w:val="20"/>
              </w:rPr>
            </w:pPr>
            <w:r>
              <w:rPr>
                <w:sz w:val="18"/>
                <w:szCs w:val="18"/>
              </w:rPr>
              <w:t>38.962</w:t>
            </w:r>
          </w:p>
        </w:tc>
        <w:tc>
          <w:tcPr>
            <w:tcW w:w="473" w:type="pct"/>
            <w:vAlign w:val="center"/>
          </w:tcPr>
          <w:p w14:paraId="3D97A446" w14:textId="7F2D5DED" w:rsidR="00CB0432" w:rsidRPr="00BE38DF" w:rsidRDefault="0097360C" w:rsidP="005D3316">
            <w:pPr>
              <w:keepNext/>
              <w:spacing w:before="20" w:after="20"/>
              <w:jc w:val="right"/>
              <w:rPr>
                <w:sz w:val="20"/>
                <w:szCs w:val="20"/>
              </w:rPr>
            </w:pPr>
            <w:r>
              <w:rPr>
                <w:sz w:val="18"/>
                <w:szCs w:val="18"/>
              </w:rPr>
              <w:t>38.962</w:t>
            </w:r>
          </w:p>
        </w:tc>
        <w:tc>
          <w:tcPr>
            <w:tcW w:w="473" w:type="pct"/>
            <w:vAlign w:val="center"/>
          </w:tcPr>
          <w:p w14:paraId="7D85E532" w14:textId="43B916D1" w:rsidR="00CB0432" w:rsidRPr="00BE38DF" w:rsidRDefault="0082554A" w:rsidP="005D3316">
            <w:pPr>
              <w:keepNext/>
              <w:spacing w:before="20" w:after="20"/>
              <w:jc w:val="right"/>
              <w:rPr>
                <w:sz w:val="20"/>
                <w:szCs w:val="20"/>
              </w:rPr>
            </w:pPr>
            <w:r>
              <w:rPr>
                <w:sz w:val="18"/>
                <w:szCs w:val="18"/>
              </w:rPr>
              <w:t>35.066</w:t>
            </w:r>
          </w:p>
        </w:tc>
        <w:tc>
          <w:tcPr>
            <w:tcW w:w="547" w:type="pct"/>
            <w:vAlign w:val="center"/>
          </w:tcPr>
          <w:p w14:paraId="14B6B237" w14:textId="00C21FBE" w:rsidR="00CB0432" w:rsidRPr="00BE38DF" w:rsidRDefault="0082554A" w:rsidP="005D3316">
            <w:pPr>
              <w:keepNext/>
              <w:spacing w:before="20" w:after="20"/>
              <w:jc w:val="right"/>
              <w:rPr>
                <w:sz w:val="20"/>
                <w:szCs w:val="20"/>
              </w:rPr>
            </w:pPr>
            <w:r>
              <w:rPr>
                <w:sz w:val="18"/>
                <w:szCs w:val="18"/>
              </w:rPr>
              <w:t>n.a.</w:t>
            </w:r>
          </w:p>
        </w:tc>
      </w:tr>
      <w:tr w:rsidR="00CB0432" w:rsidRPr="00BE38DF" w14:paraId="2F4555A4" w14:textId="77777777" w:rsidTr="008F35FC">
        <w:trPr>
          <w:trHeight w:val="46"/>
          <w:jc w:val="center"/>
        </w:trPr>
        <w:tc>
          <w:tcPr>
            <w:tcW w:w="854" w:type="pct"/>
            <w:vMerge/>
            <w:vAlign w:val="center"/>
          </w:tcPr>
          <w:p w14:paraId="04553B66" w14:textId="77777777" w:rsidR="00CB0432" w:rsidRPr="00BE38DF" w:rsidRDefault="00CB0432">
            <w:pPr>
              <w:keepNext/>
              <w:rPr>
                <w:sz w:val="20"/>
                <w:szCs w:val="20"/>
              </w:rPr>
            </w:pPr>
          </w:p>
        </w:tc>
        <w:tc>
          <w:tcPr>
            <w:tcW w:w="1611" w:type="pct"/>
            <w:gridSpan w:val="2"/>
            <w:vAlign w:val="center"/>
          </w:tcPr>
          <w:p w14:paraId="54D46A08" w14:textId="77777777" w:rsidR="00CB0432" w:rsidRPr="00766F51" w:rsidRDefault="00CB0432">
            <w:pPr>
              <w:keepNext/>
              <w:spacing w:before="20" w:after="20"/>
              <w:jc w:val="left"/>
              <w:rPr>
                <w:sz w:val="20"/>
                <w:szCs w:val="20"/>
                <w:lang w:val="es-ES"/>
              </w:rPr>
            </w:pPr>
            <w:r>
              <w:rPr>
                <w:sz w:val="18"/>
                <w:szCs w:val="18"/>
                <w:lang w:val="es-ES"/>
              </w:rPr>
              <w:t>Reducción con respecto al nivel básico (%)</w:t>
            </w:r>
          </w:p>
        </w:tc>
        <w:tc>
          <w:tcPr>
            <w:tcW w:w="618" w:type="pct"/>
            <w:vAlign w:val="center"/>
          </w:tcPr>
          <w:p w14:paraId="73F494A9" w14:textId="436B1FDA" w:rsidR="00CB0432" w:rsidRPr="00BE38DF" w:rsidRDefault="00634863" w:rsidP="00020419">
            <w:pPr>
              <w:keepNext/>
              <w:spacing w:before="20" w:after="20"/>
              <w:jc w:val="right"/>
              <w:rPr>
                <w:sz w:val="20"/>
                <w:szCs w:val="20"/>
              </w:rPr>
            </w:pPr>
            <w:r>
              <w:rPr>
                <w:sz w:val="18"/>
                <w:szCs w:val="18"/>
              </w:rPr>
              <w:t>45,2</w:t>
            </w:r>
          </w:p>
        </w:tc>
        <w:tc>
          <w:tcPr>
            <w:tcW w:w="423" w:type="pct"/>
            <w:vAlign w:val="center"/>
          </w:tcPr>
          <w:p w14:paraId="08F81CD8" w14:textId="03D9AA32" w:rsidR="00CB0432" w:rsidRPr="00BE38DF" w:rsidRDefault="00634863" w:rsidP="00020419">
            <w:pPr>
              <w:keepNext/>
              <w:spacing w:before="20" w:after="20"/>
              <w:jc w:val="right"/>
              <w:rPr>
                <w:sz w:val="20"/>
                <w:szCs w:val="20"/>
              </w:rPr>
            </w:pPr>
            <w:r>
              <w:rPr>
                <w:sz w:val="18"/>
                <w:szCs w:val="18"/>
              </w:rPr>
              <w:t>45,2</w:t>
            </w:r>
          </w:p>
        </w:tc>
        <w:tc>
          <w:tcPr>
            <w:tcW w:w="473" w:type="pct"/>
            <w:vAlign w:val="center"/>
          </w:tcPr>
          <w:p w14:paraId="31775147" w14:textId="46F27628" w:rsidR="00CB0432" w:rsidRPr="00BE38DF" w:rsidRDefault="00634863" w:rsidP="00020419">
            <w:pPr>
              <w:keepNext/>
              <w:spacing w:before="20" w:after="20"/>
              <w:jc w:val="right"/>
              <w:rPr>
                <w:sz w:val="20"/>
                <w:szCs w:val="20"/>
              </w:rPr>
            </w:pPr>
            <w:r>
              <w:rPr>
                <w:sz w:val="18"/>
                <w:szCs w:val="18"/>
              </w:rPr>
              <w:t>45,2</w:t>
            </w:r>
          </w:p>
        </w:tc>
        <w:tc>
          <w:tcPr>
            <w:tcW w:w="473" w:type="pct"/>
            <w:vAlign w:val="center"/>
          </w:tcPr>
          <w:p w14:paraId="4975DD38" w14:textId="49D96421" w:rsidR="00CB0432" w:rsidRPr="00BE38DF" w:rsidRDefault="0082554A" w:rsidP="00020419">
            <w:pPr>
              <w:keepNext/>
              <w:spacing w:before="20" w:after="20"/>
              <w:jc w:val="right"/>
              <w:rPr>
                <w:sz w:val="20"/>
                <w:szCs w:val="20"/>
              </w:rPr>
            </w:pPr>
            <w:r>
              <w:rPr>
                <w:sz w:val="18"/>
                <w:szCs w:val="18"/>
              </w:rPr>
              <w:t>50,6</w:t>
            </w:r>
          </w:p>
        </w:tc>
        <w:tc>
          <w:tcPr>
            <w:tcW w:w="547" w:type="pct"/>
            <w:vAlign w:val="center"/>
          </w:tcPr>
          <w:p w14:paraId="49B491AC" w14:textId="24929171" w:rsidR="00CB0432" w:rsidRPr="00BE38DF" w:rsidRDefault="0082554A" w:rsidP="00020419">
            <w:pPr>
              <w:keepNext/>
              <w:spacing w:before="20" w:after="20"/>
              <w:jc w:val="right"/>
              <w:rPr>
                <w:sz w:val="20"/>
                <w:szCs w:val="20"/>
              </w:rPr>
            </w:pPr>
            <w:r>
              <w:rPr>
                <w:sz w:val="18"/>
                <w:szCs w:val="18"/>
              </w:rPr>
              <w:t>n.a.</w:t>
            </w:r>
          </w:p>
        </w:tc>
      </w:tr>
      <w:tr w:rsidR="00CB0432" w:rsidRPr="00BE38DF" w14:paraId="4E3EB5B6" w14:textId="77777777" w:rsidTr="008F35FC">
        <w:trPr>
          <w:trHeight w:val="46"/>
          <w:jc w:val="center"/>
        </w:trPr>
        <w:tc>
          <w:tcPr>
            <w:tcW w:w="854" w:type="pct"/>
            <w:vMerge w:val="restart"/>
            <w:vAlign w:val="center"/>
          </w:tcPr>
          <w:p w14:paraId="11F34C79" w14:textId="7A0B51EE" w:rsidR="00CB0432" w:rsidRPr="00766F51" w:rsidRDefault="0082554A">
            <w:pPr>
              <w:keepNext/>
              <w:jc w:val="left"/>
              <w:rPr>
                <w:sz w:val="20"/>
                <w:szCs w:val="20"/>
                <w:lang w:val="es-ES"/>
              </w:rPr>
            </w:pPr>
            <w:r>
              <w:rPr>
                <w:sz w:val="18"/>
                <w:szCs w:val="18"/>
                <w:lang w:val="es-ES"/>
              </w:rPr>
              <w:t>Costos del proyecto solicitados en principio (USD)</w:t>
            </w:r>
          </w:p>
        </w:tc>
        <w:tc>
          <w:tcPr>
            <w:tcW w:w="633" w:type="pct"/>
            <w:vMerge w:val="restart"/>
            <w:vAlign w:val="center"/>
          </w:tcPr>
          <w:p w14:paraId="3DC973E8" w14:textId="51862917" w:rsidR="00CB0432" w:rsidRPr="00BE38DF" w:rsidRDefault="0082554A">
            <w:pPr>
              <w:keepNext/>
              <w:spacing w:before="20" w:after="20"/>
              <w:jc w:val="center"/>
              <w:rPr>
                <w:sz w:val="20"/>
                <w:szCs w:val="20"/>
              </w:rPr>
            </w:pPr>
            <w:r>
              <w:rPr>
                <w:sz w:val="18"/>
                <w:szCs w:val="18"/>
              </w:rPr>
              <w:t>PNUMA</w:t>
            </w:r>
          </w:p>
        </w:tc>
        <w:tc>
          <w:tcPr>
            <w:tcW w:w="978" w:type="pct"/>
            <w:vAlign w:val="center"/>
          </w:tcPr>
          <w:p w14:paraId="74705CBA" w14:textId="02B7A7C3" w:rsidR="00CB0432" w:rsidRPr="00BE38DF" w:rsidRDefault="0082554A">
            <w:pPr>
              <w:keepNext/>
              <w:spacing w:before="20" w:after="20"/>
              <w:jc w:val="left"/>
              <w:rPr>
                <w:sz w:val="20"/>
                <w:szCs w:val="20"/>
              </w:rPr>
            </w:pPr>
            <w:r>
              <w:rPr>
                <w:sz w:val="18"/>
                <w:szCs w:val="18"/>
              </w:rPr>
              <w:t>Costos de proyecto</w:t>
            </w:r>
          </w:p>
        </w:tc>
        <w:tc>
          <w:tcPr>
            <w:tcW w:w="618" w:type="pct"/>
            <w:vAlign w:val="center"/>
          </w:tcPr>
          <w:p w14:paraId="15A2366C" w14:textId="58DBCDB2" w:rsidR="00CB0432" w:rsidRPr="00BE38DF" w:rsidRDefault="0082554A" w:rsidP="005D3316">
            <w:pPr>
              <w:keepNext/>
              <w:spacing w:before="20" w:after="20"/>
              <w:jc w:val="right"/>
              <w:rPr>
                <w:sz w:val="20"/>
                <w:szCs w:val="20"/>
              </w:rPr>
            </w:pPr>
            <w:r>
              <w:rPr>
                <w:sz w:val="18"/>
                <w:szCs w:val="18"/>
              </w:rPr>
              <w:t>74.500</w:t>
            </w:r>
          </w:p>
        </w:tc>
        <w:tc>
          <w:tcPr>
            <w:tcW w:w="423" w:type="pct"/>
            <w:vAlign w:val="center"/>
          </w:tcPr>
          <w:p w14:paraId="0B0E819D" w14:textId="405C4A58" w:rsidR="00CB0432" w:rsidRPr="00BE38DF" w:rsidRDefault="0082554A" w:rsidP="005D3316">
            <w:pPr>
              <w:keepNext/>
              <w:spacing w:before="20" w:after="20"/>
              <w:jc w:val="right"/>
              <w:rPr>
                <w:sz w:val="20"/>
                <w:szCs w:val="20"/>
              </w:rPr>
            </w:pPr>
            <w:r>
              <w:rPr>
                <w:sz w:val="18"/>
                <w:szCs w:val="18"/>
              </w:rPr>
              <w:t>0</w:t>
            </w:r>
          </w:p>
        </w:tc>
        <w:tc>
          <w:tcPr>
            <w:tcW w:w="473" w:type="pct"/>
            <w:vAlign w:val="center"/>
          </w:tcPr>
          <w:p w14:paraId="468F163D" w14:textId="1B500962" w:rsidR="00CB0432" w:rsidRPr="00BE38DF" w:rsidRDefault="0082554A" w:rsidP="005D3316">
            <w:pPr>
              <w:keepNext/>
              <w:spacing w:before="20" w:after="20"/>
              <w:jc w:val="right"/>
              <w:rPr>
                <w:sz w:val="20"/>
                <w:szCs w:val="20"/>
              </w:rPr>
            </w:pPr>
            <w:r>
              <w:rPr>
                <w:sz w:val="18"/>
                <w:szCs w:val="18"/>
              </w:rPr>
              <w:t>60.500</w:t>
            </w:r>
          </w:p>
        </w:tc>
        <w:tc>
          <w:tcPr>
            <w:tcW w:w="473" w:type="pct"/>
            <w:vAlign w:val="center"/>
          </w:tcPr>
          <w:p w14:paraId="7A54F075" w14:textId="4E136A59" w:rsidR="00CB0432" w:rsidRPr="00BE38DF" w:rsidRDefault="0082554A" w:rsidP="005D3316">
            <w:pPr>
              <w:keepNext/>
              <w:spacing w:before="20" w:after="20"/>
              <w:jc w:val="right"/>
              <w:rPr>
                <w:sz w:val="20"/>
                <w:szCs w:val="20"/>
              </w:rPr>
            </w:pPr>
            <w:r>
              <w:rPr>
                <w:sz w:val="18"/>
                <w:szCs w:val="18"/>
              </w:rPr>
              <w:t>0</w:t>
            </w:r>
          </w:p>
        </w:tc>
        <w:tc>
          <w:tcPr>
            <w:tcW w:w="547" w:type="pct"/>
            <w:vAlign w:val="center"/>
          </w:tcPr>
          <w:p w14:paraId="2799B197" w14:textId="59E3C3EE" w:rsidR="00CB0432" w:rsidRPr="00BE38DF" w:rsidRDefault="0082554A" w:rsidP="005D3316">
            <w:pPr>
              <w:keepNext/>
              <w:spacing w:before="20" w:after="20"/>
              <w:jc w:val="right"/>
              <w:rPr>
                <w:sz w:val="20"/>
                <w:szCs w:val="20"/>
              </w:rPr>
            </w:pPr>
            <w:r>
              <w:rPr>
                <w:sz w:val="18"/>
                <w:szCs w:val="18"/>
              </w:rPr>
              <w:t>135.000</w:t>
            </w:r>
          </w:p>
        </w:tc>
      </w:tr>
      <w:tr w:rsidR="00CB0432" w:rsidRPr="00BE38DF" w14:paraId="75B43E61" w14:textId="77777777" w:rsidTr="008F35FC">
        <w:trPr>
          <w:trHeight w:val="46"/>
          <w:jc w:val="center"/>
        </w:trPr>
        <w:tc>
          <w:tcPr>
            <w:tcW w:w="854" w:type="pct"/>
            <w:vMerge/>
            <w:vAlign w:val="center"/>
          </w:tcPr>
          <w:p w14:paraId="56CDE85F" w14:textId="77777777" w:rsidR="00CB0432" w:rsidRPr="00BE38DF" w:rsidRDefault="00CB0432">
            <w:pPr>
              <w:keepNext/>
              <w:rPr>
                <w:sz w:val="20"/>
                <w:szCs w:val="20"/>
              </w:rPr>
            </w:pPr>
          </w:p>
        </w:tc>
        <w:tc>
          <w:tcPr>
            <w:tcW w:w="633" w:type="pct"/>
            <w:vMerge/>
            <w:vAlign w:val="center"/>
          </w:tcPr>
          <w:p w14:paraId="34587BE0" w14:textId="77777777" w:rsidR="00CB0432" w:rsidRPr="00BE38DF" w:rsidRDefault="00CB0432">
            <w:pPr>
              <w:keepNext/>
              <w:spacing w:before="20" w:after="20"/>
              <w:jc w:val="center"/>
              <w:rPr>
                <w:sz w:val="20"/>
                <w:szCs w:val="20"/>
              </w:rPr>
            </w:pPr>
          </w:p>
        </w:tc>
        <w:tc>
          <w:tcPr>
            <w:tcW w:w="978" w:type="pct"/>
            <w:vAlign w:val="center"/>
          </w:tcPr>
          <w:p w14:paraId="4195016A" w14:textId="6629F582" w:rsidR="00CB0432" w:rsidRPr="00BE38DF" w:rsidRDefault="0082554A">
            <w:pPr>
              <w:keepNext/>
              <w:spacing w:before="20" w:after="20"/>
              <w:jc w:val="left"/>
              <w:rPr>
                <w:sz w:val="20"/>
                <w:szCs w:val="20"/>
              </w:rPr>
            </w:pPr>
            <w:r>
              <w:rPr>
                <w:sz w:val="18"/>
                <w:szCs w:val="18"/>
              </w:rPr>
              <w:t>Gastos de apoyo</w:t>
            </w:r>
          </w:p>
        </w:tc>
        <w:tc>
          <w:tcPr>
            <w:tcW w:w="618" w:type="pct"/>
            <w:vAlign w:val="center"/>
          </w:tcPr>
          <w:p w14:paraId="0C640C76" w14:textId="5E3B688F" w:rsidR="00CB0432" w:rsidRPr="00BE38DF" w:rsidRDefault="0082554A" w:rsidP="005D3316">
            <w:pPr>
              <w:keepNext/>
              <w:spacing w:before="20" w:after="20"/>
              <w:jc w:val="right"/>
              <w:rPr>
                <w:sz w:val="20"/>
                <w:szCs w:val="20"/>
              </w:rPr>
            </w:pPr>
            <w:r>
              <w:rPr>
                <w:sz w:val="18"/>
                <w:szCs w:val="18"/>
              </w:rPr>
              <w:t>9.685</w:t>
            </w:r>
          </w:p>
        </w:tc>
        <w:tc>
          <w:tcPr>
            <w:tcW w:w="423" w:type="pct"/>
            <w:vAlign w:val="center"/>
          </w:tcPr>
          <w:p w14:paraId="753ED33F" w14:textId="06E51327" w:rsidR="00CB0432" w:rsidRPr="00BE38DF" w:rsidRDefault="0082554A" w:rsidP="005D3316">
            <w:pPr>
              <w:keepNext/>
              <w:spacing w:before="20" w:after="20"/>
              <w:jc w:val="right"/>
              <w:rPr>
                <w:sz w:val="20"/>
                <w:szCs w:val="20"/>
              </w:rPr>
            </w:pPr>
            <w:r>
              <w:rPr>
                <w:sz w:val="18"/>
                <w:szCs w:val="18"/>
              </w:rPr>
              <w:t>0</w:t>
            </w:r>
          </w:p>
        </w:tc>
        <w:tc>
          <w:tcPr>
            <w:tcW w:w="473" w:type="pct"/>
            <w:vAlign w:val="center"/>
          </w:tcPr>
          <w:p w14:paraId="063B0390" w14:textId="1FDA0AF2" w:rsidR="00CB0432" w:rsidRPr="00BE38DF" w:rsidRDefault="00C907F2" w:rsidP="005D3316">
            <w:pPr>
              <w:keepNext/>
              <w:spacing w:before="20" w:after="20"/>
              <w:jc w:val="right"/>
              <w:rPr>
                <w:sz w:val="20"/>
                <w:szCs w:val="20"/>
              </w:rPr>
            </w:pPr>
            <w:r>
              <w:rPr>
                <w:sz w:val="18"/>
                <w:szCs w:val="18"/>
              </w:rPr>
              <w:t>7.865</w:t>
            </w:r>
          </w:p>
        </w:tc>
        <w:tc>
          <w:tcPr>
            <w:tcW w:w="473" w:type="pct"/>
            <w:vAlign w:val="center"/>
          </w:tcPr>
          <w:p w14:paraId="21045F8A" w14:textId="65D08956" w:rsidR="00CB0432" w:rsidRPr="00BE38DF" w:rsidRDefault="0082554A" w:rsidP="005D3316">
            <w:pPr>
              <w:keepNext/>
              <w:spacing w:before="20" w:after="20"/>
              <w:jc w:val="right"/>
              <w:rPr>
                <w:sz w:val="20"/>
                <w:szCs w:val="20"/>
              </w:rPr>
            </w:pPr>
            <w:r>
              <w:rPr>
                <w:sz w:val="18"/>
                <w:szCs w:val="18"/>
              </w:rPr>
              <w:t>0</w:t>
            </w:r>
          </w:p>
        </w:tc>
        <w:tc>
          <w:tcPr>
            <w:tcW w:w="547" w:type="pct"/>
            <w:vAlign w:val="center"/>
          </w:tcPr>
          <w:p w14:paraId="3FD1FBC3" w14:textId="66D03DD4" w:rsidR="00CB0432" w:rsidRPr="00BE38DF" w:rsidRDefault="0082554A" w:rsidP="005D3316">
            <w:pPr>
              <w:keepNext/>
              <w:spacing w:before="20" w:after="20"/>
              <w:jc w:val="right"/>
              <w:rPr>
                <w:sz w:val="20"/>
                <w:szCs w:val="20"/>
              </w:rPr>
            </w:pPr>
            <w:r>
              <w:rPr>
                <w:sz w:val="18"/>
                <w:szCs w:val="18"/>
              </w:rPr>
              <w:t>17.550</w:t>
            </w:r>
          </w:p>
        </w:tc>
      </w:tr>
      <w:tr w:rsidR="00CB0432" w:rsidRPr="00BE38DF" w14:paraId="40A830F2" w14:textId="77777777" w:rsidTr="008F35FC">
        <w:trPr>
          <w:trHeight w:val="157"/>
          <w:jc w:val="center"/>
        </w:trPr>
        <w:tc>
          <w:tcPr>
            <w:tcW w:w="1487" w:type="pct"/>
            <w:gridSpan w:val="2"/>
            <w:vMerge w:val="restart"/>
            <w:vAlign w:val="center"/>
          </w:tcPr>
          <w:p w14:paraId="744971F6" w14:textId="1344C9B5" w:rsidR="00CB0432" w:rsidRPr="00766F51" w:rsidRDefault="0082554A">
            <w:pPr>
              <w:keepNext/>
              <w:spacing w:before="20" w:after="20"/>
              <w:jc w:val="left"/>
              <w:rPr>
                <w:sz w:val="20"/>
                <w:szCs w:val="20"/>
                <w:lang w:val="es-ES"/>
              </w:rPr>
            </w:pPr>
            <w:r>
              <w:rPr>
                <w:sz w:val="18"/>
                <w:szCs w:val="18"/>
                <w:lang w:val="es-ES"/>
              </w:rPr>
              <w:t>Montos totales recomendados en principio (USD)</w:t>
            </w:r>
          </w:p>
        </w:tc>
        <w:tc>
          <w:tcPr>
            <w:tcW w:w="978" w:type="pct"/>
            <w:vAlign w:val="center"/>
          </w:tcPr>
          <w:p w14:paraId="40A5E493" w14:textId="418589C5" w:rsidR="00CB0432" w:rsidRPr="00BE38DF" w:rsidRDefault="0082554A">
            <w:pPr>
              <w:keepNext/>
              <w:spacing w:before="20" w:after="20"/>
              <w:jc w:val="left"/>
              <w:rPr>
                <w:sz w:val="20"/>
                <w:szCs w:val="20"/>
              </w:rPr>
            </w:pPr>
            <w:r>
              <w:rPr>
                <w:sz w:val="18"/>
                <w:szCs w:val="18"/>
              </w:rPr>
              <w:t>Costos de proyecto</w:t>
            </w:r>
          </w:p>
        </w:tc>
        <w:tc>
          <w:tcPr>
            <w:tcW w:w="618" w:type="pct"/>
            <w:vAlign w:val="center"/>
          </w:tcPr>
          <w:p w14:paraId="373EBF22" w14:textId="04B82452" w:rsidR="00CB0432" w:rsidRPr="00BE38DF" w:rsidRDefault="004617A1" w:rsidP="005D3316">
            <w:pPr>
              <w:keepNext/>
              <w:spacing w:before="20" w:after="20"/>
              <w:jc w:val="right"/>
              <w:rPr>
                <w:sz w:val="20"/>
                <w:szCs w:val="20"/>
              </w:rPr>
            </w:pPr>
            <w:r>
              <w:rPr>
                <w:sz w:val="18"/>
                <w:szCs w:val="18"/>
              </w:rPr>
              <w:t>74.500</w:t>
            </w:r>
          </w:p>
        </w:tc>
        <w:tc>
          <w:tcPr>
            <w:tcW w:w="423" w:type="pct"/>
            <w:vAlign w:val="center"/>
          </w:tcPr>
          <w:p w14:paraId="7D374C1F" w14:textId="0CB7F4E6" w:rsidR="00CB0432" w:rsidRPr="00BE38DF" w:rsidRDefault="0082554A" w:rsidP="005D3316">
            <w:pPr>
              <w:keepNext/>
              <w:spacing w:before="20" w:after="20"/>
              <w:jc w:val="right"/>
              <w:rPr>
                <w:sz w:val="20"/>
                <w:szCs w:val="20"/>
              </w:rPr>
            </w:pPr>
            <w:r>
              <w:rPr>
                <w:sz w:val="18"/>
                <w:szCs w:val="18"/>
              </w:rPr>
              <w:t>0</w:t>
            </w:r>
          </w:p>
        </w:tc>
        <w:tc>
          <w:tcPr>
            <w:tcW w:w="473" w:type="pct"/>
            <w:vAlign w:val="center"/>
          </w:tcPr>
          <w:p w14:paraId="4D703A1F" w14:textId="0D74A473" w:rsidR="00CB0432" w:rsidRPr="00BE38DF" w:rsidRDefault="004617A1" w:rsidP="005D3316">
            <w:pPr>
              <w:keepNext/>
              <w:spacing w:before="20" w:after="20"/>
              <w:jc w:val="right"/>
              <w:rPr>
                <w:sz w:val="20"/>
                <w:szCs w:val="20"/>
              </w:rPr>
            </w:pPr>
            <w:r>
              <w:rPr>
                <w:sz w:val="18"/>
                <w:szCs w:val="18"/>
              </w:rPr>
              <w:t>60.500</w:t>
            </w:r>
          </w:p>
        </w:tc>
        <w:tc>
          <w:tcPr>
            <w:tcW w:w="473" w:type="pct"/>
            <w:vAlign w:val="center"/>
          </w:tcPr>
          <w:p w14:paraId="657290A6" w14:textId="603F6DA1" w:rsidR="00CB0432" w:rsidRPr="00BE38DF" w:rsidRDefault="0082554A" w:rsidP="005D3316">
            <w:pPr>
              <w:keepNext/>
              <w:spacing w:before="20" w:after="20"/>
              <w:jc w:val="right"/>
              <w:rPr>
                <w:sz w:val="20"/>
                <w:szCs w:val="20"/>
              </w:rPr>
            </w:pPr>
            <w:r>
              <w:rPr>
                <w:sz w:val="18"/>
                <w:szCs w:val="18"/>
              </w:rPr>
              <w:t>0</w:t>
            </w:r>
          </w:p>
        </w:tc>
        <w:tc>
          <w:tcPr>
            <w:tcW w:w="547" w:type="pct"/>
            <w:vAlign w:val="center"/>
          </w:tcPr>
          <w:p w14:paraId="772424E4" w14:textId="31509C7E" w:rsidR="00CB0432" w:rsidRPr="00BE38DF" w:rsidRDefault="0082554A" w:rsidP="005D3316">
            <w:pPr>
              <w:keepNext/>
              <w:spacing w:before="20" w:after="20"/>
              <w:jc w:val="right"/>
              <w:rPr>
                <w:sz w:val="20"/>
                <w:szCs w:val="20"/>
              </w:rPr>
            </w:pPr>
            <w:r>
              <w:rPr>
                <w:sz w:val="18"/>
                <w:szCs w:val="18"/>
              </w:rPr>
              <w:t>135.000</w:t>
            </w:r>
          </w:p>
        </w:tc>
      </w:tr>
      <w:tr w:rsidR="00CB0432" w:rsidRPr="00BE38DF" w14:paraId="55A82A64" w14:textId="77777777" w:rsidTr="008F35FC">
        <w:trPr>
          <w:trHeight w:val="201"/>
          <w:jc w:val="center"/>
        </w:trPr>
        <w:tc>
          <w:tcPr>
            <w:tcW w:w="1487" w:type="pct"/>
            <w:gridSpan w:val="2"/>
            <w:vMerge/>
            <w:vAlign w:val="center"/>
          </w:tcPr>
          <w:p w14:paraId="0F6A7FF8" w14:textId="77777777" w:rsidR="00CB0432" w:rsidRPr="00BE38DF" w:rsidRDefault="00CB0432">
            <w:pPr>
              <w:keepNext/>
              <w:spacing w:before="20" w:after="20"/>
              <w:jc w:val="left"/>
              <w:rPr>
                <w:sz w:val="20"/>
                <w:szCs w:val="20"/>
              </w:rPr>
            </w:pPr>
          </w:p>
        </w:tc>
        <w:tc>
          <w:tcPr>
            <w:tcW w:w="978" w:type="pct"/>
            <w:vAlign w:val="center"/>
          </w:tcPr>
          <w:p w14:paraId="03BC0E96" w14:textId="4A374B77" w:rsidR="00CB0432" w:rsidRPr="00BE38DF" w:rsidRDefault="0082554A">
            <w:pPr>
              <w:keepNext/>
              <w:spacing w:before="20" w:after="20"/>
              <w:jc w:val="left"/>
              <w:rPr>
                <w:sz w:val="20"/>
                <w:szCs w:val="20"/>
              </w:rPr>
            </w:pPr>
            <w:r>
              <w:rPr>
                <w:sz w:val="18"/>
                <w:szCs w:val="18"/>
              </w:rPr>
              <w:t>Gastos de apoyo</w:t>
            </w:r>
          </w:p>
        </w:tc>
        <w:tc>
          <w:tcPr>
            <w:tcW w:w="618" w:type="pct"/>
            <w:vAlign w:val="center"/>
          </w:tcPr>
          <w:p w14:paraId="60883A86" w14:textId="08E83573" w:rsidR="00CB0432" w:rsidRPr="00BE38DF" w:rsidRDefault="0082554A" w:rsidP="005D3316">
            <w:pPr>
              <w:keepNext/>
              <w:spacing w:before="20" w:after="20"/>
              <w:jc w:val="right"/>
              <w:rPr>
                <w:sz w:val="20"/>
                <w:szCs w:val="20"/>
              </w:rPr>
            </w:pPr>
            <w:r>
              <w:rPr>
                <w:sz w:val="18"/>
                <w:szCs w:val="18"/>
              </w:rPr>
              <w:t>9.685</w:t>
            </w:r>
          </w:p>
        </w:tc>
        <w:tc>
          <w:tcPr>
            <w:tcW w:w="423" w:type="pct"/>
            <w:vAlign w:val="center"/>
          </w:tcPr>
          <w:p w14:paraId="653A230F" w14:textId="137A1F60" w:rsidR="00CB0432" w:rsidRPr="00BE38DF" w:rsidRDefault="0082554A" w:rsidP="005D3316">
            <w:pPr>
              <w:keepNext/>
              <w:spacing w:before="20" w:after="20"/>
              <w:jc w:val="right"/>
              <w:rPr>
                <w:sz w:val="20"/>
                <w:szCs w:val="20"/>
              </w:rPr>
            </w:pPr>
            <w:r>
              <w:rPr>
                <w:sz w:val="18"/>
                <w:szCs w:val="18"/>
              </w:rPr>
              <w:t>0</w:t>
            </w:r>
          </w:p>
        </w:tc>
        <w:tc>
          <w:tcPr>
            <w:tcW w:w="473" w:type="pct"/>
            <w:vAlign w:val="center"/>
          </w:tcPr>
          <w:p w14:paraId="025FE460" w14:textId="4D0870EC" w:rsidR="00CB0432" w:rsidRPr="00BE38DF" w:rsidRDefault="00C907F2" w:rsidP="005D3316">
            <w:pPr>
              <w:keepNext/>
              <w:spacing w:before="20" w:after="20"/>
              <w:jc w:val="right"/>
              <w:rPr>
                <w:sz w:val="20"/>
                <w:szCs w:val="20"/>
              </w:rPr>
            </w:pPr>
            <w:r>
              <w:rPr>
                <w:sz w:val="18"/>
                <w:szCs w:val="18"/>
              </w:rPr>
              <w:t>7.865</w:t>
            </w:r>
          </w:p>
        </w:tc>
        <w:tc>
          <w:tcPr>
            <w:tcW w:w="473" w:type="pct"/>
            <w:vAlign w:val="center"/>
          </w:tcPr>
          <w:p w14:paraId="33C8D5E5" w14:textId="0B4091A9" w:rsidR="00CB0432" w:rsidRPr="00BE38DF" w:rsidRDefault="0082554A" w:rsidP="005D3316">
            <w:pPr>
              <w:keepNext/>
              <w:spacing w:before="20" w:after="20"/>
              <w:jc w:val="right"/>
              <w:rPr>
                <w:sz w:val="20"/>
                <w:szCs w:val="20"/>
              </w:rPr>
            </w:pPr>
            <w:r>
              <w:rPr>
                <w:sz w:val="18"/>
                <w:szCs w:val="18"/>
              </w:rPr>
              <w:t>0</w:t>
            </w:r>
          </w:p>
        </w:tc>
        <w:tc>
          <w:tcPr>
            <w:tcW w:w="547" w:type="pct"/>
            <w:vAlign w:val="center"/>
          </w:tcPr>
          <w:p w14:paraId="3AC293AD" w14:textId="4E842DF5" w:rsidR="00CB0432" w:rsidRPr="00BE38DF" w:rsidRDefault="0082554A" w:rsidP="005D3316">
            <w:pPr>
              <w:keepNext/>
              <w:spacing w:before="20" w:after="20"/>
              <w:jc w:val="right"/>
              <w:rPr>
                <w:sz w:val="20"/>
                <w:szCs w:val="20"/>
              </w:rPr>
            </w:pPr>
            <w:r>
              <w:rPr>
                <w:sz w:val="18"/>
                <w:szCs w:val="18"/>
              </w:rPr>
              <w:t>17.550</w:t>
            </w:r>
          </w:p>
        </w:tc>
      </w:tr>
      <w:tr w:rsidR="00CB0432" w:rsidRPr="00BE38DF" w14:paraId="359760E2" w14:textId="77777777" w:rsidTr="008F35FC">
        <w:trPr>
          <w:trHeight w:val="62"/>
          <w:jc w:val="center"/>
        </w:trPr>
        <w:tc>
          <w:tcPr>
            <w:tcW w:w="1487" w:type="pct"/>
            <w:gridSpan w:val="2"/>
            <w:vMerge/>
            <w:vAlign w:val="center"/>
          </w:tcPr>
          <w:p w14:paraId="2F6F104D" w14:textId="77777777" w:rsidR="00CB0432" w:rsidRPr="00BE38DF" w:rsidRDefault="00CB0432">
            <w:pPr>
              <w:keepNext/>
              <w:spacing w:before="20" w:after="20"/>
              <w:jc w:val="left"/>
              <w:rPr>
                <w:sz w:val="20"/>
                <w:szCs w:val="20"/>
              </w:rPr>
            </w:pPr>
          </w:p>
        </w:tc>
        <w:tc>
          <w:tcPr>
            <w:tcW w:w="978" w:type="pct"/>
            <w:vAlign w:val="center"/>
          </w:tcPr>
          <w:p w14:paraId="52D128DF" w14:textId="25389906" w:rsidR="00CB0432" w:rsidRPr="00BE38DF" w:rsidRDefault="0082554A">
            <w:pPr>
              <w:keepNext/>
              <w:spacing w:before="20" w:after="20"/>
              <w:jc w:val="left"/>
              <w:rPr>
                <w:sz w:val="20"/>
                <w:szCs w:val="20"/>
              </w:rPr>
            </w:pPr>
            <w:r>
              <w:rPr>
                <w:sz w:val="18"/>
                <w:szCs w:val="18"/>
              </w:rPr>
              <w:t>Financiación total</w:t>
            </w:r>
          </w:p>
        </w:tc>
        <w:tc>
          <w:tcPr>
            <w:tcW w:w="618" w:type="pct"/>
            <w:vAlign w:val="center"/>
          </w:tcPr>
          <w:p w14:paraId="3D19D71E" w14:textId="714D33EA" w:rsidR="00CB0432" w:rsidRPr="00BE38DF" w:rsidRDefault="00842241" w:rsidP="005D3316">
            <w:pPr>
              <w:keepNext/>
              <w:spacing w:before="20" w:after="20"/>
              <w:jc w:val="right"/>
              <w:rPr>
                <w:sz w:val="20"/>
                <w:szCs w:val="20"/>
              </w:rPr>
            </w:pPr>
            <w:r>
              <w:rPr>
                <w:sz w:val="18"/>
                <w:szCs w:val="18"/>
              </w:rPr>
              <w:t>84.185</w:t>
            </w:r>
          </w:p>
        </w:tc>
        <w:tc>
          <w:tcPr>
            <w:tcW w:w="423" w:type="pct"/>
            <w:vAlign w:val="center"/>
          </w:tcPr>
          <w:p w14:paraId="235E6727" w14:textId="2FEA3AC8" w:rsidR="00CB0432" w:rsidRPr="00BE38DF" w:rsidRDefault="0082554A" w:rsidP="005D3316">
            <w:pPr>
              <w:keepNext/>
              <w:spacing w:before="20" w:after="20"/>
              <w:jc w:val="right"/>
              <w:rPr>
                <w:sz w:val="20"/>
                <w:szCs w:val="20"/>
              </w:rPr>
            </w:pPr>
            <w:r>
              <w:rPr>
                <w:sz w:val="18"/>
                <w:szCs w:val="18"/>
              </w:rPr>
              <w:t>0</w:t>
            </w:r>
          </w:p>
        </w:tc>
        <w:tc>
          <w:tcPr>
            <w:tcW w:w="473" w:type="pct"/>
            <w:vAlign w:val="center"/>
          </w:tcPr>
          <w:p w14:paraId="77A8010E" w14:textId="1E34AA14" w:rsidR="00CB0432" w:rsidRPr="00BE38DF" w:rsidRDefault="00842241" w:rsidP="005D3316">
            <w:pPr>
              <w:keepNext/>
              <w:spacing w:before="20" w:after="20"/>
              <w:jc w:val="right"/>
              <w:rPr>
                <w:sz w:val="20"/>
                <w:szCs w:val="20"/>
              </w:rPr>
            </w:pPr>
            <w:r>
              <w:rPr>
                <w:sz w:val="18"/>
                <w:szCs w:val="18"/>
              </w:rPr>
              <w:t>68.365</w:t>
            </w:r>
          </w:p>
        </w:tc>
        <w:tc>
          <w:tcPr>
            <w:tcW w:w="473" w:type="pct"/>
            <w:vAlign w:val="center"/>
          </w:tcPr>
          <w:p w14:paraId="033D77A4" w14:textId="05C5CCE3" w:rsidR="00CB0432" w:rsidRPr="00BE38DF" w:rsidRDefault="0082554A" w:rsidP="005D3316">
            <w:pPr>
              <w:keepNext/>
              <w:spacing w:before="20" w:after="20"/>
              <w:jc w:val="right"/>
              <w:rPr>
                <w:sz w:val="20"/>
                <w:szCs w:val="20"/>
              </w:rPr>
            </w:pPr>
            <w:r>
              <w:rPr>
                <w:sz w:val="18"/>
                <w:szCs w:val="18"/>
              </w:rPr>
              <w:t>0</w:t>
            </w:r>
          </w:p>
        </w:tc>
        <w:tc>
          <w:tcPr>
            <w:tcW w:w="547" w:type="pct"/>
            <w:vAlign w:val="center"/>
          </w:tcPr>
          <w:p w14:paraId="6823844D" w14:textId="2D62370C" w:rsidR="00CB0432" w:rsidRPr="00BE38DF" w:rsidRDefault="0082554A" w:rsidP="005D3316">
            <w:pPr>
              <w:keepNext/>
              <w:spacing w:before="20" w:after="20"/>
              <w:jc w:val="right"/>
              <w:rPr>
                <w:sz w:val="20"/>
                <w:szCs w:val="20"/>
              </w:rPr>
            </w:pPr>
            <w:r>
              <w:rPr>
                <w:sz w:val="18"/>
                <w:szCs w:val="18"/>
              </w:rPr>
              <w:t>152.550</w:t>
            </w:r>
          </w:p>
        </w:tc>
      </w:tr>
    </w:tbl>
    <w:p w14:paraId="0B6C7F98" w14:textId="77777777" w:rsidR="00CB0432" w:rsidRPr="00766F51" w:rsidRDefault="00CB0432" w:rsidP="00CB0432">
      <w:pPr>
        <w:spacing w:after="120"/>
        <w:ind w:left="-284" w:right="-561"/>
        <w:jc w:val="left"/>
        <w:rPr>
          <w:sz w:val="18"/>
          <w:szCs w:val="18"/>
          <w:lang w:val="es-ES"/>
        </w:rPr>
      </w:pPr>
      <w:r>
        <w:rPr>
          <w:sz w:val="18"/>
          <w:szCs w:val="18"/>
          <w:lang w:val="es-ES"/>
        </w:rPr>
        <w:t>* Recomendado para su aprobación en la presente reunión</w:t>
      </w: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3DC1A969" w14:textId="77777777">
        <w:trPr>
          <w:jc w:val="center"/>
        </w:trPr>
        <w:tc>
          <w:tcPr>
            <w:tcW w:w="5011" w:type="dxa"/>
          </w:tcPr>
          <w:p w14:paraId="5C679441" w14:textId="77777777" w:rsidR="00CB0432" w:rsidRPr="00766F51" w:rsidRDefault="00CB0432">
            <w:pPr>
              <w:spacing w:before="20" w:after="20"/>
              <w:jc w:val="left"/>
              <w:rPr>
                <w:sz w:val="20"/>
                <w:szCs w:val="20"/>
                <w:lang w:val="es-ES"/>
              </w:rPr>
            </w:pPr>
            <w:r>
              <w:rPr>
                <w:sz w:val="18"/>
                <w:szCs w:val="18"/>
                <w:lang w:val="es-ES"/>
              </w:rPr>
              <w:t>Reducción del consumo restante admisible para la financiación en la etapa I (toneladas de CO</w:t>
            </w:r>
            <w:r>
              <w:rPr>
                <w:sz w:val="18"/>
                <w:szCs w:val="18"/>
                <w:vertAlign w:val="subscript"/>
                <w:lang w:val="es-ES"/>
              </w:rPr>
              <w:t>2</w:t>
            </w:r>
            <w:r>
              <w:rPr>
                <w:sz w:val="18"/>
                <w:szCs w:val="18"/>
                <w:lang w:val="es-ES"/>
              </w:rPr>
              <w:t xml:space="preserve"> equivalente)</w:t>
            </w:r>
          </w:p>
        </w:tc>
        <w:tc>
          <w:tcPr>
            <w:tcW w:w="5012" w:type="dxa"/>
          </w:tcPr>
          <w:p w14:paraId="0CAF57A2" w14:textId="7192294C" w:rsidR="00CB0432" w:rsidRPr="00BE38DF" w:rsidRDefault="00D30874" w:rsidP="00D30874">
            <w:pPr>
              <w:spacing w:before="20" w:after="20"/>
              <w:jc w:val="center"/>
              <w:rPr>
                <w:kern w:val="2"/>
                <w:sz w:val="20"/>
                <w:szCs w:val="20"/>
                <w:lang w:eastAsia="en-CA"/>
                <w14:ligatures w14:val="standardContextual"/>
              </w:rPr>
            </w:pPr>
            <w:r>
              <w:rPr>
                <w:sz w:val="18"/>
                <w:szCs w:val="18"/>
              </w:rPr>
              <w:t>n.a.</w:t>
            </w:r>
          </w:p>
        </w:tc>
      </w:tr>
    </w:tbl>
    <w:p w14:paraId="498CE687"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13557B2B" w14:textId="77777777">
        <w:trPr>
          <w:jc w:val="center"/>
        </w:trPr>
        <w:tc>
          <w:tcPr>
            <w:tcW w:w="2500" w:type="pct"/>
          </w:tcPr>
          <w:p w14:paraId="3D74AA86" w14:textId="77777777" w:rsidR="00CB0432" w:rsidRPr="00BE38DF" w:rsidRDefault="00CB0432">
            <w:pPr>
              <w:spacing w:before="20" w:after="20"/>
              <w:jc w:val="left"/>
              <w:rPr>
                <w:b/>
                <w:color w:val="000000" w:themeColor="text1"/>
                <w:sz w:val="20"/>
              </w:rPr>
            </w:pPr>
            <w:r>
              <w:rPr>
                <w:b/>
                <w:color w:val="000000" w:themeColor="text1"/>
                <w:sz w:val="18"/>
                <w:szCs w:val="18"/>
              </w:rPr>
              <w:t>Recomendación de la Secretaría</w:t>
            </w:r>
          </w:p>
        </w:tc>
        <w:tc>
          <w:tcPr>
            <w:tcW w:w="2500" w:type="pct"/>
          </w:tcPr>
          <w:p w14:paraId="3FBEBC95" w14:textId="77777777" w:rsidR="00CB0432" w:rsidRPr="00BE38DF" w:rsidRDefault="00CB0432">
            <w:pPr>
              <w:spacing w:before="20" w:after="20"/>
              <w:jc w:val="center"/>
              <w:rPr>
                <w:color w:val="000000" w:themeColor="text1"/>
                <w:sz w:val="20"/>
              </w:rPr>
            </w:pPr>
            <w:r>
              <w:rPr>
                <w:color w:val="000000" w:themeColor="text1"/>
                <w:sz w:val="18"/>
                <w:szCs w:val="18"/>
              </w:rPr>
              <w:t>Consideración individual</w:t>
            </w:r>
          </w:p>
        </w:tc>
      </w:tr>
    </w:tbl>
    <w:p w14:paraId="5162EEB2" w14:textId="33E1E6E5" w:rsidR="00CB0432" w:rsidRPr="00BE38DF" w:rsidRDefault="00CB0432" w:rsidP="00CB0432">
      <w:pPr>
        <w:pageBreakBefore/>
        <w:tabs>
          <w:tab w:val="left" w:pos="2880"/>
          <w:tab w:val="left" w:pos="5760"/>
        </w:tabs>
        <w:spacing w:before="240" w:after="240"/>
        <w:jc w:val="center"/>
        <w:rPr>
          <w:b/>
        </w:rPr>
      </w:pPr>
      <w:r>
        <w:rPr>
          <w:b/>
        </w:rPr>
        <w:lastRenderedPageBreak/>
        <w:t>DESCRIPCIÓN DEL PROYECTO</w:t>
      </w:r>
    </w:p>
    <w:p w14:paraId="5B6C06D8" w14:textId="77777777" w:rsidR="00CB0432" w:rsidRPr="00766F51" w:rsidRDefault="00CB0432" w:rsidP="00CB0432">
      <w:pPr>
        <w:pStyle w:val="Heading1"/>
        <w:rPr>
          <w:lang w:val="es-ES"/>
        </w:rPr>
      </w:pPr>
      <w:r>
        <w:rPr>
          <w:lang w:val="es-ES"/>
        </w:rPr>
        <w:t>El presente documento consta de las secciones siguientes:</w:t>
      </w:r>
    </w:p>
    <w:p w14:paraId="5A4F60B0" w14:textId="77777777" w:rsidR="00CB0432" w:rsidRPr="00766F51" w:rsidRDefault="00CB0432">
      <w:pPr>
        <w:pStyle w:val="ListParagraph"/>
        <w:numPr>
          <w:ilvl w:val="0"/>
          <w:numId w:val="7"/>
        </w:numPr>
        <w:spacing w:before="240" w:after="240"/>
        <w:ind w:left="1276" w:hanging="567"/>
        <w:contextualSpacing w:val="0"/>
        <w:rPr>
          <w:lang w:val="es-ES"/>
        </w:rPr>
      </w:pPr>
      <w:r>
        <w:rPr>
          <w:lang w:val="es-ES"/>
        </w:rPr>
        <w:t>Resumen de la propuesta tal como se presentó</w:t>
      </w:r>
    </w:p>
    <w:p w14:paraId="323D2012" w14:textId="77777777" w:rsidR="00CB0432" w:rsidRPr="00766F51" w:rsidRDefault="00CB0432">
      <w:pPr>
        <w:pStyle w:val="ListParagraph"/>
        <w:numPr>
          <w:ilvl w:val="0"/>
          <w:numId w:val="7"/>
        </w:numPr>
        <w:spacing w:before="240" w:after="240"/>
        <w:ind w:left="1276" w:hanging="567"/>
        <w:contextualSpacing w:val="0"/>
        <w:rPr>
          <w:lang w:val="es-ES"/>
        </w:rPr>
      </w:pPr>
      <w:r>
        <w:rPr>
          <w:lang w:val="es-ES"/>
        </w:rPr>
        <w:t>Antecedentes: Estado de ejecución del plan de gestión de eliminación de los HCFC y actividades anteriores relacionadas con los HFC</w:t>
      </w:r>
    </w:p>
    <w:p w14:paraId="6E042E19" w14:textId="77777777" w:rsidR="00CB0432" w:rsidRPr="00766F51" w:rsidRDefault="00CB0432">
      <w:pPr>
        <w:pStyle w:val="ListParagraph"/>
        <w:numPr>
          <w:ilvl w:val="0"/>
          <w:numId w:val="7"/>
        </w:numPr>
        <w:spacing w:before="240" w:after="240"/>
        <w:ind w:left="1276" w:hanging="567"/>
        <w:contextualSpacing w:val="0"/>
        <w:rPr>
          <w:lang w:val="es-ES"/>
        </w:rPr>
      </w:pPr>
      <w:r>
        <w:rPr>
          <w:lang w:val="es-ES"/>
        </w:rPr>
        <w:t>Panorama general del consumo de HFC: Niveles de consumo de HFC, tendencias y consumo por sector</w:t>
      </w:r>
    </w:p>
    <w:p w14:paraId="316973F0" w14:textId="77777777" w:rsidR="00CB0432" w:rsidRPr="00766F51" w:rsidRDefault="00CB0432">
      <w:pPr>
        <w:pStyle w:val="ListParagraph"/>
        <w:numPr>
          <w:ilvl w:val="0"/>
          <w:numId w:val="7"/>
        </w:numPr>
        <w:spacing w:before="240" w:after="240"/>
        <w:ind w:left="1276" w:hanging="567"/>
        <w:contextualSpacing w:val="0"/>
        <w:rPr>
          <w:lang w:val="es-ES"/>
        </w:rPr>
      </w:pPr>
      <w:r>
        <w:rPr>
          <w:lang w:val="es-ES"/>
        </w:rPr>
        <w:t>Etapa I del plan de aplicación de la Enmienda de Kigali relativa a los HFC, según lo presentado: Marco reglamentario, estrategia de reducción, costo total de la etapa y plan de ejecución para el primer tramo</w:t>
      </w:r>
    </w:p>
    <w:p w14:paraId="35918598" w14:textId="77777777" w:rsidR="00CB0432" w:rsidRPr="00766F51" w:rsidRDefault="00CB0432">
      <w:pPr>
        <w:pStyle w:val="ListParagraph"/>
        <w:numPr>
          <w:ilvl w:val="0"/>
          <w:numId w:val="7"/>
        </w:numPr>
        <w:spacing w:before="240" w:after="240"/>
        <w:ind w:left="1276" w:hanging="567"/>
        <w:contextualSpacing w:val="0"/>
        <w:rPr>
          <w:lang w:val="es-ES"/>
        </w:rPr>
      </w:pPr>
      <w:r>
        <w:rPr>
          <w:lang w:val="es-ES"/>
        </w:rPr>
        <w:t>Observaciones de la Secretaría, incluido el costo convenido de las actividades</w:t>
      </w:r>
    </w:p>
    <w:p w14:paraId="2ABEF608" w14:textId="77777777" w:rsidR="00CB0432" w:rsidRPr="00BE38DF" w:rsidRDefault="00CB0432">
      <w:pPr>
        <w:pStyle w:val="ListParagraph"/>
        <w:numPr>
          <w:ilvl w:val="0"/>
          <w:numId w:val="7"/>
        </w:numPr>
        <w:spacing w:before="240" w:after="240"/>
        <w:ind w:left="1276" w:hanging="567"/>
        <w:contextualSpacing w:val="0"/>
      </w:pPr>
      <w:r>
        <w:t>Recomendación</w:t>
      </w:r>
    </w:p>
    <w:p w14:paraId="7AF15443" w14:textId="77777777" w:rsidR="00CB0432" w:rsidRPr="00766F51" w:rsidRDefault="00CB0432" w:rsidP="00CB0432">
      <w:pPr>
        <w:pStyle w:val="Heading1"/>
        <w:keepNext/>
        <w:numPr>
          <w:ilvl w:val="0"/>
          <w:numId w:val="0"/>
        </w:numPr>
        <w:rPr>
          <w:b/>
          <w:bCs/>
          <w:lang w:val="es-ES"/>
        </w:rPr>
      </w:pPr>
      <w:r>
        <w:rPr>
          <w:b/>
          <w:bCs/>
          <w:lang w:val="es-ES"/>
        </w:rPr>
        <w:t>I.</w:t>
      </w:r>
      <w:r>
        <w:rPr>
          <w:b/>
          <w:bCs/>
          <w:lang w:val="es-ES"/>
        </w:rPr>
        <w:tab/>
        <w:t>Resumen de la propuesta tal como se presentó</w:t>
      </w:r>
    </w:p>
    <w:p w14:paraId="73D32FC7" w14:textId="348722AF" w:rsidR="00CF0E09" w:rsidRPr="00766F51" w:rsidRDefault="00CF0E09" w:rsidP="00CF0E09">
      <w:pPr>
        <w:pStyle w:val="Heading1"/>
        <w:rPr>
          <w:lang w:val="es-ES" w:eastAsia="en-CA"/>
          <w14:ligatures w14:val="standardContextual"/>
        </w:rPr>
      </w:pPr>
      <w:r>
        <w:rPr>
          <w:lang w:val="es-ES"/>
        </w:rPr>
        <w:t>En nombre del Gobierno de Santo Tomé y Príncipe, el PNUMA, en su calidad de organismo de ejecución designado, ha presentado una solicitud para la etapa I del plan de aplicación de la Enmienda de Kigali relativa a los HFC (PAK), por un importe de USD 135.000, más los gastos de apoyo al organismo de USD 17.550, según lo originalmente solicitado.</w:t>
      </w:r>
      <w:r>
        <w:rPr>
          <w:rStyle w:val="FootnoteReference"/>
        </w:rPr>
        <w:footnoteReference w:id="5"/>
      </w:r>
    </w:p>
    <w:p w14:paraId="4AB50969" w14:textId="7544B7E6" w:rsidR="00CF0E09" w:rsidRPr="00766F51" w:rsidRDefault="00CF0E09" w:rsidP="00481C52">
      <w:pPr>
        <w:pStyle w:val="Heading1"/>
        <w:rPr>
          <w:lang w:val="es-ES" w:eastAsia="en-CA"/>
          <w14:ligatures w14:val="standardContextual"/>
        </w:rPr>
      </w:pPr>
      <w:r>
        <w:rPr>
          <w:lang w:val="es-ES"/>
        </w:rPr>
        <w:t>La ejecución de la etapa I del PAK prestará asistencia al Gobierno de Santo Tomé y Príncipe para que cumpla su compromiso de reducir el consumo de HFC en un 50,64 % con respecto al nivel básico de consumo de HFC a más tardar el 1 de enero de 2029.</w:t>
      </w:r>
    </w:p>
    <w:p w14:paraId="78A18C47" w14:textId="2665F5B8" w:rsidR="0048515A" w:rsidRPr="00766F51" w:rsidRDefault="0048515A" w:rsidP="0048515A">
      <w:pPr>
        <w:pStyle w:val="Heading1"/>
        <w:rPr>
          <w:lang w:val="es-ES" w:eastAsia="en-CA"/>
          <w14:ligatures w14:val="standardContextual"/>
        </w:rPr>
      </w:pPr>
      <w:r>
        <w:rPr>
          <w:lang w:val="es-ES"/>
        </w:rPr>
        <w:t>El primer tramo de la etapa I del PAK que se solicita en esta reunión asciende a USD 72.500, más gastos de apoyo al organismo de USD 9.425 para el PNUMA, tal como se presentó originalmente, para el período comprendido entre enero de 2027 y diciembre de 2029.</w:t>
      </w:r>
    </w:p>
    <w:p w14:paraId="58CFBEB6" w14:textId="77777777" w:rsidR="00CB0432" w:rsidRPr="00766F51" w:rsidRDefault="00CB0432" w:rsidP="00CB0432">
      <w:pPr>
        <w:keepNext/>
        <w:spacing w:after="240"/>
        <w:rPr>
          <w:b/>
          <w:lang w:val="es-ES"/>
        </w:rPr>
      </w:pPr>
      <w:r>
        <w:rPr>
          <w:b/>
          <w:lang w:val="es-ES"/>
        </w:rPr>
        <w:t>II.</w:t>
      </w:r>
      <w:r>
        <w:rPr>
          <w:b/>
          <w:lang w:val="es-ES"/>
        </w:rPr>
        <w:tab/>
        <w:t>Antecedentes</w:t>
      </w:r>
    </w:p>
    <w:p w14:paraId="34D4444E" w14:textId="77777777" w:rsidR="00CB0432" w:rsidRPr="00766F51" w:rsidRDefault="00CB0432" w:rsidP="00CB0432">
      <w:pPr>
        <w:keepNext/>
        <w:spacing w:after="240"/>
        <w:rPr>
          <w:bCs/>
          <w:u w:val="single"/>
          <w:lang w:val="es-ES"/>
        </w:rPr>
      </w:pPr>
      <w:r>
        <w:rPr>
          <w:bCs/>
          <w:u w:val="single"/>
          <w:lang w:val="es-ES"/>
        </w:rPr>
        <w:t>Estado de ejecución del plan de gestión de eliminación de los HCFC</w:t>
      </w:r>
    </w:p>
    <w:p w14:paraId="71F11B0F" w14:textId="33248A14" w:rsidR="00FD33D1" w:rsidRPr="00766F51" w:rsidRDefault="00FD33D1" w:rsidP="00FD33D1">
      <w:pPr>
        <w:pStyle w:val="Heading1"/>
        <w:rPr>
          <w:lang w:val="es-ES" w:eastAsia="en-CA"/>
          <w14:ligatures w14:val="standardContextual"/>
        </w:rPr>
      </w:pPr>
      <w:r>
        <w:rPr>
          <w:lang w:val="es-ES"/>
        </w:rPr>
        <w:t>En el cuadro 4 se presenta información sobre el plan de gestión de eliminación de los HCFC (PGEH) en Santo Tomé y Príncipe a agosto de 2026.</w:t>
      </w:r>
    </w:p>
    <w:p w14:paraId="74F69F49" w14:textId="0F1DE0F4" w:rsidR="00FD33D1" w:rsidRPr="00766F51" w:rsidRDefault="00FD33D1">
      <w:pPr>
        <w:keepNext/>
        <w:rPr>
          <w:kern w:val="2"/>
          <w:lang w:val="es-ES" w:eastAsia="en-CA"/>
          <w14:ligatures w14:val="standardContextual"/>
        </w:rPr>
      </w:pPr>
      <w:r>
        <w:rPr>
          <w:b/>
          <w:bCs/>
          <w:lang w:val="es-ES"/>
        </w:rPr>
        <w:t>Cuadro 4. Estado de la ejecución del PGEH en Santo Tomé y Príncipe</w:t>
      </w:r>
    </w:p>
    <w:tbl>
      <w:tblPr>
        <w:tblW w:w="5000" w:type="pct"/>
        <w:tblCellMar>
          <w:left w:w="0" w:type="dxa"/>
          <w:right w:w="0" w:type="dxa"/>
        </w:tblCellMar>
        <w:tblLook w:val="04A0" w:firstRow="1" w:lastRow="0" w:firstColumn="1" w:lastColumn="0" w:noHBand="0" w:noVBand="1"/>
      </w:tblPr>
      <w:tblGrid>
        <w:gridCol w:w="5513"/>
        <w:gridCol w:w="1991"/>
        <w:gridCol w:w="1836"/>
      </w:tblGrid>
      <w:tr w:rsidR="00FD33D1" w:rsidRPr="00BE38DF" w14:paraId="4A6EC620" w14:textId="77777777" w:rsidTr="008F35FC">
        <w:trPr>
          <w:tblHeader/>
        </w:trPr>
        <w:tc>
          <w:tcPr>
            <w:tcW w:w="29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6680B8" w14:textId="77777777" w:rsidR="00FD33D1" w:rsidRPr="00BE38DF" w:rsidRDefault="00FD33D1">
            <w:pPr>
              <w:keepNext/>
              <w:spacing w:before="20" w:after="20"/>
              <w:jc w:val="center"/>
              <w:rPr>
                <w:kern w:val="2"/>
                <w:lang w:eastAsia="en-CA"/>
                <w14:ligatures w14:val="standardContextual"/>
              </w:rPr>
            </w:pPr>
            <w:r>
              <w:rPr>
                <w:b/>
                <w:bCs/>
                <w:sz w:val="20"/>
                <w:szCs w:val="20"/>
              </w:rPr>
              <w:t>Detalles</w:t>
            </w:r>
          </w:p>
        </w:tc>
        <w:tc>
          <w:tcPr>
            <w:tcW w:w="106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64F454" w14:textId="77777777" w:rsidR="00FD33D1" w:rsidRPr="00BE38DF" w:rsidRDefault="00FD33D1">
            <w:pPr>
              <w:keepNext/>
              <w:spacing w:before="20" w:after="20"/>
              <w:jc w:val="center"/>
            </w:pPr>
            <w:r>
              <w:rPr>
                <w:b/>
                <w:bCs/>
                <w:sz w:val="20"/>
                <w:szCs w:val="20"/>
              </w:rPr>
              <w:t>Etapa I</w:t>
            </w:r>
          </w:p>
        </w:tc>
        <w:tc>
          <w:tcPr>
            <w:tcW w:w="98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FDFA0F" w14:textId="77777777" w:rsidR="00FD33D1" w:rsidRPr="00BE38DF" w:rsidRDefault="00FD33D1">
            <w:pPr>
              <w:keepNext/>
              <w:spacing w:before="20" w:after="20"/>
              <w:jc w:val="center"/>
            </w:pPr>
            <w:r>
              <w:rPr>
                <w:b/>
                <w:bCs/>
                <w:sz w:val="20"/>
                <w:szCs w:val="20"/>
              </w:rPr>
              <w:t>Etapa II</w:t>
            </w:r>
          </w:p>
        </w:tc>
      </w:tr>
      <w:tr w:rsidR="00FD33D1" w:rsidRPr="00B50897" w14:paraId="2C2BE518"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B387B4" w14:textId="77777777" w:rsidR="00FD33D1" w:rsidRPr="00766F51" w:rsidRDefault="00FD33D1">
            <w:pPr>
              <w:keepNext/>
              <w:spacing w:before="20" w:after="20"/>
              <w:jc w:val="left"/>
              <w:rPr>
                <w:lang w:val="es-ES"/>
              </w:rPr>
            </w:pPr>
            <w:r>
              <w:rPr>
                <w:sz w:val="20"/>
                <w:szCs w:val="20"/>
                <w:lang w:val="es-ES"/>
              </w:rPr>
              <w:t>Reunión en la que se aprobó o actualizó el PGEH</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9C236" w14:textId="77777777" w:rsidR="00FD33D1" w:rsidRPr="00BE38DF" w:rsidRDefault="00FD33D1">
            <w:pPr>
              <w:keepNext/>
              <w:spacing w:before="20" w:after="20"/>
              <w:jc w:val="center"/>
            </w:pPr>
            <w:r>
              <w:rPr>
                <w:sz w:val="20"/>
                <w:szCs w:val="20"/>
              </w:rPr>
              <w:t>63</w:t>
            </w:r>
            <w:r>
              <w:rPr>
                <w:sz w:val="20"/>
                <w:szCs w:val="20"/>
                <w:vertAlign w:val="superscript"/>
              </w:rPr>
              <w:t>a</w:t>
            </w:r>
          </w:p>
        </w:tc>
        <w:tc>
          <w:tcPr>
            <w:tcW w:w="983" w:type="pct"/>
            <w:vMerge w:val="restart"/>
            <w:tcBorders>
              <w:top w:val="nil"/>
              <w:left w:val="nil"/>
              <w:right w:val="single" w:sz="8" w:space="0" w:color="auto"/>
            </w:tcBorders>
            <w:tcMar>
              <w:top w:w="0" w:type="dxa"/>
              <w:left w:w="108" w:type="dxa"/>
              <w:bottom w:w="0" w:type="dxa"/>
              <w:right w:w="108" w:type="dxa"/>
            </w:tcMar>
            <w:vAlign w:val="center"/>
            <w:hideMark/>
          </w:tcPr>
          <w:p w14:paraId="744C3F78" w14:textId="77777777" w:rsidR="00FD33D1" w:rsidRPr="00766F51" w:rsidRDefault="00FD33D1">
            <w:pPr>
              <w:keepNext/>
              <w:spacing w:before="20" w:after="20"/>
              <w:jc w:val="center"/>
              <w:rPr>
                <w:lang w:val="es-ES"/>
              </w:rPr>
            </w:pPr>
            <w:r>
              <w:rPr>
                <w:sz w:val="20"/>
                <w:szCs w:val="20"/>
                <w:lang w:val="es-ES"/>
              </w:rPr>
              <w:t>Presentado en la presente reunión</w:t>
            </w:r>
          </w:p>
        </w:tc>
      </w:tr>
      <w:tr w:rsidR="00FD33D1" w:rsidRPr="00BE38DF" w14:paraId="5F98695F"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008D61" w14:textId="77777777" w:rsidR="00FD33D1" w:rsidRPr="00766F51" w:rsidRDefault="00FD33D1">
            <w:pPr>
              <w:keepNext/>
              <w:spacing w:before="20" w:after="20"/>
              <w:jc w:val="left"/>
              <w:rPr>
                <w:lang w:val="es-ES"/>
              </w:rPr>
            </w:pPr>
            <w:r>
              <w:rPr>
                <w:sz w:val="20"/>
                <w:szCs w:val="20"/>
                <w:lang w:val="es-ES"/>
              </w:rPr>
              <w:t>Reducción con respecto al nivel básico</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C9CE7" w14:textId="77777777" w:rsidR="00FD33D1" w:rsidRPr="00BE38DF" w:rsidRDefault="00FD33D1">
            <w:pPr>
              <w:keepNext/>
              <w:spacing w:before="20" w:after="20"/>
              <w:jc w:val="center"/>
            </w:pPr>
            <w:r>
              <w:rPr>
                <w:sz w:val="20"/>
                <w:szCs w:val="20"/>
              </w:rPr>
              <w:t>35 % para 2020</w:t>
            </w:r>
          </w:p>
        </w:tc>
        <w:tc>
          <w:tcPr>
            <w:tcW w:w="983" w:type="pct"/>
            <w:vMerge/>
            <w:tcBorders>
              <w:left w:val="nil"/>
              <w:right w:val="single" w:sz="8" w:space="0" w:color="auto"/>
            </w:tcBorders>
            <w:tcMar>
              <w:top w:w="0" w:type="dxa"/>
              <w:left w:w="108" w:type="dxa"/>
              <w:bottom w:w="0" w:type="dxa"/>
              <w:right w:w="108" w:type="dxa"/>
            </w:tcMar>
            <w:vAlign w:val="center"/>
          </w:tcPr>
          <w:p w14:paraId="635C1B83" w14:textId="21EDF3E6" w:rsidR="00FD33D1" w:rsidRPr="00BE38DF" w:rsidRDefault="00FD33D1">
            <w:pPr>
              <w:keepNext/>
              <w:spacing w:before="20" w:after="20"/>
              <w:jc w:val="center"/>
            </w:pPr>
          </w:p>
        </w:tc>
      </w:tr>
      <w:tr w:rsidR="00FD33D1" w:rsidRPr="00BE38DF" w14:paraId="624C68FB" w14:textId="77777777" w:rsidTr="008F35FC">
        <w:trPr>
          <w:trHeight w:val="336"/>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050815" w14:textId="506F9F02" w:rsidR="00FD33D1" w:rsidRPr="00766F51" w:rsidRDefault="00FD33D1">
            <w:pPr>
              <w:keepNext/>
              <w:spacing w:before="20" w:after="20"/>
              <w:jc w:val="left"/>
              <w:rPr>
                <w:lang w:val="es-ES"/>
              </w:rPr>
            </w:pPr>
            <w:r>
              <w:rPr>
                <w:b/>
                <w:bCs/>
                <w:sz w:val="20"/>
                <w:szCs w:val="20"/>
                <w:lang w:val="es-ES"/>
              </w:rPr>
              <w:t>Costo total de la etapa (USD)</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403A5" w14:textId="77777777" w:rsidR="00FD33D1" w:rsidRPr="00BE38DF" w:rsidRDefault="00FD33D1">
            <w:pPr>
              <w:keepNext/>
              <w:spacing w:before="20" w:after="20"/>
              <w:jc w:val="center"/>
            </w:pPr>
            <w:r>
              <w:rPr>
                <w:sz w:val="20"/>
                <w:szCs w:val="20"/>
              </w:rPr>
              <w:t>160.000</w:t>
            </w:r>
          </w:p>
        </w:tc>
        <w:tc>
          <w:tcPr>
            <w:tcW w:w="983" w:type="pct"/>
            <w:vMerge/>
            <w:tcBorders>
              <w:left w:val="nil"/>
              <w:right w:val="single" w:sz="8" w:space="0" w:color="auto"/>
            </w:tcBorders>
            <w:tcMar>
              <w:top w:w="0" w:type="dxa"/>
              <w:left w:w="108" w:type="dxa"/>
              <w:bottom w:w="0" w:type="dxa"/>
              <w:right w:w="108" w:type="dxa"/>
            </w:tcMar>
            <w:vAlign w:val="center"/>
          </w:tcPr>
          <w:p w14:paraId="77DC87A3" w14:textId="40B29459" w:rsidR="00FD33D1" w:rsidRPr="00BE38DF" w:rsidRDefault="00FD33D1">
            <w:pPr>
              <w:keepNext/>
              <w:spacing w:before="20" w:after="20"/>
              <w:jc w:val="center"/>
            </w:pPr>
          </w:p>
        </w:tc>
      </w:tr>
      <w:tr w:rsidR="00FD33D1" w:rsidRPr="00BE38DF" w14:paraId="19DCEC79"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6458CD" w14:textId="77777777" w:rsidR="00FD33D1" w:rsidRPr="00766F51" w:rsidRDefault="00FD33D1">
            <w:pPr>
              <w:spacing w:before="20" w:after="20"/>
              <w:jc w:val="left"/>
              <w:rPr>
                <w:lang w:val="es-ES"/>
              </w:rPr>
            </w:pPr>
            <w:r>
              <w:rPr>
                <w:b/>
                <w:bCs/>
                <w:sz w:val="20"/>
                <w:szCs w:val="20"/>
                <w:lang w:val="es-ES"/>
              </w:rPr>
              <w:t>Fecha de finalización (real o prevista)</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AF6E5D" w14:textId="77777777" w:rsidR="00FD33D1" w:rsidRPr="00BE38DF" w:rsidRDefault="00FD33D1">
            <w:pPr>
              <w:spacing w:before="20" w:after="20"/>
              <w:jc w:val="center"/>
            </w:pPr>
            <w:r>
              <w:rPr>
                <w:sz w:val="20"/>
                <w:szCs w:val="20"/>
              </w:rPr>
              <w:t>31 de diciembre de 2021</w:t>
            </w:r>
          </w:p>
        </w:tc>
        <w:tc>
          <w:tcPr>
            <w:tcW w:w="983" w:type="pct"/>
            <w:vMerge/>
            <w:tcBorders>
              <w:left w:val="nil"/>
              <w:bottom w:val="single" w:sz="8" w:space="0" w:color="auto"/>
              <w:right w:val="single" w:sz="8" w:space="0" w:color="auto"/>
            </w:tcBorders>
            <w:tcMar>
              <w:top w:w="0" w:type="dxa"/>
              <w:left w:w="108" w:type="dxa"/>
              <w:bottom w:w="0" w:type="dxa"/>
              <w:right w:w="108" w:type="dxa"/>
            </w:tcMar>
            <w:vAlign w:val="center"/>
          </w:tcPr>
          <w:p w14:paraId="6129C0F9" w14:textId="1DF1F359" w:rsidR="00FD33D1" w:rsidRPr="00BE38DF" w:rsidRDefault="00FD33D1">
            <w:pPr>
              <w:spacing w:before="20" w:after="20"/>
              <w:jc w:val="center"/>
            </w:pPr>
          </w:p>
        </w:tc>
      </w:tr>
    </w:tbl>
    <w:p w14:paraId="328C0CDD" w14:textId="77777777" w:rsidR="00CB0432" w:rsidRPr="00766F51" w:rsidRDefault="00CB0432" w:rsidP="00CB0432">
      <w:pPr>
        <w:pStyle w:val="Heading1"/>
        <w:keepNext/>
        <w:numPr>
          <w:ilvl w:val="0"/>
          <w:numId w:val="0"/>
        </w:numPr>
        <w:tabs>
          <w:tab w:val="num" w:pos="709"/>
        </w:tabs>
        <w:spacing w:before="240"/>
        <w:rPr>
          <w:lang w:val="es-ES"/>
        </w:rPr>
      </w:pPr>
      <w:r>
        <w:rPr>
          <w:u w:val="single"/>
          <w:lang w:val="es-ES"/>
        </w:rPr>
        <w:lastRenderedPageBreak/>
        <w:t>Estado de ejecución de las actividades previas relacionadas con los HFC</w:t>
      </w:r>
    </w:p>
    <w:p w14:paraId="227C31E4" w14:textId="4358705F" w:rsidR="00FD33D1" w:rsidRPr="00766F51" w:rsidRDefault="00FD33D1" w:rsidP="00FD33D1">
      <w:pPr>
        <w:pStyle w:val="Heading1"/>
        <w:rPr>
          <w:lang w:val="es-ES" w:eastAsia="en-CA"/>
          <w14:ligatures w14:val="standardContextual"/>
        </w:rPr>
      </w:pPr>
      <w:r>
        <w:rPr>
          <w:lang w:val="es-ES"/>
        </w:rPr>
        <w:t>En el cuadro 5 se presenta una visión general de las actividades ejecutadas en Santo Tomé y Príncipe en el contexto de la Enmienda de Kigali que han sido financiadas por el Fondo Multilateral.</w:t>
      </w:r>
    </w:p>
    <w:p w14:paraId="254B794A" w14:textId="5803AEA8" w:rsidR="00FD33D1" w:rsidRPr="00766F51" w:rsidRDefault="00FD33D1" w:rsidP="00FD33D1">
      <w:pPr>
        <w:pStyle w:val="Heading1"/>
        <w:keepNext/>
        <w:numPr>
          <w:ilvl w:val="0"/>
          <w:numId w:val="0"/>
        </w:numPr>
        <w:spacing w:after="0"/>
        <w:rPr>
          <w:kern w:val="36"/>
          <w:lang w:val="es-ES" w:eastAsia="en-CA"/>
          <w14:ligatures w14:val="standardContextual"/>
        </w:rPr>
      </w:pPr>
      <w:r>
        <w:rPr>
          <w:b/>
          <w:bCs/>
          <w:kern w:val="36"/>
          <w:lang w:val="es-ES"/>
        </w:rPr>
        <w:t>Cuadro 5. Actividades relativas a los HFC previamente aprobadas en Santo Tomé y Príncipe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83"/>
        <w:gridCol w:w="3956"/>
        <w:gridCol w:w="1403"/>
        <w:gridCol w:w="1404"/>
        <w:gridCol w:w="1404"/>
      </w:tblGrid>
      <w:tr w:rsidR="00FD33D1" w:rsidRPr="00BE38DF" w14:paraId="31AD3366" w14:textId="77777777" w:rsidTr="000F79ED">
        <w:tc>
          <w:tcPr>
            <w:tcW w:w="603" w:type="pct"/>
            <w:tcMar>
              <w:top w:w="0" w:type="dxa"/>
              <w:left w:w="108" w:type="dxa"/>
              <w:bottom w:w="0" w:type="dxa"/>
              <w:right w:w="108" w:type="dxa"/>
            </w:tcMar>
            <w:vAlign w:val="center"/>
            <w:hideMark/>
          </w:tcPr>
          <w:p w14:paraId="1BB89B0F" w14:textId="77777777" w:rsidR="00FD33D1" w:rsidRPr="00BE38DF" w:rsidRDefault="00FD33D1">
            <w:pPr>
              <w:keepNext/>
              <w:spacing w:before="20" w:after="20"/>
              <w:jc w:val="center"/>
              <w:rPr>
                <w:kern w:val="2"/>
                <w:lang w:eastAsia="en-CA"/>
                <w14:ligatures w14:val="standardContextual"/>
              </w:rPr>
            </w:pPr>
            <w:r>
              <w:rPr>
                <w:b/>
                <w:bCs/>
                <w:sz w:val="20"/>
                <w:szCs w:val="20"/>
              </w:rPr>
              <w:t>Reunión de aprobación</w:t>
            </w:r>
          </w:p>
        </w:tc>
        <w:tc>
          <w:tcPr>
            <w:tcW w:w="2123" w:type="pct"/>
            <w:tcMar>
              <w:top w:w="0" w:type="dxa"/>
              <w:left w:w="108" w:type="dxa"/>
              <w:bottom w:w="0" w:type="dxa"/>
              <w:right w:w="108" w:type="dxa"/>
            </w:tcMar>
            <w:vAlign w:val="center"/>
            <w:hideMark/>
          </w:tcPr>
          <w:p w14:paraId="142148AC" w14:textId="77777777" w:rsidR="00FD33D1" w:rsidRPr="00BE38DF" w:rsidRDefault="00FD33D1">
            <w:pPr>
              <w:keepNext/>
              <w:spacing w:before="20" w:after="20"/>
              <w:jc w:val="center"/>
            </w:pPr>
            <w:r>
              <w:rPr>
                <w:b/>
                <w:bCs/>
                <w:sz w:val="20"/>
                <w:szCs w:val="20"/>
              </w:rPr>
              <w:t>Título del proyecto</w:t>
            </w:r>
          </w:p>
        </w:tc>
        <w:tc>
          <w:tcPr>
            <w:tcW w:w="758" w:type="pct"/>
            <w:tcMar>
              <w:top w:w="0" w:type="dxa"/>
              <w:left w:w="108" w:type="dxa"/>
              <w:bottom w:w="0" w:type="dxa"/>
              <w:right w:w="108" w:type="dxa"/>
            </w:tcMar>
            <w:vAlign w:val="center"/>
            <w:hideMark/>
          </w:tcPr>
          <w:p w14:paraId="5BEDA721" w14:textId="77777777" w:rsidR="00FD33D1" w:rsidRPr="00BE38DF" w:rsidRDefault="00FD33D1">
            <w:pPr>
              <w:keepNext/>
              <w:spacing w:before="20" w:after="20"/>
              <w:jc w:val="center"/>
            </w:pPr>
            <w:r>
              <w:rPr>
                <w:b/>
                <w:bCs/>
                <w:sz w:val="20"/>
                <w:szCs w:val="20"/>
              </w:rPr>
              <w:t>Organismo de ejecución</w:t>
            </w:r>
          </w:p>
        </w:tc>
        <w:tc>
          <w:tcPr>
            <w:tcW w:w="758" w:type="pct"/>
            <w:tcMar>
              <w:top w:w="0" w:type="dxa"/>
              <w:left w:w="108" w:type="dxa"/>
              <w:bottom w:w="0" w:type="dxa"/>
              <w:right w:w="108" w:type="dxa"/>
            </w:tcMar>
            <w:vAlign w:val="center"/>
            <w:hideMark/>
          </w:tcPr>
          <w:p w14:paraId="4731831E" w14:textId="77777777" w:rsidR="00FD33D1" w:rsidRPr="00BE38DF" w:rsidRDefault="00FD33D1">
            <w:pPr>
              <w:keepNext/>
              <w:spacing w:before="20" w:after="20"/>
              <w:jc w:val="center"/>
            </w:pPr>
            <w:r>
              <w:rPr>
                <w:b/>
                <w:bCs/>
                <w:sz w:val="20"/>
                <w:szCs w:val="20"/>
              </w:rPr>
              <w:t>Costo (USD)</w:t>
            </w:r>
          </w:p>
        </w:tc>
        <w:tc>
          <w:tcPr>
            <w:tcW w:w="758" w:type="pct"/>
            <w:tcMar>
              <w:top w:w="0" w:type="dxa"/>
              <w:left w:w="108" w:type="dxa"/>
              <w:bottom w:w="0" w:type="dxa"/>
              <w:right w:w="108" w:type="dxa"/>
            </w:tcMar>
            <w:vAlign w:val="center"/>
            <w:hideMark/>
          </w:tcPr>
          <w:p w14:paraId="517FDF7A" w14:textId="77777777" w:rsidR="00FD33D1" w:rsidRPr="00BE38DF" w:rsidRDefault="00FD33D1">
            <w:pPr>
              <w:keepNext/>
              <w:spacing w:before="20" w:after="20"/>
              <w:jc w:val="center"/>
            </w:pPr>
            <w:r>
              <w:rPr>
                <w:b/>
                <w:bCs/>
                <w:sz w:val="20"/>
                <w:szCs w:val="20"/>
              </w:rPr>
              <w:t>Fecha de finalización</w:t>
            </w:r>
          </w:p>
        </w:tc>
      </w:tr>
      <w:tr w:rsidR="00FD33D1" w:rsidRPr="00BE38DF" w14:paraId="07A0969A" w14:textId="77777777" w:rsidTr="000F79ED">
        <w:tc>
          <w:tcPr>
            <w:tcW w:w="603" w:type="pct"/>
            <w:tcMar>
              <w:top w:w="0" w:type="dxa"/>
              <w:left w:w="108" w:type="dxa"/>
              <w:bottom w:w="0" w:type="dxa"/>
              <w:right w:w="108" w:type="dxa"/>
            </w:tcMar>
            <w:hideMark/>
          </w:tcPr>
          <w:p w14:paraId="5C998EFE" w14:textId="77777777" w:rsidR="00FD33D1" w:rsidRPr="00BE38DF" w:rsidRDefault="00FD33D1">
            <w:pPr>
              <w:keepNext/>
              <w:spacing w:before="20" w:after="20"/>
              <w:jc w:val="center"/>
            </w:pPr>
            <w:r>
              <w:rPr>
                <w:sz w:val="20"/>
                <w:szCs w:val="20"/>
              </w:rPr>
              <w:t>74</w:t>
            </w:r>
          </w:p>
        </w:tc>
        <w:tc>
          <w:tcPr>
            <w:tcW w:w="2123" w:type="pct"/>
            <w:tcMar>
              <w:top w:w="0" w:type="dxa"/>
              <w:left w:w="108" w:type="dxa"/>
              <w:bottom w:w="0" w:type="dxa"/>
              <w:right w:w="108" w:type="dxa"/>
            </w:tcMar>
            <w:hideMark/>
          </w:tcPr>
          <w:p w14:paraId="0A0F964B" w14:textId="77777777" w:rsidR="00FD33D1" w:rsidRPr="00766F51" w:rsidRDefault="00FD33D1">
            <w:pPr>
              <w:keepNext/>
              <w:spacing w:before="20" w:after="20"/>
              <w:jc w:val="left"/>
              <w:rPr>
                <w:lang w:val="es-ES"/>
              </w:rPr>
            </w:pPr>
            <w:r>
              <w:rPr>
                <w:sz w:val="20"/>
                <w:szCs w:val="20"/>
                <w:lang w:val="es-ES"/>
              </w:rPr>
              <w:t>Estudio de alternativas a las SAO</w:t>
            </w:r>
          </w:p>
        </w:tc>
        <w:tc>
          <w:tcPr>
            <w:tcW w:w="758" w:type="pct"/>
            <w:tcMar>
              <w:top w:w="0" w:type="dxa"/>
              <w:left w:w="108" w:type="dxa"/>
              <w:bottom w:w="0" w:type="dxa"/>
              <w:right w:w="108" w:type="dxa"/>
            </w:tcMar>
            <w:hideMark/>
          </w:tcPr>
          <w:p w14:paraId="130583EE" w14:textId="77777777" w:rsidR="00FD33D1" w:rsidRPr="00BE38DF" w:rsidRDefault="00FD33D1">
            <w:pPr>
              <w:keepNext/>
              <w:spacing w:before="20" w:after="20"/>
              <w:jc w:val="center"/>
            </w:pPr>
            <w:r>
              <w:rPr>
                <w:sz w:val="20"/>
                <w:szCs w:val="20"/>
              </w:rPr>
              <w:t>PNUMA</w:t>
            </w:r>
          </w:p>
        </w:tc>
        <w:tc>
          <w:tcPr>
            <w:tcW w:w="758" w:type="pct"/>
            <w:tcMar>
              <w:top w:w="0" w:type="dxa"/>
              <w:left w:w="108" w:type="dxa"/>
              <w:bottom w:w="0" w:type="dxa"/>
              <w:right w:w="108" w:type="dxa"/>
            </w:tcMar>
            <w:hideMark/>
          </w:tcPr>
          <w:p w14:paraId="55A2FC47" w14:textId="77777777" w:rsidR="00FD33D1" w:rsidRPr="00BE38DF" w:rsidRDefault="00FD33D1">
            <w:pPr>
              <w:keepNext/>
              <w:spacing w:before="20" w:after="20"/>
              <w:jc w:val="right"/>
            </w:pPr>
            <w:r>
              <w:rPr>
                <w:sz w:val="20"/>
                <w:szCs w:val="20"/>
              </w:rPr>
              <w:t>40.000</w:t>
            </w:r>
          </w:p>
        </w:tc>
        <w:tc>
          <w:tcPr>
            <w:tcW w:w="758" w:type="pct"/>
            <w:tcMar>
              <w:top w:w="0" w:type="dxa"/>
              <w:left w:w="108" w:type="dxa"/>
              <w:bottom w:w="0" w:type="dxa"/>
              <w:right w:w="108" w:type="dxa"/>
            </w:tcMar>
            <w:hideMark/>
          </w:tcPr>
          <w:p w14:paraId="68B5202F" w14:textId="77777777" w:rsidR="00FD33D1" w:rsidRPr="00BE38DF" w:rsidRDefault="00FD33D1">
            <w:pPr>
              <w:keepNext/>
              <w:spacing w:before="20" w:after="20"/>
              <w:jc w:val="center"/>
            </w:pPr>
            <w:r>
              <w:rPr>
                <w:sz w:val="20"/>
                <w:szCs w:val="20"/>
              </w:rPr>
              <w:t>enero de 2017</w:t>
            </w:r>
          </w:p>
        </w:tc>
      </w:tr>
      <w:tr w:rsidR="00FD33D1" w:rsidRPr="00BE38DF" w14:paraId="5334276B" w14:textId="77777777" w:rsidTr="000F79ED">
        <w:tc>
          <w:tcPr>
            <w:tcW w:w="603" w:type="pct"/>
            <w:tcMar>
              <w:top w:w="0" w:type="dxa"/>
              <w:left w:w="108" w:type="dxa"/>
              <w:bottom w:w="0" w:type="dxa"/>
              <w:right w:w="108" w:type="dxa"/>
            </w:tcMar>
            <w:hideMark/>
          </w:tcPr>
          <w:p w14:paraId="36BE3829" w14:textId="77777777" w:rsidR="00FD33D1" w:rsidRPr="00BE38DF" w:rsidRDefault="00FD33D1">
            <w:pPr>
              <w:spacing w:before="20" w:after="20"/>
              <w:jc w:val="center"/>
            </w:pPr>
            <w:r>
              <w:rPr>
                <w:sz w:val="20"/>
                <w:szCs w:val="20"/>
              </w:rPr>
              <w:t>81</w:t>
            </w:r>
          </w:p>
        </w:tc>
        <w:tc>
          <w:tcPr>
            <w:tcW w:w="2123" w:type="pct"/>
            <w:tcMar>
              <w:top w:w="0" w:type="dxa"/>
              <w:left w:w="108" w:type="dxa"/>
              <w:bottom w:w="0" w:type="dxa"/>
              <w:right w:w="108" w:type="dxa"/>
            </w:tcMar>
            <w:hideMark/>
          </w:tcPr>
          <w:p w14:paraId="3A7D48CC" w14:textId="77777777" w:rsidR="00FD33D1" w:rsidRPr="00766F51" w:rsidRDefault="00FD33D1">
            <w:pPr>
              <w:spacing w:before="20" w:after="20"/>
              <w:jc w:val="left"/>
              <w:rPr>
                <w:lang w:val="es-ES"/>
              </w:rPr>
            </w:pPr>
            <w:r>
              <w:rPr>
                <w:sz w:val="20"/>
                <w:szCs w:val="20"/>
                <w:lang w:val="es-ES"/>
              </w:rPr>
              <w:t>Actividades de apoyo para la reducción de los HFC</w:t>
            </w:r>
          </w:p>
        </w:tc>
        <w:tc>
          <w:tcPr>
            <w:tcW w:w="758" w:type="pct"/>
            <w:tcMar>
              <w:top w:w="0" w:type="dxa"/>
              <w:left w:w="108" w:type="dxa"/>
              <w:bottom w:w="0" w:type="dxa"/>
              <w:right w:w="108" w:type="dxa"/>
            </w:tcMar>
            <w:hideMark/>
          </w:tcPr>
          <w:p w14:paraId="735E9405" w14:textId="77777777" w:rsidR="00FD33D1" w:rsidRPr="00BE38DF" w:rsidRDefault="00FD33D1">
            <w:pPr>
              <w:spacing w:before="20" w:after="20"/>
              <w:jc w:val="center"/>
            </w:pPr>
            <w:r>
              <w:rPr>
                <w:sz w:val="20"/>
                <w:szCs w:val="20"/>
              </w:rPr>
              <w:t>PNUMA</w:t>
            </w:r>
          </w:p>
        </w:tc>
        <w:tc>
          <w:tcPr>
            <w:tcW w:w="758" w:type="pct"/>
            <w:tcMar>
              <w:top w:w="0" w:type="dxa"/>
              <w:left w:w="108" w:type="dxa"/>
              <w:bottom w:w="0" w:type="dxa"/>
              <w:right w:w="108" w:type="dxa"/>
            </w:tcMar>
            <w:hideMark/>
          </w:tcPr>
          <w:p w14:paraId="0E6182D3" w14:textId="77777777" w:rsidR="00FD33D1" w:rsidRPr="00BE38DF" w:rsidRDefault="00FD33D1">
            <w:pPr>
              <w:spacing w:before="20" w:after="20"/>
              <w:jc w:val="right"/>
            </w:pPr>
            <w:r>
              <w:rPr>
                <w:sz w:val="20"/>
                <w:szCs w:val="20"/>
              </w:rPr>
              <w:t>95.000</w:t>
            </w:r>
          </w:p>
        </w:tc>
        <w:tc>
          <w:tcPr>
            <w:tcW w:w="758" w:type="pct"/>
            <w:tcMar>
              <w:top w:w="0" w:type="dxa"/>
              <w:left w:w="108" w:type="dxa"/>
              <w:bottom w:w="0" w:type="dxa"/>
              <w:right w:w="108" w:type="dxa"/>
            </w:tcMar>
            <w:hideMark/>
          </w:tcPr>
          <w:p w14:paraId="4DE487A2" w14:textId="77777777" w:rsidR="00FD33D1" w:rsidRPr="00BE38DF" w:rsidRDefault="00FD33D1">
            <w:pPr>
              <w:spacing w:before="20" w:after="20"/>
              <w:jc w:val="center"/>
            </w:pPr>
            <w:r>
              <w:rPr>
                <w:sz w:val="20"/>
                <w:szCs w:val="20"/>
              </w:rPr>
              <w:t>enero de 2022</w:t>
            </w:r>
          </w:p>
        </w:tc>
      </w:tr>
    </w:tbl>
    <w:p w14:paraId="1652633A" w14:textId="77777777" w:rsidR="00CB0432" w:rsidRPr="00766F51" w:rsidRDefault="00CB0432" w:rsidP="00CB0432">
      <w:pPr>
        <w:keepNext/>
        <w:spacing w:before="240" w:after="240"/>
        <w:outlineLvl w:val="0"/>
        <w:rPr>
          <w:b/>
          <w:bCs/>
          <w:lang w:val="es-ES"/>
        </w:rPr>
      </w:pPr>
      <w:r>
        <w:rPr>
          <w:b/>
          <w:bCs/>
          <w:lang w:val="es-ES"/>
        </w:rPr>
        <w:t>III.</w:t>
      </w:r>
      <w:r>
        <w:rPr>
          <w:b/>
          <w:bCs/>
          <w:lang w:val="es-ES"/>
        </w:rPr>
        <w:tab/>
        <w:t>Panorama general del consumo de HFC</w:t>
      </w:r>
    </w:p>
    <w:p w14:paraId="71B55F71" w14:textId="77777777" w:rsidR="00CB0432" w:rsidRPr="00BE38DF" w:rsidRDefault="00CB0432" w:rsidP="00CB0432">
      <w:pPr>
        <w:keepNext/>
        <w:spacing w:before="240" w:after="240"/>
        <w:outlineLvl w:val="0"/>
        <w:rPr>
          <w:u w:val="single"/>
        </w:rPr>
      </w:pPr>
      <w:r>
        <w:rPr>
          <w:u w:val="single"/>
        </w:rPr>
        <w:t>Niveles de consumo de HFC</w:t>
      </w:r>
    </w:p>
    <w:p w14:paraId="701A286F" w14:textId="7ED2F422" w:rsidR="00FD33D1" w:rsidRPr="00766F51" w:rsidRDefault="00FD33D1" w:rsidP="00FD33D1">
      <w:pPr>
        <w:pStyle w:val="Heading1"/>
        <w:rPr>
          <w:lang w:val="es-ES" w:eastAsia="en-CA"/>
          <w14:ligatures w14:val="standardContextual"/>
        </w:rPr>
      </w:pPr>
      <w:r>
        <w:rPr>
          <w:lang w:val="es-ES"/>
        </w:rPr>
        <w:t>Santo Tomé y Príncipe solo importa (no produce) HFC para su uso en el sector de servicio técnico de equipos de refrigeración y aire acondicionado (RAC). Las sustancias más consumidas en 2025 fueron el R‑404A (el 40,3 % del consumo total de HFC en toneladas de CO</w:t>
      </w:r>
      <w:r>
        <w:rPr>
          <w:vertAlign w:val="subscript"/>
          <w:lang w:val="es-ES"/>
        </w:rPr>
        <w:t>2</w:t>
      </w:r>
      <w:r>
        <w:rPr>
          <w:lang w:val="es-ES"/>
        </w:rPr>
        <w:t xml:space="preserve"> equivalente), el R‑410A (el 35,0 %), el HFC‑134a (el 16,4 %) y el R‑407C (el 8,3 %). El cuadro 6 presenta el consumo de HFC del país, tal y como se comunicó a la Secretaría del Ozono en virtud del artículo 7 del Protocolo de Montreal, así como el nivel básico de HFC del país.</w:t>
      </w:r>
    </w:p>
    <w:p w14:paraId="3649A44C" w14:textId="5E0335DD" w:rsidR="00FD33D1" w:rsidRPr="00766F51" w:rsidRDefault="00FD33D1" w:rsidP="00FD33D1">
      <w:pPr>
        <w:pStyle w:val="Heading1"/>
        <w:keepNext/>
        <w:numPr>
          <w:ilvl w:val="0"/>
          <w:numId w:val="0"/>
        </w:numPr>
        <w:spacing w:before="240" w:after="0"/>
        <w:rPr>
          <w:kern w:val="36"/>
          <w:lang w:val="es-ES" w:eastAsia="en-CA"/>
          <w14:ligatures w14:val="standardContextual"/>
        </w:rPr>
      </w:pPr>
      <w:r>
        <w:rPr>
          <w:b/>
          <w:bCs/>
          <w:kern w:val="36"/>
          <w:lang w:val="es-ES"/>
        </w:rPr>
        <w:t>Cuadro 6. Consumo de HFC y nivel básico de consumo de HFC para 2020–2025 en Santo Tomé y Príncipe (datos del artículo 7)</w:t>
      </w:r>
    </w:p>
    <w:tbl>
      <w:tblPr>
        <w:tblW w:w="5000" w:type="pct"/>
        <w:tblLook w:val="04A0" w:firstRow="1" w:lastRow="0" w:firstColumn="1" w:lastColumn="0" w:noHBand="0" w:noVBand="1"/>
      </w:tblPr>
      <w:tblGrid>
        <w:gridCol w:w="1829"/>
        <w:gridCol w:w="1519"/>
        <w:gridCol w:w="1000"/>
        <w:gridCol w:w="999"/>
        <w:gridCol w:w="999"/>
        <w:gridCol w:w="999"/>
        <w:gridCol w:w="500"/>
        <w:gridCol w:w="500"/>
        <w:gridCol w:w="999"/>
      </w:tblGrid>
      <w:tr w:rsidR="00FD33D1" w:rsidRPr="00BE38DF" w14:paraId="49B9FC2D" w14:textId="77777777" w:rsidTr="006141A1">
        <w:trPr>
          <w:tblHeader/>
        </w:trPr>
        <w:tc>
          <w:tcPr>
            <w:tcW w:w="0" w:type="auto"/>
            <w:tcBorders>
              <w:top w:val="outset" w:sz="6" w:space="0" w:color="auto"/>
              <w:left w:val="outset" w:sz="6" w:space="0" w:color="auto"/>
              <w:bottom w:val="outset" w:sz="6" w:space="0" w:color="auto"/>
              <w:right w:val="outset" w:sz="6" w:space="0" w:color="auto"/>
            </w:tcBorders>
            <w:vAlign w:val="center"/>
            <w:hideMark/>
          </w:tcPr>
          <w:p w14:paraId="779BE320" w14:textId="77777777" w:rsidR="00FD33D1" w:rsidRPr="0064286B" w:rsidRDefault="00FD33D1" w:rsidP="003E50CA">
            <w:pPr>
              <w:keepNext/>
              <w:jc w:val="center"/>
              <w:rPr>
                <w:kern w:val="2"/>
                <w:sz w:val="20"/>
                <w:szCs w:val="20"/>
                <w:lang w:eastAsia="en-CA"/>
                <w14:ligatures w14:val="standardContextual"/>
              </w:rPr>
            </w:pPr>
            <w:r>
              <w:rPr>
                <w:b/>
                <w:bCs/>
                <w:sz w:val="20"/>
                <w:szCs w:val="20"/>
              </w:rPr>
              <w:t>HFC</w:t>
            </w:r>
          </w:p>
        </w:tc>
        <w:tc>
          <w:tcPr>
            <w:tcW w:w="813" w:type="pct"/>
            <w:tcBorders>
              <w:top w:val="outset" w:sz="6" w:space="0" w:color="auto"/>
              <w:left w:val="outset" w:sz="6" w:space="0" w:color="auto"/>
              <w:bottom w:val="outset" w:sz="6" w:space="0" w:color="auto"/>
              <w:right w:val="outset" w:sz="6" w:space="0" w:color="auto"/>
            </w:tcBorders>
            <w:vAlign w:val="center"/>
            <w:hideMark/>
          </w:tcPr>
          <w:p w14:paraId="3265423B" w14:textId="77777777" w:rsidR="00FD33D1" w:rsidRPr="0064286B" w:rsidRDefault="00FD33D1" w:rsidP="003E50CA">
            <w:pPr>
              <w:keepNext/>
              <w:jc w:val="center"/>
              <w:rPr>
                <w:sz w:val="20"/>
                <w:szCs w:val="20"/>
              </w:rPr>
            </w:pPr>
            <w:r>
              <w:rPr>
                <w:b/>
                <w:bCs/>
                <w:sz w:val="20"/>
                <w:szCs w:val="20"/>
              </w:rPr>
              <w:t>PCA</w:t>
            </w:r>
          </w:p>
        </w:tc>
        <w:tc>
          <w:tcPr>
            <w:tcW w:w="535" w:type="pct"/>
            <w:tcBorders>
              <w:top w:val="outset" w:sz="6" w:space="0" w:color="auto"/>
              <w:left w:val="outset" w:sz="6" w:space="0" w:color="auto"/>
              <w:bottom w:val="outset" w:sz="6" w:space="0" w:color="auto"/>
              <w:right w:val="outset" w:sz="6" w:space="0" w:color="auto"/>
            </w:tcBorders>
            <w:vAlign w:val="center"/>
            <w:hideMark/>
          </w:tcPr>
          <w:p w14:paraId="71AA91CB" w14:textId="77777777" w:rsidR="00FD33D1" w:rsidRPr="0064286B" w:rsidRDefault="00FD33D1" w:rsidP="003E50CA">
            <w:pPr>
              <w:keepNext/>
              <w:jc w:val="center"/>
              <w:rPr>
                <w:sz w:val="20"/>
                <w:szCs w:val="20"/>
              </w:rPr>
            </w:pPr>
            <w:r>
              <w:rPr>
                <w:b/>
                <w:bCs/>
                <w:sz w:val="20"/>
                <w:szCs w:val="20"/>
              </w:rPr>
              <w:t>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81A13" w14:textId="77777777" w:rsidR="00FD33D1" w:rsidRPr="0064286B" w:rsidRDefault="00FD33D1" w:rsidP="003E50CA">
            <w:pPr>
              <w:keepNext/>
              <w:jc w:val="center"/>
              <w:rPr>
                <w:sz w:val="20"/>
                <w:szCs w:val="20"/>
              </w:rPr>
            </w:pPr>
            <w:r>
              <w:rPr>
                <w:b/>
                <w:bCs/>
                <w:sz w:val="20"/>
                <w:szCs w:val="20"/>
              </w:rPr>
              <w:t>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D1229" w14:textId="77777777" w:rsidR="00FD33D1" w:rsidRPr="0064286B" w:rsidRDefault="00FD33D1" w:rsidP="003E50CA">
            <w:pPr>
              <w:keepNext/>
              <w:jc w:val="center"/>
              <w:rPr>
                <w:sz w:val="20"/>
                <w:szCs w:val="20"/>
              </w:rPr>
            </w:pPr>
            <w:r>
              <w:rPr>
                <w:b/>
                <w:bCs/>
                <w:sz w:val="20"/>
                <w:szCs w:val="20"/>
              </w:rPr>
              <w:t>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E7EC4" w14:textId="77777777" w:rsidR="00FD33D1" w:rsidRPr="0064286B" w:rsidRDefault="00FD33D1" w:rsidP="003E50CA">
            <w:pPr>
              <w:keepNext/>
              <w:jc w:val="center"/>
              <w:rPr>
                <w:sz w:val="20"/>
                <w:szCs w:val="20"/>
              </w:rPr>
            </w:pPr>
            <w:r>
              <w:rPr>
                <w:b/>
                <w:bCs/>
                <w:sz w:val="20"/>
                <w:szCs w:val="20"/>
              </w:rPr>
              <w:t>2023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42172B" w14:textId="77777777" w:rsidR="00FD33D1" w:rsidRPr="0064286B" w:rsidRDefault="00FD33D1" w:rsidP="003E50CA">
            <w:pPr>
              <w:keepNext/>
              <w:jc w:val="center"/>
              <w:rPr>
                <w:sz w:val="20"/>
                <w:szCs w:val="20"/>
              </w:rPr>
            </w:pPr>
            <w:r>
              <w:rPr>
                <w:b/>
                <w:bCs/>
                <w:sz w:val="20"/>
                <w:szCs w:val="20"/>
              </w:rPr>
              <w:t>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FB119" w14:textId="77777777" w:rsidR="00FD33D1" w:rsidRPr="0064286B" w:rsidRDefault="00FD33D1" w:rsidP="003E50CA">
            <w:pPr>
              <w:keepNext/>
              <w:jc w:val="center"/>
              <w:rPr>
                <w:sz w:val="20"/>
                <w:szCs w:val="20"/>
              </w:rPr>
            </w:pPr>
            <w:r>
              <w:rPr>
                <w:b/>
                <w:bCs/>
                <w:sz w:val="20"/>
                <w:szCs w:val="20"/>
              </w:rPr>
              <w:t>2025</w:t>
            </w:r>
          </w:p>
        </w:tc>
      </w:tr>
      <w:tr w:rsidR="00FD33D1" w:rsidRPr="00BE38DF" w14:paraId="0E4E28B3"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F0C19FE" w14:textId="77777777" w:rsidR="00FD33D1" w:rsidRPr="0064286B" w:rsidRDefault="00FD33D1">
            <w:pPr>
              <w:keepNext/>
              <w:rPr>
                <w:sz w:val="20"/>
                <w:szCs w:val="20"/>
              </w:rPr>
            </w:pPr>
            <w:r>
              <w:rPr>
                <w:b/>
                <w:bCs/>
                <w:sz w:val="20"/>
                <w:szCs w:val="20"/>
              </w:rPr>
              <w:t>Toneladas métricas (tm)</w:t>
            </w:r>
          </w:p>
        </w:tc>
      </w:tr>
      <w:tr w:rsidR="00FD33D1" w:rsidRPr="00BE38DF" w14:paraId="28ED153B"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677C2594" w14:textId="77777777" w:rsidR="00FD33D1" w:rsidRPr="0064286B" w:rsidRDefault="00FD33D1">
            <w:pPr>
              <w:keepNext/>
              <w:rPr>
                <w:sz w:val="20"/>
                <w:szCs w:val="20"/>
              </w:rPr>
            </w:pPr>
            <w:r>
              <w:rPr>
                <w:sz w:val="20"/>
                <w:szCs w:val="20"/>
              </w:rPr>
              <w:t>HFC‑134a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20BA94B4" w14:textId="77777777" w:rsidR="00FD33D1" w:rsidRPr="0064286B" w:rsidRDefault="00FD33D1" w:rsidP="006351EE">
            <w:pPr>
              <w:keepNext/>
              <w:jc w:val="right"/>
              <w:rPr>
                <w:sz w:val="20"/>
                <w:szCs w:val="20"/>
              </w:rPr>
            </w:pPr>
            <w:r>
              <w:rPr>
                <w:sz w:val="20"/>
                <w:szCs w:val="20"/>
              </w:rPr>
              <w:t>1.430</w:t>
            </w:r>
          </w:p>
        </w:tc>
        <w:tc>
          <w:tcPr>
            <w:tcW w:w="535" w:type="pct"/>
            <w:tcBorders>
              <w:top w:val="outset" w:sz="6" w:space="0" w:color="auto"/>
              <w:left w:val="outset" w:sz="6" w:space="0" w:color="auto"/>
              <w:bottom w:val="outset" w:sz="6" w:space="0" w:color="auto"/>
              <w:right w:val="outset" w:sz="6" w:space="0" w:color="auto"/>
            </w:tcBorders>
            <w:vAlign w:val="center"/>
            <w:hideMark/>
          </w:tcPr>
          <w:p w14:paraId="30E7937C" w14:textId="5D5B1456" w:rsidR="00FD33D1" w:rsidRPr="0064286B" w:rsidRDefault="00FD33D1" w:rsidP="006351EE">
            <w:pPr>
              <w:keepNext/>
              <w:jc w:val="right"/>
              <w:rPr>
                <w:sz w:val="20"/>
                <w:szCs w:val="20"/>
              </w:rPr>
            </w:pPr>
            <w:r>
              <w:rPr>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1CA92" w14:textId="4A35C373" w:rsidR="00FD33D1" w:rsidRPr="0064286B" w:rsidRDefault="00FD33D1" w:rsidP="006351EE">
            <w:pPr>
              <w:keepNext/>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52AAB" w14:textId="6B42A067" w:rsidR="00FD33D1" w:rsidRPr="0064286B" w:rsidRDefault="00FD33D1" w:rsidP="006351EE">
            <w:pPr>
              <w:keepNext/>
              <w:jc w:val="right"/>
              <w:rPr>
                <w:sz w:val="20"/>
                <w:szCs w:val="20"/>
              </w:rPr>
            </w:pPr>
            <w:r>
              <w:rPr>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29D9C" w14:textId="0757851D" w:rsidR="00FD33D1" w:rsidRPr="0064286B" w:rsidRDefault="00FD33D1" w:rsidP="006351EE">
            <w:pPr>
              <w:keepNext/>
              <w:jc w:val="right"/>
              <w:rPr>
                <w:sz w:val="20"/>
                <w:szCs w:val="20"/>
              </w:rPr>
            </w:pPr>
            <w:r>
              <w:rPr>
                <w:sz w:val="20"/>
                <w:szCs w:val="20"/>
              </w:rPr>
              <w:t>3,00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B5726A" w14:textId="127EE467" w:rsidR="00FD33D1" w:rsidRPr="0064286B" w:rsidRDefault="00FD33D1" w:rsidP="006351EE">
            <w:pPr>
              <w:keepNext/>
              <w:jc w:val="right"/>
              <w:rPr>
                <w:sz w:val="20"/>
                <w:szCs w:val="20"/>
              </w:rPr>
            </w:pPr>
            <w:r>
              <w:rPr>
                <w:sz w:val="20"/>
                <w:szCs w:val="20"/>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33961" w14:textId="105F0540" w:rsidR="00FD33D1" w:rsidRPr="0064286B" w:rsidRDefault="00FD33D1" w:rsidP="006351EE">
            <w:pPr>
              <w:keepNext/>
              <w:jc w:val="right"/>
              <w:rPr>
                <w:sz w:val="20"/>
                <w:szCs w:val="20"/>
              </w:rPr>
            </w:pPr>
            <w:r>
              <w:rPr>
                <w:sz w:val="20"/>
                <w:szCs w:val="20"/>
              </w:rPr>
              <w:t>3,90</w:t>
            </w:r>
          </w:p>
        </w:tc>
      </w:tr>
      <w:tr w:rsidR="00FD33D1" w:rsidRPr="00BE38DF" w14:paraId="3A372231"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2A544DDA" w14:textId="77777777" w:rsidR="00FD33D1" w:rsidRPr="0064286B" w:rsidRDefault="00FD33D1">
            <w:pPr>
              <w:keepNext/>
              <w:rPr>
                <w:sz w:val="20"/>
                <w:szCs w:val="20"/>
              </w:rPr>
            </w:pPr>
            <w:r>
              <w:rPr>
                <w:sz w:val="20"/>
                <w:szCs w:val="20"/>
              </w:rPr>
              <w:t>R‑404A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7F3B80BA" w14:textId="77777777" w:rsidR="00FD33D1" w:rsidRPr="0064286B" w:rsidRDefault="00FD33D1" w:rsidP="006351EE">
            <w:pPr>
              <w:keepNext/>
              <w:jc w:val="right"/>
              <w:rPr>
                <w:sz w:val="20"/>
                <w:szCs w:val="20"/>
              </w:rPr>
            </w:pPr>
            <w:r>
              <w:rPr>
                <w:sz w:val="20"/>
                <w:szCs w:val="20"/>
              </w:rPr>
              <w:t>3.921,6</w:t>
            </w:r>
          </w:p>
        </w:tc>
        <w:tc>
          <w:tcPr>
            <w:tcW w:w="535" w:type="pct"/>
            <w:tcBorders>
              <w:top w:val="outset" w:sz="6" w:space="0" w:color="auto"/>
              <w:left w:val="outset" w:sz="6" w:space="0" w:color="auto"/>
              <w:bottom w:val="outset" w:sz="6" w:space="0" w:color="auto"/>
              <w:right w:val="outset" w:sz="6" w:space="0" w:color="auto"/>
            </w:tcBorders>
            <w:vAlign w:val="center"/>
            <w:hideMark/>
          </w:tcPr>
          <w:p w14:paraId="28C66C4A" w14:textId="3FD8721C" w:rsidR="00FD33D1" w:rsidRPr="0064286B" w:rsidRDefault="00FD33D1" w:rsidP="006351EE">
            <w:pPr>
              <w:keepNext/>
              <w:jc w:val="right"/>
              <w:rPr>
                <w:sz w:val="20"/>
                <w:szCs w:val="20"/>
              </w:rPr>
            </w:pPr>
            <w:r>
              <w:rPr>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50B27" w14:textId="3B0DEC80" w:rsidR="00FD33D1" w:rsidRPr="0064286B" w:rsidRDefault="00FD33D1" w:rsidP="006351EE">
            <w:pPr>
              <w:keepNext/>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9C0D2" w14:textId="1D9005E3" w:rsidR="00FD33D1" w:rsidRPr="0064286B" w:rsidRDefault="00FD33D1" w:rsidP="006351EE">
            <w:pPr>
              <w:keepNext/>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6F01C" w14:textId="396211D1" w:rsidR="00FD33D1" w:rsidRPr="0064286B" w:rsidRDefault="00FD33D1" w:rsidP="006351EE">
            <w:pPr>
              <w:keepNext/>
              <w:jc w:val="right"/>
              <w:rPr>
                <w:sz w:val="20"/>
                <w:szCs w:val="20"/>
              </w:rPr>
            </w:pPr>
            <w:r>
              <w:rPr>
                <w:sz w:val="20"/>
                <w:szCs w:val="20"/>
              </w:rPr>
              <w:t>3,00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0164861" w14:textId="6A363BE0" w:rsidR="00FD33D1" w:rsidRPr="0064286B" w:rsidRDefault="00FD33D1" w:rsidP="006351EE">
            <w:pPr>
              <w:keepNext/>
              <w:jc w:val="right"/>
              <w:rPr>
                <w:sz w:val="20"/>
                <w:szCs w:val="20"/>
              </w:rPr>
            </w:pPr>
            <w:r>
              <w:rPr>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35B6C" w14:textId="0853D672" w:rsidR="00FD33D1" w:rsidRPr="0064286B" w:rsidRDefault="00FD33D1" w:rsidP="006351EE">
            <w:pPr>
              <w:keepNext/>
              <w:jc w:val="right"/>
              <w:rPr>
                <w:sz w:val="20"/>
                <w:szCs w:val="20"/>
              </w:rPr>
            </w:pPr>
            <w:r>
              <w:rPr>
                <w:sz w:val="20"/>
                <w:szCs w:val="20"/>
              </w:rPr>
              <w:t>3,50</w:t>
            </w:r>
          </w:p>
        </w:tc>
      </w:tr>
      <w:tr w:rsidR="00FD33D1" w:rsidRPr="00BE38DF" w14:paraId="0F0F5CF0"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70277EE6" w14:textId="77777777" w:rsidR="00FD33D1" w:rsidRPr="0064286B" w:rsidRDefault="00FD33D1">
            <w:pPr>
              <w:keepNext/>
              <w:rPr>
                <w:sz w:val="20"/>
                <w:szCs w:val="20"/>
              </w:rPr>
            </w:pPr>
            <w:r>
              <w:rPr>
                <w:sz w:val="20"/>
                <w:szCs w:val="20"/>
              </w:rPr>
              <w:t>R‑407C</w:t>
            </w:r>
          </w:p>
        </w:tc>
        <w:tc>
          <w:tcPr>
            <w:tcW w:w="813" w:type="pct"/>
            <w:tcBorders>
              <w:top w:val="outset" w:sz="6" w:space="0" w:color="auto"/>
              <w:left w:val="outset" w:sz="6" w:space="0" w:color="auto"/>
              <w:bottom w:val="outset" w:sz="6" w:space="0" w:color="auto"/>
              <w:right w:val="outset" w:sz="6" w:space="0" w:color="auto"/>
            </w:tcBorders>
            <w:vAlign w:val="center"/>
            <w:hideMark/>
          </w:tcPr>
          <w:p w14:paraId="363C3A3C" w14:textId="77777777" w:rsidR="00FD33D1" w:rsidRPr="0064286B" w:rsidRDefault="00FD33D1" w:rsidP="006351EE">
            <w:pPr>
              <w:keepNext/>
              <w:jc w:val="right"/>
              <w:rPr>
                <w:sz w:val="20"/>
                <w:szCs w:val="20"/>
              </w:rPr>
            </w:pPr>
            <w:r>
              <w:rPr>
                <w:sz w:val="20"/>
                <w:szCs w:val="20"/>
              </w:rPr>
              <w:t>1.773,85</w:t>
            </w:r>
          </w:p>
        </w:tc>
        <w:tc>
          <w:tcPr>
            <w:tcW w:w="535" w:type="pct"/>
            <w:tcBorders>
              <w:top w:val="outset" w:sz="6" w:space="0" w:color="auto"/>
              <w:left w:val="outset" w:sz="6" w:space="0" w:color="auto"/>
              <w:bottom w:val="outset" w:sz="6" w:space="0" w:color="auto"/>
              <w:right w:val="outset" w:sz="6" w:space="0" w:color="auto"/>
            </w:tcBorders>
            <w:vAlign w:val="center"/>
            <w:hideMark/>
          </w:tcPr>
          <w:p w14:paraId="3F92F33A" w14:textId="2CAFA7CA" w:rsidR="00FD33D1" w:rsidRPr="0064286B" w:rsidRDefault="00FD33D1" w:rsidP="006351EE">
            <w:pPr>
              <w:keepNext/>
              <w:jc w:val="right"/>
              <w:rPr>
                <w:sz w:val="20"/>
                <w:szCs w:val="20"/>
              </w:rPr>
            </w:pPr>
            <w:r>
              <w:rPr>
                <w:sz w:val="20"/>
                <w:szCs w:val="20"/>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9D356" w14:textId="57499E9F" w:rsidR="00FD33D1" w:rsidRPr="0064286B" w:rsidRDefault="00FD33D1" w:rsidP="006351EE">
            <w:pPr>
              <w:keepNext/>
              <w:jc w:val="right"/>
              <w:rPr>
                <w:sz w:val="20"/>
                <w:szCs w:val="20"/>
              </w:rPr>
            </w:pPr>
            <w:r>
              <w:rPr>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D46DC" w14:textId="638D2999" w:rsidR="00FD33D1" w:rsidRPr="0064286B" w:rsidRDefault="00FD33D1" w:rsidP="006351EE">
            <w:pPr>
              <w:keepNext/>
              <w:jc w:val="right"/>
              <w:rPr>
                <w:sz w:val="20"/>
                <w:szCs w:val="20"/>
              </w:rPr>
            </w:pPr>
            <w:r>
              <w:rPr>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43DBD" w14:textId="1AB3D224" w:rsidR="00FD33D1" w:rsidRPr="0064286B" w:rsidRDefault="00FD33D1" w:rsidP="006351EE">
            <w:pPr>
              <w:keepNext/>
              <w:jc w:val="right"/>
              <w:rPr>
                <w:sz w:val="20"/>
                <w:szCs w:val="20"/>
              </w:rPr>
            </w:pPr>
            <w:r>
              <w:rPr>
                <w:sz w:val="20"/>
                <w:szCs w:val="20"/>
              </w:rPr>
              <w:t>1,40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1915101" w14:textId="1F8ACED7" w:rsidR="00FD33D1" w:rsidRPr="0064286B" w:rsidRDefault="00FD33D1" w:rsidP="006351EE">
            <w:pPr>
              <w:keepNext/>
              <w:jc w:val="right"/>
              <w:rPr>
                <w:sz w:val="20"/>
                <w:szCs w:val="20"/>
              </w:rPr>
            </w:pPr>
            <w:r>
              <w:rPr>
                <w:sz w:val="20"/>
                <w:szCs w:val="20"/>
              </w:rPr>
              <w:t>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D68EE" w14:textId="453A30BE" w:rsidR="00FD33D1" w:rsidRPr="0064286B" w:rsidRDefault="00FD33D1" w:rsidP="006351EE">
            <w:pPr>
              <w:keepNext/>
              <w:jc w:val="right"/>
              <w:rPr>
                <w:sz w:val="20"/>
                <w:szCs w:val="20"/>
              </w:rPr>
            </w:pPr>
            <w:r>
              <w:rPr>
                <w:sz w:val="20"/>
                <w:szCs w:val="20"/>
              </w:rPr>
              <w:t>1,60</w:t>
            </w:r>
          </w:p>
        </w:tc>
      </w:tr>
      <w:tr w:rsidR="00FD33D1" w:rsidRPr="00BE38DF" w14:paraId="74EB859C"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5B6D1B02" w14:textId="77777777" w:rsidR="00FD33D1" w:rsidRPr="0064286B" w:rsidRDefault="00FD33D1">
            <w:pPr>
              <w:keepNext/>
              <w:rPr>
                <w:sz w:val="20"/>
                <w:szCs w:val="20"/>
              </w:rPr>
            </w:pPr>
            <w:r>
              <w:rPr>
                <w:sz w:val="20"/>
                <w:szCs w:val="20"/>
              </w:rPr>
              <w:t>R‑410A</w:t>
            </w:r>
          </w:p>
        </w:tc>
        <w:tc>
          <w:tcPr>
            <w:tcW w:w="813" w:type="pct"/>
            <w:tcBorders>
              <w:top w:val="outset" w:sz="6" w:space="0" w:color="auto"/>
              <w:left w:val="outset" w:sz="6" w:space="0" w:color="auto"/>
              <w:bottom w:val="outset" w:sz="6" w:space="0" w:color="auto"/>
              <w:right w:val="outset" w:sz="6" w:space="0" w:color="auto"/>
            </w:tcBorders>
            <w:vAlign w:val="center"/>
            <w:hideMark/>
          </w:tcPr>
          <w:p w14:paraId="03B201EF" w14:textId="77777777" w:rsidR="00FD33D1" w:rsidRPr="0064286B" w:rsidRDefault="00FD33D1" w:rsidP="006351EE">
            <w:pPr>
              <w:keepNext/>
              <w:jc w:val="right"/>
              <w:rPr>
                <w:sz w:val="20"/>
                <w:szCs w:val="20"/>
              </w:rPr>
            </w:pPr>
            <w:r>
              <w:rPr>
                <w:sz w:val="20"/>
                <w:szCs w:val="20"/>
              </w:rPr>
              <w:t>2.087,5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F00D802" w14:textId="54DA002F" w:rsidR="00FD33D1" w:rsidRPr="0064286B" w:rsidRDefault="00FD33D1" w:rsidP="006351EE">
            <w:pPr>
              <w:keepNext/>
              <w:jc w:val="right"/>
              <w:rPr>
                <w:sz w:val="20"/>
                <w:szCs w:val="20"/>
              </w:rPr>
            </w:pPr>
            <w:r>
              <w:rPr>
                <w:sz w:val="20"/>
                <w:szCs w:val="20"/>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BA8AE" w14:textId="2004B2D7" w:rsidR="00FD33D1" w:rsidRPr="0064286B" w:rsidRDefault="00FD33D1" w:rsidP="006351EE">
            <w:pPr>
              <w:keepNext/>
              <w:jc w:val="right"/>
              <w:rPr>
                <w:sz w:val="20"/>
                <w:szCs w:val="20"/>
              </w:rPr>
            </w:pPr>
            <w:r>
              <w:rPr>
                <w:sz w:val="20"/>
                <w:szCs w:val="20"/>
              </w:rPr>
              <w:t>5,20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300E4" w14:textId="2BF135A9" w:rsidR="00FD33D1" w:rsidRPr="0064286B" w:rsidRDefault="00FD33D1" w:rsidP="006351EE">
            <w:pPr>
              <w:keepNext/>
              <w:jc w:val="right"/>
              <w:rPr>
                <w:sz w:val="20"/>
                <w:szCs w:val="20"/>
              </w:rPr>
            </w:pPr>
            <w:r>
              <w:rPr>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5F0F7" w14:textId="7556FF84" w:rsidR="00FD33D1" w:rsidRPr="0064286B" w:rsidRDefault="00FD33D1" w:rsidP="006351EE">
            <w:pPr>
              <w:keepNext/>
              <w:jc w:val="right"/>
              <w:rPr>
                <w:sz w:val="20"/>
                <w:szCs w:val="20"/>
              </w:rPr>
            </w:pPr>
            <w:r>
              <w:rPr>
                <w:sz w:val="20"/>
                <w:szCs w:val="20"/>
              </w:rPr>
              <w:t>5,00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CE9E7CE" w14:textId="75F6E375" w:rsidR="00FD33D1" w:rsidRPr="0064286B" w:rsidRDefault="00FD33D1" w:rsidP="006351EE">
            <w:pPr>
              <w:keepNext/>
              <w:jc w:val="right"/>
              <w:rPr>
                <w:sz w:val="20"/>
                <w:szCs w:val="20"/>
              </w:rPr>
            </w:pPr>
            <w:r>
              <w:rPr>
                <w:sz w:val="20"/>
                <w:szCs w:val="20"/>
              </w:rPr>
              <w:t>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EACE5" w14:textId="791431C4" w:rsidR="00FD33D1" w:rsidRPr="0064286B" w:rsidRDefault="00FD33D1" w:rsidP="006351EE">
            <w:pPr>
              <w:keepNext/>
              <w:jc w:val="right"/>
              <w:rPr>
                <w:sz w:val="20"/>
                <w:szCs w:val="20"/>
              </w:rPr>
            </w:pPr>
            <w:r>
              <w:rPr>
                <w:sz w:val="20"/>
                <w:szCs w:val="20"/>
              </w:rPr>
              <w:t>5,70</w:t>
            </w:r>
          </w:p>
        </w:tc>
      </w:tr>
      <w:tr w:rsidR="00FD33D1" w:rsidRPr="00BE38DF" w14:paraId="631D369F" w14:textId="77777777" w:rsidTr="006141A1">
        <w:tc>
          <w:tcPr>
            <w:tcW w:w="1792" w:type="pct"/>
            <w:gridSpan w:val="2"/>
            <w:tcBorders>
              <w:top w:val="outset" w:sz="6" w:space="0" w:color="auto"/>
              <w:left w:val="outset" w:sz="6" w:space="0" w:color="auto"/>
              <w:bottom w:val="outset" w:sz="6" w:space="0" w:color="auto"/>
              <w:right w:val="outset" w:sz="6" w:space="0" w:color="auto"/>
            </w:tcBorders>
            <w:vAlign w:val="center"/>
            <w:hideMark/>
          </w:tcPr>
          <w:p w14:paraId="0A71A943" w14:textId="77777777" w:rsidR="00FD33D1" w:rsidRPr="0064286B" w:rsidRDefault="00FD33D1">
            <w:pPr>
              <w:keepNext/>
              <w:rPr>
                <w:sz w:val="20"/>
                <w:szCs w:val="20"/>
              </w:rPr>
            </w:pPr>
            <w:r>
              <w:rPr>
                <w:b/>
                <w:bCs/>
                <w:sz w:val="20"/>
                <w:szCs w:val="20"/>
              </w:rPr>
              <w:t>Total (tm)</w:t>
            </w:r>
          </w:p>
        </w:tc>
        <w:tc>
          <w:tcPr>
            <w:tcW w:w="535" w:type="pct"/>
            <w:tcBorders>
              <w:top w:val="outset" w:sz="6" w:space="0" w:color="auto"/>
              <w:left w:val="outset" w:sz="6" w:space="0" w:color="auto"/>
              <w:bottom w:val="outset" w:sz="6" w:space="0" w:color="auto"/>
              <w:right w:val="outset" w:sz="6" w:space="0" w:color="auto"/>
            </w:tcBorders>
            <w:vAlign w:val="center"/>
            <w:hideMark/>
          </w:tcPr>
          <w:p w14:paraId="45771EEB" w14:textId="1D6E5C54" w:rsidR="00FD33D1" w:rsidRPr="0064286B" w:rsidRDefault="00FD33D1" w:rsidP="006351EE">
            <w:pPr>
              <w:keepNext/>
              <w:jc w:val="right"/>
              <w:rPr>
                <w:sz w:val="20"/>
                <w:szCs w:val="20"/>
              </w:rPr>
            </w:pPr>
            <w:r>
              <w:rPr>
                <w:b/>
                <w:bCs/>
                <w:sz w:val="20"/>
                <w:szCs w:val="20"/>
              </w:rPr>
              <w:t>7,50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A0454" w14:textId="1ED4DC02" w:rsidR="00FD33D1" w:rsidRPr="0064286B" w:rsidRDefault="00FD33D1" w:rsidP="006351EE">
            <w:pPr>
              <w:keepNext/>
              <w:jc w:val="right"/>
              <w:rPr>
                <w:sz w:val="20"/>
                <w:szCs w:val="20"/>
              </w:rPr>
            </w:pPr>
            <w:r>
              <w:rPr>
                <w:b/>
                <w:bCs/>
                <w:sz w:val="20"/>
                <w:szCs w:val="20"/>
              </w:rPr>
              <w:t>12,40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4ADA7" w14:textId="260C354B" w:rsidR="00FD33D1" w:rsidRPr="0064286B" w:rsidRDefault="00FD33D1" w:rsidP="006351EE">
            <w:pPr>
              <w:keepNext/>
              <w:jc w:val="right"/>
              <w:rPr>
                <w:sz w:val="20"/>
                <w:szCs w:val="20"/>
              </w:rPr>
            </w:pPr>
            <w:r>
              <w:rPr>
                <w:b/>
                <w:bCs/>
                <w:sz w:val="20"/>
                <w:szCs w:val="20"/>
              </w:rPr>
              <w:t>12,40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6E724" w14:textId="6BC25BEB" w:rsidR="00FD33D1" w:rsidRPr="0064286B" w:rsidRDefault="00FD33D1" w:rsidP="006351EE">
            <w:pPr>
              <w:keepNext/>
              <w:jc w:val="right"/>
              <w:rPr>
                <w:sz w:val="20"/>
                <w:szCs w:val="20"/>
              </w:rPr>
            </w:pPr>
            <w:r>
              <w:rPr>
                <w:b/>
                <w:bCs/>
                <w:sz w:val="20"/>
                <w:szCs w:val="20"/>
              </w:rPr>
              <w:t>12,40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8E1324" w14:textId="7794110E" w:rsidR="00FD33D1" w:rsidRPr="0064286B" w:rsidRDefault="00FD33D1" w:rsidP="006351EE">
            <w:pPr>
              <w:keepNext/>
              <w:jc w:val="right"/>
              <w:rPr>
                <w:sz w:val="20"/>
                <w:szCs w:val="20"/>
              </w:rPr>
            </w:pPr>
            <w:r>
              <w:rPr>
                <w:b/>
                <w:bCs/>
                <w:sz w:val="20"/>
                <w:szCs w:val="20"/>
              </w:rPr>
              <w:t>13,90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1155C" w14:textId="7764290D" w:rsidR="00FD33D1" w:rsidRPr="0064286B" w:rsidRDefault="00FD33D1" w:rsidP="006351EE">
            <w:pPr>
              <w:keepNext/>
              <w:jc w:val="right"/>
              <w:rPr>
                <w:sz w:val="20"/>
                <w:szCs w:val="20"/>
              </w:rPr>
            </w:pPr>
            <w:r>
              <w:rPr>
                <w:b/>
                <w:bCs/>
                <w:sz w:val="20"/>
                <w:szCs w:val="20"/>
              </w:rPr>
              <w:t>14,70</w:t>
            </w:r>
          </w:p>
        </w:tc>
      </w:tr>
      <w:tr w:rsidR="00FD33D1" w:rsidRPr="00BE38DF" w14:paraId="1A225462"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2C5678C" w14:textId="77777777" w:rsidR="00FD33D1" w:rsidRPr="0064286B" w:rsidRDefault="00FD33D1">
            <w:pPr>
              <w:keepNext/>
              <w:rPr>
                <w:sz w:val="20"/>
                <w:szCs w:val="20"/>
              </w:rPr>
            </w:pPr>
            <w:r>
              <w:rPr>
                <w:b/>
                <w:bCs/>
                <w:sz w:val="20"/>
                <w:szCs w:val="20"/>
              </w:rPr>
              <w:t>Toneladas de CO</w:t>
            </w:r>
            <w:r>
              <w:rPr>
                <w:b/>
                <w:bCs/>
                <w:sz w:val="20"/>
                <w:szCs w:val="20"/>
                <w:vertAlign w:val="subscript"/>
              </w:rPr>
              <w:t>2</w:t>
            </w:r>
            <w:r>
              <w:rPr>
                <w:b/>
                <w:bCs/>
                <w:sz w:val="20"/>
                <w:szCs w:val="20"/>
              </w:rPr>
              <w:t xml:space="preserve"> equivalente</w:t>
            </w:r>
          </w:p>
        </w:tc>
      </w:tr>
      <w:tr w:rsidR="00FD33D1" w:rsidRPr="00BE38DF" w14:paraId="693C605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320BE415" w14:textId="77777777" w:rsidR="00FD33D1" w:rsidRPr="0064286B" w:rsidRDefault="00FD33D1">
            <w:pPr>
              <w:keepNext/>
              <w:rPr>
                <w:sz w:val="20"/>
                <w:szCs w:val="20"/>
              </w:rPr>
            </w:pPr>
            <w:r>
              <w:rPr>
                <w:sz w:val="20"/>
                <w:szCs w:val="20"/>
              </w:rPr>
              <w:t>HFC‑134a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0D39C11D" w14:textId="77777777" w:rsidR="00FD33D1" w:rsidRPr="0064286B" w:rsidRDefault="00FD33D1" w:rsidP="00FD33D1">
            <w:pPr>
              <w:keepNext/>
              <w:jc w:val="right"/>
              <w:rPr>
                <w:sz w:val="20"/>
                <w:szCs w:val="20"/>
              </w:rPr>
            </w:pPr>
            <w:r>
              <w:rPr>
                <w:sz w:val="20"/>
                <w:szCs w:val="20"/>
              </w:rPr>
              <w:t>1.430</w:t>
            </w:r>
          </w:p>
        </w:tc>
        <w:tc>
          <w:tcPr>
            <w:tcW w:w="535" w:type="pct"/>
            <w:tcBorders>
              <w:top w:val="outset" w:sz="6" w:space="0" w:color="auto"/>
              <w:left w:val="outset" w:sz="6" w:space="0" w:color="auto"/>
              <w:bottom w:val="outset" w:sz="6" w:space="0" w:color="auto"/>
              <w:right w:val="outset" w:sz="6" w:space="0" w:color="auto"/>
            </w:tcBorders>
            <w:vAlign w:val="center"/>
            <w:hideMark/>
          </w:tcPr>
          <w:p w14:paraId="7BB233F2" w14:textId="77777777" w:rsidR="00FD33D1" w:rsidRPr="0064286B" w:rsidRDefault="00FD33D1" w:rsidP="00D127D1">
            <w:pPr>
              <w:keepNext/>
              <w:jc w:val="right"/>
              <w:rPr>
                <w:sz w:val="20"/>
                <w:szCs w:val="20"/>
              </w:rPr>
            </w:pPr>
            <w:r>
              <w:rPr>
                <w:sz w:val="20"/>
                <w:szCs w:val="20"/>
              </w:rPr>
              <w:t>2.860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FD6E0" w14:textId="77777777" w:rsidR="00FD33D1" w:rsidRPr="0064286B" w:rsidRDefault="00FD33D1" w:rsidP="00D127D1">
            <w:pPr>
              <w:keepNext/>
              <w:jc w:val="right"/>
              <w:rPr>
                <w:sz w:val="20"/>
                <w:szCs w:val="20"/>
              </w:rPr>
            </w:pPr>
            <w:r>
              <w:rPr>
                <w:sz w:val="20"/>
                <w:szCs w:val="20"/>
              </w:rPr>
              <w:t>4.290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35B45" w14:textId="77777777" w:rsidR="00FD33D1" w:rsidRPr="0064286B" w:rsidRDefault="00FD33D1" w:rsidP="00D127D1">
            <w:pPr>
              <w:keepNext/>
              <w:jc w:val="right"/>
              <w:rPr>
                <w:sz w:val="20"/>
                <w:szCs w:val="20"/>
              </w:rPr>
            </w:pPr>
            <w:r>
              <w:rPr>
                <w:sz w:val="20"/>
                <w:szCs w:val="20"/>
              </w:rPr>
              <w:t>4.576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11E56" w14:textId="77777777" w:rsidR="00FD33D1" w:rsidRPr="0064286B" w:rsidRDefault="00FD33D1" w:rsidP="00D127D1">
            <w:pPr>
              <w:keepNext/>
              <w:jc w:val="right"/>
              <w:rPr>
                <w:sz w:val="20"/>
                <w:szCs w:val="20"/>
              </w:rPr>
            </w:pPr>
            <w:r>
              <w:rPr>
                <w:sz w:val="20"/>
                <w:szCs w:val="20"/>
              </w:rPr>
              <w:t>4.290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E5B2E3" w14:textId="77777777" w:rsidR="00FD33D1" w:rsidRPr="0064286B" w:rsidRDefault="00FD33D1" w:rsidP="00D127D1">
            <w:pPr>
              <w:keepNext/>
              <w:jc w:val="right"/>
              <w:rPr>
                <w:sz w:val="20"/>
                <w:szCs w:val="20"/>
              </w:rPr>
            </w:pPr>
            <w:r>
              <w:rPr>
                <w:sz w:val="20"/>
                <w:szCs w:val="20"/>
              </w:rPr>
              <w:t>5.148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CB304" w14:textId="77777777" w:rsidR="00FD33D1" w:rsidRPr="0064286B" w:rsidRDefault="00FD33D1" w:rsidP="00D127D1">
            <w:pPr>
              <w:keepNext/>
              <w:jc w:val="right"/>
              <w:rPr>
                <w:sz w:val="20"/>
                <w:szCs w:val="20"/>
              </w:rPr>
            </w:pPr>
            <w:r>
              <w:rPr>
                <w:sz w:val="20"/>
                <w:szCs w:val="20"/>
              </w:rPr>
              <w:t>5.577</w:t>
            </w:r>
          </w:p>
        </w:tc>
      </w:tr>
      <w:tr w:rsidR="00FD33D1" w:rsidRPr="00BE38DF" w14:paraId="354A0E2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4C49CDAA" w14:textId="77777777" w:rsidR="00FD33D1" w:rsidRPr="0064286B" w:rsidRDefault="00FD33D1">
            <w:pPr>
              <w:keepNext/>
              <w:rPr>
                <w:sz w:val="20"/>
                <w:szCs w:val="20"/>
              </w:rPr>
            </w:pPr>
            <w:r>
              <w:rPr>
                <w:sz w:val="20"/>
                <w:szCs w:val="20"/>
              </w:rPr>
              <w:t>R‑404A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4663D297" w14:textId="77777777" w:rsidR="00FD33D1" w:rsidRPr="0064286B" w:rsidRDefault="00FD33D1" w:rsidP="00FD33D1">
            <w:pPr>
              <w:keepNext/>
              <w:jc w:val="right"/>
              <w:rPr>
                <w:sz w:val="20"/>
                <w:szCs w:val="20"/>
              </w:rPr>
            </w:pPr>
            <w:r>
              <w:rPr>
                <w:sz w:val="20"/>
                <w:szCs w:val="20"/>
              </w:rPr>
              <w:t>3.921,6</w:t>
            </w:r>
          </w:p>
        </w:tc>
        <w:tc>
          <w:tcPr>
            <w:tcW w:w="535" w:type="pct"/>
            <w:tcBorders>
              <w:top w:val="outset" w:sz="6" w:space="0" w:color="auto"/>
              <w:left w:val="outset" w:sz="6" w:space="0" w:color="auto"/>
              <w:bottom w:val="outset" w:sz="6" w:space="0" w:color="auto"/>
              <w:right w:val="outset" w:sz="6" w:space="0" w:color="auto"/>
            </w:tcBorders>
            <w:vAlign w:val="center"/>
            <w:hideMark/>
          </w:tcPr>
          <w:p w14:paraId="7E92D0E8" w14:textId="77777777" w:rsidR="00FD33D1" w:rsidRPr="0064286B" w:rsidRDefault="00FD33D1" w:rsidP="00D127D1">
            <w:pPr>
              <w:keepNext/>
              <w:jc w:val="right"/>
              <w:rPr>
                <w:sz w:val="20"/>
                <w:szCs w:val="20"/>
              </w:rPr>
            </w:pPr>
            <w:r>
              <w:rPr>
                <w:sz w:val="20"/>
                <w:szCs w:val="20"/>
              </w:rPr>
              <w:t>7.843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53D41" w14:textId="77777777" w:rsidR="00FD33D1" w:rsidRPr="0064286B" w:rsidRDefault="00FD33D1" w:rsidP="00D127D1">
            <w:pPr>
              <w:keepNext/>
              <w:jc w:val="right"/>
              <w:rPr>
                <w:sz w:val="20"/>
                <w:szCs w:val="20"/>
              </w:rPr>
            </w:pPr>
            <w:r>
              <w:rPr>
                <w:sz w:val="20"/>
                <w:szCs w:val="20"/>
              </w:rPr>
              <w:t>11.765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BD2E3" w14:textId="77777777" w:rsidR="00FD33D1" w:rsidRPr="0064286B" w:rsidRDefault="00FD33D1" w:rsidP="00D127D1">
            <w:pPr>
              <w:keepNext/>
              <w:jc w:val="right"/>
              <w:rPr>
                <w:sz w:val="20"/>
                <w:szCs w:val="20"/>
              </w:rPr>
            </w:pPr>
            <w:r>
              <w:rPr>
                <w:sz w:val="20"/>
                <w:szCs w:val="20"/>
              </w:rPr>
              <w:t>11.765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61401" w14:textId="77777777" w:rsidR="00FD33D1" w:rsidRPr="0064286B" w:rsidRDefault="00FD33D1" w:rsidP="00D127D1">
            <w:pPr>
              <w:keepNext/>
              <w:jc w:val="right"/>
              <w:rPr>
                <w:sz w:val="20"/>
                <w:szCs w:val="20"/>
              </w:rPr>
            </w:pPr>
            <w:r>
              <w:rPr>
                <w:sz w:val="20"/>
                <w:szCs w:val="20"/>
              </w:rPr>
              <w:t>11.765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93A0D0E" w14:textId="77777777" w:rsidR="00FD33D1" w:rsidRPr="0064286B" w:rsidRDefault="00FD33D1" w:rsidP="00D127D1">
            <w:pPr>
              <w:keepNext/>
              <w:jc w:val="right"/>
              <w:rPr>
                <w:sz w:val="20"/>
                <w:szCs w:val="20"/>
              </w:rPr>
            </w:pPr>
            <w:r>
              <w:rPr>
                <w:sz w:val="20"/>
                <w:szCs w:val="20"/>
              </w:rPr>
              <w:t>12.549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3AFBF" w14:textId="77777777" w:rsidR="00FD33D1" w:rsidRPr="0064286B" w:rsidRDefault="00FD33D1" w:rsidP="00D127D1">
            <w:pPr>
              <w:keepNext/>
              <w:jc w:val="right"/>
              <w:rPr>
                <w:sz w:val="20"/>
                <w:szCs w:val="20"/>
              </w:rPr>
            </w:pPr>
            <w:r>
              <w:rPr>
                <w:sz w:val="20"/>
                <w:szCs w:val="20"/>
              </w:rPr>
              <w:t>13.726</w:t>
            </w:r>
          </w:p>
        </w:tc>
      </w:tr>
      <w:tr w:rsidR="00FD33D1" w:rsidRPr="00BE38DF" w14:paraId="65EE4182"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750E9B60" w14:textId="77777777" w:rsidR="00FD33D1" w:rsidRPr="0064286B" w:rsidRDefault="00FD33D1">
            <w:pPr>
              <w:keepNext/>
              <w:rPr>
                <w:sz w:val="20"/>
                <w:szCs w:val="20"/>
              </w:rPr>
            </w:pPr>
            <w:r>
              <w:rPr>
                <w:sz w:val="20"/>
                <w:szCs w:val="20"/>
              </w:rPr>
              <w:t>R‑407C</w:t>
            </w:r>
          </w:p>
        </w:tc>
        <w:tc>
          <w:tcPr>
            <w:tcW w:w="813" w:type="pct"/>
            <w:tcBorders>
              <w:top w:val="outset" w:sz="6" w:space="0" w:color="auto"/>
              <w:left w:val="outset" w:sz="6" w:space="0" w:color="auto"/>
              <w:bottom w:val="outset" w:sz="6" w:space="0" w:color="auto"/>
              <w:right w:val="outset" w:sz="6" w:space="0" w:color="auto"/>
            </w:tcBorders>
            <w:vAlign w:val="center"/>
            <w:hideMark/>
          </w:tcPr>
          <w:p w14:paraId="4C6BB992" w14:textId="77777777" w:rsidR="00FD33D1" w:rsidRPr="0064286B" w:rsidRDefault="00FD33D1" w:rsidP="00FD33D1">
            <w:pPr>
              <w:keepNext/>
              <w:jc w:val="right"/>
              <w:rPr>
                <w:sz w:val="20"/>
                <w:szCs w:val="20"/>
              </w:rPr>
            </w:pPr>
            <w:r>
              <w:rPr>
                <w:sz w:val="20"/>
                <w:szCs w:val="20"/>
              </w:rPr>
              <w:t>1.773,85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BBAEE14" w14:textId="77777777" w:rsidR="00FD33D1" w:rsidRPr="0064286B" w:rsidRDefault="00FD33D1" w:rsidP="00D127D1">
            <w:pPr>
              <w:keepNext/>
              <w:jc w:val="right"/>
              <w:rPr>
                <w:sz w:val="20"/>
                <w:szCs w:val="20"/>
              </w:rPr>
            </w:pPr>
            <w:r>
              <w:rPr>
                <w:sz w:val="20"/>
                <w:szCs w:val="20"/>
              </w:rPr>
              <w:t>1.774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C5F84" w14:textId="77777777" w:rsidR="00FD33D1" w:rsidRPr="0064286B" w:rsidRDefault="00FD33D1" w:rsidP="00D127D1">
            <w:pPr>
              <w:keepNext/>
              <w:jc w:val="right"/>
              <w:rPr>
                <w:sz w:val="20"/>
                <w:szCs w:val="20"/>
              </w:rPr>
            </w:pPr>
            <w:r>
              <w:rPr>
                <w:sz w:val="20"/>
                <w:szCs w:val="20"/>
              </w:rPr>
              <w:t>2.129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91428" w14:textId="77777777" w:rsidR="00FD33D1" w:rsidRPr="0064286B" w:rsidRDefault="00FD33D1" w:rsidP="00D127D1">
            <w:pPr>
              <w:keepNext/>
              <w:jc w:val="right"/>
              <w:rPr>
                <w:sz w:val="20"/>
                <w:szCs w:val="20"/>
              </w:rPr>
            </w:pPr>
            <w:r>
              <w:rPr>
                <w:sz w:val="20"/>
                <w:szCs w:val="20"/>
              </w:rPr>
              <w:t>2.129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72E21" w14:textId="77777777" w:rsidR="00FD33D1" w:rsidRPr="0064286B" w:rsidRDefault="00FD33D1" w:rsidP="00D127D1">
            <w:pPr>
              <w:keepNext/>
              <w:jc w:val="right"/>
              <w:rPr>
                <w:sz w:val="20"/>
                <w:szCs w:val="20"/>
              </w:rPr>
            </w:pPr>
            <w:r>
              <w:rPr>
                <w:sz w:val="20"/>
                <w:szCs w:val="20"/>
              </w:rPr>
              <w:t>2.483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0017B89" w14:textId="77777777" w:rsidR="00FD33D1" w:rsidRPr="0064286B" w:rsidRDefault="00FD33D1" w:rsidP="00D127D1">
            <w:pPr>
              <w:keepNext/>
              <w:jc w:val="right"/>
              <w:rPr>
                <w:sz w:val="20"/>
                <w:szCs w:val="20"/>
              </w:rPr>
            </w:pPr>
            <w:r>
              <w:rPr>
                <w:sz w:val="20"/>
                <w:szCs w:val="20"/>
              </w:rPr>
              <w:t>3.016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CFE8C" w14:textId="77777777" w:rsidR="00FD33D1" w:rsidRPr="0064286B" w:rsidRDefault="00FD33D1" w:rsidP="00D127D1">
            <w:pPr>
              <w:keepNext/>
              <w:jc w:val="right"/>
              <w:rPr>
                <w:sz w:val="20"/>
                <w:szCs w:val="20"/>
              </w:rPr>
            </w:pPr>
            <w:r>
              <w:rPr>
                <w:sz w:val="20"/>
                <w:szCs w:val="20"/>
              </w:rPr>
              <w:t>2.838</w:t>
            </w:r>
          </w:p>
        </w:tc>
      </w:tr>
      <w:tr w:rsidR="00FD33D1" w:rsidRPr="00BE38DF" w14:paraId="4DFB782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005413CA" w14:textId="77777777" w:rsidR="00FD33D1" w:rsidRPr="0064286B" w:rsidRDefault="00FD33D1">
            <w:pPr>
              <w:keepNext/>
              <w:rPr>
                <w:sz w:val="20"/>
                <w:szCs w:val="20"/>
              </w:rPr>
            </w:pPr>
            <w:r>
              <w:rPr>
                <w:sz w:val="20"/>
                <w:szCs w:val="20"/>
              </w:rPr>
              <w:t>R‑410A</w:t>
            </w:r>
          </w:p>
        </w:tc>
        <w:tc>
          <w:tcPr>
            <w:tcW w:w="813" w:type="pct"/>
            <w:tcBorders>
              <w:top w:val="outset" w:sz="6" w:space="0" w:color="auto"/>
              <w:left w:val="outset" w:sz="6" w:space="0" w:color="auto"/>
              <w:bottom w:val="outset" w:sz="6" w:space="0" w:color="auto"/>
              <w:right w:val="outset" w:sz="6" w:space="0" w:color="auto"/>
            </w:tcBorders>
            <w:vAlign w:val="center"/>
            <w:hideMark/>
          </w:tcPr>
          <w:p w14:paraId="3487CDA7" w14:textId="77777777" w:rsidR="00FD33D1" w:rsidRPr="0064286B" w:rsidRDefault="00FD33D1" w:rsidP="00FD33D1">
            <w:pPr>
              <w:keepNext/>
              <w:jc w:val="right"/>
              <w:rPr>
                <w:sz w:val="20"/>
                <w:szCs w:val="20"/>
              </w:rPr>
            </w:pPr>
            <w:r>
              <w:rPr>
                <w:sz w:val="20"/>
                <w:szCs w:val="20"/>
              </w:rPr>
              <w:t>2.087,5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8E94C05" w14:textId="77777777" w:rsidR="00FD33D1" w:rsidRPr="0064286B" w:rsidRDefault="00FD33D1" w:rsidP="00D127D1">
            <w:pPr>
              <w:keepNext/>
              <w:jc w:val="right"/>
              <w:rPr>
                <w:sz w:val="20"/>
                <w:szCs w:val="20"/>
              </w:rPr>
            </w:pPr>
            <w:r>
              <w:rPr>
                <w:sz w:val="20"/>
                <w:szCs w:val="20"/>
              </w:rPr>
              <w:t>5.219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64791" w14:textId="77777777" w:rsidR="00FD33D1" w:rsidRPr="0064286B" w:rsidRDefault="00FD33D1" w:rsidP="00D127D1">
            <w:pPr>
              <w:keepNext/>
              <w:jc w:val="right"/>
              <w:rPr>
                <w:sz w:val="20"/>
                <w:szCs w:val="20"/>
              </w:rPr>
            </w:pPr>
            <w:r>
              <w:rPr>
                <w:sz w:val="20"/>
                <w:szCs w:val="20"/>
              </w:rPr>
              <w:t>10.855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440CC" w14:textId="77777777" w:rsidR="00FD33D1" w:rsidRPr="0064286B" w:rsidRDefault="00FD33D1" w:rsidP="00D127D1">
            <w:pPr>
              <w:keepNext/>
              <w:jc w:val="right"/>
              <w:rPr>
                <w:sz w:val="20"/>
                <w:szCs w:val="20"/>
              </w:rPr>
            </w:pPr>
            <w:r>
              <w:rPr>
                <w:sz w:val="20"/>
                <w:szCs w:val="20"/>
              </w:rPr>
              <w:t>10.438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691A7" w14:textId="77777777" w:rsidR="00FD33D1" w:rsidRPr="0064286B" w:rsidRDefault="00FD33D1" w:rsidP="00D127D1">
            <w:pPr>
              <w:keepNext/>
              <w:jc w:val="right"/>
              <w:rPr>
                <w:sz w:val="20"/>
                <w:szCs w:val="20"/>
              </w:rPr>
            </w:pPr>
            <w:r>
              <w:rPr>
                <w:sz w:val="20"/>
                <w:szCs w:val="20"/>
              </w:rPr>
              <w:t>10.438</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3E6859" w14:textId="77777777" w:rsidR="00FD33D1" w:rsidRPr="0064286B" w:rsidRDefault="00FD33D1" w:rsidP="00D127D1">
            <w:pPr>
              <w:keepNext/>
              <w:jc w:val="right"/>
              <w:rPr>
                <w:sz w:val="20"/>
                <w:szCs w:val="20"/>
              </w:rPr>
            </w:pPr>
            <w:r>
              <w:rPr>
                <w:sz w:val="20"/>
                <w:szCs w:val="20"/>
              </w:rPr>
              <w:t>11.273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5C60B" w14:textId="77777777" w:rsidR="00FD33D1" w:rsidRPr="0064286B" w:rsidRDefault="00FD33D1" w:rsidP="00D127D1">
            <w:pPr>
              <w:keepNext/>
              <w:jc w:val="right"/>
              <w:rPr>
                <w:sz w:val="20"/>
                <w:szCs w:val="20"/>
              </w:rPr>
            </w:pPr>
            <w:r>
              <w:rPr>
                <w:sz w:val="20"/>
                <w:szCs w:val="20"/>
              </w:rPr>
              <w:t>11.899</w:t>
            </w:r>
          </w:p>
        </w:tc>
      </w:tr>
      <w:tr w:rsidR="00FD33D1" w:rsidRPr="00BE38DF" w14:paraId="2460F509" w14:textId="77777777" w:rsidTr="006141A1">
        <w:tc>
          <w:tcPr>
            <w:tcW w:w="1792" w:type="pct"/>
            <w:gridSpan w:val="2"/>
            <w:tcBorders>
              <w:top w:val="outset" w:sz="6" w:space="0" w:color="auto"/>
              <w:left w:val="outset" w:sz="6" w:space="0" w:color="auto"/>
              <w:bottom w:val="outset" w:sz="6" w:space="0" w:color="auto"/>
              <w:right w:val="outset" w:sz="6" w:space="0" w:color="auto"/>
            </w:tcBorders>
            <w:vAlign w:val="center"/>
            <w:hideMark/>
          </w:tcPr>
          <w:p w14:paraId="433E2AA4" w14:textId="77777777" w:rsidR="00FD33D1" w:rsidRPr="00766F51" w:rsidRDefault="00FD33D1">
            <w:pPr>
              <w:keepNext/>
              <w:rPr>
                <w:sz w:val="20"/>
                <w:szCs w:val="20"/>
                <w:lang w:val="es-ES"/>
              </w:rPr>
            </w:pPr>
            <w:r>
              <w:rPr>
                <w:b/>
                <w:bCs/>
                <w:sz w:val="20"/>
                <w:szCs w:val="20"/>
                <w:lang w:val="es-ES"/>
              </w:rPr>
              <w:t>Total (toneladas de CO</w:t>
            </w:r>
            <w:r>
              <w:rPr>
                <w:b/>
                <w:bCs/>
                <w:sz w:val="20"/>
                <w:szCs w:val="20"/>
                <w:vertAlign w:val="subscript"/>
                <w:lang w:val="es-ES"/>
              </w:rPr>
              <w:t>2</w:t>
            </w:r>
            <w:r>
              <w:rPr>
                <w:b/>
                <w:bCs/>
                <w:sz w:val="20"/>
                <w:szCs w:val="20"/>
                <w:lang w:val="es-ES"/>
              </w:rPr>
              <w:t xml:space="preserve"> equivalente)</w:t>
            </w:r>
          </w:p>
        </w:tc>
        <w:tc>
          <w:tcPr>
            <w:tcW w:w="535" w:type="pct"/>
            <w:tcBorders>
              <w:top w:val="outset" w:sz="6" w:space="0" w:color="auto"/>
              <w:left w:val="outset" w:sz="6" w:space="0" w:color="auto"/>
              <w:bottom w:val="outset" w:sz="6" w:space="0" w:color="auto"/>
              <w:right w:val="outset" w:sz="6" w:space="0" w:color="auto"/>
            </w:tcBorders>
            <w:vAlign w:val="center"/>
            <w:hideMark/>
          </w:tcPr>
          <w:p w14:paraId="42F6BCAE" w14:textId="77777777" w:rsidR="00FD33D1" w:rsidRPr="0064286B" w:rsidRDefault="00FD33D1" w:rsidP="00D127D1">
            <w:pPr>
              <w:keepNext/>
              <w:jc w:val="right"/>
              <w:rPr>
                <w:sz w:val="20"/>
                <w:szCs w:val="20"/>
              </w:rPr>
            </w:pPr>
            <w:r>
              <w:rPr>
                <w:b/>
                <w:bCs/>
                <w:sz w:val="20"/>
                <w:szCs w:val="20"/>
              </w:rPr>
              <w:t>17.696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136A8" w14:textId="77777777" w:rsidR="00FD33D1" w:rsidRPr="0064286B" w:rsidRDefault="00FD33D1" w:rsidP="00D127D1">
            <w:pPr>
              <w:keepNext/>
              <w:jc w:val="right"/>
              <w:rPr>
                <w:sz w:val="20"/>
                <w:szCs w:val="20"/>
              </w:rPr>
            </w:pPr>
            <w:r>
              <w:rPr>
                <w:b/>
                <w:bCs/>
                <w:sz w:val="20"/>
                <w:szCs w:val="20"/>
              </w:rPr>
              <w:t>29.038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A7D89" w14:textId="77777777" w:rsidR="00FD33D1" w:rsidRPr="0064286B" w:rsidRDefault="00FD33D1" w:rsidP="00D127D1">
            <w:pPr>
              <w:keepNext/>
              <w:jc w:val="right"/>
              <w:rPr>
                <w:sz w:val="20"/>
                <w:szCs w:val="20"/>
              </w:rPr>
            </w:pPr>
            <w:r>
              <w:rPr>
                <w:b/>
                <w:bCs/>
                <w:sz w:val="20"/>
                <w:szCs w:val="20"/>
              </w:rPr>
              <w:t>28.907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EB494" w14:textId="77777777" w:rsidR="00FD33D1" w:rsidRPr="0064286B" w:rsidRDefault="00FD33D1" w:rsidP="00D127D1">
            <w:pPr>
              <w:keepNext/>
              <w:jc w:val="right"/>
              <w:rPr>
                <w:sz w:val="20"/>
                <w:szCs w:val="20"/>
              </w:rPr>
            </w:pPr>
            <w:r>
              <w:rPr>
                <w:b/>
                <w:bCs/>
                <w:sz w:val="20"/>
                <w:szCs w:val="20"/>
              </w:rPr>
              <w:t>28.976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C627A5D" w14:textId="77777777" w:rsidR="00FD33D1" w:rsidRPr="0064286B" w:rsidRDefault="00FD33D1" w:rsidP="00D127D1">
            <w:pPr>
              <w:keepNext/>
              <w:jc w:val="right"/>
              <w:rPr>
                <w:sz w:val="20"/>
                <w:szCs w:val="20"/>
              </w:rPr>
            </w:pPr>
            <w:r>
              <w:rPr>
                <w:b/>
                <w:bCs/>
                <w:sz w:val="20"/>
                <w:szCs w:val="20"/>
              </w:rPr>
              <w:t>31.985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D3180" w14:textId="77777777" w:rsidR="00FD33D1" w:rsidRPr="0064286B" w:rsidRDefault="00FD33D1" w:rsidP="00D127D1">
            <w:pPr>
              <w:keepNext/>
              <w:jc w:val="right"/>
              <w:rPr>
                <w:sz w:val="20"/>
                <w:szCs w:val="20"/>
              </w:rPr>
            </w:pPr>
            <w:r>
              <w:rPr>
                <w:b/>
                <w:bCs/>
                <w:sz w:val="20"/>
                <w:szCs w:val="20"/>
              </w:rPr>
              <w:t>34.040</w:t>
            </w:r>
          </w:p>
        </w:tc>
      </w:tr>
      <w:tr w:rsidR="00FD33D1" w:rsidRPr="00B50897" w14:paraId="16ECAE15"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3B35B850" w14:textId="77777777" w:rsidR="00FD33D1" w:rsidRPr="00766F51" w:rsidRDefault="00FD33D1">
            <w:pPr>
              <w:keepNext/>
              <w:rPr>
                <w:kern w:val="2"/>
                <w:sz w:val="20"/>
                <w:szCs w:val="20"/>
                <w:lang w:val="es-ES" w:eastAsia="en-CA"/>
                <w14:ligatures w14:val="standardContextual"/>
              </w:rPr>
            </w:pPr>
            <w:r>
              <w:rPr>
                <w:b/>
                <w:bCs/>
                <w:sz w:val="20"/>
                <w:szCs w:val="20"/>
                <w:lang w:val="es-ES"/>
              </w:rPr>
              <w:t>Cálculo del nivel básico de HFC (toneladas de CO</w:t>
            </w:r>
            <w:r>
              <w:rPr>
                <w:b/>
                <w:bCs/>
                <w:sz w:val="20"/>
                <w:szCs w:val="20"/>
                <w:vertAlign w:val="subscript"/>
                <w:lang w:val="es-ES"/>
              </w:rPr>
              <w:t>2</w:t>
            </w:r>
            <w:r>
              <w:rPr>
                <w:b/>
                <w:bCs/>
                <w:sz w:val="20"/>
                <w:szCs w:val="20"/>
                <w:lang w:val="es-ES"/>
              </w:rPr>
              <w:t xml:space="preserve"> equivalente)</w:t>
            </w:r>
          </w:p>
        </w:tc>
      </w:tr>
      <w:tr w:rsidR="00FD33D1" w:rsidRPr="00BE38DF" w14:paraId="098EABE3"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10DF0704" w14:textId="77777777" w:rsidR="00FD33D1" w:rsidRPr="00766F51" w:rsidRDefault="00FD33D1">
            <w:pPr>
              <w:keepNext/>
              <w:rPr>
                <w:sz w:val="20"/>
                <w:szCs w:val="20"/>
                <w:lang w:val="es-ES"/>
              </w:rPr>
            </w:pPr>
            <w:r>
              <w:rPr>
                <w:sz w:val="20"/>
                <w:szCs w:val="20"/>
                <w:lang w:val="es-ES"/>
              </w:rPr>
              <w:t>Consumo medio de HFC en 2020–2022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71CDE72" w14:textId="77777777" w:rsidR="00FD33D1" w:rsidRPr="0064286B" w:rsidRDefault="00FD33D1" w:rsidP="00FD33D1">
            <w:pPr>
              <w:keepNext/>
              <w:jc w:val="right"/>
              <w:rPr>
                <w:sz w:val="20"/>
                <w:szCs w:val="20"/>
              </w:rPr>
            </w:pPr>
            <w:r>
              <w:rPr>
                <w:sz w:val="20"/>
                <w:szCs w:val="20"/>
              </w:rPr>
              <w:t>25.214</w:t>
            </w:r>
          </w:p>
        </w:tc>
      </w:tr>
      <w:tr w:rsidR="00FD33D1" w:rsidRPr="00BE38DF" w14:paraId="5F2A8B1B"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4164C93B" w14:textId="77777777" w:rsidR="00FD33D1" w:rsidRPr="0064286B" w:rsidRDefault="00FD33D1">
            <w:pPr>
              <w:keepNext/>
              <w:rPr>
                <w:sz w:val="20"/>
                <w:szCs w:val="20"/>
              </w:rPr>
            </w:pPr>
            <w:r>
              <w:rPr>
                <w:sz w:val="20"/>
                <w:szCs w:val="20"/>
              </w:rPr>
              <w:t>Nivel básico de HCFC (65 %)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288A4E3" w14:textId="77777777" w:rsidR="00FD33D1" w:rsidRPr="0064286B" w:rsidRDefault="00FD33D1" w:rsidP="00FD33D1">
            <w:pPr>
              <w:keepNext/>
              <w:jc w:val="right"/>
              <w:rPr>
                <w:sz w:val="20"/>
                <w:szCs w:val="20"/>
              </w:rPr>
            </w:pPr>
            <w:r>
              <w:rPr>
                <w:sz w:val="20"/>
                <w:szCs w:val="20"/>
              </w:rPr>
              <w:t>45.825</w:t>
            </w:r>
          </w:p>
        </w:tc>
      </w:tr>
      <w:tr w:rsidR="00FD33D1" w:rsidRPr="00BE38DF" w14:paraId="7D441A3C"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7E276133" w14:textId="77777777" w:rsidR="00FD33D1" w:rsidRPr="0064286B" w:rsidRDefault="00FD33D1">
            <w:pPr>
              <w:rPr>
                <w:sz w:val="20"/>
                <w:szCs w:val="20"/>
              </w:rPr>
            </w:pPr>
            <w:r>
              <w:rPr>
                <w:b/>
                <w:bCs/>
                <w:sz w:val="20"/>
                <w:szCs w:val="20"/>
              </w:rPr>
              <w:t>Nivel básico de HFC</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C8CBED" w14:textId="77777777" w:rsidR="00FD33D1" w:rsidRPr="0064286B" w:rsidRDefault="00FD33D1" w:rsidP="00FD33D1">
            <w:pPr>
              <w:jc w:val="right"/>
              <w:rPr>
                <w:sz w:val="20"/>
                <w:szCs w:val="20"/>
              </w:rPr>
            </w:pPr>
            <w:r>
              <w:rPr>
                <w:sz w:val="20"/>
                <w:szCs w:val="20"/>
              </w:rPr>
              <w:t>71.039</w:t>
            </w:r>
          </w:p>
        </w:tc>
      </w:tr>
    </w:tbl>
    <w:p w14:paraId="28089458" w14:textId="77777777" w:rsidR="003D5200" w:rsidRDefault="003D5200" w:rsidP="007C0965">
      <w:pPr>
        <w:pStyle w:val="Heading1"/>
        <w:widowControl w:val="0"/>
        <w:numPr>
          <w:ilvl w:val="0"/>
          <w:numId w:val="0"/>
        </w:numPr>
        <w:spacing w:after="0"/>
      </w:pPr>
    </w:p>
    <w:p w14:paraId="43D62AB3" w14:textId="2427DAFB" w:rsidR="00CB0432" w:rsidRPr="00766F51" w:rsidRDefault="00CB0432" w:rsidP="00CB0432">
      <w:pPr>
        <w:keepNext/>
        <w:spacing w:before="240" w:after="240"/>
        <w:rPr>
          <w:i/>
          <w:lang w:val="es-ES"/>
        </w:rPr>
      </w:pPr>
      <w:r>
        <w:rPr>
          <w:i/>
          <w:lang w:val="es-ES"/>
        </w:rPr>
        <w:t>Informe de ejecución del programa de país</w:t>
      </w:r>
    </w:p>
    <w:p w14:paraId="39E9AA4E" w14:textId="65C77840" w:rsidR="00AA1B45" w:rsidRPr="00766F51" w:rsidRDefault="00AA1B45" w:rsidP="00AA1B45">
      <w:pPr>
        <w:pStyle w:val="Heading1"/>
        <w:rPr>
          <w:lang w:val="es-ES" w:eastAsia="en-CA"/>
          <w14:ligatures w14:val="standardContextual"/>
        </w:rPr>
      </w:pPr>
      <w:r>
        <w:rPr>
          <w:lang w:val="es-ES"/>
        </w:rPr>
        <w:t>Los datos sobre el consumo sectorial de HFC proporcionados por el Gobierno de Santo Tomé y Príncipe en su informe de ejecución del programa de país para 2025 concuerdan con los datos comunicados en virtud del artículo 7 del Protocolo de Montreal.</w:t>
      </w:r>
    </w:p>
    <w:p w14:paraId="12768A41" w14:textId="77777777" w:rsidR="00CB0432" w:rsidRPr="00BE38DF" w:rsidRDefault="00CB0432" w:rsidP="00CB0432">
      <w:pPr>
        <w:keepNext/>
        <w:spacing w:before="240" w:after="240"/>
        <w:outlineLvl w:val="0"/>
        <w:rPr>
          <w:u w:val="single"/>
        </w:rPr>
      </w:pPr>
      <w:r>
        <w:rPr>
          <w:u w:val="single"/>
        </w:rPr>
        <w:lastRenderedPageBreak/>
        <w:t>Tendencias del consumo de HFC</w:t>
      </w:r>
    </w:p>
    <w:p w14:paraId="5A1E188C" w14:textId="11F38AC6" w:rsidR="007133ED" w:rsidRPr="00766F51" w:rsidRDefault="00E752A1" w:rsidP="007232E9">
      <w:pPr>
        <w:pStyle w:val="Heading1"/>
        <w:rPr>
          <w:lang w:val="es-ES"/>
        </w:rPr>
      </w:pPr>
      <w:r>
        <w:rPr>
          <w:lang w:val="es-ES"/>
        </w:rPr>
        <w:t>El consumo de HFC disminuyó en 2020 debido a la pandemia mundial de COVID‑19, y las importaciones aumentaron en 2021 a medida que se reanudaba la actividad económica. El consumo de HFC ha crecido de forma constante desde 2022, con incrementos del 10 % y del 6 % en 2024 y 2025, respectivamente. Este aumento se debe en parte al crecimiento del turismo: tras una ralentización temporal provocada por la pandemia, el número de visitantes internacionales alcanzó niveles récord en 2024 y 2025. El aumento del número de turistas y la prolongación de las estancias han incrementado la demanda de equipos de refrigeración y aire acondicionado en hoteles, pensiones, restaurantes, supermercados y otras instalaciones turísticas, lo que a su vez ha elevado el consumo de HFC.</w:t>
      </w:r>
    </w:p>
    <w:p w14:paraId="417E592E" w14:textId="54EE6ED1" w:rsidR="00CB0432" w:rsidRPr="00281412" w:rsidRDefault="00CB0432" w:rsidP="00753B95">
      <w:pPr>
        <w:pStyle w:val="Heading1"/>
        <w:keepNext/>
        <w:numPr>
          <w:ilvl w:val="0"/>
          <w:numId w:val="0"/>
        </w:numPr>
        <w:spacing w:before="240"/>
        <w:rPr>
          <w:u w:val="single"/>
        </w:rPr>
      </w:pPr>
      <w:r>
        <w:rPr>
          <w:u w:val="single"/>
        </w:rPr>
        <w:t>Consumo de HFC por sector</w:t>
      </w:r>
    </w:p>
    <w:p w14:paraId="28C8E63A" w14:textId="744899D9" w:rsidR="00AA331C" w:rsidRPr="00766F51" w:rsidRDefault="00AA331C" w:rsidP="00AA331C">
      <w:pPr>
        <w:pStyle w:val="Heading1"/>
        <w:rPr>
          <w:lang w:val="es-ES" w:eastAsia="en-CA"/>
          <w14:ligatures w14:val="standardContextual"/>
        </w:rPr>
      </w:pPr>
      <w:r>
        <w:rPr>
          <w:lang w:val="es-ES"/>
        </w:rPr>
        <w:t>Los HFC se consumen principalmente para el servicio técnico de los sistemas de aire acondicionado (AC) residenciales (38,5 % en toneladas métricas y 33,0 % en toneladas de CO</w:t>
      </w:r>
      <w:r>
        <w:rPr>
          <w:vertAlign w:val="subscript"/>
          <w:lang w:val="es-ES"/>
        </w:rPr>
        <w:t>2</w:t>
      </w:r>
      <w:r>
        <w:rPr>
          <w:lang w:val="es-ES"/>
        </w:rPr>
        <w:t xml:space="preserve"> equivalente), seguidos de la refrigeración comercial (36,4 % en toneladas métricas y 51,5 % en toneladas de CO</w:t>
      </w:r>
      <w:r>
        <w:rPr>
          <w:vertAlign w:val="subscript"/>
          <w:lang w:val="es-ES"/>
        </w:rPr>
        <w:t>2</w:t>
      </w:r>
      <w:r>
        <w:rPr>
          <w:lang w:val="es-ES"/>
        </w:rPr>
        <w:t xml:space="preserve"> equivalente), el aire acondicionado para vehículos (MAC) (18,5 % en toneladas métricas y 10,9 % en toneladas de CO</w:t>
      </w:r>
      <w:r>
        <w:rPr>
          <w:vertAlign w:val="subscript"/>
          <w:lang w:val="es-ES"/>
        </w:rPr>
        <w:t>2</w:t>
      </w:r>
      <w:r>
        <w:rPr>
          <w:lang w:val="es-ES"/>
        </w:rPr>
        <w:t xml:space="preserve"> equivalente), y otros subsectores, tal y como se muestra en los cuadros 7 y 8.</w:t>
      </w:r>
    </w:p>
    <w:p w14:paraId="11BA0584" w14:textId="555BF182" w:rsidR="00AA331C" w:rsidRPr="00766F51" w:rsidRDefault="00AA331C" w:rsidP="00AA331C">
      <w:pPr>
        <w:pStyle w:val="Heading1"/>
        <w:keepNext/>
        <w:numPr>
          <w:ilvl w:val="0"/>
          <w:numId w:val="0"/>
        </w:numPr>
        <w:spacing w:before="240" w:after="0"/>
        <w:rPr>
          <w:kern w:val="36"/>
          <w:lang w:val="es-ES" w:eastAsia="en-CA"/>
          <w14:ligatures w14:val="standardContextual"/>
        </w:rPr>
      </w:pPr>
      <w:r>
        <w:rPr>
          <w:b/>
          <w:bCs/>
          <w:kern w:val="36"/>
          <w:lang w:val="es-ES"/>
        </w:rPr>
        <w:t>Cuadro 7. Consumo de HFC en 2025 en Santo Tomé y Príncipe en los subsectores de servicio técnico (tm)</w:t>
      </w:r>
    </w:p>
    <w:tbl>
      <w:tblPr>
        <w:tblW w:w="5000" w:type="pct"/>
        <w:jc w:val="center"/>
        <w:tblLook w:val="04A0" w:firstRow="1" w:lastRow="0" w:firstColumn="1" w:lastColumn="0" w:noHBand="0" w:noVBand="1"/>
      </w:tblPr>
      <w:tblGrid>
        <w:gridCol w:w="3082"/>
        <w:gridCol w:w="1105"/>
        <w:gridCol w:w="1004"/>
        <w:gridCol w:w="1006"/>
        <w:gridCol w:w="1004"/>
        <w:gridCol w:w="1005"/>
        <w:gridCol w:w="1138"/>
      </w:tblGrid>
      <w:tr w:rsidR="00AA331C" w:rsidRPr="00BE38DF" w14:paraId="1C572206" w14:textId="77777777" w:rsidTr="005B37BA">
        <w:trPr>
          <w:tblHeade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8726036" w14:textId="54E1F928" w:rsidR="00AA331C" w:rsidRPr="00DF29B2" w:rsidRDefault="00E7758E">
            <w:pPr>
              <w:keepNext/>
              <w:rPr>
                <w:kern w:val="2"/>
                <w:sz w:val="20"/>
                <w:szCs w:val="20"/>
                <w:lang w:eastAsia="en-CA"/>
                <w14:ligatures w14:val="standardContextual"/>
              </w:rPr>
            </w:pPr>
            <w:r>
              <w:rPr>
                <w:b/>
                <w:bCs/>
                <w:sz w:val="20"/>
                <w:szCs w:val="20"/>
              </w:rPr>
              <w:t xml:space="preserve">Sector </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E1C77E" w14:textId="6987DFEC" w:rsidR="00AA331C" w:rsidRPr="00DF29B2" w:rsidRDefault="00AA331C" w:rsidP="003E50CA">
            <w:pPr>
              <w:keepNext/>
              <w:jc w:val="center"/>
              <w:rPr>
                <w:sz w:val="20"/>
                <w:szCs w:val="20"/>
              </w:rPr>
            </w:pPr>
            <w:r>
              <w:rPr>
                <w:b/>
                <w:bCs/>
                <w:sz w:val="20"/>
                <w:szCs w:val="20"/>
              </w:rPr>
              <w:t>HFC‑134a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EAEF860" w14:textId="77777777" w:rsidR="00AA331C" w:rsidRPr="00DF29B2" w:rsidRDefault="00AA331C" w:rsidP="003E50CA">
            <w:pPr>
              <w:keepNext/>
              <w:jc w:val="center"/>
              <w:rPr>
                <w:sz w:val="20"/>
                <w:szCs w:val="20"/>
              </w:rPr>
            </w:pPr>
            <w:r>
              <w:rPr>
                <w:b/>
                <w:bCs/>
                <w:sz w:val="20"/>
                <w:szCs w:val="20"/>
              </w:rPr>
              <w:t>R‑404A</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97B5F47" w14:textId="77777777" w:rsidR="00AA331C" w:rsidRPr="00DF29B2" w:rsidRDefault="00AA331C" w:rsidP="003E50CA">
            <w:pPr>
              <w:keepNext/>
              <w:jc w:val="center"/>
              <w:rPr>
                <w:sz w:val="20"/>
                <w:szCs w:val="20"/>
              </w:rPr>
            </w:pPr>
            <w:r>
              <w:rPr>
                <w:b/>
                <w:bCs/>
                <w:sz w:val="20"/>
                <w:szCs w:val="20"/>
              </w:rPr>
              <w:t>R‑407C</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D030FEC" w14:textId="77777777" w:rsidR="00AA331C" w:rsidRPr="00DF29B2" w:rsidRDefault="00AA331C" w:rsidP="003E50CA">
            <w:pPr>
              <w:keepNext/>
              <w:jc w:val="center"/>
              <w:rPr>
                <w:sz w:val="20"/>
                <w:szCs w:val="20"/>
              </w:rPr>
            </w:pPr>
            <w:r>
              <w:rPr>
                <w:b/>
                <w:bCs/>
                <w:sz w:val="20"/>
                <w:szCs w:val="20"/>
              </w:rPr>
              <w:t>R‑410A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9867E37" w14:textId="77777777" w:rsidR="00AA331C" w:rsidRPr="00DF29B2" w:rsidRDefault="00AA331C" w:rsidP="003E50CA">
            <w:pPr>
              <w:keepNext/>
              <w:jc w:val="center"/>
              <w:rPr>
                <w:sz w:val="20"/>
                <w:szCs w:val="20"/>
              </w:rPr>
            </w:pPr>
            <w:r>
              <w:rPr>
                <w:b/>
                <w:bCs/>
                <w:sz w:val="20"/>
                <w:szCs w:val="20"/>
              </w:rPr>
              <w:t>Total</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7A4E7A3" w14:textId="77777777" w:rsidR="00AA331C" w:rsidRPr="00DF29B2" w:rsidRDefault="00AA331C" w:rsidP="003E50CA">
            <w:pPr>
              <w:keepNext/>
              <w:jc w:val="center"/>
              <w:rPr>
                <w:sz w:val="20"/>
                <w:szCs w:val="20"/>
              </w:rPr>
            </w:pPr>
            <w:r>
              <w:rPr>
                <w:b/>
                <w:bCs/>
                <w:sz w:val="20"/>
                <w:szCs w:val="20"/>
              </w:rPr>
              <w:t>Porcentaje del total (%)</w:t>
            </w:r>
          </w:p>
        </w:tc>
      </w:tr>
      <w:tr w:rsidR="00AA331C" w:rsidRPr="00BE38DF" w14:paraId="0E52F67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5C0F06F" w14:textId="77777777" w:rsidR="00AA331C" w:rsidRPr="00DF29B2" w:rsidRDefault="00AA331C">
            <w:pPr>
              <w:keepNext/>
              <w:rPr>
                <w:sz w:val="20"/>
                <w:szCs w:val="20"/>
              </w:rPr>
            </w:pPr>
            <w:r>
              <w:rPr>
                <w:sz w:val="20"/>
                <w:szCs w:val="20"/>
              </w:rPr>
              <w:t>Refrigeración doméstica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5D4AB43" w14:textId="77777777" w:rsidR="00AA331C" w:rsidRPr="00DF29B2" w:rsidRDefault="00AA331C">
            <w:pPr>
              <w:keepNext/>
              <w:jc w:val="right"/>
              <w:rPr>
                <w:sz w:val="20"/>
                <w:szCs w:val="20"/>
              </w:rPr>
            </w:pPr>
            <w:r>
              <w:rPr>
                <w:sz w:val="20"/>
                <w:szCs w:val="20"/>
              </w:rPr>
              <w:t>0,36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ABB1A7C"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6F3C529"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DFA5F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EEFAA90" w14:textId="77777777" w:rsidR="00AA331C" w:rsidRPr="00DF29B2" w:rsidRDefault="00AA331C">
            <w:pPr>
              <w:keepNext/>
              <w:jc w:val="right"/>
              <w:rPr>
                <w:sz w:val="20"/>
                <w:szCs w:val="20"/>
              </w:rPr>
            </w:pPr>
            <w:r>
              <w:rPr>
                <w:sz w:val="20"/>
                <w:szCs w:val="20"/>
              </w:rPr>
              <w:t>0,36</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B6F0D03" w14:textId="1036201F" w:rsidR="00AA331C" w:rsidRPr="00BE38DF" w:rsidRDefault="00AA331C">
            <w:pPr>
              <w:keepNext/>
              <w:jc w:val="right"/>
              <w:rPr>
                <w:sz w:val="20"/>
                <w:szCs w:val="20"/>
              </w:rPr>
            </w:pPr>
            <w:r>
              <w:rPr>
                <w:sz w:val="20"/>
                <w:szCs w:val="20"/>
              </w:rPr>
              <w:t>2,52</w:t>
            </w:r>
          </w:p>
        </w:tc>
      </w:tr>
      <w:tr w:rsidR="00AA331C" w:rsidRPr="00BE38DF" w14:paraId="443F64C0"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FC727C7" w14:textId="77777777" w:rsidR="00AA331C" w:rsidRPr="00DF29B2" w:rsidRDefault="00AA331C">
            <w:pPr>
              <w:keepNext/>
              <w:rPr>
                <w:sz w:val="20"/>
                <w:szCs w:val="20"/>
              </w:rPr>
            </w:pPr>
            <w:r>
              <w:rPr>
                <w:sz w:val="20"/>
                <w:szCs w:val="20"/>
              </w:rPr>
              <w:t>Refrigeración comercial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64DB544" w14:textId="77777777" w:rsidR="00AA331C" w:rsidRPr="00DF29B2" w:rsidRDefault="00AA331C">
            <w:pPr>
              <w:keepNext/>
              <w:jc w:val="right"/>
              <w:rPr>
                <w:sz w:val="20"/>
                <w:szCs w:val="20"/>
              </w:rPr>
            </w:pPr>
            <w:r>
              <w:rPr>
                <w:sz w:val="20"/>
                <w:szCs w:val="20"/>
              </w:rPr>
              <w:t>1,00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E2FBF7A" w14:textId="77777777" w:rsidR="00AA331C" w:rsidRPr="00DF29B2" w:rsidRDefault="00AA331C">
            <w:pPr>
              <w:keepNext/>
              <w:jc w:val="right"/>
              <w:rPr>
                <w:sz w:val="20"/>
                <w:szCs w:val="20"/>
              </w:rPr>
            </w:pPr>
            <w:r>
              <w:rPr>
                <w:sz w:val="20"/>
                <w:szCs w:val="20"/>
              </w:rPr>
              <w:t>4,20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8D199F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C0D639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8B35CAC" w14:textId="77777777" w:rsidR="00AA331C" w:rsidRPr="00DF29B2" w:rsidRDefault="00AA331C">
            <w:pPr>
              <w:keepNext/>
              <w:jc w:val="right"/>
              <w:rPr>
                <w:sz w:val="20"/>
                <w:szCs w:val="20"/>
              </w:rPr>
            </w:pPr>
            <w:r>
              <w:rPr>
                <w:sz w:val="20"/>
                <w:szCs w:val="20"/>
              </w:rPr>
              <w:t>5,20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3F6F5C5" w14:textId="2D74377B" w:rsidR="00AA331C" w:rsidRPr="00BE38DF" w:rsidRDefault="00AA331C">
            <w:pPr>
              <w:keepNext/>
              <w:jc w:val="right"/>
              <w:rPr>
                <w:sz w:val="20"/>
                <w:szCs w:val="20"/>
              </w:rPr>
            </w:pPr>
            <w:r>
              <w:rPr>
                <w:sz w:val="20"/>
                <w:szCs w:val="20"/>
              </w:rPr>
              <w:t>36,41</w:t>
            </w:r>
          </w:p>
        </w:tc>
      </w:tr>
      <w:tr w:rsidR="00AA331C" w:rsidRPr="00BE38DF" w14:paraId="747515F9"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F08FFF4" w14:textId="77777777" w:rsidR="00AA331C" w:rsidRPr="00DF29B2" w:rsidRDefault="00AA331C">
            <w:pPr>
              <w:keepNext/>
              <w:rPr>
                <w:sz w:val="20"/>
                <w:szCs w:val="20"/>
              </w:rPr>
            </w:pPr>
            <w:r>
              <w:rPr>
                <w:sz w:val="20"/>
                <w:szCs w:val="20"/>
              </w:rPr>
              <w:t>Enfriadores</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500431" w14:textId="77777777" w:rsidR="00AA331C" w:rsidRPr="00DF29B2" w:rsidRDefault="00AA331C">
            <w:pPr>
              <w:keepNext/>
              <w:jc w:val="right"/>
              <w:rPr>
                <w:sz w:val="20"/>
                <w:szCs w:val="20"/>
              </w:rPr>
            </w:pPr>
            <w:r>
              <w:rPr>
                <w:sz w:val="20"/>
                <w:szCs w:val="20"/>
              </w:rPr>
              <w:t>0,19</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3BD8964"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94CA701" w14:textId="77777777" w:rsidR="00AA331C" w:rsidRPr="00DF29B2" w:rsidRDefault="00AA331C">
            <w:pPr>
              <w:keepNext/>
              <w:jc w:val="right"/>
              <w:rPr>
                <w:sz w:val="20"/>
                <w:szCs w:val="20"/>
              </w:rPr>
            </w:pPr>
            <w:r>
              <w:rPr>
                <w:sz w:val="20"/>
                <w:szCs w:val="20"/>
              </w:rPr>
              <w:t>0,11</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CAFBDDB"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D137B5D" w14:textId="77777777" w:rsidR="00AA331C" w:rsidRPr="00DF29B2" w:rsidRDefault="00AA331C">
            <w:pPr>
              <w:keepNext/>
              <w:jc w:val="right"/>
              <w:rPr>
                <w:sz w:val="20"/>
                <w:szCs w:val="20"/>
              </w:rPr>
            </w:pPr>
            <w:r>
              <w:rPr>
                <w:sz w:val="20"/>
                <w:szCs w:val="20"/>
              </w:rPr>
              <w:t>0,30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F705B8D" w14:textId="46A72843" w:rsidR="00AA331C" w:rsidRPr="00BE38DF" w:rsidRDefault="00AA331C">
            <w:pPr>
              <w:keepNext/>
              <w:jc w:val="right"/>
              <w:rPr>
                <w:sz w:val="20"/>
                <w:szCs w:val="20"/>
              </w:rPr>
            </w:pPr>
            <w:r>
              <w:rPr>
                <w:sz w:val="20"/>
                <w:szCs w:val="20"/>
              </w:rPr>
              <w:t>2,11</w:t>
            </w:r>
          </w:p>
        </w:tc>
      </w:tr>
      <w:tr w:rsidR="00AA331C" w:rsidRPr="00BE38DF" w14:paraId="787B297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AD8E4EC" w14:textId="77777777" w:rsidR="00AA331C" w:rsidRPr="00DF29B2" w:rsidRDefault="00AA331C">
            <w:pPr>
              <w:keepNext/>
              <w:rPr>
                <w:sz w:val="20"/>
                <w:szCs w:val="20"/>
              </w:rPr>
            </w:pPr>
            <w:r>
              <w:rPr>
                <w:sz w:val="20"/>
                <w:szCs w:val="20"/>
              </w:rPr>
              <w:t>Transporte refrigerado</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D30820" w14:textId="77777777" w:rsidR="00AA331C" w:rsidRPr="00DF29B2" w:rsidRDefault="00AA331C">
            <w:pPr>
              <w:keepNext/>
              <w:jc w:val="right"/>
              <w:rPr>
                <w:sz w:val="20"/>
                <w:szCs w:val="20"/>
              </w:rPr>
            </w:pPr>
            <w:r>
              <w:rPr>
                <w:sz w:val="20"/>
                <w:szCs w:val="20"/>
              </w:rPr>
              <w:t>0,03</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3EB9E06" w14:textId="77777777" w:rsidR="00AA331C" w:rsidRPr="00DF29B2" w:rsidRDefault="00AA331C">
            <w:pPr>
              <w:keepNext/>
              <w:jc w:val="right"/>
              <w:rPr>
                <w:sz w:val="20"/>
                <w:szCs w:val="20"/>
              </w:rPr>
            </w:pPr>
            <w:r>
              <w:rPr>
                <w:sz w:val="20"/>
                <w:szCs w:val="20"/>
              </w:rPr>
              <w:t>0,03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11A2353"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2C9E426"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4233BD" w14:textId="77777777" w:rsidR="00AA331C" w:rsidRPr="00DF29B2" w:rsidRDefault="00AA331C">
            <w:pPr>
              <w:keepNext/>
              <w:jc w:val="right"/>
              <w:rPr>
                <w:sz w:val="20"/>
                <w:szCs w:val="20"/>
              </w:rPr>
            </w:pPr>
            <w:r>
              <w:rPr>
                <w:sz w:val="20"/>
                <w:szCs w:val="20"/>
              </w:rPr>
              <w:t>0,06</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4C79A68" w14:textId="5477148F" w:rsidR="00AA331C" w:rsidRPr="00BE38DF" w:rsidRDefault="00AA331C">
            <w:pPr>
              <w:keepNext/>
              <w:jc w:val="right"/>
              <w:rPr>
                <w:sz w:val="20"/>
                <w:szCs w:val="20"/>
              </w:rPr>
            </w:pPr>
            <w:r>
              <w:rPr>
                <w:sz w:val="20"/>
                <w:szCs w:val="20"/>
              </w:rPr>
              <w:t>0,42</w:t>
            </w:r>
          </w:p>
        </w:tc>
      </w:tr>
      <w:tr w:rsidR="00AA331C" w:rsidRPr="00BE38DF" w14:paraId="32939AD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F3E34D" w14:textId="3BB3A235" w:rsidR="00AA331C" w:rsidRPr="00DF29B2" w:rsidRDefault="00AA331C">
            <w:pPr>
              <w:keepNext/>
              <w:rPr>
                <w:sz w:val="20"/>
                <w:szCs w:val="20"/>
              </w:rPr>
            </w:pPr>
            <w:r>
              <w:rPr>
                <w:sz w:val="20"/>
                <w:szCs w:val="20"/>
              </w:rPr>
              <w:t>Aire acondicionado residencial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263C5AE"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8A393B4"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664506"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C72A87B" w14:textId="77777777" w:rsidR="00AA331C" w:rsidRPr="00DF29B2" w:rsidRDefault="00AA331C">
            <w:pPr>
              <w:keepNext/>
              <w:jc w:val="right"/>
              <w:rPr>
                <w:sz w:val="20"/>
                <w:szCs w:val="20"/>
              </w:rPr>
            </w:pPr>
            <w:r>
              <w:rPr>
                <w:sz w:val="20"/>
                <w:szCs w:val="20"/>
              </w:rPr>
              <w:t>5,49</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B66475" w14:textId="77777777" w:rsidR="00AA331C" w:rsidRPr="00DF29B2" w:rsidRDefault="00AA331C">
            <w:pPr>
              <w:keepNext/>
              <w:jc w:val="right"/>
              <w:rPr>
                <w:sz w:val="20"/>
                <w:szCs w:val="20"/>
              </w:rPr>
            </w:pPr>
            <w:r>
              <w:rPr>
                <w:sz w:val="20"/>
                <w:szCs w:val="20"/>
              </w:rPr>
              <w:t>5,49</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389407" w14:textId="777A6330" w:rsidR="00AA331C" w:rsidRPr="00BE38DF" w:rsidRDefault="00AA331C">
            <w:pPr>
              <w:keepNext/>
              <w:jc w:val="right"/>
              <w:rPr>
                <w:sz w:val="20"/>
                <w:szCs w:val="20"/>
              </w:rPr>
            </w:pPr>
            <w:r>
              <w:rPr>
                <w:sz w:val="20"/>
                <w:szCs w:val="20"/>
              </w:rPr>
              <w:t>38,45</w:t>
            </w:r>
          </w:p>
        </w:tc>
      </w:tr>
      <w:tr w:rsidR="00AA331C" w:rsidRPr="00BE38DF" w14:paraId="4240A347"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3A93E0B" w14:textId="4E04283E" w:rsidR="00AA331C" w:rsidRPr="00DF29B2" w:rsidRDefault="00AA331C">
            <w:pPr>
              <w:keepNext/>
              <w:rPr>
                <w:sz w:val="20"/>
                <w:szCs w:val="20"/>
              </w:rPr>
            </w:pPr>
            <w:r>
              <w:rPr>
                <w:sz w:val="20"/>
                <w:szCs w:val="20"/>
              </w:rPr>
              <w:t>Aire acondicionado comercial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EBE0E73"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C3D458C"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5A1B166" w14:textId="77777777" w:rsidR="00AA331C" w:rsidRPr="00DF29B2" w:rsidRDefault="00AA331C">
            <w:pPr>
              <w:keepNext/>
              <w:jc w:val="right"/>
              <w:rPr>
                <w:sz w:val="20"/>
                <w:szCs w:val="20"/>
              </w:rPr>
            </w:pPr>
            <w:r>
              <w:rPr>
                <w:sz w:val="20"/>
                <w:szCs w:val="20"/>
              </w:rPr>
              <w:t>0,06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71F6FF8" w14:textId="77777777" w:rsidR="00AA331C" w:rsidRPr="00DF29B2" w:rsidRDefault="00AA331C">
            <w:pPr>
              <w:keepNext/>
              <w:jc w:val="right"/>
              <w:rPr>
                <w:sz w:val="20"/>
                <w:szCs w:val="20"/>
              </w:rPr>
            </w:pPr>
            <w:r>
              <w:rPr>
                <w:sz w:val="20"/>
                <w:szCs w:val="20"/>
              </w:rPr>
              <w:t>0,17</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C1755BD" w14:textId="77777777" w:rsidR="00AA331C" w:rsidRPr="00DF29B2" w:rsidRDefault="00AA331C">
            <w:pPr>
              <w:keepNext/>
              <w:jc w:val="right"/>
              <w:rPr>
                <w:sz w:val="20"/>
                <w:szCs w:val="20"/>
              </w:rPr>
            </w:pPr>
            <w:r>
              <w:rPr>
                <w:sz w:val="20"/>
                <w:szCs w:val="20"/>
              </w:rPr>
              <w:t>0,23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40E291" w14:textId="76747E65" w:rsidR="00AA331C" w:rsidRPr="00BE38DF" w:rsidRDefault="00AA331C">
            <w:pPr>
              <w:keepNext/>
              <w:jc w:val="right"/>
              <w:rPr>
                <w:sz w:val="20"/>
                <w:szCs w:val="20"/>
              </w:rPr>
            </w:pPr>
            <w:r>
              <w:rPr>
                <w:sz w:val="20"/>
                <w:szCs w:val="20"/>
              </w:rPr>
              <w:t>1,61</w:t>
            </w:r>
          </w:p>
        </w:tc>
      </w:tr>
      <w:tr w:rsidR="00AA331C" w:rsidRPr="00BE38DF" w14:paraId="0D6D3FEB"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4C4A306" w14:textId="20834F83" w:rsidR="00AA331C" w:rsidRPr="00DF29B2" w:rsidRDefault="00AA331C">
            <w:pPr>
              <w:keepNext/>
              <w:rPr>
                <w:sz w:val="20"/>
                <w:szCs w:val="20"/>
              </w:rPr>
            </w:pPr>
            <w:r>
              <w:rPr>
                <w:sz w:val="20"/>
                <w:szCs w:val="20"/>
              </w:rPr>
              <w:t>Aire acondicionado para vehículos</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AEFAEA" w14:textId="77777777" w:rsidR="00AA331C" w:rsidRPr="00DF29B2" w:rsidRDefault="00AA331C">
            <w:pPr>
              <w:keepNext/>
              <w:jc w:val="right"/>
              <w:rPr>
                <w:sz w:val="20"/>
                <w:szCs w:val="20"/>
              </w:rPr>
            </w:pPr>
            <w:r>
              <w:rPr>
                <w:sz w:val="20"/>
                <w:szCs w:val="20"/>
              </w:rPr>
              <w:t>2,64</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DCC5C3"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9BB31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933413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E5ABBF7" w14:textId="77777777" w:rsidR="00AA331C" w:rsidRPr="00DF29B2" w:rsidRDefault="00AA331C">
            <w:pPr>
              <w:keepNext/>
              <w:jc w:val="right"/>
              <w:rPr>
                <w:sz w:val="20"/>
                <w:szCs w:val="20"/>
              </w:rPr>
            </w:pPr>
            <w:r>
              <w:rPr>
                <w:sz w:val="20"/>
                <w:szCs w:val="20"/>
              </w:rPr>
              <w:t>2,64</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9E9E7C5" w14:textId="1C34B360" w:rsidR="00AA331C" w:rsidRPr="00BE38DF" w:rsidRDefault="00AA331C">
            <w:pPr>
              <w:keepNext/>
              <w:jc w:val="right"/>
              <w:rPr>
                <w:sz w:val="20"/>
                <w:szCs w:val="20"/>
              </w:rPr>
            </w:pPr>
            <w:r>
              <w:rPr>
                <w:sz w:val="20"/>
                <w:szCs w:val="20"/>
              </w:rPr>
              <w:t>18,48</w:t>
            </w:r>
          </w:p>
        </w:tc>
      </w:tr>
      <w:tr w:rsidR="00AA331C" w:rsidRPr="00BE38DF" w14:paraId="39EB8402"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339DB8F" w14:textId="77777777" w:rsidR="00AA331C" w:rsidRPr="00DF29B2" w:rsidRDefault="00AA331C">
            <w:pPr>
              <w:rPr>
                <w:sz w:val="20"/>
                <w:szCs w:val="20"/>
              </w:rPr>
            </w:pPr>
            <w:r>
              <w:rPr>
                <w:b/>
                <w:bCs/>
                <w:sz w:val="20"/>
                <w:szCs w:val="20"/>
              </w:rPr>
              <w:t>Total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A8D7D6" w14:textId="77777777" w:rsidR="00AA331C" w:rsidRPr="00DF29B2" w:rsidRDefault="00AA331C">
            <w:pPr>
              <w:jc w:val="right"/>
              <w:rPr>
                <w:sz w:val="20"/>
                <w:szCs w:val="20"/>
              </w:rPr>
            </w:pPr>
            <w:r>
              <w:rPr>
                <w:b/>
                <w:bCs/>
                <w:sz w:val="20"/>
                <w:szCs w:val="20"/>
              </w:rPr>
              <w:t>4,22</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16D133E" w14:textId="77777777" w:rsidR="00AA331C" w:rsidRPr="00DF29B2" w:rsidRDefault="00AA331C">
            <w:pPr>
              <w:jc w:val="right"/>
              <w:rPr>
                <w:sz w:val="20"/>
                <w:szCs w:val="20"/>
              </w:rPr>
            </w:pPr>
            <w:r>
              <w:rPr>
                <w:b/>
                <w:bCs/>
                <w:sz w:val="20"/>
                <w:szCs w:val="20"/>
              </w:rPr>
              <w:t>4,23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881DF2" w14:textId="77777777" w:rsidR="00AA331C" w:rsidRPr="00DF29B2" w:rsidRDefault="00AA331C">
            <w:pPr>
              <w:jc w:val="right"/>
              <w:rPr>
                <w:sz w:val="20"/>
                <w:szCs w:val="20"/>
              </w:rPr>
            </w:pPr>
            <w:r>
              <w:rPr>
                <w:b/>
                <w:bCs/>
                <w:sz w:val="20"/>
                <w:szCs w:val="20"/>
              </w:rPr>
              <w:t>0,17</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0F1A062" w14:textId="77777777" w:rsidR="00AA331C" w:rsidRPr="00DF29B2" w:rsidRDefault="00AA331C">
            <w:pPr>
              <w:jc w:val="right"/>
              <w:rPr>
                <w:sz w:val="20"/>
                <w:szCs w:val="20"/>
              </w:rPr>
            </w:pPr>
            <w:r>
              <w:rPr>
                <w:b/>
                <w:bCs/>
                <w:sz w:val="20"/>
                <w:szCs w:val="20"/>
              </w:rPr>
              <w:t>5,66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0A2B6C8" w14:textId="1EBD0EF9" w:rsidR="00AA331C" w:rsidRPr="00DF29B2" w:rsidRDefault="008659C4">
            <w:pPr>
              <w:jc w:val="right"/>
              <w:rPr>
                <w:sz w:val="20"/>
                <w:szCs w:val="20"/>
              </w:rPr>
            </w:pPr>
            <w:r>
              <w:rPr>
                <w:b/>
                <w:bCs/>
                <w:noProof/>
                <w:sz w:val="20"/>
                <w:szCs w:val="20"/>
              </w:rPr>
              <w:t>14,28</w:t>
            </w:r>
            <w:r>
              <w:rPr>
                <w:b/>
                <w:bCs/>
                <w:sz w:val="20"/>
                <w:szCs w:val="20"/>
              </w:rPr>
              <w:t>*</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4ACEC6" w14:textId="77777777" w:rsidR="00AA331C" w:rsidRPr="00BE38DF" w:rsidRDefault="00AA331C">
            <w:pPr>
              <w:jc w:val="right"/>
              <w:rPr>
                <w:sz w:val="20"/>
                <w:szCs w:val="20"/>
              </w:rPr>
            </w:pPr>
            <w:r>
              <w:rPr>
                <w:b/>
                <w:bCs/>
                <w:sz w:val="20"/>
                <w:szCs w:val="20"/>
              </w:rPr>
              <w:t>100</w:t>
            </w:r>
          </w:p>
        </w:tc>
      </w:tr>
    </w:tbl>
    <w:p w14:paraId="1B340C55" w14:textId="482D6394" w:rsidR="00AA331C" w:rsidRPr="00766F51" w:rsidRDefault="00AA331C" w:rsidP="00AA331C">
      <w:pPr>
        <w:pStyle w:val="Heading1"/>
        <w:keepNext/>
        <w:numPr>
          <w:ilvl w:val="0"/>
          <w:numId w:val="0"/>
        </w:numPr>
        <w:spacing w:before="240" w:after="0"/>
        <w:rPr>
          <w:kern w:val="36"/>
          <w:lang w:val="es-ES" w:eastAsia="en-CA"/>
          <w14:ligatures w14:val="standardContextual"/>
        </w:rPr>
      </w:pPr>
      <w:r>
        <w:rPr>
          <w:b/>
          <w:bCs/>
          <w:kern w:val="36"/>
          <w:lang w:val="es-ES"/>
        </w:rPr>
        <w:t>Cuadro 8. Consumo de HFC en 2025 en Santo Tomé y Príncipe en los subsectores de servicio técnico (toneladas de CO</w:t>
      </w:r>
      <w:r>
        <w:rPr>
          <w:b/>
          <w:bCs/>
          <w:kern w:val="36"/>
          <w:vertAlign w:val="subscript"/>
          <w:lang w:val="es-ES"/>
        </w:rPr>
        <w:t>2</w:t>
      </w:r>
      <w:r>
        <w:rPr>
          <w:b/>
          <w:bCs/>
          <w:kern w:val="36"/>
          <w:lang w:val="es-ES"/>
        </w:rPr>
        <w:t xml:space="preserve"> equivalente)</w:t>
      </w:r>
    </w:p>
    <w:tbl>
      <w:tblPr>
        <w:tblW w:w="5000" w:type="pct"/>
        <w:jc w:val="center"/>
        <w:tblLook w:val="04A0" w:firstRow="1" w:lastRow="0" w:firstColumn="1" w:lastColumn="0" w:noHBand="0" w:noVBand="1"/>
      </w:tblPr>
      <w:tblGrid>
        <w:gridCol w:w="3083"/>
        <w:gridCol w:w="1105"/>
        <w:gridCol w:w="1003"/>
        <w:gridCol w:w="1003"/>
        <w:gridCol w:w="1006"/>
        <w:gridCol w:w="1006"/>
        <w:gridCol w:w="1138"/>
      </w:tblGrid>
      <w:tr w:rsidR="00AA331C" w:rsidRPr="00BE38DF" w14:paraId="43F4D2A3" w14:textId="77777777" w:rsidTr="005B37BA">
        <w:trPr>
          <w:tblHeade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6C9D6EC" w14:textId="3F217FA5" w:rsidR="00AA331C" w:rsidRPr="00DF29B2" w:rsidRDefault="00E7758E">
            <w:pPr>
              <w:keepNext/>
              <w:rPr>
                <w:kern w:val="2"/>
                <w:sz w:val="20"/>
                <w:szCs w:val="20"/>
                <w:lang w:eastAsia="en-CA"/>
                <w14:ligatures w14:val="standardContextual"/>
              </w:rPr>
            </w:pPr>
            <w:r>
              <w:rPr>
                <w:b/>
                <w:bCs/>
                <w:sz w:val="20"/>
                <w:szCs w:val="20"/>
              </w:rPr>
              <w:t>Sector</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846DE7E" w14:textId="4F128581" w:rsidR="00AA331C" w:rsidRPr="00DF29B2" w:rsidRDefault="00AA331C" w:rsidP="003E50CA">
            <w:pPr>
              <w:keepNext/>
              <w:jc w:val="center"/>
              <w:rPr>
                <w:sz w:val="20"/>
                <w:szCs w:val="20"/>
              </w:rPr>
            </w:pPr>
            <w:r>
              <w:rPr>
                <w:b/>
                <w:bCs/>
                <w:sz w:val="20"/>
                <w:szCs w:val="20"/>
              </w:rPr>
              <w:t>HFC‑134a</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1D281E8" w14:textId="77777777" w:rsidR="00AA331C" w:rsidRPr="00DF29B2" w:rsidRDefault="00AA331C" w:rsidP="003E50CA">
            <w:pPr>
              <w:keepNext/>
              <w:jc w:val="center"/>
              <w:rPr>
                <w:sz w:val="20"/>
                <w:szCs w:val="20"/>
              </w:rPr>
            </w:pPr>
            <w:r>
              <w:rPr>
                <w:b/>
                <w:bCs/>
                <w:sz w:val="20"/>
                <w:szCs w:val="20"/>
              </w:rPr>
              <w:t>R‑404A</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3CE7E1F" w14:textId="77777777" w:rsidR="00AA331C" w:rsidRPr="00DF29B2" w:rsidRDefault="00AA331C" w:rsidP="003E50CA">
            <w:pPr>
              <w:keepNext/>
              <w:jc w:val="center"/>
              <w:rPr>
                <w:sz w:val="20"/>
                <w:szCs w:val="20"/>
              </w:rPr>
            </w:pPr>
            <w:r>
              <w:rPr>
                <w:b/>
                <w:bCs/>
                <w:sz w:val="20"/>
                <w:szCs w:val="20"/>
              </w:rPr>
              <w:t>R‑407C</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3C920C2" w14:textId="77777777" w:rsidR="00AA331C" w:rsidRPr="00DF29B2" w:rsidRDefault="00AA331C" w:rsidP="003E50CA">
            <w:pPr>
              <w:keepNext/>
              <w:jc w:val="center"/>
              <w:rPr>
                <w:sz w:val="20"/>
                <w:szCs w:val="20"/>
              </w:rPr>
            </w:pPr>
            <w:r>
              <w:rPr>
                <w:b/>
                <w:bCs/>
                <w:sz w:val="20"/>
                <w:szCs w:val="20"/>
              </w:rPr>
              <w:t>R‑410A</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FAA6D8" w14:textId="77777777" w:rsidR="00AA331C" w:rsidRPr="00DF29B2" w:rsidRDefault="00AA331C" w:rsidP="003E50CA">
            <w:pPr>
              <w:keepNext/>
              <w:jc w:val="center"/>
              <w:rPr>
                <w:sz w:val="20"/>
                <w:szCs w:val="20"/>
              </w:rPr>
            </w:pPr>
            <w:r>
              <w:rPr>
                <w:b/>
                <w:bCs/>
                <w:sz w:val="20"/>
                <w:szCs w:val="20"/>
              </w:rPr>
              <w:t>Total</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BDF6363" w14:textId="77777777" w:rsidR="00AA331C" w:rsidRPr="00DF29B2" w:rsidRDefault="00AA331C" w:rsidP="003E50CA">
            <w:pPr>
              <w:keepNext/>
              <w:jc w:val="center"/>
              <w:rPr>
                <w:sz w:val="20"/>
                <w:szCs w:val="20"/>
              </w:rPr>
            </w:pPr>
            <w:r>
              <w:rPr>
                <w:b/>
                <w:bCs/>
                <w:sz w:val="20"/>
                <w:szCs w:val="20"/>
              </w:rPr>
              <w:t>Porcentaje del total (%)</w:t>
            </w:r>
          </w:p>
        </w:tc>
      </w:tr>
      <w:tr w:rsidR="00AA331C" w:rsidRPr="00BE38DF" w14:paraId="338C9BB6"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24192DB" w14:textId="77777777" w:rsidR="00AA331C" w:rsidRPr="00DF29B2" w:rsidRDefault="00AA331C">
            <w:pPr>
              <w:keepNext/>
              <w:rPr>
                <w:sz w:val="20"/>
                <w:szCs w:val="20"/>
              </w:rPr>
            </w:pPr>
            <w:r>
              <w:rPr>
                <w:sz w:val="20"/>
                <w:szCs w:val="20"/>
              </w:rPr>
              <w:t>Refrigeración doméstica</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8AB94A7" w14:textId="77777777" w:rsidR="00AA331C" w:rsidRPr="00DF29B2" w:rsidRDefault="00AA331C">
            <w:pPr>
              <w:keepNext/>
              <w:jc w:val="right"/>
              <w:rPr>
                <w:sz w:val="20"/>
                <w:szCs w:val="20"/>
              </w:rPr>
            </w:pPr>
            <w:r>
              <w:rPr>
                <w:sz w:val="20"/>
                <w:szCs w:val="20"/>
              </w:rPr>
              <w:t>515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972B43D"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07985BE"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10C8DFD"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9AFCCB9" w14:textId="77777777" w:rsidR="00AA331C" w:rsidRPr="00DF29B2" w:rsidRDefault="00AA331C">
            <w:pPr>
              <w:keepNext/>
              <w:jc w:val="right"/>
              <w:rPr>
                <w:sz w:val="20"/>
                <w:szCs w:val="20"/>
              </w:rPr>
            </w:pPr>
            <w:r>
              <w:rPr>
                <w:sz w:val="20"/>
                <w:szCs w:val="20"/>
              </w:rPr>
              <w:t>515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84D9652" w14:textId="4D84705B" w:rsidR="00AA331C" w:rsidRPr="00DF29B2" w:rsidRDefault="00AA331C">
            <w:pPr>
              <w:keepNext/>
              <w:jc w:val="right"/>
              <w:rPr>
                <w:sz w:val="20"/>
                <w:szCs w:val="20"/>
              </w:rPr>
            </w:pPr>
            <w:r>
              <w:rPr>
                <w:sz w:val="20"/>
                <w:szCs w:val="20"/>
              </w:rPr>
              <w:t>1,48</w:t>
            </w:r>
          </w:p>
        </w:tc>
      </w:tr>
      <w:tr w:rsidR="00AA331C" w:rsidRPr="00BE38DF" w14:paraId="2D2A58A7"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43E5961" w14:textId="77777777" w:rsidR="00AA331C" w:rsidRPr="00DF29B2" w:rsidRDefault="00AA331C">
            <w:pPr>
              <w:keepNext/>
              <w:rPr>
                <w:sz w:val="20"/>
                <w:szCs w:val="20"/>
              </w:rPr>
            </w:pPr>
            <w:r>
              <w:rPr>
                <w:sz w:val="20"/>
                <w:szCs w:val="20"/>
              </w:rPr>
              <w:t>Refrigeración comercial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6F7A3EC" w14:textId="77777777" w:rsidR="00AA331C" w:rsidRPr="00DF29B2" w:rsidRDefault="00AA331C">
            <w:pPr>
              <w:keepNext/>
              <w:jc w:val="right"/>
              <w:rPr>
                <w:sz w:val="20"/>
                <w:szCs w:val="20"/>
              </w:rPr>
            </w:pPr>
            <w:r>
              <w:rPr>
                <w:sz w:val="20"/>
                <w:szCs w:val="20"/>
              </w:rPr>
              <w:t>1.430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5586BB9" w14:textId="77777777" w:rsidR="00AA331C" w:rsidRPr="00DF29B2" w:rsidRDefault="00AA331C">
            <w:pPr>
              <w:keepNext/>
              <w:jc w:val="right"/>
              <w:rPr>
                <w:sz w:val="20"/>
                <w:szCs w:val="20"/>
              </w:rPr>
            </w:pPr>
            <w:r>
              <w:rPr>
                <w:sz w:val="20"/>
                <w:szCs w:val="20"/>
              </w:rPr>
              <w:t>16.471</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C2993FD"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21F2D72"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1F54C4" w14:textId="77777777" w:rsidR="00AA331C" w:rsidRPr="00DF29B2" w:rsidRDefault="00AA331C">
            <w:pPr>
              <w:keepNext/>
              <w:jc w:val="right"/>
              <w:rPr>
                <w:sz w:val="20"/>
                <w:szCs w:val="20"/>
              </w:rPr>
            </w:pPr>
            <w:r>
              <w:rPr>
                <w:sz w:val="20"/>
                <w:szCs w:val="20"/>
              </w:rPr>
              <w:t>17.901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A03C1AF" w14:textId="316D795E" w:rsidR="00AA331C" w:rsidRPr="00DF29B2" w:rsidRDefault="00AA331C">
            <w:pPr>
              <w:keepNext/>
              <w:jc w:val="right"/>
              <w:rPr>
                <w:sz w:val="20"/>
                <w:szCs w:val="20"/>
              </w:rPr>
            </w:pPr>
            <w:r>
              <w:rPr>
                <w:sz w:val="20"/>
                <w:szCs w:val="20"/>
              </w:rPr>
              <w:t>51,53</w:t>
            </w:r>
          </w:p>
        </w:tc>
      </w:tr>
      <w:tr w:rsidR="00AA331C" w:rsidRPr="00BE38DF" w14:paraId="3E11D818"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C97BEBB" w14:textId="77777777" w:rsidR="00AA331C" w:rsidRPr="00DF29B2" w:rsidRDefault="00AA331C">
            <w:pPr>
              <w:keepNext/>
              <w:rPr>
                <w:sz w:val="20"/>
                <w:szCs w:val="20"/>
              </w:rPr>
            </w:pPr>
            <w:r>
              <w:rPr>
                <w:sz w:val="20"/>
                <w:szCs w:val="20"/>
              </w:rPr>
              <w:t>Enfriadores</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47CF162" w14:textId="77777777" w:rsidR="00AA331C" w:rsidRPr="00DF29B2" w:rsidRDefault="00AA331C">
            <w:pPr>
              <w:keepNext/>
              <w:jc w:val="right"/>
              <w:rPr>
                <w:sz w:val="20"/>
                <w:szCs w:val="20"/>
              </w:rPr>
            </w:pPr>
            <w:r>
              <w:rPr>
                <w:sz w:val="20"/>
                <w:szCs w:val="20"/>
              </w:rPr>
              <w:t>272</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8453A8E"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2E44077" w14:textId="77777777" w:rsidR="00AA331C" w:rsidRPr="00DF29B2" w:rsidRDefault="00AA331C">
            <w:pPr>
              <w:keepNext/>
              <w:jc w:val="right"/>
              <w:rPr>
                <w:sz w:val="20"/>
                <w:szCs w:val="20"/>
              </w:rPr>
            </w:pPr>
            <w:r>
              <w:rPr>
                <w:sz w:val="20"/>
                <w:szCs w:val="20"/>
              </w:rPr>
              <w:t>195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989D7D7"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2A3F4E" w14:textId="77777777" w:rsidR="00AA331C" w:rsidRPr="00DF29B2" w:rsidRDefault="00AA331C">
            <w:pPr>
              <w:keepNext/>
              <w:jc w:val="right"/>
              <w:rPr>
                <w:sz w:val="20"/>
                <w:szCs w:val="20"/>
              </w:rPr>
            </w:pPr>
            <w:r>
              <w:rPr>
                <w:sz w:val="20"/>
                <w:szCs w:val="20"/>
              </w:rPr>
              <w:t>467</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CB51E7" w14:textId="5662C609" w:rsidR="00AA331C" w:rsidRPr="00DF29B2" w:rsidRDefault="00AA331C">
            <w:pPr>
              <w:keepNext/>
              <w:jc w:val="right"/>
              <w:rPr>
                <w:sz w:val="20"/>
                <w:szCs w:val="20"/>
              </w:rPr>
            </w:pPr>
            <w:r>
              <w:rPr>
                <w:sz w:val="20"/>
                <w:szCs w:val="20"/>
              </w:rPr>
              <w:t>1,34</w:t>
            </w:r>
          </w:p>
        </w:tc>
      </w:tr>
      <w:tr w:rsidR="00AA331C" w:rsidRPr="00BE38DF" w14:paraId="0A5AC62D"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9BEE01" w14:textId="77777777" w:rsidR="00AA331C" w:rsidRPr="00DF29B2" w:rsidRDefault="00AA331C">
            <w:pPr>
              <w:keepNext/>
              <w:rPr>
                <w:sz w:val="20"/>
                <w:szCs w:val="20"/>
              </w:rPr>
            </w:pPr>
            <w:r>
              <w:rPr>
                <w:sz w:val="20"/>
                <w:szCs w:val="20"/>
              </w:rPr>
              <w:t>Transporte refrigerado</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2067BAB" w14:textId="77777777" w:rsidR="00AA331C" w:rsidRPr="00DF29B2" w:rsidRDefault="00AA331C">
            <w:pPr>
              <w:keepNext/>
              <w:jc w:val="right"/>
              <w:rPr>
                <w:sz w:val="20"/>
                <w:szCs w:val="20"/>
              </w:rPr>
            </w:pPr>
            <w:r>
              <w:rPr>
                <w:sz w:val="20"/>
                <w:szCs w:val="20"/>
              </w:rPr>
              <w:t>43</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C3511E" w14:textId="77777777" w:rsidR="00AA331C" w:rsidRPr="00DF29B2" w:rsidRDefault="00AA331C">
            <w:pPr>
              <w:keepNext/>
              <w:jc w:val="right"/>
              <w:rPr>
                <w:sz w:val="20"/>
                <w:szCs w:val="20"/>
              </w:rPr>
            </w:pPr>
            <w:r>
              <w:rPr>
                <w:sz w:val="20"/>
                <w:szCs w:val="20"/>
              </w:rPr>
              <w:t>118</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90BF1CC"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A47E95C"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3D06ED9" w14:textId="77777777" w:rsidR="00AA331C" w:rsidRPr="00DF29B2" w:rsidRDefault="00AA331C">
            <w:pPr>
              <w:keepNext/>
              <w:jc w:val="right"/>
              <w:rPr>
                <w:sz w:val="20"/>
                <w:szCs w:val="20"/>
              </w:rPr>
            </w:pPr>
            <w:r>
              <w:rPr>
                <w:sz w:val="20"/>
                <w:szCs w:val="20"/>
              </w:rPr>
              <w:t>161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E396169" w14:textId="0510FAA4" w:rsidR="00AA331C" w:rsidRPr="00DF29B2" w:rsidRDefault="00AA331C">
            <w:pPr>
              <w:keepNext/>
              <w:jc w:val="right"/>
              <w:rPr>
                <w:sz w:val="20"/>
                <w:szCs w:val="20"/>
              </w:rPr>
            </w:pPr>
            <w:r>
              <w:rPr>
                <w:sz w:val="20"/>
                <w:szCs w:val="20"/>
              </w:rPr>
              <w:t>0,46</w:t>
            </w:r>
          </w:p>
        </w:tc>
      </w:tr>
      <w:tr w:rsidR="00AA331C" w:rsidRPr="00BE38DF" w14:paraId="49F513B2"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7715555" w14:textId="4631613A" w:rsidR="00AA331C" w:rsidRPr="00DF29B2" w:rsidRDefault="00AA331C">
            <w:pPr>
              <w:keepNext/>
              <w:rPr>
                <w:sz w:val="20"/>
                <w:szCs w:val="20"/>
              </w:rPr>
            </w:pPr>
            <w:r>
              <w:rPr>
                <w:sz w:val="20"/>
                <w:szCs w:val="20"/>
              </w:rPr>
              <w:t>Aire acondicionado residencial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1E3856E"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082A7DA"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F6E1656"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D5BA74E" w14:textId="6C38B74B" w:rsidR="00AA331C" w:rsidRPr="00DF29B2" w:rsidRDefault="00AA331C">
            <w:pPr>
              <w:keepNext/>
              <w:jc w:val="right"/>
              <w:rPr>
                <w:sz w:val="20"/>
                <w:szCs w:val="20"/>
              </w:rPr>
            </w:pPr>
            <w:r>
              <w:rPr>
                <w:sz w:val="20"/>
                <w:szCs w:val="20"/>
              </w:rPr>
              <w:t>11.460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2E13F2" w14:textId="6BFECC8F" w:rsidR="00AA331C" w:rsidRPr="00DF29B2" w:rsidRDefault="00AA331C">
            <w:pPr>
              <w:keepNext/>
              <w:jc w:val="right"/>
              <w:rPr>
                <w:sz w:val="20"/>
                <w:szCs w:val="20"/>
              </w:rPr>
            </w:pPr>
            <w:r>
              <w:rPr>
                <w:sz w:val="20"/>
                <w:szCs w:val="20"/>
              </w:rPr>
              <w:t>11.460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2BFFA5F" w14:textId="4F600DCD" w:rsidR="00AA331C" w:rsidRPr="00DF29B2" w:rsidRDefault="00AA331C">
            <w:pPr>
              <w:keepNext/>
              <w:jc w:val="right"/>
              <w:rPr>
                <w:sz w:val="20"/>
                <w:szCs w:val="20"/>
              </w:rPr>
            </w:pPr>
            <w:r>
              <w:rPr>
                <w:sz w:val="20"/>
                <w:szCs w:val="20"/>
              </w:rPr>
              <w:t>32,99</w:t>
            </w:r>
          </w:p>
        </w:tc>
      </w:tr>
      <w:tr w:rsidR="00AA331C" w:rsidRPr="00BE38DF" w14:paraId="24225F6D"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A017B97" w14:textId="76755CD7" w:rsidR="00AA331C" w:rsidRPr="00DF29B2" w:rsidRDefault="00AA331C">
            <w:pPr>
              <w:keepNext/>
              <w:jc w:val="left"/>
              <w:rPr>
                <w:sz w:val="20"/>
                <w:szCs w:val="20"/>
              </w:rPr>
            </w:pPr>
            <w:r>
              <w:rPr>
                <w:sz w:val="20"/>
                <w:szCs w:val="20"/>
              </w:rPr>
              <w:t>Aire acondicionado comercial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EF273A"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2C0879B"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F1F0D3D" w14:textId="77777777" w:rsidR="00AA331C" w:rsidRPr="00DF29B2" w:rsidRDefault="00AA331C">
            <w:pPr>
              <w:keepNext/>
              <w:jc w:val="right"/>
              <w:rPr>
                <w:sz w:val="20"/>
                <w:szCs w:val="20"/>
              </w:rPr>
            </w:pPr>
            <w:r>
              <w:rPr>
                <w:sz w:val="20"/>
                <w:szCs w:val="20"/>
              </w:rPr>
              <w:t>106</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54BC563" w14:textId="77777777" w:rsidR="00AA331C" w:rsidRPr="00DF29B2" w:rsidRDefault="00AA331C">
            <w:pPr>
              <w:keepNext/>
              <w:jc w:val="right"/>
              <w:rPr>
                <w:sz w:val="20"/>
                <w:szCs w:val="20"/>
              </w:rPr>
            </w:pPr>
            <w:r>
              <w:rPr>
                <w:sz w:val="20"/>
                <w:szCs w:val="20"/>
              </w:rPr>
              <w:t>355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E033EB" w14:textId="77777777" w:rsidR="00AA331C" w:rsidRPr="00DF29B2" w:rsidRDefault="00AA331C">
            <w:pPr>
              <w:keepNext/>
              <w:jc w:val="right"/>
              <w:rPr>
                <w:sz w:val="20"/>
                <w:szCs w:val="20"/>
              </w:rPr>
            </w:pPr>
            <w:r>
              <w:rPr>
                <w:sz w:val="20"/>
                <w:szCs w:val="20"/>
              </w:rPr>
              <w:t>461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23486C1" w14:textId="38DD458B" w:rsidR="00AA331C" w:rsidRPr="00DF29B2" w:rsidRDefault="00AA331C">
            <w:pPr>
              <w:keepNext/>
              <w:jc w:val="right"/>
              <w:rPr>
                <w:sz w:val="20"/>
                <w:szCs w:val="20"/>
              </w:rPr>
            </w:pPr>
            <w:r>
              <w:rPr>
                <w:sz w:val="20"/>
                <w:szCs w:val="20"/>
              </w:rPr>
              <w:t>1,32</w:t>
            </w:r>
          </w:p>
        </w:tc>
      </w:tr>
      <w:tr w:rsidR="00AA331C" w:rsidRPr="00BE38DF" w14:paraId="053DEC7B"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5B38CBF" w14:textId="14DA252F" w:rsidR="00AA331C" w:rsidRPr="00DF29B2" w:rsidRDefault="00AA331C">
            <w:pPr>
              <w:keepNext/>
              <w:rPr>
                <w:sz w:val="20"/>
                <w:szCs w:val="20"/>
              </w:rPr>
            </w:pPr>
            <w:r>
              <w:rPr>
                <w:sz w:val="20"/>
                <w:szCs w:val="20"/>
              </w:rPr>
              <w:t>Aire acondicionado para vehículos</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42B6569" w14:textId="77777777" w:rsidR="00AA331C" w:rsidRPr="00DF29B2" w:rsidRDefault="00AA331C">
            <w:pPr>
              <w:keepNext/>
              <w:jc w:val="right"/>
              <w:rPr>
                <w:sz w:val="20"/>
                <w:szCs w:val="20"/>
              </w:rPr>
            </w:pPr>
            <w:r>
              <w:rPr>
                <w:sz w:val="20"/>
                <w:szCs w:val="20"/>
              </w:rPr>
              <w:t>3.775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FDE47CE"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D75A1CC"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4CCE19A"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2F7D0A0" w14:textId="77777777" w:rsidR="00AA331C" w:rsidRPr="00DF29B2" w:rsidRDefault="00AA331C">
            <w:pPr>
              <w:keepNext/>
              <w:jc w:val="right"/>
              <w:rPr>
                <w:sz w:val="20"/>
                <w:szCs w:val="20"/>
              </w:rPr>
            </w:pPr>
            <w:r>
              <w:rPr>
                <w:sz w:val="20"/>
                <w:szCs w:val="20"/>
              </w:rPr>
              <w:t>3.775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0B5162" w14:textId="2E4A8DC2" w:rsidR="00AA331C" w:rsidRPr="00DF29B2" w:rsidRDefault="00AA331C">
            <w:pPr>
              <w:keepNext/>
              <w:jc w:val="right"/>
              <w:rPr>
                <w:sz w:val="20"/>
                <w:szCs w:val="20"/>
              </w:rPr>
            </w:pPr>
            <w:r>
              <w:rPr>
                <w:sz w:val="20"/>
                <w:szCs w:val="20"/>
              </w:rPr>
              <w:t>10,88</w:t>
            </w:r>
          </w:p>
        </w:tc>
      </w:tr>
      <w:tr w:rsidR="00AA331C" w:rsidRPr="00BE38DF" w14:paraId="400B060C"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3A5CFED" w14:textId="77777777" w:rsidR="00AA331C" w:rsidRPr="00DF29B2" w:rsidRDefault="00AA331C">
            <w:pPr>
              <w:keepNext/>
              <w:rPr>
                <w:sz w:val="20"/>
                <w:szCs w:val="20"/>
              </w:rPr>
            </w:pPr>
            <w:r>
              <w:rPr>
                <w:b/>
                <w:bCs/>
                <w:sz w:val="20"/>
                <w:szCs w:val="20"/>
              </w:rPr>
              <w:t>Total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B267523" w14:textId="371B11EB" w:rsidR="00AA331C" w:rsidRPr="00DF29B2" w:rsidRDefault="002E7013">
            <w:pPr>
              <w:keepNext/>
              <w:jc w:val="right"/>
              <w:rPr>
                <w:sz w:val="20"/>
                <w:szCs w:val="20"/>
              </w:rPr>
            </w:pPr>
            <w:r>
              <w:rPr>
                <w:b/>
                <w:bCs/>
                <w:noProof/>
                <w:sz w:val="20"/>
                <w:szCs w:val="20"/>
              </w:rPr>
              <w:t>6.035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D68A8D8" w14:textId="7FB9D235" w:rsidR="00AA331C" w:rsidRPr="00DF29B2" w:rsidRDefault="00D50B7B">
            <w:pPr>
              <w:keepNext/>
              <w:jc w:val="right"/>
              <w:rPr>
                <w:sz w:val="20"/>
                <w:szCs w:val="20"/>
              </w:rPr>
            </w:pPr>
            <w:r>
              <w:rPr>
                <w:b/>
                <w:bCs/>
                <w:noProof/>
                <w:sz w:val="20"/>
                <w:szCs w:val="20"/>
              </w:rPr>
              <w:t>16.589</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32213F4" w14:textId="67E115A4" w:rsidR="00AA331C" w:rsidRPr="00DF29B2" w:rsidRDefault="00D50B7B">
            <w:pPr>
              <w:keepNext/>
              <w:jc w:val="right"/>
              <w:rPr>
                <w:sz w:val="20"/>
                <w:szCs w:val="20"/>
              </w:rPr>
            </w:pPr>
            <w:r>
              <w:rPr>
                <w:b/>
                <w:bCs/>
                <w:noProof/>
                <w:sz w:val="20"/>
                <w:szCs w:val="20"/>
              </w:rPr>
              <w:t>301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6434EE" w14:textId="5B1CECD9" w:rsidR="00AA331C" w:rsidRPr="00DF29B2" w:rsidRDefault="00D50B7B">
            <w:pPr>
              <w:keepNext/>
              <w:jc w:val="right"/>
              <w:rPr>
                <w:sz w:val="20"/>
                <w:szCs w:val="20"/>
              </w:rPr>
            </w:pPr>
            <w:r>
              <w:rPr>
                <w:b/>
                <w:bCs/>
                <w:noProof/>
                <w:sz w:val="20"/>
                <w:szCs w:val="20"/>
              </w:rPr>
              <w:t>11.815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4F7EA2" w14:textId="0E0B6300" w:rsidR="00AA331C" w:rsidRPr="00DF29B2" w:rsidRDefault="00D50B7B">
            <w:pPr>
              <w:keepNext/>
              <w:jc w:val="right"/>
              <w:rPr>
                <w:sz w:val="20"/>
                <w:szCs w:val="20"/>
              </w:rPr>
            </w:pPr>
            <w:r>
              <w:rPr>
                <w:b/>
                <w:bCs/>
                <w:noProof/>
                <w:sz w:val="20"/>
                <w:szCs w:val="20"/>
              </w:rPr>
              <w:t>34.740</w:t>
            </w:r>
            <w:r>
              <w:rPr>
                <w:b/>
                <w:bCs/>
                <w:sz w:val="20"/>
                <w:szCs w:val="20"/>
              </w:rPr>
              <w:t>*</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CB9D41C" w14:textId="4C0A778B" w:rsidR="00AA331C" w:rsidRPr="00DF29B2" w:rsidRDefault="00C81B3A">
            <w:pPr>
              <w:keepNext/>
              <w:jc w:val="right"/>
              <w:rPr>
                <w:sz w:val="20"/>
                <w:szCs w:val="20"/>
              </w:rPr>
            </w:pPr>
            <w:r>
              <w:rPr>
                <w:b/>
                <w:bCs/>
                <w:sz w:val="20"/>
                <w:szCs w:val="20"/>
              </w:rPr>
              <w:t>100</w:t>
            </w:r>
          </w:p>
        </w:tc>
      </w:tr>
    </w:tbl>
    <w:p w14:paraId="1B463866" w14:textId="66064574" w:rsidR="004105AB" w:rsidRPr="00766F51" w:rsidRDefault="004105AB" w:rsidP="00064F73">
      <w:pPr>
        <w:pStyle w:val="Heading1"/>
        <w:keepNext/>
        <w:numPr>
          <w:ilvl w:val="0"/>
          <w:numId w:val="0"/>
        </w:numPr>
        <w:rPr>
          <w:sz w:val="18"/>
          <w:szCs w:val="18"/>
          <w:lang w:val="es-ES"/>
        </w:rPr>
      </w:pPr>
      <w:r>
        <w:rPr>
          <w:i/>
          <w:iCs/>
          <w:sz w:val="18"/>
          <w:szCs w:val="18"/>
          <w:lang w:val="es-ES"/>
        </w:rPr>
        <w:t xml:space="preserve">* </w:t>
      </w:r>
      <w:r>
        <w:rPr>
          <w:sz w:val="18"/>
          <w:szCs w:val="18"/>
          <w:lang w:val="es-ES"/>
        </w:rPr>
        <w:t>La pequeña diferencia entre el consumo sectorial y el consumo informado se debe al uso de sustancias disponibles de años anteriores</w:t>
      </w:r>
      <w:r>
        <w:rPr>
          <w:i/>
          <w:iCs/>
          <w:sz w:val="18"/>
          <w:szCs w:val="18"/>
          <w:lang w:val="es-ES"/>
        </w:rPr>
        <w:t>.</w:t>
      </w:r>
    </w:p>
    <w:p w14:paraId="095737C1" w14:textId="40872293" w:rsidR="00CB0432" w:rsidRPr="00766F51" w:rsidRDefault="00CB0432" w:rsidP="00CB0432">
      <w:pPr>
        <w:pStyle w:val="Heading1"/>
        <w:keepNext/>
        <w:numPr>
          <w:ilvl w:val="0"/>
          <w:numId w:val="0"/>
        </w:numPr>
        <w:spacing w:before="240"/>
        <w:rPr>
          <w:i/>
          <w:iCs/>
          <w:lang w:val="es-ES"/>
        </w:rPr>
      </w:pPr>
      <w:r>
        <w:rPr>
          <w:i/>
          <w:iCs/>
          <w:lang w:val="es-ES"/>
        </w:rPr>
        <w:t>Sector de servicio técnico de equipos de refrigeración y aire acondicionado</w:t>
      </w:r>
    </w:p>
    <w:p w14:paraId="3A6CB991" w14:textId="0DA85811" w:rsidR="00CA7695" w:rsidRPr="00766F51" w:rsidRDefault="002F274F" w:rsidP="002F274F">
      <w:pPr>
        <w:pStyle w:val="Heading1"/>
        <w:rPr>
          <w:lang w:val="es-ES"/>
        </w:rPr>
      </w:pPr>
      <w:r>
        <w:rPr>
          <w:lang w:val="es-ES"/>
        </w:rPr>
        <w:t xml:space="preserve">En Santo Tomé y Príncipe hay aproximadamente 110 personas técnicas de servicio técnico de equipos de refrigeración y aire acondicionado (incluidas cuatro mujeres) y 34 talleres de servicio técnico de dichos equipos. Además, el país cuenta con unas 30 personas técnicas de sistemas de aire acondicionado </w:t>
      </w:r>
      <w:r>
        <w:rPr>
          <w:lang w:val="es-ES"/>
        </w:rPr>
        <w:lastRenderedPageBreak/>
        <w:t>para vehículos y 12 talleres de este tipo. El sector está compuesto principalmente por personas técnicas independientes y pequeños talleres, incluidos los informales. Aún no se ha establecido un plan de certificación para las personas técnicas de refrigeración y aire acondicionado, pero está previsto en la etapa II del PGEH, propuesta en esta reunión.</w:t>
      </w:r>
    </w:p>
    <w:p w14:paraId="72DD225D" w14:textId="0EA63EA5" w:rsidR="00EC5054" w:rsidRPr="00766F51" w:rsidRDefault="00EC5054" w:rsidP="00EC5054">
      <w:pPr>
        <w:pStyle w:val="Heading1"/>
        <w:rPr>
          <w:lang w:val="es-ES"/>
        </w:rPr>
      </w:pPr>
      <w:r>
        <w:rPr>
          <w:lang w:val="es-ES"/>
        </w:rPr>
        <w:t>Existen dos centros de capacitación que imparten formación en refrigeración y aire acondicionado (RAC). El Centro de Formación Profesional de Santo Tomé y Príncipe, dependiente del Ministerio de Trabajo, Solidaridad y Seguridad Social, ofrece un programa de RAC de un año de duración con doble certificación, mediante una alianza con el Instituto de Empleo y Formación Profesional de Portugal. En 2025, se matricularon 20 personas, entre ellas una mujer. Las personas tituladas reciben un Certificado de Cualificación Profesional como personal técnico de refrigeración y aire acondicionado, lo que les permite trabajar de forma independiente o crear empresas, aplicando prácticas medioambientalmente seguras para el manejo de SAO y los HFC. El Centro de Formación Profesional Brasil-Santo Tomé y Príncipe, creado en 2014 en cooperación con Brasil y gestionado por el Ministerio de Educación, Cultura, Ciencia y Educación Superior, ofrece tanto cursos de corta duración sobre refrigeración y aire acondicionado (RAC) como un programa trienal de cualificación técnica con una admisión anual de 12 personas. Contó con seis personas tituladas en 2023 y siete en 2024, con una participación femenina limitada.</w:t>
      </w:r>
    </w:p>
    <w:p w14:paraId="0E091B52" w14:textId="4A8D5C4B" w:rsidR="00CA7695" w:rsidRPr="00766F51" w:rsidRDefault="00CA7695" w:rsidP="00D23404">
      <w:pPr>
        <w:pStyle w:val="Heading1"/>
        <w:keepNext/>
        <w:numPr>
          <w:ilvl w:val="0"/>
          <w:numId w:val="0"/>
        </w:numPr>
        <w:rPr>
          <w:kern w:val="36"/>
          <w:lang w:val="es-ES" w:eastAsia="en-CA"/>
          <w14:ligatures w14:val="standardContextual"/>
        </w:rPr>
      </w:pPr>
      <w:r>
        <w:rPr>
          <w:i/>
          <w:iCs/>
          <w:kern w:val="36"/>
          <w:u w:val="single"/>
          <w:lang w:val="es-ES"/>
        </w:rPr>
        <w:t>Servicio técnico de equipos de refrigeración domésticos, comerciales, industriales y de transporte</w:t>
      </w:r>
    </w:p>
    <w:p w14:paraId="359115CA" w14:textId="19357762" w:rsidR="007B17FA" w:rsidRPr="00766F51" w:rsidRDefault="007B17FA" w:rsidP="00D23404">
      <w:pPr>
        <w:pStyle w:val="Heading1"/>
        <w:keepNext/>
        <w:rPr>
          <w:kern w:val="2"/>
          <w:lang w:val="es-ES" w:eastAsia="en-CA"/>
          <w14:ligatures w14:val="standardContextual"/>
        </w:rPr>
      </w:pPr>
      <w:r>
        <w:rPr>
          <w:lang w:val="es-ES"/>
        </w:rPr>
        <w:t>El servicio técnico de equipos de refrigeración domésticos abarca unas 51.000 unidades que utilizan exclusivamente HFC‑134a. El servicio técnico de equipos de refrigeración comercial utiliza HFC‑134a y R‑404A en unas 550 unidades, mientras que unos 40 enfriadores utilizan HFC‑134a y R‑407C, y el transporte refrigerado utiliza HFC‑134a y R‑404A en unas 40 unidades. Las alternativas de bajo potencial de calentamiento atmosférico (PCA) siguen siendo limitadas, utilizándose el R‑600a en pequeñas cantidades en los equipos de refrigeración domésticos y en un reducido número de sistemas de refrigeración comercial basados en el R‑290.</w:t>
      </w:r>
    </w:p>
    <w:p w14:paraId="43704A4F" w14:textId="66106C8C" w:rsidR="00CA7695" w:rsidRPr="00766F51" w:rsidRDefault="00CA7695" w:rsidP="006F7AEC">
      <w:pPr>
        <w:keepNext/>
        <w:spacing w:after="240"/>
        <w:rPr>
          <w:kern w:val="2"/>
          <w:lang w:val="es-ES" w:eastAsia="en-CA"/>
          <w14:ligatures w14:val="standardContextual"/>
        </w:rPr>
      </w:pPr>
      <w:r>
        <w:rPr>
          <w:i/>
          <w:iCs/>
          <w:u w:val="single"/>
          <w:lang w:val="es-ES"/>
        </w:rPr>
        <w:t>Servicio técnico de equipos de aire acondicionado residenciales y comerciales</w:t>
      </w:r>
    </w:p>
    <w:p w14:paraId="4516107F" w14:textId="79E1F7CE" w:rsidR="007B17FA" w:rsidRPr="00766F51" w:rsidRDefault="007B17FA" w:rsidP="006F7AEC">
      <w:pPr>
        <w:pStyle w:val="Heading1"/>
        <w:keepNext/>
        <w:rPr>
          <w:kern w:val="2"/>
          <w:lang w:val="es-ES" w:eastAsia="en-CA"/>
          <w14:ligatures w14:val="standardContextual"/>
        </w:rPr>
      </w:pPr>
      <w:r>
        <w:rPr>
          <w:lang w:val="es-ES"/>
        </w:rPr>
        <w:t>El aire acondicionado residencial representa la mayor demanda en toneladas métricas, principalmente con R‑410A en unas 22.500 unidades, según las estimaciones. El subsector del aire acondicionado comercial utiliza R‑410A y R‑407C en unas 650 unidades, según las estimaciones. En los últimos años se han importado aproximadamente 280 aparatos de aire acondicionado residencial que utilizan HFC‑32, pero aún no han requerido servicio técnico; por lo tanto, hasta la fecha no se han registrado importaciones de HFC‑32 para el servicio técnico.</w:t>
      </w:r>
    </w:p>
    <w:p w14:paraId="5509FBD5" w14:textId="6C425FDB" w:rsidR="00CA7695" w:rsidRPr="00766F51" w:rsidRDefault="00CA7695">
      <w:pPr>
        <w:spacing w:after="240"/>
        <w:rPr>
          <w:kern w:val="2"/>
          <w:lang w:val="es-ES" w:eastAsia="en-CA"/>
          <w14:ligatures w14:val="standardContextual"/>
        </w:rPr>
      </w:pPr>
      <w:r>
        <w:rPr>
          <w:i/>
          <w:iCs/>
          <w:u w:val="single"/>
          <w:lang w:val="es-ES"/>
        </w:rPr>
        <w:t>Servicio técnico de equipos de aire acondicionado vehicular</w:t>
      </w:r>
    </w:p>
    <w:p w14:paraId="33319868" w14:textId="4885E9E3" w:rsidR="007B17FA" w:rsidRPr="00766F51" w:rsidRDefault="007B17FA" w:rsidP="007B17FA">
      <w:pPr>
        <w:pStyle w:val="Heading1"/>
        <w:rPr>
          <w:lang w:val="es-ES" w:eastAsia="en-CA"/>
          <w14:ligatures w14:val="standardContextual"/>
        </w:rPr>
      </w:pPr>
      <w:r>
        <w:rPr>
          <w:lang w:val="es-ES"/>
        </w:rPr>
        <w:t>El servicio técnico de equipos de aire acondicionado para vehículos (MAC) abarca unos 33.000 turismos y furgonetas pequeñas que utilizan HFC‑134a. Este subsector representa 2,64 tm de necesidades de servicio técnico en 2025, lo que equivale al 18,4 % del total de las necesidades de servicio técnico de HFC.</w:t>
      </w:r>
    </w:p>
    <w:p w14:paraId="41664972" w14:textId="77777777" w:rsidR="00CB0432" w:rsidRPr="00766F51" w:rsidRDefault="00CB0432" w:rsidP="00CB0432">
      <w:pPr>
        <w:pStyle w:val="Heading1"/>
        <w:keepNext/>
        <w:numPr>
          <w:ilvl w:val="0"/>
          <w:numId w:val="0"/>
        </w:numPr>
        <w:rPr>
          <w:b/>
          <w:bCs/>
          <w:lang w:val="es-ES"/>
        </w:rPr>
      </w:pPr>
      <w:r>
        <w:rPr>
          <w:b/>
          <w:bCs/>
          <w:lang w:val="es-ES"/>
        </w:rPr>
        <w:t>IV.</w:t>
      </w:r>
      <w:r>
        <w:rPr>
          <w:b/>
          <w:bCs/>
          <w:lang w:val="es-ES"/>
        </w:rPr>
        <w:tab/>
        <w:t>Etapa I del plan de aplicación de la Enmienda de Kigali relativa a los HFC según lo presentado</w:t>
      </w:r>
    </w:p>
    <w:p w14:paraId="0C1C6C64" w14:textId="77777777" w:rsidR="00CB0432" w:rsidRPr="00BE38DF" w:rsidRDefault="00CB0432" w:rsidP="00CB0432">
      <w:pPr>
        <w:keepNext/>
        <w:spacing w:after="240"/>
        <w:rPr>
          <w:u w:val="single"/>
        </w:rPr>
      </w:pPr>
      <w:r>
        <w:rPr>
          <w:u w:val="single"/>
        </w:rPr>
        <w:t>Marco institucional, normativo y reglamentario</w:t>
      </w:r>
    </w:p>
    <w:p w14:paraId="74115EDB" w14:textId="789765D5" w:rsidR="00411822" w:rsidRPr="009556E6" w:rsidRDefault="00BF4C5F">
      <w:pPr>
        <w:pStyle w:val="Heading1"/>
        <w:keepNext/>
        <w:suppressAutoHyphens/>
        <w:spacing w:before="240"/>
        <w:rPr>
          <w:u w:val="single"/>
          <w:lang w:val="es-ES"/>
        </w:rPr>
      </w:pPr>
      <w:r>
        <w:rPr>
          <w:lang w:val="es-ES"/>
        </w:rPr>
        <w:t xml:space="preserve">El Ministerio del Medio Ambiente, Juventud y Turismo Sostenible actúa como autoridad nacional designada para el Protocolo de Montreal. La Oficina Nacional del Ozono (ONO) forma parte de la Dirección de Inspección, Asuntos Jurídicos y Evaluación de Impacto Ambiental del Ministerio, dentro de la Dirección General de Medio Ambiente y Acción Climática. El Comité Nacional del Ozono (CNO) se </w:t>
      </w:r>
      <w:r>
        <w:rPr>
          <w:lang w:val="es-ES"/>
        </w:rPr>
        <w:lastRenderedPageBreak/>
        <w:t>creó como órgano consultivo para apoyar a la ONO e incluye al Ministerio del Medio Ambiente, Juventud y Turismo Sostenible, al Ministerio de Comercio, a la Dirección General de Aduanas, a la Policía Fiscal, al Instituto Nacional de Estadística, a las asociaciones gremiales del sector refrigeración y aire acondicionado, a la Empresa Portuaria, al Instituto de Aviación Civil y a la empresa nacional de combustibles. La responsabilidad general en materia de políticas y normativa recae en el Ministerio del Medio Ambiente, Juventud y Turismo Sostenible, a través de la ONO. El CNO proporciona orientación en materia de políticas, apoya el desarrollo normativo, supervisa la concesión de licencias y la emisión de cupos, y actúa como plataforma de consulta para las partes interesadas. Actualmente, los HFC están regulados por una extensión de la normativa vigente sobre SAO, y aún no se ha adoptado ningún decreto específico sobre los HFC. El Ministerio de Comercio se encarga de la concesión de licencias junto con el Ministerio del Medio Ambiente; el CNO apoya el establecimiento y la asignación de cupos; las aduanas y la policía fiscal hacen efectivos los controles fronterizos; y las personas importadoras son responsables de solicitar las licencias de importación y los cupos, así como de notificar las importaciones.</w:t>
      </w:r>
    </w:p>
    <w:p w14:paraId="209D6264" w14:textId="659DDC18" w:rsidR="00CB0432" w:rsidRPr="009556E6" w:rsidRDefault="00CB0432" w:rsidP="00411822">
      <w:pPr>
        <w:pStyle w:val="Heading1"/>
        <w:keepNext/>
        <w:numPr>
          <w:ilvl w:val="0"/>
          <w:numId w:val="0"/>
        </w:numPr>
        <w:suppressAutoHyphens/>
        <w:spacing w:before="240"/>
        <w:rPr>
          <w:u w:val="single"/>
          <w:lang w:val="es-ES"/>
        </w:rPr>
      </w:pPr>
      <w:r>
        <w:rPr>
          <w:u w:val="single"/>
          <w:lang w:val="es-ES"/>
        </w:rPr>
        <w:t>Estrategia de reducción para la etapa I del plan de aplicación de la Enmienda de Kigali relativa a los HFC</w:t>
      </w:r>
    </w:p>
    <w:p w14:paraId="50D46394" w14:textId="77777777" w:rsidR="00CB0432" w:rsidRPr="00BE38DF" w:rsidRDefault="00CB0432" w:rsidP="00CB0432">
      <w:pPr>
        <w:keepNext/>
        <w:shd w:val="clear" w:color="auto" w:fill="FFFFFF" w:themeFill="background1"/>
        <w:suppressAutoHyphens/>
        <w:spacing w:before="240" w:after="240"/>
        <w:outlineLvl w:val="0"/>
        <w:rPr>
          <w:i/>
          <w:iCs/>
        </w:rPr>
      </w:pPr>
      <w:r>
        <w:rPr>
          <w:i/>
          <w:iCs/>
        </w:rPr>
        <w:t>Estrategia general</w:t>
      </w:r>
    </w:p>
    <w:p w14:paraId="02BB19EB" w14:textId="3439803D" w:rsidR="003E3B78" w:rsidRPr="009556E6" w:rsidRDefault="003E3B78" w:rsidP="003E3B78">
      <w:pPr>
        <w:pStyle w:val="Heading1"/>
        <w:rPr>
          <w:lang w:val="es-ES" w:eastAsia="en-CA"/>
          <w14:ligatures w14:val="standardContextual"/>
        </w:rPr>
      </w:pPr>
      <w:r>
        <w:rPr>
          <w:lang w:val="es-ES"/>
        </w:rPr>
        <w:t>La estrategia general para la etapa I del PAK consiste en reducir el consumo de HFC en Santo Tomé y Príncipe de manera sostenible, centrándose en el sector de servicio técnico de equipos de refrigeración y aire acondicionado (RAC), al tiempo que se complementan las actividades en curso de la etapa II del PGEH. La etapa I prevé una reducción del 50,64 % en el consumo de HFC con respecto al nivel básico de HFC para 2029. La estrategia da prioridad al fortalecimiento del marco jurídico y normativo mediante un decreto sobre los HFC, mejoras en el sistema de licencias y cupos de HFC, el estudio de prohibiciones de importación y restricciones a la instalación de determinados equipos que utilizan HFC, y la elaboración de normas y protocolos para el uso seguro de refrigerantes inflamables y tóxicos. También incluye actividades específicas de sensibilización y creación de capacidad dirigidas a las personas técnicas de mantenimiento y a las personas funcionarias de aduanas y de fiscalización del cumplimiento, prestando especial atención a los refrigerantes alternativos de bajo PCA, las buenas prácticas de mantenimiento y la reducción de fugas.</w:t>
      </w:r>
    </w:p>
    <w:p w14:paraId="4C4FE001" w14:textId="77777777" w:rsidR="00CB0432" w:rsidRDefault="00CB0432" w:rsidP="00CB0432">
      <w:pPr>
        <w:pStyle w:val="Heading1"/>
        <w:keepNext/>
        <w:numPr>
          <w:ilvl w:val="0"/>
          <w:numId w:val="0"/>
        </w:numPr>
        <w:spacing w:before="240"/>
        <w:rPr>
          <w:i/>
          <w:iCs/>
        </w:rPr>
      </w:pPr>
      <w:r>
        <w:rPr>
          <w:i/>
          <w:iCs/>
        </w:rPr>
        <w:t>Reducciones propuestas</w:t>
      </w:r>
    </w:p>
    <w:p w14:paraId="412B03B5" w14:textId="192989C0" w:rsidR="00AE2C46" w:rsidRPr="009556E6" w:rsidRDefault="00AE2C46" w:rsidP="00FF309B">
      <w:pPr>
        <w:pStyle w:val="Heading1"/>
        <w:spacing w:after="0"/>
        <w:rPr>
          <w:lang w:val="es-ES"/>
        </w:rPr>
      </w:pPr>
      <w:r>
        <w:rPr>
          <w:lang w:val="es-ES"/>
        </w:rPr>
        <w:t>El nivel básico de HFC es de 71.039 toneladas de CO</w:t>
      </w:r>
      <w:r>
        <w:rPr>
          <w:vertAlign w:val="subscript"/>
          <w:lang w:val="es-ES"/>
        </w:rPr>
        <w:t>2</w:t>
      </w:r>
      <w:r>
        <w:rPr>
          <w:lang w:val="es-ES"/>
        </w:rPr>
        <w:t xml:space="preserve"> equivalente, incluido un componente de HCFC de 45.825 toneladas de CO</w:t>
      </w:r>
      <w:r>
        <w:rPr>
          <w:vertAlign w:val="subscript"/>
          <w:lang w:val="es-ES"/>
        </w:rPr>
        <w:t>2</w:t>
      </w:r>
      <w:r>
        <w:rPr>
          <w:lang w:val="es-ES"/>
        </w:rPr>
        <w:t xml:space="preserve"> equivalente. El país señaló, sin embargo, que el nivel básico de los HCFC se había sobreestimado y que el punto de partida del PGEH se corrigió cuando se presentó y obtuvo la aprobación de la etapa I del PGEH en la 63</w:t>
      </w:r>
      <w:r>
        <w:rPr>
          <w:vertAlign w:val="superscript"/>
          <w:lang w:val="es-ES"/>
        </w:rPr>
        <w:t>a</w:t>
      </w:r>
      <w:r>
        <w:rPr>
          <w:lang w:val="es-ES"/>
        </w:rPr>
        <w:t> reunión. A la luz de esta corrección, el país propuso un consumo máximo admisible de HFC de 38.962 toneladas de CO</w:t>
      </w:r>
      <w:r>
        <w:rPr>
          <w:vertAlign w:val="subscript"/>
          <w:lang w:val="es-ES"/>
        </w:rPr>
        <w:t>2</w:t>
      </w:r>
      <w:r>
        <w:rPr>
          <w:lang w:val="es-ES"/>
        </w:rPr>
        <w:t xml:space="preserve"> equivalente para el período 2026–2028, y de 35.066 toneladas de CO</w:t>
      </w:r>
      <w:r>
        <w:rPr>
          <w:vertAlign w:val="subscript"/>
          <w:lang w:val="es-ES"/>
        </w:rPr>
        <w:t>2</w:t>
      </w:r>
      <w:r>
        <w:rPr>
          <w:lang w:val="es-ES"/>
        </w:rPr>
        <w:t xml:space="preserve"> equivalente para 2029. El nivel de 2029 representa una reducción del 50,64 % respecto al nivel básico de HFC establecido. </w:t>
      </w:r>
    </w:p>
    <w:p w14:paraId="3DDF71BE" w14:textId="77777777" w:rsidR="00AE2C46" w:rsidRPr="009556E6" w:rsidRDefault="00AE2C46" w:rsidP="00FF309B">
      <w:pPr>
        <w:rPr>
          <w:lang w:val="es-ES"/>
        </w:rPr>
      </w:pPr>
    </w:p>
    <w:p w14:paraId="2F516274" w14:textId="6996383B" w:rsidR="00CB0432" w:rsidRPr="009556E6" w:rsidRDefault="0065086F" w:rsidP="00CB0432">
      <w:pPr>
        <w:pStyle w:val="Heading1"/>
        <w:rPr>
          <w:lang w:val="es-ES" w:eastAsia="en-CA"/>
        </w:rPr>
      </w:pPr>
      <w:r>
        <w:rPr>
          <w:lang w:val="es-ES"/>
        </w:rPr>
        <w:t>El Gobierno de Santo Tomé y Príncipe y el PNUMA han previsto el consumo de HFC en un escenario de “mantenimiento de la situación actual”, tal y como se muestra en el cuadro 9 a continuación.</w:t>
      </w:r>
    </w:p>
    <w:p w14:paraId="603AB8AE" w14:textId="76F083A9" w:rsidR="00CB0432" w:rsidRPr="009556E6" w:rsidRDefault="00CB0432" w:rsidP="00CB0432">
      <w:pPr>
        <w:keepNext/>
        <w:rPr>
          <w:b/>
          <w:bCs/>
          <w:lang w:val="es-ES"/>
        </w:rPr>
      </w:pPr>
      <w:r>
        <w:rPr>
          <w:b/>
          <w:bCs/>
          <w:lang w:val="es-ES"/>
        </w:rPr>
        <w:lastRenderedPageBreak/>
        <w:t>Cuadro 9. Consumo de HFC previsto en la hipótesis sin restricciones, límites del Protocolo de Montreal y reducciones de HFC propuestas en la etapa I (toneladas de CO</w:t>
      </w:r>
      <w:r>
        <w:rPr>
          <w:b/>
          <w:bCs/>
          <w:vertAlign w:val="subscript"/>
          <w:lang w:val="es-ES"/>
        </w:rPr>
        <w:t>2</w:t>
      </w:r>
      <w:r>
        <w:rPr>
          <w:b/>
          <w:bCs/>
          <w:lang w:val="es-ES"/>
        </w:rPr>
        <w:t xml:space="preserve"> equivalente)</w:t>
      </w:r>
    </w:p>
    <w:tbl>
      <w:tblPr>
        <w:tblW w:w="5000" w:type="pct"/>
        <w:tblLook w:val="04A0" w:firstRow="1" w:lastRow="0" w:firstColumn="1" w:lastColumn="0" w:noHBand="0" w:noVBand="1"/>
      </w:tblPr>
      <w:tblGrid>
        <w:gridCol w:w="4112"/>
        <w:gridCol w:w="1308"/>
        <w:gridCol w:w="1308"/>
        <w:gridCol w:w="1308"/>
        <w:gridCol w:w="1308"/>
      </w:tblGrid>
      <w:tr w:rsidR="0065086F" w:rsidRPr="00BE38DF" w14:paraId="28780C1E" w14:textId="77777777" w:rsidTr="00FC48DA">
        <w:trPr>
          <w:tblHeader/>
        </w:trPr>
        <w:tc>
          <w:tcPr>
            <w:tcW w:w="2200" w:type="pct"/>
            <w:tcBorders>
              <w:top w:val="outset" w:sz="6" w:space="0" w:color="auto"/>
              <w:left w:val="outset" w:sz="6" w:space="0" w:color="auto"/>
              <w:bottom w:val="outset" w:sz="6" w:space="0" w:color="auto"/>
              <w:right w:val="outset" w:sz="6" w:space="0" w:color="auto"/>
            </w:tcBorders>
            <w:vAlign w:val="center"/>
            <w:hideMark/>
          </w:tcPr>
          <w:p w14:paraId="293A4A22" w14:textId="77777777" w:rsidR="0065086F" w:rsidRPr="009556E6" w:rsidRDefault="0065086F">
            <w:pPr>
              <w:keepNext/>
              <w:rPr>
                <w:kern w:val="2"/>
                <w:sz w:val="20"/>
                <w:szCs w:val="20"/>
                <w:lang w:val="es-ES" w:eastAsia="en-CA"/>
                <w14:ligatures w14:val="standardContextual"/>
              </w:rPr>
            </w:pPr>
            <w:r>
              <w:rPr>
                <w:b/>
                <w:bCs/>
                <w:sz w:val="20"/>
                <w:szCs w:val="20"/>
                <w:lang w:val="es-ES"/>
              </w:rPr>
              <w:t xml:space="preserve">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C3AC5A8" w14:textId="77777777" w:rsidR="0065086F" w:rsidRPr="00FC48DA" w:rsidRDefault="0065086F" w:rsidP="00FC48DA">
            <w:pPr>
              <w:keepNext/>
              <w:jc w:val="center"/>
              <w:rPr>
                <w:sz w:val="20"/>
                <w:szCs w:val="20"/>
              </w:rPr>
            </w:pPr>
            <w:r>
              <w:rPr>
                <w:b/>
                <w:bCs/>
                <w:sz w:val="20"/>
                <w:szCs w:val="20"/>
              </w:rPr>
              <w:t>2026</w:t>
            </w:r>
          </w:p>
        </w:tc>
        <w:tc>
          <w:tcPr>
            <w:tcW w:w="700" w:type="pct"/>
            <w:tcBorders>
              <w:top w:val="outset" w:sz="6" w:space="0" w:color="auto"/>
              <w:left w:val="outset" w:sz="6" w:space="0" w:color="auto"/>
              <w:bottom w:val="outset" w:sz="6" w:space="0" w:color="auto"/>
              <w:right w:val="outset" w:sz="6" w:space="0" w:color="auto"/>
            </w:tcBorders>
            <w:vAlign w:val="center"/>
            <w:hideMark/>
          </w:tcPr>
          <w:p w14:paraId="35BD8690" w14:textId="77777777" w:rsidR="0065086F" w:rsidRPr="00FC48DA" w:rsidRDefault="0065086F" w:rsidP="00FC48DA">
            <w:pPr>
              <w:keepNext/>
              <w:jc w:val="center"/>
              <w:rPr>
                <w:sz w:val="20"/>
                <w:szCs w:val="20"/>
              </w:rPr>
            </w:pPr>
            <w:r>
              <w:rPr>
                <w:b/>
                <w:bCs/>
                <w:sz w:val="20"/>
                <w:szCs w:val="20"/>
              </w:rPr>
              <w:t>2027</w:t>
            </w:r>
          </w:p>
        </w:tc>
        <w:tc>
          <w:tcPr>
            <w:tcW w:w="700" w:type="pct"/>
            <w:tcBorders>
              <w:top w:val="outset" w:sz="6" w:space="0" w:color="auto"/>
              <w:left w:val="outset" w:sz="6" w:space="0" w:color="auto"/>
              <w:bottom w:val="outset" w:sz="6" w:space="0" w:color="auto"/>
              <w:right w:val="outset" w:sz="6" w:space="0" w:color="auto"/>
            </w:tcBorders>
            <w:vAlign w:val="center"/>
            <w:hideMark/>
          </w:tcPr>
          <w:p w14:paraId="42E0158F" w14:textId="77777777" w:rsidR="0065086F" w:rsidRPr="00FC48DA" w:rsidRDefault="0065086F" w:rsidP="00FC48DA">
            <w:pPr>
              <w:keepNext/>
              <w:jc w:val="center"/>
              <w:rPr>
                <w:sz w:val="20"/>
                <w:szCs w:val="20"/>
              </w:rPr>
            </w:pPr>
            <w:r>
              <w:rPr>
                <w:b/>
                <w:bCs/>
                <w:sz w:val="20"/>
                <w:szCs w:val="20"/>
              </w:rPr>
              <w:t>2028</w:t>
            </w:r>
          </w:p>
        </w:tc>
        <w:tc>
          <w:tcPr>
            <w:tcW w:w="700" w:type="pct"/>
            <w:tcBorders>
              <w:top w:val="outset" w:sz="6" w:space="0" w:color="auto"/>
              <w:left w:val="outset" w:sz="6" w:space="0" w:color="auto"/>
              <w:bottom w:val="outset" w:sz="6" w:space="0" w:color="auto"/>
              <w:right w:val="outset" w:sz="6" w:space="0" w:color="auto"/>
            </w:tcBorders>
            <w:vAlign w:val="center"/>
            <w:hideMark/>
          </w:tcPr>
          <w:p w14:paraId="29A7E139" w14:textId="77777777" w:rsidR="0065086F" w:rsidRPr="00FC48DA" w:rsidRDefault="0065086F" w:rsidP="00FC48DA">
            <w:pPr>
              <w:keepNext/>
              <w:jc w:val="center"/>
              <w:rPr>
                <w:sz w:val="20"/>
                <w:szCs w:val="20"/>
              </w:rPr>
            </w:pPr>
            <w:r>
              <w:rPr>
                <w:b/>
                <w:bCs/>
                <w:sz w:val="20"/>
                <w:szCs w:val="20"/>
              </w:rPr>
              <w:t>2029</w:t>
            </w:r>
          </w:p>
        </w:tc>
      </w:tr>
      <w:tr w:rsidR="0065086F" w:rsidRPr="00BE38DF" w14:paraId="375D79BF"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2075AE85" w14:textId="40B2F8BC" w:rsidR="0065086F" w:rsidRPr="009556E6" w:rsidRDefault="0065086F" w:rsidP="002A58BF">
            <w:pPr>
              <w:keepNext/>
              <w:jc w:val="left"/>
              <w:rPr>
                <w:sz w:val="20"/>
                <w:szCs w:val="20"/>
                <w:lang w:val="es-ES"/>
              </w:rPr>
            </w:pPr>
            <w:r>
              <w:rPr>
                <w:sz w:val="20"/>
                <w:szCs w:val="20"/>
                <w:lang w:val="es-ES"/>
              </w:rPr>
              <w:t>Previsión del consumo de HFC con una tasa de crecimiento anual del 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4F311" w14:textId="77777777" w:rsidR="0065086F" w:rsidRPr="00FC48DA" w:rsidRDefault="0065086F" w:rsidP="0065086F">
            <w:pPr>
              <w:keepNext/>
              <w:jc w:val="right"/>
              <w:rPr>
                <w:sz w:val="20"/>
                <w:szCs w:val="20"/>
              </w:rPr>
            </w:pPr>
            <w:r>
              <w:rPr>
                <w:sz w:val="20"/>
                <w:szCs w:val="20"/>
              </w:rPr>
              <w:t>36.763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DA959" w14:textId="77777777" w:rsidR="0065086F" w:rsidRPr="00FC48DA" w:rsidRDefault="0065086F" w:rsidP="0065086F">
            <w:pPr>
              <w:keepNext/>
              <w:jc w:val="right"/>
              <w:rPr>
                <w:sz w:val="20"/>
                <w:szCs w:val="20"/>
              </w:rPr>
            </w:pPr>
            <w:r>
              <w:rPr>
                <w:sz w:val="20"/>
                <w:szCs w:val="20"/>
              </w:rPr>
              <w:t>39.704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66A77" w14:textId="77777777" w:rsidR="0065086F" w:rsidRPr="00FC48DA" w:rsidRDefault="0065086F" w:rsidP="0065086F">
            <w:pPr>
              <w:keepNext/>
              <w:jc w:val="right"/>
              <w:rPr>
                <w:sz w:val="20"/>
                <w:szCs w:val="20"/>
              </w:rPr>
            </w:pPr>
            <w:r>
              <w:rPr>
                <w:sz w:val="20"/>
                <w:szCs w:val="20"/>
              </w:rPr>
              <w:t>42.881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F1461" w14:textId="77777777" w:rsidR="0065086F" w:rsidRPr="00FC48DA" w:rsidRDefault="0065086F" w:rsidP="0065086F">
            <w:pPr>
              <w:keepNext/>
              <w:jc w:val="right"/>
              <w:rPr>
                <w:sz w:val="20"/>
                <w:szCs w:val="20"/>
              </w:rPr>
            </w:pPr>
            <w:r>
              <w:rPr>
                <w:sz w:val="20"/>
                <w:szCs w:val="20"/>
              </w:rPr>
              <w:t>46.311</w:t>
            </w:r>
          </w:p>
        </w:tc>
      </w:tr>
      <w:tr w:rsidR="0065086F" w:rsidRPr="00BE38DF" w14:paraId="09183B7F"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18146A2F" w14:textId="77777777" w:rsidR="0065086F" w:rsidRPr="009556E6" w:rsidRDefault="0065086F" w:rsidP="002A58BF">
            <w:pPr>
              <w:keepNext/>
              <w:jc w:val="left"/>
              <w:rPr>
                <w:sz w:val="20"/>
                <w:szCs w:val="20"/>
                <w:lang w:val="es-ES"/>
              </w:rPr>
            </w:pPr>
            <w:r>
              <w:rPr>
                <w:sz w:val="20"/>
                <w:szCs w:val="20"/>
                <w:lang w:val="es-ES"/>
              </w:rPr>
              <w:t>Límites del consumo de HFC del Protocolo de Montreal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A3FB9" w14:textId="77777777" w:rsidR="0065086F" w:rsidRPr="00FC48DA" w:rsidRDefault="0065086F" w:rsidP="0065086F">
            <w:pPr>
              <w:keepNext/>
              <w:jc w:val="right"/>
              <w:rPr>
                <w:sz w:val="20"/>
                <w:szCs w:val="20"/>
              </w:rPr>
            </w:pPr>
            <w:r>
              <w:rPr>
                <w:sz w:val="20"/>
                <w:szCs w:val="20"/>
              </w:rPr>
              <w:t>71.039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B9451" w14:textId="77777777" w:rsidR="0065086F" w:rsidRPr="00FC48DA" w:rsidRDefault="0065086F" w:rsidP="0065086F">
            <w:pPr>
              <w:keepNext/>
              <w:jc w:val="right"/>
              <w:rPr>
                <w:sz w:val="20"/>
                <w:szCs w:val="20"/>
              </w:rPr>
            </w:pPr>
            <w:r>
              <w:rPr>
                <w:sz w:val="20"/>
                <w:szCs w:val="20"/>
              </w:rPr>
              <w:t>71.039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5C7C9" w14:textId="77777777" w:rsidR="0065086F" w:rsidRPr="00FC48DA" w:rsidRDefault="0065086F" w:rsidP="0065086F">
            <w:pPr>
              <w:keepNext/>
              <w:jc w:val="right"/>
              <w:rPr>
                <w:sz w:val="20"/>
                <w:szCs w:val="20"/>
              </w:rPr>
            </w:pPr>
            <w:r>
              <w:rPr>
                <w:sz w:val="20"/>
                <w:szCs w:val="20"/>
              </w:rPr>
              <w:t>71.039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E3445" w14:textId="77777777" w:rsidR="0065086F" w:rsidRPr="00FC48DA" w:rsidRDefault="0065086F" w:rsidP="0065086F">
            <w:pPr>
              <w:keepNext/>
              <w:jc w:val="right"/>
              <w:rPr>
                <w:sz w:val="20"/>
                <w:szCs w:val="20"/>
              </w:rPr>
            </w:pPr>
            <w:r>
              <w:rPr>
                <w:sz w:val="20"/>
                <w:szCs w:val="20"/>
              </w:rPr>
              <w:t>63.935</w:t>
            </w:r>
          </w:p>
        </w:tc>
      </w:tr>
      <w:tr w:rsidR="0065086F" w:rsidRPr="00BE38DF" w14:paraId="46B08490"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01AF3781" w14:textId="77777777" w:rsidR="0065086F" w:rsidRPr="009556E6" w:rsidRDefault="0065086F" w:rsidP="002A58BF">
            <w:pPr>
              <w:keepNext/>
              <w:jc w:val="left"/>
              <w:rPr>
                <w:sz w:val="20"/>
                <w:szCs w:val="20"/>
                <w:lang w:val="es-ES"/>
              </w:rPr>
            </w:pPr>
            <w:r>
              <w:rPr>
                <w:sz w:val="20"/>
                <w:szCs w:val="20"/>
                <w:lang w:val="es-ES"/>
              </w:rPr>
              <w:t>Niveles de consumo de HFC propuestos en el marco del PAK</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10477" w14:textId="77777777" w:rsidR="0065086F" w:rsidRPr="00FC48DA" w:rsidRDefault="0065086F" w:rsidP="0065086F">
            <w:pPr>
              <w:keepNext/>
              <w:jc w:val="right"/>
              <w:rPr>
                <w:sz w:val="20"/>
                <w:szCs w:val="20"/>
              </w:rPr>
            </w:pPr>
            <w:r>
              <w:rPr>
                <w:sz w:val="20"/>
                <w:szCs w:val="20"/>
              </w:rPr>
              <w:t>38.962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51056" w14:textId="77777777" w:rsidR="0065086F" w:rsidRPr="00FC48DA" w:rsidRDefault="0065086F" w:rsidP="0065086F">
            <w:pPr>
              <w:keepNext/>
              <w:jc w:val="right"/>
              <w:rPr>
                <w:sz w:val="20"/>
                <w:szCs w:val="20"/>
              </w:rPr>
            </w:pPr>
            <w:r>
              <w:rPr>
                <w:sz w:val="20"/>
                <w:szCs w:val="20"/>
              </w:rPr>
              <w:t>38.962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0B28B" w14:textId="77777777" w:rsidR="0065086F" w:rsidRPr="00FC48DA" w:rsidRDefault="0065086F" w:rsidP="0065086F">
            <w:pPr>
              <w:keepNext/>
              <w:jc w:val="right"/>
              <w:rPr>
                <w:sz w:val="20"/>
                <w:szCs w:val="20"/>
              </w:rPr>
            </w:pPr>
            <w:r>
              <w:rPr>
                <w:sz w:val="20"/>
                <w:szCs w:val="20"/>
              </w:rPr>
              <w:t>38.962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E6FB6" w14:textId="77777777" w:rsidR="0065086F" w:rsidRPr="00FC48DA" w:rsidRDefault="0065086F" w:rsidP="0065086F">
            <w:pPr>
              <w:keepNext/>
              <w:jc w:val="right"/>
              <w:rPr>
                <w:sz w:val="20"/>
                <w:szCs w:val="20"/>
              </w:rPr>
            </w:pPr>
            <w:r>
              <w:rPr>
                <w:sz w:val="20"/>
                <w:szCs w:val="20"/>
              </w:rPr>
              <w:t>35.066</w:t>
            </w:r>
          </w:p>
        </w:tc>
      </w:tr>
      <w:tr w:rsidR="0065086F" w:rsidRPr="00BE38DF" w14:paraId="61CAB678" w14:textId="77777777" w:rsidTr="00FC48DA">
        <w:trPr>
          <w:trHeight w:val="72"/>
        </w:trPr>
        <w:tc>
          <w:tcPr>
            <w:tcW w:w="0" w:type="auto"/>
            <w:tcBorders>
              <w:top w:val="outset" w:sz="6" w:space="0" w:color="auto"/>
              <w:left w:val="outset" w:sz="6" w:space="0" w:color="auto"/>
              <w:bottom w:val="outset" w:sz="6" w:space="0" w:color="auto"/>
              <w:right w:val="outset" w:sz="6" w:space="0" w:color="auto"/>
            </w:tcBorders>
            <w:vAlign w:val="center"/>
            <w:hideMark/>
          </w:tcPr>
          <w:p w14:paraId="7CDA7448" w14:textId="77777777" w:rsidR="0065086F" w:rsidRPr="009556E6" w:rsidRDefault="0065086F" w:rsidP="005F3FA6">
            <w:pPr>
              <w:keepNext/>
              <w:jc w:val="left"/>
              <w:rPr>
                <w:sz w:val="20"/>
                <w:szCs w:val="20"/>
                <w:lang w:val="es-ES"/>
              </w:rPr>
            </w:pPr>
            <w:r>
              <w:rPr>
                <w:sz w:val="20"/>
                <w:szCs w:val="20"/>
                <w:lang w:val="es-ES"/>
              </w:rPr>
              <w:t>Reducciones propuestas respecto del nivel básico de consumo de HFC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BE48B" w14:textId="77777777" w:rsidR="0065086F" w:rsidRPr="00FC48DA" w:rsidRDefault="0065086F" w:rsidP="0065086F">
            <w:pPr>
              <w:keepNext/>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B8209" w14:textId="77777777" w:rsidR="0065086F" w:rsidRPr="00FC48DA" w:rsidRDefault="0065086F" w:rsidP="0065086F">
            <w:pPr>
              <w:keepNext/>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86F6F" w14:textId="77777777" w:rsidR="0065086F" w:rsidRPr="00FC48DA" w:rsidRDefault="0065086F" w:rsidP="0065086F">
            <w:pPr>
              <w:keepNext/>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7B8D6" w14:textId="77777777" w:rsidR="0065086F" w:rsidRPr="00FC48DA" w:rsidRDefault="0065086F" w:rsidP="0065086F">
            <w:pPr>
              <w:keepNext/>
              <w:jc w:val="right"/>
              <w:rPr>
                <w:sz w:val="20"/>
                <w:szCs w:val="20"/>
              </w:rPr>
            </w:pPr>
            <w:r>
              <w:rPr>
                <w:sz w:val="20"/>
                <w:szCs w:val="20"/>
              </w:rPr>
              <w:t>50,64</w:t>
            </w:r>
          </w:p>
        </w:tc>
      </w:tr>
    </w:tbl>
    <w:p w14:paraId="3A1491BC" w14:textId="4704C6FC" w:rsidR="0065086F" w:rsidRPr="009556E6" w:rsidRDefault="0065086F">
      <w:pPr>
        <w:rPr>
          <w:kern w:val="2"/>
          <w:lang w:val="es-ES" w:eastAsia="en-CA"/>
          <w14:ligatures w14:val="standardContextual"/>
        </w:rPr>
      </w:pPr>
      <w:r>
        <w:rPr>
          <w:sz w:val="18"/>
          <w:szCs w:val="18"/>
          <w:lang w:val="es-ES"/>
        </w:rPr>
        <w:t>* Calculado sobre la base de un aumento del 8 % a partir de 2025 para reflejar el crecimiento previsto en el sector</w:t>
      </w:r>
    </w:p>
    <w:p w14:paraId="3D7D92B5" w14:textId="77777777" w:rsidR="00CB0432" w:rsidRPr="00BE38DF" w:rsidRDefault="00CB0432" w:rsidP="00CB0432">
      <w:pPr>
        <w:pStyle w:val="Heading1"/>
        <w:keepNext/>
        <w:numPr>
          <w:ilvl w:val="0"/>
          <w:numId w:val="0"/>
        </w:numPr>
        <w:spacing w:before="240"/>
        <w:rPr>
          <w:i/>
          <w:iCs/>
        </w:rPr>
      </w:pPr>
      <w:r>
        <w:rPr>
          <w:i/>
          <w:iCs/>
        </w:rPr>
        <w:t>Actividades propuestas</w:t>
      </w:r>
    </w:p>
    <w:p w14:paraId="67BC1AB3" w14:textId="738419C5" w:rsidR="00CB0432" w:rsidRPr="009556E6" w:rsidRDefault="00CB0432" w:rsidP="00CB0432">
      <w:pPr>
        <w:pStyle w:val="Heading1"/>
        <w:shd w:val="clear" w:color="auto" w:fill="FFFFFF" w:themeFill="background1"/>
        <w:rPr>
          <w:lang w:val="es-ES"/>
        </w:rPr>
      </w:pPr>
      <w:r>
        <w:rPr>
          <w:lang w:val="es-ES"/>
        </w:rPr>
        <w:t>En el cuadro 10 se presentan las actividades del sector de servicio técnico cuya ejecución se propone para la etapa I y el primer tramo, así como el desglose de costos.</w:t>
      </w:r>
    </w:p>
    <w:p w14:paraId="3F859AC4" w14:textId="0D772F4A" w:rsidR="009D4096" w:rsidRPr="009556E6" w:rsidRDefault="009D4096">
      <w:pPr>
        <w:rPr>
          <w:kern w:val="2"/>
          <w:lang w:val="es-ES" w:eastAsia="en-CA"/>
          <w14:ligatures w14:val="standardContextual"/>
        </w:rPr>
      </w:pPr>
      <w:r>
        <w:rPr>
          <w:b/>
          <w:bCs/>
          <w:lang w:val="es-ES"/>
        </w:rPr>
        <w:t>Cuadro 10. Actividades del sector de servicio técnico y sus costos en la etapa I y en el primer tramo de la etapa I del PAK para Santo Tomé y Príncipe, tal como se presentaron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48"/>
        <w:gridCol w:w="1403"/>
        <w:gridCol w:w="1403"/>
      </w:tblGrid>
      <w:tr w:rsidR="006079E0" w:rsidRPr="00B50897" w14:paraId="6B380700" w14:textId="77777777" w:rsidTr="004A4EF5">
        <w:trPr>
          <w:trHeight w:val="606"/>
          <w:tblHeader/>
        </w:trPr>
        <w:tc>
          <w:tcPr>
            <w:tcW w:w="3500" w:type="pct"/>
            <w:vAlign w:val="center"/>
            <w:hideMark/>
          </w:tcPr>
          <w:p w14:paraId="515300FC" w14:textId="77777777" w:rsidR="006079E0" w:rsidRPr="007D20B1" w:rsidRDefault="006079E0" w:rsidP="000C0287">
            <w:pPr>
              <w:jc w:val="center"/>
              <w:rPr>
                <w:kern w:val="2"/>
                <w:sz w:val="20"/>
                <w:szCs w:val="20"/>
                <w:lang w:eastAsia="en-CA"/>
                <w14:ligatures w14:val="standardContextual"/>
              </w:rPr>
            </w:pPr>
            <w:r>
              <w:rPr>
                <w:b/>
                <w:bCs/>
                <w:sz w:val="20"/>
                <w:szCs w:val="20"/>
              </w:rPr>
              <w:t>Actividad</w:t>
            </w:r>
          </w:p>
        </w:tc>
        <w:tc>
          <w:tcPr>
            <w:tcW w:w="750" w:type="pct"/>
            <w:vAlign w:val="center"/>
            <w:hideMark/>
          </w:tcPr>
          <w:p w14:paraId="78599391" w14:textId="77777777" w:rsidR="006079E0" w:rsidRPr="009556E6" w:rsidRDefault="006079E0" w:rsidP="002A58BF">
            <w:pPr>
              <w:jc w:val="center"/>
              <w:rPr>
                <w:sz w:val="20"/>
                <w:szCs w:val="20"/>
                <w:lang w:val="es-ES"/>
              </w:rPr>
            </w:pPr>
            <w:r>
              <w:rPr>
                <w:b/>
                <w:bCs/>
                <w:sz w:val="20"/>
                <w:szCs w:val="20"/>
                <w:lang w:val="es-ES"/>
              </w:rPr>
              <w:t>Costo de la etapa I (USD)</w:t>
            </w:r>
          </w:p>
        </w:tc>
        <w:tc>
          <w:tcPr>
            <w:tcW w:w="750" w:type="pct"/>
            <w:vAlign w:val="center"/>
            <w:hideMark/>
          </w:tcPr>
          <w:p w14:paraId="1F7F2195" w14:textId="77777777" w:rsidR="006079E0" w:rsidRPr="009556E6" w:rsidRDefault="006079E0" w:rsidP="002A58BF">
            <w:pPr>
              <w:jc w:val="center"/>
              <w:rPr>
                <w:sz w:val="20"/>
                <w:szCs w:val="20"/>
                <w:lang w:val="es-ES"/>
              </w:rPr>
            </w:pPr>
            <w:r>
              <w:rPr>
                <w:b/>
                <w:bCs/>
                <w:sz w:val="20"/>
                <w:szCs w:val="20"/>
                <w:lang w:val="es-ES"/>
              </w:rPr>
              <w:t>Costo del primer tramo (USD)</w:t>
            </w:r>
          </w:p>
        </w:tc>
      </w:tr>
      <w:tr w:rsidR="006079E0" w:rsidRPr="00B50897" w14:paraId="1FA8D63A" w14:textId="77777777" w:rsidTr="004A4EF5">
        <w:tc>
          <w:tcPr>
            <w:tcW w:w="0" w:type="auto"/>
            <w:gridSpan w:val="3"/>
            <w:vAlign w:val="center"/>
            <w:hideMark/>
          </w:tcPr>
          <w:p w14:paraId="5F717BD7" w14:textId="2C4B8EA2" w:rsidR="006079E0" w:rsidRPr="009556E6" w:rsidRDefault="006079E0">
            <w:pPr>
              <w:rPr>
                <w:sz w:val="20"/>
                <w:szCs w:val="20"/>
                <w:lang w:val="es-ES"/>
              </w:rPr>
            </w:pPr>
            <w:r>
              <w:rPr>
                <w:b/>
                <w:bCs/>
                <w:sz w:val="20"/>
                <w:szCs w:val="20"/>
                <w:lang w:val="es-ES"/>
              </w:rPr>
              <w:t xml:space="preserve">1. Fortalecimiento del marco jurídico y reglamentario </w:t>
            </w:r>
          </w:p>
        </w:tc>
      </w:tr>
      <w:tr w:rsidR="006079E0" w:rsidRPr="00BE38DF" w14:paraId="006A1F11" w14:textId="77777777" w:rsidTr="004A4EF5">
        <w:tc>
          <w:tcPr>
            <w:tcW w:w="0" w:type="auto"/>
            <w:vAlign w:val="center"/>
            <w:hideMark/>
          </w:tcPr>
          <w:p w14:paraId="2B2F30DC" w14:textId="23BD1B7C" w:rsidR="006079E0" w:rsidRPr="009556E6" w:rsidRDefault="006079E0">
            <w:pPr>
              <w:rPr>
                <w:sz w:val="20"/>
                <w:szCs w:val="20"/>
                <w:lang w:val="es-ES"/>
              </w:rPr>
            </w:pPr>
            <w:r>
              <w:rPr>
                <w:sz w:val="20"/>
                <w:szCs w:val="20"/>
                <w:lang w:val="es-ES"/>
              </w:rPr>
              <w:t>1.1. Elaborar y aprobar el decreto sobre los HFC; organizar un taller con las partes interesadas antes de la adopción, sobre el alcance del trabajo, para 100 participantes; y un taller de sensibilización posterior a la elaboración, sobre la ejecución, para 100 participantes</w:t>
            </w:r>
          </w:p>
        </w:tc>
        <w:tc>
          <w:tcPr>
            <w:tcW w:w="0" w:type="auto"/>
            <w:vAlign w:val="center"/>
            <w:hideMark/>
          </w:tcPr>
          <w:p w14:paraId="4C722DD4" w14:textId="77777777" w:rsidR="006079E0" w:rsidRPr="007D20B1" w:rsidRDefault="006079E0" w:rsidP="00712354">
            <w:pPr>
              <w:jc w:val="right"/>
              <w:rPr>
                <w:sz w:val="20"/>
                <w:szCs w:val="20"/>
              </w:rPr>
            </w:pPr>
            <w:r>
              <w:rPr>
                <w:sz w:val="20"/>
                <w:szCs w:val="20"/>
              </w:rPr>
              <w:t>9.000</w:t>
            </w:r>
          </w:p>
        </w:tc>
        <w:tc>
          <w:tcPr>
            <w:tcW w:w="0" w:type="auto"/>
            <w:vAlign w:val="center"/>
            <w:hideMark/>
          </w:tcPr>
          <w:p w14:paraId="535509E9" w14:textId="77777777" w:rsidR="006079E0" w:rsidRPr="007D20B1" w:rsidRDefault="006079E0" w:rsidP="00712354">
            <w:pPr>
              <w:jc w:val="right"/>
              <w:rPr>
                <w:sz w:val="20"/>
                <w:szCs w:val="20"/>
              </w:rPr>
            </w:pPr>
            <w:r>
              <w:rPr>
                <w:sz w:val="20"/>
                <w:szCs w:val="20"/>
              </w:rPr>
              <w:t>7.000</w:t>
            </w:r>
          </w:p>
        </w:tc>
      </w:tr>
      <w:tr w:rsidR="006079E0" w:rsidRPr="00BE38DF" w14:paraId="24E2605C" w14:textId="77777777" w:rsidTr="004A4EF5">
        <w:tc>
          <w:tcPr>
            <w:tcW w:w="0" w:type="auto"/>
            <w:vAlign w:val="center"/>
            <w:hideMark/>
          </w:tcPr>
          <w:p w14:paraId="0236867A" w14:textId="01827259" w:rsidR="006079E0" w:rsidRPr="009556E6" w:rsidRDefault="006079E0">
            <w:pPr>
              <w:rPr>
                <w:sz w:val="20"/>
                <w:szCs w:val="20"/>
                <w:lang w:val="es-ES"/>
              </w:rPr>
            </w:pPr>
            <w:r>
              <w:rPr>
                <w:sz w:val="20"/>
                <w:szCs w:val="20"/>
                <w:lang w:val="es-ES"/>
              </w:rPr>
              <w:t>1.2. Elaborar prohibiciones de importar y restricciones a la instalación de equipos que utilicen HFC, lo que incluye una reunión con las personas importadoras, un estudio de evaluación del mercado, el texto preliminar de la reglamentación y una reunión de sensibilización sobre la ejecución de la reglamentación con las personas interesadas pertinentes, para 100 participantes</w:t>
            </w:r>
          </w:p>
        </w:tc>
        <w:tc>
          <w:tcPr>
            <w:tcW w:w="0" w:type="auto"/>
            <w:vAlign w:val="center"/>
            <w:hideMark/>
          </w:tcPr>
          <w:p w14:paraId="00D1ABC0" w14:textId="77777777" w:rsidR="006079E0" w:rsidRPr="007D20B1" w:rsidRDefault="006079E0" w:rsidP="00712354">
            <w:pPr>
              <w:jc w:val="right"/>
              <w:rPr>
                <w:sz w:val="20"/>
                <w:szCs w:val="20"/>
              </w:rPr>
            </w:pPr>
            <w:r>
              <w:rPr>
                <w:sz w:val="20"/>
                <w:szCs w:val="20"/>
              </w:rPr>
              <w:t>10.000</w:t>
            </w:r>
          </w:p>
        </w:tc>
        <w:tc>
          <w:tcPr>
            <w:tcW w:w="0" w:type="auto"/>
            <w:vAlign w:val="center"/>
            <w:hideMark/>
          </w:tcPr>
          <w:p w14:paraId="06B690EC" w14:textId="77777777" w:rsidR="006079E0" w:rsidRPr="007D20B1" w:rsidRDefault="006079E0" w:rsidP="00712354">
            <w:pPr>
              <w:jc w:val="right"/>
              <w:rPr>
                <w:sz w:val="20"/>
                <w:szCs w:val="20"/>
              </w:rPr>
            </w:pPr>
            <w:r>
              <w:rPr>
                <w:sz w:val="20"/>
                <w:szCs w:val="20"/>
              </w:rPr>
              <w:t>6.000</w:t>
            </w:r>
          </w:p>
        </w:tc>
      </w:tr>
      <w:tr w:rsidR="006079E0" w:rsidRPr="00BE38DF" w14:paraId="7091EF99" w14:textId="77777777" w:rsidTr="004A4EF5">
        <w:tc>
          <w:tcPr>
            <w:tcW w:w="0" w:type="auto"/>
            <w:vAlign w:val="center"/>
            <w:hideMark/>
          </w:tcPr>
          <w:p w14:paraId="1B976843" w14:textId="57D326CF" w:rsidR="006079E0" w:rsidRPr="009556E6" w:rsidRDefault="006079E0">
            <w:pPr>
              <w:rPr>
                <w:sz w:val="20"/>
                <w:szCs w:val="20"/>
                <w:lang w:val="es-ES"/>
              </w:rPr>
            </w:pPr>
            <w:r>
              <w:rPr>
                <w:sz w:val="20"/>
                <w:szCs w:val="20"/>
                <w:lang w:val="es-ES"/>
              </w:rPr>
              <w:t xml:space="preserve">1.3. Elaborar una guía sobre la legislación relativa a las sustancias que agotan la capa de ozono (SAO) y los HFC, y difundirla en cuatro talleres y reuniones dirigidos a las partes interesadas pertinentes </w:t>
            </w:r>
          </w:p>
        </w:tc>
        <w:tc>
          <w:tcPr>
            <w:tcW w:w="0" w:type="auto"/>
            <w:vAlign w:val="center"/>
            <w:hideMark/>
          </w:tcPr>
          <w:p w14:paraId="1A878D9C" w14:textId="77777777" w:rsidR="006079E0" w:rsidRPr="007D20B1" w:rsidRDefault="006079E0" w:rsidP="00712354">
            <w:pPr>
              <w:jc w:val="right"/>
              <w:rPr>
                <w:sz w:val="20"/>
                <w:szCs w:val="20"/>
              </w:rPr>
            </w:pPr>
            <w:r>
              <w:rPr>
                <w:sz w:val="20"/>
                <w:szCs w:val="20"/>
              </w:rPr>
              <w:t>10.000</w:t>
            </w:r>
          </w:p>
        </w:tc>
        <w:tc>
          <w:tcPr>
            <w:tcW w:w="0" w:type="auto"/>
            <w:vAlign w:val="center"/>
            <w:hideMark/>
          </w:tcPr>
          <w:p w14:paraId="5D506725" w14:textId="77777777" w:rsidR="006079E0" w:rsidRPr="007D20B1" w:rsidRDefault="006079E0" w:rsidP="00712354">
            <w:pPr>
              <w:jc w:val="right"/>
              <w:rPr>
                <w:sz w:val="20"/>
                <w:szCs w:val="20"/>
              </w:rPr>
            </w:pPr>
            <w:r>
              <w:rPr>
                <w:sz w:val="20"/>
                <w:szCs w:val="20"/>
              </w:rPr>
              <w:t>5.000</w:t>
            </w:r>
          </w:p>
        </w:tc>
      </w:tr>
      <w:tr w:rsidR="006079E0" w:rsidRPr="00BE38DF" w14:paraId="71CBF9B7" w14:textId="77777777" w:rsidTr="004A4EF5">
        <w:tc>
          <w:tcPr>
            <w:tcW w:w="0" w:type="auto"/>
            <w:vAlign w:val="center"/>
            <w:hideMark/>
          </w:tcPr>
          <w:p w14:paraId="29A1B5C6" w14:textId="3EB257C3" w:rsidR="006079E0" w:rsidRPr="009556E6" w:rsidRDefault="006079E0">
            <w:pPr>
              <w:rPr>
                <w:sz w:val="20"/>
                <w:szCs w:val="20"/>
                <w:lang w:val="es-ES"/>
              </w:rPr>
            </w:pPr>
            <w:r>
              <w:rPr>
                <w:sz w:val="20"/>
                <w:szCs w:val="20"/>
                <w:lang w:val="es-ES"/>
              </w:rPr>
              <w:t>1.4. Actualizar y reforzar el sistema de concesión de licencias y cupos de HFC; y organizar un taller con importadores, las autoridades aduaneras y el Ministerio de Comercio sobre el sistema de concesión de licencias y cupos de HFC, dirigido a 50 participantes</w:t>
            </w:r>
          </w:p>
        </w:tc>
        <w:tc>
          <w:tcPr>
            <w:tcW w:w="0" w:type="auto"/>
            <w:vAlign w:val="center"/>
            <w:hideMark/>
          </w:tcPr>
          <w:p w14:paraId="3BC723B4" w14:textId="77777777" w:rsidR="006079E0" w:rsidRPr="007D20B1" w:rsidRDefault="006079E0" w:rsidP="00712354">
            <w:pPr>
              <w:jc w:val="right"/>
              <w:rPr>
                <w:sz w:val="20"/>
                <w:szCs w:val="20"/>
              </w:rPr>
            </w:pPr>
            <w:r>
              <w:rPr>
                <w:sz w:val="20"/>
                <w:szCs w:val="20"/>
              </w:rPr>
              <w:t>9.000</w:t>
            </w:r>
          </w:p>
        </w:tc>
        <w:tc>
          <w:tcPr>
            <w:tcW w:w="0" w:type="auto"/>
            <w:vAlign w:val="center"/>
            <w:hideMark/>
          </w:tcPr>
          <w:p w14:paraId="61B181C3" w14:textId="77777777" w:rsidR="006079E0" w:rsidRPr="007D20B1" w:rsidRDefault="006079E0" w:rsidP="00712354">
            <w:pPr>
              <w:jc w:val="right"/>
              <w:rPr>
                <w:sz w:val="20"/>
                <w:szCs w:val="20"/>
              </w:rPr>
            </w:pPr>
            <w:r>
              <w:rPr>
                <w:sz w:val="20"/>
                <w:szCs w:val="20"/>
              </w:rPr>
              <w:t>7.000</w:t>
            </w:r>
          </w:p>
        </w:tc>
      </w:tr>
      <w:tr w:rsidR="006079E0" w:rsidRPr="00BE38DF" w14:paraId="2A32B933" w14:textId="77777777" w:rsidTr="004A4EF5">
        <w:tc>
          <w:tcPr>
            <w:tcW w:w="0" w:type="auto"/>
            <w:vAlign w:val="center"/>
            <w:hideMark/>
          </w:tcPr>
          <w:p w14:paraId="3937E68E" w14:textId="5D5AF501" w:rsidR="006079E0" w:rsidRPr="009556E6" w:rsidRDefault="006079E0">
            <w:pPr>
              <w:rPr>
                <w:sz w:val="20"/>
                <w:szCs w:val="20"/>
                <w:lang w:val="es-ES"/>
              </w:rPr>
            </w:pPr>
            <w:r>
              <w:rPr>
                <w:sz w:val="20"/>
                <w:szCs w:val="20"/>
                <w:lang w:val="es-ES"/>
              </w:rPr>
              <w:t>1.5. Elaborar las normas técnicas y los protocolos nacionales sobre el uso de sustancias inflamables y/o tóxicas en equipos de refrigeración y aire acondicionado (RAC), con el apoyo de una persona consultora internacional; celebrar dos reuniones de consulta con contrapartes para la elaboración y finalización de las normas; organizar dos talleres dirigidos a las personas responsables de normas, personal de aduanas, personas propietarias de grandes talleres de RAC, centros de formación e importadores (un total de 200 participantes) con el fin de sensibilizarles y desarrollar sus capacidades en materia de ejecución de las normas</w:t>
            </w:r>
          </w:p>
        </w:tc>
        <w:tc>
          <w:tcPr>
            <w:tcW w:w="0" w:type="auto"/>
            <w:vAlign w:val="center"/>
            <w:hideMark/>
          </w:tcPr>
          <w:p w14:paraId="30949FD7" w14:textId="03007C03" w:rsidR="006079E0" w:rsidRPr="007D20B1" w:rsidRDefault="00B570E2" w:rsidP="00712354">
            <w:pPr>
              <w:jc w:val="right"/>
              <w:rPr>
                <w:sz w:val="20"/>
                <w:szCs w:val="20"/>
              </w:rPr>
            </w:pPr>
            <w:r>
              <w:rPr>
                <w:sz w:val="20"/>
                <w:szCs w:val="20"/>
              </w:rPr>
              <w:t>21.000</w:t>
            </w:r>
          </w:p>
        </w:tc>
        <w:tc>
          <w:tcPr>
            <w:tcW w:w="0" w:type="auto"/>
            <w:vAlign w:val="center"/>
            <w:hideMark/>
          </w:tcPr>
          <w:p w14:paraId="50C4D52B" w14:textId="77777777" w:rsidR="006079E0" w:rsidRPr="007D20B1" w:rsidRDefault="006079E0" w:rsidP="00712354">
            <w:pPr>
              <w:jc w:val="right"/>
              <w:rPr>
                <w:sz w:val="20"/>
                <w:szCs w:val="20"/>
              </w:rPr>
            </w:pPr>
            <w:r>
              <w:rPr>
                <w:sz w:val="20"/>
                <w:szCs w:val="20"/>
              </w:rPr>
              <w:t>14.000</w:t>
            </w:r>
          </w:p>
        </w:tc>
      </w:tr>
      <w:tr w:rsidR="006079E0" w:rsidRPr="00694698" w14:paraId="6E89A72C" w14:textId="77777777" w:rsidTr="004A4EF5">
        <w:tc>
          <w:tcPr>
            <w:tcW w:w="0" w:type="auto"/>
            <w:vAlign w:val="center"/>
            <w:hideMark/>
          </w:tcPr>
          <w:p w14:paraId="554F1E3B" w14:textId="77777777" w:rsidR="006079E0" w:rsidRPr="00FF309B" w:rsidRDefault="006079E0" w:rsidP="00A465CA">
            <w:pPr>
              <w:jc w:val="right"/>
              <w:rPr>
                <w:b/>
                <w:bCs/>
                <w:sz w:val="20"/>
                <w:szCs w:val="20"/>
              </w:rPr>
            </w:pPr>
            <w:r>
              <w:rPr>
                <w:b/>
                <w:bCs/>
                <w:sz w:val="20"/>
                <w:szCs w:val="20"/>
              </w:rPr>
              <w:t>Subtotal para el componente 1</w:t>
            </w:r>
          </w:p>
        </w:tc>
        <w:tc>
          <w:tcPr>
            <w:tcW w:w="0" w:type="auto"/>
            <w:vAlign w:val="center"/>
            <w:hideMark/>
          </w:tcPr>
          <w:p w14:paraId="5747AA3A" w14:textId="61C91826" w:rsidR="006079E0" w:rsidRPr="00FF309B" w:rsidRDefault="00124800" w:rsidP="00712354">
            <w:pPr>
              <w:jc w:val="right"/>
              <w:rPr>
                <w:b/>
                <w:bCs/>
                <w:sz w:val="20"/>
                <w:szCs w:val="20"/>
              </w:rPr>
            </w:pPr>
            <w:r>
              <w:rPr>
                <w:b/>
                <w:bCs/>
                <w:sz w:val="20"/>
                <w:szCs w:val="20"/>
              </w:rPr>
              <w:t>59.000</w:t>
            </w:r>
          </w:p>
        </w:tc>
        <w:tc>
          <w:tcPr>
            <w:tcW w:w="0" w:type="auto"/>
            <w:vAlign w:val="center"/>
            <w:hideMark/>
          </w:tcPr>
          <w:p w14:paraId="735A6961" w14:textId="3E653AC1" w:rsidR="006079E0" w:rsidRPr="00FF309B" w:rsidRDefault="005A090C" w:rsidP="00712354">
            <w:pPr>
              <w:jc w:val="right"/>
              <w:rPr>
                <w:b/>
                <w:bCs/>
                <w:sz w:val="20"/>
                <w:szCs w:val="20"/>
              </w:rPr>
            </w:pPr>
            <w:r>
              <w:rPr>
                <w:b/>
                <w:bCs/>
                <w:sz w:val="20"/>
                <w:szCs w:val="20"/>
              </w:rPr>
              <w:t>39.000</w:t>
            </w:r>
          </w:p>
        </w:tc>
      </w:tr>
      <w:tr w:rsidR="006079E0" w:rsidRPr="00B50897" w14:paraId="585E9104" w14:textId="77777777" w:rsidTr="004A4EF5">
        <w:tc>
          <w:tcPr>
            <w:tcW w:w="0" w:type="auto"/>
            <w:gridSpan w:val="3"/>
            <w:vAlign w:val="center"/>
            <w:hideMark/>
          </w:tcPr>
          <w:p w14:paraId="31DF236B" w14:textId="666C46E2" w:rsidR="006079E0" w:rsidRPr="009556E6" w:rsidRDefault="00054A4A" w:rsidP="004A4EF5">
            <w:pPr>
              <w:keepNext/>
              <w:rPr>
                <w:sz w:val="20"/>
                <w:szCs w:val="20"/>
                <w:lang w:val="es-ES"/>
              </w:rPr>
            </w:pPr>
            <w:r>
              <w:rPr>
                <w:b/>
                <w:bCs/>
                <w:sz w:val="20"/>
                <w:szCs w:val="20"/>
                <w:lang w:val="es-ES"/>
              </w:rPr>
              <w:t>2. Creación de capacidad de las personas funcionarias de aduanas y de las personas fiscalizadoras</w:t>
            </w:r>
          </w:p>
        </w:tc>
      </w:tr>
      <w:tr w:rsidR="00B929BD" w:rsidRPr="00BE38DF" w14:paraId="0E7D2172" w14:textId="77777777" w:rsidTr="004A4EF5">
        <w:tc>
          <w:tcPr>
            <w:tcW w:w="0" w:type="auto"/>
            <w:vAlign w:val="center"/>
          </w:tcPr>
          <w:p w14:paraId="7C2C9D85" w14:textId="15388665" w:rsidR="00B929BD" w:rsidRPr="009556E6" w:rsidRDefault="00054A4A" w:rsidP="004A4EF5">
            <w:pPr>
              <w:keepNext/>
              <w:rPr>
                <w:sz w:val="20"/>
                <w:szCs w:val="20"/>
                <w:lang w:val="es-ES"/>
              </w:rPr>
            </w:pPr>
            <w:r>
              <w:rPr>
                <w:sz w:val="20"/>
                <w:szCs w:val="20"/>
                <w:lang w:val="es-ES"/>
              </w:rPr>
              <w:t>2.1. Elaborar y difundir carteles y otro material informativo sobre las disposiciones reglamentarias relativas a la importación de sustancias controladas, equipos y códigos del Sistema Armonizado (SA), destinado a personas funcionarias de aduanas, personas agentes de aduanas e importadores</w:t>
            </w:r>
          </w:p>
        </w:tc>
        <w:tc>
          <w:tcPr>
            <w:tcW w:w="0" w:type="auto"/>
            <w:vAlign w:val="center"/>
          </w:tcPr>
          <w:p w14:paraId="56A3E6E2" w14:textId="6A8FEBD4" w:rsidR="00B929BD" w:rsidRPr="007D20B1" w:rsidRDefault="00B929BD" w:rsidP="00B929BD">
            <w:pPr>
              <w:jc w:val="right"/>
              <w:rPr>
                <w:sz w:val="20"/>
                <w:szCs w:val="20"/>
              </w:rPr>
            </w:pPr>
            <w:r>
              <w:rPr>
                <w:sz w:val="20"/>
                <w:szCs w:val="20"/>
              </w:rPr>
              <w:t>5.000</w:t>
            </w:r>
          </w:p>
        </w:tc>
        <w:tc>
          <w:tcPr>
            <w:tcW w:w="0" w:type="auto"/>
            <w:vAlign w:val="center"/>
          </w:tcPr>
          <w:p w14:paraId="68DD57C5" w14:textId="2E570FB0" w:rsidR="00B929BD" w:rsidRPr="007D20B1" w:rsidRDefault="00B929BD" w:rsidP="00B929BD">
            <w:pPr>
              <w:jc w:val="right"/>
              <w:rPr>
                <w:sz w:val="20"/>
                <w:szCs w:val="20"/>
              </w:rPr>
            </w:pPr>
            <w:r>
              <w:rPr>
                <w:sz w:val="20"/>
                <w:szCs w:val="20"/>
              </w:rPr>
              <w:t>3.000</w:t>
            </w:r>
          </w:p>
        </w:tc>
      </w:tr>
      <w:tr w:rsidR="00B929BD" w:rsidRPr="00BE38DF" w14:paraId="47A24B7C" w14:textId="77777777" w:rsidTr="004A4EF5">
        <w:tc>
          <w:tcPr>
            <w:tcW w:w="0" w:type="auto"/>
            <w:vAlign w:val="center"/>
          </w:tcPr>
          <w:p w14:paraId="5C5705CE" w14:textId="1C19ADC1" w:rsidR="00954A47" w:rsidRPr="009556E6" w:rsidRDefault="00054A4A" w:rsidP="00954A47">
            <w:pPr>
              <w:rPr>
                <w:sz w:val="20"/>
                <w:szCs w:val="20"/>
                <w:lang w:val="es-ES"/>
              </w:rPr>
            </w:pPr>
            <w:r>
              <w:rPr>
                <w:sz w:val="20"/>
                <w:szCs w:val="20"/>
                <w:lang w:val="es-ES"/>
              </w:rPr>
              <w:t>2.2. Fortalecer la capacidad de las personas funcionarias de aduanas mediante dos visitas de estudio a un país miembro de</w:t>
            </w:r>
            <w:r>
              <w:rPr>
                <w:sz w:val="20"/>
                <w:szCs w:val="20"/>
                <w:lang w:val="es-ES" w:eastAsia="en-CA"/>
              </w:rPr>
              <w:t xml:space="preserve"> la Comunidad Económica de los </w:t>
            </w:r>
            <w:r>
              <w:rPr>
                <w:sz w:val="20"/>
                <w:szCs w:val="20"/>
                <w:lang w:val="es-ES" w:eastAsia="en-CA"/>
              </w:rPr>
              <w:lastRenderedPageBreak/>
              <w:t xml:space="preserve">Estados de África Central </w:t>
            </w:r>
            <w:r>
              <w:rPr>
                <w:sz w:val="20"/>
                <w:szCs w:val="20"/>
                <w:lang w:val="es-ES"/>
              </w:rPr>
              <w:t>(CEEAC) avanzado en la ejecución de la reglamentación y las normas aduaneras regionales establecidas por la comunidad económica regional, con el fin de aprender las mejores prácticas en materia de ejecución, notificación, seguimiento e inspección, con tres personas funcionarias por misión, lo que supone un total de seis personas funcionarias de aduanas y de la policía fiscal</w:t>
            </w:r>
          </w:p>
          <w:p w14:paraId="7B78A497" w14:textId="516D4387" w:rsidR="00B929BD" w:rsidRPr="009556E6" w:rsidRDefault="00B929BD" w:rsidP="00B929BD">
            <w:pPr>
              <w:rPr>
                <w:sz w:val="20"/>
                <w:szCs w:val="20"/>
                <w:lang w:val="es-ES"/>
              </w:rPr>
            </w:pPr>
          </w:p>
        </w:tc>
        <w:tc>
          <w:tcPr>
            <w:tcW w:w="0" w:type="auto"/>
            <w:vAlign w:val="center"/>
          </w:tcPr>
          <w:p w14:paraId="5E4F2552" w14:textId="7AC3D19F" w:rsidR="00B929BD" w:rsidRPr="007D20B1" w:rsidRDefault="00B929BD" w:rsidP="00B929BD">
            <w:pPr>
              <w:jc w:val="right"/>
              <w:rPr>
                <w:sz w:val="20"/>
                <w:szCs w:val="20"/>
              </w:rPr>
            </w:pPr>
            <w:r>
              <w:rPr>
                <w:sz w:val="20"/>
                <w:szCs w:val="20"/>
              </w:rPr>
              <w:lastRenderedPageBreak/>
              <w:t>15.000</w:t>
            </w:r>
          </w:p>
        </w:tc>
        <w:tc>
          <w:tcPr>
            <w:tcW w:w="0" w:type="auto"/>
            <w:vAlign w:val="center"/>
          </w:tcPr>
          <w:p w14:paraId="1D57AD5B" w14:textId="454DACF5" w:rsidR="00B929BD" w:rsidRPr="007D20B1" w:rsidRDefault="00B929BD" w:rsidP="00B929BD">
            <w:pPr>
              <w:jc w:val="right"/>
              <w:rPr>
                <w:sz w:val="20"/>
                <w:szCs w:val="20"/>
              </w:rPr>
            </w:pPr>
            <w:r>
              <w:rPr>
                <w:sz w:val="20"/>
                <w:szCs w:val="20"/>
              </w:rPr>
              <w:t>7.500</w:t>
            </w:r>
          </w:p>
        </w:tc>
      </w:tr>
      <w:tr w:rsidR="00B929BD" w:rsidRPr="0025090F" w14:paraId="71AD6457" w14:textId="77777777" w:rsidTr="004A4EF5">
        <w:tc>
          <w:tcPr>
            <w:tcW w:w="0" w:type="auto"/>
            <w:vAlign w:val="center"/>
          </w:tcPr>
          <w:p w14:paraId="130F2435" w14:textId="19DBC6E4" w:rsidR="00B929BD" w:rsidRPr="00FF309B" w:rsidRDefault="00054A4A" w:rsidP="00A465CA">
            <w:pPr>
              <w:jc w:val="right"/>
              <w:rPr>
                <w:b/>
                <w:bCs/>
                <w:sz w:val="20"/>
                <w:szCs w:val="20"/>
              </w:rPr>
            </w:pPr>
            <w:r>
              <w:rPr>
                <w:b/>
                <w:bCs/>
                <w:sz w:val="20"/>
                <w:szCs w:val="20"/>
              </w:rPr>
              <w:t>Subtotal para el componente 2</w:t>
            </w:r>
          </w:p>
        </w:tc>
        <w:tc>
          <w:tcPr>
            <w:tcW w:w="0" w:type="auto"/>
            <w:vAlign w:val="center"/>
          </w:tcPr>
          <w:p w14:paraId="46ECC132" w14:textId="47C72FDD" w:rsidR="00B929BD" w:rsidRPr="00FF309B" w:rsidRDefault="00054A4A" w:rsidP="00B929BD">
            <w:pPr>
              <w:jc w:val="right"/>
              <w:rPr>
                <w:b/>
                <w:bCs/>
                <w:sz w:val="20"/>
                <w:szCs w:val="20"/>
              </w:rPr>
            </w:pPr>
            <w:r>
              <w:rPr>
                <w:b/>
                <w:bCs/>
                <w:sz w:val="20"/>
                <w:szCs w:val="20"/>
              </w:rPr>
              <w:t>20.000</w:t>
            </w:r>
          </w:p>
        </w:tc>
        <w:tc>
          <w:tcPr>
            <w:tcW w:w="0" w:type="auto"/>
            <w:vAlign w:val="center"/>
          </w:tcPr>
          <w:p w14:paraId="03BC80FF" w14:textId="43A52140" w:rsidR="00B929BD" w:rsidRPr="00FF309B" w:rsidRDefault="00054A4A" w:rsidP="00B929BD">
            <w:pPr>
              <w:jc w:val="right"/>
              <w:rPr>
                <w:b/>
                <w:bCs/>
                <w:sz w:val="20"/>
                <w:szCs w:val="20"/>
              </w:rPr>
            </w:pPr>
            <w:r>
              <w:rPr>
                <w:b/>
                <w:bCs/>
                <w:sz w:val="20"/>
                <w:szCs w:val="20"/>
              </w:rPr>
              <w:t>10.500</w:t>
            </w:r>
          </w:p>
        </w:tc>
      </w:tr>
      <w:tr w:rsidR="00054A4A" w:rsidRPr="00B50897" w14:paraId="15AB2D76" w14:textId="77777777" w:rsidTr="004A4EF5">
        <w:tc>
          <w:tcPr>
            <w:tcW w:w="0" w:type="auto"/>
            <w:gridSpan w:val="3"/>
            <w:vAlign w:val="center"/>
          </w:tcPr>
          <w:p w14:paraId="0CDD023A" w14:textId="185FA2DB" w:rsidR="00054A4A" w:rsidRPr="009556E6" w:rsidRDefault="00857F38" w:rsidP="00054A4A">
            <w:pPr>
              <w:jc w:val="left"/>
              <w:rPr>
                <w:sz w:val="20"/>
                <w:szCs w:val="20"/>
                <w:lang w:val="es-ES"/>
              </w:rPr>
            </w:pPr>
            <w:r>
              <w:rPr>
                <w:b/>
                <w:bCs/>
                <w:sz w:val="20"/>
                <w:szCs w:val="20"/>
                <w:lang w:val="es-ES"/>
              </w:rPr>
              <w:t>3. Creación de capacidad de personas técnicas de RAC y MAC</w:t>
            </w:r>
          </w:p>
        </w:tc>
      </w:tr>
      <w:tr w:rsidR="00054A4A" w:rsidRPr="00BE38DF" w14:paraId="55C3C6F3" w14:textId="77777777" w:rsidTr="004A4EF5">
        <w:tc>
          <w:tcPr>
            <w:tcW w:w="0" w:type="auto"/>
            <w:vAlign w:val="center"/>
          </w:tcPr>
          <w:p w14:paraId="161FB95E" w14:textId="728614A5" w:rsidR="00054A4A" w:rsidRPr="009556E6" w:rsidRDefault="00857F38" w:rsidP="00054A4A">
            <w:pPr>
              <w:rPr>
                <w:sz w:val="20"/>
                <w:szCs w:val="20"/>
                <w:lang w:val="es-ES"/>
              </w:rPr>
            </w:pPr>
            <w:r>
              <w:rPr>
                <w:sz w:val="20"/>
                <w:szCs w:val="20"/>
                <w:lang w:val="es-ES"/>
              </w:rPr>
              <w:t>3.1. Actualización del plan de estudios de dos centros de formación profesional sobre tecnologías de bajo PCA, procedimientos de seguridad para la manipulación de refrigerantes inflamables y recuperación y reciclaje (RR)</w:t>
            </w:r>
          </w:p>
        </w:tc>
        <w:tc>
          <w:tcPr>
            <w:tcW w:w="0" w:type="auto"/>
            <w:vAlign w:val="center"/>
          </w:tcPr>
          <w:p w14:paraId="5A171B18" w14:textId="2E3C4BE1" w:rsidR="00054A4A" w:rsidRPr="007D20B1" w:rsidRDefault="00054A4A" w:rsidP="00054A4A">
            <w:pPr>
              <w:jc w:val="right"/>
              <w:rPr>
                <w:sz w:val="20"/>
                <w:szCs w:val="20"/>
              </w:rPr>
            </w:pPr>
            <w:r>
              <w:rPr>
                <w:sz w:val="20"/>
                <w:szCs w:val="20"/>
              </w:rPr>
              <w:t>6.000</w:t>
            </w:r>
          </w:p>
        </w:tc>
        <w:tc>
          <w:tcPr>
            <w:tcW w:w="0" w:type="auto"/>
            <w:vAlign w:val="center"/>
          </w:tcPr>
          <w:p w14:paraId="437760A7" w14:textId="5A37BAEC" w:rsidR="00054A4A" w:rsidRPr="007D20B1" w:rsidRDefault="00054A4A" w:rsidP="00054A4A">
            <w:pPr>
              <w:jc w:val="right"/>
              <w:rPr>
                <w:sz w:val="20"/>
                <w:szCs w:val="20"/>
              </w:rPr>
            </w:pPr>
            <w:r>
              <w:rPr>
                <w:sz w:val="20"/>
                <w:szCs w:val="20"/>
              </w:rPr>
              <w:t>3.000</w:t>
            </w:r>
          </w:p>
        </w:tc>
      </w:tr>
      <w:tr w:rsidR="00054A4A" w:rsidRPr="00BE38DF" w14:paraId="1FF5B31F" w14:textId="77777777" w:rsidTr="004A4EF5">
        <w:tc>
          <w:tcPr>
            <w:tcW w:w="0" w:type="auto"/>
            <w:vAlign w:val="center"/>
            <w:hideMark/>
          </w:tcPr>
          <w:p w14:paraId="072F995A" w14:textId="33E36678" w:rsidR="00054A4A" w:rsidRPr="009556E6" w:rsidRDefault="00857F38" w:rsidP="00054A4A">
            <w:pPr>
              <w:rPr>
                <w:sz w:val="20"/>
                <w:szCs w:val="20"/>
                <w:lang w:val="es-ES"/>
              </w:rPr>
            </w:pPr>
            <w:r>
              <w:rPr>
                <w:sz w:val="20"/>
                <w:szCs w:val="20"/>
                <w:lang w:val="es-ES"/>
              </w:rPr>
              <w:t>3.2. Elaborar materiales de capacitación para la capacitación de personas técnicas de sistemas de aire acondicionado para vehículos (MAC); organizar dos programas de capacitación, cada uno con 20 personas técnicas de MAC y de refrigeración y aire acondicionado, lo que suma un total de 40 participantes, sobre nuevas tecnologías, normas de seguridad, control de fugas y eficiencia energética</w:t>
            </w:r>
          </w:p>
        </w:tc>
        <w:tc>
          <w:tcPr>
            <w:tcW w:w="0" w:type="auto"/>
            <w:vAlign w:val="center"/>
            <w:hideMark/>
          </w:tcPr>
          <w:p w14:paraId="481AD940" w14:textId="77777777" w:rsidR="00054A4A" w:rsidRPr="007D20B1" w:rsidRDefault="00054A4A" w:rsidP="00054A4A">
            <w:pPr>
              <w:jc w:val="right"/>
              <w:rPr>
                <w:sz w:val="20"/>
                <w:szCs w:val="20"/>
              </w:rPr>
            </w:pPr>
            <w:r>
              <w:rPr>
                <w:sz w:val="20"/>
                <w:szCs w:val="20"/>
              </w:rPr>
              <w:t>10.000</w:t>
            </w:r>
          </w:p>
        </w:tc>
        <w:tc>
          <w:tcPr>
            <w:tcW w:w="0" w:type="auto"/>
            <w:vAlign w:val="center"/>
            <w:hideMark/>
          </w:tcPr>
          <w:p w14:paraId="490D57FF" w14:textId="77777777" w:rsidR="00054A4A" w:rsidRPr="007D20B1" w:rsidRDefault="00054A4A" w:rsidP="00054A4A">
            <w:pPr>
              <w:jc w:val="right"/>
              <w:rPr>
                <w:sz w:val="20"/>
                <w:szCs w:val="20"/>
              </w:rPr>
            </w:pPr>
            <w:r>
              <w:rPr>
                <w:sz w:val="20"/>
                <w:szCs w:val="20"/>
              </w:rPr>
              <w:t>6.000</w:t>
            </w:r>
          </w:p>
        </w:tc>
      </w:tr>
      <w:tr w:rsidR="00923136" w:rsidRPr="00BE38DF" w14:paraId="692F5677" w14:textId="77777777" w:rsidTr="004A4EF5">
        <w:tc>
          <w:tcPr>
            <w:tcW w:w="0" w:type="auto"/>
            <w:vAlign w:val="center"/>
          </w:tcPr>
          <w:p w14:paraId="1FCC4E1E" w14:textId="3E070A5D" w:rsidR="00923136" w:rsidRPr="009556E6" w:rsidRDefault="00857F38" w:rsidP="00923136">
            <w:pPr>
              <w:rPr>
                <w:sz w:val="20"/>
                <w:szCs w:val="20"/>
                <w:lang w:val="es-ES"/>
              </w:rPr>
            </w:pPr>
            <w:r>
              <w:rPr>
                <w:sz w:val="20"/>
                <w:szCs w:val="20"/>
                <w:lang w:val="es-ES"/>
              </w:rPr>
              <w:t>3.3 Elaborar y difundir un manual sobre la manipulación segura de refrigerantes inflamables y/o tóxicos para su distribución entre talleres técnicos, personas técnicas y centros de capacitación (a un total de 300 destinatarios)</w:t>
            </w:r>
          </w:p>
        </w:tc>
        <w:tc>
          <w:tcPr>
            <w:tcW w:w="0" w:type="auto"/>
            <w:vAlign w:val="center"/>
          </w:tcPr>
          <w:p w14:paraId="7BDD94A9" w14:textId="0A9268B6" w:rsidR="00923136" w:rsidRPr="007D20B1" w:rsidRDefault="00923136" w:rsidP="00923136">
            <w:pPr>
              <w:jc w:val="right"/>
              <w:rPr>
                <w:sz w:val="20"/>
                <w:szCs w:val="20"/>
              </w:rPr>
            </w:pPr>
            <w:r>
              <w:rPr>
                <w:sz w:val="20"/>
                <w:szCs w:val="20"/>
              </w:rPr>
              <w:t>12.000</w:t>
            </w:r>
          </w:p>
        </w:tc>
        <w:tc>
          <w:tcPr>
            <w:tcW w:w="0" w:type="auto"/>
            <w:vAlign w:val="center"/>
          </w:tcPr>
          <w:p w14:paraId="7E9D0755" w14:textId="2DC7C989" w:rsidR="00923136" w:rsidRPr="007D20B1" w:rsidRDefault="00923136" w:rsidP="00923136">
            <w:pPr>
              <w:jc w:val="right"/>
              <w:rPr>
                <w:sz w:val="20"/>
                <w:szCs w:val="20"/>
              </w:rPr>
            </w:pPr>
            <w:r>
              <w:rPr>
                <w:sz w:val="20"/>
                <w:szCs w:val="20"/>
              </w:rPr>
              <w:t>0</w:t>
            </w:r>
          </w:p>
        </w:tc>
      </w:tr>
      <w:tr w:rsidR="00923136" w:rsidRPr="00BE38DF" w14:paraId="0810E608" w14:textId="77777777" w:rsidTr="004A4EF5">
        <w:tc>
          <w:tcPr>
            <w:tcW w:w="0" w:type="auto"/>
            <w:vAlign w:val="center"/>
          </w:tcPr>
          <w:p w14:paraId="1259FB70" w14:textId="6D07B4BC" w:rsidR="00923136" w:rsidRPr="009556E6" w:rsidRDefault="00857F38" w:rsidP="00923136">
            <w:pPr>
              <w:rPr>
                <w:sz w:val="20"/>
                <w:szCs w:val="20"/>
                <w:lang w:val="es-ES"/>
              </w:rPr>
            </w:pPr>
            <w:r>
              <w:rPr>
                <w:sz w:val="20"/>
                <w:szCs w:val="20"/>
                <w:lang w:val="es-ES"/>
              </w:rPr>
              <w:t>3.4. Organizar cuatro campañas de sensibilización para un total de 400 participantes, entre los que se incluyen usuarios finales, asociaciones profesionales de ingeniería, arquitectura, diversos sectores industriales y otras asociaciones empresariales, sobre alternativas con alta eficiencia energética y de bajo PCA y sus beneficios económicos y medioambientales, así como sobre el mantenimiento preventivo</w:t>
            </w:r>
          </w:p>
        </w:tc>
        <w:tc>
          <w:tcPr>
            <w:tcW w:w="0" w:type="auto"/>
            <w:vAlign w:val="center"/>
          </w:tcPr>
          <w:p w14:paraId="210FB295" w14:textId="64A1C1DA" w:rsidR="00923136" w:rsidRPr="007D20B1" w:rsidRDefault="00923136" w:rsidP="00923136">
            <w:pPr>
              <w:jc w:val="right"/>
              <w:rPr>
                <w:sz w:val="20"/>
                <w:szCs w:val="20"/>
              </w:rPr>
            </w:pPr>
            <w:r>
              <w:rPr>
                <w:sz w:val="20"/>
                <w:szCs w:val="20"/>
              </w:rPr>
              <w:t>15.000</w:t>
            </w:r>
          </w:p>
        </w:tc>
        <w:tc>
          <w:tcPr>
            <w:tcW w:w="0" w:type="auto"/>
            <w:vAlign w:val="center"/>
          </w:tcPr>
          <w:p w14:paraId="7242CF20" w14:textId="2C96AC4D" w:rsidR="00923136" w:rsidRPr="007D20B1" w:rsidRDefault="00923136" w:rsidP="00923136">
            <w:pPr>
              <w:jc w:val="right"/>
              <w:rPr>
                <w:sz w:val="20"/>
                <w:szCs w:val="20"/>
              </w:rPr>
            </w:pPr>
            <w:r>
              <w:rPr>
                <w:sz w:val="20"/>
                <w:szCs w:val="20"/>
              </w:rPr>
              <w:t>7.500</w:t>
            </w:r>
          </w:p>
        </w:tc>
      </w:tr>
      <w:tr w:rsidR="00923136" w:rsidRPr="0025090F" w14:paraId="503932F0" w14:textId="77777777" w:rsidTr="004A4EF5">
        <w:tc>
          <w:tcPr>
            <w:tcW w:w="0" w:type="auto"/>
            <w:vAlign w:val="center"/>
            <w:hideMark/>
          </w:tcPr>
          <w:p w14:paraId="2FE56BCD" w14:textId="6DBD54BA" w:rsidR="00923136" w:rsidRPr="00FF309B" w:rsidRDefault="00923136" w:rsidP="00A465CA">
            <w:pPr>
              <w:jc w:val="right"/>
              <w:rPr>
                <w:b/>
                <w:bCs/>
                <w:sz w:val="20"/>
                <w:szCs w:val="20"/>
              </w:rPr>
            </w:pPr>
            <w:r>
              <w:rPr>
                <w:b/>
                <w:bCs/>
                <w:sz w:val="20"/>
                <w:szCs w:val="20"/>
              </w:rPr>
              <w:t>Subtotal para el componente 3</w:t>
            </w:r>
          </w:p>
        </w:tc>
        <w:tc>
          <w:tcPr>
            <w:tcW w:w="0" w:type="auto"/>
            <w:vAlign w:val="center"/>
            <w:hideMark/>
          </w:tcPr>
          <w:p w14:paraId="0F657284" w14:textId="05F1CFBA" w:rsidR="00923136" w:rsidRPr="00FF309B" w:rsidRDefault="00E604D8" w:rsidP="00923136">
            <w:pPr>
              <w:jc w:val="right"/>
              <w:rPr>
                <w:b/>
                <w:bCs/>
                <w:sz w:val="20"/>
                <w:szCs w:val="20"/>
              </w:rPr>
            </w:pPr>
            <w:r>
              <w:rPr>
                <w:b/>
                <w:bCs/>
                <w:sz w:val="20"/>
                <w:szCs w:val="20"/>
              </w:rPr>
              <w:t>43.000</w:t>
            </w:r>
          </w:p>
        </w:tc>
        <w:tc>
          <w:tcPr>
            <w:tcW w:w="0" w:type="auto"/>
            <w:vAlign w:val="center"/>
            <w:hideMark/>
          </w:tcPr>
          <w:p w14:paraId="41E6D9AA" w14:textId="6EE31ECC" w:rsidR="00923136" w:rsidRPr="00FF309B" w:rsidRDefault="00E604D8" w:rsidP="00923136">
            <w:pPr>
              <w:jc w:val="right"/>
              <w:rPr>
                <w:b/>
                <w:bCs/>
                <w:sz w:val="20"/>
                <w:szCs w:val="20"/>
              </w:rPr>
            </w:pPr>
            <w:r>
              <w:rPr>
                <w:b/>
                <w:bCs/>
                <w:sz w:val="20"/>
                <w:szCs w:val="20"/>
              </w:rPr>
              <w:t>16.500</w:t>
            </w:r>
          </w:p>
        </w:tc>
      </w:tr>
      <w:tr w:rsidR="00923136" w:rsidRPr="00BE38DF" w14:paraId="7C0771B3" w14:textId="77777777" w:rsidTr="004A4EF5">
        <w:tc>
          <w:tcPr>
            <w:tcW w:w="0" w:type="auto"/>
            <w:gridSpan w:val="3"/>
            <w:vAlign w:val="center"/>
            <w:hideMark/>
          </w:tcPr>
          <w:p w14:paraId="4EBE77D1" w14:textId="77777777" w:rsidR="00923136" w:rsidRPr="007D20B1" w:rsidRDefault="00923136" w:rsidP="00923136">
            <w:pPr>
              <w:rPr>
                <w:sz w:val="20"/>
                <w:szCs w:val="20"/>
              </w:rPr>
            </w:pPr>
            <w:r>
              <w:rPr>
                <w:b/>
                <w:bCs/>
                <w:sz w:val="20"/>
                <w:szCs w:val="20"/>
              </w:rPr>
              <w:t>4. Coordinación, supervisión y evaluación</w:t>
            </w:r>
          </w:p>
        </w:tc>
      </w:tr>
      <w:tr w:rsidR="00923136" w:rsidRPr="00BE38DF" w14:paraId="3EF2E496" w14:textId="77777777" w:rsidTr="004A4EF5">
        <w:tc>
          <w:tcPr>
            <w:tcW w:w="0" w:type="auto"/>
            <w:vAlign w:val="center"/>
            <w:hideMark/>
          </w:tcPr>
          <w:p w14:paraId="44A1EBFE" w14:textId="0A7621E9" w:rsidR="00923136" w:rsidRPr="009556E6" w:rsidRDefault="00923136" w:rsidP="00923136">
            <w:pPr>
              <w:rPr>
                <w:sz w:val="20"/>
                <w:szCs w:val="20"/>
                <w:lang w:val="es-ES"/>
              </w:rPr>
            </w:pPr>
            <w:r>
              <w:rPr>
                <w:sz w:val="20"/>
                <w:szCs w:val="20"/>
                <w:lang w:val="es-ES"/>
              </w:rPr>
              <w:t xml:space="preserve">4.1. Actividades de coordinación, supervisión y evaluación (véase el párrafo 58) </w:t>
            </w:r>
          </w:p>
        </w:tc>
        <w:tc>
          <w:tcPr>
            <w:tcW w:w="0" w:type="auto"/>
            <w:vAlign w:val="center"/>
            <w:hideMark/>
          </w:tcPr>
          <w:p w14:paraId="12E754CE" w14:textId="77777777" w:rsidR="00923136" w:rsidRPr="007D20B1" w:rsidRDefault="00923136" w:rsidP="00923136">
            <w:pPr>
              <w:jc w:val="right"/>
              <w:rPr>
                <w:sz w:val="20"/>
                <w:szCs w:val="20"/>
              </w:rPr>
            </w:pPr>
            <w:r>
              <w:rPr>
                <w:sz w:val="20"/>
                <w:szCs w:val="20"/>
              </w:rPr>
              <w:t>13.000</w:t>
            </w:r>
          </w:p>
        </w:tc>
        <w:tc>
          <w:tcPr>
            <w:tcW w:w="0" w:type="auto"/>
            <w:vAlign w:val="center"/>
            <w:hideMark/>
          </w:tcPr>
          <w:p w14:paraId="4FAD1B08" w14:textId="77777777" w:rsidR="00923136" w:rsidRPr="007D20B1" w:rsidRDefault="00923136" w:rsidP="00923136">
            <w:pPr>
              <w:jc w:val="right"/>
              <w:rPr>
                <w:sz w:val="20"/>
                <w:szCs w:val="20"/>
              </w:rPr>
            </w:pPr>
            <w:r>
              <w:rPr>
                <w:sz w:val="20"/>
                <w:szCs w:val="20"/>
              </w:rPr>
              <w:t>6.500</w:t>
            </w:r>
          </w:p>
        </w:tc>
      </w:tr>
      <w:tr w:rsidR="00923136" w:rsidRPr="0025090F" w14:paraId="0886D42D" w14:textId="77777777" w:rsidTr="004A4EF5">
        <w:tc>
          <w:tcPr>
            <w:tcW w:w="0" w:type="auto"/>
            <w:vAlign w:val="center"/>
            <w:hideMark/>
          </w:tcPr>
          <w:p w14:paraId="073830CD" w14:textId="77777777" w:rsidR="00923136" w:rsidRPr="00FF309B" w:rsidRDefault="00923136" w:rsidP="00A465CA">
            <w:pPr>
              <w:jc w:val="right"/>
              <w:rPr>
                <w:b/>
                <w:bCs/>
                <w:sz w:val="20"/>
                <w:szCs w:val="20"/>
              </w:rPr>
            </w:pPr>
            <w:r>
              <w:rPr>
                <w:b/>
                <w:bCs/>
                <w:sz w:val="20"/>
                <w:szCs w:val="20"/>
              </w:rPr>
              <w:t>Subtotal para el componente 4</w:t>
            </w:r>
          </w:p>
        </w:tc>
        <w:tc>
          <w:tcPr>
            <w:tcW w:w="0" w:type="auto"/>
            <w:vAlign w:val="center"/>
            <w:hideMark/>
          </w:tcPr>
          <w:p w14:paraId="11B4E7F1" w14:textId="77777777" w:rsidR="00923136" w:rsidRPr="00FF309B" w:rsidRDefault="00923136" w:rsidP="00923136">
            <w:pPr>
              <w:jc w:val="right"/>
              <w:rPr>
                <w:b/>
                <w:bCs/>
                <w:sz w:val="20"/>
                <w:szCs w:val="20"/>
              </w:rPr>
            </w:pPr>
            <w:r>
              <w:rPr>
                <w:b/>
                <w:bCs/>
                <w:sz w:val="20"/>
                <w:szCs w:val="20"/>
              </w:rPr>
              <w:t>13.000</w:t>
            </w:r>
          </w:p>
        </w:tc>
        <w:tc>
          <w:tcPr>
            <w:tcW w:w="0" w:type="auto"/>
            <w:vAlign w:val="center"/>
            <w:hideMark/>
          </w:tcPr>
          <w:p w14:paraId="6432B641" w14:textId="77777777" w:rsidR="00923136" w:rsidRPr="00FF309B" w:rsidRDefault="00923136" w:rsidP="00923136">
            <w:pPr>
              <w:jc w:val="right"/>
              <w:rPr>
                <w:b/>
                <w:bCs/>
                <w:sz w:val="20"/>
                <w:szCs w:val="20"/>
              </w:rPr>
            </w:pPr>
            <w:r>
              <w:rPr>
                <w:b/>
                <w:bCs/>
                <w:sz w:val="20"/>
                <w:szCs w:val="20"/>
              </w:rPr>
              <w:t>6.500</w:t>
            </w:r>
          </w:p>
        </w:tc>
      </w:tr>
      <w:tr w:rsidR="00923136" w:rsidRPr="00BE38DF" w14:paraId="2F690BB1" w14:textId="77777777" w:rsidTr="004A4EF5">
        <w:tc>
          <w:tcPr>
            <w:tcW w:w="0" w:type="auto"/>
            <w:vAlign w:val="center"/>
            <w:hideMark/>
          </w:tcPr>
          <w:p w14:paraId="37867FCA" w14:textId="77777777" w:rsidR="00923136" w:rsidRPr="007D20B1" w:rsidRDefault="00923136" w:rsidP="00923136">
            <w:pPr>
              <w:rPr>
                <w:sz w:val="20"/>
                <w:szCs w:val="20"/>
              </w:rPr>
            </w:pPr>
            <w:r>
              <w:rPr>
                <w:b/>
                <w:bCs/>
                <w:sz w:val="20"/>
                <w:szCs w:val="20"/>
              </w:rPr>
              <w:t>Total general</w:t>
            </w:r>
          </w:p>
        </w:tc>
        <w:tc>
          <w:tcPr>
            <w:tcW w:w="0" w:type="auto"/>
            <w:vAlign w:val="center"/>
            <w:hideMark/>
          </w:tcPr>
          <w:p w14:paraId="3DE14020" w14:textId="77777777" w:rsidR="00923136" w:rsidRPr="007D20B1" w:rsidRDefault="00923136" w:rsidP="00923136">
            <w:pPr>
              <w:jc w:val="right"/>
              <w:rPr>
                <w:sz w:val="20"/>
                <w:szCs w:val="20"/>
              </w:rPr>
            </w:pPr>
            <w:r>
              <w:rPr>
                <w:b/>
                <w:bCs/>
                <w:sz w:val="20"/>
                <w:szCs w:val="20"/>
              </w:rPr>
              <w:t>135.000</w:t>
            </w:r>
          </w:p>
        </w:tc>
        <w:tc>
          <w:tcPr>
            <w:tcW w:w="0" w:type="auto"/>
            <w:vAlign w:val="center"/>
            <w:hideMark/>
          </w:tcPr>
          <w:p w14:paraId="0565DA01" w14:textId="77777777" w:rsidR="00923136" w:rsidRPr="007D20B1" w:rsidRDefault="00923136" w:rsidP="00923136">
            <w:pPr>
              <w:jc w:val="right"/>
              <w:rPr>
                <w:sz w:val="20"/>
                <w:szCs w:val="20"/>
              </w:rPr>
            </w:pPr>
            <w:r>
              <w:rPr>
                <w:b/>
                <w:bCs/>
                <w:sz w:val="20"/>
                <w:szCs w:val="20"/>
              </w:rPr>
              <w:t>72.500</w:t>
            </w:r>
          </w:p>
        </w:tc>
      </w:tr>
    </w:tbl>
    <w:p w14:paraId="5434AE70" w14:textId="77777777" w:rsidR="00CB0432" w:rsidRPr="009556E6" w:rsidRDefault="00CB0432" w:rsidP="00CB0432">
      <w:pPr>
        <w:keepNext/>
        <w:shd w:val="clear" w:color="auto" w:fill="FFFFFF" w:themeFill="background1"/>
        <w:spacing w:before="240" w:after="240"/>
        <w:rPr>
          <w:i/>
          <w:iCs/>
          <w:lang w:val="es-ES"/>
        </w:rPr>
      </w:pPr>
      <w:r>
        <w:rPr>
          <w:i/>
          <w:iCs/>
          <w:lang w:val="es-ES"/>
        </w:rPr>
        <w:t>Ejecución, coordinación y supervisión del proyecto</w:t>
      </w:r>
    </w:p>
    <w:p w14:paraId="5B66688A" w14:textId="4028D89B" w:rsidR="00CD1575" w:rsidRPr="009556E6" w:rsidRDefault="00CD1575" w:rsidP="00CD1575">
      <w:pPr>
        <w:pStyle w:val="Heading1"/>
        <w:rPr>
          <w:lang w:val="es-ES" w:eastAsia="en-CA"/>
          <w14:ligatures w14:val="standardContextual"/>
        </w:rPr>
      </w:pPr>
      <w:r>
        <w:rPr>
          <w:lang w:val="es-ES"/>
        </w:rPr>
        <w:t xml:space="preserve">La ejecución, coordinación y supervisión del proyecto correrán a cargo de la ONO, siguiendo el enfoque de seguimiento, evaluación y notificación utilizado en el marco del PGEH. El costo total de este componente asciende a USD 13.000 para la etapa I, incluyendo consultoría (USD 6.000), viajes (USD 3.000), reuniones (USD 3.000) y otros gastos (USD 1.000). </w:t>
      </w:r>
    </w:p>
    <w:p w14:paraId="308C9027" w14:textId="77777777" w:rsidR="00CB0432" w:rsidRPr="009556E6" w:rsidRDefault="00CB0432" w:rsidP="00CB0432">
      <w:pPr>
        <w:pStyle w:val="Heading1"/>
        <w:keepNext/>
        <w:numPr>
          <w:ilvl w:val="0"/>
          <w:numId w:val="0"/>
        </w:numPr>
        <w:spacing w:before="240"/>
        <w:rPr>
          <w:u w:val="single"/>
          <w:lang w:val="es-ES"/>
        </w:rPr>
      </w:pPr>
      <w:r>
        <w:rPr>
          <w:u w:val="single"/>
          <w:lang w:val="es-ES"/>
        </w:rPr>
        <w:t>Costo total de la etapa I del plan de aplicación de la Enmienda de Kigali relativa a los HFC</w:t>
      </w:r>
    </w:p>
    <w:p w14:paraId="64950F4A" w14:textId="0218847C" w:rsidR="008830C0" w:rsidRPr="009556E6" w:rsidRDefault="008830C0" w:rsidP="008830C0">
      <w:pPr>
        <w:pStyle w:val="Heading1"/>
        <w:rPr>
          <w:lang w:val="es-ES" w:eastAsia="en-CA"/>
          <w14:ligatures w14:val="standardContextual"/>
        </w:rPr>
      </w:pPr>
      <w:bookmarkStart w:id="12" w:name="_Hlk118631498"/>
      <w:r>
        <w:rPr>
          <w:lang w:val="es-ES"/>
        </w:rPr>
        <w:t>Se propone un presupuesto para la etapa I de USD 135.000. El costo de las actividades del sector de servicio técnico de equipos de refrigeración se ha propuesto de conformidad con la decisión 92/37.</w:t>
      </w:r>
    </w:p>
    <w:bookmarkEnd w:id="12"/>
    <w:p w14:paraId="3248B6DB" w14:textId="02341DAD" w:rsidR="00AD6E42" w:rsidRPr="009556E6" w:rsidRDefault="008830C0" w:rsidP="00AD6E42">
      <w:pPr>
        <w:pStyle w:val="Heading1"/>
        <w:numPr>
          <w:ilvl w:val="0"/>
          <w:numId w:val="0"/>
        </w:numPr>
        <w:rPr>
          <w:u w:val="single"/>
          <w:lang w:val="es-ES"/>
        </w:rPr>
      </w:pPr>
      <w:r>
        <w:rPr>
          <w:u w:val="single"/>
          <w:lang w:val="es-ES"/>
        </w:rPr>
        <w:t>Plan de ejecución del primer tramo</w:t>
      </w:r>
      <w:bookmarkStart w:id="13" w:name="_Hlk126916095"/>
    </w:p>
    <w:p w14:paraId="0E72FC30" w14:textId="2D698AFD" w:rsidR="00AD6E42" w:rsidRPr="009556E6" w:rsidRDefault="00AD6E42" w:rsidP="000E7281">
      <w:pPr>
        <w:pStyle w:val="Heading1"/>
        <w:rPr>
          <w:u w:val="single"/>
          <w:lang w:val="es-ES"/>
        </w:rPr>
      </w:pPr>
      <w:r>
        <w:rPr>
          <w:lang w:val="es-ES"/>
        </w:rPr>
        <w:t>Se presentó el primer tramo de financiación de la etapa I del PAK por un monto total de USD 72.500, como se indica en el cuadro 10 anterior, que se ejecutará entre enero de 2027 y diciembre de 2029. En el párrafo 71 a continuación se presenta información detallada sobre las actividades que se ejecutarán en el marco del primer tramo, incluyendo los ajustes, y el nivel de fondos acordado.</w:t>
      </w:r>
    </w:p>
    <w:p w14:paraId="45C0FD12" w14:textId="77777777" w:rsidR="00CB0432" w:rsidRPr="009556E6" w:rsidRDefault="00CB0432" w:rsidP="00CB0432">
      <w:pPr>
        <w:keepNext/>
        <w:spacing w:before="360" w:after="240"/>
        <w:jc w:val="center"/>
        <w:rPr>
          <w:b/>
          <w:lang w:val="es-ES"/>
        </w:rPr>
      </w:pPr>
      <w:r>
        <w:rPr>
          <w:b/>
          <w:lang w:val="es-ES"/>
        </w:rPr>
        <w:lastRenderedPageBreak/>
        <w:t>OBSERVACIONES Y RECOMENDACIÓN DE LA SECRETARÍA</w:t>
      </w:r>
    </w:p>
    <w:p w14:paraId="17B98664" w14:textId="77777777" w:rsidR="00CB0432" w:rsidRPr="00BE38DF" w:rsidRDefault="00CB0432" w:rsidP="00CB0432">
      <w:pPr>
        <w:pStyle w:val="Heading2"/>
        <w:keepNext/>
        <w:numPr>
          <w:ilvl w:val="0"/>
          <w:numId w:val="0"/>
        </w:numPr>
        <w:rPr>
          <w:b/>
          <w:bCs/>
        </w:rPr>
      </w:pPr>
      <w:r>
        <w:rPr>
          <w:b/>
          <w:bCs/>
        </w:rPr>
        <w:t>V.</w:t>
      </w:r>
      <w:r>
        <w:rPr>
          <w:b/>
          <w:bCs/>
        </w:rPr>
        <w:tab/>
        <w:t>Observaciones</w:t>
      </w:r>
    </w:p>
    <w:p w14:paraId="5C99242F" w14:textId="77777777" w:rsidR="00571BEE" w:rsidRPr="00BE38DF" w:rsidRDefault="00CB0432" w:rsidP="00571BEE">
      <w:pPr>
        <w:pStyle w:val="Heading1"/>
        <w:keepNext/>
        <w:numPr>
          <w:ilvl w:val="0"/>
          <w:numId w:val="0"/>
        </w:numPr>
        <w:rPr>
          <w:u w:val="single"/>
        </w:rPr>
      </w:pPr>
      <w:bookmarkStart w:id="14" w:name="_Hlk126916105"/>
      <w:bookmarkEnd w:id="13"/>
      <w:r>
        <w:rPr>
          <w:u w:val="single"/>
        </w:rPr>
        <w:t>Estrategia general</w:t>
      </w:r>
      <w:bookmarkStart w:id="15" w:name="_Hlk126916111"/>
      <w:bookmarkEnd w:id="14"/>
    </w:p>
    <w:p w14:paraId="5AEB01F2" w14:textId="6D2759B5" w:rsidR="00D4519B" w:rsidRPr="009556E6" w:rsidRDefault="00747AE5" w:rsidP="00571BEE">
      <w:pPr>
        <w:pStyle w:val="Heading1"/>
        <w:rPr>
          <w:lang w:val="es-ES"/>
        </w:rPr>
      </w:pPr>
      <w:r>
        <w:rPr>
          <w:lang w:val="es-ES"/>
        </w:rPr>
        <w:t>En la 63</w:t>
      </w:r>
      <w:r>
        <w:rPr>
          <w:vertAlign w:val="superscript"/>
          <w:lang w:val="es-ES"/>
        </w:rPr>
        <w:t>a</w:t>
      </w:r>
      <w:r>
        <w:rPr>
          <w:lang w:val="es-ES"/>
        </w:rPr>
        <w:t> reunión, durante el examen de la etapa I del PGEH, se tomó nota de que el consumo básico de HCFC para el cumplimiento era de 2,2 toneladas PAO, calculado como la media del consumo informado en virtud del artículo 7 del Protocolo de Montreal para 2009 (4,1 toneladas PAO) y 2010 (0,2 toneladas PAO). El examen también reveló que el consumo de HCFC en 2009 se había sobreestimado. Sobre la base del estudio realizado para la preparación del PGEH, el Gobierno de Santo Tomé y Príncipe acordó establecer su punto de partida para reducciones acumuladas sostenidas en el consumo de HCFC en 0,15 toneladas PAO, que es la media entre las 0,1 toneladas PAO de 2009 —notificadas en el marco del PGEH— y las 0,2 toneladas PAO de 2020 —notificadas en virtud del artículo 7—. El nivel básico de los HCFC se mantuvo sin cambios.</w:t>
      </w:r>
    </w:p>
    <w:p w14:paraId="27492B16" w14:textId="459AAEB5" w:rsidR="003573D8" w:rsidRPr="009556E6" w:rsidRDefault="003573D8" w:rsidP="003573D8">
      <w:pPr>
        <w:pStyle w:val="Heading1"/>
        <w:rPr>
          <w:lang w:val="es-ES"/>
        </w:rPr>
      </w:pPr>
      <w:r>
        <w:rPr>
          <w:lang w:val="es-ES"/>
        </w:rPr>
        <w:t>La Secretaría tomó nota de que, si se revisara el nivel básico de los HCFC para reflejar el punto de partida de los HCFC, el componente de HCFC del nivel básico de HFC sería menor, lo que daría lugar a un nivel básico de HFC de 28.402 toneladas de CO</w:t>
      </w:r>
      <w:r>
        <w:rPr>
          <w:vertAlign w:val="subscript"/>
          <w:lang w:val="es-ES"/>
        </w:rPr>
        <w:t>2</w:t>
      </w:r>
      <w:r>
        <w:rPr>
          <w:lang w:val="es-ES"/>
        </w:rPr>
        <w:t xml:space="preserve"> equivalente. Sin embargo, el país había propuesto 38.962 toneladas de CO</w:t>
      </w:r>
      <w:r>
        <w:rPr>
          <w:vertAlign w:val="subscript"/>
          <w:lang w:val="es-ES"/>
        </w:rPr>
        <w:t>2</w:t>
      </w:r>
      <w:r>
        <w:rPr>
          <w:lang w:val="es-ES"/>
        </w:rPr>
        <w:t xml:space="preserve"> equivalente como consumo máximo permitido para 2026. El PNUMA explicó que el consumo de HCFC en Santo Tomé y Príncipe ha sido históricamente muy bajo y que el país había acordado un punto de partida de 0,15 toneladas PAO basándose en el estudio de la etapa I del PGEH. El consumo de HFC, por el contrario, ha seguido una tendencia marcadamente diferente, duplicándose entre 2020 y 2025. El PNUMA indicó que se espera que el turismo siga siendo un motor clave del crecimiento económico en 2026 y en el período posterior a ese año, lo que mantendrá la demanda de servicios de aire acondicionado y de refrigeración comercial. Dada la proporción relativamente elevada de HCFC en el nivel básico de consumo de HFC establecido y el bajo punto de partida de HCFC en el PGEH, el país propuso, en la etapa I del PAK, una reducción del 50,64 % respecto al nivel básico de HFC para el 1 de enero de 2029, y un consumo máximo permitido de HFC de 38.962 toneladas de CO</w:t>
      </w:r>
      <w:r>
        <w:rPr>
          <w:vertAlign w:val="subscript"/>
          <w:lang w:val="es-ES"/>
        </w:rPr>
        <w:t>2</w:t>
      </w:r>
      <w:r>
        <w:rPr>
          <w:lang w:val="es-ES"/>
        </w:rPr>
        <w:t xml:space="preserve"> equivalente en 2026, basándose en el consumo real de los últimos años y en las previsiones de crecimiento del mercado. </w:t>
      </w:r>
    </w:p>
    <w:p w14:paraId="48BEB123" w14:textId="74F41757" w:rsidR="00C712C0" w:rsidRPr="009556E6" w:rsidRDefault="00B7567B" w:rsidP="00303058">
      <w:pPr>
        <w:pStyle w:val="Heading1"/>
        <w:rPr>
          <w:u w:val="single"/>
          <w:lang w:val="es-ES"/>
        </w:rPr>
      </w:pPr>
      <w:r>
        <w:rPr>
          <w:lang w:val="es-ES"/>
        </w:rPr>
        <w:t>Tras debatir el tema más detalladamente, la Secretaría tomó nota de que el consumo de HFC del país ha superado las 28.402 toneladas de CO</w:t>
      </w:r>
      <w:r>
        <w:rPr>
          <w:vertAlign w:val="subscript"/>
          <w:lang w:val="es-ES"/>
        </w:rPr>
        <w:t>2</w:t>
      </w:r>
      <w:r>
        <w:rPr>
          <w:lang w:val="es-ES"/>
        </w:rPr>
        <w:t xml:space="preserve"> equivalente cada año desde 2021, alcanzando las 34.040 toneladas de CO</w:t>
      </w:r>
      <w:r>
        <w:rPr>
          <w:vertAlign w:val="subscript"/>
          <w:lang w:val="es-ES"/>
        </w:rPr>
        <w:t>2</w:t>
      </w:r>
      <w:r>
        <w:rPr>
          <w:lang w:val="es-ES"/>
        </w:rPr>
        <w:t xml:space="preserve"> equivalente en 2025, lo que indica que las necesidades reales de HFC del país son superiores a ese nivel. El consumo máximo permitido propuesto de 38.962 toneladas de CO</w:t>
      </w:r>
      <w:r>
        <w:rPr>
          <w:vertAlign w:val="subscript"/>
          <w:lang w:val="es-ES"/>
        </w:rPr>
        <w:t>2</w:t>
      </w:r>
      <w:r>
        <w:rPr>
          <w:lang w:val="es-ES"/>
        </w:rPr>
        <w:t xml:space="preserve"> equivalente en 2026 tiene en cuenta la volatilidad estructural del consumo que presentan los países con un consumo muy reducido, en los que se producen uno o dos envíos al año, a lo que se suma la limitada frecuencia de los envíos y la capacidad de almacenamiento típicas de los pequeños Estados insulares. Teniendo en cuenta estos factores, la Secretaría considera aceptable el nivel propuesto. Según el cronograma de reducción propuesto, el país reduciría entonces el consumo en un 10 % con respecto a este nivel para 2029, lo que daría lugar a un consumo máximo permitido de 35.066 toneladas de CO</w:t>
      </w:r>
      <w:r>
        <w:rPr>
          <w:vertAlign w:val="subscript"/>
          <w:lang w:val="es-ES"/>
        </w:rPr>
        <w:t>2</w:t>
      </w:r>
      <w:r>
        <w:rPr>
          <w:lang w:val="es-ES"/>
        </w:rPr>
        <w:t xml:space="preserve"> equivalente, equivalente a una reducción del 50,64 % respecto al nivel básico de consumo de HFC. </w:t>
      </w:r>
    </w:p>
    <w:p w14:paraId="723622A6" w14:textId="12D677CD" w:rsidR="00CB0432" w:rsidRPr="009556E6" w:rsidRDefault="00CB0432" w:rsidP="00C712C0">
      <w:pPr>
        <w:pStyle w:val="Heading1"/>
        <w:numPr>
          <w:ilvl w:val="0"/>
          <w:numId w:val="0"/>
        </w:numPr>
        <w:rPr>
          <w:u w:val="single"/>
          <w:lang w:val="es-ES"/>
        </w:rPr>
      </w:pPr>
      <w:r>
        <w:rPr>
          <w:u w:val="single"/>
          <w:lang w:val="es-ES"/>
        </w:rPr>
        <w:t>Marco institucional, normativo y reglamentario</w:t>
      </w:r>
    </w:p>
    <w:bookmarkEnd w:id="15"/>
    <w:p w14:paraId="21DC2F92" w14:textId="77777777" w:rsidR="00CB0432" w:rsidRPr="009556E6" w:rsidRDefault="00CB0432" w:rsidP="00CB0432">
      <w:pPr>
        <w:widowControl w:val="0"/>
        <w:suppressAutoHyphens/>
        <w:spacing w:after="240"/>
        <w:rPr>
          <w:i/>
          <w:iCs/>
          <w:lang w:val="es-ES"/>
        </w:rPr>
      </w:pPr>
      <w:r>
        <w:rPr>
          <w:i/>
          <w:iCs/>
          <w:lang w:val="es-ES"/>
        </w:rPr>
        <w:t>Sistema de concesión de licencias y cupos de HFC</w:t>
      </w:r>
    </w:p>
    <w:p w14:paraId="36DB206E" w14:textId="17D2EE56" w:rsidR="00B76470" w:rsidRPr="009556E6" w:rsidRDefault="00CB0432" w:rsidP="00415D92">
      <w:pPr>
        <w:pStyle w:val="Heading1"/>
        <w:rPr>
          <w:lang w:val="es-ES"/>
        </w:rPr>
      </w:pPr>
      <w:r>
        <w:rPr>
          <w:lang w:val="es-ES"/>
        </w:rPr>
        <w:t>De acuerdo con lo dispuesto en la decisión 87/50 g), el PNUMA ha confirmado que Santo Tomé y Príncipe cuenta con un sistema establecido y exigible de licencias y cupos de HFC para el seguimiento de las importaciones y exportaciones de HFC. El cupo para 2026 se ha fijado en 36.513 toneladas de CO</w:t>
      </w:r>
      <w:r>
        <w:rPr>
          <w:vertAlign w:val="subscript"/>
          <w:lang w:val="es-ES"/>
        </w:rPr>
        <w:t>2</w:t>
      </w:r>
      <w:r>
        <w:rPr>
          <w:lang w:val="es-ES"/>
        </w:rPr>
        <w:t xml:space="preserve"> equivalente, lo que es inferior al máximo admisible propuesto en el Acuerdo.</w:t>
      </w:r>
    </w:p>
    <w:p w14:paraId="33BE4DE6" w14:textId="25199D7E" w:rsidR="009A51C3" w:rsidRPr="009556E6" w:rsidRDefault="00FF6908">
      <w:pPr>
        <w:pStyle w:val="Heading1"/>
        <w:rPr>
          <w:lang w:val="es-ES"/>
        </w:rPr>
      </w:pPr>
      <w:r>
        <w:rPr>
          <w:lang w:val="es-ES"/>
        </w:rPr>
        <w:lastRenderedPageBreak/>
        <w:t>Señalando que aún no se ha aprobado ningún texto legal que aborde específicamente los HFC y que, mientras tanto, el decreto que regula el sistema de control de importaciones de sustancias que agotan la capa de ozono (SAO) se ha aplicado a los HFC, la Secretaría preguntó cómo se gestiona el control de las importaciones y cómo se emiten los cupos. El PNUMA respondió que el sistema actual se mantendrá hasta que se apruebe el nuevo decreto sobre la importación, la comercialización, el uso y la reexportación de HFC. Mientras tanto, se garantizará el cumplimiento continuo mediante la supervisión de la ONO, en estrecha colaboración con las autoridades aduaneras, el Ministerio de Comercio y las ocho personas importadoras de HFC. Los cupos se emiten en toneladas métricas, y la ONO supervisa el consumo junto con las ocho personas importadoras para garantizar que se mantenga dentro del límite.</w:t>
      </w:r>
    </w:p>
    <w:p w14:paraId="178D7362" w14:textId="6B744173" w:rsidR="00633DE3" w:rsidRPr="009556E6" w:rsidRDefault="009E151B" w:rsidP="00633DE3">
      <w:pPr>
        <w:pStyle w:val="Heading1"/>
        <w:rPr>
          <w:lang w:val="es-ES"/>
        </w:rPr>
      </w:pPr>
      <w:r>
        <w:rPr>
          <w:lang w:val="es-ES"/>
        </w:rPr>
        <w:t>En cuanto al decreto sobre los HFC, una actividad prevista en el proyecto propuesto, el PNUMA explicó que el decreto previsto abordará específicamente la importación, la exportación y el uso de los HFC. También podría incluir otras medidas reglamentarias, como las destinadas a evitar la liberación de HFC durante la instalación, el servicio técnico y el desmantelamiento de equipos de refrigeración y aire acondicionado; controles de fugas en equipos que utilizan HFC de mayor tamaño; prácticas de mantenimiento de registros; y la recuperación obligatoria de HFC durante el servicio técnico, así como de los contenedores y equipos al final de su vida útil. En función de los avances en la introducción del sistema de certificación en el marco de la etapa II del PGEH, el decreto podría incluir disposiciones relacionadas, si fuera necesario. De lo contrario, el sistema de certificación se regulará mediante reglamentaciones independientes.</w:t>
      </w:r>
    </w:p>
    <w:p w14:paraId="4FC8F2C7" w14:textId="37C28005" w:rsidR="00F27E4B" w:rsidRPr="009556E6" w:rsidRDefault="00CB0432" w:rsidP="00F27E4B">
      <w:pPr>
        <w:keepNext/>
        <w:spacing w:after="240"/>
        <w:rPr>
          <w:lang w:val="es-ES"/>
        </w:rPr>
      </w:pPr>
      <w:bookmarkStart w:id="16" w:name="_Hlk126916116"/>
      <w:r>
        <w:rPr>
          <w:u w:val="single"/>
          <w:lang w:val="es-ES"/>
        </w:rPr>
        <w:t xml:space="preserve">Cuestiones técnicas y relacionadas con los costos </w:t>
      </w:r>
    </w:p>
    <w:p w14:paraId="09510A14" w14:textId="7282106F" w:rsidR="00F27E4B" w:rsidRPr="009556E6" w:rsidRDefault="00CD5730">
      <w:pPr>
        <w:pStyle w:val="Heading1"/>
        <w:rPr>
          <w:lang w:val="es-ES"/>
        </w:rPr>
      </w:pPr>
      <w:r>
        <w:rPr>
          <w:lang w:val="es-ES"/>
        </w:rPr>
        <w:t>En cuanto a las prohibiciones de equipos que utilizan HFC, el PNUMA indicó que el país considerará la introducción de prohibiciones y restricciones graduales a la importación en el marco de la etapa I del PAK. Antes de adoptar cualquier prohibición, se llevará a cabo una evaluación para valorar la disponibilidad y la asequibilidad de las tecnologías alternativas en cada sector, así como su impacto económico. En función de los resultados, se tomarán decisiones sobre los tipos de equipos que utilizan HFC que se prohibirán y el calendario de las prohibiciones. Además, el país evaluará si las prohibiciones deben aplicarse a los equipos nuevos y/o usados y finalizará las fechas concretas de ejecución. Se podría dar prioridad inicial a los refrigeradores domésticos que utilizan HFC‑134a y a los equipos de refrigeración comercial que utilizan R‑404A, en los que ya existen alternativas disponibles. Se llevarán a cabo consultas con las partes interesadas, en particular con las personas importadoras, para garantizar un enfoque equilibrado que respalde las necesidades del mercado y, al mismo tiempo, cumpla los objetivos de la Enmienda de Kigali. Los avances y las decisiones que se adopten sobre el alcance y el calendario de las prohibiciones de importar se comunicarán con la presentación del segundo tramo de la etapa I del PAK.</w:t>
      </w:r>
    </w:p>
    <w:p w14:paraId="6882ACE0" w14:textId="46EAC625" w:rsidR="00AA426B" w:rsidRPr="009556E6" w:rsidRDefault="00AA426B" w:rsidP="00AA426B">
      <w:pPr>
        <w:pStyle w:val="Heading1"/>
        <w:rPr>
          <w:lang w:val="es-ES"/>
        </w:rPr>
      </w:pPr>
      <w:r>
        <w:rPr>
          <w:lang w:val="es-ES"/>
        </w:rPr>
        <w:t>Teniendo en cuenta los elevados niveles de consumo de HFC en los sectores del aire acondicionado residencial y la refrigeración comercial, la Secretaría solicitó información adicional sobre la estrategia para abordar esta cuestión. El PNUMA explicó que ha entrado en el mercado un pequeño número de unidades que utilizan alternativas (HFC‑32 para el aire acondicionado residencial y R‑290 para el sector de la pequeña refrigeración comercial). La etapa I del PAK se centrará en actividades normativas y de creación de capacidad para generar un entorno propicio que permita la penetración de dichas tecnologías en el mercado. En el marco de las medidas normativas, se espera que la elaboración de normas para los refrigerantes inflamables, las prohibiciones que está considerando el país y las mejoras en el sistema de cupos para incentivar la importación de tecnologías de bajo PCA presten asistencia a la penetración en el mercado de las tecnologías alternativas. Las actividades de creación de capacidad, que incluyen la formación de personas técnicas de refrigeración y aire acondicionado y de MAC, la actualización de los planes de formación y otras actividades de sensibilización, prepararán al mercado para la adopción de tecnologías alternativas.</w:t>
      </w:r>
    </w:p>
    <w:p w14:paraId="5D3E4462" w14:textId="25275948" w:rsidR="00555237" w:rsidRPr="00555237" w:rsidRDefault="007672B8" w:rsidP="00555237">
      <w:pPr>
        <w:pStyle w:val="Heading1"/>
      </w:pPr>
      <w:r>
        <w:rPr>
          <w:lang w:val="es-ES"/>
        </w:rPr>
        <w:t xml:space="preserve">Tras un debate más detallado sobre los sectores con un elevado consumo de HFC y la elevada tasa de fugas de los equipos, y sin rebasar el presupuesto global, se añadieron dos actividades adicionales en el </w:t>
      </w:r>
      <w:r>
        <w:rPr>
          <w:lang w:val="es-ES"/>
        </w:rPr>
        <w:lastRenderedPageBreak/>
        <w:t xml:space="preserve">componente 3. Los costos de otras actividades se racionalizaron y ajustaron en consecuencia. En el cuadro 11 que figura a continuación se presenta un presupuesto actualizado. </w:t>
      </w:r>
      <w:r>
        <w:t>Las dos actividades adicionales incluyen:</w:t>
      </w:r>
    </w:p>
    <w:p w14:paraId="76AAD3A8" w14:textId="55BEDF43" w:rsidR="006F275E" w:rsidRPr="009556E6" w:rsidRDefault="0099530D" w:rsidP="0099530D">
      <w:pPr>
        <w:pStyle w:val="Heading2"/>
        <w:rPr>
          <w:lang w:val="es-ES"/>
        </w:rPr>
      </w:pPr>
      <w:r>
        <w:rPr>
          <w:lang w:val="es-ES"/>
        </w:rPr>
        <w:t>Adquisición de herramientas para los centros de capacitación: dos juegos de aparatos de aire acondicionado domésticos, detectores de fugas y máquinas de reciclaje (USD 2.500);</w:t>
      </w:r>
    </w:p>
    <w:p w14:paraId="0DC150F2" w14:textId="65C63903" w:rsidR="00555237" w:rsidRPr="009556E6" w:rsidRDefault="006F275E" w:rsidP="00753B95">
      <w:pPr>
        <w:pStyle w:val="Heading2"/>
        <w:keepNext/>
        <w:rPr>
          <w:lang w:val="es-ES"/>
        </w:rPr>
      </w:pPr>
      <w:r>
        <w:rPr>
          <w:lang w:val="es-ES"/>
        </w:rPr>
        <w:t>Elaboración de una guía práctica sobre detección y prevención de fugas dirigida a las personas que se dedican a la instalación, el servicio técnico, el mantenimiento y el desmantelamiento de equipos de refrigeración y aire acondicionado, complementada con al menos dos talleres de creación de capacidad dirigidos a 400 usuarios finales, especialmente en los subsectores de la refrigeración comercial y el aire acondicionado residencial. Los talleres ofrecerán orientación y demostraciones prácticas sobre cómo diagnosticar y optimizar el rendimiento de los sistemas de refrigeración y aire acondicionado, reducir las fugas de refrigerante, disminuir los costos de adquisición de refrigerante, reducir los costos energéticos, minimizar el tiempo de detención de los equipos y reducir las emisiones</w:t>
      </w:r>
      <w:bookmarkEnd w:id="16"/>
      <w:r>
        <w:rPr>
          <w:lang w:val="es-ES"/>
        </w:rPr>
        <w:t xml:space="preserve"> (USD 8.000).</w:t>
      </w:r>
    </w:p>
    <w:p w14:paraId="39204BF0" w14:textId="739DF4B2" w:rsidR="00CB0432" w:rsidRPr="00BE38DF" w:rsidRDefault="00CB0432" w:rsidP="00555237">
      <w:pPr>
        <w:pStyle w:val="Heading2"/>
        <w:keepNext/>
        <w:numPr>
          <w:ilvl w:val="0"/>
          <w:numId w:val="0"/>
        </w:numPr>
      </w:pPr>
      <w:r>
        <w:rPr>
          <w:u w:val="single"/>
        </w:rPr>
        <w:t>Costo total del proyecto</w:t>
      </w:r>
    </w:p>
    <w:p w14:paraId="7003C152" w14:textId="26CBB9E7" w:rsidR="006733AC" w:rsidRPr="009556E6" w:rsidRDefault="006733AC" w:rsidP="006733AC">
      <w:pPr>
        <w:pStyle w:val="Heading1"/>
        <w:rPr>
          <w:lang w:val="es-ES"/>
        </w:rPr>
      </w:pPr>
      <w:r>
        <w:rPr>
          <w:lang w:val="es-ES"/>
        </w:rPr>
        <w:t>Con un costo total de USD 135.000, la etapa I del PAK para Santo Tomé y Príncipe dará lugar a una reducción de 35.973 toneladas de CO</w:t>
      </w:r>
      <w:r>
        <w:rPr>
          <w:vertAlign w:val="subscript"/>
          <w:lang w:val="es-ES"/>
        </w:rPr>
        <w:t>2</w:t>
      </w:r>
      <w:r>
        <w:rPr>
          <w:lang w:val="es-ES"/>
        </w:rPr>
        <w:t xml:space="preserve"> equivalente del consumo de HFC admisible para financiamiento, tal y como se resume en el párrafo 61 anterior. Si bien no se introdujeron cambios en el presupuesto general, se llevó a cabo una reasignación entre los componentes del presupuesto original. Tras las revisiones, el financiamiento del primer tramo aumentó de USD 72.500 a USD 74.500 debido a la reasignación entre componentes. En el cuadro 11 que figura a continuación se presenta un resumen de los costos convenidos.</w:t>
      </w:r>
    </w:p>
    <w:p w14:paraId="33B6B7BD" w14:textId="45F7480F" w:rsidR="007224ED" w:rsidRPr="009556E6" w:rsidRDefault="007224ED" w:rsidP="007224ED">
      <w:pPr>
        <w:keepNext/>
        <w:rPr>
          <w:b/>
          <w:bCs/>
          <w:lang w:val="es-ES"/>
        </w:rPr>
      </w:pPr>
      <w:r>
        <w:rPr>
          <w:b/>
          <w:bCs/>
          <w:lang w:val="es-ES"/>
        </w:rPr>
        <w:t>Cuadro 11. Presupuesto acordado para la etapa I y el primer tramo</w:t>
      </w:r>
    </w:p>
    <w:tbl>
      <w:tblPr>
        <w:tblStyle w:val="TableGrid"/>
        <w:tblW w:w="9363" w:type="dxa"/>
        <w:jc w:val="center"/>
        <w:tblLook w:val="04A0" w:firstRow="1" w:lastRow="0" w:firstColumn="1" w:lastColumn="0" w:noHBand="0" w:noVBand="1"/>
      </w:tblPr>
      <w:tblGrid>
        <w:gridCol w:w="5220"/>
        <w:gridCol w:w="1035"/>
        <w:gridCol w:w="1036"/>
        <w:gridCol w:w="1036"/>
        <w:gridCol w:w="1036"/>
      </w:tblGrid>
      <w:tr w:rsidR="007224ED" w14:paraId="54E2D20F" w14:textId="77777777" w:rsidTr="001348F0">
        <w:trPr>
          <w:trHeight w:val="238"/>
          <w:tblHeader/>
          <w:jc w:val="center"/>
        </w:trPr>
        <w:tc>
          <w:tcPr>
            <w:tcW w:w="5220" w:type="dxa"/>
            <w:vMerge w:val="restart"/>
            <w:tcBorders>
              <w:top w:val="single" w:sz="4" w:space="0" w:color="auto"/>
            </w:tcBorders>
            <w:vAlign w:val="center"/>
          </w:tcPr>
          <w:p w14:paraId="03B3961F" w14:textId="77777777" w:rsidR="007224ED" w:rsidRPr="00B76B76" w:rsidRDefault="007224ED">
            <w:pPr>
              <w:keepNext/>
              <w:jc w:val="center"/>
              <w:rPr>
                <w:b/>
                <w:bCs/>
              </w:rPr>
            </w:pPr>
            <w:r>
              <w:rPr>
                <w:b/>
                <w:sz w:val="20"/>
                <w:szCs w:val="20"/>
              </w:rPr>
              <w:t>Actividad</w:t>
            </w:r>
          </w:p>
        </w:tc>
        <w:tc>
          <w:tcPr>
            <w:tcW w:w="2071" w:type="dxa"/>
            <w:gridSpan w:val="2"/>
            <w:vAlign w:val="center"/>
          </w:tcPr>
          <w:p w14:paraId="1B92C92E" w14:textId="77777777" w:rsidR="007224ED" w:rsidRDefault="007224ED">
            <w:pPr>
              <w:keepNext/>
              <w:jc w:val="center"/>
            </w:pPr>
            <w:r>
              <w:rPr>
                <w:b/>
                <w:bCs/>
                <w:sz w:val="20"/>
                <w:szCs w:val="20"/>
              </w:rPr>
              <w:t>Original (</w:t>
            </w:r>
            <w:r>
              <w:rPr>
                <w:b/>
                <w:bCs/>
                <w:color w:val="000000"/>
                <w:sz w:val="20"/>
              </w:rPr>
              <w:t>USD</w:t>
            </w:r>
            <w:r>
              <w:rPr>
                <w:b/>
                <w:bCs/>
                <w:sz w:val="20"/>
                <w:szCs w:val="20"/>
              </w:rPr>
              <w:t>)</w:t>
            </w:r>
          </w:p>
        </w:tc>
        <w:tc>
          <w:tcPr>
            <w:tcW w:w="2072" w:type="dxa"/>
            <w:gridSpan w:val="2"/>
            <w:vAlign w:val="center"/>
          </w:tcPr>
          <w:p w14:paraId="693C99BD" w14:textId="77777777" w:rsidR="007224ED" w:rsidRDefault="007224ED">
            <w:pPr>
              <w:keepNext/>
              <w:jc w:val="center"/>
            </w:pPr>
            <w:r>
              <w:rPr>
                <w:b/>
                <w:bCs/>
                <w:sz w:val="20"/>
                <w:szCs w:val="20"/>
              </w:rPr>
              <w:t>Revisado (</w:t>
            </w:r>
            <w:r>
              <w:rPr>
                <w:b/>
                <w:bCs/>
                <w:color w:val="000000"/>
                <w:sz w:val="20"/>
              </w:rPr>
              <w:t>USD</w:t>
            </w:r>
            <w:r>
              <w:rPr>
                <w:b/>
                <w:bCs/>
                <w:sz w:val="20"/>
                <w:szCs w:val="20"/>
              </w:rPr>
              <w:t>)</w:t>
            </w:r>
          </w:p>
        </w:tc>
      </w:tr>
      <w:tr w:rsidR="007224ED" w14:paraId="69E319A4" w14:textId="77777777" w:rsidTr="001348F0">
        <w:trPr>
          <w:trHeight w:val="147"/>
          <w:tblHeader/>
          <w:jc w:val="center"/>
        </w:trPr>
        <w:tc>
          <w:tcPr>
            <w:tcW w:w="5220" w:type="dxa"/>
            <w:vMerge/>
            <w:vAlign w:val="center"/>
          </w:tcPr>
          <w:p w14:paraId="1CA16098" w14:textId="77777777" w:rsidR="007224ED" w:rsidRDefault="007224ED">
            <w:pPr>
              <w:keepNext/>
            </w:pPr>
          </w:p>
        </w:tc>
        <w:tc>
          <w:tcPr>
            <w:tcW w:w="1035" w:type="dxa"/>
            <w:tcBorders>
              <w:top w:val="single" w:sz="4" w:space="0" w:color="auto"/>
            </w:tcBorders>
            <w:vAlign w:val="center"/>
          </w:tcPr>
          <w:p w14:paraId="76036435" w14:textId="77777777" w:rsidR="007224ED" w:rsidRPr="00B76B76" w:rsidRDefault="007224ED">
            <w:pPr>
              <w:keepNext/>
              <w:jc w:val="center"/>
              <w:rPr>
                <w:b/>
                <w:bCs/>
              </w:rPr>
            </w:pPr>
            <w:r>
              <w:rPr>
                <w:b/>
                <w:bCs/>
                <w:sz w:val="20"/>
                <w:szCs w:val="20"/>
              </w:rPr>
              <w:t>Total</w:t>
            </w:r>
          </w:p>
        </w:tc>
        <w:tc>
          <w:tcPr>
            <w:tcW w:w="1036" w:type="dxa"/>
            <w:vAlign w:val="center"/>
          </w:tcPr>
          <w:p w14:paraId="7B283FE9" w14:textId="77777777" w:rsidR="007224ED" w:rsidRDefault="007224ED">
            <w:pPr>
              <w:keepNext/>
              <w:jc w:val="center"/>
            </w:pPr>
            <w:r>
              <w:rPr>
                <w:b/>
                <w:bCs/>
                <w:sz w:val="20"/>
                <w:szCs w:val="20"/>
              </w:rPr>
              <w:t>Primer tramo</w:t>
            </w:r>
          </w:p>
        </w:tc>
        <w:tc>
          <w:tcPr>
            <w:tcW w:w="1036" w:type="dxa"/>
            <w:vAlign w:val="center"/>
          </w:tcPr>
          <w:p w14:paraId="5228B4D2" w14:textId="77777777" w:rsidR="007224ED" w:rsidRDefault="007224ED">
            <w:pPr>
              <w:keepNext/>
              <w:jc w:val="center"/>
            </w:pPr>
            <w:r>
              <w:rPr>
                <w:b/>
                <w:bCs/>
                <w:sz w:val="20"/>
                <w:szCs w:val="20"/>
              </w:rPr>
              <w:t>Total</w:t>
            </w:r>
          </w:p>
        </w:tc>
        <w:tc>
          <w:tcPr>
            <w:tcW w:w="1036" w:type="dxa"/>
            <w:vAlign w:val="center"/>
          </w:tcPr>
          <w:p w14:paraId="7EADBAC5" w14:textId="77777777" w:rsidR="007224ED" w:rsidRDefault="007224ED">
            <w:pPr>
              <w:keepNext/>
              <w:jc w:val="center"/>
            </w:pPr>
            <w:r>
              <w:rPr>
                <w:b/>
                <w:bCs/>
                <w:sz w:val="20"/>
                <w:szCs w:val="20"/>
              </w:rPr>
              <w:t>Primer tramo</w:t>
            </w:r>
          </w:p>
        </w:tc>
      </w:tr>
      <w:tr w:rsidR="007224ED" w14:paraId="4EF9781B" w14:textId="77777777" w:rsidTr="007E1EF3">
        <w:trPr>
          <w:trHeight w:val="238"/>
          <w:jc w:val="center"/>
        </w:trPr>
        <w:tc>
          <w:tcPr>
            <w:tcW w:w="5220" w:type="dxa"/>
            <w:vAlign w:val="center"/>
          </w:tcPr>
          <w:p w14:paraId="485B8F01" w14:textId="57E74258" w:rsidR="007224ED" w:rsidRPr="009556E6" w:rsidRDefault="00213633" w:rsidP="00DE2C96">
            <w:pPr>
              <w:pStyle w:val="Heading1"/>
              <w:keepNext/>
              <w:numPr>
                <w:ilvl w:val="0"/>
                <w:numId w:val="14"/>
              </w:numPr>
              <w:spacing w:after="0"/>
              <w:rPr>
                <w:lang w:val="es-ES"/>
              </w:rPr>
            </w:pPr>
            <w:r>
              <w:rPr>
                <w:sz w:val="20"/>
                <w:szCs w:val="20"/>
                <w:lang w:val="es-ES"/>
              </w:rPr>
              <w:t>Fortalecimiento del marco jurídico y reglamentario (sin cambios en las actividades)</w:t>
            </w:r>
          </w:p>
        </w:tc>
        <w:tc>
          <w:tcPr>
            <w:tcW w:w="1035" w:type="dxa"/>
            <w:vAlign w:val="center"/>
          </w:tcPr>
          <w:p w14:paraId="7B89FED0" w14:textId="052FB3A9" w:rsidR="007224ED" w:rsidRDefault="00715EC1">
            <w:pPr>
              <w:keepNext/>
              <w:jc w:val="right"/>
            </w:pPr>
            <w:r>
              <w:rPr>
                <w:sz w:val="20"/>
                <w:szCs w:val="20"/>
              </w:rPr>
              <w:t>59.000</w:t>
            </w:r>
          </w:p>
        </w:tc>
        <w:tc>
          <w:tcPr>
            <w:tcW w:w="1036" w:type="dxa"/>
            <w:vAlign w:val="center"/>
          </w:tcPr>
          <w:p w14:paraId="78016F84" w14:textId="2BDBE31E" w:rsidR="007224ED" w:rsidRDefault="00715EC1">
            <w:pPr>
              <w:keepNext/>
              <w:jc w:val="right"/>
            </w:pPr>
            <w:r>
              <w:rPr>
                <w:sz w:val="20"/>
                <w:szCs w:val="20"/>
              </w:rPr>
              <w:t>39.000</w:t>
            </w:r>
          </w:p>
        </w:tc>
        <w:tc>
          <w:tcPr>
            <w:tcW w:w="1036" w:type="dxa"/>
            <w:vAlign w:val="center"/>
          </w:tcPr>
          <w:p w14:paraId="6A2001D4" w14:textId="1E8401C5" w:rsidR="007224ED" w:rsidRDefault="00FC198D">
            <w:pPr>
              <w:keepNext/>
              <w:jc w:val="right"/>
            </w:pPr>
            <w:r>
              <w:rPr>
                <w:sz w:val="20"/>
                <w:szCs w:val="20"/>
              </w:rPr>
              <w:t>50.000</w:t>
            </w:r>
          </w:p>
        </w:tc>
        <w:tc>
          <w:tcPr>
            <w:tcW w:w="1036" w:type="dxa"/>
            <w:vAlign w:val="center"/>
          </w:tcPr>
          <w:p w14:paraId="68F30AFD" w14:textId="55318F0C" w:rsidR="007224ED" w:rsidRDefault="00FC198D">
            <w:pPr>
              <w:keepNext/>
              <w:jc w:val="right"/>
            </w:pPr>
            <w:r>
              <w:rPr>
                <w:sz w:val="20"/>
                <w:szCs w:val="20"/>
              </w:rPr>
              <w:t>31.000</w:t>
            </w:r>
          </w:p>
        </w:tc>
      </w:tr>
      <w:tr w:rsidR="007224ED" w14:paraId="2C75DDD7" w14:textId="77777777" w:rsidTr="007E1EF3">
        <w:trPr>
          <w:trHeight w:val="230"/>
          <w:jc w:val="center"/>
        </w:trPr>
        <w:tc>
          <w:tcPr>
            <w:tcW w:w="5220" w:type="dxa"/>
            <w:vAlign w:val="center"/>
          </w:tcPr>
          <w:p w14:paraId="538188BC" w14:textId="587972B1" w:rsidR="007224ED" w:rsidRPr="009556E6" w:rsidRDefault="007224ED" w:rsidP="00DE2C96">
            <w:pPr>
              <w:pStyle w:val="Heading1"/>
              <w:keepNext/>
              <w:numPr>
                <w:ilvl w:val="0"/>
                <w:numId w:val="14"/>
              </w:numPr>
              <w:spacing w:after="0"/>
              <w:rPr>
                <w:lang w:val="es-ES"/>
              </w:rPr>
            </w:pPr>
            <w:r>
              <w:rPr>
                <w:sz w:val="20"/>
                <w:szCs w:val="20"/>
                <w:lang w:val="es-ES"/>
              </w:rPr>
              <w:t>Creación de capacidad del personal de aduanas y de fiscalización (sin cambios en las actividades)</w:t>
            </w:r>
          </w:p>
        </w:tc>
        <w:tc>
          <w:tcPr>
            <w:tcW w:w="1035" w:type="dxa"/>
            <w:vAlign w:val="center"/>
          </w:tcPr>
          <w:p w14:paraId="2B6787D6" w14:textId="7265E963" w:rsidR="007224ED" w:rsidRDefault="00636141">
            <w:pPr>
              <w:keepNext/>
              <w:jc w:val="right"/>
            </w:pPr>
            <w:r>
              <w:rPr>
                <w:sz w:val="20"/>
                <w:szCs w:val="20"/>
              </w:rPr>
              <w:t>20.000</w:t>
            </w:r>
          </w:p>
        </w:tc>
        <w:tc>
          <w:tcPr>
            <w:tcW w:w="1036" w:type="dxa"/>
            <w:vAlign w:val="center"/>
          </w:tcPr>
          <w:p w14:paraId="3DD2FA07" w14:textId="59218FFF" w:rsidR="007224ED" w:rsidRDefault="00636141">
            <w:pPr>
              <w:keepNext/>
              <w:jc w:val="right"/>
            </w:pPr>
            <w:r>
              <w:rPr>
                <w:sz w:val="20"/>
                <w:szCs w:val="20"/>
              </w:rPr>
              <w:t>10.500</w:t>
            </w:r>
          </w:p>
        </w:tc>
        <w:tc>
          <w:tcPr>
            <w:tcW w:w="1036" w:type="dxa"/>
            <w:vAlign w:val="center"/>
          </w:tcPr>
          <w:p w14:paraId="61CEBDDA" w14:textId="03175888" w:rsidR="007224ED" w:rsidRDefault="00636141">
            <w:pPr>
              <w:keepNext/>
              <w:jc w:val="right"/>
            </w:pPr>
            <w:r>
              <w:rPr>
                <w:sz w:val="20"/>
                <w:szCs w:val="20"/>
              </w:rPr>
              <w:t>17.500</w:t>
            </w:r>
          </w:p>
        </w:tc>
        <w:tc>
          <w:tcPr>
            <w:tcW w:w="1036" w:type="dxa"/>
            <w:vAlign w:val="center"/>
          </w:tcPr>
          <w:p w14:paraId="53562FD5" w14:textId="59326855" w:rsidR="007224ED" w:rsidRDefault="00636141">
            <w:pPr>
              <w:keepNext/>
              <w:jc w:val="right"/>
            </w:pPr>
            <w:r>
              <w:rPr>
                <w:sz w:val="20"/>
                <w:szCs w:val="20"/>
              </w:rPr>
              <w:t>9.000</w:t>
            </w:r>
          </w:p>
        </w:tc>
      </w:tr>
      <w:tr w:rsidR="007224ED" w14:paraId="35755B31" w14:textId="77777777" w:rsidTr="007E1EF3">
        <w:trPr>
          <w:trHeight w:val="546"/>
          <w:jc w:val="center"/>
        </w:trPr>
        <w:tc>
          <w:tcPr>
            <w:tcW w:w="5220" w:type="dxa"/>
            <w:vAlign w:val="center"/>
          </w:tcPr>
          <w:p w14:paraId="40CC4451" w14:textId="5C21CCAF" w:rsidR="007224ED" w:rsidRPr="009556E6" w:rsidRDefault="00DE0235" w:rsidP="00DE2C96">
            <w:pPr>
              <w:pStyle w:val="Heading1"/>
              <w:keepNext/>
              <w:numPr>
                <w:ilvl w:val="0"/>
                <w:numId w:val="14"/>
              </w:numPr>
              <w:spacing w:after="0"/>
              <w:jc w:val="left"/>
              <w:rPr>
                <w:lang w:val="es-ES"/>
              </w:rPr>
            </w:pPr>
            <w:r>
              <w:rPr>
                <w:sz w:val="20"/>
                <w:szCs w:val="20"/>
                <w:lang w:val="es-ES"/>
              </w:rPr>
              <w:t>Creación de capacidad de personas técnicas de RAC y MAC (se han añadido dos actividades: i) adquisición de herramientas y equipos para dos centros de capacitación con objetivos formativos, y ii) elaboración de una guía para el control de fugas)</w:t>
            </w:r>
          </w:p>
        </w:tc>
        <w:tc>
          <w:tcPr>
            <w:tcW w:w="1035" w:type="dxa"/>
            <w:vAlign w:val="center"/>
          </w:tcPr>
          <w:p w14:paraId="7765AEA4" w14:textId="33E73481" w:rsidR="007224ED" w:rsidRDefault="00CA110A">
            <w:pPr>
              <w:keepNext/>
              <w:jc w:val="right"/>
            </w:pPr>
            <w:r>
              <w:rPr>
                <w:sz w:val="20"/>
                <w:szCs w:val="20"/>
              </w:rPr>
              <w:t>43.000</w:t>
            </w:r>
          </w:p>
        </w:tc>
        <w:tc>
          <w:tcPr>
            <w:tcW w:w="1036" w:type="dxa"/>
            <w:vAlign w:val="center"/>
          </w:tcPr>
          <w:p w14:paraId="12E9B3E8" w14:textId="4AD4B52C" w:rsidR="007224ED" w:rsidRDefault="00CA110A">
            <w:pPr>
              <w:keepNext/>
              <w:jc w:val="right"/>
            </w:pPr>
            <w:r>
              <w:rPr>
                <w:sz w:val="20"/>
                <w:szCs w:val="20"/>
              </w:rPr>
              <w:t>16.500</w:t>
            </w:r>
          </w:p>
        </w:tc>
        <w:tc>
          <w:tcPr>
            <w:tcW w:w="1036" w:type="dxa"/>
            <w:vAlign w:val="center"/>
          </w:tcPr>
          <w:p w14:paraId="2AA7752B" w14:textId="4E727C11" w:rsidR="007224ED" w:rsidRDefault="00CA110A">
            <w:pPr>
              <w:keepNext/>
              <w:jc w:val="right"/>
            </w:pPr>
            <w:r>
              <w:rPr>
                <w:sz w:val="20"/>
                <w:szCs w:val="20"/>
              </w:rPr>
              <w:t>54.500</w:t>
            </w:r>
          </w:p>
        </w:tc>
        <w:tc>
          <w:tcPr>
            <w:tcW w:w="1036" w:type="dxa"/>
            <w:vAlign w:val="center"/>
          </w:tcPr>
          <w:p w14:paraId="7546BAB3" w14:textId="0218CCAC" w:rsidR="007224ED" w:rsidRDefault="00CA110A">
            <w:pPr>
              <w:keepNext/>
              <w:jc w:val="right"/>
            </w:pPr>
            <w:r>
              <w:rPr>
                <w:sz w:val="20"/>
                <w:szCs w:val="20"/>
              </w:rPr>
              <w:t>28.000</w:t>
            </w:r>
          </w:p>
        </w:tc>
      </w:tr>
      <w:tr w:rsidR="007224ED" w14:paraId="2C00FE93" w14:textId="77777777" w:rsidTr="007E1EF3">
        <w:trPr>
          <w:trHeight w:val="230"/>
          <w:jc w:val="center"/>
        </w:trPr>
        <w:tc>
          <w:tcPr>
            <w:tcW w:w="5220" w:type="dxa"/>
            <w:vAlign w:val="center"/>
          </w:tcPr>
          <w:p w14:paraId="72382B82" w14:textId="77777777" w:rsidR="007224ED" w:rsidRPr="009556E6" w:rsidRDefault="007224ED">
            <w:pPr>
              <w:pStyle w:val="Heading1"/>
              <w:keepNext/>
              <w:numPr>
                <w:ilvl w:val="0"/>
                <w:numId w:val="0"/>
              </w:numPr>
              <w:spacing w:after="0"/>
              <w:rPr>
                <w:lang w:val="es-ES"/>
              </w:rPr>
            </w:pPr>
            <w:r>
              <w:rPr>
                <w:sz w:val="20"/>
                <w:szCs w:val="20"/>
                <w:lang w:val="es-ES"/>
              </w:rPr>
              <w:t>4. Coordinación y seguimiento del proyecto</w:t>
            </w:r>
          </w:p>
        </w:tc>
        <w:tc>
          <w:tcPr>
            <w:tcW w:w="1035" w:type="dxa"/>
            <w:vAlign w:val="center"/>
          </w:tcPr>
          <w:p w14:paraId="6FEA09B8" w14:textId="45386EBB" w:rsidR="007224ED" w:rsidRDefault="00CA110A">
            <w:pPr>
              <w:keepNext/>
              <w:jc w:val="right"/>
            </w:pPr>
            <w:r>
              <w:rPr>
                <w:sz w:val="20"/>
                <w:szCs w:val="20"/>
              </w:rPr>
              <w:t>13.000</w:t>
            </w:r>
          </w:p>
        </w:tc>
        <w:tc>
          <w:tcPr>
            <w:tcW w:w="1036" w:type="dxa"/>
            <w:vAlign w:val="center"/>
          </w:tcPr>
          <w:p w14:paraId="0083BC7A" w14:textId="08F6423B" w:rsidR="007224ED" w:rsidRDefault="00CA110A">
            <w:pPr>
              <w:keepNext/>
              <w:jc w:val="right"/>
            </w:pPr>
            <w:r>
              <w:rPr>
                <w:sz w:val="20"/>
                <w:szCs w:val="20"/>
              </w:rPr>
              <w:t>6.500</w:t>
            </w:r>
          </w:p>
        </w:tc>
        <w:tc>
          <w:tcPr>
            <w:tcW w:w="1036" w:type="dxa"/>
            <w:vAlign w:val="center"/>
          </w:tcPr>
          <w:p w14:paraId="58E245B2" w14:textId="4D851928" w:rsidR="007224ED" w:rsidRDefault="00CA110A">
            <w:pPr>
              <w:keepNext/>
              <w:jc w:val="right"/>
            </w:pPr>
            <w:r>
              <w:rPr>
                <w:sz w:val="20"/>
                <w:szCs w:val="20"/>
              </w:rPr>
              <w:t>13.000</w:t>
            </w:r>
          </w:p>
        </w:tc>
        <w:tc>
          <w:tcPr>
            <w:tcW w:w="1036" w:type="dxa"/>
            <w:vAlign w:val="center"/>
          </w:tcPr>
          <w:p w14:paraId="7B98B266" w14:textId="566B02D9" w:rsidR="007224ED" w:rsidRDefault="00CA110A">
            <w:pPr>
              <w:keepNext/>
              <w:jc w:val="right"/>
            </w:pPr>
            <w:r>
              <w:rPr>
                <w:sz w:val="20"/>
                <w:szCs w:val="20"/>
              </w:rPr>
              <w:t>6.500</w:t>
            </w:r>
          </w:p>
        </w:tc>
      </w:tr>
      <w:tr w:rsidR="007224ED" w14:paraId="60E446D3" w14:textId="77777777" w:rsidTr="007E1EF3">
        <w:trPr>
          <w:trHeight w:val="238"/>
          <w:jc w:val="center"/>
        </w:trPr>
        <w:tc>
          <w:tcPr>
            <w:tcW w:w="5220" w:type="dxa"/>
            <w:vAlign w:val="center"/>
          </w:tcPr>
          <w:p w14:paraId="3D330945" w14:textId="77777777" w:rsidR="007224ED" w:rsidRPr="00EE6F22" w:rsidRDefault="007224ED">
            <w:pPr>
              <w:rPr>
                <w:sz w:val="20"/>
                <w:szCs w:val="20"/>
              </w:rPr>
            </w:pPr>
            <w:r>
              <w:rPr>
                <w:b/>
                <w:bCs/>
                <w:sz w:val="20"/>
                <w:szCs w:val="20"/>
              </w:rPr>
              <w:t>Total</w:t>
            </w:r>
          </w:p>
        </w:tc>
        <w:tc>
          <w:tcPr>
            <w:tcW w:w="1035" w:type="dxa"/>
            <w:vAlign w:val="center"/>
          </w:tcPr>
          <w:p w14:paraId="69F77AEC" w14:textId="0FB2690C" w:rsidR="007224ED" w:rsidRDefault="007224ED">
            <w:pPr>
              <w:jc w:val="right"/>
              <w:rPr>
                <w:sz w:val="20"/>
                <w:szCs w:val="20"/>
              </w:rPr>
            </w:pPr>
            <w:r>
              <w:rPr>
                <w:b/>
                <w:bCs/>
                <w:noProof/>
                <w:sz w:val="20"/>
                <w:szCs w:val="20"/>
              </w:rPr>
              <w:t>135.000</w:t>
            </w:r>
          </w:p>
        </w:tc>
        <w:tc>
          <w:tcPr>
            <w:tcW w:w="1036" w:type="dxa"/>
            <w:vAlign w:val="center"/>
          </w:tcPr>
          <w:p w14:paraId="5633AE4A" w14:textId="785A521C" w:rsidR="007224ED" w:rsidRDefault="007224ED">
            <w:pPr>
              <w:jc w:val="right"/>
              <w:rPr>
                <w:sz w:val="20"/>
                <w:szCs w:val="20"/>
              </w:rPr>
            </w:pPr>
            <w:r>
              <w:rPr>
                <w:b/>
                <w:bCs/>
                <w:noProof/>
                <w:sz w:val="20"/>
                <w:szCs w:val="20"/>
              </w:rPr>
              <w:t>72.500</w:t>
            </w:r>
          </w:p>
        </w:tc>
        <w:tc>
          <w:tcPr>
            <w:tcW w:w="1036" w:type="dxa"/>
            <w:vAlign w:val="center"/>
          </w:tcPr>
          <w:p w14:paraId="17B21EB5" w14:textId="56D67C3E" w:rsidR="007224ED" w:rsidRDefault="007224ED">
            <w:pPr>
              <w:jc w:val="right"/>
              <w:rPr>
                <w:sz w:val="20"/>
                <w:szCs w:val="20"/>
              </w:rPr>
            </w:pPr>
            <w:r>
              <w:rPr>
                <w:b/>
                <w:bCs/>
                <w:noProof/>
                <w:sz w:val="20"/>
                <w:szCs w:val="20"/>
              </w:rPr>
              <w:t>135.000</w:t>
            </w:r>
          </w:p>
        </w:tc>
        <w:tc>
          <w:tcPr>
            <w:tcW w:w="1036" w:type="dxa"/>
            <w:vAlign w:val="center"/>
          </w:tcPr>
          <w:p w14:paraId="2750C6B8" w14:textId="5BFB7B13" w:rsidR="007224ED" w:rsidRDefault="00CA110A">
            <w:pPr>
              <w:jc w:val="right"/>
              <w:rPr>
                <w:sz w:val="20"/>
                <w:szCs w:val="20"/>
              </w:rPr>
            </w:pPr>
            <w:r>
              <w:rPr>
                <w:b/>
                <w:bCs/>
                <w:noProof/>
                <w:sz w:val="20"/>
                <w:szCs w:val="20"/>
              </w:rPr>
              <w:t>74.500</w:t>
            </w:r>
          </w:p>
        </w:tc>
      </w:tr>
    </w:tbl>
    <w:p w14:paraId="0AE0F42D" w14:textId="59106676" w:rsidR="00CB0432" w:rsidRPr="009556E6" w:rsidRDefault="00CB0432" w:rsidP="00CB0432">
      <w:pPr>
        <w:pStyle w:val="Heading1"/>
        <w:spacing w:before="240"/>
        <w:rPr>
          <w:lang w:val="es-ES"/>
        </w:rPr>
      </w:pPr>
      <w:r>
        <w:rPr>
          <w:lang w:val="es-ES"/>
        </w:rPr>
        <w:t>La etapa I del PAK se ejecutará en dos tramos.</w:t>
      </w:r>
    </w:p>
    <w:p w14:paraId="730429AD" w14:textId="77777777" w:rsidR="00CB0432" w:rsidRPr="009556E6" w:rsidRDefault="00CB0432" w:rsidP="00CB0432">
      <w:pPr>
        <w:pStyle w:val="Heading1"/>
        <w:keepNext/>
        <w:numPr>
          <w:ilvl w:val="0"/>
          <w:numId w:val="0"/>
        </w:numPr>
        <w:suppressAutoHyphens/>
        <w:spacing w:before="240"/>
        <w:rPr>
          <w:lang w:val="es-ES"/>
        </w:rPr>
      </w:pPr>
      <w:r>
        <w:rPr>
          <w:u w:val="single"/>
          <w:lang w:val="es-ES"/>
        </w:rPr>
        <w:t>Plan de ejecución para el primer tramo del plan de aplicación de la Enmienda de Kigali relativa a los HFC</w:t>
      </w:r>
    </w:p>
    <w:p w14:paraId="367713A5" w14:textId="5245D809" w:rsidR="00CB0432" w:rsidRPr="009556E6" w:rsidRDefault="00CB0432" w:rsidP="00CB0432">
      <w:pPr>
        <w:pStyle w:val="Heading1"/>
        <w:rPr>
          <w:lang w:val="es-ES"/>
        </w:rPr>
      </w:pPr>
      <w:r>
        <w:rPr>
          <w:lang w:val="es-ES"/>
        </w:rPr>
        <w:t>El plan de acción acordado, con un costo total de USD 74.500, incluirá las siguientes actividades:</w:t>
      </w:r>
    </w:p>
    <w:p w14:paraId="11396655" w14:textId="47F74677" w:rsidR="00CB0432" w:rsidRPr="009556E6" w:rsidRDefault="00510F02" w:rsidP="00CB0432">
      <w:pPr>
        <w:pStyle w:val="Heading2"/>
        <w:rPr>
          <w:lang w:val="es-ES"/>
        </w:rPr>
      </w:pPr>
      <w:r>
        <w:rPr>
          <w:i/>
          <w:iCs/>
          <w:lang w:val="es-ES"/>
        </w:rPr>
        <w:t>Marco reglamentario y mecanismo de control</w:t>
      </w:r>
      <w:r>
        <w:rPr>
          <w:lang w:val="es-ES"/>
        </w:rPr>
        <w:t xml:space="preserve">: elaborar y aprobar el decreto sobre los HFC; organizar un taller para las partes interesadas, con 100 participantes, sobre el alcance del trabajo para su adopción; organizar un taller de sensibilización, con 100 participantes, sobre la ejecución del decreto; elaborar y difundir una guía sobre la legislación relativa a las SAO y los HFC; actualizar y reforzar el sistema de concesión de licencias y cupos para </w:t>
      </w:r>
      <w:r>
        <w:rPr>
          <w:lang w:val="es-ES"/>
        </w:rPr>
        <w:lastRenderedPageBreak/>
        <w:t>los HFC, y organizar un taller sobre licencias y cupos de HFC para 50 participantes; elaborar normas técnicas y protocolos nacionales sobre el uso de sustancias inflamables y tóxicas en equipos de refrigeración y aire acondicionado (RAC), y organizar un taller de sensibilización para un total de 100 participantes sobre dichas normas (USD 31.000);</w:t>
      </w:r>
    </w:p>
    <w:p w14:paraId="621776A3" w14:textId="01AB2C7B" w:rsidR="00CB0432" w:rsidRPr="009556E6" w:rsidRDefault="00270894" w:rsidP="00CB0432">
      <w:pPr>
        <w:pStyle w:val="Heading2"/>
        <w:rPr>
          <w:lang w:val="es-ES"/>
        </w:rPr>
      </w:pPr>
      <w:r>
        <w:rPr>
          <w:i/>
          <w:iCs/>
          <w:lang w:val="es-ES"/>
        </w:rPr>
        <w:t xml:space="preserve">Creación de capacidad para el personal de aduanas y fiscalización: </w:t>
      </w:r>
      <w:r>
        <w:rPr>
          <w:lang w:val="es-ES"/>
        </w:rPr>
        <w:t>elaborar y difundir carteles y material informativo sobre las importaciones de sustancias controladas, equipos y códigos del Sistema Armonizado (SA) para el personal de aduanas, agentes de aduanas e importadores; organizar una visita de estudio a un país miembro de la CEEAC para tres personas del personal de aduanas o fiscalización (USD 9.000);</w:t>
      </w:r>
    </w:p>
    <w:p w14:paraId="392F280D" w14:textId="18FB8FFF" w:rsidR="00CB0432" w:rsidRPr="009556E6" w:rsidRDefault="006A5AD4" w:rsidP="00CB0432">
      <w:pPr>
        <w:pStyle w:val="Heading2"/>
        <w:rPr>
          <w:lang w:val="es-ES"/>
        </w:rPr>
      </w:pPr>
      <w:r>
        <w:rPr>
          <w:i/>
          <w:iCs/>
          <w:lang w:val="es-ES"/>
        </w:rPr>
        <w:t>Creación de capacidad de personas técnicas de RAC y MAC:</w:t>
      </w:r>
      <w:r>
        <w:rPr>
          <w:lang w:val="es-ES"/>
        </w:rPr>
        <w:t xml:space="preserve"> actualizar el plan de estudios de una escuela de formación profesional sobre tecnologías de bajo PCA, procedimientos de seguridad y recuperación y reciclaje (RR); elaborar material de formación para personas técnicas de sistemas de aire acondicionado para vehículos; impartir un curso de formación de formadores; organizar dos cursos de formación para un total de 40 personas técnicas sobre nuevas tecnologías, normas de seguridad, control de fugas y eficiencia energética; adquirir y entregar dos conjuntos de aparatos de aire acondicionado residenciales basados en HFC‑32, detectores de fugas y estaciones de reciclaje a los centros de formación con fines formativos; elaborar una guía de control de fugas y organizar un taller sobre gestión de fugas para apoyar a las personas usuarias finales; organizar dos campañas de sensibilización dirigidas a 200 participantes sobre alternativas de bajo PCA y eficientes en el uso de la energía y mantenimiento preventivo (USD 28.000); y</w:t>
      </w:r>
    </w:p>
    <w:p w14:paraId="61205695" w14:textId="0C6F3B55" w:rsidR="00CB0432" w:rsidRPr="009556E6" w:rsidRDefault="00CB0432" w:rsidP="00CB0432">
      <w:pPr>
        <w:pStyle w:val="Heading2"/>
        <w:rPr>
          <w:lang w:val="es-ES"/>
        </w:rPr>
      </w:pPr>
      <w:r>
        <w:rPr>
          <w:i/>
          <w:iCs/>
          <w:lang w:val="es-ES"/>
        </w:rPr>
        <w:t>Actividades de supervisión y evaluación del proyecto</w:t>
      </w:r>
      <w:r>
        <w:rPr>
          <w:lang w:val="es-ES"/>
        </w:rPr>
        <w:t>: incluyendo consultores (USD 3.000), viajes (USD 1.500), reuniones (USD 1.500) y otros gastos (USD 500).</w:t>
      </w:r>
    </w:p>
    <w:p w14:paraId="499BD7E3" w14:textId="77777777" w:rsidR="00CB0432" w:rsidRPr="00BE38DF" w:rsidRDefault="00CB0432" w:rsidP="00CB0432">
      <w:pPr>
        <w:keepNext/>
        <w:spacing w:after="240"/>
        <w:outlineLvl w:val="0"/>
        <w:rPr>
          <w:bCs/>
        </w:rPr>
      </w:pPr>
      <w:bookmarkStart w:id="17" w:name="_Hlk126916207"/>
      <w:bookmarkStart w:id="18" w:name="_Hlk126916178"/>
      <w:r>
        <w:rPr>
          <w:bCs/>
          <w:u w:val="single"/>
        </w:rPr>
        <w:t>Cofinanciación</w:t>
      </w:r>
    </w:p>
    <w:p w14:paraId="2EECF214" w14:textId="1843BC74" w:rsidR="001B0224" w:rsidRPr="009556E6" w:rsidRDefault="001B0224" w:rsidP="001B0224">
      <w:pPr>
        <w:pStyle w:val="Heading1"/>
        <w:rPr>
          <w:lang w:val="es-ES" w:eastAsia="en-CA"/>
          <w14:ligatures w14:val="standardContextual"/>
        </w:rPr>
      </w:pPr>
      <w:bookmarkStart w:id="19" w:name="_Hlk126916238"/>
      <w:r>
        <w:rPr>
          <w:lang w:val="es-ES"/>
        </w:rPr>
        <w:t>El Gobierno de Santo Tomé y Príncipe aportará cofinanciación en bienes y servicios para la ejecución de la etapa I del PAK, incluido su apoyo a la coordinación, la organización de reuniones y talleres, las consultas con las partes interesadas y el seguimiento de las actividades normativas y de creación de capacidad, mediante el uso de instalaciones nacionales y el tiempo del personal para actividades de formación, sensibilización y seguimiento.</w:t>
      </w:r>
    </w:p>
    <w:p w14:paraId="330FECAA" w14:textId="77777777" w:rsidR="00CB0432" w:rsidRPr="009556E6" w:rsidRDefault="00CB0432" w:rsidP="00CB0432">
      <w:pPr>
        <w:keepNext/>
        <w:spacing w:before="240" w:after="240"/>
        <w:outlineLvl w:val="0"/>
        <w:rPr>
          <w:bCs/>
          <w:u w:val="single"/>
          <w:lang w:val="es-ES"/>
        </w:rPr>
      </w:pPr>
      <w:r>
        <w:rPr>
          <w:bCs/>
          <w:u w:val="single"/>
          <w:lang w:val="es-ES"/>
        </w:rPr>
        <w:t>Plan administrativo del Fondo Multilateral para 2026–2028</w:t>
      </w:r>
    </w:p>
    <w:bookmarkEnd w:id="19"/>
    <w:p w14:paraId="728CB887" w14:textId="23D4A047" w:rsidR="005B6432" w:rsidRPr="009556E6" w:rsidRDefault="005B6432" w:rsidP="005B6432">
      <w:pPr>
        <w:pStyle w:val="Heading1"/>
        <w:rPr>
          <w:lang w:val="es-ES" w:eastAsia="en-CA"/>
          <w14:ligatures w14:val="standardContextual"/>
        </w:rPr>
      </w:pPr>
      <w:r>
        <w:rPr>
          <w:lang w:val="es-ES"/>
        </w:rPr>
        <w:t>El PNUMA solicita USD 135.000, más los gastos de apoyo al organismo, para la ejecución de la etapa I del PAK para Santo Tomé y Príncipe. El importe total de USD 152.550, incluidos los gastos de apoyo al organismo, solicitado para el período 2026–2028, supera en USD 76.275 la cantidad prevista en el plan administrativo.</w:t>
      </w:r>
    </w:p>
    <w:p w14:paraId="11A8DA17" w14:textId="77777777" w:rsidR="00CB0432" w:rsidRPr="009556E6" w:rsidRDefault="00CB0432" w:rsidP="00CB0432">
      <w:pPr>
        <w:keepNext/>
        <w:spacing w:after="240"/>
        <w:rPr>
          <w:iCs/>
          <w:u w:val="single"/>
          <w:lang w:val="es-ES"/>
        </w:rPr>
      </w:pPr>
      <w:r>
        <w:rPr>
          <w:iCs/>
          <w:u w:val="single"/>
          <w:lang w:val="es-ES"/>
        </w:rPr>
        <w:t>Aplicación de la política de género</w:t>
      </w:r>
    </w:p>
    <w:p w14:paraId="6C8B1DC3" w14:textId="18B528CD" w:rsidR="00CE1110" w:rsidRPr="009556E6" w:rsidRDefault="00CE1110">
      <w:pPr>
        <w:pStyle w:val="Heading1"/>
        <w:shd w:val="clear" w:color="auto" w:fill="FFFFFF" w:themeFill="background1"/>
        <w:rPr>
          <w:lang w:val="es-ES" w:eastAsia="en-CA"/>
        </w:rPr>
      </w:pPr>
      <w:bookmarkStart w:id="20" w:name="_Hlk126916186"/>
      <w:bookmarkEnd w:id="17"/>
      <w:bookmarkEnd w:id="18"/>
      <w:r>
        <w:rPr>
          <w:lang w:val="es-ES"/>
        </w:rPr>
        <w:t xml:space="preserve">De acuerdo con las decisiones 84/92, 90/48 y 92/40, el Gobierno de Santo Tomé y Príncipe ha incorporado la política en la preparación y formulación de la etapa I del PAK. Durante la preparación del proyecto, se llevó a cabo una evaluación de la presencia de mujeres en la mano de obra del sector de la refrigeración y el aire acondicionado, en la que se constató una participación muy baja de las mujeres en el sector de servicio técnico de equipos de refrigeración y aire acondicionado, con cuatro mujeres entre 110 personas técnicas de servicio. Durante la etapa I del PAK, la ONO llevará a cabo actividades de sensibilización para incentivar a las mujeres a incorporarse al sector de la refrigeración y el aire acondicionado (RAC) y a participar en sesiones de formación y consultas; incorporará competencias técnicas de mujeres cuando sea posible y apoyará actividades de divulgación específicas en el marco de la </w:t>
      </w:r>
      <w:r>
        <w:rPr>
          <w:lang w:val="es-ES"/>
        </w:rPr>
        <w:lastRenderedPageBreak/>
        <w:t>actividad complementaria del PGEH, incentivando la participación de las estudiantes y las técnicas en el ámbito del RAC. En la etapa I también se seguirá realizando un seguimiento del número de mujeres y hombres que participan en la ejecución del proyecto, incluyendo la formación de personas técnicas de refrigeración y aire acondicionado, la capacitación de personal aduanero y fiscalizador, las consultas con las partes interesadas y la dotación de personal del proyecto. Asimismo, la ONO tiene previsto ocuparse de los debates, recomendaciones y buenas prácticas que surjan durante la ejecución, con el fin de garantizar una participación equitativa de mujeres y hombres en todas las actividades de la etapa I del PAK.</w:t>
      </w:r>
    </w:p>
    <w:p w14:paraId="027A9324" w14:textId="77777777" w:rsidR="00CB0432" w:rsidRPr="009556E6" w:rsidRDefault="00CB0432" w:rsidP="00CB0432">
      <w:pPr>
        <w:pStyle w:val="Heading1"/>
        <w:keepNext/>
        <w:numPr>
          <w:ilvl w:val="0"/>
          <w:numId w:val="0"/>
        </w:numPr>
        <w:rPr>
          <w:u w:val="single"/>
          <w:lang w:val="es-ES"/>
        </w:rPr>
      </w:pPr>
      <w:r>
        <w:rPr>
          <w:u w:val="single"/>
          <w:lang w:val="es-ES"/>
        </w:rPr>
        <w:t>Sostenibilidad de la reducción de los HFC y evaluación de riesgos</w:t>
      </w:r>
    </w:p>
    <w:bookmarkEnd w:id="20"/>
    <w:p w14:paraId="242ABC35" w14:textId="38939D9A" w:rsidR="00D522BD" w:rsidRPr="009556E6" w:rsidRDefault="00D522BD" w:rsidP="003A7313">
      <w:pPr>
        <w:pStyle w:val="Heading1"/>
        <w:rPr>
          <w:lang w:val="es-ES" w:eastAsia="en-CA"/>
          <w14:ligatures w14:val="standardContextual"/>
        </w:rPr>
      </w:pPr>
      <w:r>
        <w:rPr>
          <w:lang w:val="es-ES" w:eastAsia="en-CA"/>
          <w14:ligatures w14:val="standardContextual"/>
        </w:rPr>
        <w:t>La sostenibilidad de la reducción gradual de los HFC se verá respaldada tanto por las actividades propuestas en el marco del PAK como por las capacidades institucionales, técnicas y normativas establecidas a través del PGEH. Entre las medidas clave se incluyen la formación y certificación de personas técnicas de refrigeración y aire acondicionado, el fortalecimiento de los centros de formación, el desarrollo y la adopción de normas nacionales para el uso seguro de refrigerantes inflamables, y los programas de creación de capacidad para personas funcionarias de aduanas y personas fiscalizadoras. Estas intervenciones contribuirán a garantizar la adopción a largo plazo de buenas prácticas de servicio técnico, la manipulación segura de refrigerantes alternativos y la aplicación efectiva de las medidas de control. Además, la introducción de medidas reglamentarias, incluidas las restricciones y prohibiciones previstas para determinados refrigerantes y equipos con alto PCA, respaldará y sostendrá aún más los esfuerzos del país para la reducción gradual de los HFC.</w:t>
      </w:r>
    </w:p>
    <w:p w14:paraId="0CF36530" w14:textId="665E0543" w:rsidR="003A7313" w:rsidRPr="009556E6" w:rsidRDefault="003A7313" w:rsidP="003A7313">
      <w:pPr>
        <w:pStyle w:val="Heading1"/>
        <w:rPr>
          <w:lang w:val="es-ES" w:eastAsia="en-CA"/>
          <w14:ligatures w14:val="standardContextual"/>
        </w:rPr>
      </w:pPr>
      <w:r>
        <w:rPr>
          <w:lang w:val="es-ES"/>
        </w:rPr>
        <w:t>Entre los riesgos potenciales para la sostenibilidad de la reducción gradual de los HFC en Santo Tomé y Príncipe se incluyen los retrasos administrativos o institucionales que afecten a la adopción y aplicación de las medidas relacionadas con los HFC; la insuficiente capacidad legislativa, normativa o de gestión de proyectos; el compromiso limitado de las partes interesadas; los factores externos que podrían retrasar la ejecución; y la disponibilidad, asequibilidad y aceptación en el mercado limitadas de las alternativas de bajo PCA. Para mitigar estos riesgos, la ONO, con el apoyo del PNUMA, mantendrá una estrecha coordinación con los ministerios y las partes interesadas pertinentes, reforzará el sistema de concesión de licencias y cupos de HFC, impulsará la preparación del decreto sobre los HFC y otras medidas reglamentarias, y continuará reforzando los controles de importaciones y la capacidad para hacer efectivos los controles. La sostenibilidad se supervisará mediante la coordinación periódica de la ONO, los informes de ejecución de los tramos, los informes anuales sobre la marcha de las actividades, la verificación del consumo de HFC cuando sea necesario y el análisis continuo de las tendencias de consumo, la participación de las partes interesadas y el avance de la ejecución, de modo que cualquier riesgo emergente pueda abordarse a tiempo.</w:t>
      </w:r>
    </w:p>
    <w:p w14:paraId="64722E59" w14:textId="23C312AC" w:rsidR="003A7313" w:rsidRPr="00BE38DF" w:rsidRDefault="00CB0432" w:rsidP="003A7313">
      <w:pPr>
        <w:keepNext/>
        <w:spacing w:before="240" w:after="240"/>
      </w:pPr>
      <w:bookmarkStart w:id="21" w:name="_Hlk126916245"/>
      <w:r>
        <w:rPr>
          <w:u w:val="single"/>
        </w:rPr>
        <w:t xml:space="preserve">Impacto sobre el clima </w:t>
      </w:r>
    </w:p>
    <w:p w14:paraId="5670269A" w14:textId="0534A33F" w:rsidR="003A7313" w:rsidRPr="009556E6" w:rsidRDefault="003A7313" w:rsidP="003A7313">
      <w:pPr>
        <w:pStyle w:val="Heading1"/>
        <w:rPr>
          <w:lang w:val="es-ES" w:eastAsia="en-CA"/>
          <w14:ligatures w14:val="standardContextual"/>
        </w:rPr>
      </w:pPr>
      <w:r>
        <w:rPr>
          <w:lang w:val="es-ES"/>
        </w:rPr>
        <w:t>Las actividades propuestas, entre las que se incluyen iniciativas para promover alternativas de bajo PCA, la recuperación y reutilización de refrigerantes, las buenas prácticas de servicio técnico, la reducción de fugas, el uso seguro de refrigerantes inflamables y actividades de sensibilización específicas, indican que la ejecución de la etapa I del PAK reducirá las emisiones de refrigerantes a la atmósfera, lo que reportará beneficios climáticos. Un cálculo de los efectos sobre el clima de las actividades del PAK indica que, para 2029, Santo Tomé y Príncipe habrá reducido sus emisiones de HFC en aproximadamente 35.973 toneladas de CO</w:t>
      </w:r>
      <w:r>
        <w:rPr>
          <w:vertAlign w:val="subscript"/>
          <w:lang w:val="es-ES"/>
        </w:rPr>
        <w:t>2</w:t>
      </w:r>
      <w:r>
        <w:rPr>
          <w:lang w:val="es-ES"/>
        </w:rPr>
        <w:t xml:space="preserve"> equivalente, calculadas como la diferencia entre el nivel básico de HFC para el cumplimiento y el objetivo de 2029, suponiendo que todos los HFC consumidos se hubieran emitido finalmente.</w:t>
      </w:r>
    </w:p>
    <w:p w14:paraId="0642BE53" w14:textId="77777777" w:rsidR="00CB0432" w:rsidRPr="00BE38DF" w:rsidRDefault="00CB0432" w:rsidP="00CB0432">
      <w:pPr>
        <w:pStyle w:val="Heading1"/>
        <w:keepNext/>
        <w:numPr>
          <w:ilvl w:val="0"/>
          <w:numId w:val="0"/>
        </w:numPr>
        <w:spacing w:before="240"/>
        <w:rPr>
          <w:bCs/>
          <w:u w:val="single"/>
        </w:rPr>
      </w:pPr>
      <w:r>
        <w:rPr>
          <w:bCs/>
          <w:u w:val="single"/>
        </w:rPr>
        <w:t>Proyecto de Acuerdo</w:t>
      </w:r>
    </w:p>
    <w:p w14:paraId="3365B1F3" w14:textId="11579932" w:rsidR="007D7950" w:rsidRPr="009556E6" w:rsidRDefault="007D7950" w:rsidP="007D7950">
      <w:pPr>
        <w:pStyle w:val="Heading1"/>
        <w:rPr>
          <w:lang w:val="es-ES" w:eastAsia="en-CA"/>
          <w14:ligatures w14:val="standardContextual"/>
        </w:rPr>
      </w:pPr>
      <w:bookmarkStart w:id="22" w:name="_Hlk126916251"/>
      <w:bookmarkEnd w:id="21"/>
      <w:r>
        <w:rPr>
          <w:lang w:val="es-ES"/>
        </w:rPr>
        <w:t>En el anexo II del presente documento figura un proyecto de Acuerdo entre el Gobierno de Santo Tomé y Príncipe y el Comité Ejecutivo para la etapa I del PAK.</w:t>
      </w:r>
    </w:p>
    <w:p w14:paraId="200C23D6" w14:textId="77777777" w:rsidR="00CB0432" w:rsidRPr="009556E6" w:rsidRDefault="00CB0432" w:rsidP="00CB0432">
      <w:pPr>
        <w:keepNext/>
        <w:suppressAutoHyphens/>
        <w:spacing w:before="240" w:after="240"/>
        <w:rPr>
          <w:iCs/>
          <w:u w:val="single"/>
          <w:lang w:val="es-ES"/>
        </w:rPr>
      </w:pPr>
      <w:r>
        <w:rPr>
          <w:iCs/>
          <w:u w:val="single"/>
          <w:lang w:val="es-ES"/>
        </w:rPr>
        <w:lastRenderedPageBreak/>
        <w:t>Coordinación de actividades en el sector de servicio técnico en el marco de los planes de eliminación de HCFC y reducción de HFC</w:t>
      </w:r>
    </w:p>
    <w:p w14:paraId="0CC79001" w14:textId="1DECEE16" w:rsidR="00CB0432" w:rsidRPr="009556E6" w:rsidRDefault="00CB0432" w:rsidP="00CB0432">
      <w:pPr>
        <w:pStyle w:val="Heading1"/>
        <w:rPr>
          <w:lang w:val="es-ES"/>
        </w:rPr>
      </w:pPr>
      <w:r>
        <w:rPr>
          <w:lang w:val="es-ES"/>
        </w:rPr>
        <w:t>El anexo III resume la ejecución simultánea de las actividades en el marco del PGEH y del PAK.</w:t>
      </w:r>
    </w:p>
    <w:p w14:paraId="5EEC1FDF" w14:textId="77777777" w:rsidR="00CB0432" w:rsidRPr="00BE38DF"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Recomendación</w:t>
      </w:r>
      <w:bookmarkEnd w:id="22"/>
    </w:p>
    <w:p w14:paraId="1D73C7CF" w14:textId="3BE0D2A1" w:rsidR="007D7950" w:rsidRPr="009556E6" w:rsidRDefault="007D7950" w:rsidP="00060028">
      <w:pPr>
        <w:pStyle w:val="Heading1"/>
        <w:keepNext/>
        <w:rPr>
          <w:lang w:val="es-ES" w:eastAsia="en-CA"/>
          <w14:ligatures w14:val="standardContextual"/>
        </w:rPr>
      </w:pPr>
      <w:r>
        <w:rPr>
          <w:lang w:val="es-ES"/>
        </w:rPr>
        <w:t>El Comité Ejecutivo tal vez desee considerar lo siguiente:</w:t>
      </w:r>
    </w:p>
    <w:p w14:paraId="13C9D5FA" w14:textId="3B49B604" w:rsidR="007D7950" w:rsidRPr="009556E6" w:rsidRDefault="007D7950" w:rsidP="00060028">
      <w:pPr>
        <w:pStyle w:val="Heading2"/>
        <w:keepNext/>
        <w:rPr>
          <w:lang w:val="es-ES"/>
        </w:rPr>
      </w:pPr>
      <w:r>
        <w:rPr>
          <w:lang w:val="es-ES"/>
        </w:rPr>
        <w:t>Aprobar, en principio, la etapa I del plan de aplicación de la Enmienda de Kigali relativa a los HFC (PAK) para Santo Tomé y Príncipe para el período 2026–2029, con el fin de reducir el consumo de HFC en un 50,64 % respecto al nivel básico de consumo de HFC del país, por un importe de USD 135.000, más los gastos de apoyo al organismo de USD 17.550, para el PNUMA;</w:t>
      </w:r>
    </w:p>
    <w:p w14:paraId="69AA9D5A" w14:textId="1FC0B482" w:rsidR="007D7950" w:rsidRPr="00BE38DF" w:rsidRDefault="007D7950" w:rsidP="004D0ADA">
      <w:pPr>
        <w:pStyle w:val="Heading2"/>
        <w:rPr>
          <w:kern w:val="2"/>
          <w:lang w:eastAsia="en-CA"/>
          <w14:ligatures w14:val="standardContextual"/>
        </w:rPr>
      </w:pPr>
      <w:r>
        <w:t>Aprobar:</w:t>
      </w:r>
    </w:p>
    <w:p w14:paraId="7FF5389B" w14:textId="3C0AABAB" w:rsidR="007D7950" w:rsidRPr="009556E6" w:rsidRDefault="007D7950" w:rsidP="007D7950">
      <w:pPr>
        <w:pStyle w:val="Heading3"/>
        <w:rPr>
          <w:kern w:val="2"/>
          <w:lang w:val="es-ES" w:eastAsia="en-CA"/>
          <w14:ligatures w14:val="standardContextual"/>
        </w:rPr>
      </w:pPr>
      <w:r>
        <w:rPr>
          <w:lang w:val="es-ES"/>
        </w:rPr>
        <w:t>El proyecto de Acuerdo entre el Gobierno de Santo Tomé y Príncipe y el Comité Ejecutivo para la reducción del consumo de HFC, de conformidad con la etapa I del PAK, que figura en el anexo II del presente documento; y</w:t>
      </w:r>
    </w:p>
    <w:p w14:paraId="3CF8DCA8" w14:textId="1B82E8F4" w:rsidR="007D7950" w:rsidRPr="009556E6" w:rsidRDefault="007D7950" w:rsidP="007D7950">
      <w:pPr>
        <w:pStyle w:val="Heading3"/>
        <w:rPr>
          <w:kern w:val="2"/>
          <w:lang w:val="es-ES" w:eastAsia="en-CA"/>
          <w14:ligatures w14:val="standardContextual"/>
        </w:rPr>
      </w:pPr>
      <w:r>
        <w:rPr>
          <w:lang w:val="es-ES"/>
        </w:rPr>
        <w:t>El primer tramo de la etapa I del PAK para Santo Tomé y Príncipe y el correspondiente plan de ejecución del tramo, por un importe de USD 74.500, más los gastos de apoyo al organismo de USD 9.685, para el PNUMA.</w:t>
      </w:r>
    </w:p>
    <w:p w14:paraId="5442442E" w14:textId="77777777" w:rsidR="00B43A6B" w:rsidRPr="009556E6" w:rsidRDefault="00B43A6B" w:rsidP="009C004B">
      <w:pPr>
        <w:pStyle w:val="Heading2"/>
        <w:numPr>
          <w:ilvl w:val="0"/>
          <w:numId w:val="0"/>
        </w:numPr>
        <w:spacing w:before="360"/>
        <w:rPr>
          <w:b/>
          <w:bCs/>
          <w:lang w:val="es-ES"/>
        </w:rPr>
        <w:sectPr w:rsidR="00B43A6B" w:rsidRPr="009556E6" w:rsidSect="002D16B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14956606" w14:textId="77777777" w:rsidR="00B43A6B" w:rsidRPr="009556E6" w:rsidRDefault="00B43A6B" w:rsidP="00B43A6B">
      <w:pPr>
        <w:spacing w:after="240"/>
        <w:jc w:val="center"/>
        <w:rPr>
          <w:b/>
          <w:bCs/>
          <w:lang w:val="es-ES"/>
        </w:rPr>
      </w:pPr>
      <w:r>
        <w:rPr>
          <w:b/>
          <w:bCs/>
          <w:lang w:val="es-ES"/>
        </w:rPr>
        <w:lastRenderedPageBreak/>
        <w:t>Anexo I</w:t>
      </w:r>
    </w:p>
    <w:p w14:paraId="4277B7D7" w14:textId="77777777" w:rsidR="00B43A6B" w:rsidRPr="009556E6" w:rsidRDefault="00B43A6B" w:rsidP="00B43A6B">
      <w:pPr>
        <w:jc w:val="center"/>
        <w:rPr>
          <w:b/>
          <w:lang w:val="es-ES"/>
        </w:rPr>
      </w:pPr>
      <w:r>
        <w:rPr>
          <w:b/>
          <w:lang w:val="es-ES"/>
        </w:rPr>
        <w:t>PROYECTO DE ACUERDO ENTRE EL GOBIERNO DE SANTO TOMÉ Y PRÍNCIPE</w:t>
      </w:r>
      <w:r>
        <w:rPr>
          <w:b/>
          <w:lang w:val="es-ES"/>
        </w:rPr>
        <w:br/>
        <w:t>Y EL COMITÉ EJECUTIVO DEL FONDO MULTILATERAL</w:t>
      </w:r>
      <w:r>
        <w:rPr>
          <w:b/>
          <w:lang w:val="es-ES"/>
        </w:rPr>
        <w:br/>
        <w:t>PARA LA REDUCCIÓN DEL CONSUMO DE HIDROCLOROFLUOROCARBUROS</w:t>
      </w:r>
      <w:r>
        <w:rPr>
          <w:b/>
          <w:lang w:val="es-ES"/>
        </w:rPr>
        <w:br/>
        <w:t>DE CONFORMIDAD CON LA ETAPA II DEL PLAN DE GESTIÓN DE LA ELIMINACIÓN PROGRESIVA DE LOS HCFC</w:t>
      </w:r>
    </w:p>
    <w:p w14:paraId="05D48DC6" w14:textId="77777777" w:rsidR="00B43A6B" w:rsidRPr="00B375EA" w:rsidRDefault="00B43A6B" w:rsidP="00B43A6B">
      <w:pPr>
        <w:keepNext/>
        <w:spacing w:before="240" w:after="240"/>
        <w:rPr>
          <w:b/>
        </w:rPr>
      </w:pPr>
      <w:r>
        <w:rPr>
          <w:b/>
        </w:rPr>
        <w:t>Objetivo</w:t>
      </w:r>
    </w:p>
    <w:p w14:paraId="464F902A" w14:textId="77777777" w:rsidR="00B43A6B" w:rsidRPr="009556E6" w:rsidRDefault="00B43A6B" w:rsidP="00DE2C96">
      <w:pPr>
        <w:pStyle w:val="Heading1"/>
        <w:numPr>
          <w:ilvl w:val="0"/>
          <w:numId w:val="8"/>
        </w:numPr>
        <w:rPr>
          <w:lang w:val="es-ES"/>
        </w:rPr>
      </w:pPr>
      <w:r>
        <w:rPr>
          <w:lang w:val="es-ES"/>
        </w:rPr>
        <w:t>El presente Acuerdo representa el entendimiento alcanzado entre el Gobierno de Santo Tomé y Príncipe (el “País”) y el Comité Ejecutivo respecto a la reducción del uso controlado de las sustancias que agotan la capa de ozono (SAO) indicadas en el Apéndice 1‑A (“Sustancias”) hasta un nivel sostenido de 0 toneladas PAO a más tardar el 1 de enero de 2030, en cumplimiento con el calendario del Protocolo de Montreal.</w:t>
      </w:r>
    </w:p>
    <w:p w14:paraId="755A6DAD" w14:textId="29356A4F" w:rsidR="00B43A6B" w:rsidRPr="009556E6" w:rsidRDefault="00B43A6B" w:rsidP="00B43A6B">
      <w:pPr>
        <w:pStyle w:val="Heading1"/>
        <w:rPr>
          <w:lang w:val="es-ES"/>
        </w:rPr>
      </w:pPr>
      <w:r>
        <w:rPr>
          <w:lang w:val="es-ES"/>
        </w:rPr>
        <w:t>El País se compromete a cumplir los límites de consumo anual de las Sustancias establecidos en el renglón 1.2 del Apéndice 2‑A (“Objetivos y financiación”) del presente Acuerdo, así como en el calendario de reducción del Protocolo de Montreal para todas las Sustancias mencionadas en el Apéndice 1‑A. El País acepta que, mediante su aceptación del presente Acuerdo y el cumplimiento por parte del Comité Ejecutivo de sus obligaciones de financiación descritas en el párrafo 3, queda impedido de solicitar o recibir financiación adicional del Fondo Multilateral en relación con cualquier consumo de las sustancias que supere el nivel definido en el renglón 1.2 del Apéndice 2‑A como etapa final de reducción en virtud del presente Acuerdo para todas las sustancias especificadas en el Apéndice 1‑A, y en relación con cualquier consumo de cada una de las sustancias que supere el nivel definido en el renglón 4.1.3 (consumo remanente admisible para financiamiento).</w:t>
      </w:r>
    </w:p>
    <w:p w14:paraId="292E7E8F" w14:textId="77777777" w:rsidR="00B43A6B" w:rsidRPr="009556E6" w:rsidRDefault="00B43A6B" w:rsidP="00B43A6B">
      <w:pPr>
        <w:pStyle w:val="Heading1"/>
        <w:rPr>
          <w:lang w:val="es-ES"/>
        </w:rPr>
      </w:pPr>
      <w:r>
        <w:rPr>
          <w:lang w:val="es-ES"/>
        </w:rPr>
        <w:t>Con sujeción al cumplimiento por parte del País de las obligaciones estipuladas en este Acuerdo, el Comité Ejecutivo conviene, en principio, en proporcionar al País la financiación indicada en el renglón 3.1 del Apéndice 2‑A. El Comité Ejecutivo proporcionará dicha financiación, en principio, durante las reuniones del Comité que señala el Apéndice 3‑A (“Cronograma de aprobación de la financiación”).</w:t>
      </w:r>
    </w:p>
    <w:p w14:paraId="77B9FF66" w14:textId="77777777" w:rsidR="00B43A6B" w:rsidRPr="009556E6" w:rsidRDefault="00B43A6B" w:rsidP="00B43A6B">
      <w:pPr>
        <w:pStyle w:val="Heading1"/>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3587E8E3" w14:textId="77777777" w:rsidR="00B43A6B" w:rsidRPr="009556E6" w:rsidRDefault="00B43A6B" w:rsidP="00B43A6B">
      <w:pPr>
        <w:keepNext/>
        <w:spacing w:after="240"/>
        <w:rPr>
          <w:b/>
          <w:lang w:val="es-ES"/>
        </w:rPr>
      </w:pPr>
      <w:r>
        <w:rPr>
          <w:b/>
          <w:lang w:val="es-ES"/>
        </w:rPr>
        <w:t>Condiciones para la liberación de la financiación</w:t>
      </w:r>
    </w:p>
    <w:p w14:paraId="39FE179E" w14:textId="77777777" w:rsidR="00B43A6B" w:rsidRPr="009556E6" w:rsidRDefault="00B43A6B" w:rsidP="00B43A6B">
      <w:pPr>
        <w:pStyle w:val="Heading1"/>
        <w:rPr>
          <w:lang w:val="es-ES"/>
        </w:rPr>
      </w:pPr>
      <w:r>
        <w:rPr>
          <w:lang w:val="es-ES"/>
        </w:rPr>
        <w:t>El Comité Ejecutivo dispondrá la entrega de la financiación prevista en el calendario de aprobación siempre que el País satisfaga las siguientes condiciones con al menos ocho semanas de antelación respecto de la reunión del Comité que corresponda según dicho calendario:</w:t>
      </w:r>
    </w:p>
    <w:p w14:paraId="63DCE95B" w14:textId="77777777" w:rsidR="00B43A6B" w:rsidRPr="009556E6" w:rsidRDefault="00B43A6B" w:rsidP="00B43A6B">
      <w:pPr>
        <w:pStyle w:val="Heading2"/>
        <w:tabs>
          <w:tab w:val="clear" w:pos="0"/>
          <w:tab w:val="num" w:pos="-720"/>
        </w:tabs>
        <w:rPr>
          <w:lang w:val="es-ES"/>
        </w:rPr>
      </w:pPr>
      <w:r>
        <w:rPr>
          <w:lang w:val="es-ES"/>
        </w:rPr>
        <w:t>Que el País haya cumplido los Objetivos estipuladas en el renglón 1.2 del Apéndice 2‑A para todos los años pertinentes. Los años pertinentes son todos los años transcurridos desde el año en que se aprobó el presente Acuerdo, salvo aquellos para los que no existan informes de ejecución del programa de país pendientes a la fecha de la reunión del Comité Ejecutivo en que se presenta la solicitud de financiación;</w:t>
      </w:r>
    </w:p>
    <w:p w14:paraId="2CF1238C" w14:textId="77777777" w:rsidR="00B43A6B" w:rsidRPr="009556E6" w:rsidRDefault="00B43A6B" w:rsidP="00B43A6B">
      <w:pPr>
        <w:pStyle w:val="Heading2"/>
        <w:tabs>
          <w:tab w:val="clear" w:pos="0"/>
          <w:tab w:val="num" w:pos="-720"/>
        </w:tabs>
        <w:rPr>
          <w:lang w:val="es-ES"/>
        </w:rPr>
      </w:pPr>
      <w:r>
        <w:rPr>
          <w:lang w:val="es-ES"/>
        </w:rPr>
        <w:t>Que salvo que el Comité Ejecutivo indique que no es necesario, una entidad independiente haya verificado el cumplimiento de los Objetivos para todos los años pertinentes;</w:t>
      </w:r>
    </w:p>
    <w:p w14:paraId="39ED8362" w14:textId="77777777" w:rsidR="00B43A6B" w:rsidRPr="009556E6" w:rsidRDefault="00B43A6B" w:rsidP="00B43A6B">
      <w:pPr>
        <w:pStyle w:val="Heading2"/>
        <w:tabs>
          <w:tab w:val="clear" w:pos="0"/>
          <w:tab w:val="num" w:pos="-720"/>
        </w:tabs>
        <w:rPr>
          <w:lang w:val="es-ES"/>
        </w:rPr>
      </w:pPr>
      <w:r>
        <w:rPr>
          <w:lang w:val="es-ES"/>
        </w:rPr>
        <w:lastRenderedPageBreak/>
        <w:t>Que el País haya presentado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 de la financiación disponible del tramo anterior aprobado; y</w:t>
      </w:r>
    </w:p>
    <w:p w14:paraId="67D6120D" w14:textId="77777777" w:rsidR="00B43A6B" w:rsidRPr="009556E6" w:rsidRDefault="00B43A6B" w:rsidP="00B43A6B">
      <w:pPr>
        <w:pStyle w:val="Heading2"/>
        <w:tabs>
          <w:tab w:val="clear" w:pos="0"/>
          <w:tab w:val="num" w:pos="-720"/>
        </w:tabs>
        <w:rPr>
          <w:lang w:val="es-ES"/>
        </w:rPr>
      </w:pPr>
      <w:r>
        <w:rPr>
          <w:lang w:val="es-ES"/>
        </w:rPr>
        <w:t>Que el País haya presentado el plan de ejecución de tramo para todos los ejercicios según lo previsto en el Apéndice 4‑A, incluido el año en que el cronograma de financiación contemple la presentación del tramo siguiente. Cuando se trate del último tramo, el plan deberá abarcar hasta el término de todas las actividades previstas.</w:t>
      </w:r>
    </w:p>
    <w:p w14:paraId="1A7F798E" w14:textId="77777777" w:rsidR="00B43A6B" w:rsidRPr="005D03A9" w:rsidRDefault="00B43A6B" w:rsidP="00B43A6B">
      <w:pPr>
        <w:keepNext/>
        <w:spacing w:before="240" w:after="240"/>
        <w:rPr>
          <w:b/>
        </w:rPr>
      </w:pPr>
      <w:r>
        <w:rPr>
          <w:b/>
        </w:rPr>
        <w:t>Supervisión</w:t>
      </w:r>
    </w:p>
    <w:p w14:paraId="27670797" w14:textId="77777777" w:rsidR="00B43A6B" w:rsidRPr="009556E6" w:rsidRDefault="00B43A6B" w:rsidP="00B43A6B">
      <w:pPr>
        <w:pStyle w:val="Heading1"/>
        <w:rPr>
          <w:lang w:val="es-ES"/>
        </w:rPr>
      </w:pPr>
      <w:r>
        <w:rPr>
          <w:lang w:val="es-ES"/>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369AFEE0" w14:textId="77777777" w:rsidR="00B43A6B" w:rsidRPr="009556E6" w:rsidRDefault="00B43A6B" w:rsidP="00B43A6B">
      <w:pPr>
        <w:keepNext/>
        <w:spacing w:before="240" w:after="240"/>
        <w:rPr>
          <w:b/>
          <w:lang w:val="es-ES"/>
        </w:rPr>
      </w:pPr>
      <w:r>
        <w:rPr>
          <w:b/>
          <w:lang w:val="es-ES"/>
        </w:rPr>
        <w:t>Flexibilidad en la reasignación de fondos</w:t>
      </w:r>
    </w:p>
    <w:p w14:paraId="7330BB1A" w14:textId="77777777" w:rsidR="00B43A6B" w:rsidRPr="009556E6" w:rsidRDefault="00B43A6B" w:rsidP="00B43A6B">
      <w:pPr>
        <w:pStyle w:val="Heading1"/>
        <w:rPr>
          <w:lang w:val="es-ES"/>
        </w:rPr>
      </w:pPr>
      <w:r>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2F86CB95" w14:textId="77777777" w:rsidR="00B43A6B" w:rsidRPr="00D423D4" w:rsidRDefault="00B43A6B" w:rsidP="00B43A6B">
      <w:pPr>
        <w:pStyle w:val="Heading2"/>
        <w:tabs>
          <w:tab w:val="clear" w:pos="0"/>
          <w:tab w:val="num" w:pos="-720"/>
        </w:tabs>
      </w:pPr>
      <w:r>
        <w:rPr>
          <w:lang w:val="es-ES"/>
        </w:rPr>
        <w:t xml:space="preserve">Las reasignaciones que supongan cambios significativos deberán documentarse por anticipado en el plan de ejecución del tramo previsto en el inciso 5 d), o bien como ajuste a un plan existente que deberá presentarse a aprobación ocho semanas antes de la correspondiente reunión del Comité Ejecutivo. </w:t>
      </w:r>
      <w:r>
        <w:t>Por cambios significativos se entienden:</w:t>
      </w:r>
    </w:p>
    <w:p w14:paraId="613CE5C6" w14:textId="77777777" w:rsidR="00B43A6B" w:rsidRPr="009556E6" w:rsidRDefault="00B43A6B" w:rsidP="00B43A6B">
      <w:pPr>
        <w:pStyle w:val="Heading3"/>
        <w:rPr>
          <w:lang w:val="es-ES"/>
        </w:rPr>
      </w:pPr>
      <w:r>
        <w:rPr>
          <w:lang w:val="es-ES"/>
        </w:rPr>
        <w:t>Materias que pudieran afectar el reglamento y las políticas del Fondo Multilateral;</w:t>
      </w:r>
    </w:p>
    <w:p w14:paraId="7847C42E" w14:textId="77777777" w:rsidR="00B43A6B" w:rsidRPr="009556E6" w:rsidRDefault="00B43A6B" w:rsidP="00B43A6B">
      <w:pPr>
        <w:pStyle w:val="Heading3"/>
        <w:rPr>
          <w:lang w:val="es-ES"/>
        </w:rPr>
      </w:pPr>
      <w:r>
        <w:rPr>
          <w:lang w:val="es-ES"/>
        </w:rPr>
        <w:t>Cambios que modifiquen cláusulas de este Acuerdo;</w:t>
      </w:r>
    </w:p>
    <w:p w14:paraId="743DFE16" w14:textId="77777777" w:rsidR="00B43A6B" w:rsidRPr="009556E6" w:rsidRDefault="00B43A6B" w:rsidP="00B43A6B">
      <w:pPr>
        <w:pStyle w:val="Heading3"/>
        <w:rPr>
          <w:lang w:val="es-ES"/>
        </w:rPr>
      </w:pPr>
      <w:r>
        <w:rPr>
          <w:lang w:val="es-ES"/>
        </w:rPr>
        <w:t>Cambios en los niveles anuales de financiación asignados a cada organismo bilateral o de ejecución para los distintos tramos;</w:t>
      </w:r>
    </w:p>
    <w:p w14:paraId="0949890F" w14:textId="77777777" w:rsidR="00B43A6B" w:rsidRPr="009556E6" w:rsidRDefault="00B43A6B" w:rsidP="00B43A6B">
      <w:pPr>
        <w:pStyle w:val="Heading3"/>
        <w:rPr>
          <w:lang w:val="es-ES"/>
        </w:rPr>
      </w:pPr>
      <w:r>
        <w:rPr>
          <w:lang w:val="es-ES"/>
        </w:rPr>
        <w:t>La entrega de financiación a actividades no contempladas en el Plan de Ejecución de Tramo en curso avalado, o la eliminación de una actividad del Plan de Ejecución de Tramo, con un costo mayor al 30 % del costo total del último tramo aprobado;</w:t>
      </w:r>
    </w:p>
    <w:p w14:paraId="651BA9B0" w14:textId="77777777" w:rsidR="00B43A6B" w:rsidRPr="009556E6" w:rsidRDefault="00B43A6B" w:rsidP="00B43A6B">
      <w:pPr>
        <w:pStyle w:val="Heading3"/>
        <w:rPr>
          <w:lang w:val="es-ES"/>
        </w:rPr>
      </w:pPr>
      <w:r>
        <w:rPr>
          <w:lang w:val="es-ES"/>
        </w:rPr>
        <w:t>Cambios en las alternativas tecnológicas, en cuyo caso las solicitudes resultantes deberán precisar los respectivos sobrecostos, potencial impacto climático y diferencia en toneladas PAO a eliminar, de haberla, y confirmar que el País conviene en que un posible menor costo de la tecnología redundará en una disminución equivalente en el nivel general de financiación prevista en el Acuerdo;</w:t>
      </w:r>
    </w:p>
    <w:p w14:paraId="7149A957" w14:textId="77777777" w:rsidR="00B43A6B" w:rsidRPr="009556E6" w:rsidRDefault="00B43A6B" w:rsidP="00B43A6B">
      <w:pPr>
        <w:pStyle w:val="Heading2"/>
        <w:tabs>
          <w:tab w:val="clear" w:pos="0"/>
          <w:tab w:val="num" w:pos="-720"/>
        </w:tabs>
        <w:rPr>
          <w:lang w:val="es-ES"/>
        </w:rPr>
      </w:pPr>
      <w:r>
        <w:rPr>
          <w:lang w:val="es-ES"/>
        </w:rPr>
        <w:t>Las reasignaciones que no supongan cambios significativos podrán incorporarse al plan de ejecución de tramo aprobado en curso y notificarse al Comité Ejecutivo en el siguiente informe de ejecución de tramo; y</w:t>
      </w:r>
    </w:p>
    <w:p w14:paraId="31F257BB" w14:textId="77777777" w:rsidR="00B43A6B" w:rsidRPr="009556E6" w:rsidRDefault="00B43A6B" w:rsidP="00B43A6B">
      <w:pPr>
        <w:pStyle w:val="Heading2"/>
        <w:tabs>
          <w:tab w:val="clear" w:pos="0"/>
          <w:tab w:val="num" w:pos="-720"/>
        </w:tabs>
        <w:rPr>
          <w:lang w:val="es-ES"/>
        </w:rPr>
      </w:pPr>
      <w:r>
        <w:rPr>
          <w:lang w:val="es-ES"/>
        </w:rPr>
        <w:t>Todo saldo que obre en poder de los organismos bilaterales o de ejecución o del País al concluir el último tramo previsto en este Acuerdo deberá ser reintegrado al Fondo Multilateral.</w:t>
      </w:r>
    </w:p>
    <w:p w14:paraId="391C74C7" w14:textId="77777777" w:rsidR="00B43A6B" w:rsidRPr="009556E6" w:rsidRDefault="00B43A6B" w:rsidP="00B43A6B">
      <w:pPr>
        <w:keepNext/>
        <w:spacing w:before="240" w:after="240"/>
        <w:rPr>
          <w:b/>
          <w:lang w:val="es-ES"/>
        </w:rPr>
      </w:pPr>
      <w:r>
        <w:rPr>
          <w:b/>
          <w:lang w:val="es-ES"/>
        </w:rPr>
        <w:lastRenderedPageBreak/>
        <w:t>Consideraciones sobre el sector de servicio técnico de equipos de refrigeración</w:t>
      </w:r>
    </w:p>
    <w:p w14:paraId="13B8D9F3" w14:textId="77777777" w:rsidR="00B43A6B" w:rsidRPr="009556E6" w:rsidRDefault="00B43A6B" w:rsidP="00B43A6B">
      <w:pPr>
        <w:pStyle w:val="Heading1"/>
        <w:rPr>
          <w:lang w:val="es-ES"/>
        </w:rPr>
      </w:pPr>
      <w:r>
        <w:rPr>
          <w:lang w:val="es-ES"/>
        </w:rPr>
        <w:t>Se prestará especial atención a la ejecución de las actividades contempladas en el Plan para el sector de servicio técnico de equipos de refrigeración, en particular:</w:t>
      </w:r>
    </w:p>
    <w:p w14:paraId="358E0915" w14:textId="6DD0B73E" w:rsidR="00B43A6B" w:rsidRPr="009556E6" w:rsidRDefault="00B43A6B" w:rsidP="00B43A6B">
      <w:pPr>
        <w:pStyle w:val="Heading2"/>
        <w:tabs>
          <w:tab w:val="clear" w:pos="0"/>
          <w:tab w:val="num" w:pos="-720"/>
        </w:tabs>
        <w:rPr>
          <w:lang w:val="es-ES"/>
        </w:rPr>
      </w:pPr>
      <w:r>
        <w:rPr>
          <w:lang w:val="es-ES"/>
        </w:rPr>
        <w:t>Que el País recurra a la flexibilidad que le concede el presente Acuerdo para atender necesidades específicas que pudieran presentarse durante la ejecución del proyecto; y</w:t>
      </w:r>
    </w:p>
    <w:p w14:paraId="24FF413F" w14:textId="2B8567A0" w:rsidR="00B43A6B" w:rsidRPr="009556E6" w:rsidRDefault="00B43A6B" w:rsidP="00B43A6B">
      <w:pPr>
        <w:pStyle w:val="Heading2"/>
        <w:tabs>
          <w:tab w:val="clear" w:pos="0"/>
          <w:tab w:val="num" w:pos="-720"/>
        </w:tabs>
        <w:rPr>
          <w:lang w:val="es-ES"/>
        </w:rPr>
      </w:pPr>
      <w:r>
        <w:rPr>
          <w:lang w:val="es-ES"/>
        </w:rPr>
        <w:t>Que durante la ejecución del Plan, el País y los organismos bilaterales y/o de ejecución pertinentes tomen en consideración las decisiones aplicables al sector de servicio técnico de equipos de refrigeración.</w:t>
      </w:r>
    </w:p>
    <w:p w14:paraId="6F76E6D3" w14:textId="77777777" w:rsidR="00B43A6B" w:rsidRPr="00F61D55" w:rsidRDefault="00B43A6B" w:rsidP="00B43A6B">
      <w:pPr>
        <w:keepNext/>
        <w:spacing w:before="240" w:after="240"/>
        <w:rPr>
          <w:b/>
        </w:rPr>
      </w:pPr>
      <w:r>
        <w:rPr>
          <w:b/>
        </w:rPr>
        <w:t>Organismos bilaterales y de ejecución</w:t>
      </w:r>
    </w:p>
    <w:p w14:paraId="3F821DCB" w14:textId="77777777" w:rsidR="00B43A6B" w:rsidRPr="009556E6" w:rsidRDefault="00B43A6B" w:rsidP="00B43A6B">
      <w:pPr>
        <w:pStyle w:val="Heading1"/>
        <w:rPr>
          <w:lang w:val="es-ES"/>
        </w:rPr>
      </w:pPr>
      <w:r>
        <w:rPr>
          <w:lang w:val="es-ES"/>
        </w:rPr>
        <w:t>El País se compromete a asumir la responsabilidad general de la gestión y la ejecución del presente Acuerdo, así como de todas las actividades emprendidas por él o en su nombre para cumplir las obligaciones derivadas del mismo. El PNUMA ha aceptado actuar como principal organismo de ejecución (el “Organismo de Ejecución Principal”) en lo que respecta a las actividades del País en el marco del presente Acuerdo. El País acepta que se realicen evaluaciones, que podrían llevarse a cabo en el marco de los programas de trabajo de evaluación del Fondo Multilateral o del programa de evaluación del Organismo de Ejecución Principal que participa en el presente Acuerdo.</w:t>
      </w:r>
    </w:p>
    <w:p w14:paraId="7DBDD95F" w14:textId="77777777" w:rsidR="00B43A6B" w:rsidRPr="009556E6" w:rsidRDefault="00B43A6B" w:rsidP="00B43A6B">
      <w:pPr>
        <w:pStyle w:val="Heading1"/>
        <w:rPr>
          <w:lang w:val="es-ES"/>
        </w:rPr>
      </w:pPr>
      <w:r>
        <w:rPr>
          <w:lang w:val="es-ES"/>
        </w:rPr>
        <w:t>El Organismo de Ejecución Principal velará por la correcta planificación, ejecución y notificación de toda actividad comprendida en el presente Acuerdo, incluyendo, solo a título ilustrativo, la verificación independiente contemplada en el inciso 5 b). La función del Organismo de Ejecución Principal se describe en el Apéndice 6‑A. El Comité Ejecutivo acuerda, en principio, pagar al Organismo de Ejecución Principal los honorarios que indica el renglón 2.2 del Apéndice 2‑A.</w:t>
      </w:r>
    </w:p>
    <w:p w14:paraId="77490F8A" w14:textId="77777777" w:rsidR="00B43A6B" w:rsidRPr="00F61D55" w:rsidRDefault="00B43A6B" w:rsidP="00B43A6B">
      <w:pPr>
        <w:keepNext/>
        <w:spacing w:before="240" w:after="240"/>
        <w:rPr>
          <w:b/>
        </w:rPr>
      </w:pPr>
      <w:r>
        <w:rPr>
          <w:b/>
        </w:rPr>
        <w:t>Incumplimiento del Acuerdo</w:t>
      </w:r>
    </w:p>
    <w:p w14:paraId="48E60F0D" w14:textId="77777777" w:rsidR="00B43A6B" w:rsidRPr="009556E6" w:rsidRDefault="00B43A6B" w:rsidP="00B43A6B">
      <w:pPr>
        <w:pStyle w:val="Heading1"/>
        <w:spacing w:before="240"/>
        <w:rPr>
          <w:lang w:val="es-ES"/>
        </w:rPr>
      </w:pPr>
      <w:r>
        <w:rPr>
          <w:lang w:val="es-ES"/>
        </w:rPr>
        <w:t>En caso de que el País, por cualquier motivo, no alcance los Objetivos de eliminación de las Sustancias establecidos en el renglón 1.2 del Apéndice 2‑A o incumpla de cualquier otra forma el presente Acuerdo, el País acepta que no tendrá derecho a la financiación de conformidad con el cronograma de aprobación de la financiación. A discreción del Comité Ejecutivo, el financiamiento se restablecerá de acuerdo con un cronograma de aprobación de financiamiento revisado, determinado por el Comité Ejecutivo, una vez que el País haya demostrado que ha cumplido todas sus obligaciones que debían haberse cumplido antes de recibir el siguiente tramo de financiamiento con arreglo al cronograma de aprobación de financiamiento. El País reconoce que el Comité Ejecutivo podrá reducir el importe del financiamiento en la cuantía establecida en el Apéndice 7‑A (“Reducción del financiamiento por incumplimiento”) por cada kg de PAO de reducciones en el consumo no alcanzadas en cualquier año. El Comité Ejecutivo examinará cada caso concreto en el que el País no haya cumplido lo estipulado en el Acuerdo y adoptará las decisiones pertinentes. Una vez adoptadas las decisiones, el caso concreto de incumplimiento con lo estipulado en el Acuerdo no constituirá un impedimento para la concesión de financiamiento para futuros tramos, de conformidad con el párrafo 5 anterior.</w:t>
      </w:r>
    </w:p>
    <w:p w14:paraId="3CDC518C" w14:textId="77777777" w:rsidR="00B43A6B" w:rsidRPr="009556E6" w:rsidRDefault="00B43A6B" w:rsidP="00B43A6B">
      <w:pPr>
        <w:pStyle w:val="Heading1"/>
        <w:rPr>
          <w:lang w:val="es-ES"/>
        </w:rPr>
      </w:pPr>
      <w:r>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6B3129F2" w14:textId="0256C928" w:rsidR="00B43A6B" w:rsidRPr="009556E6" w:rsidRDefault="00B43A6B" w:rsidP="00B43A6B">
      <w:pPr>
        <w:pStyle w:val="Heading1"/>
        <w:rPr>
          <w:lang w:val="es-ES"/>
        </w:rPr>
      </w:pPr>
      <w:r>
        <w:rPr>
          <w:lang w:val="es-ES"/>
        </w:rPr>
        <w:t>El País acatará cualquier petición razonable que realicen el Comité Ejecutivo y el Organismo de Ejecución Principal con vistas a facilitar la ejecución del Acuerdo. En particular, deberá procurar que el Organismo de Ejecución Principal cuente con pleno acceso a la información necesaria para verificar el cumplimiento del mismo.</w:t>
      </w:r>
    </w:p>
    <w:p w14:paraId="58230AB2" w14:textId="77777777" w:rsidR="00B43A6B" w:rsidRPr="00F61D55" w:rsidRDefault="00B43A6B" w:rsidP="00B43A6B">
      <w:pPr>
        <w:keepNext/>
        <w:spacing w:before="240" w:after="240"/>
        <w:rPr>
          <w:b/>
        </w:rPr>
      </w:pPr>
      <w:r>
        <w:rPr>
          <w:b/>
        </w:rPr>
        <w:lastRenderedPageBreak/>
        <w:t>Fecha de finalización</w:t>
      </w:r>
    </w:p>
    <w:p w14:paraId="535E2A27" w14:textId="77777777" w:rsidR="00B43A6B" w:rsidRPr="009556E6" w:rsidRDefault="00B43A6B" w:rsidP="00B43A6B">
      <w:pPr>
        <w:pStyle w:val="Heading1"/>
        <w:spacing w:before="240"/>
        <w:rPr>
          <w:lang w:val="es-ES"/>
        </w:rPr>
      </w:pPr>
      <w:r>
        <w:rPr>
          <w:lang w:val="es-ES"/>
        </w:rPr>
        <w:t>La finalización del Plan y del Acuerdo asociado tendrá lugar al final del año siguiente al último año para el que se haya especificado un consumo total máximo permitido en el Apéndice 2‑A. En caso de que en ese momento aún queden actividades pendientes, y que estuvieran previstas en el último plan de ejecución del tramo y sus revisiones posteriores, de conformidad con el inciso 5 d) y el párrafo 7, la finalización del Plan se aplazará hasta el final del año siguiente a la ejecución de las actividades restantes. Los requisitos de presentación de informes previstos en los incisos 1 a), 1 b), 1 d) y 1 e) del Apéndice 4‑A se mantendrán hasta la finalización del plan, salvo que el Comité Ejecutivo disponga lo contrario.</w:t>
      </w:r>
    </w:p>
    <w:p w14:paraId="5E83EBB0" w14:textId="77777777" w:rsidR="00B43A6B" w:rsidRPr="00B375EA" w:rsidRDefault="00B43A6B" w:rsidP="00B43A6B">
      <w:pPr>
        <w:keepNext/>
        <w:spacing w:before="240" w:after="240"/>
      </w:pPr>
      <w:r>
        <w:rPr>
          <w:b/>
        </w:rPr>
        <w:t>Validez</w:t>
      </w:r>
    </w:p>
    <w:p w14:paraId="05F5B0C2" w14:textId="77777777" w:rsidR="00B43A6B" w:rsidRPr="009556E6" w:rsidRDefault="00B43A6B" w:rsidP="00B43A6B">
      <w:pPr>
        <w:pStyle w:val="Heading1"/>
        <w:spacing w:before="240"/>
        <w:rPr>
          <w:lang w:val="es-ES"/>
        </w:rPr>
      </w:pPr>
      <w:r>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3D8AB295" w14:textId="77777777" w:rsidR="00B43A6B" w:rsidRPr="009556E6" w:rsidRDefault="00B43A6B" w:rsidP="00B43A6B">
      <w:pPr>
        <w:pStyle w:val="Heading1"/>
        <w:rPr>
          <w:lang w:val="es-ES"/>
        </w:rPr>
      </w:pPr>
      <w:r>
        <w:rPr>
          <w:lang w:val="es-ES"/>
        </w:rPr>
        <w:t>El presente Acuerdo solo podrá modificarse o extinguirse por la voluntad escrita del País y del Comité Ejecutivo del Fondo Multilateral.</w:t>
      </w:r>
    </w:p>
    <w:p w14:paraId="0CF1C923" w14:textId="77777777" w:rsidR="00B43A6B" w:rsidRPr="00FB39AB" w:rsidRDefault="00B43A6B" w:rsidP="00B43A6B">
      <w:pPr>
        <w:pStyle w:val="Heading1"/>
        <w:keepNext/>
        <w:numPr>
          <w:ilvl w:val="0"/>
          <w:numId w:val="0"/>
        </w:numPr>
        <w:spacing w:before="360" w:after="360"/>
        <w:rPr>
          <w:b/>
        </w:rPr>
      </w:pPr>
      <w:r>
        <w:rPr>
          <w:b/>
        </w:rPr>
        <w:t>APÉNDICES</w:t>
      </w:r>
    </w:p>
    <w:p w14:paraId="32BDF060" w14:textId="77777777" w:rsidR="00B43A6B" w:rsidRPr="00B375EA" w:rsidRDefault="00B43A6B" w:rsidP="00B43A6B">
      <w:pPr>
        <w:pStyle w:val="Heading1"/>
        <w:keepNext/>
        <w:numPr>
          <w:ilvl w:val="0"/>
          <w:numId w:val="0"/>
        </w:numPr>
        <w:spacing w:before="360"/>
        <w:rPr>
          <w:b/>
        </w:rPr>
      </w:pPr>
      <w:r>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B43A6B" w:rsidRPr="00B50897" w14:paraId="10B600E3" w14:textId="77777777">
        <w:trPr>
          <w:trHeight w:val="413"/>
          <w:tblHeader/>
        </w:trPr>
        <w:tc>
          <w:tcPr>
            <w:tcW w:w="1250" w:type="pct"/>
            <w:vAlign w:val="center"/>
          </w:tcPr>
          <w:p w14:paraId="3BBB503E" w14:textId="77777777" w:rsidR="00B43A6B" w:rsidRPr="00B375EA" w:rsidRDefault="00B43A6B">
            <w:pPr>
              <w:keepNext/>
              <w:jc w:val="center"/>
              <w:rPr>
                <w:sz w:val="20"/>
                <w:szCs w:val="20"/>
              </w:rPr>
            </w:pPr>
            <w:r>
              <w:rPr>
                <w:sz w:val="20"/>
                <w:szCs w:val="20"/>
              </w:rPr>
              <w:t>Sustancia</w:t>
            </w:r>
          </w:p>
        </w:tc>
        <w:tc>
          <w:tcPr>
            <w:tcW w:w="1250" w:type="pct"/>
            <w:vAlign w:val="center"/>
          </w:tcPr>
          <w:p w14:paraId="1C022B4C" w14:textId="77777777" w:rsidR="00B43A6B" w:rsidRPr="00B375EA" w:rsidRDefault="00B43A6B">
            <w:pPr>
              <w:keepNext/>
              <w:jc w:val="center"/>
              <w:rPr>
                <w:sz w:val="20"/>
                <w:szCs w:val="20"/>
              </w:rPr>
            </w:pPr>
            <w:r>
              <w:rPr>
                <w:sz w:val="20"/>
                <w:szCs w:val="20"/>
              </w:rPr>
              <w:t>Anexo</w:t>
            </w:r>
          </w:p>
        </w:tc>
        <w:tc>
          <w:tcPr>
            <w:tcW w:w="1212" w:type="pct"/>
            <w:vAlign w:val="center"/>
          </w:tcPr>
          <w:p w14:paraId="1A43D51C" w14:textId="77777777" w:rsidR="00B43A6B" w:rsidRPr="00B375EA" w:rsidRDefault="00B43A6B">
            <w:pPr>
              <w:keepNext/>
              <w:jc w:val="center"/>
              <w:rPr>
                <w:sz w:val="20"/>
                <w:szCs w:val="20"/>
              </w:rPr>
            </w:pPr>
            <w:r>
              <w:rPr>
                <w:sz w:val="20"/>
                <w:szCs w:val="20"/>
              </w:rPr>
              <w:t>Grupo</w:t>
            </w:r>
          </w:p>
        </w:tc>
        <w:tc>
          <w:tcPr>
            <w:tcW w:w="1288" w:type="pct"/>
            <w:vAlign w:val="center"/>
          </w:tcPr>
          <w:p w14:paraId="37534620" w14:textId="77777777" w:rsidR="00B43A6B" w:rsidRPr="009556E6" w:rsidRDefault="00B43A6B">
            <w:pPr>
              <w:keepNext/>
              <w:jc w:val="center"/>
              <w:rPr>
                <w:sz w:val="20"/>
                <w:szCs w:val="20"/>
                <w:lang w:val="es-ES"/>
              </w:rPr>
            </w:pPr>
            <w:r>
              <w:rPr>
                <w:sz w:val="20"/>
                <w:szCs w:val="20"/>
                <w:lang w:val="es-ES"/>
              </w:rPr>
              <w:t>Punto de partida para reducciones acumulativas en el consumo (toneladas PAO)</w:t>
            </w:r>
          </w:p>
        </w:tc>
      </w:tr>
      <w:tr w:rsidR="00B43A6B" w:rsidRPr="00B375EA" w14:paraId="5B088D60" w14:textId="77777777">
        <w:tc>
          <w:tcPr>
            <w:tcW w:w="1250" w:type="pct"/>
          </w:tcPr>
          <w:p w14:paraId="314CADFA" w14:textId="77777777" w:rsidR="00B43A6B" w:rsidRPr="00B375EA" w:rsidRDefault="00B43A6B">
            <w:pPr>
              <w:keepNext/>
              <w:rPr>
                <w:sz w:val="20"/>
                <w:szCs w:val="20"/>
              </w:rPr>
            </w:pPr>
            <w:r>
              <w:rPr>
                <w:sz w:val="20"/>
                <w:szCs w:val="20"/>
              </w:rPr>
              <w:t>HCFC‑22</w:t>
            </w:r>
          </w:p>
        </w:tc>
        <w:tc>
          <w:tcPr>
            <w:tcW w:w="1250" w:type="pct"/>
            <w:vAlign w:val="center"/>
          </w:tcPr>
          <w:p w14:paraId="65BB1B6C" w14:textId="77777777" w:rsidR="00B43A6B" w:rsidRPr="00B375EA" w:rsidRDefault="00B43A6B">
            <w:pPr>
              <w:keepNext/>
              <w:jc w:val="center"/>
              <w:rPr>
                <w:sz w:val="20"/>
                <w:szCs w:val="20"/>
              </w:rPr>
            </w:pPr>
            <w:r>
              <w:rPr>
                <w:sz w:val="20"/>
                <w:szCs w:val="20"/>
              </w:rPr>
              <w:t>C</w:t>
            </w:r>
          </w:p>
        </w:tc>
        <w:tc>
          <w:tcPr>
            <w:tcW w:w="1212" w:type="pct"/>
            <w:vAlign w:val="center"/>
          </w:tcPr>
          <w:p w14:paraId="5617E2A3" w14:textId="77777777" w:rsidR="00B43A6B" w:rsidRPr="00B375EA" w:rsidRDefault="00B43A6B">
            <w:pPr>
              <w:keepNext/>
              <w:jc w:val="center"/>
              <w:rPr>
                <w:sz w:val="20"/>
                <w:szCs w:val="20"/>
              </w:rPr>
            </w:pPr>
            <w:r>
              <w:rPr>
                <w:sz w:val="20"/>
                <w:szCs w:val="20"/>
              </w:rPr>
              <w:t>I</w:t>
            </w:r>
          </w:p>
        </w:tc>
        <w:tc>
          <w:tcPr>
            <w:tcW w:w="1288" w:type="pct"/>
            <w:shd w:val="clear" w:color="auto" w:fill="FFFFFF" w:themeFill="background1"/>
          </w:tcPr>
          <w:p w14:paraId="6D5E7056" w14:textId="77777777" w:rsidR="00B43A6B" w:rsidRPr="001E5197" w:rsidRDefault="00B43A6B">
            <w:pPr>
              <w:keepNext/>
              <w:jc w:val="right"/>
              <w:rPr>
                <w:sz w:val="20"/>
                <w:szCs w:val="20"/>
              </w:rPr>
            </w:pPr>
            <w:r>
              <w:rPr>
                <w:sz w:val="20"/>
                <w:szCs w:val="20"/>
              </w:rPr>
              <w:t>0,15</w:t>
            </w:r>
          </w:p>
        </w:tc>
      </w:tr>
    </w:tbl>
    <w:p w14:paraId="2AA1C81A" w14:textId="77777777" w:rsidR="00B43A6B" w:rsidRPr="00B375EA" w:rsidRDefault="00B43A6B" w:rsidP="00B43A6B">
      <w:pPr>
        <w:pStyle w:val="Heading1"/>
        <w:keepNext/>
        <w:numPr>
          <w:ilvl w:val="0"/>
          <w:numId w:val="0"/>
        </w:numPr>
        <w:spacing w:before="360"/>
        <w:rPr>
          <w:b/>
        </w:rPr>
      </w:pPr>
      <w:r>
        <w:rPr>
          <w:b/>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871"/>
        <w:gridCol w:w="3377"/>
        <w:gridCol w:w="851"/>
        <w:gridCol w:w="851"/>
        <w:gridCol w:w="851"/>
        <w:gridCol w:w="851"/>
        <w:gridCol w:w="868"/>
        <w:gridCol w:w="830"/>
      </w:tblGrid>
      <w:tr w:rsidR="00B43A6B" w:rsidRPr="00B375EA" w14:paraId="23E1B633" w14:textId="77777777">
        <w:trPr>
          <w:cantSplit/>
          <w:trHeight w:val="98"/>
          <w:tblHeader/>
          <w:jc w:val="center"/>
        </w:trPr>
        <w:tc>
          <w:tcPr>
            <w:tcW w:w="466" w:type="pct"/>
            <w:tcBorders>
              <w:top w:val="single" w:sz="4" w:space="0" w:color="auto"/>
              <w:left w:val="single" w:sz="4" w:space="0" w:color="auto"/>
              <w:bottom w:val="single" w:sz="4" w:space="0" w:color="auto"/>
              <w:right w:val="single" w:sz="4" w:space="0" w:color="auto"/>
            </w:tcBorders>
            <w:hideMark/>
          </w:tcPr>
          <w:p w14:paraId="1B866484" w14:textId="77777777" w:rsidR="00B43A6B" w:rsidRPr="00B375EA" w:rsidRDefault="00B43A6B">
            <w:pPr>
              <w:keepNext/>
              <w:keepLines/>
              <w:jc w:val="center"/>
              <w:rPr>
                <w:b/>
                <w:bCs/>
                <w:color w:val="000000"/>
                <w:sz w:val="20"/>
                <w:szCs w:val="20"/>
                <w:lang w:eastAsia="en-CA"/>
              </w:rPr>
            </w:pPr>
            <w:r>
              <w:rPr>
                <w:b/>
                <w:bCs/>
                <w:color w:val="000000"/>
                <w:sz w:val="16"/>
                <w:szCs w:val="16"/>
                <w:lang w:eastAsia="en-CA"/>
              </w:rPr>
              <w:t>Renglón</w:t>
            </w:r>
          </w:p>
        </w:tc>
        <w:tc>
          <w:tcPr>
            <w:tcW w:w="1806" w:type="pct"/>
            <w:tcBorders>
              <w:top w:val="single" w:sz="4" w:space="0" w:color="auto"/>
              <w:left w:val="nil"/>
              <w:bottom w:val="single" w:sz="4" w:space="0" w:color="auto"/>
              <w:right w:val="single" w:sz="4" w:space="0" w:color="auto"/>
            </w:tcBorders>
            <w:hideMark/>
          </w:tcPr>
          <w:p w14:paraId="0DCADD7B"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Detalles</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A9F7863"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12DA2EBE"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573FF6CE"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4BEC1720"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3B3FFBBF"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20A98F0D" w14:textId="77777777" w:rsidR="00B43A6B" w:rsidRPr="00B375EA" w:rsidRDefault="00B43A6B">
            <w:pPr>
              <w:keepNext/>
              <w:keepLines/>
              <w:jc w:val="center"/>
              <w:rPr>
                <w:b/>
                <w:bCs/>
                <w:color w:val="000000"/>
                <w:sz w:val="20"/>
                <w:szCs w:val="20"/>
                <w:lang w:eastAsia="en-CA"/>
              </w:rPr>
            </w:pPr>
            <w:r>
              <w:rPr>
                <w:b/>
                <w:bCs/>
                <w:color w:val="000000"/>
                <w:sz w:val="20"/>
                <w:szCs w:val="20"/>
                <w:lang w:eastAsia="en-CA"/>
              </w:rPr>
              <w:t>Total</w:t>
            </w:r>
          </w:p>
        </w:tc>
      </w:tr>
      <w:tr w:rsidR="00B43A6B" w:rsidRPr="00B375EA" w14:paraId="3F35354D" w14:textId="77777777">
        <w:trPr>
          <w:trHeight w:val="408"/>
          <w:jc w:val="center"/>
        </w:trPr>
        <w:tc>
          <w:tcPr>
            <w:tcW w:w="466" w:type="pct"/>
            <w:tcBorders>
              <w:top w:val="nil"/>
              <w:left w:val="single" w:sz="4" w:space="0" w:color="auto"/>
              <w:bottom w:val="single" w:sz="4" w:space="0" w:color="auto"/>
              <w:right w:val="single" w:sz="4" w:space="0" w:color="auto"/>
            </w:tcBorders>
            <w:hideMark/>
          </w:tcPr>
          <w:p w14:paraId="25177927" w14:textId="77777777" w:rsidR="00B43A6B" w:rsidRPr="00B375EA" w:rsidRDefault="00B43A6B">
            <w:pPr>
              <w:keepNext/>
              <w:keepLines/>
              <w:jc w:val="left"/>
              <w:rPr>
                <w:color w:val="000000"/>
                <w:sz w:val="20"/>
                <w:szCs w:val="20"/>
                <w:lang w:eastAsia="en-CA"/>
              </w:rPr>
            </w:pPr>
            <w:r>
              <w:rPr>
                <w:color w:val="000000"/>
                <w:sz w:val="20"/>
                <w:szCs w:val="20"/>
                <w:lang w:eastAsia="en-CA"/>
              </w:rPr>
              <w:t>1.1</w:t>
            </w:r>
          </w:p>
        </w:tc>
        <w:tc>
          <w:tcPr>
            <w:tcW w:w="1806" w:type="pct"/>
            <w:tcBorders>
              <w:top w:val="nil"/>
              <w:left w:val="nil"/>
              <w:bottom w:val="single" w:sz="4" w:space="0" w:color="auto"/>
              <w:right w:val="single" w:sz="4" w:space="0" w:color="auto"/>
            </w:tcBorders>
            <w:hideMark/>
          </w:tcPr>
          <w:p w14:paraId="108F909B" w14:textId="77777777" w:rsidR="00B43A6B" w:rsidRPr="009556E6" w:rsidRDefault="00B43A6B">
            <w:pPr>
              <w:keepNext/>
              <w:keepLines/>
              <w:jc w:val="left"/>
              <w:rPr>
                <w:color w:val="000000"/>
                <w:sz w:val="20"/>
                <w:szCs w:val="20"/>
                <w:lang w:val="es-ES" w:eastAsia="en-CA"/>
              </w:rPr>
            </w:pPr>
            <w:r>
              <w:rPr>
                <w:color w:val="000000"/>
                <w:sz w:val="20"/>
                <w:szCs w:val="20"/>
                <w:lang w:val="es-ES" w:eastAsia="en-CA"/>
              </w:rPr>
              <w:t>Calendario de reducción del Protocolo de Montreal para las sustancias del Anexo C, Grupo I (toneladas PAO)</w:t>
            </w:r>
          </w:p>
        </w:tc>
        <w:tc>
          <w:tcPr>
            <w:tcW w:w="455" w:type="pct"/>
            <w:tcBorders>
              <w:top w:val="nil"/>
              <w:left w:val="nil"/>
              <w:bottom w:val="single" w:sz="4" w:space="0" w:color="auto"/>
              <w:right w:val="single" w:sz="4" w:space="0" w:color="auto"/>
            </w:tcBorders>
            <w:shd w:val="clear" w:color="auto" w:fill="FFFFFF" w:themeFill="background1"/>
          </w:tcPr>
          <w:p w14:paraId="6EAB5010" w14:textId="67898070" w:rsidR="00B43A6B" w:rsidRPr="00B375EA" w:rsidRDefault="00B43A6B" w:rsidP="007525EE">
            <w:pPr>
              <w:keepNext/>
              <w:keepLines/>
              <w:jc w:val="center"/>
              <w:rPr>
                <w:color w:val="000000"/>
                <w:sz w:val="20"/>
                <w:szCs w:val="20"/>
                <w:lang w:eastAsia="en-CA"/>
              </w:rPr>
            </w:pPr>
            <w:r>
              <w:rPr>
                <w:color w:val="000000"/>
                <w:sz w:val="20"/>
                <w:szCs w:val="20"/>
                <w:lang w:eastAsia="en-CA"/>
              </w:rPr>
              <w:t>0,72</w:t>
            </w:r>
          </w:p>
        </w:tc>
        <w:tc>
          <w:tcPr>
            <w:tcW w:w="455" w:type="pct"/>
            <w:tcBorders>
              <w:top w:val="nil"/>
              <w:left w:val="nil"/>
              <w:bottom w:val="single" w:sz="4" w:space="0" w:color="auto"/>
              <w:right w:val="single" w:sz="4" w:space="0" w:color="auto"/>
            </w:tcBorders>
            <w:shd w:val="clear" w:color="auto" w:fill="FFFFFF" w:themeFill="background1"/>
          </w:tcPr>
          <w:p w14:paraId="3D2B7A23" w14:textId="611E7E15" w:rsidR="00B43A6B" w:rsidRPr="00B375EA" w:rsidRDefault="00B43A6B" w:rsidP="007525EE">
            <w:pPr>
              <w:keepNext/>
              <w:keepLines/>
              <w:jc w:val="center"/>
              <w:rPr>
                <w:color w:val="000000"/>
                <w:sz w:val="20"/>
                <w:szCs w:val="20"/>
                <w:lang w:eastAsia="en-CA"/>
              </w:rPr>
            </w:pPr>
            <w:r>
              <w:rPr>
                <w:color w:val="000000"/>
                <w:sz w:val="20"/>
                <w:szCs w:val="20"/>
                <w:lang w:eastAsia="en-CA"/>
              </w:rPr>
              <w:t>0,72</w:t>
            </w:r>
          </w:p>
        </w:tc>
        <w:tc>
          <w:tcPr>
            <w:tcW w:w="455" w:type="pct"/>
            <w:tcBorders>
              <w:top w:val="nil"/>
              <w:left w:val="nil"/>
              <w:bottom w:val="single" w:sz="4" w:space="0" w:color="auto"/>
              <w:right w:val="single" w:sz="4" w:space="0" w:color="auto"/>
            </w:tcBorders>
            <w:shd w:val="clear" w:color="auto" w:fill="FFFFFF" w:themeFill="background1"/>
          </w:tcPr>
          <w:p w14:paraId="47F96229" w14:textId="34CAEC97" w:rsidR="00B43A6B" w:rsidRPr="00B375EA" w:rsidRDefault="00B43A6B" w:rsidP="007525EE">
            <w:pPr>
              <w:keepNext/>
              <w:keepLines/>
              <w:jc w:val="center"/>
              <w:rPr>
                <w:color w:val="000000"/>
                <w:sz w:val="20"/>
                <w:szCs w:val="20"/>
                <w:lang w:eastAsia="en-CA"/>
              </w:rPr>
            </w:pPr>
            <w:r>
              <w:rPr>
                <w:color w:val="000000"/>
                <w:sz w:val="20"/>
                <w:szCs w:val="20"/>
                <w:lang w:eastAsia="en-CA"/>
              </w:rPr>
              <w:t>0,72</w:t>
            </w:r>
          </w:p>
        </w:tc>
        <w:tc>
          <w:tcPr>
            <w:tcW w:w="455" w:type="pct"/>
            <w:tcBorders>
              <w:top w:val="nil"/>
              <w:left w:val="nil"/>
              <w:bottom w:val="single" w:sz="4" w:space="0" w:color="auto"/>
              <w:right w:val="single" w:sz="4" w:space="0" w:color="auto"/>
            </w:tcBorders>
            <w:shd w:val="clear" w:color="auto" w:fill="FFFFFF" w:themeFill="background1"/>
          </w:tcPr>
          <w:p w14:paraId="4537A9BE" w14:textId="147CF4CD" w:rsidR="00B43A6B" w:rsidRPr="00B375EA" w:rsidRDefault="00B43A6B" w:rsidP="007525EE">
            <w:pPr>
              <w:keepNext/>
              <w:keepLines/>
              <w:jc w:val="center"/>
              <w:rPr>
                <w:color w:val="000000"/>
                <w:sz w:val="20"/>
                <w:szCs w:val="20"/>
                <w:lang w:eastAsia="en-CA"/>
              </w:rPr>
            </w:pPr>
            <w:r>
              <w:rPr>
                <w:color w:val="000000"/>
                <w:sz w:val="20"/>
                <w:szCs w:val="20"/>
                <w:lang w:eastAsia="en-CA"/>
              </w:rPr>
              <w:t>0,72</w:t>
            </w:r>
          </w:p>
        </w:tc>
        <w:tc>
          <w:tcPr>
            <w:tcW w:w="464" w:type="pct"/>
            <w:tcBorders>
              <w:top w:val="nil"/>
              <w:left w:val="nil"/>
              <w:bottom w:val="single" w:sz="4" w:space="0" w:color="auto"/>
              <w:right w:val="single" w:sz="4" w:space="0" w:color="auto"/>
            </w:tcBorders>
            <w:shd w:val="clear" w:color="auto" w:fill="FFFFFF" w:themeFill="background1"/>
          </w:tcPr>
          <w:p w14:paraId="0377B89E" w14:textId="77777777" w:rsidR="00B43A6B" w:rsidRPr="00B375EA" w:rsidRDefault="00B43A6B" w:rsidP="007525EE">
            <w:pPr>
              <w:keepNext/>
              <w:keepLines/>
              <w:jc w:val="center"/>
              <w:rPr>
                <w:color w:val="000000"/>
                <w:sz w:val="20"/>
                <w:szCs w:val="20"/>
                <w:lang w:eastAsia="en-CA"/>
              </w:rPr>
            </w:pPr>
            <w:r>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22F229AA" w14:textId="77777777" w:rsidR="00B43A6B" w:rsidRPr="00B375EA" w:rsidRDefault="00B43A6B" w:rsidP="007525EE">
            <w:pPr>
              <w:keepNext/>
              <w:keepLines/>
              <w:jc w:val="center"/>
              <w:rPr>
                <w:color w:val="000000"/>
                <w:sz w:val="20"/>
                <w:szCs w:val="20"/>
                <w:lang w:eastAsia="en-CA"/>
              </w:rPr>
            </w:pPr>
            <w:r>
              <w:rPr>
                <w:color w:val="000000"/>
                <w:sz w:val="20"/>
                <w:szCs w:val="20"/>
                <w:lang w:eastAsia="en-CA"/>
              </w:rPr>
              <w:t>n.a.</w:t>
            </w:r>
          </w:p>
        </w:tc>
      </w:tr>
      <w:tr w:rsidR="00B43A6B" w:rsidRPr="00B375EA" w14:paraId="68566A9E" w14:textId="77777777">
        <w:trPr>
          <w:trHeight w:val="408"/>
          <w:jc w:val="center"/>
        </w:trPr>
        <w:tc>
          <w:tcPr>
            <w:tcW w:w="466" w:type="pct"/>
            <w:tcBorders>
              <w:top w:val="nil"/>
              <w:left w:val="single" w:sz="4" w:space="0" w:color="auto"/>
              <w:bottom w:val="single" w:sz="4" w:space="0" w:color="auto"/>
              <w:right w:val="single" w:sz="4" w:space="0" w:color="auto"/>
            </w:tcBorders>
            <w:hideMark/>
          </w:tcPr>
          <w:p w14:paraId="774A9CF1" w14:textId="77777777" w:rsidR="00B43A6B" w:rsidRPr="00B375EA" w:rsidRDefault="00B43A6B">
            <w:pPr>
              <w:keepNext/>
              <w:jc w:val="left"/>
              <w:rPr>
                <w:color w:val="000000"/>
                <w:sz w:val="20"/>
                <w:szCs w:val="20"/>
                <w:lang w:eastAsia="en-CA"/>
              </w:rPr>
            </w:pPr>
            <w:r>
              <w:rPr>
                <w:color w:val="000000"/>
                <w:sz w:val="20"/>
                <w:szCs w:val="20"/>
                <w:lang w:eastAsia="en-CA"/>
              </w:rPr>
              <w:t>1.2</w:t>
            </w:r>
          </w:p>
        </w:tc>
        <w:tc>
          <w:tcPr>
            <w:tcW w:w="1806" w:type="pct"/>
            <w:tcBorders>
              <w:top w:val="nil"/>
              <w:left w:val="nil"/>
              <w:bottom w:val="single" w:sz="4" w:space="0" w:color="auto"/>
              <w:right w:val="single" w:sz="4" w:space="0" w:color="auto"/>
            </w:tcBorders>
            <w:hideMark/>
          </w:tcPr>
          <w:p w14:paraId="0473BED1" w14:textId="77777777" w:rsidR="00B43A6B" w:rsidRPr="009556E6" w:rsidRDefault="00B43A6B">
            <w:pPr>
              <w:keepNext/>
              <w:jc w:val="left"/>
              <w:rPr>
                <w:color w:val="000000"/>
                <w:sz w:val="20"/>
                <w:szCs w:val="20"/>
                <w:lang w:val="es-ES" w:eastAsia="en-CA"/>
              </w:rPr>
            </w:pPr>
            <w:r>
              <w:rPr>
                <w:color w:val="000000"/>
                <w:sz w:val="20"/>
                <w:szCs w:val="20"/>
                <w:lang w:val="es-ES" w:eastAsia="en-CA"/>
              </w:rPr>
              <w:t>Consumo total máximo permitido de sustancias del Anexo C, Grupo I (toneladas PAO)</w:t>
            </w:r>
          </w:p>
        </w:tc>
        <w:tc>
          <w:tcPr>
            <w:tcW w:w="455" w:type="pct"/>
            <w:tcBorders>
              <w:top w:val="nil"/>
              <w:left w:val="nil"/>
              <w:bottom w:val="single" w:sz="4" w:space="0" w:color="auto"/>
              <w:right w:val="single" w:sz="4" w:space="0" w:color="auto"/>
            </w:tcBorders>
            <w:shd w:val="clear" w:color="auto" w:fill="FFFFFF" w:themeFill="background1"/>
          </w:tcPr>
          <w:p w14:paraId="676C15BD" w14:textId="72CF5AB9" w:rsidR="00B43A6B" w:rsidRPr="00B375EA" w:rsidRDefault="00B43A6B" w:rsidP="007525EE">
            <w:pPr>
              <w:keepNext/>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388AEE3E" w14:textId="4DB564E1" w:rsidR="00B43A6B" w:rsidRPr="00B375EA" w:rsidRDefault="00B43A6B" w:rsidP="007525EE">
            <w:pPr>
              <w:keepNext/>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44E2A0A8" w14:textId="15CDB1B8" w:rsidR="00B43A6B" w:rsidRPr="00B375EA" w:rsidRDefault="00B43A6B" w:rsidP="007525EE">
            <w:pPr>
              <w:keepNext/>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453A2898" w14:textId="182CEBA2" w:rsidR="00B43A6B" w:rsidRPr="00B375EA" w:rsidRDefault="00B43A6B" w:rsidP="007525EE">
            <w:pPr>
              <w:keepNext/>
              <w:jc w:val="center"/>
              <w:rPr>
                <w:color w:val="000000"/>
                <w:sz w:val="20"/>
                <w:szCs w:val="20"/>
                <w:lang w:eastAsia="en-CA"/>
              </w:rPr>
            </w:pPr>
            <w:r>
              <w:rPr>
                <w:color w:val="000000"/>
                <w:sz w:val="20"/>
                <w:szCs w:val="20"/>
                <w:lang w:eastAsia="en-CA"/>
              </w:rPr>
              <w:t>0,05</w:t>
            </w:r>
          </w:p>
        </w:tc>
        <w:tc>
          <w:tcPr>
            <w:tcW w:w="464" w:type="pct"/>
            <w:tcBorders>
              <w:top w:val="nil"/>
              <w:left w:val="nil"/>
              <w:bottom w:val="single" w:sz="4" w:space="0" w:color="auto"/>
              <w:right w:val="single" w:sz="4" w:space="0" w:color="auto"/>
            </w:tcBorders>
            <w:shd w:val="clear" w:color="auto" w:fill="FFFFFF" w:themeFill="background1"/>
          </w:tcPr>
          <w:p w14:paraId="633427B5" w14:textId="77777777" w:rsidR="00B43A6B" w:rsidRPr="00B375EA" w:rsidRDefault="00B43A6B" w:rsidP="007525EE">
            <w:pPr>
              <w:keepNext/>
              <w:jc w:val="center"/>
              <w:rPr>
                <w:color w:val="000000"/>
                <w:sz w:val="20"/>
                <w:szCs w:val="20"/>
                <w:lang w:eastAsia="en-CA"/>
              </w:rPr>
            </w:pPr>
            <w:r>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62E43872" w14:textId="77777777" w:rsidR="00B43A6B" w:rsidRPr="00B375EA" w:rsidRDefault="00B43A6B" w:rsidP="007525EE">
            <w:pPr>
              <w:keepNext/>
              <w:jc w:val="center"/>
              <w:rPr>
                <w:color w:val="000000"/>
                <w:sz w:val="20"/>
                <w:szCs w:val="20"/>
                <w:lang w:eastAsia="en-CA"/>
              </w:rPr>
            </w:pPr>
            <w:r>
              <w:rPr>
                <w:color w:val="000000"/>
                <w:sz w:val="20"/>
                <w:szCs w:val="20"/>
                <w:lang w:eastAsia="en-CA"/>
              </w:rPr>
              <w:t>n.a.</w:t>
            </w:r>
          </w:p>
        </w:tc>
      </w:tr>
      <w:tr w:rsidR="00B43A6B" w:rsidRPr="00B375EA" w14:paraId="7159B7E1" w14:textId="77777777">
        <w:trPr>
          <w:trHeight w:val="116"/>
          <w:jc w:val="center"/>
        </w:trPr>
        <w:tc>
          <w:tcPr>
            <w:tcW w:w="466" w:type="pct"/>
            <w:tcBorders>
              <w:top w:val="nil"/>
              <w:left w:val="single" w:sz="4" w:space="0" w:color="auto"/>
              <w:bottom w:val="single" w:sz="4" w:space="0" w:color="auto"/>
              <w:right w:val="single" w:sz="4" w:space="0" w:color="auto"/>
            </w:tcBorders>
            <w:hideMark/>
          </w:tcPr>
          <w:p w14:paraId="56451D3E" w14:textId="77777777" w:rsidR="00B43A6B" w:rsidRPr="00B375EA" w:rsidRDefault="00B43A6B">
            <w:pPr>
              <w:keepNext/>
              <w:jc w:val="left"/>
              <w:rPr>
                <w:color w:val="000000"/>
                <w:sz w:val="20"/>
                <w:szCs w:val="20"/>
                <w:lang w:eastAsia="en-CA"/>
              </w:rPr>
            </w:pPr>
            <w:r>
              <w:rPr>
                <w:color w:val="000000"/>
                <w:sz w:val="20"/>
                <w:szCs w:val="20"/>
                <w:lang w:eastAsia="en-CA"/>
              </w:rPr>
              <w:t>2.1</w:t>
            </w:r>
          </w:p>
        </w:tc>
        <w:tc>
          <w:tcPr>
            <w:tcW w:w="1806" w:type="pct"/>
            <w:tcBorders>
              <w:top w:val="nil"/>
              <w:left w:val="nil"/>
              <w:bottom w:val="single" w:sz="4" w:space="0" w:color="auto"/>
              <w:right w:val="single" w:sz="4" w:space="0" w:color="auto"/>
            </w:tcBorders>
            <w:hideMark/>
          </w:tcPr>
          <w:p w14:paraId="347FB84E" w14:textId="77777777" w:rsidR="00B43A6B" w:rsidRPr="009556E6" w:rsidRDefault="00B43A6B">
            <w:pPr>
              <w:keepNext/>
              <w:jc w:val="left"/>
              <w:rPr>
                <w:color w:val="000000"/>
                <w:sz w:val="20"/>
                <w:szCs w:val="20"/>
                <w:lang w:val="es-ES" w:eastAsia="en-CA"/>
              </w:rPr>
            </w:pPr>
            <w:r>
              <w:rPr>
                <w:color w:val="000000"/>
                <w:sz w:val="20"/>
                <w:szCs w:val="20"/>
                <w:lang w:val="es-ES" w:eastAsia="en-CA"/>
              </w:rPr>
              <w:t>Financiación convenida para el OE Principal (PNUMA) (USD)</w:t>
            </w:r>
          </w:p>
        </w:tc>
        <w:tc>
          <w:tcPr>
            <w:tcW w:w="455" w:type="pct"/>
            <w:tcBorders>
              <w:top w:val="nil"/>
              <w:left w:val="nil"/>
              <w:bottom w:val="single" w:sz="4" w:space="0" w:color="auto"/>
              <w:right w:val="single" w:sz="4" w:space="0" w:color="auto"/>
            </w:tcBorders>
            <w:shd w:val="clear" w:color="auto" w:fill="FFFFFF" w:themeFill="background1"/>
          </w:tcPr>
          <w:p w14:paraId="22CE4794" w14:textId="77777777" w:rsidR="00B43A6B" w:rsidRPr="00B375EA" w:rsidRDefault="00B43A6B">
            <w:pPr>
              <w:keepNext/>
              <w:jc w:val="right"/>
              <w:rPr>
                <w:color w:val="000000"/>
                <w:sz w:val="20"/>
                <w:szCs w:val="20"/>
                <w:lang w:eastAsia="en-CA"/>
              </w:rPr>
            </w:pPr>
            <w:r>
              <w:rPr>
                <w:color w:val="000000"/>
                <w:sz w:val="20"/>
                <w:szCs w:val="20"/>
                <w:lang w:eastAsia="en-CA"/>
              </w:rPr>
              <w:t>85.500</w:t>
            </w:r>
          </w:p>
        </w:tc>
        <w:tc>
          <w:tcPr>
            <w:tcW w:w="455" w:type="pct"/>
            <w:tcBorders>
              <w:top w:val="nil"/>
              <w:left w:val="nil"/>
              <w:bottom w:val="single" w:sz="4" w:space="0" w:color="auto"/>
              <w:right w:val="single" w:sz="4" w:space="0" w:color="auto"/>
            </w:tcBorders>
            <w:shd w:val="clear" w:color="auto" w:fill="FFFFFF" w:themeFill="background1"/>
          </w:tcPr>
          <w:p w14:paraId="5E9CB7EE"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D490405" w14:textId="77777777" w:rsidR="00B43A6B" w:rsidRPr="00B375EA" w:rsidRDefault="00B43A6B">
            <w:pPr>
              <w:keepNext/>
              <w:jc w:val="right"/>
              <w:rPr>
                <w:color w:val="000000"/>
                <w:sz w:val="20"/>
                <w:szCs w:val="20"/>
                <w:lang w:eastAsia="en-CA"/>
              </w:rPr>
            </w:pPr>
            <w:r>
              <w:rPr>
                <w:color w:val="000000"/>
                <w:sz w:val="20"/>
                <w:szCs w:val="20"/>
                <w:lang w:eastAsia="en-CA"/>
              </w:rPr>
              <w:t>86.400</w:t>
            </w:r>
          </w:p>
        </w:tc>
        <w:tc>
          <w:tcPr>
            <w:tcW w:w="455" w:type="pct"/>
            <w:tcBorders>
              <w:top w:val="nil"/>
              <w:left w:val="nil"/>
              <w:bottom w:val="single" w:sz="4" w:space="0" w:color="auto"/>
              <w:right w:val="single" w:sz="4" w:space="0" w:color="auto"/>
            </w:tcBorders>
            <w:shd w:val="clear" w:color="auto" w:fill="FFFFFF" w:themeFill="background1"/>
          </w:tcPr>
          <w:p w14:paraId="352C167F"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7767E871" w14:textId="77777777" w:rsidR="00B43A6B" w:rsidRPr="00B375EA" w:rsidRDefault="00B43A6B">
            <w:pPr>
              <w:keepNext/>
              <w:jc w:val="right"/>
              <w:rPr>
                <w:color w:val="000000"/>
                <w:sz w:val="20"/>
                <w:szCs w:val="20"/>
                <w:lang w:eastAsia="en-CA"/>
              </w:rPr>
            </w:pPr>
            <w:r>
              <w:rPr>
                <w:color w:val="000000"/>
                <w:sz w:val="20"/>
                <w:szCs w:val="20"/>
                <w:lang w:eastAsia="en-CA"/>
              </w:rPr>
              <w:t>19.100</w:t>
            </w:r>
          </w:p>
        </w:tc>
        <w:tc>
          <w:tcPr>
            <w:tcW w:w="444" w:type="pct"/>
            <w:tcBorders>
              <w:top w:val="nil"/>
              <w:left w:val="nil"/>
              <w:bottom w:val="single" w:sz="4" w:space="0" w:color="auto"/>
              <w:right w:val="single" w:sz="4" w:space="0" w:color="auto"/>
            </w:tcBorders>
            <w:shd w:val="clear" w:color="auto" w:fill="FFFFFF" w:themeFill="background1"/>
          </w:tcPr>
          <w:p w14:paraId="684D1CE0" w14:textId="77777777" w:rsidR="00B43A6B" w:rsidRPr="00B375EA" w:rsidRDefault="00B43A6B">
            <w:pPr>
              <w:keepNext/>
              <w:jc w:val="right"/>
              <w:rPr>
                <w:color w:val="000000"/>
                <w:sz w:val="20"/>
                <w:szCs w:val="20"/>
                <w:lang w:eastAsia="en-CA"/>
              </w:rPr>
            </w:pPr>
            <w:r>
              <w:rPr>
                <w:color w:val="000000"/>
                <w:sz w:val="20"/>
                <w:szCs w:val="20"/>
                <w:lang w:eastAsia="en-CA"/>
              </w:rPr>
              <w:t>191.000</w:t>
            </w:r>
          </w:p>
        </w:tc>
      </w:tr>
      <w:tr w:rsidR="00B43A6B" w:rsidRPr="00B375EA" w14:paraId="08BA6BA9" w14:textId="77777777">
        <w:trPr>
          <w:trHeight w:val="56"/>
          <w:jc w:val="center"/>
        </w:trPr>
        <w:tc>
          <w:tcPr>
            <w:tcW w:w="466" w:type="pct"/>
            <w:tcBorders>
              <w:top w:val="nil"/>
              <w:left w:val="single" w:sz="4" w:space="0" w:color="auto"/>
              <w:bottom w:val="single" w:sz="4" w:space="0" w:color="auto"/>
              <w:right w:val="single" w:sz="4" w:space="0" w:color="auto"/>
            </w:tcBorders>
            <w:hideMark/>
          </w:tcPr>
          <w:p w14:paraId="19F03245" w14:textId="77777777" w:rsidR="00B43A6B" w:rsidRPr="00B375EA" w:rsidRDefault="00B43A6B">
            <w:pPr>
              <w:keepNext/>
              <w:jc w:val="left"/>
              <w:rPr>
                <w:color w:val="000000"/>
                <w:sz w:val="20"/>
                <w:szCs w:val="20"/>
                <w:lang w:eastAsia="en-CA"/>
              </w:rPr>
            </w:pPr>
            <w:r>
              <w:rPr>
                <w:color w:val="000000"/>
                <w:sz w:val="20"/>
                <w:szCs w:val="20"/>
                <w:lang w:eastAsia="en-CA"/>
              </w:rPr>
              <w:t>2.2</w:t>
            </w:r>
          </w:p>
        </w:tc>
        <w:tc>
          <w:tcPr>
            <w:tcW w:w="1806" w:type="pct"/>
            <w:tcBorders>
              <w:top w:val="nil"/>
              <w:left w:val="nil"/>
              <w:bottom w:val="single" w:sz="4" w:space="0" w:color="auto"/>
              <w:right w:val="single" w:sz="4" w:space="0" w:color="auto"/>
            </w:tcBorders>
            <w:hideMark/>
          </w:tcPr>
          <w:p w14:paraId="2EC53A8A" w14:textId="77777777" w:rsidR="00B43A6B" w:rsidRPr="009556E6" w:rsidRDefault="00B43A6B">
            <w:pPr>
              <w:keepNext/>
              <w:jc w:val="left"/>
              <w:rPr>
                <w:color w:val="000000"/>
                <w:sz w:val="20"/>
                <w:szCs w:val="20"/>
                <w:lang w:val="es-ES" w:eastAsia="en-CA"/>
              </w:rPr>
            </w:pPr>
            <w:r>
              <w:rPr>
                <w:color w:val="000000"/>
                <w:sz w:val="20"/>
                <w:szCs w:val="20"/>
                <w:lang w:val="es-ES" w:eastAsia="en-CA"/>
              </w:rPr>
              <w:t>Gastos de apoyo para el OE Principal (USD)</w:t>
            </w:r>
          </w:p>
        </w:tc>
        <w:tc>
          <w:tcPr>
            <w:tcW w:w="455" w:type="pct"/>
            <w:tcBorders>
              <w:top w:val="nil"/>
              <w:left w:val="nil"/>
              <w:bottom w:val="single" w:sz="4" w:space="0" w:color="auto"/>
              <w:right w:val="single" w:sz="4" w:space="0" w:color="auto"/>
            </w:tcBorders>
            <w:shd w:val="clear" w:color="auto" w:fill="FFFFFF" w:themeFill="background1"/>
          </w:tcPr>
          <w:p w14:paraId="5F637FD2" w14:textId="77777777" w:rsidR="00B43A6B" w:rsidRPr="00B375EA" w:rsidRDefault="00B43A6B">
            <w:pPr>
              <w:keepNext/>
              <w:jc w:val="right"/>
              <w:rPr>
                <w:color w:val="000000"/>
                <w:sz w:val="20"/>
                <w:szCs w:val="20"/>
                <w:lang w:eastAsia="en-CA"/>
              </w:rPr>
            </w:pPr>
            <w:r>
              <w:rPr>
                <w:color w:val="000000"/>
                <w:sz w:val="20"/>
                <w:szCs w:val="20"/>
                <w:lang w:eastAsia="en-CA"/>
              </w:rPr>
              <w:t>11.115</w:t>
            </w:r>
          </w:p>
        </w:tc>
        <w:tc>
          <w:tcPr>
            <w:tcW w:w="455" w:type="pct"/>
            <w:tcBorders>
              <w:top w:val="nil"/>
              <w:left w:val="nil"/>
              <w:bottom w:val="single" w:sz="4" w:space="0" w:color="auto"/>
              <w:right w:val="single" w:sz="4" w:space="0" w:color="auto"/>
            </w:tcBorders>
            <w:shd w:val="clear" w:color="auto" w:fill="FFFFFF" w:themeFill="background1"/>
          </w:tcPr>
          <w:p w14:paraId="072B8444"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2B7DEA8A" w14:textId="77777777" w:rsidR="00B43A6B" w:rsidRPr="00B375EA" w:rsidRDefault="00B43A6B">
            <w:pPr>
              <w:keepNext/>
              <w:jc w:val="right"/>
              <w:rPr>
                <w:color w:val="000000"/>
                <w:sz w:val="20"/>
                <w:szCs w:val="20"/>
                <w:lang w:eastAsia="en-CA"/>
              </w:rPr>
            </w:pPr>
            <w:r>
              <w:rPr>
                <w:color w:val="000000"/>
                <w:sz w:val="20"/>
                <w:szCs w:val="20"/>
                <w:lang w:eastAsia="en-CA"/>
              </w:rPr>
              <w:t>11.232</w:t>
            </w:r>
          </w:p>
        </w:tc>
        <w:tc>
          <w:tcPr>
            <w:tcW w:w="455" w:type="pct"/>
            <w:tcBorders>
              <w:top w:val="nil"/>
              <w:left w:val="nil"/>
              <w:bottom w:val="single" w:sz="4" w:space="0" w:color="auto"/>
              <w:right w:val="single" w:sz="4" w:space="0" w:color="auto"/>
            </w:tcBorders>
            <w:shd w:val="clear" w:color="auto" w:fill="FFFFFF" w:themeFill="background1"/>
          </w:tcPr>
          <w:p w14:paraId="189B6EB3"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DF29635" w14:textId="77777777" w:rsidR="00B43A6B" w:rsidRPr="00B375EA" w:rsidRDefault="00B43A6B">
            <w:pPr>
              <w:keepNext/>
              <w:jc w:val="right"/>
              <w:rPr>
                <w:color w:val="000000"/>
                <w:sz w:val="20"/>
                <w:szCs w:val="20"/>
                <w:lang w:eastAsia="en-CA"/>
              </w:rPr>
            </w:pPr>
            <w:r>
              <w:rPr>
                <w:color w:val="000000"/>
                <w:sz w:val="20"/>
                <w:szCs w:val="20"/>
                <w:lang w:eastAsia="en-CA"/>
              </w:rPr>
              <w:t>2.483</w:t>
            </w:r>
          </w:p>
        </w:tc>
        <w:tc>
          <w:tcPr>
            <w:tcW w:w="444" w:type="pct"/>
            <w:tcBorders>
              <w:top w:val="nil"/>
              <w:left w:val="nil"/>
              <w:bottom w:val="single" w:sz="4" w:space="0" w:color="auto"/>
              <w:right w:val="single" w:sz="4" w:space="0" w:color="auto"/>
            </w:tcBorders>
            <w:shd w:val="clear" w:color="auto" w:fill="FFFFFF" w:themeFill="background1"/>
          </w:tcPr>
          <w:p w14:paraId="7E79262C" w14:textId="77777777" w:rsidR="00B43A6B" w:rsidRPr="00B375EA" w:rsidRDefault="00B43A6B">
            <w:pPr>
              <w:keepNext/>
              <w:jc w:val="right"/>
              <w:rPr>
                <w:color w:val="000000"/>
                <w:sz w:val="20"/>
                <w:szCs w:val="20"/>
                <w:lang w:eastAsia="en-CA"/>
              </w:rPr>
            </w:pPr>
            <w:r>
              <w:rPr>
                <w:color w:val="000000"/>
                <w:sz w:val="20"/>
                <w:szCs w:val="20"/>
                <w:lang w:eastAsia="en-CA"/>
              </w:rPr>
              <w:t>24.830</w:t>
            </w:r>
          </w:p>
        </w:tc>
      </w:tr>
      <w:tr w:rsidR="00B43A6B" w:rsidRPr="00B375EA" w14:paraId="12BDE917" w14:textId="77777777">
        <w:trPr>
          <w:trHeight w:val="62"/>
          <w:jc w:val="center"/>
        </w:trPr>
        <w:tc>
          <w:tcPr>
            <w:tcW w:w="466" w:type="pct"/>
            <w:tcBorders>
              <w:top w:val="nil"/>
              <w:left w:val="single" w:sz="4" w:space="0" w:color="auto"/>
              <w:bottom w:val="single" w:sz="4" w:space="0" w:color="auto"/>
              <w:right w:val="single" w:sz="4" w:space="0" w:color="auto"/>
            </w:tcBorders>
            <w:hideMark/>
          </w:tcPr>
          <w:p w14:paraId="72C0E7AA" w14:textId="77777777" w:rsidR="00B43A6B" w:rsidRPr="00B375EA" w:rsidRDefault="00B43A6B">
            <w:pPr>
              <w:keepNext/>
              <w:jc w:val="left"/>
              <w:rPr>
                <w:color w:val="000000"/>
                <w:sz w:val="20"/>
                <w:szCs w:val="20"/>
                <w:lang w:eastAsia="en-CA"/>
              </w:rPr>
            </w:pPr>
            <w:r>
              <w:rPr>
                <w:color w:val="000000"/>
                <w:sz w:val="20"/>
                <w:szCs w:val="20"/>
                <w:lang w:eastAsia="en-CA"/>
              </w:rPr>
              <w:t>3.1</w:t>
            </w:r>
          </w:p>
        </w:tc>
        <w:tc>
          <w:tcPr>
            <w:tcW w:w="1806" w:type="pct"/>
            <w:tcBorders>
              <w:top w:val="nil"/>
              <w:left w:val="nil"/>
              <w:bottom w:val="single" w:sz="4" w:space="0" w:color="auto"/>
              <w:right w:val="single" w:sz="4" w:space="0" w:color="auto"/>
            </w:tcBorders>
            <w:hideMark/>
          </w:tcPr>
          <w:p w14:paraId="6D846A94" w14:textId="77777777" w:rsidR="00B43A6B" w:rsidRPr="00B375EA" w:rsidRDefault="00B43A6B">
            <w:pPr>
              <w:keepNext/>
              <w:jc w:val="left"/>
              <w:rPr>
                <w:color w:val="000000"/>
                <w:sz w:val="20"/>
                <w:szCs w:val="20"/>
                <w:lang w:eastAsia="en-CA"/>
              </w:rPr>
            </w:pPr>
            <w:r>
              <w:rPr>
                <w:color w:val="000000"/>
                <w:sz w:val="20"/>
                <w:szCs w:val="20"/>
                <w:lang w:eastAsia="en-CA"/>
              </w:rPr>
              <w:t>Financiación convenida total (USD)</w:t>
            </w:r>
          </w:p>
        </w:tc>
        <w:tc>
          <w:tcPr>
            <w:tcW w:w="455" w:type="pct"/>
            <w:tcBorders>
              <w:top w:val="nil"/>
              <w:left w:val="nil"/>
              <w:bottom w:val="single" w:sz="4" w:space="0" w:color="auto"/>
              <w:right w:val="single" w:sz="4" w:space="0" w:color="auto"/>
            </w:tcBorders>
            <w:shd w:val="clear" w:color="auto" w:fill="FFFFFF" w:themeFill="background1"/>
          </w:tcPr>
          <w:p w14:paraId="0BF9997E" w14:textId="77777777" w:rsidR="00B43A6B" w:rsidRPr="00B375EA" w:rsidRDefault="00B43A6B">
            <w:pPr>
              <w:keepNext/>
              <w:jc w:val="right"/>
              <w:rPr>
                <w:color w:val="000000"/>
                <w:sz w:val="20"/>
                <w:szCs w:val="20"/>
                <w:lang w:eastAsia="en-CA"/>
              </w:rPr>
            </w:pPr>
            <w:r>
              <w:rPr>
                <w:color w:val="000000"/>
                <w:sz w:val="20"/>
                <w:szCs w:val="20"/>
                <w:lang w:eastAsia="en-CA"/>
              </w:rPr>
              <w:t>85.500</w:t>
            </w:r>
          </w:p>
        </w:tc>
        <w:tc>
          <w:tcPr>
            <w:tcW w:w="455" w:type="pct"/>
            <w:tcBorders>
              <w:top w:val="nil"/>
              <w:left w:val="nil"/>
              <w:bottom w:val="single" w:sz="4" w:space="0" w:color="auto"/>
              <w:right w:val="single" w:sz="4" w:space="0" w:color="auto"/>
            </w:tcBorders>
            <w:shd w:val="clear" w:color="auto" w:fill="FFFFFF" w:themeFill="background1"/>
          </w:tcPr>
          <w:p w14:paraId="018235A4"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7B509743" w14:textId="77777777" w:rsidR="00B43A6B" w:rsidRPr="00B375EA" w:rsidRDefault="00B43A6B">
            <w:pPr>
              <w:keepNext/>
              <w:jc w:val="right"/>
              <w:rPr>
                <w:color w:val="000000"/>
                <w:sz w:val="20"/>
                <w:szCs w:val="20"/>
                <w:lang w:eastAsia="en-CA"/>
              </w:rPr>
            </w:pPr>
            <w:r>
              <w:rPr>
                <w:color w:val="000000"/>
                <w:sz w:val="20"/>
                <w:szCs w:val="20"/>
                <w:lang w:eastAsia="en-CA"/>
              </w:rPr>
              <w:t>86.400</w:t>
            </w:r>
          </w:p>
        </w:tc>
        <w:tc>
          <w:tcPr>
            <w:tcW w:w="455" w:type="pct"/>
            <w:tcBorders>
              <w:top w:val="nil"/>
              <w:left w:val="nil"/>
              <w:bottom w:val="single" w:sz="4" w:space="0" w:color="auto"/>
              <w:right w:val="single" w:sz="4" w:space="0" w:color="auto"/>
            </w:tcBorders>
            <w:shd w:val="clear" w:color="auto" w:fill="FFFFFF" w:themeFill="background1"/>
          </w:tcPr>
          <w:p w14:paraId="5DC7D881"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56C9B949" w14:textId="77777777" w:rsidR="00B43A6B" w:rsidRPr="00B375EA" w:rsidRDefault="00B43A6B">
            <w:pPr>
              <w:keepNext/>
              <w:jc w:val="right"/>
              <w:rPr>
                <w:color w:val="000000"/>
                <w:sz w:val="20"/>
                <w:szCs w:val="20"/>
                <w:lang w:eastAsia="en-CA"/>
              </w:rPr>
            </w:pPr>
            <w:r>
              <w:rPr>
                <w:color w:val="000000"/>
                <w:sz w:val="20"/>
                <w:szCs w:val="20"/>
                <w:lang w:eastAsia="en-CA"/>
              </w:rPr>
              <w:t>19.100</w:t>
            </w:r>
          </w:p>
        </w:tc>
        <w:tc>
          <w:tcPr>
            <w:tcW w:w="444" w:type="pct"/>
            <w:tcBorders>
              <w:top w:val="nil"/>
              <w:left w:val="nil"/>
              <w:bottom w:val="single" w:sz="4" w:space="0" w:color="auto"/>
              <w:right w:val="single" w:sz="4" w:space="0" w:color="auto"/>
            </w:tcBorders>
            <w:shd w:val="clear" w:color="auto" w:fill="FFFFFF" w:themeFill="background1"/>
          </w:tcPr>
          <w:p w14:paraId="13D5F8FE" w14:textId="77777777" w:rsidR="00B43A6B" w:rsidRPr="00B375EA" w:rsidRDefault="00B43A6B">
            <w:pPr>
              <w:keepNext/>
              <w:jc w:val="right"/>
              <w:rPr>
                <w:color w:val="000000"/>
                <w:sz w:val="20"/>
                <w:szCs w:val="20"/>
                <w:lang w:eastAsia="en-CA"/>
              </w:rPr>
            </w:pPr>
            <w:r>
              <w:rPr>
                <w:color w:val="000000"/>
                <w:sz w:val="20"/>
                <w:szCs w:val="20"/>
                <w:lang w:eastAsia="en-CA"/>
              </w:rPr>
              <w:t>191.000</w:t>
            </w:r>
          </w:p>
        </w:tc>
      </w:tr>
      <w:tr w:rsidR="00B43A6B" w:rsidRPr="00B375EA" w14:paraId="0601BC6D" w14:textId="77777777">
        <w:trPr>
          <w:trHeight w:val="62"/>
          <w:jc w:val="center"/>
        </w:trPr>
        <w:tc>
          <w:tcPr>
            <w:tcW w:w="466" w:type="pct"/>
            <w:tcBorders>
              <w:top w:val="nil"/>
              <w:left w:val="single" w:sz="4" w:space="0" w:color="auto"/>
              <w:bottom w:val="single" w:sz="4" w:space="0" w:color="auto"/>
              <w:right w:val="single" w:sz="4" w:space="0" w:color="auto"/>
            </w:tcBorders>
            <w:hideMark/>
          </w:tcPr>
          <w:p w14:paraId="1AA3CF68" w14:textId="77777777" w:rsidR="00B43A6B" w:rsidRPr="00B375EA" w:rsidRDefault="00B43A6B">
            <w:pPr>
              <w:keepNext/>
              <w:jc w:val="left"/>
              <w:rPr>
                <w:color w:val="000000"/>
                <w:sz w:val="20"/>
                <w:szCs w:val="20"/>
                <w:lang w:eastAsia="en-CA"/>
              </w:rPr>
            </w:pPr>
            <w:r>
              <w:rPr>
                <w:color w:val="000000"/>
                <w:sz w:val="20"/>
                <w:szCs w:val="20"/>
                <w:lang w:eastAsia="en-CA"/>
              </w:rPr>
              <w:t>3.2</w:t>
            </w:r>
          </w:p>
        </w:tc>
        <w:tc>
          <w:tcPr>
            <w:tcW w:w="1806" w:type="pct"/>
            <w:tcBorders>
              <w:top w:val="nil"/>
              <w:left w:val="nil"/>
              <w:bottom w:val="single" w:sz="4" w:space="0" w:color="auto"/>
              <w:right w:val="single" w:sz="4" w:space="0" w:color="auto"/>
            </w:tcBorders>
            <w:hideMark/>
          </w:tcPr>
          <w:p w14:paraId="1958772A" w14:textId="77777777" w:rsidR="00B43A6B" w:rsidRPr="009556E6" w:rsidRDefault="00B43A6B">
            <w:pPr>
              <w:keepNext/>
              <w:jc w:val="left"/>
              <w:rPr>
                <w:color w:val="000000"/>
                <w:sz w:val="20"/>
                <w:szCs w:val="20"/>
                <w:lang w:val="es-ES" w:eastAsia="en-CA"/>
              </w:rPr>
            </w:pPr>
            <w:r>
              <w:rPr>
                <w:color w:val="000000"/>
                <w:sz w:val="20"/>
                <w:szCs w:val="20"/>
                <w:lang w:val="es-ES" w:eastAsia="en-CA"/>
              </w:rPr>
              <w:t>Total gastos de apoyo (USD)</w:t>
            </w:r>
          </w:p>
        </w:tc>
        <w:tc>
          <w:tcPr>
            <w:tcW w:w="455" w:type="pct"/>
            <w:tcBorders>
              <w:top w:val="nil"/>
              <w:left w:val="nil"/>
              <w:bottom w:val="single" w:sz="4" w:space="0" w:color="auto"/>
              <w:right w:val="single" w:sz="4" w:space="0" w:color="auto"/>
            </w:tcBorders>
            <w:shd w:val="clear" w:color="auto" w:fill="FFFFFF" w:themeFill="background1"/>
          </w:tcPr>
          <w:p w14:paraId="71E04A71" w14:textId="77777777" w:rsidR="00B43A6B" w:rsidRPr="00B375EA" w:rsidRDefault="00B43A6B">
            <w:pPr>
              <w:keepNext/>
              <w:jc w:val="right"/>
              <w:rPr>
                <w:color w:val="000000"/>
                <w:sz w:val="20"/>
                <w:szCs w:val="20"/>
                <w:lang w:eastAsia="en-CA"/>
              </w:rPr>
            </w:pPr>
            <w:r>
              <w:rPr>
                <w:color w:val="000000"/>
                <w:sz w:val="20"/>
                <w:szCs w:val="20"/>
                <w:lang w:eastAsia="en-CA"/>
              </w:rPr>
              <w:t>11.115</w:t>
            </w:r>
          </w:p>
        </w:tc>
        <w:tc>
          <w:tcPr>
            <w:tcW w:w="455" w:type="pct"/>
            <w:tcBorders>
              <w:top w:val="nil"/>
              <w:left w:val="nil"/>
              <w:bottom w:val="single" w:sz="4" w:space="0" w:color="auto"/>
              <w:right w:val="single" w:sz="4" w:space="0" w:color="auto"/>
            </w:tcBorders>
            <w:shd w:val="clear" w:color="auto" w:fill="FFFFFF" w:themeFill="background1"/>
          </w:tcPr>
          <w:p w14:paraId="4494B621"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81BEB2E" w14:textId="77777777" w:rsidR="00B43A6B" w:rsidRPr="00B375EA" w:rsidRDefault="00B43A6B">
            <w:pPr>
              <w:keepNext/>
              <w:jc w:val="right"/>
              <w:rPr>
                <w:color w:val="000000"/>
                <w:sz w:val="20"/>
                <w:szCs w:val="20"/>
                <w:lang w:eastAsia="en-CA"/>
              </w:rPr>
            </w:pPr>
            <w:r>
              <w:rPr>
                <w:color w:val="000000"/>
                <w:sz w:val="20"/>
                <w:szCs w:val="20"/>
                <w:lang w:eastAsia="en-CA"/>
              </w:rPr>
              <w:t>11.232</w:t>
            </w:r>
          </w:p>
        </w:tc>
        <w:tc>
          <w:tcPr>
            <w:tcW w:w="455" w:type="pct"/>
            <w:tcBorders>
              <w:top w:val="nil"/>
              <w:left w:val="nil"/>
              <w:bottom w:val="single" w:sz="4" w:space="0" w:color="auto"/>
              <w:right w:val="single" w:sz="4" w:space="0" w:color="auto"/>
            </w:tcBorders>
            <w:shd w:val="clear" w:color="auto" w:fill="FFFFFF" w:themeFill="background1"/>
          </w:tcPr>
          <w:p w14:paraId="0219F95D"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9801A5C" w14:textId="77777777" w:rsidR="00B43A6B" w:rsidRPr="00B375EA" w:rsidRDefault="00B43A6B">
            <w:pPr>
              <w:keepNext/>
              <w:jc w:val="right"/>
              <w:rPr>
                <w:color w:val="000000"/>
                <w:sz w:val="20"/>
                <w:szCs w:val="20"/>
                <w:lang w:eastAsia="en-CA"/>
              </w:rPr>
            </w:pPr>
            <w:r>
              <w:rPr>
                <w:color w:val="000000"/>
                <w:sz w:val="20"/>
                <w:szCs w:val="20"/>
                <w:lang w:eastAsia="en-CA"/>
              </w:rPr>
              <w:t>2.483</w:t>
            </w:r>
          </w:p>
        </w:tc>
        <w:tc>
          <w:tcPr>
            <w:tcW w:w="444" w:type="pct"/>
            <w:tcBorders>
              <w:top w:val="nil"/>
              <w:left w:val="nil"/>
              <w:bottom w:val="single" w:sz="4" w:space="0" w:color="auto"/>
              <w:right w:val="single" w:sz="4" w:space="0" w:color="auto"/>
            </w:tcBorders>
            <w:shd w:val="clear" w:color="auto" w:fill="FFFFFF" w:themeFill="background1"/>
          </w:tcPr>
          <w:p w14:paraId="02801066" w14:textId="77777777" w:rsidR="00B43A6B" w:rsidRPr="00B375EA" w:rsidRDefault="00B43A6B">
            <w:pPr>
              <w:keepNext/>
              <w:jc w:val="right"/>
              <w:rPr>
                <w:color w:val="000000"/>
                <w:sz w:val="20"/>
                <w:szCs w:val="20"/>
                <w:lang w:eastAsia="en-CA"/>
              </w:rPr>
            </w:pPr>
            <w:r>
              <w:rPr>
                <w:color w:val="000000"/>
                <w:sz w:val="20"/>
                <w:szCs w:val="20"/>
                <w:lang w:eastAsia="en-CA"/>
              </w:rPr>
              <w:t>24.830</w:t>
            </w:r>
          </w:p>
        </w:tc>
      </w:tr>
      <w:tr w:rsidR="00B43A6B" w:rsidRPr="00B375EA" w14:paraId="3593E5AB" w14:textId="77777777">
        <w:trPr>
          <w:trHeight w:val="53"/>
          <w:jc w:val="center"/>
        </w:trPr>
        <w:tc>
          <w:tcPr>
            <w:tcW w:w="466" w:type="pct"/>
            <w:tcBorders>
              <w:top w:val="nil"/>
              <w:left w:val="single" w:sz="4" w:space="0" w:color="auto"/>
              <w:bottom w:val="single" w:sz="4" w:space="0" w:color="auto"/>
              <w:right w:val="single" w:sz="4" w:space="0" w:color="auto"/>
            </w:tcBorders>
            <w:hideMark/>
          </w:tcPr>
          <w:p w14:paraId="0BA64AE4" w14:textId="77777777" w:rsidR="00B43A6B" w:rsidRPr="00B375EA" w:rsidRDefault="00B43A6B">
            <w:pPr>
              <w:keepNext/>
              <w:jc w:val="left"/>
              <w:rPr>
                <w:color w:val="000000"/>
                <w:sz w:val="20"/>
                <w:szCs w:val="20"/>
                <w:lang w:eastAsia="en-CA"/>
              </w:rPr>
            </w:pPr>
            <w:r>
              <w:rPr>
                <w:color w:val="000000"/>
                <w:sz w:val="20"/>
                <w:szCs w:val="20"/>
                <w:lang w:eastAsia="en-CA"/>
              </w:rPr>
              <w:t>3.3</w:t>
            </w:r>
          </w:p>
        </w:tc>
        <w:tc>
          <w:tcPr>
            <w:tcW w:w="1806" w:type="pct"/>
            <w:tcBorders>
              <w:top w:val="nil"/>
              <w:left w:val="nil"/>
              <w:bottom w:val="single" w:sz="4" w:space="0" w:color="auto"/>
              <w:right w:val="single" w:sz="4" w:space="0" w:color="auto"/>
            </w:tcBorders>
            <w:hideMark/>
          </w:tcPr>
          <w:p w14:paraId="0593B429" w14:textId="77777777" w:rsidR="00B43A6B" w:rsidRPr="00B375EA" w:rsidRDefault="00B43A6B">
            <w:pPr>
              <w:keepNext/>
              <w:jc w:val="left"/>
              <w:rPr>
                <w:color w:val="000000"/>
                <w:sz w:val="20"/>
                <w:szCs w:val="20"/>
                <w:lang w:eastAsia="en-CA"/>
              </w:rPr>
            </w:pPr>
            <w:r>
              <w:rPr>
                <w:color w:val="000000"/>
                <w:sz w:val="20"/>
                <w:szCs w:val="20"/>
                <w:lang w:eastAsia="en-CA"/>
              </w:rPr>
              <w:t>Gastos convenidos totales (USD)</w:t>
            </w:r>
          </w:p>
        </w:tc>
        <w:tc>
          <w:tcPr>
            <w:tcW w:w="455" w:type="pct"/>
            <w:tcBorders>
              <w:top w:val="nil"/>
              <w:left w:val="nil"/>
              <w:bottom w:val="single" w:sz="4" w:space="0" w:color="auto"/>
              <w:right w:val="single" w:sz="4" w:space="0" w:color="auto"/>
            </w:tcBorders>
            <w:shd w:val="clear" w:color="auto" w:fill="FFFFFF" w:themeFill="background1"/>
          </w:tcPr>
          <w:p w14:paraId="0E733AFA" w14:textId="77777777" w:rsidR="00B43A6B" w:rsidRPr="00B375EA" w:rsidRDefault="00B43A6B">
            <w:pPr>
              <w:keepNext/>
              <w:jc w:val="right"/>
              <w:rPr>
                <w:color w:val="000000"/>
                <w:sz w:val="20"/>
                <w:szCs w:val="20"/>
                <w:lang w:eastAsia="en-CA"/>
              </w:rPr>
            </w:pPr>
            <w:r>
              <w:rPr>
                <w:color w:val="000000"/>
                <w:sz w:val="20"/>
                <w:szCs w:val="20"/>
                <w:lang w:eastAsia="en-CA"/>
              </w:rPr>
              <w:t>96.615</w:t>
            </w:r>
          </w:p>
        </w:tc>
        <w:tc>
          <w:tcPr>
            <w:tcW w:w="455" w:type="pct"/>
            <w:tcBorders>
              <w:top w:val="nil"/>
              <w:left w:val="nil"/>
              <w:bottom w:val="single" w:sz="4" w:space="0" w:color="auto"/>
              <w:right w:val="single" w:sz="4" w:space="0" w:color="auto"/>
            </w:tcBorders>
            <w:shd w:val="clear" w:color="auto" w:fill="FFFFFF" w:themeFill="background1"/>
          </w:tcPr>
          <w:p w14:paraId="75AA5097"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21E2A243" w14:textId="77777777" w:rsidR="00B43A6B" w:rsidRPr="00B375EA" w:rsidRDefault="00B43A6B">
            <w:pPr>
              <w:keepNext/>
              <w:jc w:val="right"/>
              <w:rPr>
                <w:color w:val="000000"/>
                <w:sz w:val="20"/>
                <w:szCs w:val="20"/>
                <w:lang w:eastAsia="en-CA"/>
              </w:rPr>
            </w:pPr>
            <w:r>
              <w:rPr>
                <w:color w:val="000000"/>
                <w:sz w:val="20"/>
                <w:szCs w:val="20"/>
                <w:lang w:eastAsia="en-CA"/>
              </w:rPr>
              <w:t>97.632</w:t>
            </w:r>
          </w:p>
        </w:tc>
        <w:tc>
          <w:tcPr>
            <w:tcW w:w="455" w:type="pct"/>
            <w:tcBorders>
              <w:top w:val="nil"/>
              <w:left w:val="nil"/>
              <w:bottom w:val="single" w:sz="4" w:space="0" w:color="auto"/>
              <w:right w:val="single" w:sz="4" w:space="0" w:color="auto"/>
            </w:tcBorders>
            <w:shd w:val="clear" w:color="auto" w:fill="FFFFFF" w:themeFill="background1"/>
          </w:tcPr>
          <w:p w14:paraId="0E77A7B4" w14:textId="77777777" w:rsidR="00B43A6B" w:rsidRPr="00B375EA" w:rsidRDefault="00B43A6B">
            <w:pPr>
              <w:keepNext/>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F69632F" w14:textId="77777777" w:rsidR="00B43A6B" w:rsidRPr="00B375EA" w:rsidRDefault="00B43A6B">
            <w:pPr>
              <w:keepNext/>
              <w:jc w:val="right"/>
              <w:rPr>
                <w:color w:val="000000"/>
                <w:sz w:val="20"/>
                <w:szCs w:val="20"/>
                <w:lang w:eastAsia="en-CA"/>
              </w:rPr>
            </w:pPr>
            <w:r>
              <w:rPr>
                <w:color w:val="000000"/>
                <w:sz w:val="20"/>
                <w:szCs w:val="20"/>
                <w:lang w:eastAsia="en-CA"/>
              </w:rPr>
              <w:t>21.583</w:t>
            </w:r>
          </w:p>
        </w:tc>
        <w:tc>
          <w:tcPr>
            <w:tcW w:w="444" w:type="pct"/>
            <w:tcBorders>
              <w:top w:val="nil"/>
              <w:left w:val="nil"/>
              <w:bottom w:val="single" w:sz="4" w:space="0" w:color="auto"/>
              <w:right w:val="single" w:sz="4" w:space="0" w:color="auto"/>
            </w:tcBorders>
            <w:shd w:val="clear" w:color="auto" w:fill="FFFFFF" w:themeFill="background1"/>
          </w:tcPr>
          <w:p w14:paraId="290EBDCB" w14:textId="77777777" w:rsidR="00B43A6B" w:rsidRPr="00B375EA" w:rsidRDefault="00B43A6B">
            <w:pPr>
              <w:keepNext/>
              <w:jc w:val="right"/>
              <w:rPr>
                <w:color w:val="000000"/>
                <w:sz w:val="20"/>
                <w:szCs w:val="20"/>
                <w:lang w:eastAsia="en-CA"/>
              </w:rPr>
            </w:pPr>
            <w:r>
              <w:rPr>
                <w:color w:val="000000"/>
                <w:sz w:val="20"/>
                <w:szCs w:val="20"/>
                <w:lang w:eastAsia="en-CA"/>
              </w:rPr>
              <w:t>215.830</w:t>
            </w:r>
          </w:p>
        </w:tc>
      </w:tr>
      <w:tr w:rsidR="00B43A6B" w:rsidRPr="00B375EA" w14:paraId="7C14543F" w14:textId="77777777">
        <w:trPr>
          <w:trHeight w:val="53"/>
          <w:jc w:val="center"/>
        </w:trPr>
        <w:tc>
          <w:tcPr>
            <w:tcW w:w="466" w:type="pct"/>
            <w:tcBorders>
              <w:top w:val="single" w:sz="4" w:space="0" w:color="auto"/>
              <w:left w:val="single" w:sz="4" w:space="0" w:color="auto"/>
              <w:bottom w:val="single" w:sz="4" w:space="0" w:color="auto"/>
              <w:right w:val="single" w:sz="4" w:space="0" w:color="auto"/>
            </w:tcBorders>
            <w:hideMark/>
          </w:tcPr>
          <w:p w14:paraId="05DEB18F" w14:textId="77777777" w:rsidR="00B43A6B" w:rsidRPr="00B375EA" w:rsidRDefault="00B43A6B">
            <w:pPr>
              <w:keepNext/>
              <w:jc w:val="left"/>
              <w:rPr>
                <w:color w:val="000000"/>
                <w:sz w:val="20"/>
                <w:szCs w:val="20"/>
                <w:lang w:eastAsia="en-CA"/>
              </w:rPr>
            </w:pPr>
            <w:r>
              <w:rPr>
                <w:color w:val="000000"/>
                <w:sz w:val="20"/>
                <w:szCs w:val="20"/>
                <w:lang w:eastAsia="en-CA"/>
              </w:rPr>
              <w:t>4.1.1</w:t>
            </w:r>
          </w:p>
        </w:tc>
        <w:tc>
          <w:tcPr>
            <w:tcW w:w="4090" w:type="pct"/>
            <w:gridSpan w:val="6"/>
            <w:tcBorders>
              <w:top w:val="single" w:sz="4" w:space="0" w:color="auto"/>
              <w:left w:val="nil"/>
              <w:bottom w:val="single" w:sz="4" w:space="0" w:color="auto"/>
              <w:right w:val="single" w:sz="4" w:space="0" w:color="000000"/>
            </w:tcBorders>
            <w:hideMark/>
          </w:tcPr>
          <w:p w14:paraId="4B4E65A8" w14:textId="77777777" w:rsidR="00B43A6B" w:rsidRPr="009556E6" w:rsidRDefault="00B43A6B">
            <w:pPr>
              <w:keepNext/>
              <w:jc w:val="left"/>
              <w:rPr>
                <w:color w:val="000000"/>
                <w:sz w:val="20"/>
                <w:szCs w:val="20"/>
                <w:lang w:val="es-ES" w:eastAsia="en-CA"/>
              </w:rPr>
            </w:pPr>
            <w:r>
              <w:rPr>
                <w:color w:val="000000"/>
                <w:sz w:val="20"/>
                <w:szCs w:val="20"/>
                <w:lang w:val="es-ES" w:eastAsia="en-CA"/>
              </w:rPr>
              <w:t>Eliminación total de HCFC‑22 convenida en el presente Acuerdo (toneladas PAO)</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199ECC67" w14:textId="77777777" w:rsidR="00B43A6B" w:rsidRPr="00D423D4" w:rsidRDefault="00B43A6B">
            <w:pPr>
              <w:keepNext/>
              <w:jc w:val="right"/>
              <w:rPr>
                <w:color w:val="000000"/>
                <w:sz w:val="20"/>
                <w:szCs w:val="20"/>
                <w:lang w:eastAsia="en-CA"/>
              </w:rPr>
            </w:pPr>
            <w:r>
              <w:rPr>
                <w:color w:val="000000"/>
                <w:sz w:val="20"/>
                <w:szCs w:val="20"/>
                <w:lang w:eastAsia="en-CA"/>
              </w:rPr>
              <w:t>0,10</w:t>
            </w:r>
          </w:p>
        </w:tc>
      </w:tr>
      <w:tr w:rsidR="00B43A6B" w:rsidRPr="00B375EA" w14:paraId="289FF8B6" w14:textId="77777777">
        <w:trPr>
          <w:trHeight w:val="116"/>
          <w:jc w:val="center"/>
        </w:trPr>
        <w:tc>
          <w:tcPr>
            <w:tcW w:w="466" w:type="pct"/>
            <w:tcBorders>
              <w:top w:val="nil"/>
              <w:left w:val="single" w:sz="4" w:space="0" w:color="auto"/>
              <w:bottom w:val="single" w:sz="4" w:space="0" w:color="auto"/>
              <w:right w:val="single" w:sz="4" w:space="0" w:color="auto"/>
            </w:tcBorders>
            <w:hideMark/>
          </w:tcPr>
          <w:p w14:paraId="32F0E402" w14:textId="77777777" w:rsidR="00B43A6B" w:rsidRPr="00B375EA" w:rsidRDefault="00B43A6B">
            <w:pPr>
              <w:keepNext/>
              <w:jc w:val="left"/>
              <w:rPr>
                <w:color w:val="000000"/>
                <w:sz w:val="20"/>
                <w:szCs w:val="20"/>
                <w:lang w:eastAsia="en-CA"/>
              </w:rPr>
            </w:pPr>
            <w:r>
              <w:rPr>
                <w:color w:val="000000"/>
                <w:sz w:val="20"/>
                <w:szCs w:val="20"/>
                <w:lang w:eastAsia="en-CA"/>
              </w:rPr>
              <w:t>4.1.2</w:t>
            </w:r>
          </w:p>
        </w:tc>
        <w:tc>
          <w:tcPr>
            <w:tcW w:w="4090" w:type="pct"/>
            <w:gridSpan w:val="6"/>
            <w:tcBorders>
              <w:top w:val="single" w:sz="4" w:space="0" w:color="auto"/>
              <w:left w:val="nil"/>
              <w:bottom w:val="single" w:sz="4" w:space="0" w:color="auto"/>
              <w:right w:val="single" w:sz="4" w:space="0" w:color="000000"/>
            </w:tcBorders>
            <w:hideMark/>
          </w:tcPr>
          <w:p w14:paraId="5E67E296" w14:textId="77777777" w:rsidR="00B43A6B" w:rsidRPr="009556E6" w:rsidRDefault="00B43A6B">
            <w:pPr>
              <w:keepNext/>
              <w:jc w:val="left"/>
              <w:rPr>
                <w:color w:val="000000"/>
                <w:sz w:val="20"/>
                <w:szCs w:val="20"/>
                <w:lang w:val="es-ES" w:eastAsia="en-CA"/>
              </w:rPr>
            </w:pPr>
            <w:r>
              <w:rPr>
                <w:color w:val="000000"/>
                <w:sz w:val="20"/>
                <w:szCs w:val="20"/>
                <w:lang w:val="es-ES" w:eastAsia="en-CA"/>
              </w:rPr>
              <w:t>Eliminación de HCFC‑22 que debe lograrse en la etapa anterior (toneladas PAO)</w:t>
            </w:r>
          </w:p>
        </w:tc>
        <w:tc>
          <w:tcPr>
            <w:tcW w:w="444" w:type="pct"/>
            <w:tcBorders>
              <w:top w:val="nil"/>
              <w:left w:val="nil"/>
              <w:bottom w:val="single" w:sz="4" w:space="0" w:color="auto"/>
              <w:right w:val="single" w:sz="4" w:space="0" w:color="auto"/>
            </w:tcBorders>
            <w:shd w:val="clear" w:color="auto" w:fill="FFFFFF" w:themeFill="background1"/>
          </w:tcPr>
          <w:p w14:paraId="526C87BB" w14:textId="77777777" w:rsidR="00B43A6B" w:rsidRPr="00D423D4" w:rsidRDefault="00B43A6B">
            <w:pPr>
              <w:keepNext/>
              <w:jc w:val="right"/>
              <w:rPr>
                <w:color w:val="000000"/>
                <w:sz w:val="20"/>
                <w:szCs w:val="20"/>
                <w:lang w:eastAsia="en-CA"/>
              </w:rPr>
            </w:pPr>
            <w:r>
              <w:rPr>
                <w:color w:val="000000"/>
                <w:sz w:val="20"/>
                <w:szCs w:val="20"/>
                <w:lang w:eastAsia="en-CA"/>
              </w:rPr>
              <w:t>0,05</w:t>
            </w:r>
          </w:p>
        </w:tc>
      </w:tr>
      <w:tr w:rsidR="00B43A6B" w:rsidRPr="00B375EA" w14:paraId="3EF51F21" w14:textId="77777777">
        <w:trPr>
          <w:trHeight w:val="98"/>
          <w:jc w:val="center"/>
        </w:trPr>
        <w:tc>
          <w:tcPr>
            <w:tcW w:w="466" w:type="pct"/>
            <w:tcBorders>
              <w:top w:val="nil"/>
              <w:left w:val="single" w:sz="4" w:space="0" w:color="auto"/>
              <w:bottom w:val="single" w:sz="4" w:space="0" w:color="auto"/>
              <w:right w:val="single" w:sz="4" w:space="0" w:color="auto"/>
            </w:tcBorders>
            <w:hideMark/>
          </w:tcPr>
          <w:p w14:paraId="1C15278D" w14:textId="77777777" w:rsidR="00B43A6B" w:rsidRPr="00B375EA" w:rsidRDefault="00B43A6B">
            <w:pPr>
              <w:keepNext/>
              <w:jc w:val="left"/>
              <w:rPr>
                <w:color w:val="000000"/>
                <w:sz w:val="20"/>
                <w:szCs w:val="20"/>
                <w:lang w:eastAsia="en-CA"/>
              </w:rPr>
            </w:pPr>
            <w:r>
              <w:rPr>
                <w:color w:val="000000"/>
                <w:sz w:val="20"/>
                <w:szCs w:val="20"/>
                <w:lang w:eastAsia="en-CA"/>
              </w:rPr>
              <w:t>4.1.3</w:t>
            </w:r>
          </w:p>
        </w:tc>
        <w:tc>
          <w:tcPr>
            <w:tcW w:w="4090" w:type="pct"/>
            <w:gridSpan w:val="6"/>
            <w:tcBorders>
              <w:top w:val="single" w:sz="4" w:space="0" w:color="auto"/>
              <w:left w:val="nil"/>
              <w:bottom w:val="single" w:sz="4" w:space="0" w:color="auto"/>
              <w:right w:val="single" w:sz="4" w:space="0" w:color="000000"/>
            </w:tcBorders>
            <w:hideMark/>
          </w:tcPr>
          <w:p w14:paraId="729AFFFF" w14:textId="77777777" w:rsidR="00B43A6B" w:rsidRPr="009556E6" w:rsidRDefault="00B43A6B">
            <w:pPr>
              <w:keepNext/>
              <w:jc w:val="left"/>
              <w:rPr>
                <w:color w:val="000000"/>
                <w:sz w:val="20"/>
                <w:szCs w:val="20"/>
                <w:lang w:val="es-ES" w:eastAsia="en-CA"/>
              </w:rPr>
            </w:pPr>
            <w:r>
              <w:rPr>
                <w:color w:val="000000"/>
                <w:sz w:val="20"/>
                <w:szCs w:val="20"/>
                <w:lang w:val="es-ES" w:eastAsia="en-CA"/>
              </w:rPr>
              <w:t>Consumo admisible remanente de HCFC‑22 (toneladas PAO)</w:t>
            </w:r>
          </w:p>
        </w:tc>
        <w:tc>
          <w:tcPr>
            <w:tcW w:w="444" w:type="pct"/>
            <w:tcBorders>
              <w:top w:val="nil"/>
              <w:left w:val="nil"/>
              <w:bottom w:val="single" w:sz="4" w:space="0" w:color="auto"/>
              <w:right w:val="single" w:sz="4" w:space="0" w:color="auto"/>
            </w:tcBorders>
            <w:shd w:val="clear" w:color="auto" w:fill="FFFFFF" w:themeFill="background1"/>
          </w:tcPr>
          <w:p w14:paraId="3F5BC72F" w14:textId="77777777" w:rsidR="00B43A6B" w:rsidRPr="00D423D4" w:rsidRDefault="00B43A6B">
            <w:pPr>
              <w:keepNext/>
              <w:jc w:val="right"/>
              <w:rPr>
                <w:color w:val="000000"/>
                <w:sz w:val="20"/>
                <w:szCs w:val="20"/>
                <w:lang w:eastAsia="en-CA"/>
              </w:rPr>
            </w:pPr>
            <w:r>
              <w:rPr>
                <w:color w:val="000000"/>
                <w:sz w:val="20"/>
                <w:szCs w:val="20"/>
                <w:lang w:eastAsia="en-CA"/>
              </w:rPr>
              <w:t>0</w:t>
            </w:r>
          </w:p>
        </w:tc>
      </w:tr>
    </w:tbl>
    <w:p w14:paraId="5CB812A6" w14:textId="77777777" w:rsidR="00B43A6B" w:rsidRPr="009556E6" w:rsidRDefault="00B43A6B" w:rsidP="00B43A6B">
      <w:pPr>
        <w:pStyle w:val="Heading1"/>
        <w:numPr>
          <w:ilvl w:val="0"/>
          <w:numId w:val="0"/>
        </w:numPr>
        <w:rPr>
          <w:sz w:val="18"/>
          <w:szCs w:val="16"/>
          <w:lang w:val="es-ES"/>
        </w:rPr>
      </w:pPr>
      <w:r>
        <w:rPr>
          <w:sz w:val="18"/>
          <w:szCs w:val="16"/>
          <w:lang w:val="es-ES"/>
        </w:rPr>
        <w:t>* Fecha de término de la etapa I según Acuerdo: 31 de diciembre de 2021.</w:t>
      </w:r>
    </w:p>
    <w:p w14:paraId="1CB04618" w14:textId="77777777" w:rsidR="00B43A6B" w:rsidRPr="009556E6" w:rsidRDefault="00B43A6B" w:rsidP="00B43A6B">
      <w:pPr>
        <w:keepNext/>
        <w:spacing w:before="360" w:after="240"/>
        <w:rPr>
          <w:b/>
          <w:lang w:val="es-ES"/>
        </w:rPr>
      </w:pPr>
      <w:r>
        <w:rPr>
          <w:b/>
          <w:lang w:val="es-ES"/>
        </w:rPr>
        <w:lastRenderedPageBreak/>
        <w:t>APÉNDICE 3‑A: CALENDARIO DE APROBACIÓN DE LA FINANCIACIÓN</w:t>
      </w:r>
    </w:p>
    <w:p w14:paraId="317DCDC1" w14:textId="77777777" w:rsidR="00B43A6B" w:rsidRPr="009556E6" w:rsidRDefault="00B43A6B" w:rsidP="001348F0">
      <w:pPr>
        <w:pStyle w:val="Heading1"/>
        <w:numPr>
          <w:ilvl w:val="0"/>
          <w:numId w:val="20"/>
        </w:numPr>
        <w:rPr>
          <w:lang w:val="es-ES"/>
        </w:rPr>
      </w:pPr>
      <w:r>
        <w:rPr>
          <w:lang w:val="es-ES"/>
        </w:rPr>
        <w:t>La financiación para los tramos futuros se examinará para su aprobación en la segunda reunión del año especificado en el Apéndice 2‑A.</w:t>
      </w:r>
    </w:p>
    <w:p w14:paraId="424B2015" w14:textId="77777777" w:rsidR="00B43A6B" w:rsidRPr="009556E6" w:rsidRDefault="00B43A6B" w:rsidP="00B43A6B">
      <w:pPr>
        <w:keepNext/>
        <w:spacing w:before="360" w:after="240"/>
        <w:rPr>
          <w:b/>
          <w:lang w:val="es-ES"/>
        </w:rPr>
      </w:pPr>
      <w:r>
        <w:rPr>
          <w:b/>
          <w:lang w:val="es-ES"/>
        </w:rPr>
        <w:t>APÉNDICE 4‑A: FORMATO DE INFORMES Y PLANES DE EJECUCIÓN DE TRAMOS</w:t>
      </w:r>
    </w:p>
    <w:p w14:paraId="571A9D98" w14:textId="77777777" w:rsidR="00B43A6B" w:rsidRPr="009556E6" w:rsidRDefault="00B43A6B" w:rsidP="001348F0">
      <w:pPr>
        <w:pStyle w:val="Heading1"/>
        <w:numPr>
          <w:ilvl w:val="0"/>
          <w:numId w:val="21"/>
        </w:numPr>
        <w:rPr>
          <w:lang w:val="es-ES"/>
        </w:rPr>
      </w:pPr>
      <w:r>
        <w:rPr>
          <w:lang w:val="es-ES"/>
        </w:rPr>
        <w:t>La presentación de los informes y planes de ejecución de tramos de cada solicitud de tramo constará de cinco partes:</w:t>
      </w:r>
    </w:p>
    <w:p w14:paraId="331CB380" w14:textId="77777777" w:rsidR="00B43A6B" w:rsidRPr="009556E6" w:rsidRDefault="00B43A6B" w:rsidP="00B43A6B">
      <w:pPr>
        <w:pStyle w:val="Heading2"/>
        <w:rPr>
          <w:lang w:val="es-ES"/>
        </w:rPr>
      </w:pPr>
      <w:r>
        <w:rPr>
          <w:lang w:val="es-ES"/>
        </w:rPr>
        <w:t>Un informe descriptivo, con datos proporcionados por tramo, en el que se describan los avances logrados desde el informe anterior, se refleje la situación del País en lo que respecta a la eliminación gradual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alternativas, a fin de que la Secretaría pueda facilitar al Comité Ejecutivo información sobre el cambio resultante en las emisiones relevantes para el clima. El informe deberá destacar además los éxitos, las experiencias y las dificultades relacionadas con las diferentes actividades incluidas en el plan, reflejando cualquier cambio en las circunstancias del País y proporcionando otra información pertinente. El informe deberá incluir asimismo información y una justificación de cualquier cambio con respecto a los planes de ejecución de los tramos presentados anteriormente, tales como retrasos, el uso de la flexibilidad para la reasignación de fondos durante la ejecución de un tramo, tal y como se establece en el párrafo 7 del presente Acuerdo, u otros cambios;</w:t>
      </w:r>
    </w:p>
    <w:p w14:paraId="6F1F02D3" w14:textId="77777777" w:rsidR="00B43A6B" w:rsidRPr="009556E6" w:rsidRDefault="00B43A6B" w:rsidP="00B43A6B">
      <w:pPr>
        <w:pStyle w:val="Heading2"/>
        <w:tabs>
          <w:tab w:val="clear" w:pos="0"/>
          <w:tab w:val="num" w:pos="-720"/>
        </w:tabs>
        <w:rPr>
          <w:lang w:val="es-ES"/>
        </w:rPr>
      </w:pPr>
      <w:r>
        <w:rPr>
          <w:lang w:val="es-ES"/>
        </w:rPr>
        <w:t>Una verificación independiente de los resultados del Plan y del consumo de las Sustancias, según lo previsto en el inciso 5 b) del Acuerdo. Salvo indicación en contrario del Comité Ejecutivo, este informe de verificación se deberá acompañar a cada solicitud de tramo y deberá abarcar el consumo de todos los años especificados en el inciso 5 a) para los que el Comité manifieste no haber recibido aún el informe de verificación;</w:t>
      </w:r>
    </w:p>
    <w:p w14:paraId="13BC43E1" w14:textId="77777777" w:rsidR="00B43A6B" w:rsidRPr="009556E6" w:rsidRDefault="00B43A6B" w:rsidP="00B43A6B">
      <w:pPr>
        <w:pStyle w:val="Heading2"/>
        <w:tabs>
          <w:tab w:val="clear" w:pos="0"/>
          <w:tab w:val="num" w:pos="-720"/>
        </w:tabs>
        <w:rPr>
          <w:lang w:val="es-ES"/>
        </w:rPr>
      </w:pPr>
      <w:r>
        <w:rPr>
          <w:lang w:val="es-ES"/>
        </w:rPr>
        <w:t>Una descripción por escrito de las actividades que se llevarán a cabo durante el período cubierto por el tramo solicitado, en la que se destaquen los hitos de ejecución, el plazo de finalización y la interdependencia de las actividades, y se tengan en cuenta las experiencias adquiridas y los avances logrados en la ejecución de los tramos anteriores; los datos del plan se facilitarán por año civil. La descripción deberá incluir asimismo una referencia al Plan general y a los avances logrados, así como a cualquier posible cambio previsto en el Plan general. La descripción deberá especificar y explicar detalladamente dichos cambios en el Plan general. Esta descripción de las actividades futuras podrá presentarse como parte del mismo documento que el informe narrativo mencionado en el inciso a) anterior;</w:t>
      </w:r>
    </w:p>
    <w:p w14:paraId="3884BF84" w14:textId="77777777" w:rsidR="00B43A6B" w:rsidRPr="009556E6" w:rsidRDefault="00B43A6B" w:rsidP="00B43A6B">
      <w:pPr>
        <w:pStyle w:val="Heading2"/>
        <w:tabs>
          <w:tab w:val="clear" w:pos="0"/>
          <w:tab w:val="num" w:pos="-720"/>
        </w:tabs>
        <w:rPr>
          <w:lang w:val="es-ES"/>
        </w:rPr>
      </w:pPr>
      <w:r>
        <w:rPr>
          <w:lang w:val="es-ES"/>
        </w:rPr>
        <w:t>Un conjunto de datos cuantitativos sobre todos los informes y planes de ejecución de tramos, a presentar a través de una base de datos en línea; y</w:t>
      </w:r>
    </w:p>
    <w:p w14:paraId="57B40E4F" w14:textId="77777777" w:rsidR="00B43A6B" w:rsidRPr="009556E6" w:rsidRDefault="00B43A6B" w:rsidP="00B43A6B">
      <w:pPr>
        <w:pStyle w:val="Heading2"/>
        <w:tabs>
          <w:tab w:val="clear" w:pos="0"/>
          <w:tab w:val="num" w:pos="-720"/>
        </w:tabs>
        <w:rPr>
          <w:lang w:val="es-ES"/>
        </w:rPr>
      </w:pPr>
      <w:r>
        <w:rPr>
          <w:lang w:val="es-ES"/>
        </w:rPr>
        <w:t>Un resumen ejecutivo de unos cinco párrafos con una síntesis de la información contenida en los incisos 1 a) a 1 d) anteriores.</w:t>
      </w:r>
    </w:p>
    <w:p w14:paraId="3195C0FF" w14:textId="77777777" w:rsidR="00B43A6B" w:rsidRPr="009556E6" w:rsidRDefault="00B43A6B" w:rsidP="00B43A6B">
      <w:pPr>
        <w:pStyle w:val="Heading1"/>
        <w:rPr>
          <w:lang w:val="es-ES"/>
        </w:rPr>
      </w:pPr>
      <w:r>
        <w:rPr>
          <w:lang w:val="es-ES"/>
        </w:rPr>
        <w:t>Cuando en un mismo año se estén ejecutando en paralelo dos etapas del Plan, al elaborar los informes y planes de ejecución de tramos se deberá tener en cuenta lo siguiente:</w:t>
      </w:r>
    </w:p>
    <w:p w14:paraId="5919B760" w14:textId="77777777" w:rsidR="00B43A6B" w:rsidRPr="009556E6" w:rsidRDefault="00B43A6B" w:rsidP="00B43A6B">
      <w:pPr>
        <w:pStyle w:val="Heading2"/>
        <w:tabs>
          <w:tab w:val="clear" w:pos="0"/>
          <w:tab w:val="num" w:pos="-720"/>
        </w:tabs>
        <w:rPr>
          <w:lang w:val="es-ES"/>
        </w:rPr>
      </w:pPr>
      <w:r>
        <w:rPr>
          <w:lang w:val="es-ES"/>
        </w:rPr>
        <w:t>Los informes y planes de ejecución de tramos previstos en el presente Acuerdo deberán referirse únicamente a las actividades y recursos aquí contemplados; y</w:t>
      </w:r>
    </w:p>
    <w:p w14:paraId="4A9CB551" w14:textId="77777777" w:rsidR="00B43A6B" w:rsidRPr="009556E6" w:rsidRDefault="00B43A6B" w:rsidP="00B43A6B">
      <w:pPr>
        <w:pStyle w:val="Heading2"/>
        <w:tabs>
          <w:tab w:val="clear" w:pos="0"/>
          <w:tab w:val="num" w:pos="-720"/>
        </w:tabs>
        <w:rPr>
          <w:lang w:val="es-ES"/>
        </w:rPr>
      </w:pPr>
      <w:r>
        <w:rPr>
          <w:lang w:val="es-ES"/>
        </w:rPr>
        <w:lastRenderedPageBreak/>
        <w:t>Cuando el Apéndice 2‑A de cada Acuerdo contemple distintas metas de consumo de HCFC para etapas en curso en un mismo año, la meta que resulte menor servirá de referencia para el cumplimiento de dichos Acuerdos y como base para la verificación independiente.</w:t>
      </w:r>
    </w:p>
    <w:p w14:paraId="78E4BD4A" w14:textId="77777777" w:rsidR="00B43A6B" w:rsidRPr="009556E6" w:rsidRDefault="00B43A6B" w:rsidP="00B43A6B">
      <w:pPr>
        <w:keepNext/>
        <w:spacing w:before="360" w:after="240"/>
        <w:rPr>
          <w:b/>
          <w:lang w:val="es-ES"/>
        </w:rPr>
      </w:pPr>
      <w:r>
        <w:rPr>
          <w:b/>
          <w:lang w:val="es-ES"/>
        </w:rPr>
        <w:t>APÉNDICE 5‑A: INSTITUCIONES DE SUPERVISIÓN Y FUNCIONES</w:t>
      </w:r>
    </w:p>
    <w:p w14:paraId="7A3EAA0E" w14:textId="4983AE0F" w:rsidR="00B43A6B" w:rsidRPr="009556E6" w:rsidRDefault="00B43A6B" w:rsidP="006E5EFD">
      <w:pPr>
        <w:pStyle w:val="Heading1"/>
        <w:numPr>
          <w:ilvl w:val="0"/>
          <w:numId w:val="19"/>
        </w:numPr>
        <w:tabs>
          <w:tab w:val="clear" w:pos="0"/>
        </w:tabs>
        <w:rPr>
          <w:lang w:val="es-ES"/>
        </w:rPr>
      </w:pPr>
      <w:r>
        <w:rPr>
          <w:lang w:val="es-ES"/>
        </w:rPr>
        <w:t>El País, a través de la Oficina Nacional del Ozono (ONO), con la asistencia del Organismo de Ejecución Principal, se encargará de la supervisión general. La ONO presentará anualmente al Organismo de Ejecución Principal informes de avance sobre el estado de la ejecución del Plan.</w:t>
      </w:r>
    </w:p>
    <w:p w14:paraId="510EC3C3" w14:textId="708DD6B9" w:rsidR="00B43A6B" w:rsidRPr="009556E6" w:rsidRDefault="00B43A6B" w:rsidP="00B43A6B">
      <w:pPr>
        <w:pStyle w:val="Heading1"/>
        <w:rPr>
          <w:lang w:val="es-ES"/>
        </w:rPr>
      </w:pPr>
      <w:r>
        <w:rPr>
          <w:lang w:val="es-ES"/>
        </w:rPr>
        <w:t>El consumo será supervisado y determinado sobre la base de los datos oficiales de importaciones y exportaciones de sustancias registrados por los departamentos gubernamentales correspondientes. La ONO recopilará los siguientes datos e informaciones e informará sobre ellos cada año dentro de los plazos correspondientes:</w:t>
      </w:r>
    </w:p>
    <w:p w14:paraId="3E78E03D" w14:textId="77777777" w:rsidR="00B43A6B" w:rsidRPr="009556E6" w:rsidRDefault="00B43A6B" w:rsidP="00B43A6B">
      <w:pPr>
        <w:pStyle w:val="Heading2"/>
        <w:tabs>
          <w:tab w:val="num" w:pos="-720"/>
        </w:tabs>
        <w:rPr>
          <w:rFonts w:cstheme="minorHAnsi"/>
          <w:lang w:val="es-ES"/>
        </w:rPr>
      </w:pPr>
      <w:r>
        <w:rPr>
          <w:lang w:val="es-ES"/>
        </w:rPr>
        <w:t>Informes sobre el consumo de las sustancias que deben presentarse a la Secretaría del Ozono de conformidad con el Artículo 7 del Protocolo de Montreal; y</w:t>
      </w:r>
    </w:p>
    <w:p w14:paraId="3E3F5A2E" w14:textId="77777777" w:rsidR="00B43A6B" w:rsidRPr="009556E6" w:rsidRDefault="00B43A6B" w:rsidP="00B43A6B">
      <w:pPr>
        <w:pStyle w:val="Heading2"/>
        <w:tabs>
          <w:tab w:val="num" w:pos="-720"/>
        </w:tabs>
        <w:rPr>
          <w:rFonts w:cstheme="minorHAnsi"/>
          <w:lang w:val="es-ES"/>
        </w:rPr>
      </w:pPr>
      <w:r>
        <w:rPr>
          <w:lang w:val="es-ES"/>
        </w:rPr>
        <w:t>Informes sobre los datos del programa de país que deben presentarse a la Secretaría del Fondo Multilateral.</w:t>
      </w:r>
    </w:p>
    <w:p w14:paraId="1F735E45" w14:textId="40605ADE" w:rsidR="00B43A6B" w:rsidRPr="009556E6" w:rsidRDefault="009D1856" w:rsidP="00B43A6B">
      <w:pPr>
        <w:pStyle w:val="Heading1"/>
        <w:rPr>
          <w:lang w:val="es-ES"/>
        </w:rPr>
      </w:pPr>
      <w:r>
        <w:rPr>
          <w:lang w:val="es-ES"/>
        </w:rPr>
        <w:t>El Organismo de Ejecución Principal asignará la supervisión del desarrollo del Plan y la verificación de los logros de las metas de desempeño a una compañía local independiente o a un consultor(es) local(es) independiente(s). La compañía o consultor(es) responsables de la verificación tendrán pleno acceso a la información técnica y financiera correspondiente relacionada con la ejecución del Plan.</w:t>
      </w:r>
    </w:p>
    <w:p w14:paraId="27F44274" w14:textId="77777777" w:rsidR="00B43A6B" w:rsidRPr="009556E6" w:rsidRDefault="00B43A6B" w:rsidP="00B43A6B">
      <w:pPr>
        <w:keepNext/>
        <w:spacing w:before="360" w:after="240"/>
        <w:rPr>
          <w:b/>
          <w:lang w:val="es-ES"/>
        </w:rPr>
      </w:pPr>
      <w:r>
        <w:rPr>
          <w:b/>
          <w:lang w:val="es-ES"/>
        </w:rPr>
        <w:t>APÉNDICE 6‑A: FUNCIÓN DEL ORGANISMO DE EJECUCIÓN PRINCIPAL</w:t>
      </w:r>
    </w:p>
    <w:p w14:paraId="60A61742" w14:textId="77777777" w:rsidR="00B43A6B" w:rsidRPr="00091AF1" w:rsidRDefault="00B43A6B" w:rsidP="00091AF1">
      <w:pPr>
        <w:pStyle w:val="Heading1"/>
        <w:numPr>
          <w:ilvl w:val="0"/>
          <w:numId w:val="22"/>
        </w:numPr>
        <w:rPr>
          <w:lang w:val="es-ES"/>
        </w:rPr>
      </w:pPr>
      <w:r w:rsidRPr="00091AF1">
        <w:rPr>
          <w:lang w:val="es-ES"/>
        </w:rPr>
        <w:t>El Organismo de Ejecución Principal tendrá, como mínimo, las siguientes responsabilidades:</w:t>
      </w:r>
    </w:p>
    <w:p w14:paraId="5ED724E1" w14:textId="77777777" w:rsidR="00B43A6B" w:rsidRPr="009556E6" w:rsidRDefault="00B43A6B" w:rsidP="00B43A6B">
      <w:pPr>
        <w:pStyle w:val="Heading2"/>
        <w:rPr>
          <w:lang w:val="es-ES"/>
        </w:rPr>
      </w:pPr>
      <w:r>
        <w:rPr>
          <w:lang w:val="es-ES"/>
        </w:rPr>
        <w:t>Velar por que el desempeño y la gestión financiera se verifiquen según lo previsto en el presente Acuerdo y en los procedimientos y requisitos internos específicos establecidos en el Plan para el País;</w:t>
      </w:r>
    </w:p>
    <w:p w14:paraId="7EAEA6C6" w14:textId="77777777" w:rsidR="00B43A6B" w:rsidRPr="009556E6" w:rsidRDefault="00B43A6B" w:rsidP="00B43A6B">
      <w:pPr>
        <w:pStyle w:val="Heading2"/>
        <w:tabs>
          <w:tab w:val="clear" w:pos="0"/>
          <w:tab w:val="num" w:pos="-720"/>
        </w:tabs>
        <w:rPr>
          <w:lang w:val="es-ES"/>
        </w:rPr>
      </w:pPr>
      <w:r>
        <w:rPr>
          <w:lang w:val="es-ES"/>
        </w:rPr>
        <w:t>Colaborar con el País en la elaboración de los informes y planes de ejecución de tramos previstos en el Apéndice 4‑A;</w:t>
      </w:r>
    </w:p>
    <w:p w14:paraId="0D40EE5F" w14:textId="77777777" w:rsidR="00B43A6B" w:rsidRPr="009556E6" w:rsidRDefault="00B43A6B" w:rsidP="00B43A6B">
      <w:pPr>
        <w:pStyle w:val="Heading2"/>
        <w:tabs>
          <w:tab w:val="clear" w:pos="0"/>
          <w:tab w:val="num" w:pos="-720"/>
        </w:tabs>
        <w:rPr>
          <w:lang w:val="es-ES"/>
        </w:rPr>
      </w:pPr>
      <w:r>
        <w:rPr>
          <w:lang w:val="es-ES"/>
        </w:rPr>
        <w:t>Proporcionar al Comité Ejecutivo verificación independiente de haberse alcanzado los Objetivos y completado las actividades asociadas del tramo, como se indica en el Plan de Ejecución del Tramo, de conformidad con el Apéndice 4‑A;</w:t>
      </w:r>
    </w:p>
    <w:p w14:paraId="0F05707B" w14:textId="77777777" w:rsidR="00B43A6B" w:rsidRPr="009556E6" w:rsidRDefault="00B43A6B" w:rsidP="00B43A6B">
      <w:pPr>
        <w:pStyle w:val="Heading2"/>
        <w:tabs>
          <w:tab w:val="clear" w:pos="0"/>
          <w:tab w:val="num" w:pos="-720"/>
        </w:tabs>
        <w:rPr>
          <w:lang w:val="es-ES"/>
        </w:rPr>
      </w:pPr>
      <w:r>
        <w:rPr>
          <w:lang w:val="es-ES"/>
        </w:rPr>
        <w:t>Velar por que las experiencias y avances logrados se reflejen en las actualizaciones del plan general y en los futuros planes de ejecución de tramos, de conformidad con los incisos 1 c) y 1 d) del Apéndice 4‑A;</w:t>
      </w:r>
    </w:p>
    <w:p w14:paraId="5EB8DA7A" w14:textId="77777777" w:rsidR="00B43A6B" w:rsidRPr="009556E6" w:rsidRDefault="00B43A6B" w:rsidP="00B43A6B">
      <w:pPr>
        <w:pStyle w:val="Heading2"/>
        <w:tabs>
          <w:tab w:val="clear" w:pos="0"/>
          <w:tab w:val="num" w:pos="-720"/>
        </w:tabs>
        <w:rPr>
          <w:lang w:val="es-ES"/>
        </w:rPr>
      </w:pPr>
      <w:r>
        <w:rPr>
          <w:lang w:val="es-ES"/>
        </w:rPr>
        <w:t>Presentar al Comité Ejecutivo los informes y planes de ejecución de tramos y los informes sobre el plan general según los requisitos especificados en el Apéndice 4‑A;</w:t>
      </w:r>
    </w:p>
    <w:p w14:paraId="74A25235" w14:textId="77777777" w:rsidR="00B43A6B" w:rsidRPr="009556E6" w:rsidRDefault="00B43A6B" w:rsidP="00B43A6B">
      <w:pPr>
        <w:pStyle w:val="Heading2"/>
        <w:tabs>
          <w:tab w:val="clear" w:pos="0"/>
          <w:tab w:val="num" w:pos="-720"/>
        </w:tabs>
        <w:rPr>
          <w:lang w:val="es-ES"/>
        </w:rPr>
      </w:pPr>
      <w:r>
        <w:rPr>
          <w:lang w:val="es-ES"/>
        </w:rPr>
        <w:t xml:space="preserve">Cuando el tramo final de la financiación se solicite uno o más ejercicios antes del último año para el cual se ha fijado una meta de consumo, los informes anuales de ejecución de tramos y, cuando corresponda, de verificación de la etapa en curso del Plan deberán </w:t>
      </w:r>
      <w:r>
        <w:rPr>
          <w:lang w:val="es-ES"/>
        </w:rPr>
        <w:lastRenderedPageBreak/>
        <w:t>seguirse presentando hasta el término de las actividades previstas y el logro de las metas de consumo de HCFC;</w:t>
      </w:r>
    </w:p>
    <w:p w14:paraId="1238BDEF" w14:textId="77777777" w:rsidR="00B43A6B" w:rsidRPr="009556E6" w:rsidRDefault="00B43A6B" w:rsidP="00B43A6B">
      <w:pPr>
        <w:pStyle w:val="Heading2"/>
        <w:tabs>
          <w:tab w:val="clear" w:pos="0"/>
          <w:tab w:val="num" w:pos="-720"/>
        </w:tabs>
        <w:rPr>
          <w:lang w:val="es-ES"/>
        </w:rPr>
      </w:pPr>
      <w:r>
        <w:rPr>
          <w:lang w:val="es-ES"/>
        </w:rPr>
        <w:t>Velar por que las evaluaciones técnicas las realicen expertos independientes calificados;</w:t>
      </w:r>
    </w:p>
    <w:p w14:paraId="25DB24E9" w14:textId="77777777" w:rsidR="00B43A6B" w:rsidRPr="009556E6" w:rsidRDefault="00B43A6B" w:rsidP="00B43A6B">
      <w:pPr>
        <w:pStyle w:val="Heading2"/>
        <w:tabs>
          <w:tab w:val="clear" w:pos="0"/>
          <w:tab w:val="num" w:pos="-720"/>
        </w:tabs>
        <w:rPr>
          <w:lang w:val="es-ES"/>
        </w:rPr>
      </w:pPr>
      <w:r>
        <w:rPr>
          <w:lang w:val="es-ES"/>
        </w:rPr>
        <w:t>Llevar a cabo las labores de supervisión que sean necesarias;</w:t>
      </w:r>
    </w:p>
    <w:p w14:paraId="6323C321" w14:textId="77777777" w:rsidR="00B43A6B" w:rsidRPr="009556E6" w:rsidRDefault="00B43A6B" w:rsidP="00B43A6B">
      <w:pPr>
        <w:pStyle w:val="Heading2"/>
        <w:tabs>
          <w:tab w:val="clear" w:pos="0"/>
          <w:tab w:val="num" w:pos="-720"/>
        </w:tabs>
        <w:rPr>
          <w:lang w:val="es-ES"/>
        </w:rPr>
      </w:pPr>
      <w:r>
        <w:rPr>
          <w:lang w:val="es-ES"/>
        </w:rPr>
        <w:t>Cerciorarse de que exista un mecanismo operativo que permita una ejecución eficaz y transparente del plan de ejecución de tramo y la notificación de datos precisos;</w:t>
      </w:r>
    </w:p>
    <w:p w14:paraId="6E01A393" w14:textId="77777777" w:rsidR="00B43A6B" w:rsidRPr="009556E6" w:rsidRDefault="00B43A6B" w:rsidP="00B43A6B">
      <w:pPr>
        <w:pStyle w:val="Heading2"/>
        <w:tabs>
          <w:tab w:val="clear" w:pos="0"/>
          <w:tab w:val="num" w:pos="-720"/>
        </w:tabs>
        <w:rPr>
          <w:lang w:val="es-ES"/>
        </w:rPr>
      </w:pPr>
      <w:r>
        <w:rPr>
          <w:lang w:val="es-ES"/>
        </w:rPr>
        <w:t>De reducirse los fondos en razón del incumplimiento previsto en el párrafo 11 del Acuerdo, asignar las reducciones a las distintas partidas presupuestarias y financiación del Organismo de Ejecución Principal, en consulta con el País;</w:t>
      </w:r>
    </w:p>
    <w:p w14:paraId="4FED2F65" w14:textId="77777777" w:rsidR="00B43A6B" w:rsidRPr="009556E6" w:rsidRDefault="00B43A6B" w:rsidP="00B43A6B">
      <w:pPr>
        <w:pStyle w:val="Heading2"/>
        <w:tabs>
          <w:tab w:val="clear" w:pos="0"/>
          <w:tab w:val="num" w:pos="-720"/>
        </w:tabs>
        <w:rPr>
          <w:lang w:val="es-ES"/>
        </w:rPr>
      </w:pPr>
      <w:r>
        <w:rPr>
          <w:lang w:val="es-ES"/>
        </w:rPr>
        <w:t>Asegurar que los desembolsos hechos al País se basen en el uso de los indicadores;</w:t>
      </w:r>
    </w:p>
    <w:p w14:paraId="59400C3B" w14:textId="77777777" w:rsidR="00B43A6B" w:rsidRPr="009556E6" w:rsidRDefault="00B43A6B" w:rsidP="00B43A6B">
      <w:pPr>
        <w:pStyle w:val="Heading2"/>
        <w:tabs>
          <w:tab w:val="clear" w:pos="0"/>
          <w:tab w:val="num" w:pos="-720"/>
        </w:tabs>
        <w:rPr>
          <w:lang w:val="es-ES"/>
        </w:rPr>
      </w:pPr>
      <w:r>
        <w:rPr>
          <w:lang w:val="es-ES"/>
        </w:rPr>
        <w:t>Brindar asistencia en materia de políticas, gestión y apoyo técnico, según sea necesario; y</w:t>
      </w:r>
    </w:p>
    <w:p w14:paraId="09222BC6" w14:textId="77777777" w:rsidR="00B43A6B" w:rsidRPr="009556E6" w:rsidRDefault="00B43A6B" w:rsidP="00B43A6B">
      <w:pPr>
        <w:pStyle w:val="Heading2"/>
        <w:tabs>
          <w:tab w:val="clear" w:pos="0"/>
          <w:tab w:val="num" w:pos="-720"/>
        </w:tabs>
        <w:rPr>
          <w:lang w:val="es-ES"/>
        </w:rPr>
      </w:pPr>
      <w:r>
        <w:rPr>
          <w:lang w:val="es-ES"/>
        </w:rPr>
        <w:t>Liberación oportuna de fondos al País/empresas participantes para terminar las actividades relacionadas con el proyecto.</w:t>
      </w:r>
    </w:p>
    <w:p w14:paraId="7EF5F376" w14:textId="77777777" w:rsidR="00B43A6B" w:rsidRPr="009556E6" w:rsidRDefault="00B43A6B" w:rsidP="00B43A6B">
      <w:pPr>
        <w:pStyle w:val="Heading1"/>
        <w:rPr>
          <w:lang w:val="es-ES"/>
        </w:rPr>
      </w:pPr>
      <w:r>
        <w:rPr>
          <w:lang w:val="es-ES"/>
        </w:rPr>
        <w:t>En consulta con el País, y tomando en cuenta sus puntos de vista, el Organismo de Ejecución Principal seleccionará y encomendará a una entidad independiente la verificación de los resultados del Plan y del consumo de las Sustancias indicadas en el Apéndice 1‑A, según lo previsto en los incisos 5 b) del Acuerdo y 1 b) del Apéndice 4‑A.</w:t>
      </w:r>
    </w:p>
    <w:p w14:paraId="3C8A0056" w14:textId="77777777" w:rsidR="00B43A6B" w:rsidRPr="009556E6" w:rsidRDefault="00B43A6B" w:rsidP="00B43A6B">
      <w:pPr>
        <w:keepNext/>
        <w:spacing w:before="360" w:after="240"/>
        <w:rPr>
          <w:b/>
          <w:lang w:val="es-ES"/>
        </w:rPr>
      </w:pPr>
      <w:r>
        <w:rPr>
          <w:b/>
          <w:lang w:val="es-ES"/>
        </w:rPr>
        <w:t>APÉNDICE 7‑A: REDUCCIÓN DE LA FINANCIACIÓN EN CASO DE INCUMPLIMIENTO</w:t>
      </w:r>
    </w:p>
    <w:p w14:paraId="153BB07F" w14:textId="77777777" w:rsidR="00B43A6B" w:rsidRPr="00091AF1" w:rsidRDefault="00B43A6B" w:rsidP="00091AF1">
      <w:pPr>
        <w:pStyle w:val="Heading1"/>
        <w:numPr>
          <w:ilvl w:val="0"/>
          <w:numId w:val="23"/>
        </w:numPr>
        <w:rPr>
          <w:lang w:val="es-ES"/>
        </w:rPr>
      </w:pPr>
      <w:r w:rsidRPr="00091AF1">
        <w:rPr>
          <w:lang w:val="es-ES"/>
        </w:rPr>
        <w:t>Conforme al párrafo 11 del Acuerdo, la financiación proporcionada podrá reducirse en USD 180 por kg PAO de consumo que exceda el nivel definido en el renglón 1.2 del Apéndice 2‑A para cada año en que no se cumpla la meta especificada en el renglón 1.2 del Apéndice 2‑A. La reducción máxima no excederá la financiación total del tramo solicitado, aunque podrán estudiarse otras medidas cuando el incumplimiento se prolongue durante dos años consecutivos.</w:t>
      </w:r>
    </w:p>
    <w:p w14:paraId="146CA203" w14:textId="2723E5F4" w:rsidR="00B43A6B" w:rsidRPr="009556E6" w:rsidRDefault="00B43A6B" w:rsidP="00795A44">
      <w:pPr>
        <w:pStyle w:val="Heading1"/>
        <w:rPr>
          <w:lang w:val="es-ES"/>
        </w:rPr>
        <w:sectPr w:rsidR="00B43A6B" w:rsidRPr="009556E6" w:rsidSect="0098063E">
          <w:headerReference w:type="even" r:id="rId24"/>
          <w:headerReference w:type="default"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pPr>
      <w:r>
        <w:rPr>
          <w:lang w:val="es-ES"/>
        </w:rPr>
        <w:t>Cuando corresponda sancionar en un año en que estén vigentes dos Acuerdos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la sanción de mayor cuantía.</w:t>
      </w:r>
    </w:p>
    <w:p w14:paraId="33FDFBE8" w14:textId="7056FD59" w:rsidR="00CB0432" w:rsidRPr="009556E6" w:rsidRDefault="00CB0432" w:rsidP="00795A44">
      <w:pPr>
        <w:spacing w:before="360" w:after="240"/>
        <w:jc w:val="center"/>
        <w:rPr>
          <w:b/>
          <w:bCs/>
          <w:lang w:val="es-ES"/>
        </w:rPr>
      </w:pPr>
      <w:r>
        <w:rPr>
          <w:b/>
          <w:bCs/>
          <w:lang w:val="es-ES"/>
        </w:rPr>
        <w:lastRenderedPageBreak/>
        <w:t>Anexo </w:t>
      </w:r>
      <w:r>
        <w:rPr>
          <w:b/>
          <w:lang w:val="es-ES"/>
        </w:rPr>
        <w:t>II</w:t>
      </w:r>
    </w:p>
    <w:p w14:paraId="31B5D30A" w14:textId="3C796317" w:rsidR="00CB0432" w:rsidRPr="009556E6" w:rsidRDefault="00CB0432" w:rsidP="00CB0432">
      <w:pPr>
        <w:jc w:val="center"/>
        <w:rPr>
          <w:b/>
          <w:bCs/>
          <w:lang w:val="es-ES"/>
        </w:rPr>
      </w:pPr>
      <w:r>
        <w:rPr>
          <w:b/>
          <w:bCs/>
          <w:shd w:val="clear" w:color="auto" w:fill="FFFFFF" w:themeFill="background1"/>
          <w:lang w:val="es-ES"/>
        </w:rPr>
        <w:t xml:space="preserve">PROYECTO </w:t>
      </w:r>
      <w:r>
        <w:rPr>
          <w:b/>
          <w:bCs/>
          <w:lang w:val="es-ES"/>
        </w:rPr>
        <w:t>DE ACUERDO ENTRE EL GOBIERNO DE SANTO TOMÉ Y PRÍNCIPE</w:t>
      </w:r>
    </w:p>
    <w:p w14:paraId="276E05B8" w14:textId="77777777" w:rsidR="00CB0432" w:rsidRPr="009556E6" w:rsidRDefault="00CB0432" w:rsidP="00CB0432">
      <w:pPr>
        <w:jc w:val="center"/>
        <w:rPr>
          <w:b/>
          <w:bCs/>
          <w:lang w:val="es-ES"/>
        </w:rPr>
      </w:pPr>
      <w:r>
        <w:rPr>
          <w:b/>
          <w:bCs/>
          <w:lang w:val="es-ES"/>
        </w:rPr>
        <w:t>Y EL COMITÉ EJECUTIVO DEL FONDO MULTILATERAL</w:t>
      </w:r>
    </w:p>
    <w:p w14:paraId="42DE2A94" w14:textId="77777777" w:rsidR="00CB0432" w:rsidRPr="009556E6" w:rsidRDefault="00CB0432" w:rsidP="00CB0432">
      <w:pPr>
        <w:jc w:val="center"/>
        <w:rPr>
          <w:b/>
          <w:bCs/>
          <w:lang w:val="es-ES"/>
        </w:rPr>
      </w:pPr>
      <w:r>
        <w:rPr>
          <w:b/>
          <w:bCs/>
          <w:lang w:val="es-ES"/>
        </w:rPr>
        <w:t>PARA LA REDUCCIÓN DEL CONSUMO DE HIDROFLUOROCARBONOS</w:t>
      </w:r>
    </w:p>
    <w:p w14:paraId="60143539" w14:textId="77777777" w:rsidR="00CB0432" w:rsidRPr="009556E6" w:rsidRDefault="00CB0432" w:rsidP="00CB0432">
      <w:pPr>
        <w:spacing w:after="120"/>
        <w:jc w:val="center"/>
        <w:rPr>
          <w:b/>
          <w:bCs/>
          <w:lang w:val="es-ES"/>
        </w:rPr>
      </w:pPr>
      <w:r>
        <w:rPr>
          <w:b/>
          <w:bCs/>
          <w:lang w:val="es-ES"/>
        </w:rPr>
        <w:t>DE CONFORMIDAD CON LA ETAPA I DEL PLAN DE EJECUCIÓN DE LA ENMIENDA DE KIGALI RELATIVA A LOS HFC</w:t>
      </w:r>
    </w:p>
    <w:p w14:paraId="024AB429" w14:textId="77777777" w:rsidR="00CB0432" w:rsidRPr="00BE38DF" w:rsidRDefault="00CB0432" w:rsidP="00CB0432">
      <w:pPr>
        <w:spacing w:after="240"/>
        <w:jc w:val="center"/>
        <w:rPr>
          <w:b/>
          <w:bCs/>
        </w:rPr>
      </w:pPr>
      <w:r>
        <w:rPr>
          <w:b/>
          <w:bCs/>
        </w:rPr>
        <w:t>(Período: 2026–2029)</w:t>
      </w:r>
    </w:p>
    <w:p w14:paraId="06EE4451" w14:textId="77777777" w:rsidR="00CB0432" w:rsidRPr="00BE38DF" w:rsidRDefault="00CB0432" w:rsidP="00CB0432">
      <w:pPr>
        <w:shd w:val="clear" w:color="auto" w:fill="FFFFFF" w:themeFill="background1"/>
        <w:spacing w:after="240"/>
        <w:rPr>
          <w:b/>
          <w:bCs/>
        </w:rPr>
      </w:pPr>
      <w:r>
        <w:rPr>
          <w:b/>
          <w:bCs/>
        </w:rPr>
        <w:t>Objetivo</w:t>
      </w:r>
    </w:p>
    <w:p w14:paraId="7DBF8C79" w14:textId="520D80CB" w:rsidR="00CB0432" w:rsidRPr="009556E6" w:rsidRDefault="00CB0432" w:rsidP="00DE2C96">
      <w:pPr>
        <w:pStyle w:val="Heading1"/>
        <w:numPr>
          <w:ilvl w:val="0"/>
          <w:numId w:val="9"/>
        </w:numPr>
        <w:rPr>
          <w:lang w:val="es-ES"/>
        </w:rPr>
      </w:pPr>
      <w:r>
        <w:rPr>
          <w:lang w:val="es-ES"/>
        </w:rPr>
        <w:t>El presente Acuerdo constituye el compromiso entre el Gobierno de Santo Tomé y Príncipe (“el País”) y el Comité Ejecutivo con respecto a la reducción de los usos controlados de las sustancias del Anexo F que figuran en el Apéndice 1‑A (“las Sustancias”) hasta un nivel sostenido de 35.066 toneladas de CO</w:t>
      </w:r>
      <w:r>
        <w:rPr>
          <w:vertAlign w:val="subscript"/>
          <w:lang w:val="es-ES"/>
        </w:rPr>
        <w:t>2</w:t>
      </w:r>
      <w:r>
        <w:rPr>
          <w:lang w:val="es-ES"/>
        </w:rPr>
        <w:t xml:space="preserve"> equivalente a más tardar el 1 de enero de 2029, de conformidad con el calendario del Protocolo de Montreal y los términos del presente Acuerdo.</w:t>
      </w:r>
    </w:p>
    <w:p w14:paraId="387D05DE" w14:textId="460E6FB6" w:rsidR="00CB0432" w:rsidRPr="009556E6" w:rsidRDefault="00CB0432" w:rsidP="00CB0432">
      <w:pPr>
        <w:pStyle w:val="Heading1"/>
        <w:rPr>
          <w:lang w:val="es-ES"/>
        </w:rPr>
      </w:pPr>
      <w:r>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el renglón 1.2 del Apéndice 2‑A como medida de reducción final conforme a este Acuerdo para todas las sustancias del Anexo F especificadas en el Apéndice 1‑A.</w:t>
      </w:r>
    </w:p>
    <w:p w14:paraId="2F56F363" w14:textId="77777777" w:rsidR="00CB0432" w:rsidRPr="009556E6" w:rsidRDefault="00CB0432" w:rsidP="00CB0432">
      <w:pPr>
        <w:pStyle w:val="Heading1"/>
        <w:rPr>
          <w:lang w:val="es-ES"/>
        </w:rPr>
      </w:pPr>
      <w:r>
        <w:rPr>
          <w:lang w:val="es-ES"/>
        </w:rPr>
        <w:t>Con sujeción al cumplimiento por parte del País de las obligaciones estipuladas en este Acuerdo, el Comité Ejecutivo conviene, en principio, en proporcionar al País la financiación indicada en el renglón 3.1 del Apéndice 2‑A. El Comité Ejecutivo proporcionará dicha financiación, en principio, durante las reuniones del Comité que señala el Apéndice 3‑A (“Cronograma de aprobación de la financiación”).</w:t>
      </w:r>
    </w:p>
    <w:p w14:paraId="35C3D95C" w14:textId="77777777" w:rsidR="00CB0432" w:rsidRPr="009556E6" w:rsidRDefault="00CB0432" w:rsidP="00CB0432">
      <w:pPr>
        <w:pStyle w:val="Heading1"/>
        <w:rPr>
          <w:lang w:val="es-ES"/>
        </w:rPr>
      </w:pPr>
      <w:r>
        <w:rPr>
          <w:lang w:val="es-ES"/>
        </w:rPr>
        <w:t>El País acepta aplicar este Acuerdo conforme a la etapa I del plan de aplicación de la Enmienda de Kigali relativa a los HFC (“el Plan”) tal como se aprobó. Conforme al inciso 5 b) de este Acuerdo, el País aceptará la verificación independiente del logro de los límites anuales de consumo de las sustancias del Anexo F que se estipulan en el renglón 1.2 del Apéndice 2‑A de este Acuerdo. La verificación mencionada será encomendada por el organismo bilateral o de ejecución pertinente.</w:t>
      </w:r>
    </w:p>
    <w:p w14:paraId="35766155" w14:textId="77777777" w:rsidR="00CB0432" w:rsidRPr="009556E6" w:rsidRDefault="00CB0432" w:rsidP="00CB0432">
      <w:pPr>
        <w:spacing w:before="240" w:after="240"/>
        <w:rPr>
          <w:b/>
          <w:bCs/>
          <w:lang w:val="es-ES"/>
        </w:rPr>
      </w:pPr>
      <w:r>
        <w:rPr>
          <w:b/>
          <w:bCs/>
          <w:lang w:val="es-ES"/>
        </w:rPr>
        <w:t>Condiciones para la liberación de la financiación</w:t>
      </w:r>
    </w:p>
    <w:p w14:paraId="1980DB97" w14:textId="5408332F" w:rsidR="00CB0432" w:rsidRPr="009556E6" w:rsidRDefault="00CB0432" w:rsidP="00CB0432">
      <w:pPr>
        <w:pStyle w:val="Heading1"/>
        <w:rPr>
          <w:lang w:val="es-ES"/>
        </w:rPr>
      </w:pPr>
      <w:r>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7F74DDEF" w14:textId="77777777" w:rsidR="00CB0432" w:rsidRPr="009556E6" w:rsidRDefault="00CB0432" w:rsidP="00CB0432">
      <w:pPr>
        <w:pStyle w:val="Heading2"/>
        <w:rPr>
          <w:lang w:val="es-ES"/>
        </w:rPr>
      </w:pPr>
      <w:r>
        <w:rPr>
          <w:lang w:val="es-ES"/>
        </w:rPr>
        <w:t>Que el País haya cumplido los Objetivos estipuladas en el renglón 1.2 del Apéndice 2‑A para todos los años pertinentes. Los años pertinentes son todos los años transcurridos desde el año en que se aprobó el presente Acuerdo, salvo aquellos para los que no existan informes de ejecución del programa de país pendientes a la fecha de la reunión del Comité Ejecutivo en que se presenta la solicitud de financiación;</w:t>
      </w:r>
    </w:p>
    <w:p w14:paraId="41730EDD" w14:textId="77777777" w:rsidR="00CB0432" w:rsidRPr="009556E6" w:rsidRDefault="00CB0432" w:rsidP="00CB0432">
      <w:pPr>
        <w:pStyle w:val="Heading2"/>
        <w:rPr>
          <w:lang w:val="es-ES"/>
        </w:rPr>
      </w:pPr>
      <w:r>
        <w:rPr>
          <w:lang w:val="es-ES"/>
        </w:rPr>
        <w:t>Que salvo que el Comité Ejecutivo indique que no es necesario, una entidad independiente haya verificado el cumplimiento de los Objetivos para todos los años pertinentes;</w:t>
      </w:r>
    </w:p>
    <w:p w14:paraId="760E03A2" w14:textId="77777777" w:rsidR="00CB0432" w:rsidRPr="009556E6" w:rsidRDefault="00CB0432" w:rsidP="00CB0432">
      <w:pPr>
        <w:pStyle w:val="Heading2"/>
        <w:rPr>
          <w:lang w:val="es-ES"/>
        </w:rPr>
      </w:pPr>
      <w:r>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 y</w:t>
      </w:r>
    </w:p>
    <w:p w14:paraId="12AE4568" w14:textId="77777777" w:rsidR="00CB0432" w:rsidRPr="009556E6" w:rsidRDefault="00CB0432" w:rsidP="00CB0432">
      <w:pPr>
        <w:pStyle w:val="Heading2"/>
        <w:rPr>
          <w:lang w:val="es-ES"/>
        </w:rPr>
      </w:pPr>
      <w:r>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2A95B75" w14:textId="77777777" w:rsidR="00CB0432" w:rsidRPr="00BE38DF" w:rsidRDefault="00CB0432" w:rsidP="00CB0432">
      <w:pPr>
        <w:spacing w:before="240" w:after="240"/>
        <w:rPr>
          <w:b/>
          <w:bCs/>
        </w:rPr>
      </w:pPr>
      <w:r>
        <w:rPr>
          <w:b/>
          <w:bCs/>
        </w:rPr>
        <w:t>Supervisión</w:t>
      </w:r>
    </w:p>
    <w:p w14:paraId="76266594" w14:textId="77777777" w:rsidR="00CB0432" w:rsidRPr="009556E6" w:rsidRDefault="00CB0432" w:rsidP="00CB0432">
      <w:pPr>
        <w:pStyle w:val="Heading1"/>
        <w:rPr>
          <w:lang w:val="es-ES"/>
        </w:rPr>
      </w:pPr>
      <w:r>
        <w:rPr>
          <w:lang w:val="es-ES"/>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3A13C2F2" w14:textId="77777777" w:rsidR="00CB0432" w:rsidRPr="009556E6" w:rsidRDefault="00CB0432" w:rsidP="00CB0432">
      <w:pPr>
        <w:spacing w:before="240" w:after="240"/>
        <w:rPr>
          <w:b/>
          <w:bCs/>
          <w:lang w:val="es-ES"/>
        </w:rPr>
      </w:pPr>
      <w:r>
        <w:rPr>
          <w:b/>
          <w:bCs/>
          <w:lang w:val="es-ES"/>
        </w:rPr>
        <w:t>Flexibilidad en la reasignación de fondos</w:t>
      </w:r>
    </w:p>
    <w:p w14:paraId="232A9236" w14:textId="77777777" w:rsidR="00CB0432" w:rsidRPr="009556E6" w:rsidRDefault="00CB0432" w:rsidP="00CB0432">
      <w:pPr>
        <w:pStyle w:val="Heading1"/>
        <w:rPr>
          <w:lang w:val="es-ES"/>
        </w:rPr>
      </w:pPr>
      <w:r>
        <w:rPr>
          <w:lang w:val="es-ES"/>
        </w:rPr>
        <w:t>El Comité Ejecutivo conviene en que el País podrá tener flexibilidad para reasignar parte o la totalidad de los fondos aprobados según la evolución de las circunstancias, para lograr la reducción del consumo y la reducción gradual más ágil posible de las sustancias del Anexo F especificadas en el Apéndice 1‑A de acuerdo con las consideraciones siguientes:</w:t>
      </w:r>
    </w:p>
    <w:p w14:paraId="3337E25B" w14:textId="6752F614" w:rsidR="00CB0432" w:rsidRPr="00BE38DF" w:rsidRDefault="00CB0432" w:rsidP="00CB0432">
      <w:pPr>
        <w:pStyle w:val="Heading2"/>
      </w:pPr>
      <w:r>
        <w:rPr>
          <w:lang w:val="es-ES"/>
        </w:rPr>
        <w:t xml:space="preserve">Las reasignaciones que supongan cambios significativos deberán documentarse por anticipado en el Plan de Ejecución del Tramo previsto en el inciso 5 d), o bien como revisión de un Plan de Ejecución de Tramo existente que deberá presentarse a aprobación 10 semanas antes de la reunión correspondiente del Comité Ejecutivo. </w:t>
      </w:r>
      <w:r>
        <w:t>Por cambios significativos se entienden:</w:t>
      </w:r>
    </w:p>
    <w:p w14:paraId="01F39481" w14:textId="77777777" w:rsidR="00CB0432" w:rsidRPr="009556E6" w:rsidRDefault="00CB0432" w:rsidP="00CB0432">
      <w:pPr>
        <w:pStyle w:val="Heading3"/>
        <w:rPr>
          <w:lang w:val="es-ES"/>
        </w:rPr>
      </w:pPr>
      <w:r>
        <w:rPr>
          <w:lang w:val="es-ES"/>
        </w:rPr>
        <w:t xml:space="preserve">Materias que pudieran afectar el reglamento y las políticas del Fondo Multilateral; </w:t>
      </w:r>
    </w:p>
    <w:p w14:paraId="7894CB5D" w14:textId="77777777" w:rsidR="00CB0432" w:rsidRPr="009556E6" w:rsidRDefault="00CB0432" w:rsidP="00CB0432">
      <w:pPr>
        <w:pStyle w:val="Heading3"/>
        <w:rPr>
          <w:lang w:val="es-ES"/>
        </w:rPr>
      </w:pPr>
      <w:r>
        <w:rPr>
          <w:lang w:val="es-ES"/>
        </w:rPr>
        <w:t xml:space="preserve">Cambios que modifiquen cláusulas de este Acuerdo; </w:t>
      </w:r>
    </w:p>
    <w:p w14:paraId="7F4A98F5" w14:textId="77777777" w:rsidR="00CB0432" w:rsidRPr="009556E6" w:rsidRDefault="00CB0432" w:rsidP="00CB0432">
      <w:pPr>
        <w:pStyle w:val="Heading3"/>
        <w:rPr>
          <w:lang w:val="es-ES"/>
        </w:rPr>
      </w:pPr>
      <w:r>
        <w:rPr>
          <w:lang w:val="es-ES"/>
        </w:rPr>
        <w:t>Cambios en los niveles anuales de financiación asignados a cada organismo bilateral o de ejecución para los distintos tramos;</w:t>
      </w:r>
    </w:p>
    <w:p w14:paraId="6BDAEE9B" w14:textId="77777777" w:rsidR="00CB0432" w:rsidRPr="009556E6" w:rsidRDefault="00CB0432" w:rsidP="00CB0432">
      <w:pPr>
        <w:pStyle w:val="Heading3"/>
        <w:rPr>
          <w:lang w:val="es-ES"/>
        </w:rPr>
      </w:pPr>
      <w:r>
        <w:rPr>
          <w:lang w:val="es-ES"/>
        </w:rPr>
        <w:t>La entrega de financiación a actividades no contempladas en el Plan de Ejecución de Tramo en curso avalado o la eliminación de una actividad del Plan de Ejecución de Tramo, con un costo mayor al 30 % del costo total del último tramo aprobado;</w:t>
      </w:r>
    </w:p>
    <w:p w14:paraId="49009709" w14:textId="77777777" w:rsidR="00CB0432" w:rsidRPr="009556E6" w:rsidRDefault="00CB0432" w:rsidP="00CB0432">
      <w:pPr>
        <w:pStyle w:val="Heading3"/>
        <w:rPr>
          <w:lang w:val="es-ES"/>
        </w:rPr>
      </w:pPr>
      <w:r>
        <w:rPr>
          <w:lang w:val="es-ES"/>
        </w:rPr>
        <w:t>Cambios en las tecnologías alternativas, en el entendido de que cualquier presentación de una solicitud de ese tipo deberá precisar los respectivos sobrecostos, impacto climático potencial y diferencia en toneladas de CO</w:t>
      </w:r>
      <w:r>
        <w:rPr>
          <w:vertAlign w:val="subscript"/>
          <w:lang w:val="es-ES"/>
        </w:rPr>
        <w:t>2</w:t>
      </w:r>
      <w:r>
        <w:rPr>
          <w:lang w:val="es-ES"/>
        </w:rPr>
        <w:t xml:space="preserve"> equivalente a reducir si es aplicable, y confirmar que el País conviene en que el menor costo de la tecnología redundará en una disminución equivalente en el nivel general de financiación prevista en este Acuerdo;</w:t>
      </w:r>
    </w:p>
    <w:p w14:paraId="36AF0F4F" w14:textId="55622381" w:rsidR="00CB0432" w:rsidRPr="004C571B" w:rsidRDefault="00CB0432" w:rsidP="00CB0432">
      <w:pPr>
        <w:pStyle w:val="Heading2"/>
        <w:rPr>
          <w:lang w:val="es-ES"/>
        </w:rPr>
      </w:pPr>
      <w:r>
        <w:rPr>
          <w:lang w:val="es-ES"/>
        </w:rPr>
        <w:t>Las reasignaciones que no supongan cambios significativos podrán incorporarse al Plan de Ejecución de Tramo aprobado en curso y notificarse al Comité Ejecutivo en el siguiente Informe de Ejecución de Tramo; y</w:t>
      </w:r>
    </w:p>
    <w:p w14:paraId="79FBEB1B" w14:textId="77777777" w:rsidR="00CB0432" w:rsidRPr="004C571B" w:rsidRDefault="00CB0432" w:rsidP="00CB0432">
      <w:pPr>
        <w:pStyle w:val="Heading2"/>
        <w:rPr>
          <w:lang w:val="es-ES"/>
        </w:rPr>
      </w:pPr>
      <w:r>
        <w:rPr>
          <w:lang w:val="es-ES"/>
        </w:rPr>
        <w:lastRenderedPageBreak/>
        <w:t>Todo saldo que obre en poder de los organismos bilaterales o de ejecución o del País al concluir el último tramo previsto en este Acuerdo deberá ser reintegrado al Fondo Multilateral.</w:t>
      </w:r>
    </w:p>
    <w:p w14:paraId="50776577" w14:textId="77777777" w:rsidR="00CB0432" w:rsidRPr="004C571B" w:rsidRDefault="00CB0432" w:rsidP="00CB0432">
      <w:pPr>
        <w:pStyle w:val="Heading1"/>
        <w:rPr>
          <w:lang w:val="es-ES"/>
        </w:rPr>
      </w:pPr>
      <w:r>
        <w:rPr>
          <w:lang w:val="es-ES"/>
        </w:rPr>
        <w:t>Se prestará especial atención a la ejecución de actividades en el sector de servicio técnico de equipos de refrigeración incluidas en el Plan, en particular que el País podrá utilizar la flexibilidad disponible en virtud de este Acuerdo para abordar las necesidades específicas que pudieran surgir durante la ejecución del proyecto.</w:t>
      </w:r>
    </w:p>
    <w:p w14:paraId="0F7C6D69" w14:textId="77777777" w:rsidR="00CB0432" w:rsidRPr="00BE38DF" w:rsidRDefault="00CB0432" w:rsidP="00CB0432">
      <w:pPr>
        <w:spacing w:before="240" w:after="240"/>
        <w:rPr>
          <w:b/>
          <w:bCs/>
        </w:rPr>
      </w:pPr>
      <w:r>
        <w:rPr>
          <w:b/>
          <w:bCs/>
        </w:rPr>
        <w:t>Organismos bilaterales y de ejecución</w:t>
      </w:r>
    </w:p>
    <w:p w14:paraId="337E0D31" w14:textId="2879C367" w:rsidR="00CB0432" w:rsidRPr="004C571B" w:rsidRDefault="00CB0432" w:rsidP="00CB0432">
      <w:pPr>
        <w:pStyle w:val="Heading1"/>
        <w:rPr>
          <w:lang w:val="es-ES"/>
        </w:rPr>
      </w:pPr>
      <w:r>
        <w:rPr>
          <w:lang w:val="es-ES"/>
        </w:rPr>
        <w:t>El País se compromete a asumir la responsabilidad general de la gestión y la ejecución del presente Acuerdo, así como de todas las actividades emprendidas por él o en su nombre para cumplir las obligaciones derivadas del mismo. El PNUMA ha aceptado actuar como principal organismo de ejecución (el “Organismo de Ejecución Principal”) en lo que respecta a las actividades del País en el marco del presente Acuerdo. El País acepta que se realicen evaluaciones, que podrían llevarse a cabo en el marco del programa de trabajo de evaluación del Fondo Multilateral o del programa de evaluación del Organismo de Ejecución Principal que participa en el presente Acuerdo.</w:t>
      </w:r>
    </w:p>
    <w:p w14:paraId="05CCE58C" w14:textId="0BE366D2" w:rsidR="00CB0432" w:rsidRPr="004C571B" w:rsidRDefault="00CB0432" w:rsidP="00CB0432">
      <w:pPr>
        <w:pStyle w:val="Heading1"/>
        <w:rPr>
          <w:lang w:val="es-ES"/>
        </w:rPr>
      </w:pPr>
      <w:r>
        <w:rPr>
          <w:lang w:val="es-ES"/>
        </w:rPr>
        <w:t>El Organismo de Ejecución Principal velará por la correcta planificación, ejecución y notificación de toda actividad comprendida en el presente Acuerdo, incluyendo, solo a título ilustrativo, la verificación independiente contemplada en el inciso 5 b). La función del Organismo de Ejecución Principal se describe en el Apéndice 6‑A. El Comité Ejecutivo acuerda, en principio, pagar al Organismo de Ejecución Principal los honorarios que indica el renglón 2.2 del Apéndice 2‑A.</w:t>
      </w:r>
    </w:p>
    <w:p w14:paraId="208EF00C" w14:textId="77777777" w:rsidR="00CB0432" w:rsidRPr="004C571B" w:rsidRDefault="00CB0432" w:rsidP="00CB0432">
      <w:pPr>
        <w:spacing w:before="240" w:after="240"/>
        <w:rPr>
          <w:b/>
          <w:bCs/>
          <w:lang w:val="es-ES"/>
        </w:rPr>
      </w:pPr>
      <w:r>
        <w:rPr>
          <w:b/>
          <w:bCs/>
          <w:lang w:val="es-ES"/>
        </w:rPr>
        <w:t>Incumplimiento de los Objetivos del Acuerdo</w:t>
      </w:r>
    </w:p>
    <w:p w14:paraId="269BBB14" w14:textId="77777777" w:rsidR="00CB0432" w:rsidRPr="004C571B" w:rsidRDefault="00CB0432" w:rsidP="00CB0432">
      <w:pPr>
        <w:pStyle w:val="Heading1"/>
        <w:rPr>
          <w:lang w:val="es-ES"/>
        </w:rPr>
      </w:pPr>
      <w:r>
        <w:rPr>
          <w:lang w:val="es-ES"/>
        </w:rPr>
        <w:t>En caso de que el País, por cualquier motivo, no cumpla los Objetivos de eliminación de las Sustancias del Anexo F establecidas en el renglón 1.2 del Apéndice 2‑A o incumpla de cualquier otra forma el presente Acuerdo, el País acepta que no tendrá derecho a la financiación de conformidad con el cronograma de aprobación de la financiación. A discreción del Comité Ejecutivo, la financiación se restablecerá de acuerdo con un cronograma de aprobación de la financiación revisado, determinado por el Comité Ejecutivo, después de que el País haya demostrado que ha cumplido todas las obligaciones que debía haber cumplido antes de recibir el siguiente tramo de financiación previsto en el cronograma de aprobación de la financiación. El País reconoce que el Comité Ejecutivo podrá reducir el importe del financiamiento en la cuantía establecida en el Apéndice 7‑A (“Reducción del financiamiento por incumplimiento”) por cada kg de CO</w:t>
      </w:r>
      <w:r>
        <w:rPr>
          <w:vertAlign w:val="subscript"/>
          <w:lang w:val="es-ES"/>
        </w:rPr>
        <w:t>2</w:t>
      </w:r>
      <w:r>
        <w:rPr>
          <w:lang w:val="es-ES"/>
        </w:rPr>
        <w:t xml:space="preserve"> equivalente de reducciones en el consumo no alcanzadas en cualquier año. El Comité Ejecutivo examinará cada caso concreto en el que el País no haya cumplido el presente Acuerdo y adoptará las decisiones pertinentes. Una vez adoptadas las decisiones, el caso concreto de incumplimiento con lo estipulado en el Acuerdo no constituirá un impedimento para la concesión de financiamiento para futuros tramos, de conformidad con el párrafo 5 anterior.</w:t>
      </w:r>
    </w:p>
    <w:p w14:paraId="3F64A304" w14:textId="77777777" w:rsidR="00CB0432" w:rsidRPr="004C571B" w:rsidRDefault="00CB0432" w:rsidP="00CB0432">
      <w:pPr>
        <w:pStyle w:val="Heading1"/>
        <w:rPr>
          <w:lang w:val="es-ES"/>
        </w:rPr>
      </w:pPr>
      <w:r>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12CEA580" w14:textId="77EDAB07" w:rsidR="00CB0432" w:rsidRPr="004C571B" w:rsidRDefault="00CB0432" w:rsidP="00CB0432">
      <w:pPr>
        <w:pStyle w:val="Heading1"/>
        <w:rPr>
          <w:lang w:val="es-ES"/>
        </w:rPr>
      </w:pPr>
      <w:r>
        <w:rPr>
          <w:lang w:val="es-ES"/>
        </w:rPr>
        <w:t>El País acatará cualquier petición razonable que realicen el Comité Ejecutivo y el Organismo de Ejecución Principal con vistas a facilitar la ejecución del Acuerdo. En particular, deberá procurar que el Organismo de Ejecución Principal cuente con pleno acceso a la información necesaria para verificar el cumplimiento del mismo.</w:t>
      </w:r>
    </w:p>
    <w:p w14:paraId="1CAFD933" w14:textId="77777777" w:rsidR="00CB0432" w:rsidRPr="00BE38DF" w:rsidRDefault="00CB0432" w:rsidP="00CB0432">
      <w:pPr>
        <w:keepNext/>
        <w:keepLines/>
        <w:spacing w:before="240" w:after="240"/>
        <w:rPr>
          <w:b/>
          <w:bCs/>
        </w:rPr>
      </w:pPr>
      <w:r>
        <w:rPr>
          <w:b/>
          <w:bCs/>
        </w:rPr>
        <w:lastRenderedPageBreak/>
        <w:t>Fecha de finalización</w:t>
      </w:r>
    </w:p>
    <w:p w14:paraId="212C27C3" w14:textId="77777777" w:rsidR="00CB0432" w:rsidRPr="004C571B" w:rsidRDefault="00CB0432" w:rsidP="002B5C42">
      <w:pPr>
        <w:pStyle w:val="Heading1"/>
        <w:keepLines/>
        <w:rPr>
          <w:lang w:val="es-ES"/>
        </w:rPr>
      </w:pPr>
      <w:r>
        <w:rPr>
          <w:lang w:val="es-ES"/>
        </w:rPr>
        <w:t>La finalización del Plan y del Acuerdo asociado tendrá lugar al final del año siguiente al último año para el que se haya especificado un consumo total máximo permitido en el Apéndice 2‑A. En caso de que en ese momento aún queden actividades pendientes, y que estuvieran previstas en el último plan de ejecución del tramo y sus revisiones posteriores, de conformidad con el inciso 5 d) y el párrafo 7, la finalización del Plan se aplazará hasta el final del año siguiente a la ejecución de las actividades restantes. Los requisitos de presentación de informes previstos en los incisos 1 a), 1 b) y 1 d) del Apéndice 4‑A se mantendrán hasta la finalización del Plan, salvo que el Comité Ejecutivo disponga lo contrario.</w:t>
      </w:r>
    </w:p>
    <w:p w14:paraId="35FE1A17" w14:textId="77777777" w:rsidR="00CB0432" w:rsidRPr="00BE38DF" w:rsidRDefault="00CB0432" w:rsidP="002B5C42">
      <w:pPr>
        <w:keepNext/>
        <w:spacing w:before="240" w:after="240"/>
        <w:rPr>
          <w:b/>
          <w:bCs/>
        </w:rPr>
      </w:pPr>
      <w:r>
        <w:rPr>
          <w:b/>
          <w:bCs/>
        </w:rPr>
        <w:t>Validez</w:t>
      </w:r>
    </w:p>
    <w:p w14:paraId="703BAB4F" w14:textId="77777777" w:rsidR="00CB0432" w:rsidRPr="004C571B" w:rsidRDefault="00CB0432" w:rsidP="002B5C42">
      <w:pPr>
        <w:pStyle w:val="Heading1"/>
        <w:keepNext/>
        <w:rPr>
          <w:lang w:val="es-ES"/>
        </w:rPr>
      </w:pPr>
      <w:r>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3C27F66D" w14:textId="77777777" w:rsidR="00CB0432" w:rsidRPr="004C571B" w:rsidRDefault="00CB0432" w:rsidP="00CB0432">
      <w:pPr>
        <w:pStyle w:val="Heading1"/>
        <w:rPr>
          <w:lang w:val="es-ES"/>
        </w:rPr>
      </w:pPr>
      <w:r>
        <w:rPr>
          <w:lang w:val="es-ES"/>
        </w:rPr>
        <w:t>El presente Acuerdo solo podrá modificarse o extinguirse por la voluntad escrita del País y del Comité Ejecutivo del Fondo Multilateral.</w:t>
      </w:r>
    </w:p>
    <w:p w14:paraId="64258FD5" w14:textId="77777777" w:rsidR="00CB0432" w:rsidRPr="00BE38DF" w:rsidRDefault="00CB0432" w:rsidP="00CB0432">
      <w:pPr>
        <w:keepNext/>
        <w:spacing w:before="360" w:after="240"/>
        <w:rPr>
          <w:b/>
          <w:bCs/>
        </w:rPr>
      </w:pPr>
      <w:r>
        <w:rPr>
          <w:b/>
          <w:bCs/>
        </w:rPr>
        <w:t>APÉNDICES</w:t>
      </w:r>
    </w:p>
    <w:p w14:paraId="100BCF39" w14:textId="77777777" w:rsidR="00CB0432" w:rsidRPr="00BE38DF" w:rsidRDefault="00CB0432" w:rsidP="009C5A61">
      <w:pPr>
        <w:keepNext/>
        <w:spacing w:before="360" w:after="240"/>
        <w:rPr>
          <w:b/>
          <w:bCs/>
        </w:rPr>
      </w:pPr>
      <w:r>
        <w:rPr>
          <w:b/>
          <w:bC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CB0432" w:rsidRPr="00B50897" w14:paraId="38FFC2F2" w14:textId="77777777">
        <w:trPr>
          <w:trHeight w:val="413"/>
        </w:trPr>
        <w:tc>
          <w:tcPr>
            <w:tcW w:w="2348" w:type="pct"/>
            <w:vAlign w:val="center"/>
          </w:tcPr>
          <w:p w14:paraId="30198650" w14:textId="77777777" w:rsidR="00CB0432" w:rsidRPr="00BE38DF" w:rsidRDefault="00CB0432">
            <w:pPr>
              <w:keepNext/>
              <w:spacing w:before="40" w:after="40"/>
              <w:jc w:val="center"/>
              <w:rPr>
                <w:b/>
                <w:bCs/>
                <w:sz w:val="20"/>
                <w:szCs w:val="20"/>
              </w:rPr>
            </w:pPr>
            <w:bookmarkStart w:id="23" w:name="_Hlk131268561"/>
            <w:r>
              <w:rPr>
                <w:b/>
                <w:bCs/>
                <w:sz w:val="20"/>
                <w:szCs w:val="20"/>
              </w:rPr>
              <w:t>Sustancias</w:t>
            </w:r>
          </w:p>
        </w:tc>
        <w:tc>
          <w:tcPr>
            <w:tcW w:w="2652" w:type="pct"/>
            <w:vAlign w:val="center"/>
          </w:tcPr>
          <w:p w14:paraId="5E428546" w14:textId="77777777" w:rsidR="00CB0432" w:rsidRPr="004C571B" w:rsidRDefault="00CB0432">
            <w:pPr>
              <w:keepNext/>
              <w:spacing w:before="40" w:after="40"/>
              <w:ind w:left="-112"/>
              <w:jc w:val="center"/>
              <w:rPr>
                <w:b/>
                <w:bCs/>
                <w:sz w:val="20"/>
                <w:szCs w:val="20"/>
                <w:lang w:val="es-ES"/>
              </w:rPr>
            </w:pPr>
            <w:r>
              <w:rPr>
                <w:b/>
                <w:bCs/>
                <w:sz w:val="20"/>
                <w:szCs w:val="20"/>
                <w:lang w:val="es-ES"/>
              </w:rPr>
              <w:t>Punto de partida para reducciones acumulativas del consumo (toneladas de CO</w:t>
            </w:r>
            <w:r>
              <w:rPr>
                <w:b/>
                <w:bCs/>
                <w:sz w:val="20"/>
                <w:szCs w:val="20"/>
                <w:vertAlign w:val="subscript"/>
                <w:lang w:val="es-ES"/>
              </w:rPr>
              <w:t>2</w:t>
            </w:r>
            <w:r>
              <w:rPr>
                <w:b/>
                <w:bCs/>
                <w:sz w:val="20"/>
                <w:szCs w:val="20"/>
                <w:lang w:val="es-ES"/>
              </w:rPr>
              <w:t xml:space="preserve"> equivalente)</w:t>
            </w:r>
            <w:r>
              <w:rPr>
                <w:b/>
                <w:bCs/>
                <w:sz w:val="20"/>
                <w:szCs w:val="20"/>
                <w:lang w:val="es-ES"/>
              </w:rPr>
              <w:br/>
            </w:r>
          </w:p>
        </w:tc>
      </w:tr>
      <w:bookmarkEnd w:id="23"/>
      <w:tr w:rsidR="00CB0432" w:rsidRPr="00BE38DF" w14:paraId="319FF522" w14:textId="77777777" w:rsidTr="007861A3">
        <w:trPr>
          <w:trHeight w:val="206"/>
        </w:trPr>
        <w:tc>
          <w:tcPr>
            <w:tcW w:w="2348" w:type="pct"/>
            <w:shd w:val="clear" w:color="auto" w:fill="FFFFFF" w:themeFill="background1"/>
            <w:vAlign w:val="center"/>
          </w:tcPr>
          <w:p w14:paraId="46E682B3" w14:textId="77777777" w:rsidR="00CB0432" w:rsidRPr="00BE38DF" w:rsidRDefault="00CB0432">
            <w:pPr>
              <w:spacing w:before="40" w:after="40"/>
              <w:jc w:val="left"/>
              <w:rPr>
                <w:sz w:val="20"/>
                <w:szCs w:val="20"/>
              </w:rPr>
            </w:pPr>
            <w:r>
              <w:rPr>
                <w:sz w:val="20"/>
                <w:szCs w:val="20"/>
              </w:rPr>
              <w:t>HFC</w:t>
            </w:r>
          </w:p>
        </w:tc>
        <w:tc>
          <w:tcPr>
            <w:tcW w:w="2652" w:type="pct"/>
            <w:vAlign w:val="center"/>
          </w:tcPr>
          <w:p w14:paraId="1430DD21" w14:textId="5737559A" w:rsidR="00CB0432" w:rsidRPr="00BE38DF" w:rsidRDefault="00CB0432">
            <w:pPr>
              <w:spacing w:before="40" w:after="40"/>
              <w:jc w:val="center"/>
              <w:rPr>
                <w:sz w:val="20"/>
                <w:szCs w:val="20"/>
              </w:rPr>
            </w:pPr>
            <w:r>
              <w:rPr>
                <w:sz w:val="20"/>
                <w:szCs w:val="20"/>
              </w:rPr>
              <w:t xml:space="preserve">n.a. </w:t>
            </w:r>
          </w:p>
        </w:tc>
      </w:tr>
    </w:tbl>
    <w:p w14:paraId="66823981" w14:textId="13F3FC0A" w:rsidR="00CB0432" w:rsidRPr="00CF5DB8" w:rsidRDefault="00CB0432" w:rsidP="00CF5DB8">
      <w:pPr>
        <w:keepNext/>
        <w:spacing w:before="360" w:after="240"/>
        <w:rPr>
          <w:b/>
          <w:bCs/>
        </w:rPr>
      </w:pPr>
      <w:r>
        <w:rPr>
          <w:b/>
          <w:bCs/>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871"/>
        <w:gridCol w:w="1638"/>
        <w:gridCol w:w="2306"/>
        <w:gridCol w:w="1083"/>
        <w:gridCol w:w="862"/>
        <w:gridCol w:w="862"/>
        <w:gridCol w:w="862"/>
        <w:gridCol w:w="866"/>
      </w:tblGrid>
      <w:tr w:rsidR="008158ED" w:rsidRPr="00BE38DF" w14:paraId="4BAFB867" w14:textId="77777777" w:rsidTr="002279A6">
        <w:trPr>
          <w:trHeight w:val="50"/>
          <w:tblHeader/>
          <w:jc w:val="center"/>
        </w:trPr>
        <w:tc>
          <w:tcPr>
            <w:tcW w:w="466" w:type="pct"/>
            <w:tcBorders>
              <w:top w:val="single" w:sz="4" w:space="0" w:color="auto"/>
              <w:left w:val="single" w:sz="4" w:space="0" w:color="auto"/>
              <w:bottom w:val="single" w:sz="4" w:space="0" w:color="auto"/>
              <w:right w:val="single" w:sz="4" w:space="0" w:color="auto"/>
            </w:tcBorders>
            <w:vAlign w:val="center"/>
            <w:hideMark/>
          </w:tcPr>
          <w:p w14:paraId="2CE4E487" w14:textId="77777777" w:rsidR="008158ED" w:rsidRPr="00BE38DF" w:rsidRDefault="008158ED">
            <w:pPr>
              <w:keepNext/>
              <w:keepLines/>
              <w:ind w:left="-85" w:right="-86"/>
              <w:jc w:val="center"/>
              <w:rPr>
                <w:b/>
                <w:color w:val="000000"/>
                <w:sz w:val="20"/>
              </w:rPr>
            </w:pPr>
            <w:r>
              <w:rPr>
                <w:b/>
                <w:color w:val="000000"/>
                <w:sz w:val="16"/>
                <w:szCs w:val="16"/>
              </w:rPr>
              <w:t>Renglón</w:t>
            </w:r>
          </w:p>
        </w:tc>
        <w:tc>
          <w:tcPr>
            <w:tcW w:w="2109" w:type="pct"/>
            <w:gridSpan w:val="2"/>
            <w:tcBorders>
              <w:top w:val="single" w:sz="4" w:space="0" w:color="auto"/>
              <w:left w:val="nil"/>
              <w:bottom w:val="single" w:sz="4" w:space="0" w:color="auto"/>
              <w:right w:val="single" w:sz="4" w:space="0" w:color="auto"/>
            </w:tcBorders>
            <w:vAlign w:val="center"/>
            <w:hideMark/>
          </w:tcPr>
          <w:p w14:paraId="641FE0A3" w14:textId="77777777" w:rsidR="008158ED" w:rsidRPr="00BE38DF" w:rsidRDefault="008158ED">
            <w:pPr>
              <w:keepNext/>
              <w:keepLines/>
              <w:jc w:val="center"/>
              <w:rPr>
                <w:b/>
                <w:color w:val="000000"/>
                <w:sz w:val="20"/>
              </w:rPr>
            </w:pPr>
            <w:r>
              <w:rPr>
                <w:b/>
                <w:color w:val="000000"/>
                <w:sz w:val="20"/>
              </w:rPr>
              <w:t>Detalles</w:t>
            </w:r>
          </w:p>
        </w:tc>
        <w:tc>
          <w:tcPr>
            <w:tcW w:w="579" w:type="pct"/>
            <w:tcBorders>
              <w:top w:val="single" w:sz="4" w:space="0" w:color="auto"/>
              <w:bottom w:val="single" w:sz="4" w:space="0" w:color="auto"/>
              <w:right w:val="single" w:sz="4" w:space="0" w:color="auto"/>
            </w:tcBorders>
            <w:vAlign w:val="center"/>
          </w:tcPr>
          <w:p w14:paraId="4A2DC059" w14:textId="0F1C9D94" w:rsidR="008158ED" w:rsidRPr="00BE38DF" w:rsidRDefault="008158ED">
            <w:pPr>
              <w:keepNext/>
              <w:keepLines/>
              <w:jc w:val="center"/>
              <w:rPr>
                <w:b/>
                <w:color w:val="000000"/>
                <w:sz w:val="20"/>
              </w:rPr>
            </w:pPr>
            <w:r>
              <w:rPr>
                <w:b/>
                <w:color w:val="000000"/>
                <w:sz w:val="20"/>
              </w:rPr>
              <w:t>2026</w:t>
            </w:r>
          </w:p>
        </w:tc>
        <w:tc>
          <w:tcPr>
            <w:tcW w:w="461" w:type="pct"/>
            <w:tcBorders>
              <w:top w:val="single" w:sz="4" w:space="0" w:color="auto"/>
              <w:left w:val="nil"/>
              <w:bottom w:val="single" w:sz="4" w:space="0" w:color="auto"/>
              <w:right w:val="single" w:sz="4" w:space="0" w:color="auto"/>
            </w:tcBorders>
            <w:vAlign w:val="center"/>
          </w:tcPr>
          <w:p w14:paraId="5838E1B5" w14:textId="77777777" w:rsidR="008158ED" w:rsidRPr="00BE38DF" w:rsidRDefault="008158ED">
            <w:pPr>
              <w:keepNext/>
              <w:keepLines/>
              <w:jc w:val="center"/>
              <w:rPr>
                <w:b/>
                <w:color w:val="000000"/>
                <w:sz w:val="20"/>
              </w:rPr>
            </w:pPr>
            <w:r>
              <w:rPr>
                <w:b/>
                <w:color w:val="000000"/>
                <w:sz w:val="20"/>
              </w:rPr>
              <w:t>2027</w:t>
            </w:r>
          </w:p>
        </w:tc>
        <w:tc>
          <w:tcPr>
            <w:tcW w:w="461" w:type="pct"/>
            <w:tcBorders>
              <w:top w:val="single" w:sz="4" w:space="0" w:color="auto"/>
              <w:left w:val="nil"/>
              <w:bottom w:val="single" w:sz="4" w:space="0" w:color="auto"/>
              <w:right w:val="single" w:sz="4" w:space="0" w:color="auto"/>
            </w:tcBorders>
            <w:vAlign w:val="center"/>
          </w:tcPr>
          <w:p w14:paraId="1937D29E" w14:textId="77777777" w:rsidR="008158ED" w:rsidRPr="00BE38DF" w:rsidRDefault="008158ED">
            <w:pPr>
              <w:keepNext/>
              <w:keepLines/>
              <w:jc w:val="center"/>
              <w:rPr>
                <w:b/>
                <w:color w:val="000000"/>
                <w:sz w:val="20"/>
              </w:rPr>
            </w:pPr>
            <w:r>
              <w:rPr>
                <w:b/>
                <w:color w:val="000000"/>
                <w:sz w:val="20"/>
              </w:rPr>
              <w:t>2028</w:t>
            </w:r>
          </w:p>
        </w:tc>
        <w:tc>
          <w:tcPr>
            <w:tcW w:w="461" w:type="pct"/>
            <w:tcBorders>
              <w:top w:val="single" w:sz="4" w:space="0" w:color="auto"/>
              <w:left w:val="nil"/>
              <w:bottom w:val="single" w:sz="4" w:space="0" w:color="auto"/>
              <w:right w:val="single" w:sz="4" w:space="0" w:color="auto"/>
            </w:tcBorders>
            <w:vAlign w:val="center"/>
          </w:tcPr>
          <w:p w14:paraId="0D97C687" w14:textId="77777777" w:rsidR="008158ED" w:rsidRPr="00BE38DF" w:rsidRDefault="008158ED">
            <w:pPr>
              <w:keepNext/>
              <w:keepLines/>
              <w:jc w:val="center"/>
              <w:rPr>
                <w:b/>
                <w:color w:val="000000"/>
                <w:sz w:val="20"/>
              </w:rPr>
            </w:pPr>
            <w:r>
              <w:rPr>
                <w:b/>
                <w:color w:val="000000"/>
                <w:sz w:val="20"/>
              </w:rPr>
              <w:t>2029</w:t>
            </w:r>
          </w:p>
        </w:tc>
        <w:tc>
          <w:tcPr>
            <w:tcW w:w="463" w:type="pct"/>
            <w:tcBorders>
              <w:top w:val="single" w:sz="4" w:space="0" w:color="auto"/>
              <w:left w:val="nil"/>
              <w:bottom w:val="single" w:sz="4" w:space="0" w:color="auto"/>
              <w:right w:val="single" w:sz="4" w:space="0" w:color="auto"/>
            </w:tcBorders>
            <w:vAlign w:val="center"/>
          </w:tcPr>
          <w:p w14:paraId="12A7D554" w14:textId="77777777" w:rsidR="008158ED" w:rsidRPr="00BE38DF" w:rsidRDefault="008158ED">
            <w:pPr>
              <w:keepNext/>
              <w:keepLines/>
              <w:jc w:val="center"/>
              <w:rPr>
                <w:b/>
                <w:color w:val="000000"/>
                <w:sz w:val="20"/>
              </w:rPr>
            </w:pPr>
            <w:r>
              <w:rPr>
                <w:b/>
                <w:color w:val="000000"/>
                <w:sz w:val="20"/>
              </w:rPr>
              <w:t>Total</w:t>
            </w:r>
          </w:p>
        </w:tc>
      </w:tr>
      <w:tr w:rsidR="008158ED" w:rsidRPr="00BE38DF" w14:paraId="28BC82EF" w14:textId="77777777" w:rsidTr="002279A6">
        <w:trPr>
          <w:trHeight w:val="331"/>
          <w:jc w:val="center"/>
        </w:trPr>
        <w:tc>
          <w:tcPr>
            <w:tcW w:w="466" w:type="pct"/>
            <w:vMerge w:val="restart"/>
            <w:tcBorders>
              <w:top w:val="nil"/>
              <w:left w:val="single" w:sz="4" w:space="0" w:color="auto"/>
              <w:right w:val="single" w:sz="4" w:space="0" w:color="auto"/>
            </w:tcBorders>
            <w:vAlign w:val="center"/>
            <w:hideMark/>
          </w:tcPr>
          <w:p w14:paraId="2F422CCC" w14:textId="77777777" w:rsidR="008158ED" w:rsidRPr="00BE38DF" w:rsidRDefault="008158ED">
            <w:pPr>
              <w:keepNext/>
              <w:widowControl w:val="0"/>
              <w:jc w:val="left"/>
              <w:rPr>
                <w:color w:val="000000"/>
                <w:sz w:val="20"/>
                <w:szCs w:val="20"/>
                <w:lang w:eastAsia="en-CA"/>
              </w:rPr>
            </w:pPr>
            <w:r>
              <w:rPr>
                <w:color w:val="000000"/>
                <w:sz w:val="20"/>
                <w:szCs w:val="20"/>
                <w:lang w:eastAsia="en-CA"/>
              </w:rPr>
              <w:t>1.1</w:t>
            </w:r>
          </w:p>
        </w:tc>
        <w:tc>
          <w:tcPr>
            <w:tcW w:w="876" w:type="pct"/>
            <w:vMerge w:val="restart"/>
            <w:tcBorders>
              <w:top w:val="nil"/>
              <w:left w:val="nil"/>
              <w:right w:val="single" w:sz="4" w:space="0" w:color="auto"/>
            </w:tcBorders>
            <w:vAlign w:val="center"/>
            <w:hideMark/>
          </w:tcPr>
          <w:p w14:paraId="18BD5EBC" w14:textId="77777777" w:rsidR="008158ED" w:rsidRPr="004C571B" w:rsidRDefault="008158ED">
            <w:pPr>
              <w:keepNext/>
              <w:widowControl w:val="0"/>
              <w:jc w:val="left"/>
              <w:rPr>
                <w:color w:val="000000"/>
                <w:sz w:val="20"/>
                <w:szCs w:val="20"/>
                <w:lang w:val="es-ES" w:eastAsia="en-CA"/>
              </w:rPr>
            </w:pPr>
            <w:r>
              <w:rPr>
                <w:color w:val="000000"/>
                <w:sz w:val="20"/>
                <w:szCs w:val="20"/>
                <w:lang w:val="es-ES" w:eastAsia="en-CA"/>
              </w:rPr>
              <w:t>Calendario del Protocolo de Montreal para la reducción de las sustancias del Anexo F</w:t>
            </w:r>
          </w:p>
        </w:tc>
        <w:tc>
          <w:tcPr>
            <w:tcW w:w="1233" w:type="pct"/>
            <w:tcBorders>
              <w:top w:val="single" w:sz="4" w:space="0" w:color="auto"/>
              <w:left w:val="nil"/>
              <w:bottom w:val="single" w:sz="4" w:space="0" w:color="auto"/>
              <w:right w:val="single" w:sz="4" w:space="0" w:color="auto"/>
            </w:tcBorders>
            <w:tcMar>
              <w:right w:w="57" w:type="dxa"/>
            </w:tcMar>
            <w:vAlign w:val="center"/>
          </w:tcPr>
          <w:p w14:paraId="33E816DB" w14:textId="77777777" w:rsidR="008158ED" w:rsidRPr="00BE38DF" w:rsidRDefault="008158ED">
            <w:pPr>
              <w:keepNext/>
              <w:widowControl w:val="0"/>
              <w:ind w:right="-203"/>
              <w:jc w:val="left"/>
              <w:rPr>
                <w:color w:val="000000"/>
                <w:sz w:val="20"/>
                <w:szCs w:val="20"/>
                <w:lang w:eastAsia="en-CA"/>
              </w:rPr>
            </w:pPr>
            <w:r>
              <w:rPr>
                <w:sz w:val="20"/>
                <w:szCs w:val="20"/>
              </w:rPr>
              <w:t>%</w:t>
            </w:r>
          </w:p>
        </w:tc>
        <w:tc>
          <w:tcPr>
            <w:tcW w:w="579" w:type="pct"/>
            <w:tcBorders>
              <w:top w:val="single" w:sz="4" w:space="0" w:color="auto"/>
              <w:bottom w:val="single" w:sz="4" w:space="0" w:color="auto"/>
              <w:right w:val="single" w:sz="4" w:space="0" w:color="auto"/>
            </w:tcBorders>
            <w:vAlign w:val="center"/>
          </w:tcPr>
          <w:p w14:paraId="46B49268" w14:textId="1CC2E58C" w:rsidR="008158ED" w:rsidRPr="00BE38DF" w:rsidRDefault="008158ED" w:rsidP="00074B9A">
            <w:pPr>
              <w:keepNext/>
              <w:widowControl w:val="0"/>
              <w:jc w:val="center"/>
              <w:rPr>
                <w:color w:val="000000"/>
                <w:sz w:val="20"/>
                <w:szCs w:val="20"/>
                <w:lang w:eastAsia="en-CA"/>
              </w:rPr>
            </w:pPr>
            <w:r>
              <w:rPr>
                <w:color w:val="000000"/>
                <w:sz w:val="16"/>
                <w:szCs w:val="16"/>
                <w:lang w:eastAsia="en-CA"/>
              </w:rPr>
              <w:t>moratoria</w:t>
            </w:r>
          </w:p>
        </w:tc>
        <w:tc>
          <w:tcPr>
            <w:tcW w:w="461" w:type="pct"/>
            <w:tcBorders>
              <w:top w:val="nil"/>
              <w:left w:val="nil"/>
              <w:bottom w:val="single" w:sz="4" w:space="0" w:color="auto"/>
              <w:right w:val="single" w:sz="4" w:space="0" w:color="auto"/>
            </w:tcBorders>
            <w:vAlign w:val="center"/>
          </w:tcPr>
          <w:p w14:paraId="186176B3" w14:textId="77777777" w:rsidR="008158ED" w:rsidRPr="00BE38DF" w:rsidRDefault="008158ED" w:rsidP="00074B9A">
            <w:pPr>
              <w:keepNext/>
              <w:widowControl w:val="0"/>
              <w:jc w:val="center"/>
              <w:rPr>
                <w:color w:val="000000"/>
                <w:sz w:val="20"/>
                <w:szCs w:val="20"/>
                <w:lang w:eastAsia="en-CA"/>
              </w:rPr>
            </w:pPr>
            <w:r>
              <w:rPr>
                <w:color w:val="000000"/>
                <w:sz w:val="16"/>
                <w:szCs w:val="16"/>
                <w:lang w:eastAsia="en-CA"/>
              </w:rPr>
              <w:t>moratoria</w:t>
            </w:r>
          </w:p>
        </w:tc>
        <w:tc>
          <w:tcPr>
            <w:tcW w:w="461" w:type="pct"/>
            <w:tcBorders>
              <w:top w:val="nil"/>
              <w:left w:val="nil"/>
              <w:bottom w:val="single" w:sz="4" w:space="0" w:color="auto"/>
              <w:right w:val="single" w:sz="4" w:space="0" w:color="auto"/>
            </w:tcBorders>
            <w:vAlign w:val="center"/>
          </w:tcPr>
          <w:p w14:paraId="6E137F7A" w14:textId="77777777" w:rsidR="008158ED" w:rsidRPr="00BE38DF" w:rsidRDefault="008158ED" w:rsidP="00074B9A">
            <w:pPr>
              <w:keepNext/>
              <w:widowControl w:val="0"/>
              <w:jc w:val="center"/>
              <w:rPr>
                <w:color w:val="000000"/>
                <w:sz w:val="20"/>
                <w:szCs w:val="20"/>
                <w:lang w:eastAsia="en-CA"/>
              </w:rPr>
            </w:pPr>
            <w:r>
              <w:rPr>
                <w:color w:val="000000"/>
                <w:sz w:val="16"/>
                <w:szCs w:val="16"/>
                <w:lang w:eastAsia="en-CA"/>
              </w:rPr>
              <w:t>moratoria</w:t>
            </w:r>
          </w:p>
        </w:tc>
        <w:tc>
          <w:tcPr>
            <w:tcW w:w="461" w:type="pct"/>
            <w:tcBorders>
              <w:top w:val="nil"/>
              <w:left w:val="nil"/>
              <w:bottom w:val="single" w:sz="4" w:space="0" w:color="auto"/>
              <w:right w:val="single" w:sz="4" w:space="0" w:color="auto"/>
            </w:tcBorders>
            <w:vAlign w:val="center"/>
          </w:tcPr>
          <w:p w14:paraId="7D0E4BF9" w14:textId="77777777" w:rsidR="008158ED" w:rsidRPr="00BE38DF" w:rsidRDefault="008158ED" w:rsidP="00074B9A">
            <w:pPr>
              <w:keepNext/>
              <w:widowControl w:val="0"/>
              <w:jc w:val="center"/>
              <w:rPr>
                <w:color w:val="000000"/>
                <w:sz w:val="20"/>
                <w:szCs w:val="20"/>
                <w:lang w:eastAsia="en-CA"/>
              </w:rPr>
            </w:pPr>
            <w:r>
              <w:rPr>
                <w:color w:val="000000"/>
                <w:sz w:val="20"/>
                <w:szCs w:val="20"/>
                <w:lang w:eastAsia="en-CA"/>
              </w:rPr>
              <w:t>10</w:t>
            </w:r>
          </w:p>
        </w:tc>
        <w:tc>
          <w:tcPr>
            <w:tcW w:w="463" w:type="pct"/>
            <w:tcBorders>
              <w:top w:val="nil"/>
              <w:left w:val="nil"/>
              <w:bottom w:val="single" w:sz="4" w:space="0" w:color="auto"/>
              <w:right w:val="single" w:sz="4" w:space="0" w:color="auto"/>
            </w:tcBorders>
            <w:vAlign w:val="center"/>
          </w:tcPr>
          <w:p w14:paraId="28859BF3" w14:textId="77777777" w:rsidR="008158ED" w:rsidRPr="00BE38DF" w:rsidRDefault="008158ED">
            <w:pPr>
              <w:keepNext/>
              <w:widowControl w:val="0"/>
              <w:jc w:val="center"/>
              <w:rPr>
                <w:color w:val="000000"/>
                <w:sz w:val="20"/>
                <w:szCs w:val="20"/>
                <w:lang w:eastAsia="en-CA"/>
              </w:rPr>
            </w:pPr>
            <w:r>
              <w:rPr>
                <w:color w:val="000000"/>
                <w:sz w:val="20"/>
                <w:szCs w:val="20"/>
                <w:lang w:eastAsia="en-CA"/>
              </w:rPr>
              <w:t>n.a.</w:t>
            </w:r>
          </w:p>
        </w:tc>
      </w:tr>
      <w:tr w:rsidR="008158ED" w:rsidRPr="00BE38DF" w14:paraId="575FB18D" w14:textId="77777777" w:rsidTr="002279A6">
        <w:trPr>
          <w:trHeight w:val="59"/>
          <w:jc w:val="center"/>
        </w:trPr>
        <w:tc>
          <w:tcPr>
            <w:tcW w:w="466" w:type="pct"/>
            <w:vMerge/>
            <w:tcBorders>
              <w:left w:val="single" w:sz="4" w:space="0" w:color="auto"/>
              <w:bottom w:val="single" w:sz="4" w:space="0" w:color="auto"/>
              <w:right w:val="single" w:sz="4" w:space="0" w:color="auto"/>
            </w:tcBorders>
            <w:vAlign w:val="center"/>
          </w:tcPr>
          <w:p w14:paraId="62F7D381" w14:textId="77777777" w:rsidR="008158ED" w:rsidRPr="00BE38DF" w:rsidRDefault="008158ED">
            <w:pPr>
              <w:keepNext/>
              <w:widowControl w:val="0"/>
              <w:jc w:val="left"/>
              <w:rPr>
                <w:color w:val="000000"/>
                <w:sz w:val="20"/>
              </w:rPr>
            </w:pPr>
          </w:p>
        </w:tc>
        <w:tc>
          <w:tcPr>
            <w:tcW w:w="876" w:type="pct"/>
            <w:vMerge/>
            <w:tcBorders>
              <w:left w:val="nil"/>
              <w:bottom w:val="single" w:sz="4" w:space="0" w:color="auto"/>
              <w:right w:val="single" w:sz="4" w:space="0" w:color="auto"/>
            </w:tcBorders>
            <w:vAlign w:val="center"/>
          </w:tcPr>
          <w:p w14:paraId="5879DD0B" w14:textId="77777777" w:rsidR="008158ED" w:rsidRPr="00BE38DF" w:rsidRDefault="008158ED">
            <w:pPr>
              <w:keepNext/>
              <w:widowControl w:val="0"/>
              <w:jc w:val="left"/>
              <w:rPr>
                <w:color w:val="000000"/>
                <w:sz w:val="20"/>
                <w:szCs w:val="20"/>
                <w:lang w:eastAsia="en-CA"/>
              </w:rPr>
            </w:pPr>
          </w:p>
        </w:tc>
        <w:tc>
          <w:tcPr>
            <w:tcW w:w="1233" w:type="pct"/>
            <w:tcBorders>
              <w:top w:val="single" w:sz="4" w:space="0" w:color="auto"/>
              <w:left w:val="nil"/>
              <w:bottom w:val="single" w:sz="4" w:space="0" w:color="auto"/>
              <w:right w:val="single" w:sz="4" w:space="0" w:color="auto"/>
            </w:tcBorders>
            <w:tcMar>
              <w:right w:w="57" w:type="dxa"/>
            </w:tcMar>
            <w:vAlign w:val="center"/>
          </w:tcPr>
          <w:p w14:paraId="5621DF63" w14:textId="77777777" w:rsidR="008158ED" w:rsidRPr="00BE38DF" w:rsidRDefault="008158ED">
            <w:pPr>
              <w:keepNext/>
              <w:widowControl w:val="0"/>
              <w:jc w:val="left"/>
              <w:rPr>
                <w:color w:val="000000"/>
                <w:sz w:val="20"/>
              </w:rPr>
            </w:pPr>
            <w:r>
              <w:rPr>
                <w:color w:val="000000"/>
                <w:sz w:val="20"/>
                <w:szCs w:val="20"/>
                <w:lang w:eastAsia="en-CA"/>
              </w:rPr>
              <w:t>Toneladas de CO</w:t>
            </w:r>
            <w:r>
              <w:rPr>
                <w:color w:val="000000"/>
                <w:sz w:val="20"/>
                <w:szCs w:val="20"/>
                <w:vertAlign w:val="subscript"/>
                <w:lang w:eastAsia="en-CA"/>
              </w:rPr>
              <w:t>2</w:t>
            </w:r>
            <w:r>
              <w:rPr>
                <w:color w:val="000000"/>
                <w:sz w:val="20"/>
                <w:szCs w:val="20"/>
                <w:lang w:eastAsia="en-CA"/>
              </w:rPr>
              <w:t xml:space="preserve"> equivalente</w:t>
            </w:r>
          </w:p>
        </w:tc>
        <w:tc>
          <w:tcPr>
            <w:tcW w:w="579" w:type="pct"/>
            <w:tcBorders>
              <w:top w:val="single" w:sz="4" w:space="0" w:color="auto"/>
              <w:bottom w:val="single" w:sz="4" w:space="0" w:color="auto"/>
              <w:right w:val="single" w:sz="4" w:space="0" w:color="auto"/>
            </w:tcBorders>
            <w:vAlign w:val="center"/>
          </w:tcPr>
          <w:p w14:paraId="1615BBFD" w14:textId="232C871A" w:rsidR="008158ED" w:rsidRPr="00BE38DF" w:rsidRDefault="00FD02CB" w:rsidP="00074B9A">
            <w:pPr>
              <w:keepNext/>
              <w:widowControl w:val="0"/>
              <w:jc w:val="center"/>
              <w:rPr>
                <w:color w:val="000000"/>
                <w:sz w:val="20"/>
              </w:rPr>
            </w:pPr>
            <w:r>
              <w:rPr>
                <w:color w:val="000000"/>
                <w:sz w:val="20"/>
              </w:rPr>
              <w:t>71.039</w:t>
            </w:r>
          </w:p>
        </w:tc>
        <w:tc>
          <w:tcPr>
            <w:tcW w:w="461" w:type="pct"/>
            <w:tcBorders>
              <w:top w:val="nil"/>
              <w:left w:val="nil"/>
              <w:bottom w:val="single" w:sz="4" w:space="0" w:color="auto"/>
              <w:right w:val="single" w:sz="4" w:space="0" w:color="auto"/>
            </w:tcBorders>
            <w:vAlign w:val="center"/>
          </w:tcPr>
          <w:p w14:paraId="5AD9A4F6" w14:textId="540197F5" w:rsidR="008158ED" w:rsidRPr="00BE38DF" w:rsidRDefault="00FD02CB" w:rsidP="00074B9A">
            <w:pPr>
              <w:keepNext/>
              <w:widowControl w:val="0"/>
              <w:jc w:val="center"/>
              <w:rPr>
                <w:color w:val="000000"/>
                <w:sz w:val="20"/>
              </w:rPr>
            </w:pPr>
            <w:r>
              <w:rPr>
                <w:color w:val="000000"/>
                <w:sz w:val="20"/>
              </w:rPr>
              <w:t>71.039</w:t>
            </w:r>
          </w:p>
        </w:tc>
        <w:tc>
          <w:tcPr>
            <w:tcW w:w="461" w:type="pct"/>
            <w:tcBorders>
              <w:top w:val="nil"/>
              <w:left w:val="nil"/>
              <w:bottom w:val="single" w:sz="4" w:space="0" w:color="auto"/>
              <w:right w:val="single" w:sz="4" w:space="0" w:color="auto"/>
            </w:tcBorders>
            <w:vAlign w:val="center"/>
          </w:tcPr>
          <w:p w14:paraId="6A9A5937" w14:textId="7349DB4D" w:rsidR="008158ED" w:rsidRPr="00BE38DF" w:rsidRDefault="00FD02CB" w:rsidP="00074B9A">
            <w:pPr>
              <w:keepNext/>
              <w:widowControl w:val="0"/>
              <w:jc w:val="center"/>
              <w:rPr>
                <w:color w:val="000000"/>
                <w:sz w:val="20"/>
              </w:rPr>
            </w:pPr>
            <w:r>
              <w:rPr>
                <w:color w:val="000000"/>
                <w:sz w:val="20"/>
              </w:rPr>
              <w:t>71.039</w:t>
            </w:r>
          </w:p>
        </w:tc>
        <w:tc>
          <w:tcPr>
            <w:tcW w:w="461" w:type="pct"/>
            <w:tcBorders>
              <w:top w:val="nil"/>
              <w:left w:val="nil"/>
              <w:bottom w:val="single" w:sz="4" w:space="0" w:color="auto"/>
              <w:right w:val="single" w:sz="4" w:space="0" w:color="auto"/>
            </w:tcBorders>
            <w:vAlign w:val="center"/>
          </w:tcPr>
          <w:p w14:paraId="3E5D89BE" w14:textId="45D5CB8B" w:rsidR="008158ED" w:rsidRPr="00BE38DF" w:rsidRDefault="00AD4804" w:rsidP="00074B9A">
            <w:pPr>
              <w:keepNext/>
              <w:widowControl w:val="0"/>
              <w:jc w:val="center"/>
              <w:rPr>
                <w:color w:val="000000"/>
                <w:sz w:val="20"/>
              </w:rPr>
            </w:pPr>
            <w:r>
              <w:rPr>
                <w:color w:val="000000"/>
                <w:sz w:val="20"/>
              </w:rPr>
              <w:t>63.935</w:t>
            </w:r>
          </w:p>
        </w:tc>
        <w:tc>
          <w:tcPr>
            <w:tcW w:w="463" w:type="pct"/>
            <w:tcBorders>
              <w:top w:val="nil"/>
              <w:left w:val="nil"/>
              <w:bottom w:val="single" w:sz="4" w:space="0" w:color="auto"/>
              <w:right w:val="single" w:sz="4" w:space="0" w:color="auto"/>
            </w:tcBorders>
            <w:vAlign w:val="center"/>
          </w:tcPr>
          <w:p w14:paraId="257A140B" w14:textId="77777777" w:rsidR="008158ED" w:rsidRPr="00BE38DF" w:rsidRDefault="008158ED">
            <w:pPr>
              <w:keepNext/>
              <w:widowControl w:val="0"/>
              <w:jc w:val="center"/>
              <w:rPr>
                <w:color w:val="000000"/>
                <w:sz w:val="20"/>
              </w:rPr>
            </w:pPr>
            <w:r>
              <w:rPr>
                <w:color w:val="000000"/>
                <w:sz w:val="20"/>
              </w:rPr>
              <w:t>n.a.</w:t>
            </w:r>
          </w:p>
        </w:tc>
      </w:tr>
      <w:tr w:rsidR="008158ED" w:rsidRPr="00BE38DF" w14:paraId="7DEDEA42" w14:textId="77777777" w:rsidTr="002279A6">
        <w:trPr>
          <w:trHeight w:val="342"/>
          <w:jc w:val="center"/>
        </w:trPr>
        <w:tc>
          <w:tcPr>
            <w:tcW w:w="466" w:type="pct"/>
            <w:vMerge w:val="restart"/>
            <w:tcBorders>
              <w:top w:val="nil"/>
              <w:left w:val="single" w:sz="4" w:space="0" w:color="auto"/>
              <w:right w:val="single" w:sz="4" w:space="0" w:color="auto"/>
            </w:tcBorders>
            <w:vAlign w:val="center"/>
            <w:hideMark/>
          </w:tcPr>
          <w:p w14:paraId="0D2B59F9" w14:textId="77777777" w:rsidR="008158ED" w:rsidRPr="00BE38DF" w:rsidRDefault="008158ED">
            <w:pPr>
              <w:keepNext/>
              <w:widowControl w:val="0"/>
              <w:jc w:val="left"/>
              <w:rPr>
                <w:color w:val="000000"/>
                <w:sz w:val="20"/>
                <w:szCs w:val="20"/>
                <w:lang w:eastAsia="en-CA"/>
              </w:rPr>
            </w:pPr>
            <w:r>
              <w:rPr>
                <w:color w:val="000000"/>
                <w:sz w:val="20"/>
                <w:szCs w:val="20"/>
                <w:lang w:eastAsia="en-CA"/>
              </w:rPr>
              <w:t>1.2</w:t>
            </w:r>
          </w:p>
        </w:tc>
        <w:tc>
          <w:tcPr>
            <w:tcW w:w="876" w:type="pct"/>
            <w:vMerge w:val="restart"/>
            <w:tcBorders>
              <w:top w:val="nil"/>
              <w:left w:val="nil"/>
              <w:right w:val="single" w:sz="4" w:space="0" w:color="auto"/>
            </w:tcBorders>
            <w:vAlign w:val="center"/>
            <w:hideMark/>
          </w:tcPr>
          <w:p w14:paraId="53276093" w14:textId="77777777" w:rsidR="008158ED" w:rsidRPr="004C571B" w:rsidRDefault="008158ED">
            <w:pPr>
              <w:keepNext/>
              <w:widowControl w:val="0"/>
              <w:jc w:val="left"/>
              <w:rPr>
                <w:color w:val="000000"/>
                <w:sz w:val="20"/>
                <w:szCs w:val="20"/>
                <w:lang w:val="es-ES" w:eastAsia="en-CA"/>
              </w:rPr>
            </w:pPr>
            <w:r>
              <w:rPr>
                <w:color w:val="000000"/>
                <w:sz w:val="20"/>
                <w:szCs w:val="20"/>
                <w:lang w:val="es-ES" w:eastAsia="en-CA"/>
              </w:rPr>
              <w:t>Consumo total máximo permitido para sustancias del Anexo F</w:t>
            </w:r>
          </w:p>
        </w:tc>
        <w:tc>
          <w:tcPr>
            <w:tcW w:w="1233" w:type="pct"/>
            <w:tcBorders>
              <w:top w:val="single" w:sz="4" w:space="0" w:color="auto"/>
              <w:left w:val="nil"/>
              <w:bottom w:val="single" w:sz="4" w:space="0" w:color="auto"/>
              <w:right w:val="single" w:sz="4" w:space="0" w:color="auto"/>
            </w:tcBorders>
            <w:tcMar>
              <w:right w:w="57" w:type="dxa"/>
            </w:tcMar>
            <w:vAlign w:val="center"/>
          </w:tcPr>
          <w:p w14:paraId="28B0CD4E" w14:textId="77777777" w:rsidR="008158ED" w:rsidRPr="00BE38DF" w:rsidRDefault="008158ED">
            <w:pPr>
              <w:keepNext/>
              <w:widowControl w:val="0"/>
              <w:jc w:val="left"/>
              <w:rPr>
                <w:color w:val="000000"/>
                <w:sz w:val="20"/>
                <w:szCs w:val="20"/>
                <w:lang w:eastAsia="en-CA"/>
              </w:rPr>
            </w:pPr>
            <w:r>
              <w:rPr>
                <w:sz w:val="20"/>
                <w:szCs w:val="20"/>
              </w:rPr>
              <w:t>Reducción en %</w:t>
            </w:r>
          </w:p>
        </w:tc>
        <w:tc>
          <w:tcPr>
            <w:tcW w:w="579" w:type="pct"/>
            <w:tcBorders>
              <w:top w:val="single" w:sz="4" w:space="0" w:color="auto"/>
              <w:bottom w:val="single" w:sz="4" w:space="0" w:color="auto"/>
              <w:right w:val="single" w:sz="4" w:space="0" w:color="auto"/>
            </w:tcBorders>
            <w:vAlign w:val="center"/>
          </w:tcPr>
          <w:p w14:paraId="04D1A4F4" w14:textId="17759F17" w:rsidR="008158ED" w:rsidRPr="00BE38DF" w:rsidRDefault="00841898" w:rsidP="00074B9A">
            <w:pPr>
              <w:keepNext/>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79B1E274" w14:textId="41840F55" w:rsidR="008158ED" w:rsidRPr="00BE38DF" w:rsidRDefault="00841898" w:rsidP="00074B9A">
            <w:pPr>
              <w:keepNext/>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384976B9" w14:textId="27DE9D1C" w:rsidR="008158ED" w:rsidRPr="00BE38DF" w:rsidRDefault="00841898" w:rsidP="00074B9A">
            <w:pPr>
              <w:keepNext/>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755C7756" w14:textId="7FD8BE06" w:rsidR="008158ED" w:rsidRPr="00BE38DF" w:rsidRDefault="00F14D64" w:rsidP="00074B9A">
            <w:pPr>
              <w:keepNext/>
              <w:widowControl w:val="0"/>
              <w:jc w:val="center"/>
              <w:rPr>
                <w:color w:val="000000"/>
                <w:sz w:val="20"/>
                <w:szCs w:val="20"/>
                <w:lang w:eastAsia="en-CA"/>
              </w:rPr>
            </w:pPr>
            <w:r>
              <w:rPr>
                <w:color w:val="000000"/>
                <w:sz w:val="20"/>
                <w:szCs w:val="20"/>
                <w:lang w:eastAsia="en-CA"/>
              </w:rPr>
              <w:t>50,6</w:t>
            </w:r>
          </w:p>
        </w:tc>
        <w:tc>
          <w:tcPr>
            <w:tcW w:w="463" w:type="pct"/>
            <w:tcBorders>
              <w:top w:val="nil"/>
              <w:left w:val="nil"/>
              <w:bottom w:val="single" w:sz="4" w:space="0" w:color="auto"/>
              <w:right w:val="single" w:sz="4" w:space="0" w:color="auto"/>
            </w:tcBorders>
            <w:vAlign w:val="center"/>
          </w:tcPr>
          <w:p w14:paraId="775B202A" w14:textId="77777777" w:rsidR="008158ED" w:rsidRPr="00BE38DF" w:rsidRDefault="008158ED">
            <w:pPr>
              <w:keepNext/>
              <w:widowControl w:val="0"/>
              <w:jc w:val="center"/>
              <w:rPr>
                <w:color w:val="000000"/>
                <w:sz w:val="20"/>
                <w:szCs w:val="20"/>
                <w:lang w:eastAsia="en-CA"/>
              </w:rPr>
            </w:pPr>
            <w:r>
              <w:rPr>
                <w:color w:val="000000"/>
                <w:sz w:val="20"/>
                <w:szCs w:val="20"/>
                <w:lang w:eastAsia="en-CA"/>
              </w:rPr>
              <w:t>n.a.</w:t>
            </w:r>
          </w:p>
        </w:tc>
      </w:tr>
      <w:tr w:rsidR="00EF59D9" w:rsidRPr="00BE38DF" w14:paraId="095CC5A1" w14:textId="77777777" w:rsidTr="002279A6">
        <w:trPr>
          <w:trHeight w:val="59"/>
          <w:jc w:val="center"/>
        </w:trPr>
        <w:tc>
          <w:tcPr>
            <w:tcW w:w="466" w:type="pct"/>
            <w:vMerge/>
            <w:tcBorders>
              <w:left w:val="single" w:sz="4" w:space="0" w:color="auto"/>
              <w:bottom w:val="single" w:sz="4" w:space="0" w:color="auto"/>
              <w:right w:val="single" w:sz="4" w:space="0" w:color="auto"/>
            </w:tcBorders>
            <w:vAlign w:val="center"/>
          </w:tcPr>
          <w:p w14:paraId="2B40E1AF" w14:textId="77777777" w:rsidR="00EF59D9" w:rsidRPr="00BE38DF" w:rsidRDefault="00EF59D9" w:rsidP="00EF59D9">
            <w:pPr>
              <w:keepNext/>
              <w:widowControl w:val="0"/>
              <w:jc w:val="left"/>
              <w:rPr>
                <w:color w:val="000000"/>
                <w:sz w:val="20"/>
              </w:rPr>
            </w:pPr>
          </w:p>
        </w:tc>
        <w:tc>
          <w:tcPr>
            <w:tcW w:w="876" w:type="pct"/>
            <w:vMerge/>
            <w:tcBorders>
              <w:left w:val="nil"/>
              <w:bottom w:val="single" w:sz="4" w:space="0" w:color="auto"/>
              <w:right w:val="single" w:sz="4" w:space="0" w:color="auto"/>
            </w:tcBorders>
            <w:vAlign w:val="center"/>
          </w:tcPr>
          <w:p w14:paraId="731ECC37" w14:textId="77777777" w:rsidR="00EF59D9" w:rsidRPr="00BE38DF" w:rsidRDefault="00EF59D9" w:rsidP="00EF59D9">
            <w:pPr>
              <w:keepNext/>
              <w:widowControl w:val="0"/>
              <w:jc w:val="left"/>
              <w:rPr>
                <w:color w:val="000000"/>
                <w:sz w:val="20"/>
                <w:szCs w:val="20"/>
                <w:lang w:eastAsia="en-CA"/>
              </w:rPr>
            </w:pPr>
          </w:p>
        </w:tc>
        <w:tc>
          <w:tcPr>
            <w:tcW w:w="1233" w:type="pct"/>
            <w:tcBorders>
              <w:top w:val="single" w:sz="4" w:space="0" w:color="auto"/>
              <w:left w:val="nil"/>
              <w:bottom w:val="single" w:sz="4" w:space="0" w:color="auto"/>
              <w:right w:val="single" w:sz="4" w:space="0" w:color="auto"/>
            </w:tcBorders>
            <w:tcMar>
              <w:right w:w="57" w:type="dxa"/>
            </w:tcMar>
            <w:vAlign w:val="center"/>
          </w:tcPr>
          <w:p w14:paraId="7F8D4B6B" w14:textId="77777777" w:rsidR="00EF59D9" w:rsidRPr="00BE38DF" w:rsidRDefault="00EF59D9" w:rsidP="00EF59D9">
            <w:pPr>
              <w:keepNext/>
              <w:widowControl w:val="0"/>
              <w:jc w:val="left"/>
              <w:rPr>
                <w:color w:val="000000"/>
                <w:sz w:val="20"/>
              </w:rPr>
            </w:pPr>
            <w:r>
              <w:rPr>
                <w:color w:val="000000"/>
                <w:sz w:val="20"/>
                <w:szCs w:val="20"/>
                <w:lang w:eastAsia="en-CA"/>
              </w:rPr>
              <w:t>Toneladas de CO</w:t>
            </w:r>
            <w:r>
              <w:rPr>
                <w:color w:val="000000"/>
                <w:sz w:val="20"/>
                <w:szCs w:val="20"/>
                <w:vertAlign w:val="subscript"/>
                <w:lang w:eastAsia="en-CA"/>
              </w:rPr>
              <w:t>2</w:t>
            </w:r>
            <w:r>
              <w:rPr>
                <w:color w:val="000000"/>
                <w:sz w:val="20"/>
                <w:szCs w:val="20"/>
                <w:lang w:eastAsia="en-CA"/>
              </w:rPr>
              <w:t xml:space="preserve"> equivalente</w:t>
            </w:r>
          </w:p>
        </w:tc>
        <w:tc>
          <w:tcPr>
            <w:tcW w:w="579" w:type="pct"/>
            <w:tcBorders>
              <w:top w:val="single" w:sz="4" w:space="0" w:color="auto"/>
              <w:bottom w:val="single" w:sz="4" w:space="0" w:color="auto"/>
              <w:right w:val="single" w:sz="4" w:space="0" w:color="auto"/>
            </w:tcBorders>
            <w:vAlign w:val="center"/>
          </w:tcPr>
          <w:p w14:paraId="2F4C5222" w14:textId="7EF7CD46" w:rsidR="00EF59D9" w:rsidRPr="00BE38DF" w:rsidRDefault="00841898" w:rsidP="00AD4804">
            <w:pPr>
              <w:keepNext/>
              <w:widowControl w:val="0"/>
              <w:jc w:val="center"/>
              <w:rPr>
                <w:color w:val="000000"/>
                <w:sz w:val="20"/>
              </w:rPr>
            </w:pPr>
            <w:r>
              <w:rPr>
                <w:sz w:val="20"/>
                <w:szCs w:val="20"/>
              </w:rPr>
              <w:t>38.962</w:t>
            </w:r>
          </w:p>
        </w:tc>
        <w:tc>
          <w:tcPr>
            <w:tcW w:w="461" w:type="pct"/>
            <w:tcBorders>
              <w:top w:val="nil"/>
              <w:left w:val="nil"/>
              <w:bottom w:val="single" w:sz="4" w:space="0" w:color="auto"/>
              <w:right w:val="single" w:sz="4" w:space="0" w:color="auto"/>
            </w:tcBorders>
            <w:vAlign w:val="center"/>
          </w:tcPr>
          <w:p w14:paraId="1DF7B23A" w14:textId="75A0DAD2" w:rsidR="00EF59D9" w:rsidRPr="00BE38DF" w:rsidRDefault="00841898" w:rsidP="00AD4804">
            <w:pPr>
              <w:keepNext/>
              <w:widowControl w:val="0"/>
              <w:jc w:val="center"/>
              <w:rPr>
                <w:color w:val="000000"/>
                <w:sz w:val="20"/>
              </w:rPr>
            </w:pPr>
            <w:r>
              <w:rPr>
                <w:sz w:val="20"/>
                <w:szCs w:val="20"/>
              </w:rPr>
              <w:t>38.962</w:t>
            </w:r>
          </w:p>
        </w:tc>
        <w:tc>
          <w:tcPr>
            <w:tcW w:w="461" w:type="pct"/>
            <w:tcBorders>
              <w:top w:val="nil"/>
              <w:left w:val="nil"/>
              <w:bottom w:val="single" w:sz="4" w:space="0" w:color="auto"/>
              <w:right w:val="single" w:sz="4" w:space="0" w:color="auto"/>
            </w:tcBorders>
            <w:vAlign w:val="center"/>
          </w:tcPr>
          <w:p w14:paraId="427D26AC" w14:textId="0D9C122A" w:rsidR="00EF59D9" w:rsidRPr="00BE38DF" w:rsidRDefault="00841898" w:rsidP="00AD4804">
            <w:pPr>
              <w:keepNext/>
              <w:widowControl w:val="0"/>
              <w:jc w:val="center"/>
              <w:rPr>
                <w:color w:val="000000"/>
                <w:sz w:val="20"/>
              </w:rPr>
            </w:pPr>
            <w:r>
              <w:rPr>
                <w:sz w:val="20"/>
                <w:szCs w:val="20"/>
              </w:rPr>
              <w:t>38.962</w:t>
            </w:r>
          </w:p>
        </w:tc>
        <w:tc>
          <w:tcPr>
            <w:tcW w:w="461" w:type="pct"/>
            <w:tcBorders>
              <w:top w:val="nil"/>
              <w:left w:val="nil"/>
              <w:bottom w:val="single" w:sz="4" w:space="0" w:color="auto"/>
              <w:right w:val="single" w:sz="4" w:space="0" w:color="auto"/>
            </w:tcBorders>
            <w:vAlign w:val="center"/>
          </w:tcPr>
          <w:p w14:paraId="564178E3" w14:textId="17FC5877" w:rsidR="00EF59D9" w:rsidRPr="00BE38DF" w:rsidRDefault="00EF59D9" w:rsidP="00AD4804">
            <w:pPr>
              <w:keepNext/>
              <w:widowControl w:val="0"/>
              <w:jc w:val="center"/>
              <w:rPr>
                <w:color w:val="000000"/>
                <w:sz w:val="20"/>
              </w:rPr>
            </w:pPr>
            <w:r>
              <w:rPr>
                <w:sz w:val="20"/>
                <w:szCs w:val="20"/>
              </w:rPr>
              <w:t>35.066</w:t>
            </w:r>
          </w:p>
        </w:tc>
        <w:tc>
          <w:tcPr>
            <w:tcW w:w="463" w:type="pct"/>
            <w:tcBorders>
              <w:top w:val="nil"/>
              <w:left w:val="nil"/>
              <w:bottom w:val="single" w:sz="4" w:space="0" w:color="auto"/>
              <w:right w:val="single" w:sz="4" w:space="0" w:color="auto"/>
            </w:tcBorders>
            <w:vAlign w:val="center"/>
          </w:tcPr>
          <w:p w14:paraId="28C78597" w14:textId="77777777" w:rsidR="00EF59D9" w:rsidRPr="00BE38DF" w:rsidRDefault="00EF59D9" w:rsidP="00EF59D9">
            <w:pPr>
              <w:keepNext/>
              <w:widowControl w:val="0"/>
              <w:jc w:val="center"/>
              <w:rPr>
                <w:color w:val="000000"/>
                <w:sz w:val="20"/>
              </w:rPr>
            </w:pPr>
            <w:r>
              <w:rPr>
                <w:color w:val="000000"/>
                <w:sz w:val="20"/>
              </w:rPr>
              <w:t>n.a.</w:t>
            </w:r>
          </w:p>
        </w:tc>
      </w:tr>
      <w:tr w:rsidR="00EF59D9" w:rsidRPr="00BE38DF" w14:paraId="110F115B" w14:textId="77777777" w:rsidTr="002279A6">
        <w:trPr>
          <w:trHeight w:val="116"/>
          <w:jc w:val="center"/>
        </w:trPr>
        <w:tc>
          <w:tcPr>
            <w:tcW w:w="466" w:type="pct"/>
            <w:tcBorders>
              <w:top w:val="nil"/>
              <w:left w:val="single" w:sz="4" w:space="0" w:color="auto"/>
              <w:bottom w:val="single" w:sz="4" w:space="0" w:color="auto"/>
              <w:right w:val="single" w:sz="4" w:space="0" w:color="auto"/>
            </w:tcBorders>
            <w:vAlign w:val="center"/>
            <w:hideMark/>
          </w:tcPr>
          <w:p w14:paraId="471667D0" w14:textId="77777777" w:rsidR="00EF59D9" w:rsidRPr="00BE38DF" w:rsidRDefault="00EF59D9" w:rsidP="00EF59D9">
            <w:pPr>
              <w:keepNext/>
              <w:jc w:val="left"/>
              <w:rPr>
                <w:color w:val="000000"/>
                <w:sz w:val="20"/>
              </w:rPr>
            </w:pPr>
            <w:r>
              <w:rPr>
                <w:color w:val="000000"/>
                <w:sz w:val="20"/>
              </w:rPr>
              <w:t>2.1</w:t>
            </w:r>
          </w:p>
        </w:tc>
        <w:tc>
          <w:tcPr>
            <w:tcW w:w="2109" w:type="pct"/>
            <w:gridSpan w:val="2"/>
            <w:tcBorders>
              <w:top w:val="nil"/>
              <w:left w:val="nil"/>
              <w:bottom w:val="single" w:sz="4" w:space="0" w:color="auto"/>
              <w:right w:val="single" w:sz="4" w:space="0" w:color="auto"/>
            </w:tcBorders>
            <w:vAlign w:val="center"/>
            <w:hideMark/>
          </w:tcPr>
          <w:p w14:paraId="4199647D" w14:textId="0AF97B4F" w:rsidR="00EF59D9" w:rsidRPr="004C571B" w:rsidRDefault="00EF59D9" w:rsidP="00EF59D9">
            <w:pPr>
              <w:keepNext/>
              <w:ind w:right="-229"/>
              <w:jc w:val="left"/>
              <w:rPr>
                <w:color w:val="000000"/>
                <w:sz w:val="20"/>
                <w:lang w:val="es-ES"/>
              </w:rPr>
            </w:pPr>
            <w:r>
              <w:rPr>
                <w:color w:val="000000"/>
                <w:sz w:val="20"/>
                <w:lang w:val="es-ES"/>
              </w:rPr>
              <w:t xml:space="preserve">Financiación convenida para el OE Principal </w:t>
            </w:r>
            <w:r>
              <w:rPr>
                <w:color w:val="000000"/>
                <w:sz w:val="20"/>
                <w:szCs w:val="20"/>
                <w:lang w:val="es-ES" w:eastAsia="en-CA"/>
              </w:rPr>
              <w:t xml:space="preserve">(PNUMA) </w:t>
            </w:r>
            <w:r>
              <w:rPr>
                <w:color w:val="000000"/>
                <w:sz w:val="20"/>
                <w:lang w:val="es-ES"/>
              </w:rPr>
              <w:t>(USD)</w:t>
            </w:r>
          </w:p>
        </w:tc>
        <w:tc>
          <w:tcPr>
            <w:tcW w:w="579" w:type="pct"/>
            <w:tcBorders>
              <w:top w:val="single" w:sz="4" w:space="0" w:color="auto"/>
              <w:bottom w:val="single" w:sz="4" w:space="0" w:color="auto"/>
              <w:right w:val="single" w:sz="4" w:space="0" w:color="auto"/>
            </w:tcBorders>
            <w:vAlign w:val="center"/>
          </w:tcPr>
          <w:p w14:paraId="01671422" w14:textId="2D5AA04B" w:rsidR="00EF59D9" w:rsidRPr="00BE38DF" w:rsidRDefault="00EF59D9" w:rsidP="00EF59D9">
            <w:pPr>
              <w:keepNext/>
              <w:jc w:val="right"/>
              <w:rPr>
                <w:color w:val="000000"/>
                <w:sz w:val="20"/>
              </w:rPr>
            </w:pPr>
            <w:r>
              <w:rPr>
                <w:color w:val="000000"/>
                <w:sz w:val="20"/>
              </w:rPr>
              <w:t>74.500</w:t>
            </w:r>
          </w:p>
        </w:tc>
        <w:tc>
          <w:tcPr>
            <w:tcW w:w="461" w:type="pct"/>
            <w:tcBorders>
              <w:top w:val="single" w:sz="4" w:space="0" w:color="auto"/>
              <w:left w:val="nil"/>
              <w:bottom w:val="single" w:sz="4" w:space="0" w:color="auto"/>
              <w:right w:val="single" w:sz="4" w:space="0" w:color="auto"/>
            </w:tcBorders>
            <w:vAlign w:val="center"/>
          </w:tcPr>
          <w:p w14:paraId="6A7C155F" w14:textId="3B661B1B"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354CC01F" w14:textId="253BD9A1" w:rsidR="00EF59D9" w:rsidRPr="00BE38DF" w:rsidRDefault="00EF59D9" w:rsidP="00EF59D9">
            <w:pPr>
              <w:keepNext/>
              <w:jc w:val="right"/>
              <w:rPr>
                <w:color w:val="000000"/>
                <w:sz w:val="20"/>
              </w:rPr>
            </w:pPr>
            <w:r>
              <w:rPr>
                <w:color w:val="000000"/>
                <w:sz w:val="20"/>
              </w:rPr>
              <w:t>60.500</w:t>
            </w:r>
          </w:p>
        </w:tc>
        <w:tc>
          <w:tcPr>
            <w:tcW w:w="461" w:type="pct"/>
            <w:tcBorders>
              <w:top w:val="single" w:sz="4" w:space="0" w:color="auto"/>
              <w:left w:val="nil"/>
              <w:bottom w:val="single" w:sz="4" w:space="0" w:color="auto"/>
              <w:right w:val="single" w:sz="4" w:space="0" w:color="auto"/>
            </w:tcBorders>
            <w:vAlign w:val="center"/>
          </w:tcPr>
          <w:p w14:paraId="5C7325B3" w14:textId="79BB44F6"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487A25F5" w14:textId="313DAE01" w:rsidR="00EF59D9" w:rsidRPr="00BE38DF" w:rsidRDefault="00EF59D9" w:rsidP="00EF59D9">
            <w:pPr>
              <w:keepNext/>
              <w:jc w:val="right"/>
              <w:rPr>
                <w:color w:val="000000"/>
                <w:sz w:val="20"/>
              </w:rPr>
            </w:pPr>
            <w:r>
              <w:rPr>
                <w:color w:val="000000"/>
                <w:sz w:val="20"/>
              </w:rPr>
              <w:t>135.000</w:t>
            </w:r>
          </w:p>
        </w:tc>
      </w:tr>
      <w:tr w:rsidR="00EF59D9" w:rsidRPr="00BE38DF" w14:paraId="788CD18D" w14:textId="77777777" w:rsidTr="002279A6">
        <w:trPr>
          <w:trHeight w:val="56"/>
          <w:jc w:val="center"/>
        </w:trPr>
        <w:tc>
          <w:tcPr>
            <w:tcW w:w="466" w:type="pct"/>
            <w:tcBorders>
              <w:top w:val="nil"/>
              <w:left w:val="single" w:sz="4" w:space="0" w:color="auto"/>
              <w:bottom w:val="single" w:sz="4" w:space="0" w:color="auto"/>
              <w:right w:val="single" w:sz="4" w:space="0" w:color="auto"/>
            </w:tcBorders>
            <w:vAlign w:val="center"/>
            <w:hideMark/>
          </w:tcPr>
          <w:p w14:paraId="0A199260" w14:textId="77777777" w:rsidR="00EF59D9" w:rsidRPr="00BE38DF" w:rsidRDefault="00EF59D9" w:rsidP="00EF59D9">
            <w:pPr>
              <w:keepNext/>
              <w:jc w:val="left"/>
              <w:rPr>
                <w:color w:val="000000"/>
                <w:sz w:val="20"/>
              </w:rPr>
            </w:pPr>
            <w:r>
              <w:rPr>
                <w:color w:val="000000"/>
                <w:sz w:val="20"/>
              </w:rPr>
              <w:t>2.2</w:t>
            </w:r>
          </w:p>
        </w:tc>
        <w:tc>
          <w:tcPr>
            <w:tcW w:w="2109" w:type="pct"/>
            <w:gridSpan w:val="2"/>
            <w:tcBorders>
              <w:top w:val="nil"/>
              <w:left w:val="nil"/>
              <w:bottom w:val="single" w:sz="4" w:space="0" w:color="auto"/>
              <w:right w:val="single" w:sz="4" w:space="0" w:color="auto"/>
            </w:tcBorders>
            <w:vAlign w:val="center"/>
            <w:hideMark/>
          </w:tcPr>
          <w:p w14:paraId="121116D7" w14:textId="77777777" w:rsidR="00EF59D9" w:rsidRPr="004C571B" w:rsidRDefault="00EF59D9" w:rsidP="00EF59D9">
            <w:pPr>
              <w:keepNext/>
              <w:ind w:right="-88"/>
              <w:jc w:val="left"/>
              <w:rPr>
                <w:color w:val="000000"/>
                <w:sz w:val="20"/>
                <w:lang w:val="es-ES"/>
              </w:rPr>
            </w:pPr>
            <w:r>
              <w:rPr>
                <w:color w:val="000000"/>
                <w:sz w:val="20"/>
                <w:lang w:val="es-ES"/>
              </w:rPr>
              <w:t>Gastos de apoyo para el OE Principal (USD)</w:t>
            </w:r>
          </w:p>
        </w:tc>
        <w:tc>
          <w:tcPr>
            <w:tcW w:w="579" w:type="pct"/>
            <w:tcBorders>
              <w:top w:val="single" w:sz="4" w:space="0" w:color="auto"/>
              <w:bottom w:val="single" w:sz="4" w:space="0" w:color="auto"/>
              <w:right w:val="single" w:sz="4" w:space="0" w:color="auto"/>
            </w:tcBorders>
            <w:vAlign w:val="center"/>
          </w:tcPr>
          <w:p w14:paraId="5A60DD6C" w14:textId="24AA437F" w:rsidR="00EF59D9" w:rsidRPr="00BE38DF" w:rsidRDefault="00EF59D9" w:rsidP="00EF59D9">
            <w:pPr>
              <w:keepNext/>
              <w:jc w:val="right"/>
              <w:rPr>
                <w:color w:val="000000"/>
                <w:sz w:val="20"/>
              </w:rPr>
            </w:pPr>
            <w:r>
              <w:rPr>
                <w:color w:val="000000"/>
                <w:sz w:val="20"/>
              </w:rPr>
              <w:t>9.685</w:t>
            </w:r>
          </w:p>
        </w:tc>
        <w:tc>
          <w:tcPr>
            <w:tcW w:w="461" w:type="pct"/>
            <w:tcBorders>
              <w:top w:val="single" w:sz="4" w:space="0" w:color="auto"/>
              <w:left w:val="nil"/>
              <w:bottom w:val="single" w:sz="4" w:space="0" w:color="auto"/>
              <w:right w:val="single" w:sz="4" w:space="0" w:color="auto"/>
            </w:tcBorders>
            <w:vAlign w:val="center"/>
          </w:tcPr>
          <w:p w14:paraId="511B639B" w14:textId="01F0FED2"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22C91650" w14:textId="147C56D7" w:rsidR="00EF59D9" w:rsidRPr="00BE38DF" w:rsidRDefault="00EF59D9" w:rsidP="00EF59D9">
            <w:pPr>
              <w:keepNext/>
              <w:jc w:val="right"/>
              <w:rPr>
                <w:color w:val="000000"/>
                <w:sz w:val="20"/>
              </w:rPr>
            </w:pPr>
            <w:r>
              <w:rPr>
                <w:color w:val="000000"/>
                <w:sz w:val="20"/>
              </w:rPr>
              <w:t>7.865</w:t>
            </w:r>
          </w:p>
        </w:tc>
        <w:tc>
          <w:tcPr>
            <w:tcW w:w="461" w:type="pct"/>
            <w:tcBorders>
              <w:top w:val="single" w:sz="4" w:space="0" w:color="auto"/>
              <w:left w:val="nil"/>
              <w:bottom w:val="single" w:sz="4" w:space="0" w:color="auto"/>
              <w:right w:val="single" w:sz="4" w:space="0" w:color="auto"/>
            </w:tcBorders>
            <w:vAlign w:val="center"/>
          </w:tcPr>
          <w:p w14:paraId="1769CF36" w14:textId="4DD85239"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513EFD6B" w14:textId="5409A3BE" w:rsidR="00EF59D9" w:rsidRPr="00BE38DF" w:rsidRDefault="00EF59D9" w:rsidP="00EF59D9">
            <w:pPr>
              <w:keepNext/>
              <w:jc w:val="right"/>
              <w:rPr>
                <w:color w:val="000000"/>
                <w:sz w:val="20"/>
              </w:rPr>
            </w:pPr>
            <w:r>
              <w:rPr>
                <w:color w:val="000000"/>
                <w:sz w:val="20"/>
              </w:rPr>
              <w:t>17.550</w:t>
            </w:r>
          </w:p>
        </w:tc>
      </w:tr>
      <w:tr w:rsidR="00EF59D9" w:rsidRPr="00BE38DF" w14:paraId="41825B41" w14:textId="77777777" w:rsidTr="002279A6">
        <w:trPr>
          <w:trHeight w:val="62"/>
          <w:jc w:val="center"/>
        </w:trPr>
        <w:tc>
          <w:tcPr>
            <w:tcW w:w="466" w:type="pct"/>
            <w:tcBorders>
              <w:top w:val="nil"/>
              <w:left w:val="single" w:sz="4" w:space="0" w:color="auto"/>
              <w:bottom w:val="single" w:sz="4" w:space="0" w:color="auto"/>
              <w:right w:val="single" w:sz="4" w:space="0" w:color="auto"/>
            </w:tcBorders>
            <w:shd w:val="clear" w:color="auto" w:fill="FFFFFF" w:themeFill="background1"/>
            <w:vAlign w:val="center"/>
            <w:hideMark/>
          </w:tcPr>
          <w:p w14:paraId="3568A721" w14:textId="77777777" w:rsidR="00EF59D9" w:rsidRPr="00BE38DF" w:rsidRDefault="00EF59D9" w:rsidP="00EF59D9">
            <w:pPr>
              <w:keepNext/>
              <w:jc w:val="left"/>
              <w:rPr>
                <w:color w:val="000000"/>
                <w:sz w:val="20"/>
              </w:rPr>
            </w:pPr>
            <w:r>
              <w:rPr>
                <w:color w:val="000000"/>
                <w:sz w:val="20"/>
              </w:rPr>
              <w:t>3.1</w:t>
            </w:r>
          </w:p>
        </w:tc>
        <w:tc>
          <w:tcPr>
            <w:tcW w:w="2109" w:type="pct"/>
            <w:gridSpan w:val="2"/>
            <w:tcBorders>
              <w:top w:val="nil"/>
              <w:left w:val="nil"/>
              <w:bottom w:val="single" w:sz="4" w:space="0" w:color="auto"/>
              <w:right w:val="single" w:sz="4" w:space="0" w:color="auto"/>
            </w:tcBorders>
            <w:vAlign w:val="center"/>
            <w:hideMark/>
          </w:tcPr>
          <w:p w14:paraId="0AE068BF" w14:textId="77777777" w:rsidR="00EF59D9" w:rsidRPr="00BE38DF" w:rsidRDefault="00EF59D9" w:rsidP="00EF59D9">
            <w:pPr>
              <w:keepNext/>
              <w:jc w:val="left"/>
              <w:rPr>
                <w:color w:val="000000"/>
                <w:sz w:val="20"/>
              </w:rPr>
            </w:pPr>
            <w:r>
              <w:rPr>
                <w:color w:val="000000"/>
                <w:sz w:val="20"/>
              </w:rPr>
              <w:t>Financiación convenida total (USD)</w:t>
            </w:r>
          </w:p>
        </w:tc>
        <w:tc>
          <w:tcPr>
            <w:tcW w:w="579" w:type="pct"/>
            <w:tcBorders>
              <w:top w:val="single" w:sz="4" w:space="0" w:color="auto"/>
              <w:bottom w:val="single" w:sz="4" w:space="0" w:color="auto"/>
              <w:right w:val="single" w:sz="4" w:space="0" w:color="auto"/>
            </w:tcBorders>
            <w:vAlign w:val="center"/>
          </w:tcPr>
          <w:p w14:paraId="684299E1" w14:textId="7DE3C636" w:rsidR="00EF59D9" w:rsidRPr="00BE38DF" w:rsidRDefault="00EF59D9" w:rsidP="00EF59D9">
            <w:pPr>
              <w:keepNext/>
              <w:jc w:val="right"/>
              <w:rPr>
                <w:color w:val="000000"/>
                <w:sz w:val="20"/>
              </w:rPr>
            </w:pPr>
            <w:r>
              <w:rPr>
                <w:color w:val="000000"/>
                <w:sz w:val="20"/>
              </w:rPr>
              <w:t>74.500</w:t>
            </w:r>
          </w:p>
        </w:tc>
        <w:tc>
          <w:tcPr>
            <w:tcW w:w="461" w:type="pct"/>
            <w:tcBorders>
              <w:top w:val="single" w:sz="4" w:space="0" w:color="auto"/>
              <w:left w:val="nil"/>
              <w:bottom w:val="single" w:sz="4" w:space="0" w:color="auto"/>
              <w:right w:val="single" w:sz="4" w:space="0" w:color="auto"/>
            </w:tcBorders>
            <w:vAlign w:val="center"/>
          </w:tcPr>
          <w:p w14:paraId="5E16479F" w14:textId="65DA14BE"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17C67468" w14:textId="46B9DC7B" w:rsidR="00EF59D9" w:rsidRPr="00BE38DF" w:rsidRDefault="00EF59D9" w:rsidP="00EF59D9">
            <w:pPr>
              <w:keepNext/>
              <w:jc w:val="right"/>
              <w:rPr>
                <w:color w:val="000000"/>
                <w:sz w:val="20"/>
              </w:rPr>
            </w:pPr>
            <w:r>
              <w:rPr>
                <w:color w:val="000000"/>
                <w:sz w:val="20"/>
              </w:rPr>
              <w:t>60.500</w:t>
            </w:r>
          </w:p>
        </w:tc>
        <w:tc>
          <w:tcPr>
            <w:tcW w:w="461" w:type="pct"/>
            <w:tcBorders>
              <w:top w:val="single" w:sz="4" w:space="0" w:color="auto"/>
              <w:left w:val="nil"/>
              <w:bottom w:val="single" w:sz="4" w:space="0" w:color="auto"/>
              <w:right w:val="single" w:sz="4" w:space="0" w:color="auto"/>
            </w:tcBorders>
            <w:vAlign w:val="center"/>
          </w:tcPr>
          <w:p w14:paraId="336C84DC" w14:textId="1BF98A4E"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6531C5E9" w14:textId="58D796E9" w:rsidR="00EF59D9" w:rsidRPr="00BE38DF" w:rsidRDefault="00EF59D9" w:rsidP="00EF59D9">
            <w:pPr>
              <w:keepNext/>
              <w:jc w:val="right"/>
              <w:rPr>
                <w:color w:val="000000"/>
                <w:sz w:val="20"/>
              </w:rPr>
            </w:pPr>
            <w:r>
              <w:rPr>
                <w:color w:val="000000"/>
                <w:sz w:val="20"/>
              </w:rPr>
              <w:t>135.000</w:t>
            </w:r>
          </w:p>
        </w:tc>
      </w:tr>
      <w:tr w:rsidR="00EF59D9" w:rsidRPr="00BE38DF" w14:paraId="3BF432D4" w14:textId="77777777" w:rsidTr="002279A6">
        <w:trPr>
          <w:trHeight w:val="62"/>
          <w:jc w:val="center"/>
        </w:trPr>
        <w:tc>
          <w:tcPr>
            <w:tcW w:w="466" w:type="pct"/>
            <w:tcBorders>
              <w:top w:val="nil"/>
              <w:left w:val="single" w:sz="4" w:space="0" w:color="auto"/>
              <w:bottom w:val="single" w:sz="4" w:space="0" w:color="auto"/>
              <w:right w:val="single" w:sz="4" w:space="0" w:color="auto"/>
            </w:tcBorders>
            <w:shd w:val="clear" w:color="auto" w:fill="FFFFFF" w:themeFill="background1"/>
            <w:vAlign w:val="center"/>
            <w:hideMark/>
          </w:tcPr>
          <w:p w14:paraId="40F39DC3" w14:textId="77777777" w:rsidR="00EF59D9" w:rsidRPr="00BE38DF" w:rsidRDefault="00EF59D9" w:rsidP="00EF59D9">
            <w:pPr>
              <w:keepNext/>
              <w:jc w:val="left"/>
              <w:rPr>
                <w:color w:val="000000"/>
                <w:sz w:val="20"/>
              </w:rPr>
            </w:pPr>
            <w:r>
              <w:rPr>
                <w:color w:val="000000"/>
                <w:sz w:val="20"/>
              </w:rPr>
              <w:t>3.2</w:t>
            </w:r>
          </w:p>
        </w:tc>
        <w:tc>
          <w:tcPr>
            <w:tcW w:w="2109" w:type="pct"/>
            <w:gridSpan w:val="2"/>
            <w:tcBorders>
              <w:top w:val="nil"/>
              <w:left w:val="nil"/>
              <w:bottom w:val="single" w:sz="4" w:space="0" w:color="auto"/>
              <w:right w:val="single" w:sz="4" w:space="0" w:color="auto"/>
            </w:tcBorders>
            <w:vAlign w:val="center"/>
            <w:hideMark/>
          </w:tcPr>
          <w:p w14:paraId="5CF810D0" w14:textId="77777777" w:rsidR="00EF59D9" w:rsidRPr="004C571B" w:rsidRDefault="00EF59D9" w:rsidP="00EF59D9">
            <w:pPr>
              <w:keepNext/>
              <w:jc w:val="left"/>
              <w:rPr>
                <w:color w:val="000000"/>
                <w:sz w:val="20"/>
                <w:lang w:val="es-ES"/>
              </w:rPr>
            </w:pPr>
            <w:r>
              <w:rPr>
                <w:color w:val="000000"/>
                <w:sz w:val="20"/>
                <w:lang w:val="es-ES"/>
              </w:rPr>
              <w:t>Total gastos de apoyo (USD)</w:t>
            </w:r>
          </w:p>
        </w:tc>
        <w:tc>
          <w:tcPr>
            <w:tcW w:w="579" w:type="pct"/>
            <w:tcBorders>
              <w:top w:val="single" w:sz="4" w:space="0" w:color="auto"/>
              <w:bottom w:val="single" w:sz="4" w:space="0" w:color="auto"/>
              <w:right w:val="single" w:sz="4" w:space="0" w:color="auto"/>
            </w:tcBorders>
            <w:vAlign w:val="center"/>
          </w:tcPr>
          <w:p w14:paraId="1801C459" w14:textId="41CB04C2" w:rsidR="00EF59D9" w:rsidRPr="00BE38DF" w:rsidRDefault="00EF59D9" w:rsidP="00EF59D9">
            <w:pPr>
              <w:keepNext/>
              <w:jc w:val="right"/>
              <w:rPr>
                <w:color w:val="000000"/>
                <w:sz w:val="20"/>
              </w:rPr>
            </w:pPr>
            <w:r>
              <w:rPr>
                <w:color w:val="000000"/>
                <w:sz w:val="20"/>
              </w:rPr>
              <w:t>9.685</w:t>
            </w:r>
          </w:p>
        </w:tc>
        <w:tc>
          <w:tcPr>
            <w:tcW w:w="461" w:type="pct"/>
            <w:tcBorders>
              <w:top w:val="single" w:sz="4" w:space="0" w:color="auto"/>
              <w:left w:val="nil"/>
              <w:bottom w:val="single" w:sz="4" w:space="0" w:color="auto"/>
              <w:right w:val="single" w:sz="4" w:space="0" w:color="auto"/>
            </w:tcBorders>
            <w:vAlign w:val="center"/>
          </w:tcPr>
          <w:p w14:paraId="16D6489A" w14:textId="7B01F2C2"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35ABED40" w14:textId="67219085" w:rsidR="00EF59D9" w:rsidRPr="00BE38DF" w:rsidRDefault="00EF59D9" w:rsidP="00EF59D9">
            <w:pPr>
              <w:keepNext/>
              <w:jc w:val="right"/>
              <w:rPr>
                <w:color w:val="000000"/>
                <w:sz w:val="20"/>
              </w:rPr>
            </w:pPr>
            <w:r>
              <w:rPr>
                <w:color w:val="000000"/>
                <w:sz w:val="20"/>
              </w:rPr>
              <w:t>7.865</w:t>
            </w:r>
          </w:p>
        </w:tc>
        <w:tc>
          <w:tcPr>
            <w:tcW w:w="461" w:type="pct"/>
            <w:tcBorders>
              <w:top w:val="single" w:sz="4" w:space="0" w:color="auto"/>
              <w:left w:val="nil"/>
              <w:bottom w:val="single" w:sz="4" w:space="0" w:color="auto"/>
              <w:right w:val="single" w:sz="4" w:space="0" w:color="auto"/>
            </w:tcBorders>
            <w:vAlign w:val="center"/>
          </w:tcPr>
          <w:p w14:paraId="1FB977A9" w14:textId="7D076EAC"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293045D8" w14:textId="2087796D" w:rsidR="00EF59D9" w:rsidRPr="00BE38DF" w:rsidRDefault="00EF59D9" w:rsidP="00EF59D9">
            <w:pPr>
              <w:keepNext/>
              <w:jc w:val="right"/>
              <w:rPr>
                <w:color w:val="000000"/>
                <w:sz w:val="20"/>
              </w:rPr>
            </w:pPr>
            <w:r>
              <w:rPr>
                <w:color w:val="000000"/>
                <w:sz w:val="20"/>
              </w:rPr>
              <w:t>17.550</w:t>
            </w:r>
          </w:p>
        </w:tc>
      </w:tr>
      <w:tr w:rsidR="00EF59D9" w:rsidRPr="00BE38DF" w14:paraId="32FE69B4" w14:textId="77777777" w:rsidTr="002279A6">
        <w:trPr>
          <w:trHeight w:val="54"/>
          <w:jc w:val="center"/>
        </w:trPr>
        <w:tc>
          <w:tcPr>
            <w:tcW w:w="466" w:type="pct"/>
            <w:tcBorders>
              <w:top w:val="nil"/>
              <w:left w:val="single" w:sz="4" w:space="0" w:color="auto"/>
              <w:bottom w:val="single" w:sz="4" w:space="0" w:color="auto"/>
              <w:right w:val="single" w:sz="4" w:space="0" w:color="auto"/>
            </w:tcBorders>
            <w:shd w:val="clear" w:color="auto" w:fill="FFFFFF" w:themeFill="background1"/>
            <w:vAlign w:val="center"/>
            <w:hideMark/>
          </w:tcPr>
          <w:p w14:paraId="224ED42C" w14:textId="77777777" w:rsidR="00EF59D9" w:rsidRPr="00BE38DF" w:rsidRDefault="00EF59D9" w:rsidP="00EF59D9">
            <w:pPr>
              <w:jc w:val="left"/>
              <w:rPr>
                <w:color w:val="000000"/>
                <w:sz w:val="20"/>
              </w:rPr>
            </w:pPr>
            <w:r>
              <w:rPr>
                <w:color w:val="000000"/>
                <w:sz w:val="20"/>
              </w:rPr>
              <w:t>3.3</w:t>
            </w:r>
          </w:p>
        </w:tc>
        <w:tc>
          <w:tcPr>
            <w:tcW w:w="2109" w:type="pct"/>
            <w:gridSpan w:val="2"/>
            <w:tcBorders>
              <w:top w:val="nil"/>
              <w:left w:val="nil"/>
              <w:bottom w:val="single" w:sz="4" w:space="0" w:color="auto"/>
              <w:right w:val="single" w:sz="4" w:space="0" w:color="auto"/>
            </w:tcBorders>
            <w:vAlign w:val="center"/>
            <w:hideMark/>
          </w:tcPr>
          <w:p w14:paraId="452E57B4" w14:textId="77777777" w:rsidR="00EF59D9" w:rsidRPr="00BE38DF" w:rsidRDefault="00EF59D9" w:rsidP="00EF59D9">
            <w:pPr>
              <w:jc w:val="left"/>
              <w:rPr>
                <w:color w:val="000000"/>
                <w:sz w:val="20"/>
              </w:rPr>
            </w:pPr>
            <w:r>
              <w:rPr>
                <w:color w:val="000000"/>
                <w:sz w:val="20"/>
              </w:rPr>
              <w:t>Gastos convenidos totales (USD)</w:t>
            </w:r>
          </w:p>
        </w:tc>
        <w:tc>
          <w:tcPr>
            <w:tcW w:w="579" w:type="pct"/>
            <w:tcBorders>
              <w:top w:val="single" w:sz="4" w:space="0" w:color="auto"/>
              <w:bottom w:val="single" w:sz="4" w:space="0" w:color="auto"/>
              <w:right w:val="single" w:sz="4" w:space="0" w:color="auto"/>
            </w:tcBorders>
            <w:vAlign w:val="center"/>
          </w:tcPr>
          <w:p w14:paraId="51268E7F" w14:textId="239B3A00" w:rsidR="00EF59D9" w:rsidRPr="00BE38DF" w:rsidRDefault="00EF59D9" w:rsidP="00EF59D9">
            <w:pPr>
              <w:jc w:val="right"/>
              <w:rPr>
                <w:color w:val="000000"/>
                <w:sz w:val="20"/>
              </w:rPr>
            </w:pPr>
            <w:r>
              <w:rPr>
                <w:color w:val="000000"/>
                <w:sz w:val="20"/>
              </w:rPr>
              <w:t>84.185</w:t>
            </w:r>
          </w:p>
        </w:tc>
        <w:tc>
          <w:tcPr>
            <w:tcW w:w="461" w:type="pct"/>
            <w:tcBorders>
              <w:top w:val="single" w:sz="4" w:space="0" w:color="auto"/>
              <w:left w:val="nil"/>
              <w:bottom w:val="single" w:sz="4" w:space="0" w:color="auto"/>
              <w:right w:val="single" w:sz="4" w:space="0" w:color="auto"/>
            </w:tcBorders>
            <w:vAlign w:val="center"/>
          </w:tcPr>
          <w:p w14:paraId="4F356F35" w14:textId="5850ACF7"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4FF8329F" w14:textId="16CAE8AA" w:rsidR="00EF59D9" w:rsidRPr="00BE38DF" w:rsidRDefault="00EF59D9" w:rsidP="00EF59D9">
            <w:pPr>
              <w:jc w:val="right"/>
              <w:rPr>
                <w:color w:val="000000"/>
                <w:sz w:val="20"/>
              </w:rPr>
            </w:pPr>
            <w:r>
              <w:rPr>
                <w:color w:val="000000"/>
                <w:sz w:val="20"/>
              </w:rPr>
              <w:t>68.365</w:t>
            </w:r>
          </w:p>
        </w:tc>
        <w:tc>
          <w:tcPr>
            <w:tcW w:w="461" w:type="pct"/>
            <w:tcBorders>
              <w:top w:val="single" w:sz="4" w:space="0" w:color="auto"/>
              <w:left w:val="nil"/>
              <w:bottom w:val="single" w:sz="4" w:space="0" w:color="auto"/>
              <w:right w:val="single" w:sz="4" w:space="0" w:color="auto"/>
            </w:tcBorders>
            <w:vAlign w:val="center"/>
          </w:tcPr>
          <w:p w14:paraId="7FBAECF4" w14:textId="02D3293A"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41213BC2" w14:textId="5384C7F0" w:rsidR="00EF59D9" w:rsidRPr="00BE38DF" w:rsidRDefault="00EF59D9" w:rsidP="00EF59D9">
            <w:pPr>
              <w:jc w:val="right"/>
              <w:rPr>
                <w:color w:val="000000"/>
                <w:sz w:val="20"/>
              </w:rPr>
            </w:pPr>
            <w:r>
              <w:rPr>
                <w:color w:val="000000"/>
                <w:sz w:val="20"/>
              </w:rPr>
              <w:t>152.550</w:t>
            </w:r>
          </w:p>
        </w:tc>
      </w:tr>
    </w:tbl>
    <w:p w14:paraId="387713E2" w14:textId="77777777" w:rsidR="00CB0432" w:rsidRPr="004C571B" w:rsidRDefault="00CB0432" w:rsidP="00CB0432">
      <w:pPr>
        <w:keepNext/>
        <w:spacing w:before="360" w:after="240"/>
        <w:rPr>
          <w:b/>
          <w:bCs/>
          <w:lang w:val="es-ES"/>
        </w:rPr>
      </w:pPr>
      <w:r>
        <w:rPr>
          <w:b/>
          <w:bCs/>
          <w:lang w:val="es-ES"/>
        </w:rPr>
        <w:t>APÉNDICE 3‑A: CALENDARIO DE APROBACIÓN DE LA FINANCIACIÓN</w:t>
      </w:r>
    </w:p>
    <w:p w14:paraId="4B42A130" w14:textId="4C532A93" w:rsidR="00CB0432" w:rsidRPr="004C571B" w:rsidRDefault="00CB0432" w:rsidP="00DE2C96">
      <w:pPr>
        <w:pStyle w:val="Heading1"/>
        <w:numPr>
          <w:ilvl w:val="0"/>
          <w:numId w:val="10"/>
        </w:numPr>
        <w:rPr>
          <w:lang w:val="es-ES"/>
        </w:rPr>
      </w:pPr>
      <w:r>
        <w:rPr>
          <w:lang w:val="es-ES"/>
        </w:rPr>
        <w:t>La financiación para los tramos futuros se examinará para su aprobación en la segunda reunión del año especificado en el Apéndice 2‑A.</w:t>
      </w:r>
    </w:p>
    <w:p w14:paraId="562E9158" w14:textId="601A51D4" w:rsidR="00CB0432" w:rsidRPr="004C571B" w:rsidRDefault="00CB0432" w:rsidP="00CB0432">
      <w:pPr>
        <w:keepNext/>
        <w:spacing w:before="360" w:after="240"/>
        <w:rPr>
          <w:b/>
          <w:bCs/>
          <w:lang w:val="es-ES"/>
        </w:rPr>
      </w:pPr>
      <w:r>
        <w:rPr>
          <w:b/>
          <w:bCs/>
          <w:lang w:val="es-ES"/>
        </w:rPr>
        <w:lastRenderedPageBreak/>
        <w:t>APÉNDICE 4‑A: FORMATO DE LOS PLANES E INFORMES DE EJECUCIÓN DE TRAMOS</w:t>
      </w:r>
    </w:p>
    <w:p w14:paraId="538AADD1" w14:textId="77777777" w:rsidR="00CB0432" w:rsidRPr="004C571B" w:rsidRDefault="00CB0432" w:rsidP="00DE2C96">
      <w:pPr>
        <w:pStyle w:val="Heading1"/>
        <w:numPr>
          <w:ilvl w:val="0"/>
          <w:numId w:val="11"/>
        </w:numPr>
        <w:rPr>
          <w:lang w:val="es-ES"/>
        </w:rPr>
      </w:pPr>
      <w:r>
        <w:rPr>
          <w:lang w:val="es-ES"/>
        </w:rPr>
        <w:t>La presentación del Informe de Ejecución de Tramo y de los Planes para cada tramo solicitado constará de cuatro partes:</w:t>
      </w:r>
    </w:p>
    <w:p w14:paraId="0A3B0465" w14:textId="77777777" w:rsidR="00CB0432" w:rsidRPr="004C571B" w:rsidRDefault="00CB0432" w:rsidP="00CB0432">
      <w:pPr>
        <w:pStyle w:val="Heading2"/>
        <w:rPr>
          <w:lang w:val="es-ES"/>
        </w:rPr>
      </w:pPr>
      <w:r>
        <w:rPr>
          <w:lang w:val="es-ES"/>
        </w:rPr>
        <w:t>Un informe descriptivo, con datos proporcionados por tramo, en el que se describan los avances logrados desde el informe anterior, se refleje la situación del País en lo que respecta a la reducción gradual de las sustancias del Anexo F, cómo contribuyen a ello las diferentes actividades y cómo se relacionan entre sí, incluidas, cuando proceda, las actividades relacionadas con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las alternativas, a fin de que la Secretaría pueda informar al Comité Ejecutivo sobre el cambio resultante en las emisiones relevantes para el clima. El informe deberá incluir asimismo información cuantitativa sobre las actividades ejecutadas y destacar los éxitos, las experiencias y las dificultades relacionadas con las distintas actividades incluidas en el plan, reflejando cualquier cambio en las circunstancias del País y proporcionando otra información pertinente. El informe deberá incluir asimismo información y una justificación de cualquier cambio con respecto a los planes de ejecución del tramo presentados anteriormente, tales como retrasos, el uso de la flexibilidad en la reasignación de fondos durante la ejecución del tramo, tal y como se establece en el párrafo 7 del presente Acuerdo, u otros cambios;</w:t>
      </w:r>
    </w:p>
    <w:p w14:paraId="15244586" w14:textId="77777777" w:rsidR="00CB0432" w:rsidRPr="004C571B" w:rsidRDefault="00CB0432" w:rsidP="00CB0432">
      <w:pPr>
        <w:pStyle w:val="Heading2"/>
        <w:rPr>
          <w:lang w:val="es-ES"/>
        </w:rPr>
      </w:pPr>
      <w:r>
        <w:rPr>
          <w:lang w:val="es-ES"/>
        </w:rPr>
        <w:t>Un informe de verificación independiente de resultados del Plan y del consumo de sustancias del Anexo F, según lo previsto en el inciso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inciso 5 a) del Acuerdo;</w:t>
      </w:r>
    </w:p>
    <w:p w14:paraId="2B8BED50" w14:textId="77777777" w:rsidR="00CB0432" w:rsidRPr="004C571B" w:rsidRDefault="00CB0432" w:rsidP="00CB0432">
      <w:pPr>
        <w:pStyle w:val="Heading2"/>
        <w:rPr>
          <w:lang w:val="es-ES"/>
        </w:rPr>
      </w:pPr>
      <w:r>
        <w:rPr>
          <w:lang w:val="es-ES"/>
        </w:rPr>
        <w:t>Una descripción por escrito de las actividades que se llevarán a cabo durante el período cubierto por el tramo solicitado, incluida información cuantitativa, en la que se destaquen los hitos de ejecución, el plazo de finalización y la interdependencia de las actividades, y teniendo en cuenta la experiencia adquirida y los avances logrados en la ejecución de los tramos anteriores; los datos del Plan se facilitarán por año civil. La descripción deberá incluir una referencia al Plan general y a los avances logrados, así como a cualquier posible cambio previsto en el Plan general. La descripción deberá, asimismo, especificar y explicar detalladamente dichos cambios en el Plan general. Esta descripción de las actividades futuras podrá presentarse como parte del mismo documento que el informe narrativo previsto en el inciso 1 a) anterior; y</w:t>
      </w:r>
    </w:p>
    <w:p w14:paraId="321BE26A" w14:textId="77777777" w:rsidR="00CB0432" w:rsidRPr="004C571B" w:rsidRDefault="00CB0432" w:rsidP="00CB0432">
      <w:pPr>
        <w:pStyle w:val="Heading2"/>
        <w:rPr>
          <w:lang w:val="es-ES"/>
        </w:rPr>
      </w:pPr>
      <w:r>
        <w:rPr>
          <w:lang w:val="es-ES"/>
        </w:rPr>
        <w:t>Un Resumen Ejecutivo de unos cinco párrafos con una síntesis de la información de los incisos 1 a) a 1 c) anteriores.</w:t>
      </w:r>
    </w:p>
    <w:p w14:paraId="72C9D9DE" w14:textId="77777777" w:rsidR="00CB0432" w:rsidRPr="004C571B" w:rsidRDefault="00CB0432" w:rsidP="00CB0432">
      <w:pPr>
        <w:keepNext/>
        <w:shd w:val="clear" w:color="auto" w:fill="FFFFFF" w:themeFill="background1"/>
        <w:spacing w:before="360" w:after="240"/>
        <w:rPr>
          <w:b/>
          <w:bCs/>
          <w:lang w:val="es-ES"/>
        </w:rPr>
      </w:pPr>
      <w:r>
        <w:rPr>
          <w:b/>
          <w:bCs/>
          <w:lang w:val="es-ES"/>
        </w:rPr>
        <w:t>APÉNDICE 5‑A: INSTITUCIONES DE SUPERVISIÓN Y FUNCIONES</w:t>
      </w:r>
    </w:p>
    <w:p w14:paraId="59AD4FD1" w14:textId="74FA9C35" w:rsidR="00486098" w:rsidRPr="004C571B" w:rsidRDefault="00486098" w:rsidP="00DE2C96">
      <w:pPr>
        <w:pStyle w:val="Heading1"/>
        <w:numPr>
          <w:ilvl w:val="0"/>
          <w:numId w:val="15"/>
        </w:numPr>
        <w:rPr>
          <w:lang w:val="es-ES"/>
        </w:rPr>
      </w:pPr>
      <w:r>
        <w:rPr>
          <w:lang w:val="es-ES"/>
        </w:rPr>
        <w:t>La Oficina Nacional del Ozono (ONO), dependiente del Ministerio del Medio Ambiente, Juventud y Turismo Sostenible de Santo Tomé y Príncipe, es responsable del seguimiento del avance de la ejecución de las actividades del Plan.</w:t>
      </w:r>
    </w:p>
    <w:p w14:paraId="68DBDBB1" w14:textId="693EBD58" w:rsidR="00486098" w:rsidRPr="004C571B" w:rsidRDefault="00486098" w:rsidP="00282520">
      <w:pPr>
        <w:pStyle w:val="Heading1"/>
        <w:rPr>
          <w:lang w:val="es-ES"/>
        </w:rPr>
      </w:pPr>
      <w:r>
        <w:rPr>
          <w:lang w:val="es-ES"/>
        </w:rPr>
        <w:t xml:space="preserve">La supervisión se llevará a cabo durante la ejecución del Plan para asegurar la ejecución eficiente y eficaz; la coordinación global de los proyectos; la implicación y la coordinación de las partes interesadas; </w:t>
      </w:r>
      <w:r>
        <w:rPr>
          <w:lang w:val="es-ES"/>
        </w:rPr>
        <w:lastRenderedPageBreak/>
        <w:t>la ejecución sin dificultades de las actividades previstas en el marco de los diversos tramos; la celebración de capacitaciones y otros resultados planeados; y la facilitación de la verificación del consumo de HFC emprendida por el Organismo de Ejecución Principal.</w:t>
      </w:r>
    </w:p>
    <w:p w14:paraId="2F0AF3E0" w14:textId="6DA4E17E" w:rsidR="00486098" w:rsidRPr="004C571B" w:rsidRDefault="00486098" w:rsidP="00282520">
      <w:pPr>
        <w:pStyle w:val="Heading1"/>
        <w:rPr>
          <w:lang w:val="es-ES"/>
        </w:rPr>
      </w:pPr>
      <w:r>
        <w:rPr>
          <w:lang w:val="es-ES"/>
        </w:rPr>
        <w:t xml:space="preserve">El Ministerio de Medio Ambiente, Juventud y Turismo Sostenible del País será responsable de la sostenibilidad de los objetivos de reducción de consumo logrados mediante el Acuerdo. </w:t>
      </w:r>
    </w:p>
    <w:p w14:paraId="35F48CBD" w14:textId="77777777" w:rsidR="00CB0432" w:rsidRPr="004C571B" w:rsidRDefault="00CB0432" w:rsidP="00CB0432">
      <w:pPr>
        <w:keepNext/>
        <w:spacing w:before="360" w:after="240"/>
        <w:rPr>
          <w:b/>
          <w:bCs/>
          <w:lang w:val="es-ES"/>
        </w:rPr>
      </w:pPr>
      <w:r>
        <w:rPr>
          <w:b/>
          <w:bCs/>
          <w:lang w:val="es-ES"/>
        </w:rPr>
        <w:t>APÉNDICE 6‑A: FUNCIÓN DEL ORGANISMO DE EJECUCIÓN PRINCIPAL</w:t>
      </w:r>
    </w:p>
    <w:p w14:paraId="01C81098" w14:textId="77777777" w:rsidR="00CB0432" w:rsidRPr="004C571B" w:rsidRDefault="00CB0432" w:rsidP="00DE2C96">
      <w:pPr>
        <w:pStyle w:val="Heading1"/>
        <w:numPr>
          <w:ilvl w:val="0"/>
          <w:numId w:val="12"/>
        </w:numPr>
        <w:rPr>
          <w:lang w:val="es-ES"/>
        </w:rPr>
      </w:pPr>
      <w:r>
        <w:rPr>
          <w:lang w:val="es-ES"/>
        </w:rPr>
        <w:t>El Organismo de Ejecución Principal tendrá, como mínimo, las siguientes responsabilidades:</w:t>
      </w:r>
    </w:p>
    <w:p w14:paraId="73315A34" w14:textId="77777777" w:rsidR="00CB0432" w:rsidRPr="004C571B" w:rsidRDefault="00CB0432" w:rsidP="00CB0432">
      <w:pPr>
        <w:pStyle w:val="Heading2"/>
        <w:rPr>
          <w:lang w:val="es-ES"/>
        </w:rPr>
      </w:pPr>
      <w:r>
        <w:rPr>
          <w:lang w:val="es-ES"/>
        </w:rPr>
        <w:t>Velar por que el desempeño y la gestión financiera se verifiquen según lo previsto en el presente Acuerdo y en los procedimientos y requisitos internos específicos establecidos en el Plan para el País;</w:t>
      </w:r>
    </w:p>
    <w:p w14:paraId="475E6591" w14:textId="77777777" w:rsidR="00CB0432" w:rsidRPr="004C571B" w:rsidRDefault="00CB0432" w:rsidP="00CB0432">
      <w:pPr>
        <w:pStyle w:val="Heading2"/>
        <w:rPr>
          <w:lang w:val="es-ES"/>
        </w:rPr>
      </w:pPr>
      <w:r>
        <w:rPr>
          <w:lang w:val="es-ES"/>
        </w:rPr>
        <w:t>Colaborar con el País en la elaboración de los informes y planes de ejecución de tramos previstos en el Apéndice 4‑A;</w:t>
      </w:r>
    </w:p>
    <w:p w14:paraId="0B6B5301" w14:textId="77777777" w:rsidR="00CB0432" w:rsidRPr="004C571B" w:rsidRDefault="00CB0432" w:rsidP="00CB0432">
      <w:pPr>
        <w:pStyle w:val="Heading2"/>
        <w:rPr>
          <w:lang w:val="es-ES"/>
        </w:rPr>
      </w:pPr>
      <w:r>
        <w:rPr>
          <w:lang w:val="es-ES"/>
        </w:rPr>
        <w:t>Proporcionar al Comité Ejecutivo verificación independiente de haberse alcanzado los Objetivos y completado las actividades asociadas del tramo, como se indica en el Plan de Ejecución del Tramo, de conformidad con el Apéndice 4‑A;</w:t>
      </w:r>
    </w:p>
    <w:p w14:paraId="2F5C1359" w14:textId="77777777" w:rsidR="00CB0432" w:rsidRPr="004C571B" w:rsidRDefault="00CB0432" w:rsidP="00CB0432">
      <w:pPr>
        <w:pStyle w:val="Heading2"/>
        <w:rPr>
          <w:lang w:val="es-ES"/>
        </w:rPr>
      </w:pPr>
      <w:r>
        <w:rPr>
          <w:lang w:val="es-ES"/>
        </w:rPr>
        <w:t>Asegurar que las experiencias y avances se reflejen en las actualizaciones del Plan general y en los futuros Planes de Ejecución de Tramos, de conformidad con el inciso 1 c) del Apéndice 4‑A;</w:t>
      </w:r>
    </w:p>
    <w:p w14:paraId="7A5F09D5" w14:textId="41349916" w:rsidR="00CB0432" w:rsidRPr="004C571B" w:rsidRDefault="00CB0432" w:rsidP="00CB0432">
      <w:pPr>
        <w:pStyle w:val="Heading2"/>
        <w:rPr>
          <w:lang w:val="es-ES"/>
        </w:rPr>
      </w:pPr>
      <w:r>
        <w:rPr>
          <w:lang w:val="es-ES"/>
        </w:rPr>
        <w:t>Presentar al Comité Ejecutivo los informes y planes de ejecución de tramos y los informes sobre el plan general según los requisitos especificados en el Apéndice 4‑A;</w:t>
      </w:r>
    </w:p>
    <w:p w14:paraId="2B091BAE" w14:textId="77777777" w:rsidR="00CB0432" w:rsidRPr="004C571B" w:rsidRDefault="00CB0432" w:rsidP="00CB0432">
      <w:pPr>
        <w:pStyle w:val="Heading2"/>
        <w:rPr>
          <w:lang w:val="es-ES"/>
        </w:rPr>
      </w:pPr>
      <w:r>
        <w:rPr>
          <w:lang w:val="es-ES"/>
        </w:rPr>
        <w:t>Cuando el tramo final de la financiación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177799E3" w14:textId="77777777" w:rsidR="00CB0432" w:rsidRPr="004C571B" w:rsidRDefault="00CB0432" w:rsidP="00CB0432">
      <w:pPr>
        <w:pStyle w:val="Heading2"/>
        <w:rPr>
          <w:lang w:val="es-ES"/>
        </w:rPr>
      </w:pPr>
      <w:r>
        <w:rPr>
          <w:lang w:val="es-ES"/>
        </w:rPr>
        <w:t>Velar por que las evaluaciones técnicas las realicen expertos independientes calificados;</w:t>
      </w:r>
    </w:p>
    <w:p w14:paraId="62574B5E" w14:textId="77777777" w:rsidR="00CB0432" w:rsidRPr="004C571B" w:rsidRDefault="00CB0432" w:rsidP="00CB0432">
      <w:pPr>
        <w:pStyle w:val="Heading2"/>
        <w:rPr>
          <w:lang w:val="es-ES"/>
        </w:rPr>
      </w:pPr>
      <w:r>
        <w:rPr>
          <w:lang w:val="es-ES"/>
        </w:rPr>
        <w:t>Llevar a cabo las misiones de supervisión requeridas;</w:t>
      </w:r>
    </w:p>
    <w:p w14:paraId="49F32DF0" w14:textId="77777777" w:rsidR="00CB0432" w:rsidRPr="004C571B" w:rsidRDefault="00CB0432" w:rsidP="00CB0432">
      <w:pPr>
        <w:pStyle w:val="Heading2"/>
        <w:rPr>
          <w:lang w:val="es-ES"/>
        </w:rPr>
      </w:pPr>
      <w:r>
        <w:rPr>
          <w:lang w:val="es-ES"/>
        </w:rPr>
        <w:t>Asegurar la presencia de un mecanismo de funcionamiento que permita la ejecución eficaz y transparente del Plan de Ejecución del Tramo y la presentación de datos precisos;</w:t>
      </w:r>
    </w:p>
    <w:p w14:paraId="675E700C" w14:textId="7456CE04" w:rsidR="00CB0432" w:rsidRPr="004C571B" w:rsidRDefault="00CB0432" w:rsidP="00CB0432">
      <w:pPr>
        <w:pStyle w:val="Heading2"/>
        <w:rPr>
          <w:lang w:val="es-ES"/>
        </w:rPr>
      </w:pPr>
      <w:r>
        <w:rPr>
          <w:lang w:val="es-ES"/>
        </w:rPr>
        <w:t>De reducirse los fondos en razón del incumplimiento previsto en el párrafo 11 del Acuerdo, asignar las reducciones a las distintas partidas presupuestarias y financiación del Organismo de Ejecución Principal, en consulta con el País;</w:t>
      </w:r>
    </w:p>
    <w:p w14:paraId="2CFD6BB4" w14:textId="77777777" w:rsidR="00CB0432" w:rsidRPr="004C571B" w:rsidRDefault="00CB0432" w:rsidP="00CB0432">
      <w:pPr>
        <w:pStyle w:val="Heading2"/>
        <w:rPr>
          <w:lang w:val="es-ES"/>
        </w:rPr>
      </w:pPr>
      <w:r>
        <w:rPr>
          <w:lang w:val="es-ES"/>
        </w:rPr>
        <w:t>Asegurar que los desembolsos hechos al País se basen en el uso de los indicadores;</w:t>
      </w:r>
    </w:p>
    <w:p w14:paraId="1119AF16" w14:textId="0C56D779" w:rsidR="00CB0432" w:rsidRPr="004C571B" w:rsidRDefault="00CB0432" w:rsidP="00CB0432">
      <w:pPr>
        <w:pStyle w:val="Heading2"/>
        <w:rPr>
          <w:lang w:val="es-ES"/>
        </w:rPr>
      </w:pPr>
      <w:r>
        <w:rPr>
          <w:lang w:val="es-ES"/>
        </w:rPr>
        <w:t>Brindar asistencia respecto de políticas, gestión y apoyo técnico, cuando sea necesario; y</w:t>
      </w:r>
    </w:p>
    <w:p w14:paraId="450EACCA" w14:textId="77777777" w:rsidR="00CB0432" w:rsidRPr="004C571B" w:rsidRDefault="00CB0432" w:rsidP="00CB0432">
      <w:pPr>
        <w:pStyle w:val="Heading2"/>
        <w:rPr>
          <w:lang w:val="es-ES"/>
        </w:rPr>
      </w:pPr>
      <w:r>
        <w:rPr>
          <w:lang w:val="es-ES"/>
        </w:rPr>
        <w:t>Liberación oportuna de fondos al País/empresas participantes para terminar las actividades relacionadas con el proyecto.</w:t>
      </w:r>
    </w:p>
    <w:p w14:paraId="5F07A63C" w14:textId="77777777" w:rsidR="00CB0432" w:rsidRPr="004C571B" w:rsidRDefault="00CB0432" w:rsidP="00CB0432">
      <w:pPr>
        <w:pStyle w:val="Heading1"/>
        <w:rPr>
          <w:lang w:val="es-ES"/>
        </w:rPr>
      </w:pPr>
      <w:r>
        <w:rPr>
          <w:lang w:val="es-ES"/>
        </w:rPr>
        <w:lastRenderedPageBreak/>
        <w:t>Tras consultar con el País y teniendo en cuenta las opiniones que pudieran expresarse, el Organismo de Ejecución Principal seleccionará y encomendará a una entidad independiente la verificación de los resultados del Plan y del consumo de sustancias del Anexo F mencionadas en el Apéndice 1‑A, conforme al inciso 5 b) del Acuerdo y el inciso 1 b) del Apéndice 4‑A.</w:t>
      </w:r>
    </w:p>
    <w:p w14:paraId="55F9ABB9" w14:textId="77777777" w:rsidR="00CB0432" w:rsidRPr="004C571B" w:rsidRDefault="00CB0432" w:rsidP="00CB0432">
      <w:pPr>
        <w:spacing w:before="360" w:after="240"/>
        <w:rPr>
          <w:b/>
          <w:bCs/>
          <w:lang w:val="es-ES"/>
        </w:rPr>
      </w:pPr>
      <w:r>
        <w:rPr>
          <w:b/>
          <w:bCs/>
          <w:lang w:val="es-ES"/>
        </w:rPr>
        <w:t>APÉNDICE 7‑A: REDUCCIONES DE FINANCIACIÓN POR INCUMPLIMIENTO DE LOS OBJETIVOS DEL ACUERDO</w:t>
      </w:r>
    </w:p>
    <w:p w14:paraId="663DB950" w14:textId="2AE493C2" w:rsidR="00CB0432" w:rsidRPr="004C571B" w:rsidRDefault="00CB0432" w:rsidP="00DE2C96">
      <w:pPr>
        <w:pStyle w:val="Heading1"/>
        <w:numPr>
          <w:ilvl w:val="0"/>
          <w:numId w:val="13"/>
        </w:numPr>
        <w:rPr>
          <w:lang w:val="es-ES"/>
        </w:rPr>
      </w:pPr>
      <w:r>
        <w:rPr>
          <w:lang w:val="es-ES"/>
        </w:rPr>
        <w:t>De conformidad con el párrafo 11 del Acuerdo, el importe del financiamiento concedido podrá reducirse en USD 7,00 por tonelada de CO</w:t>
      </w:r>
      <w:r>
        <w:rPr>
          <w:vertAlign w:val="subscript"/>
          <w:lang w:val="es-ES"/>
        </w:rPr>
        <w:t>2</w:t>
      </w:r>
      <w:r>
        <w:rPr>
          <w:lang w:val="es-ES"/>
        </w:rPr>
        <w:t xml:space="preserve"> equivalente de consumo que supere el nivel definido en el renglón 1.2 del Apéndice 2‑A por cada año en el que no se haya cumplido el Objetivo especificado en dicho renglón, en el entendimiento de que la reducción máxima del financiamiento no superará el nivel de financiamiento del tramo de financiamiento solicitado. Podrían considerarse medidas adicionales en los casos en que el incumplimiento se prolongue durante dos años consecutivos. Cuando el País no haya cumplido el Acuerdo debido al comercio ilícito, no se aplicaría la reducción del financiamiento si las sustancias controladas objeto de comercio ilícito son incautadas y, después de ello, confiscadas, destruidas, exportadas o devueltas al país de origen.</w:t>
      </w:r>
    </w:p>
    <w:p w14:paraId="55C71949" w14:textId="77777777" w:rsidR="00CB0432" w:rsidRPr="004C571B" w:rsidRDefault="00CB0432" w:rsidP="00CB0432">
      <w:pPr>
        <w:suppressAutoHyphens/>
        <w:rPr>
          <w:b/>
          <w:bCs/>
          <w:lang w:val="es-ES"/>
        </w:rPr>
        <w:sectPr w:rsidR="00CB0432" w:rsidRPr="004C571B" w:rsidSect="00CB0432">
          <w:headerReference w:type="even" r:id="rId29"/>
          <w:headerReference w:type="default" r:id="rId30"/>
          <w:footerReference w:type="even" r:id="rId31"/>
          <w:footerReference w:type="default" r:id="rId32"/>
          <w:headerReference w:type="first" r:id="rId33"/>
          <w:footnotePr>
            <w:numRestart w:val="eachSect"/>
          </w:footnotePr>
          <w:pgSz w:w="12240" w:h="15840" w:code="1"/>
          <w:pgMar w:top="864" w:right="1440" w:bottom="720" w:left="1440" w:header="720" w:footer="475" w:gutter="0"/>
          <w:pgNumType w:start="1"/>
          <w:cols w:space="720"/>
          <w:docGrid w:linePitch="299"/>
        </w:sectPr>
      </w:pPr>
    </w:p>
    <w:p w14:paraId="5221F40A" w14:textId="53F56296" w:rsidR="00CB0432" w:rsidRPr="00B50897" w:rsidRDefault="00CB0432" w:rsidP="00CB0432">
      <w:pPr>
        <w:suppressAutoHyphens/>
        <w:spacing w:after="240"/>
        <w:jc w:val="center"/>
        <w:rPr>
          <w:b/>
          <w:bCs/>
        </w:rPr>
      </w:pPr>
      <w:r w:rsidRPr="00B50897">
        <w:rPr>
          <w:b/>
          <w:bCs/>
        </w:rPr>
        <w:lastRenderedPageBreak/>
        <w:t>An</w:t>
      </w:r>
      <w:r w:rsidR="00EF254F">
        <w:rPr>
          <w:b/>
          <w:bCs/>
        </w:rPr>
        <w:t>nex</w:t>
      </w:r>
      <w:r w:rsidRPr="00B50897">
        <w:rPr>
          <w:b/>
          <w:bCs/>
        </w:rPr>
        <w:t> </w:t>
      </w:r>
      <w:r w:rsidRPr="00B50897">
        <w:rPr>
          <w:b/>
        </w:rPr>
        <w:t>III</w:t>
      </w:r>
    </w:p>
    <w:p w14:paraId="6D6689F3" w14:textId="77777777" w:rsidR="004C571B" w:rsidRPr="00BE38DF" w:rsidRDefault="004C571B" w:rsidP="004C571B">
      <w:pPr>
        <w:suppressAutoHyphens/>
        <w:jc w:val="center"/>
        <w:rPr>
          <w:b/>
          <w:bCs/>
        </w:rPr>
      </w:pPr>
      <w:r>
        <w:rPr>
          <w:b/>
          <w:bCs/>
        </w:rPr>
        <w:t>SIMULTANEOUS IMPLEMENTATION OF THE HCFC PHASE-OUT MANAGEMENT PLAN</w:t>
      </w:r>
    </w:p>
    <w:p w14:paraId="11C72165" w14:textId="77777777" w:rsidR="004C571B" w:rsidRPr="00BE38DF" w:rsidRDefault="004C571B" w:rsidP="004C571B">
      <w:pPr>
        <w:suppressAutoHyphens/>
        <w:spacing w:after="240"/>
        <w:jc w:val="center"/>
        <w:rPr>
          <w:b/>
          <w:bCs/>
        </w:rPr>
      </w:pPr>
      <w:r>
        <w:rPr>
          <w:b/>
          <w:bCs/>
        </w:rPr>
        <w:t>AND THE KIGALI HFC IMPLEMENTATION PLAN IN SAO TOME AND PRINCIPE</w:t>
      </w:r>
    </w:p>
    <w:tbl>
      <w:tblPr>
        <w:tblpPr w:leftFromText="180" w:rightFromText="180" w:vertAnchor="text" w:tblpXSpec="center" w:tblpY="1"/>
        <w:tblOverlap w:val="never"/>
        <w:tblW w:w="5000" w:type="pct"/>
        <w:jc w:val="center"/>
        <w:tblLook w:val="04A0" w:firstRow="1" w:lastRow="0" w:firstColumn="1" w:lastColumn="0" w:noHBand="0" w:noVBand="1"/>
      </w:tblPr>
      <w:tblGrid>
        <w:gridCol w:w="2057"/>
        <w:gridCol w:w="2199"/>
        <w:gridCol w:w="866"/>
        <w:gridCol w:w="2108"/>
        <w:gridCol w:w="984"/>
        <w:gridCol w:w="1226"/>
      </w:tblGrid>
      <w:tr w:rsidR="004C571B" w:rsidRPr="00BE38DF" w14:paraId="75C2F2D5" w14:textId="77777777" w:rsidTr="00B546DE">
        <w:trPr>
          <w:trHeight w:val="341"/>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1F58EBBF" w14:textId="77777777" w:rsidR="004C571B" w:rsidRPr="00BE38DF" w:rsidRDefault="004C571B" w:rsidP="00B546DE">
            <w:pPr>
              <w:suppressAutoHyphens/>
              <w:jc w:val="center"/>
              <w:rPr>
                <w:b/>
                <w:bCs/>
                <w:sz w:val="20"/>
                <w:szCs w:val="20"/>
                <w:lang w:eastAsia="en-CA"/>
              </w:rPr>
            </w:pPr>
          </w:p>
        </w:tc>
        <w:tc>
          <w:tcPr>
            <w:tcW w:w="1623" w:type="pct"/>
            <w:gridSpan w:val="2"/>
            <w:tcBorders>
              <w:top w:val="single" w:sz="4" w:space="0" w:color="auto"/>
              <w:left w:val="single" w:sz="4" w:space="0" w:color="auto"/>
              <w:bottom w:val="single" w:sz="4" w:space="0" w:color="auto"/>
              <w:right w:val="single" w:sz="4" w:space="0" w:color="auto"/>
            </w:tcBorders>
            <w:vAlign w:val="center"/>
          </w:tcPr>
          <w:p w14:paraId="3158BFE0" w14:textId="77777777" w:rsidR="004C571B" w:rsidRPr="00BE38DF" w:rsidRDefault="004C571B" w:rsidP="00B546DE">
            <w:pPr>
              <w:suppressAutoHyphens/>
              <w:ind w:left="-246" w:right="-247"/>
              <w:jc w:val="center"/>
              <w:rPr>
                <w:b/>
                <w:bCs/>
                <w:sz w:val="20"/>
                <w:szCs w:val="20"/>
                <w:lang w:eastAsia="en-CA"/>
              </w:rPr>
            </w:pPr>
            <w:r>
              <w:rPr>
                <w:b/>
                <w:bCs/>
                <w:sz w:val="20"/>
                <w:szCs w:val="20"/>
                <w:lang w:eastAsia="en-CA"/>
              </w:rPr>
              <w:t>HPMP</w:t>
            </w:r>
            <w:r>
              <w:rPr>
                <w:b/>
                <w:bCs/>
              </w:rPr>
              <w:t xml:space="preserve"> –</w:t>
            </w:r>
            <w:r>
              <w:t xml:space="preserve"> </w:t>
            </w:r>
            <w:r>
              <w:rPr>
                <w:b/>
                <w:bCs/>
                <w:sz w:val="20"/>
                <w:szCs w:val="20"/>
                <w:lang w:eastAsia="en-CA"/>
              </w:rPr>
              <w:t xml:space="preserve">stage II </w:t>
            </w:r>
          </w:p>
        </w:tc>
        <w:tc>
          <w:tcPr>
            <w:tcW w:w="1638" w:type="pct"/>
            <w:gridSpan w:val="2"/>
            <w:tcBorders>
              <w:top w:val="single" w:sz="4" w:space="0" w:color="auto"/>
              <w:left w:val="single" w:sz="4" w:space="0" w:color="auto"/>
              <w:bottom w:val="single" w:sz="4" w:space="0" w:color="auto"/>
              <w:right w:val="single" w:sz="4" w:space="0" w:color="auto"/>
            </w:tcBorders>
            <w:vAlign w:val="center"/>
            <w:hideMark/>
          </w:tcPr>
          <w:p w14:paraId="34C5C4C6" w14:textId="77777777" w:rsidR="004C571B" w:rsidRPr="00BE38DF" w:rsidRDefault="004C571B" w:rsidP="00B546DE">
            <w:pPr>
              <w:suppressAutoHyphens/>
              <w:jc w:val="center"/>
              <w:rPr>
                <w:b/>
                <w:bCs/>
                <w:sz w:val="20"/>
                <w:szCs w:val="20"/>
                <w:lang w:eastAsia="en-CA"/>
              </w:rPr>
            </w:pPr>
            <w:r>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vAlign w:val="center"/>
            <w:hideMark/>
          </w:tcPr>
          <w:p w14:paraId="221AB5F3" w14:textId="77777777" w:rsidR="004C571B" w:rsidRPr="00BE38DF" w:rsidRDefault="004C571B" w:rsidP="00B546DE">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Pr>
                <w:b/>
                <w:bCs/>
                <w:sz w:val="20"/>
                <w:szCs w:val="20"/>
              </w:rPr>
              <w:t>(US $)</w:t>
            </w:r>
          </w:p>
        </w:tc>
      </w:tr>
      <w:tr w:rsidR="004C571B" w:rsidRPr="00BE38DF" w14:paraId="02A5F956" w14:textId="77777777" w:rsidTr="00B546DE">
        <w:trPr>
          <w:trHeight w:val="289"/>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52EAC120" w14:textId="77777777" w:rsidR="004C571B" w:rsidRPr="00BE38DF" w:rsidRDefault="004C571B" w:rsidP="00B546DE">
            <w:pPr>
              <w:suppressAutoHyphens/>
              <w:jc w:val="left"/>
              <w:rPr>
                <w:b/>
                <w:bCs/>
                <w:sz w:val="20"/>
                <w:szCs w:val="20"/>
                <w:lang w:eastAsia="en-CA"/>
              </w:rPr>
            </w:pPr>
            <w:r>
              <w:rPr>
                <w:b/>
                <w:bCs/>
                <w:sz w:val="20"/>
                <w:szCs w:val="20"/>
                <w:lang w:eastAsia="en-CA"/>
              </w:rPr>
              <w:t>Category of activity</w:t>
            </w:r>
          </w:p>
        </w:tc>
        <w:tc>
          <w:tcPr>
            <w:tcW w:w="1165" w:type="pct"/>
            <w:tcBorders>
              <w:top w:val="nil"/>
              <w:left w:val="nil"/>
              <w:bottom w:val="single" w:sz="4" w:space="0" w:color="auto"/>
              <w:right w:val="single" w:sz="4" w:space="0" w:color="auto"/>
            </w:tcBorders>
            <w:vAlign w:val="center"/>
            <w:hideMark/>
          </w:tcPr>
          <w:p w14:paraId="12FFCA42" w14:textId="77777777" w:rsidR="004C571B" w:rsidRPr="00BE38DF" w:rsidRDefault="004C571B" w:rsidP="00B546DE">
            <w:pPr>
              <w:suppressAutoHyphens/>
              <w:jc w:val="center"/>
              <w:rPr>
                <w:b/>
                <w:bCs/>
                <w:sz w:val="20"/>
                <w:szCs w:val="20"/>
                <w:lang w:eastAsia="en-CA"/>
              </w:rPr>
            </w:pPr>
            <w:r>
              <w:rPr>
                <w:b/>
                <w:bCs/>
                <w:sz w:val="20"/>
                <w:szCs w:val="20"/>
                <w:lang w:eastAsia="en-CA"/>
              </w:rPr>
              <w:t>Activity</w:t>
            </w:r>
          </w:p>
        </w:tc>
        <w:tc>
          <w:tcPr>
            <w:tcW w:w="459" w:type="pct"/>
            <w:tcBorders>
              <w:top w:val="single" w:sz="4" w:space="0" w:color="auto"/>
              <w:left w:val="nil"/>
              <w:bottom w:val="single" w:sz="4" w:space="0" w:color="auto"/>
              <w:right w:val="single" w:sz="4" w:space="0" w:color="auto"/>
            </w:tcBorders>
            <w:vAlign w:val="center"/>
            <w:hideMark/>
          </w:tcPr>
          <w:p w14:paraId="79FF1373" w14:textId="77777777" w:rsidR="004C571B" w:rsidRPr="00BE38DF" w:rsidRDefault="004C571B" w:rsidP="00B546DE">
            <w:pPr>
              <w:suppressAutoHyphens/>
              <w:jc w:val="center"/>
              <w:rPr>
                <w:b/>
                <w:bCs/>
                <w:sz w:val="20"/>
                <w:szCs w:val="20"/>
                <w:lang w:eastAsia="en-CA"/>
              </w:rPr>
            </w:pPr>
            <w:r>
              <w:rPr>
                <w:b/>
                <w:bCs/>
                <w:sz w:val="20"/>
                <w:szCs w:val="20"/>
                <w:lang w:eastAsia="en-CA"/>
              </w:rPr>
              <w:t>Cost (US $)</w:t>
            </w:r>
          </w:p>
        </w:tc>
        <w:tc>
          <w:tcPr>
            <w:tcW w:w="1117" w:type="pct"/>
            <w:tcBorders>
              <w:top w:val="single" w:sz="4" w:space="0" w:color="auto"/>
              <w:left w:val="single" w:sz="4" w:space="0" w:color="auto"/>
              <w:bottom w:val="single" w:sz="4" w:space="0" w:color="auto"/>
              <w:right w:val="single" w:sz="4" w:space="0" w:color="auto"/>
            </w:tcBorders>
            <w:vAlign w:val="center"/>
            <w:hideMark/>
          </w:tcPr>
          <w:p w14:paraId="499A1BF0" w14:textId="77777777" w:rsidR="004C571B" w:rsidRPr="00BE38DF" w:rsidRDefault="004C571B" w:rsidP="00B546DE">
            <w:pPr>
              <w:suppressAutoHyphens/>
              <w:jc w:val="center"/>
              <w:rPr>
                <w:b/>
                <w:bCs/>
                <w:sz w:val="20"/>
                <w:szCs w:val="20"/>
                <w:lang w:eastAsia="en-CA"/>
              </w:rPr>
            </w:pPr>
            <w:r>
              <w:rPr>
                <w:b/>
                <w:bCs/>
                <w:sz w:val="20"/>
                <w:szCs w:val="20"/>
                <w:lang w:eastAsia="en-CA"/>
              </w:rPr>
              <w:t>Activity</w:t>
            </w:r>
          </w:p>
        </w:tc>
        <w:tc>
          <w:tcPr>
            <w:tcW w:w="521" w:type="pct"/>
            <w:tcBorders>
              <w:top w:val="single" w:sz="4" w:space="0" w:color="auto"/>
              <w:left w:val="single" w:sz="4" w:space="0" w:color="auto"/>
              <w:bottom w:val="single" w:sz="4" w:space="0" w:color="auto"/>
              <w:right w:val="single" w:sz="4" w:space="0" w:color="auto"/>
            </w:tcBorders>
            <w:vAlign w:val="center"/>
            <w:hideMark/>
          </w:tcPr>
          <w:p w14:paraId="382E9516" w14:textId="77777777" w:rsidR="004C571B" w:rsidRPr="00BE38DF" w:rsidRDefault="004C571B" w:rsidP="00B546DE">
            <w:pPr>
              <w:suppressAutoHyphens/>
              <w:jc w:val="center"/>
              <w:rPr>
                <w:b/>
                <w:bCs/>
                <w:sz w:val="20"/>
                <w:szCs w:val="20"/>
                <w:lang w:eastAsia="en-CA"/>
              </w:rPr>
            </w:pPr>
            <w:r>
              <w:rPr>
                <w:b/>
                <w:bCs/>
                <w:sz w:val="20"/>
                <w:szCs w:val="20"/>
                <w:lang w:eastAsia="en-CA"/>
              </w:rPr>
              <w:t>Cost</w:t>
            </w:r>
            <w:r>
              <w:rPr>
                <w:b/>
                <w:bCs/>
                <w:sz w:val="20"/>
                <w:szCs w:val="20"/>
                <w:lang w:eastAsia="en-CA"/>
              </w:rPr>
              <w:br/>
              <w:t>(US $)</w:t>
            </w:r>
          </w:p>
        </w:tc>
        <w:tc>
          <w:tcPr>
            <w:tcW w:w="649" w:type="pct"/>
            <w:vMerge/>
            <w:tcBorders>
              <w:left w:val="single" w:sz="4" w:space="0" w:color="auto"/>
              <w:bottom w:val="single" w:sz="4" w:space="0" w:color="auto"/>
              <w:right w:val="single" w:sz="4" w:space="0" w:color="auto"/>
            </w:tcBorders>
            <w:vAlign w:val="center"/>
            <w:hideMark/>
          </w:tcPr>
          <w:p w14:paraId="6E1A5118" w14:textId="77777777" w:rsidR="004C571B" w:rsidRPr="00BE38DF" w:rsidRDefault="004C571B" w:rsidP="00B546DE">
            <w:pPr>
              <w:suppressAutoHyphens/>
              <w:jc w:val="left"/>
              <w:rPr>
                <w:b/>
                <w:bCs/>
                <w:sz w:val="20"/>
                <w:szCs w:val="20"/>
                <w:lang w:eastAsia="en-CA"/>
              </w:rPr>
            </w:pPr>
          </w:p>
        </w:tc>
      </w:tr>
      <w:tr w:rsidR="004C571B" w:rsidRPr="00BE38DF" w14:paraId="713D98F4" w14:textId="77777777" w:rsidTr="00B546DE">
        <w:trPr>
          <w:trHeight w:val="227"/>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345B1635" w14:textId="77777777" w:rsidR="004C571B" w:rsidRPr="00BE38DF" w:rsidRDefault="004C571B" w:rsidP="00B546DE">
            <w:pPr>
              <w:suppressAutoHyphens/>
              <w:jc w:val="left"/>
              <w:rPr>
                <w:sz w:val="20"/>
                <w:szCs w:val="20"/>
                <w:lang w:eastAsia="en-CA"/>
              </w:rPr>
            </w:pPr>
          </w:p>
          <w:p w14:paraId="256FD16A" w14:textId="77777777" w:rsidR="004C571B" w:rsidRPr="00BE38DF" w:rsidRDefault="004C571B" w:rsidP="00B546DE">
            <w:pPr>
              <w:suppressAutoHyphens/>
              <w:jc w:val="left"/>
              <w:rPr>
                <w:sz w:val="20"/>
                <w:szCs w:val="20"/>
                <w:lang w:eastAsia="en-CA"/>
              </w:rPr>
            </w:pPr>
            <w:r>
              <w:rPr>
                <w:sz w:val="20"/>
                <w:szCs w:val="20"/>
                <w:lang w:eastAsia="en-CA"/>
              </w:rPr>
              <w:t>Legal and regulatory framework</w:t>
            </w:r>
          </w:p>
        </w:tc>
        <w:tc>
          <w:tcPr>
            <w:tcW w:w="1165" w:type="pct"/>
            <w:tcBorders>
              <w:top w:val="single" w:sz="4" w:space="0" w:color="auto"/>
              <w:left w:val="nil"/>
              <w:bottom w:val="single" w:sz="4" w:space="0" w:color="auto"/>
              <w:right w:val="single" w:sz="4" w:space="0" w:color="auto"/>
            </w:tcBorders>
            <w:vAlign w:val="center"/>
          </w:tcPr>
          <w:p w14:paraId="4DC1980A" w14:textId="77777777" w:rsidR="004C571B" w:rsidRPr="00BE38DF" w:rsidRDefault="004C571B" w:rsidP="00B546DE">
            <w:pPr>
              <w:suppressAutoHyphens/>
              <w:jc w:val="left"/>
              <w:rPr>
                <w:sz w:val="20"/>
                <w:szCs w:val="20"/>
                <w:lang w:eastAsia="en-CA"/>
              </w:rPr>
            </w:pPr>
            <w:r>
              <w:rPr>
                <w:sz w:val="20"/>
                <w:szCs w:val="20"/>
                <w:lang w:val="en-US" w:eastAsia="en-CA"/>
              </w:rPr>
              <w:t>Introduction of regulatory measures to ensure the country’s compliance with the HCFC phase-out schedule</w:t>
            </w:r>
          </w:p>
        </w:tc>
        <w:tc>
          <w:tcPr>
            <w:tcW w:w="459" w:type="pct"/>
            <w:tcBorders>
              <w:top w:val="single" w:sz="4" w:space="0" w:color="auto"/>
              <w:left w:val="nil"/>
              <w:bottom w:val="single" w:sz="4" w:space="0" w:color="auto"/>
              <w:right w:val="single" w:sz="4" w:space="0" w:color="auto"/>
            </w:tcBorders>
            <w:vAlign w:val="center"/>
          </w:tcPr>
          <w:p w14:paraId="16F28AE2" w14:textId="77777777" w:rsidR="004C571B" w:rsidRPr="00BE38DF" w:rsidRDefault="004C571B" w:rsidP="00B546DE">
            <w:pPr>
              <w:suppressAutoHyphens/>
              <w:jc w:val="right"/>
              <w:rPr>
                <w:sz w:val="20"/>
                <w:szCs w:val="20"/>
                <w:lang w:eastAsia="en-CA"/>
              </w:rPr>
            </w:pPr>
            <w:r>
              <w:rPr>
                <w:sz w:val="20"/>
                <w:szCs w:val="20"/>
                <w:lang w:eastAsia="en-CA"/>
              </w:rPr>
              <w:t>12,000</w:t>
            </w:r>
          </w:p>
        </w:tc>
        <w:tc>
          <w:tcPr>
            <w:tcW w:w="1117" w:type="pct"/>
            <w:tcBorders>
              <w:top w:val="single" w:sz="4" w:space="0" w:color="auto"/>
              <w:left w:val="single" w:sz="4" w:space="0" w:color="auto"/>
              <w:bottom w:val="single" w:sz="4" w:space="0" w:color="auto"/>
              <w:right w:val="single" w:sz="4" w:space="0" w:color="auto"/>
            </w:tcBorders>
            <w:vAlign w:val="center"/>
          </w:tcPr>
          <w:p w14:paraId="71C6AC02" w14:textId="77777777" w:rsidR="004C571B" w:rsidRPr="00BE38DF" w:rsidRDefault="004C571B" w:rsidP="00B546DE">
            <w:pPr>
              <w:suppressAutoHyphens/>
              <w:jc w:val="left"/>
              <w:rPr>
                <w:sz w:val="20"/>
                <w:szCs w:val="20"/>
                <w:lang w:eastAsia="en-CA"/>
              </w:rPr>
            </w:pPr>
            <w:r>
              <w:rPr>
                <w:sz w:val="20"/>
                <w:szCs w:val="20"/>
                <w:lang w:eastAsia="en-CA"/>
              </w:rPr>
              <w:t>Develop and adopt the decree on HFCs; conduct one stakeholder workshop before adoption on scope of work for 100 participants; and one awareness-raising workshop after development on implementation for 100 participants</w:t>
            </w:r>
          </w:p>
        </w:tc>
        <w:tc>
          <w:tcPr>
            <w:tcW w:w="521" w:type="pct"/>
            <w:tcBorders>
              <w:top w:val="single" w:sz="4" w:space="0" w:color="auto"/>
              <w:left w:val="nil"/>
              <w:bottom w:val="single" w:sz="4" w:space="0" w:color="auto"/>
              <w:right w:val="single" w:sz="4" w:space="0" w:color="auto"/>
            </w:tcBorders>
            <w:vAlign w:val="center"/>
          </w:tcPr>
          <w:p w14:paraId="6DC1B37F" w14:textId="77777777" w:rsidR="004C571B" w:rsidRPr="00BE38DF" w:rsidRDefault="004C571B" w:rsidP="00B546DE">
            <w:pPr>
              <w:suppressAutoHyphens/>
              <w:jc w:val="right"/>
              <w:rPr>
                <w:sz w:val="20"/>
                <w:szCs w:val="20"/>
                <w:lang w:eastAsia="en-CA"/>
              </w:rPr>
            </w:pPr>
            <w:r>
              <w:rPr>
                <w:sz w:val="20"/>
                <w:szCs w:val="20"/>
                <w:lang w:eastAsia="en-CA"/>
              </w:rPr>
              <w:t>8,000</w:t>
            </w:r>
          </w:p>
        </w:tc>
        <w:tc>
          <w:tcPr>
            <w:tcW w:w="649" w:type="pct"/>
            <w:vMerge w:val="restart"/>
            <w:tcBorders>
              <w:top w:val="single" w:sz="4" w:space="0" w:color="auto"/>
              <w:left w:val="nil"/>
              <w:bottom w:val="single" w:sz="4" w:space="0" w:color="auto"/>
              <w:right w:val="single" w:sz="4" w:space="0" w:color="auto"/>
            </w:tcBorders>
            <w:vAlign w:val="center"/>
          </w:tcPr>
          <w:p w14:paraId="3B100932" w14:textId="77777777" w:rsidR="004C571B" w:rsidRPr="00BE38DF" w:rsidRDefault="004C571B" w:rsidP="00B546DE">
            <w:pPr>
              <w:suppressAutoHyphens/>
              <w:jc w:val="right"/>
              <w:rPr>
                <w:sz w:val="20"/>
                <w:szCs w:val="20"/>
                <w:lang w:eastAsia="en-CA"/>
              </w:rPr>
            </w:pPr>
          </w:p>
        </w:tc>
      </w:tr>
      <w:tr w:rsidR="004C571B" w:rsidRPr="00BE38DF" w14:paraId="3650312D" w14:textId="77777777" w:rsidTr="00B546DE">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6321C804" w14:textId="77777777" w:rsidR="004C571B" w:rsidRPr="00BE38DF" w:rsidRDefault="004C571B" w:rsidP="00B546DE">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2033991" w14:textId="77777777" w:rsidR="004C571B" w:rsidRPr="00BE38DF" w:rsidRDefault="004C571B" w:rsidP="00B546DE">
            <w:pPr>
              <w:suppressAutoHyphens/>
              <w:jc w:val="left"/>
              <w:rPr>
                <w:sz w:val="20"/>
                <w:szCs w:val="20"/>
                <w:lang w:eastAsia="en-CA"/>
              </w:rPr>
            </w:pPr>
            <w:r>
              <w:rPr>
                <w:sz w:val="20"/>
                <w:szCs w:val="20"/>
                <w:lang w:val="en-US" w:eastAsia="en-CA"/>
              </w:rPr>
              <w:t>Improving the collection, systematization and reporting of data and strengthening the collaboration among stakeholders</w:t>
            </w:r>
          </w:p>
        </w:tc>
        <w:tc>
          <w:tcPr>
            <w:tcW w:w="459"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70C429AB" w14:textId="77777777" w:rsidR="004C571B" w:rsidRPr="00BE38DF" w:rsidRDefault="004C571B" w:rsidP="00B546DE">
            <w:pPr>
              <w:suppressAutoHyphens/>
              <w:jc w:val="right"/>
              <w:rPr>
                <w:sz w:val="20"/>
                <w:szCs w:val="20"/>
                <w:lang w:eastAsia="en-CA"/>
              </w:rPr>
            </w:pPr>
            <w:r>
              <w:rPr>
                <w:sz w:val="20"/>
                <w:szCs w:val="20"/>
                <w:lang w:eastAsia="en-CA"/>
              </w:rPr>
              <w:t>30,000</w:t>
            </w:r>
          </w:p>
          <w:p w14:paraId="307F7597"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24CEEE0F" w14:textId="77777777" w:rsidR="004C571B" w:rsidRPr="00BE38DF" w:rsidRDefault="004C571B" w:rsidP="00B546DE">
            <w:pPr>
              <w:suppressAutoHyphens/>
              <w:jc w:val="left"/>
              <w:rPr>
                <w:sz w:val="20"/>
                <w:szCs w:val="20"/>
                <w:lang w:eastAsia="en-CA"/>
              </w:rPr>
            </w:pPr>
            <w:r>
              <w:rPr>
                <w:sz w:val="20"/>
                <w:szCs w:val="20"/>
                <w:lang w:eastAsia="en-CA"/>
              </w:rPr>
              <w:t>Consider bans on import and restrictions on installation of HFC-based equipment, including one meeting with importers, one market assessment study, drafting of further regulatory framework for the HFC phase-down, and one awareness-raising meeting on implementation of regulations with relevant stakeholders for 100 participants</w:t>
            </w:r>
          </w:p>
        </w:tc>
        <w:tc>
          <w:tcPr>
            <w:tcW w:w="521" w:type="pct"/>
            <w:tcBorders>
              <w:top w:val="single" w:sz="4" w:space="0" w:color="auto"/>
              <w:left w:val="nil"/>
              <w:bottom w:val="single" w:sz="4" w:space="0" w:color="auto"/>
              <w:right w:val="single" w:sz="4" w:space="0" w:color="auto"/>
            </w:tcBorders>
            <w:vAlign w:val="center"/>
          </w:tcPr>
          <w:p w14:paraId="318F84E0" w14:textId="77777777" w:rsidR="004C571B" w:rsidRPr="00BE38DF" w:rsidRDefault="004C571B" w:rsidP="00B546DE">
            <w:pPr>
              <w:suppressAutoHyphens/>
              <w:jc w:val="righ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69E94D87" w14:textId="77777777" w:rsidR="004C571B" w:rsidRPr="00BE38DF" w:rsidRDefault="004C571B" w:rsidP="00B546DE">
            <w:pPr>
              <w:suppressAutoHyphens/>
              <w:jc w:val="right"/>
              <w:rPr>
                <w:sz w:val="20"/>
                <w:szCs w:val="20"/>
                <w:lang w:eastAsia="en-CA"/>
              </w:rPr>
            </w:pPr>
          </w:p>
        </w:tc>
      </w:tr>
      <w:tr w:rsidR="004C571B" w:rsidRPr="00BE38DF" w14:paraId="3FA135BA" w14:textId="77777777" w:rsidTr="00B546DE">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3D7B4BDD" w14:textId="77777777" w:rsidR="004C571B" w:rsidRPr="00BE38DF" w:rsidRDefault="004C571B" w:rsidP="00B546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3E1A1FD2" w14:textId="77777777" w:rsidR="004C571B" w:rsidRPr="00BE38DF" w:rsidRDefault="004C571B" w:rsidP="00B546DE">
            <w:pPr>
              <w:suppressAutoHyphens/>
              <w:jc w:val="left"/>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0B43A085"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3C71D101" w14:textId="77777777" w:rsidR="004C571B" w:rsidRPr="00BE38DF" w:rsidRDefault="004C571B" w:rsidP="00B546DE">
            <w:pPr>
              <w:suppressAutoHyphens/>
              <w:jc w:val="left"/>
              <w:rPr>
                <w:sz w:val="20"/>
                <w:szCs w:val="20"/>
                <w:lang w:eastAsia="en-CA"/>
              </w:rPr>
            </w:pPr>
            <w:r>
              <w:rPr>
                <w:sz w:val="20"/>
                <w:szCs w:val="20"/>
                <w:lang w:eastAsia="en-CA"/>
              </w:rPr>
              <w:t>Develop a guide on ODS and HFC legislation, and disseminate in four workshops and meetings to relevant stakeholders (organized under other activities)</w:t>
            </w:r>
          </w:p>
        </w:tc>
        <w:tc>
          <w:tcPr>
            <w:tcW w:w="521" w:type="pct"/>
            <w:tcBorders>
              <w:top w:val="single" w:sz="4" w:space="0" w:color="auto"/>
              <w:left w:val="nil"/>
              <w:bottom w:val="single" w:sz="4" w:space="0" w:color="auto"/>
              <w:right w:val="single" w:sz="4" w:space="0" w:color="auto"/>
            </w:tcBorders>
            <w:vAlign w:val="center"/>
          </w:tcPr>
          <w:p w14:paraId="756BE029" w14:textId="77777777" w:rsidR="004C571B" w:rsidRPr="00BE38DF" w:rsidRDefault="004C571B" w:rsidP="00B546DE">
            <w:pPr>
              <w:suppressAutoHyphens/>
              <w:jc w:val="righ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46838C11" w14:textId="77777777" w:rsidR="004C571B" w:rsidRPr="00BE38DF" w:rsidRDefault="004C571B" w:rsidP="00B546DE">
            <w:pPr>
              <w:suppressAutoHyphens/>
              <w:jc w:val="right"/>
              <w:rPr>
                <w:sz w:val="20"/>
                <w:szCs w:val="20"/>
                <w:lang w:eastAsia="en-CA"/>
              </w:rPr>
            </w:pPr>
          </w:p>
        </w:tc>
      </w:tr>
      <w:tr w:rsidR="004C571B" w:rsidRPr="00BE38DF" w14:paraId="657F0C58" w14:textId="77777777" w:rsidTr="00B546DE">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696FA56" w14:textId="77777777" w:rsidR="004C571B" w:rsidRPr="00BE38DF" w:rsidRDefault="004C571B" w:rsidP="00B546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090E7FF3" w14:textId="77777777" w:rsidR="004C571B" w:rsidRPr="00BE38DF" w:rsidRDefault="004C571B" w:rsidP="00B546DE">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0C4F446E"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5800D772" w14:textId="77777777" w:rsidR="004C571B" w:rsidRPr="00BE38DF" w:rsidRDefault="004C571B" w:rsidP="00B546DE">
            <w:pPr>
              <w:suppressAutoHyphens/>
              <w:jc w:val="left"/>
              <w:rPr>
                <w:sz w:val="20"/>
                <w:szCs w:val="20"/>
                <w:lang w:eastAsia="en-CA"/>
              </w:rPr>
            </w:pPr>
            <w:r>
              <w:rPr>
                <w:sz w:val="20"/>
                <w:szCs w:val="20"/>
                <w:lang w:eastAsia="en-CA"/>
              </w:rPr>
              <w:t>Update and strengthen the licensing and quota system for HFCs; and one workshop with importers, customs, and the Ministry of Trade on HFC licensing and quota system for 50 participants</w:t>
            </w:r>
          </w:p>
        </w:tc>
        <w:tc>
          <w:tcPr>
            <w:tcW w:w="521" w:type="pct"/>
            <w:tcBorders>
              <w:top w:val="single" w:sz="4" w:space="0" w:color="auto"/>
              <w:left w:val="nil"/>
              <w:bottom w:val="single" w:sz="4" w:space="0" w:color="auto"/>
              <w:right w:val="single" w:sz="4" w:space="0" w:color="auto"/>
            </w:tcBorders>
            <w:vAlign w:val="center"/>
          </w:tcPr>
          <w:p w14:paraId="3356260D" w14:textId="77777777" w:rsidR="004C571B" w:rsidRPr="00BE38DF" w:rsidRDefault="004C571B" w:rsidP="00B546DE">
            <w:pPr>
              <w:suppressAutoHyphens/>
              <w:jc w:val="right"/>
              <w:rPr>
                <w:sz w:val="20"/>
                <w:szCs w:val="20"/>
                <w:lang w:eastAsia="en-CA"/>
              </w:rPr>
            </w:pPr>
            <w:r>
              <w:rPr>
                <w:sz w:val="20"/>
                <w:szCs w:val="20"/>
                <w:lang w:eastAsia="en-CA"/>
              </w:rPr>
              <w:t>9,000</w:t>
            </w:r>
          </w:p>
        </w:tc>
        <w:tc>
          <w:tcPr>
            <w:tcW w:w="649" w:type="pct"/>
            <w:vMerge/>
            <w:tcBorders>
              <w:top w:val="single" w:sz="4" w:space="0" w:color="auto"/>
              <w:left w:val="nil"/>
              <w:bottom w:val="single" w:sz="4" w:space="0" w:color="auto"/>
              <w:right w:val="single" w:sz="4" w:space="0" w:color="auto"/>
            </w:tcBorders>
            <w:vAlign w:val="center"/>
          </w:tcPr>
          <w:p w14:paraId="0AFEA14F" w14:textId="77777777" w:rsidR="004C571B" w:rsidRPr="00BE38DF" w:rsidRDefault="004C571B" w:rsidP="00B546DE">
            <w:pPr>
              <w:suppressAutoHyphens/>
              <w:jc w:val="right"/>
              <w:rPr>
                <w:sz w:val="20"/>
                <w:szCs w:val="20"/>
                <w:lang w:eastAsia="en-CA"/>
              </w:rPr>
            </w:pPr>
          </w:p>
        </w:tc>
      </w:tr>
      <w:tr w:rsidR="004C571B" w:rsidRPr="00BE38DF" w14:paraId="674C42F0" w14:textId="77777777" w:rsidTr="00B546DE">
        <w:trPr>
          <w:trHeight w:val="575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56097218" w14:textId="77777777" w:rsidR="004C571B" w:rsidRPr="00BE38DF" w:rsidRDefault="004C571B" w:rsidP="00B546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436AF2A9" w14:textId="77777777" w:rsidR="004C571B" w:rsidRPr="00BE38DF" w:rsidRDefault="004C571B" w:rsidP="00B546DE">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78EC2577"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right w:val="single" w:sz="4" w:space="0" w:color="auto"/>
            </w:tcBorders>
            <w:vAlign w:val="center"/>
          </w:tcPr>
          <w:p w14:paraId="166651E6" w14:textId="77777777" w:rsidR="004C571B" w:rsidRPr="00BE38DF" w:rsidRDefault="004C571B" w:rsidP="00B546DE">
            <w:pPr>
              <w:suppressAutoHyphens/>
              <w:jc w:val="left"/>
              <w:rPr>
                <w:sz w:val="20"/>
                <w:szCs w:val="20"/>
                <w:lang w:eastAsia="en-CA"/>
              </w:rPr>
            </w:pPr>
            <w:r>
              <w:rPr>
                <w:sz w:val="20"/>
                <w:szCs w:val="20"/>
                <w:lang w:eastAsia="en-CA"/>
              </w:rPr>
              <w:t>Develop the national technical standards and protocols on the use of flammable and/or toxic substances in RAC equipment with support of an international consultant; two stakeholder consultation meetings for development and finalisation of standards; organise two workshops for the standards officers, customs officials, owners of larger RAC workshops, training centres and importers (total 200 participants) for creating awareness and building their capacity on implementation of standards</w:t>
            </w:r>
          </w:p>
        </w:tc>
        <w:tc>
          <w:tcPr>
            <w:tcW w:w="521" w:type="pct"/>
            <w:tcBorders>
              <w:top w:val="single" w:sz="4" w:space="0" w:color="auto"/>
              <w:left w:val="nil"/>
              <w:right w:val="single" w:sz="4" w:space="0" w:color="auto"/>
            </w:tcBorders>
            <w:vAlign w:val="center"/>
          </w:tcPr>
          <w:p w14:paraId="6E60AE35" w14:textId="77777777" w:rsidR="004C571B" w:rsidRPr="00BE38DF" w:rsidRDefault="004C571B" w:rsidP="00B546DE">
            <w:pPr>
              <w:suppressAutoHyphens/>
              <w:jc w:val="right"/>
              <w:rPr>
                <w:sz w:val="20"/>
                <w:szCs w:val="20"/>
                <w:lang w:eastAsia="en-CA"/>
              </w:rPr>
            </w:pPr>
            <w:r>
              <w:rPr>
                <w:sz w:val="20"/>
                <w:szCs w:val="20"/>
                <w:lang w:eastAsia="en-CA"/>
              </w:rPr>
              <w:t>17,000</w:t>
            </w:r>
          </w:p>
        </w:tc>
        <w:tc>
          <w:tcPr>
            <w:tcW w:w="649" w:type="pct"/>
            <w:vMerge/>
            <w:tcBorders>
              <w:top w:val="single" w:sz="4" w:space="0" w:color="auto"/>
              <w:left w:val="nil"/>
              <w:bottom w:val="single" w:sz="4" w:space="0" w:color="auto"/>
              <w:right w:val="single" w:sz="4" w:space="0" w:color="auto"/>
            </w:tcBorders>
            <w:vAlign w:val="center"/>
          </w:tcPr>
          <w:p w14:paraId="0E08164D" w14:textId="77777777" w:rsidR="004C571B" w:rsidRPr="00BE38DF" w:rsidRDefault="004C571B" w:rsidP="00B546DE">
            <w:pPr>
              <w:suppressAutoHyphens/>
              <w:jc w:val="right"/>
              <w:rPr>
                <w:sz w:val="20"/>
                <w:szCs w:val="20"/>
                <w:lang w:eastAsia="en-CA"/>
              </w:rPr>
            </w:pPr>
          </w:p>
        </w:tc>
      </w:tr>
      <w:tr w:rsidR="004C571B" w:rsidRPr="00BE38DF" w14:paraId="56C9EE85" w14:textId="77777777" w:rsidTr="00B546DE">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73B0EF84" w14:textId="77777777" w:rsidR="004C571B" w:rsidRPr="00BE38DF" w:rsidRDefault="004C571B" w:rsidP="00B546DE">
            <w:pPr>
              <w:suppressAutoHyphens/>
              <w:jc w:val="left"/>
              <w:rPr>
                <w:b/>
                <w:bCs/>
                <w:sz w:val="20"/>
                <w:szCs w:val="20"/>
                <w:lang w:eastAsia="en-CA"/>
              </w:rPr>
            </w:pPr>
            <w:r>
              <w:rPr>
                <w:b/>
                <w:bCs/>
                <w:sz w:val="20"/>
                <w:szCs w:val="20"/>
                <w:lang w:eastAsia="en-CA"/>
              </w:rPr>
              <w:t>Subtotal</w:t>
            </w:r>
          </w:p>
          <w:p w14:paraId="65E17E3B" w14:textId="77777777" w:rsidR="004C571B" w:rsidRPr="00BE38DF" w:rsidRDefault="004C571B" w:rsidP="00B546DE">
            <w:pPr>
              <w:suppressAutoHyphens/>
              <w:rPr>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16B49133" w14:textId="77777777" w:rsidR="004C571B" w:rsidRPr="00BE38DF" w:rsidRDefault="004C571B" w:rsidP="00B546DE">
            <w:pPr>
              <w:suppressAutoHyphens/>
              <w:jc w:val="right"/>
              <w:rPr>
                <w:b/>
                <w:bCs/>
                <w:sz w:val="20"/>
                <w:szCs w:val="20"/>
                <w:lang w:eastAsia="en-CA"/>
              </w:rPr>
            </w:pPr>
            <w:r>
              <w:rPr>
                <w:b/>
                <w:bCs/>
                <w:sz w:val="20"/>
                <w:szCs w:val="20"/>
                <w:lang w:eastAsia="en-CA"/>
              </w:rPr>
              <w:t>42,000</w:t>
            </w:r>
          </w:p>
        </w:tc>
        <w:tc>
          <w:tcPr>
            <w:tcW w:w="1117" w:type="pct"/>
            <w:tcBorders>
              <w:top w:val="single" w:sz="4" w:space="0" w:color="auto"/>
              <w:left w:val="single" w:sz="4" w:space="0" w:color="auto"/>
              <w:bottom w:val="single" w:sz="4" w:space="0" w:color="auto"/>
              <w:right w:val="single" w:sz="4" w:space="0" w:color="auto"/>
            </w:tcBorders>
            <w:vAlign w:val="center"/>
          </w:tcPr>
          <w:p w14:paraId="28331D5B" w14:textId="77777777" w:rsidR="004C571B" w:rsidRPr="00BE38DF" w:rsidRDefault="004C571B" w:rsidP="00B546DE">
            <w:pPr>
              <w:suppressAutoHyphens/>
              <w:jc w:val="right"/>
              <w:rPr>
                <w:b/>
                <w:bCs/>
                <w:sz w:val="20"/>
                <w:szCs w:val="20"/>
                <w:lang w:eastAsia="en-CA"/>
              </w:rPr>
            </w:pPr>
          </w:p>
        </w:tc>
        <w:tc>
          <w:tcPr>
            <w:tcW w:w="521" w:type="pct"/>
            <w:tcBorders>
              <w:top w:val="single" w:sz="4" w:space="0" w:color="auto"/>
              <w:left w:val="single" w:sz="4" w:space="0" w:color="auto"/>
              <w:bottom w:val="single" w:sz="4" w:space="0" w:color="auto"/>
              <w:right w:val="single" w:sz="4" w:space="0" w:color="auto"/>
            </w:tcBorders>
            <w:vAlign w:val="center"/>
          </w:tcPr>
          <w:p w14:paraId="4BF9FF01" w14:textId="77777777" w:rsidR="004C571B" w:rsidRPr="00BE38DF" w:rsidRDefault="004C571B" w:rsidP="00B546DE">
            <w:pPr>
              <w:suppressAutoHyphens/>
              <w:jc w:val="right"/>
              <w:rPr>
                <w:b/>
                <w:bCs/>
                <w:sz w:val="20"/>
                <w:szCs w:val="20"/>
                <w:lang w:eastAsia="en-CA"/>
              </w:rPr>
            </w:pPr>
            <w:r>
              <w:rPr>
                <w:b/>
                <w:bCs/>
                <w:sz w:val="20"/>
                <w:szCs w:val="20"/>
                <w:lang w:eastAsia="en-CA"/>
              </w:rPr>
              <w:t>50,000</w:t>
            </w:r>
          </w:p>
        </w:tc>
        <w:tc>
          <w:tcPr>
            <w:tcW w:w="649" w:type="pct"/>
            <w:tcBorders>
              <w:top w:val="single" w:sz="4" w:space="0" w:color="auto"/>
              <w:left w:val="nil"/>
              <w:bottom w:val="single" w:sz="4" w:space="0" w:color="auto"/>
              <w:right w:val="single" w:sz="4" w:space="0" w:color="auto"/>
            </w:tcBorders>
            <w:vAlign w:val="center"/>
          </w:tcPr>
          <w:p w14:paraId="50B8A620" w14:textId="77777777" w:rsidR="004C571B" w:rsidRPr="00BE38DF" w:rsidRDefault="004C571B" w:rsidP="00B546DE">
            <w:pPr>
              <w:suppressAutoHyphens/>
              <w:jc w:val="right"/>
              <w:rPr>
                <w:b/>
                <w:bCs/>
                <w:sz w:val="20"/>
                <w:szCs w:val="20"/>
                <w:lang w:eastAsia="en-CA"/>
              </w:rPr>
            </w:pPr>
            <w:r>
              <w:rPr>
                <w:b/>
                <w:bCs/>
                <w:sz w:val="20"/>
                <w:szCs w:val="20"/>
                <w:lang w:eastAsia="en-CA"/>
              </w:rPr>
              <w:t>92,000</w:t>
            </w:r>
          </w:p>
        </w:tc>
      </w:tr>
      <w:tr w:rsidR="004C571B" w:rsidRPr="00BE38DF" w14:paraId="2DE50B9C" w14:textId="77777777" w:rsidTr="00B546DE">
        <w:trPr>
          <w:trHeight w:val="1081"/>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1BD03671" w14:textId="77777777" w:rsidR="004C571B" w:rsidRPr="00BE38DF" w:rsidRDefault="004C571B" w:rsidP="00B546DE">
            <w:pPr>
              <w:suppressAutoHyphens/>
              <w:jc w:val="left"/>
              <w:rPr>
                <w:sz w:val="20"/>
                <w:szCs w:val="20"/>
                <w:lang w:eastAsia="en-CA"/>
              </w:rPr>
            </w:pPr>
          </w:p>
          <w:p w14:paraId="1DC54387" w14:textId="77777777" w:rsidR="004C571B" w:rsidRPr="00BE38DF" w:rsidRDefault="004C571B" w:rsidP="00B546DE">
            <w:pPr>
              <w:suppressAutoHyphens/>
              <w:jc w:val="left"/>
              <w:rPr>
                <w:sz w:val="20"/>
                <w:szCs w:val="20"/>
                <w:lang w:eastAsia="en-CA"/>
              </w:rPr>
            </w:pPr>
            <w:r>
              <w:rPr>
                <w:sz w:val="20"/>
                <w:szCs w:val="20"/>
                <w:lang w:eastAsia="en-CA"/>
              </w:rPr>
              <w:t>Capacity-building of servicing technicians</w:t>
            </w:r>
          </w:p>
        </w:tc>
        <w:tc>
          <w:tcPr>
            <w:tcW w:w="1165" w:type="pct"/>
            <w:tcBorders>
              <w:top w:val="single" w:sz="4" w:space="0" w:color="auto"/>
              <w:left w:val="nil"/>
              <w:bottom w:val="single" w:sz="4" w:space="0" w:color="auto"/>
              <w:right w:val="single" w:sz="4" w:space="0" w:color="auto"/>
            </w:tcBorders>
            <w:vAlign w:val="center"/>
          </w:tcPr>
          <w:p w14:paraId="33BC478B" w14:textId="77777777" w:rsidR="004C571B" w:rsidRPr="00BE38DF" w:rsidRDefault="004C571B" w:rsidP="00B546DE">
            <w:pPr>
              <w:suppressAutoHyphens/>
              <w:jc w:val="left"/>
              <w:rPr>
                <w:sz w:val="20"/>
                <w:szCs w:val="20"/>
                <w:lang w:eastAsia="en-CA"/>
              </w:rPr>
            </w:pPr>
            <w:r>
              <w:rPr>
                <w:sz w:val="20"/>
                <w:szCs w:val="20"/>
                <w:lang w:val="en-US" w:eastAsia="en-CA"/>
              </w:rPr>
              <w:t>Training of RAC technicians in good servicing practices</w:t>
            </w:r>
          </w:p>
        </w:tc>
        <w:tc>
          <w:tcPr>
            <w:tcW w:w="459" w:type="pct"/>
            <w:tcBorders>
              <w:top w:val="single" w:sz="4" w:space="0" w:color="auto"/>
              <w:left w:val="nil"/>
              <w:bottom w:val="single" w:sz="4" w:space="0" w:color="auto"/>
              <w:right w:val="single" w:sz="4" w:space="0" w:color="auto"/>
            </w:tcBorders>
            <w:vAlign w:val="center"/>
          </w:tcPr>
          <w:p w14:paraId="59116D7F" w14:textId="77777777" w:rsidR="004C571B" w:rsidRPr="00BE38DF" w:rsidRDefault="004C571B" w:rsidP="00B546DE">
            <w:pPr>
              <w:suppressAutoHyphens/>
              <w:jc w:val="right"/>
              <w:rPr>
                <w:sz w:val="20"/>
                <w:szCs w:val="20"/>
                <w:lang w:eastAsia="en-CA"/>
              </w:rPr>
            </w:pPr>
            <w:r>
              <w:rPr>
                <w:sz w:val="20"/>
                <w:szCs w:val="20"/>
                <w:lang w:eastAsia="en-CA"/>
              </w:rPr>
              <w:t>20,000</w:t>
            </w:r>
          </w:p>
        </w:tc>
        <w:tc>
          <w:tcPr>
            <w:tcW w:w="1117" w:type="pct"/>
            <w:vMerge w:val="restart"/>
            <w:tcBorders>
              <w:top w:val="single" w:sz="4" w:space="0" w:color="auto"/>
              <w:left w:val="single" w:sz="4" w:space="0" w:color="auto"/>
              <w:bottom w:val="single" w:sz="4" w:space="0" w:color="auto"/>
              <w:right w:val="single" w:sz="4" w:space="0" w:color="auto"/>
            </w:tcBorders>
            <w:vAlign w:val="center"/>
          </w:tcPr>
          <w:p w14:paraId="0CA27E5A" w14:textId="77777777" w:rsidR="004C571B" w:rsidRPr="00BE38DF" w:rsidRDefault="004C571B" w:rsidP="00B546DE">
            <w:pPr>
              <w:suppressAutoHyphens/>
              <w:jc w:val="left"/>
              <w:rPr>
                <w:sz w:val="20"/>
                <w:szCs w:val="20"/>
                <w:lang w:eastAsia="en-CA"/>
              </w:rPr>
            </w:pPr>
            <w:r>
              <w:rPr>
                <w:sz w:val="20"/>
                <w:szCs w:val="20"/>
                <w:lang w:eastAsia="en-CA"/>
              </w:rPr>
              <w:t xml:space="preserve">Update the curriculum of vocational schools </w:t>
            </w:r>
          </w:p>
        </w:tc>
        <w:tc>
          <w:tcPr>
            <w:tcW w:w="521" w:type="pct"/>
            <w:vMerge w:val="restart"/>
            <w:tcBorders>
              <w:top w:val="nil"/>
              <w:left w:val="nil"/>
              <w:right w:val="single" w:sz="4" w:space="0" w:color="auto"/>
            </w:tcBorders>
            <w:vAlign w:val="center"/>
          </w:tcPr>
          <w:p w14:paraId="50D5F4AC" w14:textId="77777777" w:rsidR="004C571B" w:rsidRPr="00BE38DF" w:rsidRDefault="004C571B" w:rsidP="00B546DE">
            <w:pPr>
              <w:suppressAutoHyphens/>
              <w:jc w:val="right"/>
              <w:rPr>
                <w:sz w:val="20"/>
                <w:szCs w:val="20"/>
                <w:lang w:eastAsia="en-CA"/>
              </w:rPr>
            </w:pPr>
            <w:r>
              <w:rPr>
                <w:sz w:val="20"/>
                <w:szCs w:val="20"/>
                <w:lang w:eastAsia="en-CA"/>
              </w:rPr>
              <w:t>6,000</w:t>
            </w:r>
          </w:p>
        </w:tc>
        <w:tc>
          <w:tcPr>
            <w:tcW w:w="649" w:type="pct"/>
            <w:vMerge w:val="restart"/>
            <w:tcBorders>
              <w:top w:val="nil"/>
              <w:left w:val="nil"/>
              <w:right w:val="single" w:sz="4" w:space="0" w:color="auto"/>
            </w:tcBorders>
            <w:vAlign w:val="center"/>
          </w:tcPr>
          <w:p w14:paraId="3B184A3E" w14:textId="77777777" w:rsidR="004C571B" w:rsidRPr="00BE38DF" w:rsidRDefault="004C571B" w:rsidP="00B546DE">
            <w:pPr>
              <w:suppressAutoHyphens/>
              <w:jc w:val="right"/>
              <w:rPr>
                <w:sz w:val="20"/>
                <w:szCs w:val="20"/>
                <w:lang w:eastAsia="en-CA"/>
              </w:rPr>
            </w:pPr>
          </w:p>
        </w:tc>
      </w:tr>
      <w:tr w:rsidR="004C571B" w:rsidRPr="00BE38DF" w14:paraId="6479AEA6" w14:textId="77777777" w:rsidTr="00B546DE">
        <w:trPr>
          <w:trHeight w:val="1408"/>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46FB2667" w14:textId="77777777" w:rsidR="004C571B" w:rsidRPr="00BE38DF" w:rsidRDefault="004C571B" w:rsidP="00B546DE">
            <w:pPr>
              <w:suppressAutoHyphens/>
              <w:jc w:val="left"/>
              <w:rPr>
                <w:sz w:val="20"/>
                <w:szCs w:val="20"/>
                <w:lang w:eastAsia="en-CA"/>
              </w:rPr>
            </w:pPr>
          </w:p>
        </w:tc>
        <w:tc>
          <w:tcPr>
            <w:tcW w:w="1165" w:type="pct"/>
            <w:tcBorders>
              <w:top w:val="single" w:sz="4" w:space="0" w:color="auto"/>
              <w:left w:val="nil"/>
              <w:bottom w:val="single" w:sz="4" w:space="0" w:color="auto"/>
              <w:right w:val="single" w:sz="4" w:space="0" w:color="auto"/>
            </w:tcBorders>
            <w:vAlign w:val="center"/>
          </w:tcPr>
          <w:p w14:paraId="2BFD293E" w14:textId="77777777" w:rsidR="004C571B" w:rsidRPr="00BE38DF" w:rsidRDefault="004C571B" w:rsidP="00B546DE">
            <w:pPr>
              <w:suppressAutoHyphens/>
              <w:jc w:val="left"/>
              <w:rPr>
                <w:sz w:val="20"/>
                <w:szCs w:val="20"/>
                <w:lang w:eastAsia="en-CA"/>
              </w:rPr>
            </w:pPr>
            <w:r>
              <w:rPr>
                <w:sz w:val="20"/>
                <w:szCs w:val="20"/>
                <w:lang w:val="en-US" w:eastAsia="en-CA"/>
              </w:rPr>
              <w:t>Establishment of a certification scheme for RAC technicians</w:t>
            </w:r>
          </w:p>
        </w:tc>
        <w:tc>
          <w:tcPr>
            <w:tcW w:w="459" w:type="pct"/>
            <w:tcBorders>
              <w:top w:val="single" w:sz="4" w:space="0" w:color="auto"/>
              <w:left w:val="nil"/>
              <w:bottom w:val="single" w:sz="4" w:space="0" w:color="auto"/>
              <w:right w:val="single" w:sz="4" w:space="0" w:color="auto"/>
            </w:tcBorders>
            <w:vAlign w:val="center"/>
          </w:tcPr>
          <w:p w14:paraId="2A23F19D" w14:textId="77777777" w:rsidR="004C571B" w:rsidRPr="00BE38DF" w:rsidRDefault="004C571B" w:rsidP="00B546DE">
            <w:pPr>
              <w:suppressAutoHyphens/>
              <w:jc w:val="right"/>
              <w:rPr>
                <w:sz w:val="20"/>
                <w:szCs w:val="20"/>
                <w:lang w:eastAsia="en-CA"/>
              </w:rPr>
            </w:pPr>
            <w:r>
              <w:rPr>
                <w:sz w:val="20"/>
                <w:szCs w:val="20"/>
                <w:lang w:eastAsia="en-CA"/>
              </w:rPr>
              <w:t>60,000</w:t>
            </w:r>
          </w:p>
        </w:tc>
        <w:tc>
          <w:tcPr>
            <w:tcW w:w="1117" w:type="pct"/>
            <w:vMerge/>
            <w:tcBorders>
              <w:top w:val="single" w:sz="4" w:space="0" w:color="auto"/>
              <w:left w:val="single" w:sz="4" w:space="0" w:color="auto"/>
              <w:bottom w:val="single" w:sz="4" w:space="0" w:color="auto"/>
              <w:right w:val="single" w:sz="4" w:space="0" w:color="auto"/>
            </w:tcBorders>
            <w:vAlign w:val="center"/>
          </w:tcPr>
          <w:p w14:paraId="3FF8CF74" w14:textId="77777777" w:rsidR="004C571B" w:rsidRPr="00BE38DF" w:rsidRDefault="004C571B" w:rsidP="00B546DE">
            <w:pPr>
              <w:suppressAutoHyphens/>
              <w:jc w:val="left"/>
              <w:rPr>
                <w:sz w:val="20"/>
                <w:szCs w:val="20"/>
                <w:lang w:eastAsia="en-CA"/>
              </w:rPr>
            </w:pPr>
          </w:p>
        </w:tc>
        <w:tc>
          <w:tcPr>
            <w:tcW w:w="521" w:type="pct"/>
            <w:vMerge/>
            <w:tcBorders>
              <w:left w:val="nil"/>
              <w:bottom w:val="single" w:sz="4" w:space="0" w:color="auto"/>
              <w:right w:val="single" w:sz="4" w:space="0" w:color="auto"/>
            </w:tcBorders>
            <w:vAlign w:val="center"/>
          </w:tcPr>
          <w:p w14:paraId="473B708E" w14:textId="77777777" w:rsidR="004C571B" w:rsidRPr="00BE38DF" w:rsidRDefault="004C571B" w:rsidP="00B546DE">
            <w:pPr>
              <w:suppressAutoHyphens/>
              <w:jc w:val="right"/>
              <w:rPr>
                <w:sz w:val="20"/>
                <w:szCs w:val="20"/>
                <w:lang w:eastAsia="en-CA"/>
              </w:rPr>
            </w:pPr>
          </w:p>
        </w:tc>
        <w:tc>
          <w:tcPr>
            <w:tcW w:w="649" w:type="pct"/>
            <w:vMerge/>
            <w:tcBorders>
              <w:left w:val="nil"/>
              <w:right w:val="single" w:sz="4" w:space="0" w:color="auto"/>
            </w:tcBorders>
            <w:vAlign w:val="center"/>
          </w:tcPr>
          <w:p w14:paraId="4E59C224" w14:textId="77777777" w:rsidR="004C571B" w:rsidRPr="00BE38DF" w:rsidRDefault="004C571B" w:rsidP="00B546DE">
            <w:pPr>
              <w:suppressAutoHyphens/>
              <w:jc w:val="right"/>
              <w:rPr>
                <w:sz w:val="20"/>
                <w:szCs w:val="20"/>
                <w:lang w:eastAsia="en-CA"/>
              </w:rPr>
            </w:pPr>
          </w:p>
        </w:tc>
      </w:tr>
      <w:tr w:rsidR="004C571B" w:rsidRPr="00BE38DF" w14:paraId="15195339" w14:textId="77777777" w:rsidTr="00B546DE">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B2E12C3" w14:textId="77777777" w:rsidR="004C571B" w:rsidRPr="00BE38DF" w:rsidRDefault="004C571B" w:rsidP="00B546DE">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vAlign w:val="center"/>
          </w:tcPr>
          <w:p w14:paraId="2192915E" w14:textId="77777777" w:rsidR="004C571B" w:rsidRPr="00BE38DF" w:rsidRDefault="004C571B" w:rsidP="00B546DE">
            <w:pPr>
              <w:suppressAutoHyphens/>
              <w:jc w:val="left"/>
              <w:rPr>
                <w:sz w:val="20"/>
                <w:szCs w:val="20"/>
                <w:lang w:eastAsia="en-CA"/>
              </w:rPr>
            </w:pPr>
            <w:r>
              <w:rPr>
                <w:sz w:val="20"/>
                <w:szCs w:val="20"/>
                <w:lang w:val="en-US" w:eastAsia="en-CA"/>
              </w:rPr>
              <w:t>Targeted campaign and support for female students in the RAC field</w:t>
            </w:r>
          </w:p>
        </w:tc>
        <w:tc>
          <w:tcPr>
            <w:tcW w:w="459" w:type="pct"/>
            <w:vMerge w:val="restart"/>
            <w:tcBorders>
              <w:top w:val="single" w:sz="4" w:space="0" w:color="auto"/>
              <w:left w:val="nil"/>
              <w:bottom w:val="single" w:sz="4" w:space="0" w:color="auto"/>
              <w:right w:val="single" w:sz="4" w:space="0" w:color="auto"/>
            </w:tcBorders>
            <w:vAlign w:val="center"/>
          </w:tcPr>
          <w:p w14:paraId="0EDF846A" w14:textId="77777777" w:rsidR="004C571B" w:rsidRPr="00BE38DF" w:rsidRDefault="004C571B" w:rsidP="00B546DE">
            <w:pPr>
              <w:suppressAutoHyphens/>
              <w:jc w:val="right"/>
              <w:rPr>
                <w:sz w:val="20"/>
                <w:szCs w:val="20"/>
                <w:lang w:eastAsia="en-CA"/>
              </w:rPr>
            </w:pPr>
            <w:r>
              <w:rPr>
                <w:sz w:val="20"/>
                <w:szCs w:val="20"/>
                <w:lang w:eastAsia="en-CA"/>
              </w:rPr>
              <w:t>7,000</w:t>
            </w:r>
          </w:p>
        </w:tc>
        <w:tc>
          <w:tcPr>
            <w:tcW w:w="1117" w:type="pct"/>
            <w:tcBorders>
              <w:top w:val="single" w:sz="4" w:space="0" w:color="auto"/>
              <w:left w:val="single" w:sz="4" w:space="0" w:color="auto"/>
              <w:bottom w:val="single" w:sz="4" w:space="0" w:color="auto"/>
              <w:right w:val="single" w:sz="4" w:space="0" w:color="auto"/>
            </w:tcBorders>
            <w:vAlign w:val="center"/>
          </w:tcPr>
          <w:p w14:paraId="2FE79201" w14:textId="77777777" w:rsidR="004C571B" w:rsidRPr="00BE38DF" w:rsidRDefault="004C571B" w:rsidP="00B546DE">
            <w:pPr>
              <w:suppressAutoHyphens/>
              <w:jc w:val="left"/>
              <w:rPr>
                <w:sz w:val="20"/>
                <w:szCs w:val="20"/>
                <w:lang w:eastAsia="en-CA"/>
              </w:rPr>
            </w:pPr>
            <w:r>
              <w:rPr>
                <w:sz w:val="20"/>
                <w:szCs w:val="20"/>
                <w:lang w:eastAsia="en-CA"/>
              </w:rPr>
              <w:t>Develop training material for training of MAC technicians; organize training of trainers, organize two training programmes of MAC and RAC technicians, 20 participants each, total 40 participants on new technologies, safety standards, leakage control, and energy efficiency</w:t>
            </w:r>
          </w:p>
        </w:tc>
        <w:tc>
          <w:tcPr>
            <w:tcW w:w="521" w:type="pct"/>
            <w:tcBorders>
              <w:top w:val="nil"/>
              <w:left w:val="nil"/>
              <w:bottom w:val="single" w:sz="4" w:space="0" w:color="auto"/>
              <w:right w:val="single" w:sz="4" w:space="0" w:color="auto"/>
            </w:tcBorders>
            <w:vAlign w:val="center"/>
          </w:tcPr>
          <w:p w14:paraId="61D8EC61" w14:textId="77777777" w:rsidR="004C571B" w:rsidRPr="00BE38DF" w:rsidRDefault="004C571B" w:rsidP="00B546DE">
            <w:pPr>
              <w:suppressAutoHyphens/>
              <w:jc w:val="righ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59F13208" w14:textId="77777777" w:rsidR="004C571B" w:rsidRPr="00BE38DF" w:rsidRDefault="004C571B" w:rsidP="00B546DE">
            <w:pPr>
              <w:suppressAutoHyphens/>
              <w:jc w:val="right"/>
              <w:rPr>
                <w:sz w:val="20"/>
                <w:szCs w:val="20"/>
                <w:lang w:eastAsia="en-CA"/>
              </w:rPr>
            </w:pPr>
          </w:p>
        </w:tc>
      </w:tr>
      <w:tr w:rsidR="004C571B" w:rsidRPr="00BE38DF" w14:paraId="2CF4949E" w14:textId="77777777" w:rsidTr="00B546DE">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079A5DEB" w14:textId="77777777" w:rsidR="004C571B" w:rsidRPr="00BE38DF" w:rsidRDefault="004C571B" w:rsidP="00B546DE">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vAlign w:val="center"/>
          </w:tcPr>
          <w:p w14:paraId="4811BA4A" w14:textId="77777777" w:rsidR="004C571B" w:rsidRPr="00BE38DF" w:rsidRDefault="004C571B" w:rsidP="00B546DE">
            <w:pPr>
              <w:suppressAutoHyphens/>
              <w:jc w:val="left"/>
              <w:rPr>
                <w:sz w:val="20"/>
                <w:szCs w:val="20"/>
                <w:lang w:val="en-US" w:eastAsia="en-CA"/>
              </w:rPr>
            </w:pPr>
          </w:p>
        </w:tc>
        <w:tc>
          <w:tcPr>
            <w:tcW w:w="459" w:type="pct"/>
            <w:vMerge/>
            <w:tcBorders>
              <w:top w:val="single" w:sz="4" w:space="0" w:color="auto"/>
              <w:left w:val="nil"/>
              <w:right w:val="single" w:sz="4" w:space="0" w:color="auto"/>
            </w:tcBorders>
            <w:vAlign w:val="center"/>
          </w:tcPr>
          <w:p w14:paraId="6B249261"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751089D9" w14:textId="77777777" w:rsidR="004C571B" w:rsidRPr="00BE38DF" w:rsidRDefault="004C571B" w:rsidP="00B546DE">
            <w:pPr>
              <w:suppressAutoHyphens/>
              <w:jc w:val="left"/>
              <w:rPr>
                <w:sz w:val="20"/>
                <w:szCs w:val="20"/>
                <w:lang w:eastAsia="en-CA"/>
              </w:rPr>
            </w:pPr>
            <w:r>
              <w:rPr>
                <w:sz w:val="20"/>
                <w:szCs w:val="20"/>
                <w:lang w:eastAsia="en-CA"/>
              </w:rPr>
              <w:t>Purchase and deliver two sets of HFC-32-based residential air-conditioners, leak detectors and recycling stations to training centres for training purposes</w:t>
            </w:r>
          </w:p>
        </w:tc>
        <w:tc>
          <w:tcPr>
            <w:tcW w:w="521" w:type="pct"/>
            <w:tcBorders>
              <w:top w:val="nil"/>
              <w:left w:val="nil"/>
              <w:bottom w:val="single" w:sz="4" w:space="0" w:color="auto"/>
              <w:right w:val="single" w:sz="4" w:space="0" w:color="auto"/>
            </w:tcBorders>
            <w:vAlign w:val="center"/>
          </w:tcPr>
          <w:p w14:paraId="1685385B" w14:textId="77777777" w:rsidR="004C571B" w:rsidRPr="00BE38DF" w:rsidRDefault="004C571B" w:rsidP="00B546DE">
            <w:pPr>
              <w:suppressAutoHyphens/>
              <w:jc w:val="right"/>
              <w:rPr>
                <w:sz w:val="20"/>
                <w:szCs w:val="20"/>
                <w:lang w:eastAsia="en-CA"/>
              </w:rPr>
            </w:pPr>
            <w:r>
              <w:rPr>
                <w:sz w:val="20"/>
                <w:szCs w:val="20"/>
                <w:lang w:eastAsia="en-CA"/>
              </w:rPr>
              <w:t>2,500</w:t>
            </w:r>
          </w:p>
        </w:tc>
        <w:tc>
          <w:tcPr>
            <w:tcW w:w="649" w:type="pct"/>
            <w:vMerge w:val="restart"/>
            <w:tcBorders>
              <w:left w:val="nil"/>
              <w:right w:val="single" w:sz="4" w:space="0" w:color="auto"/>
            </w:tcBorders>
            <w:vAlign w:val="center"/>
          </w:tcPr>
          <w:p w14:paraId="0FCFAB8A" w14:textId="77777777" w:rsidR="004C571B" w:rsidRPr="00BE38DF" w:rsidRDefault="004C571B" w:rsidP="00B546DE">
            <w:pPr>
              <w:suppressAutoHyphens/>
              <w:jc w:val="right"/>
              <w:rPr>
                <w:sz w:val="20"/>
                <w:szCs w:val="20"/>
                <w:lang w:eastAsia="en-CA"/>
              </w:rPr>
            </w:pPr>
          </w:p>
        </w:tc>
      </w:tr>
      <w:tr w:rsidR="004C571B" w:rsidRPr="00BE38DF" w14:paraId="6D950C73" w14:textId="77777777" w:rsidTr="00B546DE">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3DF62FD0" w14:textId="77777777" w:rsidR="004C571B" w:rsidRPr="00BE38DF" w:rsidRDefault="004C571B" w:rsidP="00B546DE">
            <w:pPr>
              <w:suppressAutoHyphens/>
              <w:jc w:val="left"/>
              <w:rPr>
                <w:sz w:val="20"/>
                <w:szCs w:val="20"/>
                <w:lang w:eastAsia="en-CA"/>
              </w:rPr>
            </w:pPr>
          </w:p>
        </w:tc>
        <w:tc>
          <w:tcPr>
            <w:tcW w:w="1165" w:type="pct"/>
            <w:vMerge/>
            <w:tcBorders>
              <w:top w:val="single" w:sz="4" w:space="0" w:color="auto"/>
              <w:left w:val="nil"/>
              <w:right w:val="single" w:sz="4" w:space="0" w:color="auto"/>
            </w:tcBorders>
            <w:vAlign w:val="center"/>
          </w:tcPr>
          <w:p w14:paraId="2895242B" w14:textId="77777777" w:rsidR="004C571B" w:rsidRPr="00BE38DF" w:rsidRDefault="004C571B" w:rsidP="00B546DE">
            <w:pPr>
              <w:suppressAutoHyphens/>
              <w:jc w:val="left"/>
              <w:rPr>
                <w:sz w:val="20"/>
                <w:szCs w:val="20"/>
                <w:lang w:val="en-US" w:eastAsia="en-CA"/>
              </w:rPr>
            </w:pPr>
          </w:p>
        </w:tc>
        <w:tc>
          <w:tcPr>
            <w:tcW w:w="459" w:type="pct"/>
            <w:vMerge/>
            <w:tcBorders>
              <w:left w:val="nil"/>
              <w:right w:val="single" w:sz="4" w:space="0" w:color="auto"/>
            </w:tcBorders>
            <w:vAlign w:val="center"/>
          </w:tcPr>
          <w:p w14:paraId="7C9944C8"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1EF0B195" w14:textId="77777777" w:rsidR="004C571B" w:rsidRPr="00BE38DF" w:rsidRDefault="004C571B" w:rsidP="00B546DE">
            <w:pPr>
              <w:suppressAutoHyphens/>
              <w:jc w:val="left"/>
              <w:rPr>
                <w:sz w:val="20"/>
                <w:szCs w:val="20"/>
                <w:lang w:eastAsia="en-CA"/>
              </w:rPr>
            </w:pPr>
            <w:r>
              <w:rPr>
                <w:sz w:val="20"/>
                <w:szCs w:val="20"/>
                <w:lang w:eastAsia="en-CA"/>
              </w:rPr>
              <w:t>Develop and disseminate manual on safe handling of flammable and/or toxic refrigerants for at least 300 users</w:t>
            </w:r>
          </w:p>
        </w:tc>
        <w:tc>
          <w:tcPr>
            <w:tcW w:w="521" w:type="pct"/>
            <w:tcBorders>
              <w:top w:val="nil"/>
              <w:left w:val="nil"/>
              <w:bottom w:val="single" w:sz="4" w:space="0" w:color="auto"/>
              <w:right w:val="single" w:sz="4" w:space="0" w:color="auto"/>
            </w:tcBorders>
            <w:vAlign w:val="center"/>
          </w:tcPr>
          <w:p w14:paraId="12D95D99" w14:textId="77777777" w:rsidR="004C571B" w:rsidRPr="00BE38DF" w:rsidRDefault="004C571B" w:rsidP="00B546DE">
            <w:pPr>
              <w:suppressAutoHyphens/>
              <w:jc w:val="righ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37E88076" w14:textId="77777777" w:rsidR="004C571B" w:rsidRPr="00BE38DF" w:rsidRDefault="004C571B" w:rsidP="00B546DE">
            <w:pPr>
              <w:suppressAutoHyphens/>
              <w:jc w:val="right"/>
              <w:rPr>
                <w:sz w:val="20"/>
                <w:szCs w:val="20"/>
                <w:lang w:eastAsia="en-CA"/>
              </w:rPr>
            </w:pPr>
          </w:p>
        </w:tc>
      </w:tr>
      <w:tr w:rsidR="004C571B" w:rsidRPr="00BE38DF" w14:paraId="5C0225D0" w14:textId="77777777" w:rsidTr="00B546DE">
        <w:trPr>
          <w:trHeight w:val="1620"/>
          <w:jc w:val="center"/>
        </w:trPr>
        <w:tc>
          <w:tcPr>
            <w:tcW w:w="1090" w:type="pct"/>
            <w:vMerge/>
            <w:tcBorders>
              <w:left w:val="single" w:sz="4" w:space="0" w:color="auto"/>
              <w:bottom w:val="single" w:sz="4" w:space="0" w:color="auto"/>
              <w:right w:val="single" w:sz="4" w:space="0" w:color="auto"/>
            </w:tcBorders>
            <w:vAlign w:val="center"/>
          </w:tcPr>
          <w:p w14:paraId="0A0B92F7" w14:textId="77777777" w:rsidR="004C571B" w:rsidRPr="00BE38DF" w:rsidRDefault="004C571B" w:rsidP="00B546DE">
            <w:pPr>
              <w:suppressAutoHyphens/>
              <w:jc w:val="left"/>
              <w:rPr>
                <w:sz w:val="20"/>
                <w:szCs w:val="20"/>
                <w:lang w:eastAsia="en-CA"/>
              </w:rPr>
            </w:pPr>
          </w:p>
        </w:tc>
        <w:tc>
          <w:tcPr>
            <w:tcW w:w="1165" w:type="pct"/>
            <w:vMerge/>
            <w:tcBorders>
              <w:left w:val="nil"/>
              <w:right w:val="single" w:sz="4" w:space="0" w:color="auto"/>
            </w:tcBorders>
            <w:vAlign w:val="center"/>
          </w:tcPr>
          <w:p w14:paraId="7911B284" w14:textId="77777777" w:rsidR="004C571B" w:rsidRPr="00BE38DF" w:rsidRDefault="004C571B" w:rsidP="00B546DE">
            <w:pPr>
              <w:suppressAutoHyphens/>
              <w:jc w:val="left"/>
              <w:rPr>
                <w:sz w:val="20"/>
                <w:szCs w:val="20"/>
                <w:lang w:val="en-US" w:eastAsia="en-CA"/>
              </w:rPr>
            </w:pPr>
          </w:p>
        </w:tc>
        <w:tc>
          <w:tcPr>
            <w:tcW w:w="459" w:type="pct"/>
            <w:vMerge/>
            <w:tcBorders>
              <w:left w:val="nil"/>
              <w:right w:val="single" w:sz="4" w:space="0" w:color="auto"/>
            </w:tcBorders>
            <w:vAlign w:val="center"/>
          </w:tcPr>
          <w:p w14:paraId="36FA7946"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420B4E11" w14:textId="77777777" w:rsidR="004C571B" w:rsidRPr="00BE38DF" w:rsidRDefault="004C571B" w:rsidP="00B546DE">
            <w:pPr>
              <w:suppressAutoHyphens/>
              <w:jc w:val="left"/>
              <w:rPr>
                <w:sz w:val="20"/>
                <w:szCs w:val="20"/>
                <w:lang w:eastAsia="en-CA"/>
              </w:rPr>
            </w:pPr>
            <w:r>
              <w:rPr>
                <w:sz w:val="20"/>
                <w:szCs w:val="20"/>
                <w:lang w:eastAsia="en-CA"/>
              </w:rPr>
              <w:t>Develop a leakage control guide for all those involved in installation, servicing, maintenance and decommissioning of RAC equipment,  and carry out at least two “Zero Leaks” workshops to guide and demonstrate to end-users</w:t>
            </w:r>
          </w:p>
        </w:tc>
        <w:tc>
          <w:tcPr>
            <w:tcW w:w="521" w:type="pct"/>
            <w:tcBorders>
              <w:top w:val="nil"/>
              <w:left w:val="nil"/>
              <w:bottom w:val="single" w:sz="4" w:space="0" w:color="auto"/>
              <w:right w:val="single" w:sz="4" w:space="0" w:color="auto"/>
            </w:tcBorders>
            <w:vAlign w:val="center"/>
          </w:tcPr>
          <w:p w14:paraId="46BEC1A2" w14:textId="77777777" w:rsidR="004C571B" w:rsidRPr="00BE38DF" w:rsidRDefault="004C571B" w:rsidP="00B546DE">
            <w:pPr>
              <w:suppressAutoHyphens/>
              <w:jc w:val="righ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1F174D6E" w14:textId="77777777" w:rsidR="004C571B" w:rsidRPr="00BE38DF" w:rsidRDefault="004C571B" w:rsidP="00B546DE">
            <w:pPr>
              <w:suppressAutoHyphens/>
              <w:jc w:val="right"/>
              <w:rPr>
                <w:sz w:val="20"/>
                <w:szCs w:val="20"/>
                <w:lang w:eastAsia="en-CA"/>
              </w:rPr>
            </w:pPr>
          </w:p>
        </w:tc>
      </w:tr>
      <w:tr w:rsidR="004C571B" w:rsidRPr="00BE38DF" w14:paraId="6709043F" w14:textId="77777777" w:rsidTr="00B546DE">
        <w:trPr>
          <w:trHeight w:val="1620"/>
          <w:jc w:val="center"/>
        </w:trPr>
        <w:tc>
          <w:tcPr>
            <w:tcW w:w="1090" w:type="pct"/>
            <w:vMerge/>
            <w:tcBorders>
              <w:left w:val="single" w:sz="4" w:space="0" w:color="auto"/>
              <w:bottom w:val="single" w:sz="4" w:space="0" w:color="auto"/>
              <w:right w:val="single" w:sz="4" w:space="0" w:color="auto"/>
            </w:tcBorders>
            <w:vAlign w:val="center"/>
          </w:tcPr>
          <w:p w14:paraId="597186E2" w14:textId="77777777" w:rsidR="004C571B" w:rsidRPr="00BE38DF" w:rsidRDefault="004C571B" w:rsidP="00B546DE">
            <w:pPr>
              <w:suppressAutoHyphens/>
              <w:jc w:val="left"/>
              <w:rPr>
                <w:sz w:val="20"/>
                <w:szCs w:val="20"/>
                <w:lang w:eastAsia="en-CA"/>
              </w:rPr>
            </w:pPr>
          </w:p>
        </w:tc>
        <w:tc>
          <w:tcPr>
            <w:tcW w:w="1165" w:type="pct"/>
            <w:vMerge/>
            <w:tcBorders>
              <w:left w:val="nil"/>
              <w:bottom w:val="single" w:sz="4" w:space="0" w:color="auto"/>
              <w:right w:val="single" w:sz="4" w:space="0" w:color="auto"/>
            </w:tcBorders>
            <w:vAlign w:val="center"/>
          </w:tcPr>
          <w:p w14:paraId="735082A3" w14:textId="77777777" w:rsidR="004C571B" w:rsidRPr="00BE38DF" w:rsidRDefault="004C571B" w:rsidP="00B546DE">
            <w:pPr>
              <w:suppressAutoHyphens/>
              <w:jc w:val="left"/>
              <w:rPr>
                <w:sz w:val="20"/>
                <w:szCs w:val="20"/>
                <w:lang w:val="en-US" w:eastAsia="en-CA"/>
              </w:rPr>
            </w:pPr>
          </w:p>
        </w:tc>
        <w:tc>
          <w:tcPr>
            <w:tcW w:w="459" w:type="pct"/>
            <w:vMerge/>
            <w:tcBorders>
              <w:left w:val="nil"/>
              <w:bottom w:val="single" w:sz="4" w:space="0" w:color="auto"/>
              <w:right w:val="single" w:sz="4" w:space="0" w:color="auto"/>
            </w:tcBorders>
            <w:vAlign w:val="center"/>
          </w:tcPr>
          <w:p w14:paraId="72B08EB0"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7A5EF04B" w14:textId="77777777" w:rsidR="004C571B" w:rsidRPr="00BE38DF" w:rsidRDefault="004C571B" w:rsidP="00B546DE">
            <w:pPr>
              <w:suppressAutoHyphens/>
              <w:jc w:val="left"/>
              <w:rPr>
                <w:sz w:val="20"/>
                <w:szCs w:val="20"/>
                <w:lang w:eastAsia="en-CA"/>
              </w:rPr>
            </w:pPr>
            <w:r>
              <w:rPr>
                <w:sz w:val="20"/>
                <w:szCs w:val="20"/>
                <w:lang w:eastAsia="en-CA"/>
              </w:rPr>
              <w:t>Organize four awareness-raising campaigns for a total of 400 stakeholders on low-GWP energy efficient alternatives and their economic and environmental benefits, as well as on preventive maintenance</w:t>
            </w:r>
          </w:p>
        </w:tc>
        <w:tc>
          <w:tcPr>
            <w:tcW w:w="521" w:type="pct"/>
            <w:tcBorders>
              <w:top w:val="nil"/>
              <w:left w:val="nil"/>
              <w:bottom w:val="single" w:sz="4" w:space="0" w:color="auto"/>
              <w:right w:val="single" w:sz="4" w:space="0" w:color="auto"/>
            </w:tcBorders>
            <w:vAlign w:val="center"/>
          </w:tcPr>
          <w:p w14:paraId="27355EEA" w14:textId="77777777" w:rsidR="004C571B" w:rsidRPr="00BE38DF" w:rsidRDefault="004C571B" w:rsidP="00B546DE">
            <w:pPr>
              <w:suppressAutoHyphens/>
              <w:jc w:val="righ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4586FF9D" w14:textId="77777777" w:rsidR="004C571B" w:rsidRPr="00BE38DF" w:rsidRDefault="004C571B" w:rsidP="00B546DE">
            <w:pPr>
              <w:suppressAutoHyphens/>
              <w:jc w:val="right"/>
              <w:rPr>
                <w:sz w:val="20"/>
                <w:szCs w:val="20"/>
                <w:lang w:eastAsia="en-CA"/>
              </w:rPr>
            </w:pPr>
          </w:p>
        </w:tc>
      </w:tr>
      <w:tr w:rsidR="004C571B" w:rsidRPr="00BE38DF" w14:paraId="79A229F7" w14:textId="77777777" w:rsidTr="00B546DE">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5FF4D966" w14:textId="77777777" w:rsidR="004C571B" w:rsidRPr="00BE38DF" w:rsidRDefault="004C571B" w:rsidP="00B546DE">
            <w:pPr>
              <w:suppressAutoHyphens/>
              <w:rPr>
                <w:b/>
                <w:bCs/>
                <w:sz w:val="20"/>
                <w:szCs w:val="20"/>
                <w:lang w:eastAsia="en-CA"/>
              </w:rPr>
            </w:pPr>
            <w:r>
              <w:rPr>
                <w:b/>
                <w:bCs/>
                <w:sz w:val="20"/>
                <w:szCs w:val="20"/>
                <w:lang w:eastAsia="en-CA"/>
              </w:rPr>
              <w:t>Subtotal</w:t>
            </w:r>
          </w:p>
        </w:tc>
        <w:tc>
          <w:tcPr>
            <w:tcW w:w="459" w:type="pct"/>
            <w:tcBorders>
              <w:top w:val="single" w:sz="4" w:space="0" w:color="auto"/>
              <w:left w:val="nil"/>
              <w:bottom w:val="single" w:sz="4" w:space="0" w:color="auto"/>
              <w:right w:val="single" w:sz="4" w:space="0" w:color="auto"/>
            </w:tcBorders>
            <w:vAlign w:val="center"/>
          </w:tcPr>
          <w:p w14:paraId="4F450934" w14:textId="77777777" w:rsidR="004C571B" w:rsidRPr="00BE38DF" w:rsidRDefault="004C571B" w:rsidP="00B546DE">
            <w:pPr>
              <w:suppressAutoHyphens/>
              <w:jc w:val="right"/>
              <w:rPr>
                <w:b/>
                <w:bCs/>
                <w:sz w:val="20"/>
                <w:szCs w:val="20"/>
                <w:lang w:eastAsia="en-CA"/>
              </w:rPr>
            </w:pPr>
            <w:r>
              <w:rPr>
                <w:b/>
                <w:bCs/>
                <w:sz w:val="20"/>
                <w:szCs w:val="20"/>
                <w:lang w:eastAsia="en-CA"/>
              </w:rPr>
              <w:t>87,000</w:t>
            </w:r>
          </w:p>
        </w:tc>
        <w:tc>
          <w:tcPr>
            <w:tcW w:w="1117" w:type="pct"/>
            <w:tcBorders>
              <w:top w:val="single" w:sz="4" w:space="0" w:color="auto"/>
              <w:left w:val="single" w:sz="4" w:space="0" w:color="auto"/>
              <w:bottom w:val="single" w:sz="4" w:space="0" w:color="auto"/>
              <w:right w:val="single" w:sz="4" w:space="0" w:color="auto"/>
            </w:tcBorders>
            <w:vAlign w:val="center"/>
          </w:tcPr>
          <w:p w14:paraId="267EDFFE" w14:textId="77777777" w:rsidR="004C571B" w:rsidRPr="00BE38DF" w:rsidRDefault="004C571B" w:rsidP="00B546DE">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6C63CD6A" w14:textId="77777777" w:rsidR="004C571B" w:rsidRPr="00BE38DF" w:rsidRDefault="004C571B" w:rsidP="00B546DE">
            <w:pPr>
              <w:suppressAutoHyphens/>
              <w:jc w:val="right"/>
              <w:rPr>
                <w:b/>
                <w:bCs/>
                <w:sz w:val="20"/>
                <w:szCs w:val="20"/>
                <w:lang w:eastAsia="en-CA"/>
              </w:rPr>
            </w:pPr>
            <w:r>
              <w:rPr>
                <w:b/>
                <w:bCs/>
                <w:sz w:val="20"/>
                <w:szCs w:val="20"/>
                <w:lang w:eastAsia="en-CA"/>
              </w:rPr>
              <w:t>54,500</w:t>
            </w:r>
          </w:p>
        </w:tc>
        <w:tc>
          <w:tcPr>
            <w:tcW w:w="649" w:type="pct"/>
            <w:tcBorders>
              <w:top w:val="single" w:sz="4" w:space="0" w:color="auto"/>
              <w:left w:val="nil"/>
              <w:bottom w:val="single" w:sz="4" w:space="0" w:color="auto"/>
              <w:right w:val="single" w:sz="4" w:space="0" w:color="auto"/>
            </w:tcBorders>
            <w:vAlign w:val="center"/>
          </w:tcPr>
          <w:p w14:paraId="4BCC59E9" w14:textId="77777777" w:rsidR="004C571B" w:rsidRPr="00BE38DF" w:rsidRDefault="004C571B" w:rsidP="00B546DE">
            <w:pPr>
              <w:suppressAutoHyphens/>
              <w:jc w:val="right"/>
              <w:rPr>
                <w:b/>
                <w:bCs/>
                <w:sz w:val="20"/>
                <w:szCs w:val="20"/>
                <w:lang w:eastAsia="en-CA"/>
              </w:rPr>
            </w:pPr>
            <w:r>
              <w:rPr>
                <w:b/>
                <w:bCs/>
                <w:sz w:val="20"/>
                <w:szCs w:val="20"/>
                <w:lang w:eastAsia="en-CA"/>
              </w:rPr>
              <w:t>141,500</w:t>
            </w:r>
          </w:p>
        </w:tc>
      </w:tr>
      <w:tr w:rsidR="004C571B" w:rsidRPr="00BE38DF" w14:paraId="3AEB731A" w14:textId="77777777" w:rsidTr="00B546DE">
        <w:trPr>
          <w:trHeight w:val="1380"/>
          <w:jc w:val="center"/>
        </w:trPr>
        <w:tc>
          <w:tcPr>
            <w:tcW w:w="1090" w:type="pct"/>
            <w:vMerge w:val="restart"/>
            <w:tcBorders>
              <w:top w:val="nil"/>
              <w:left w:val="single" w:sz="4" w:space="0" w:color="auto"/>
              <w:right w:val="single" w:sz="4" w:space="0" w:color="auto"/>
            </w:tcBorders>
            <w:vAlign w:val="center"/>
          </w:tcPr>
          <w:p w14:paraId="5D30DF44" w14:textId="77777777" w:rsidR="004C571B" w:rsidRPr="00BE38DF" w:rsidRDefault="004C571B" w:rsidP="00B546DE">
            <w:pPr>
              <w:suppressAutoHyphens/>
              <w:jc w:val="left"/>
              <w:rPr>
                <w:sz w:val="20"/>
                <w:szCs w:val="20"/>
                <w:lang w:eastAsia="en-CA"/>
              </w:rPr>
            </w:pPr>
            <w:r>
              <w:rPr>
                <w:sz w:val="20"/>
                <w:szCs w:val="20"/>
                <w:lang w:eastAsia="en-CA"/>
              </w:rPr>
              <w:t xml:space="preserve">Capacity building of customs and enforcement officers </w:t>
            </w:r>
          </w:p>
          <w:p w14:paraId="36F21B54" w14:textId="77777777" w:rsidR="004C571B" w:rsidRPr="00BE38DF" w:rsidRDefault="004C571B" w:rsidP="00B546DE">
            <w:pPr>
              <w:suppressAutoHyphens/>
              <w:jc w:val="left"/>
              <w:rPr>
                <w:sz w:val="20"/>
                <w:szCs w:val="20"/>
                <w:lang w:eastAsia="en-CA"/>
              </w:rPr>
            </w:pPr>
          </w:p>
        </w:tc>
        <w:tc>
          <w:tcPr>
            <w:tcW w:w="1165" w:type="pct"/>
            <w:vMerge w:val="restart"/>
            <w:tcBorders>
              <w:top w:val="nil"/>
              <w:left w:val="nil"/>
              <w:right w:val="single" w:sz="4" w:space="0" w:color="auto"/>
            </w:tcBorders>
            <w:shd w:val="clear" w:color="auto" w:fill="FFFFFF" w:themeFill="background1"/>
            <w:vAlign w:val="center"/>
          </w:tcPr>
          <w:p w14:paraId="010F4760" w14:textId="77777777" w:rsidR="004C571B" w:rsidRPr="00BE38DF" w:rsidRDefault="004C571B" w:rsidP="00B546DE">
            <w:pPr>
              <w:suppressAutoHyphens/>
              <w:rPr>
                <w:sz w:val="20"/>
                <w:szCs w:val="20"/>
                <w:lang w:eastAsia="en-CA"/>
              </w:rPr>
            </w:pPr>
            <w:r>
              <w:rPr>
                <w:sz w:val="20"/>
                <w:szCs w:val="20"/>
                <w:lang w:eastAsia="en-CA"/>
              </w:rPr>
              <w:t xml:space="preserve">Training of customs and fiscal police officers </w:t>
            </w:r>
          </w:p>
        </w:tc>
        <w:tc>
          <w:tcPr>
            <w:tcW w:w="459" w:type="pct"/>
            <w:vMerge w:val="restart"/>
            <w:tcBorders>
              <w:top w:val="nil"/>
              <w:left w:val="nil"/>
              <w:right w:val="single" w:sz="4" w:space="0" w:color="auto"/>
            </w:tcBorders>
            <w:shd w:val="clear" w:color="auto" w:fill="FFFFFF" w:themeFill="background1"/>
            <w:vAlign w:val="center"/>
          </w:tcPr>
          <w:p w14:paraId="4231E9E5" w14:textId="77777777" w:rsidR="004C571B" w:rsidRPr="00BE38DF" w:rsidRDefault="004C571B" w:rsidP="00B546DE">
            <w:pPr>
              <w:suppressAutoHyphens/>
              <w:jc w:val="right"/>
              <w:rPr>
                <w:sz w:val="20"/>
                <w:szCs w:val="20"/>
                <w:lang w:eastAsia="en-CA"/>
              </w:rPr>
            </w:pPr>
            <w:r>
              <w:rPr>
                <w:sz w:val="20"/>
                <w:szCs w:val="20"/>
                <w:lang w:eastAsia="en-CA"/>
              </w:rPr>
              <w:t>40,000</w:t>
            </w:r>
          </w:p>
          <w:p w14:paraId="0FE6BCA1"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F218A" w14:textId="77777777" w:rsidR="004C571B" w:rsidRPr="00BE38DF" w:rsidRDefault="004C571B" w:rsidP="00B546DE">
            <w:pPr>
              <w:suppressAutoHyphens/>
              <w:jc w:val="left"/>
              <w:rPr>
                <w:sz w:val="20"/>
                <w:szCs w:val="20"/>
                <w:lang w:eastAsia="en-CA"/>
              </w:rPr>
            </w:pPr>
            <w:r>
              <w:rPr>
                <w:sz w:val="20"/>
                <w:szCs w:val="20"/>
                <w:lang w:eastAsia="en-CA"/>
              </w:rPr>
              <w:t>Prepare and disseminate posters and information material on the main rules and regulations on imports</w:t>
            </w:r>
          </w:p>
        </w:tc>
        <w:tc>
          <w:tcPr>
            <w:tcW w:w="521" w:type="pct"/>
            <w:tcBorders>
              <w:top w:val="nil"/>
              <w:left w:val="nil"/>
              <w:bottom w:val="single" w:sz="4" w:space="0" w:color="auto"/>
              <w:right w:val="single" w:sz="4" w:space="0" w:color="auto"/>
            </w:tcBorders>
            <w:vAlign w:val="center"/>
          </w:tcPr>
          <w:p w14:paraId="081675B1" w14:textId="77777777" w:rsidR="004C571B" w:rsidRPr="00BE38DF" w:rsidRDefault="004C571B" w:rsidP="00B546DE">
            <w:pPr>
              <w:suppressAutoHyphens/>
              <w:jc w:val="right"/>
              <w:rPr>
                <w:sz w:val="20"/>
                <w:szCs w:val="20"/>
                <w:lang w:eastAsia="en-CA"/>
              </w:rPr>
            </w:pPr>
            <w:r>
              <w:rPr>
                <w:sz w:val="20"/>
                <w:szCs w:val="20"/>
                <w:lang w:eastAsia="en-CA"/>
              </w:rPr>
              <w:t>2,500</w:t>
            </w:r>
          </w:p>
        </w:tc>
        <w:tc>
          <w:tcPr>
            <w:tcW w:w="649" w:type="pct"/>
            <w:vMerge w:val="restart"/>
            <w:tcBorders>
              <w:top w:val="nil"/>
              <w:left w:val="nil"/>
              <w:right w:val="single" w:sz="4" w:space="0" w:color="auto"/>
            </w:tcBorders>
            <w:vAlign w:val="center"/>
          </w:tcPr>
          <w:p w14:paraId="60ADB082" w14:textId="77777777" w:rsidR="004C571B" w:rsidRPr="00BE38DF" w:rsidRDefault="004C571B" w:rsidP="00B546DE">
            <w:pPr>
              <w:suppressAutoHyphens/>
              <w:jc w:val="right"/>
              <w:rPr>
                <w:sz w:val="20"/>
                <w:szCs w:val="20"/>
                <w:lang w:eastAsia="en-CA"/>
              </w:rPr>
            </w:pPr>
          </w:p>
          <w:p w14:paraId="025967B0" w14:textId="77777777" w:rsidR="004C571B" w:rsidRPr="00BE38DF" w:rsidRDefault="004C571B" w:rsidP="00B546DE">
            <w:pPr>
              <w:suppressAutoHyphens/>
              <w:jc w:val="right"/>
              <w:rPr>
                <w:sz w:val="20"/>
                <w:szCs w:val="20"/>
                <w:lang w:eastAsia="en-CA"/>
              </w:rPr>
            </w:pPr>
          </w:p>
        </w:tc>
      </w:tr>
      <w:tr w:rsidR="004C571B" w:rsidRPr="00BE38DF" w14:paraId="1D48565C" w14:textId="77777777" w:rsidTr="00B546DE">
        <w:trPr>
          <w:trHeight w:val="227"/>
          <w:jc w:val="center"/>
        </w:trPr>
        <w:tc>
          <w:tcPr>
            <w:tcW w:w="1090" w:type="pct"/>
            <w:vMerge/>
            <w:tcBorders>
              <w:left w:val="single" w:sz="4" w:space="0" w:color="auto"/>
              <w:bottom w:val="single" w:sz="4" w:space="0" w:color="auto"/>
              <w:right w:val="single" w:sz="4" w:space="0" w:color="auto"/>
            </w:tcBorders>
            <w:vAlign w:val="center"/>
          </w:tcPr>
          <w:p w14:paraId="75AB6DB5" w14:textId="77777777" w:rsidR="004C571B" w:rsidRPr="00BE38DF" w:rsidRDefault="004C571B" w:rsidP="00B546DE">
            <w:pPr>
              <w:suppressAutoHyphens/>
              <w:jc w:val="left"/>
              <w:rPr>
                <w:sz w:val="20"/>
                <w:szCs w:val="20"/>
                <w:lang w:eastAsia="en-CA"/>
              </w:rPr>
            </w:pPr>
          </w:p>
        </w:tc>
        <w:tc>
          <w:tcPr>
            <w:tcW w:w="1165" w:type="pct"/>
            <w:vMerge/>
            <w:tcBorders>
              <w:left w:val="nil"/>
              <w:bottom w:val="single" w:sz="4" w:space="0" w:color="auto"/>
              <w:right w:val="single" w:sz="4" w:space="0" w:color="auto"/>
            </w:tcBorders>
            <w:shd w:val="clear" w:color="auto" w:fill="FFFFFF" w:themeFill="background1"/>
            <w:vAlign w:val="center"/>
          </w:tcPr>
          <w:p w14:paraId="4C9CB19D" w14:textId="77777777" w:rsidR="004C571B" w:rsidRPr="00BE38DF" w:rsidRDefault="004C571B" w:rsidP="00B546DE">
            <w:pPr>
              <w:suppressAutoHyphens/>
              <w:rPr>
                <w:sz w:val="20"/>
                <w:szCs w:val="20"/>
                <w:lang w:eastAsia="en-CA"/>
              </w:rPr>
            </w:pPr>
          </w:p>
        </w:tc>
        <w:tc>
          <w:tcPr>
            <w:tcW w:w="459" w:type="pct"/>
            <w:vMerge/>
            <w:tcBorders>
              <w:left w:val="nil"/>
              <w:bottom w:val="single" w:sz="4" w:space="0" w:color="auto"/>
              <w:right w:val="single" w:sz="4" w:space="0" w:color="auto"/>
            </w:tcBorders>
            <w:shd w:val="clear" w:color="auto" w:fill="FFFFFF" w:themeFill="background1"/>
            <w:vAlign w:val="center"/>
          </w:tcPr>
          <w:p w14:paraId="3256AD6D" w14:textId="77777777" w:rsidR="004C571B" w:rsidRPr="00BE38DF" w:rsidRDefault="004C571B" w:rsidP="00B546DE">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7FCD3" w14:textId="77777777" w:rsidR="004C571B" w:rsidRPr="00BE38DF" w:rsidRDefault="004C571B" w:rsidP="00B546DE">
            <w:pPr>
              <w:suppressAutoHyphens/>
              <w:jc w:val="left"/>
              <w:rPr>
                <w:sz w:val="20"/>
                <w:szCs w:val="20"/>
                <w:lang w:eastAsia="en-CA"/>
              </w:rPr>
            </w:pPr>
            <w:r>
              <w:rPr>
                <w:sz w:val="20"/>
                <w:szCs w:val="20"/>
                <w:lang w:eastAsia="en-CA"/>
              </w:rPr>
              <w:t xml:space="preserve">Conduct two study tours to exchange information and experience with other member countries of the Economic Community of Central African States (ECCAS), including </w:t>
            </w:r>
            <w:r>
              <w:rPr>
                <w:sz w:val="20"/>
                <w:szCs w:val="20"/>
                <w:lang w:eastAsia="en-CA"/>
              </w:rPr>
              <w:lastRenderedPageBreak/>
              <w:t>two missions with three officers per mission, to a total six officers</w:t>
            </w:r>
          </w:p>
        </w:tc>
        <w:tc>
          <w:tcPr>
            <w:tcW w:w="521" w:type="pct"/>
            <w:tcBorders>
              <w:top w:val="nil"/>
              <w:left w:val="nil"/>
              <w:bottom w:val="single" w:sz="4" w:space="0" w:color="auto"/>
              <w:right w:val="single" w:sz="4" w:space="0" w:color="auto"/>
            </w:tcBorders>
            <w:vAlign w:val="center"/>
          </w:tcPr>
          <w:p w14:paraId="5EBAF667" w14:textId="77777777" w:rsidR="004C571B" w:rsidRPr="00BE38DF" w:rsidRDefault="004C571B" w:rsidP="00B546DE">
            <w:pPr>
              <w:suppressAutoHyphens/>
              <w:jc w:val="right"/>
              <w:rPr>
                <w:sz w:val="20"/>
                <w:szCs w:val="20"/>
                <w:lang w:eastAsia="en-CA"/>
              </w:rPr>
            </w:pPr>
            <w:r>
              <w:rPr>
                <w:sz w:val="20"/>
                <w:szCs w:val="20"/>
                <w:lang w:eastAsia="en-CA"/>
              </w:rPr>
              <w:lastRenderedPageBreak/>
              <w:t>15,000</w:t>
            </w:r>
          </w:p>
        </w:tc>
        <w:tc>
          <w:tcPr>
            <w:tcW w:w="649" w:type="pct"/>
            <w:vMerge/>
            <w:tcBorders>
              <w:left w:val="nil"/>
              <w:bottom w:val="single" w:sz="4" w:space="0" w:color="auto"/>
              <w:right w:val="single" w:sz="4" w:space="0" w:color="auto"/>
            </w:tcBorders>
            <w:vAlign w:val="center"/>
          </w:tcPr>
          <w:p w14:paraId="458BBFC2" w14:textId="77777777" w:rsidR="004C571B" w:rsidRPr="00BE38DF" w:rsidRDefault="004C571B" w:rsidP="00B546DE">
            <w:pPr>
              <w:suppressAutoHyphens/>
              <w:jc w:val="right"/>
              <w:rPr>
                <w:sz w:val="20"/>
                <w:szCs w:val="20"/>
                <w:lang w:eastAsia="en-CA"/>
              </w:rPr>
            </w:pPr>
          </w:p>
        </w:tc>
      </w:tr>
      <w:tr w:rsidR="004C571B" w:rsidRPr="00BE38DF" w14:paraId="4C875465" w14:textId="77777777" w:rsidTr="00B546DE">
        <w:trPr>
          <w:trHeight w:val="227"/>
          <w:jc w:val="center"/>
        </w:trPr>
        <w:tc>
          <w:tcPr>
            <w:tcW w:w="1090" w:type="pct"/>
            <w:tcBorders>
              <w:top w:val="nil"/>
              <w:left w:val="single" w:sz="4" w:space="0" w:color="auto"/>
              <w:bottom w:val="single" w:sz="4" w:space="0" w:color="auto"/>
              <w:right w:val="single" w:sz="4" w:space="0" w:color="auto"/>
            </w:tcBorders>
            <w:vAlign w:val="center"/>
          </w:tcPr>
          <w:p w14:paraId="7B25DBF0" w14:textId="77777777" w:rsidR="004C571B" w:rsidRPr="00BE38DF" w:rsidRDefault="004C571B" w:rsidP="00B546DE">
            <w:pPr>
              <w:suppressAutoHyphens/>
              <w:jc w:val="left"/>
              <w:rPr>
                <w:sz w:val="20"/>
                <w:szCs w:val="20"/>
                <w:lang w:eastAsia="en-CA"/>
              </w:rPr>
            </w:pPr>
            <w:r>
              <w:rPr>
                <w:sz w:val="20"/>
                <w:szCs w:val="20"/>
                <w:lang w:eastAsia="en-CA"/>
              </w:rPr>
              <w:t xml:space="preserve"> </w:t>
            </w:r>
            <w:r>
              <w:rPr>
                <w:b/>
                <w:bCs/>
                <w:sz w:val="20"/>
                <w:szCs w:val="20"/>
                <w:lang w:eastAsia="en-CA"/>
              </w:rPr>
              <w:t>Subtotal</w:t>
            </w:r>
          </w:p>
        </w:tc>
        <w:tc>
          <w:tcPr>
            <w:tcW w:w="1165" w:type="pct"/>
            <w:tcBorders>
              <w:top w:val="nil"/>
              <w:left w:val="nil"/>
              <w:bottom w:val="single" w:sz="4" w:space="0" w:color="auto"/>
              <w:right w:val="single" w:sz="4" w:space="0" w:color="auto"/>
            </w:tcBorders>
            <w:shd w:val="clear" w:color="auto" w:fill="FFFFFF" w:themeFill="background1"/>
            <w:vAlign w:val="center"/>
          </w:tcPr>
          <w:p w14:paraId="76738231" w14:textId="77777777" w:rsidR="004C571B" w:rsidRPr="00BE38DF" w:rsidRDefault="004C571B" w:rsidP="00B546DE">
            <w:pPr>
              <w:suppressAutoHyphens/>
              <w:rPr>
                <w:b/>
                <w:bCs/>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48568351" w14:textId="77777777" w:rsidR="004C571B" w:rsidRPr="00BE38DF" w:rsidRDefault="004C571B" w:rsidP="00B546DE">
            <w:pPr>
              <w:suppressAutoHyphens/>
              <w:jc w:val="right"/>
              <w:rPr>
                <w:b/>
                <w:bCs/>
                <w:sz w:val="20"/>
                <w:szCs w:val="20"/>
                <w:lang w:eastAsia="en-CA"/>
              </w:rPr>
            </w:pPr>
            <w:r>
              <w:rPr>
                <w:b/>
                <w:bCs/>
                <w:sz w:val="20"/>
                <w:szCs w:val="20"/>
                <w:lang w:eastAsia="en-CA"/>
              </w:rPr>
              <w:t>40,000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89B75" w14:textId="77777777" w:rsidR="004C571B" w:rsidRPr="00BE38DF" w:rsidRDefault="004C571B" w:rsidP="00B546DE">
            <w:pPr>
              <w:suppressAutoHyphens/>
              <w:jc w:val="left"/>
              <w:rPr>
                <w:b/>
                <w:bCs/>
                <w:sz w:val="20"/>
                <w:szCs w:val="20"/>
                <w:lang w:eastAsia="en-CA"/>
              </w:rPr>
            </w:pPr>
          </w:p>
        </w:tc>
        <w:tc>
          <w:tcPr>
            <w:tcW w:w="521" w:type="pct"/>
            <w:tcBorders>
              <w:top w:val="nil"/>
              <w:left w:val="nil"/>
              <w:bottom w:val="single" w:sz="4" w:space="0" w:color="auto"/>
              <w:right w:val="single" w:sz="4" w:space="0" w:color="auto"/>
            </w:tcBorders>
            <w:vAlign w:val="center"/>
          </w:tcPr>
          <w:p w14:paraId="1170B9F6" w14:textId="77777777" w:rsidR="004C571B" w:rsidRPr="00BE38DF" w:rsidRDefault="004C571B" w:rsidP="00B546DE">
            <w:pPr>
              <w:suppressAutoHyphens/>
              <w:jc w:val="right"/>
              <w:rPr>
                <w:b/>
                <w:bCs/>
                <w:sz w:val="20"/>
                <w:szCs w:val="20"/>
                <w:lang w:eastAsia="en-CA"/>
              </w:rPr>
            </w:pPr>
            <w:r>
              <w:rPr>
                <w:b/>
                <w:bCs/>
                <w:sz w:val="20"/>
                <w:szCs w:val="20"/>
                <w:lang w:eastAsia="en-CA"/>
              </w:rPr>
              <w:t>17,500</w:t>
            </w:r>
          </w:p>
        </w:tc>
        <w:tc>
          <w:tcPr>
            <w:tcW w:w="649" w:type="pct"/>
            <w:tcBorders>
              <w:top w:val="nil"/>
              <w:left w:val="nil"/>
              <w:bottom w:val="single" w:sz="4" w:space="0" w:color="auto"/>
              <w:right w:val="single" w:sz="4" w:space="0" w:color="auto"/>
            </w:tcBorders>
            <w:vAlign w:val="center"/>
          </w:tcPr>
          <w:p w14:paraId="2C9ADFC5" w14:textId="77777777" w:rsidR="004C571B" w:rsidRPr="00BE38DF" w:rsidRDefault="004C571B" w:rsidP="00B546DE">
            <w:pPr>
              <w:suppressAutoHyphens/>
              <w:jc w:val="right"/>
              <w:rPr>
                <w:b/>
                <w:bCs/>
                <w:sz w:val="20"/>
                <w:szCs w:val="20"/>
                <w:lang w:eastAsia="en-CA"/>
              </w:rPr>
            </w:pPr>
            <w:r>
              <w:rPr>
                <w:b/>
                <w:bCs/>
                <w:sz w:val="20"/>
                <w:szCs w:val="20"/>
                <w:lang w:eastAsia="en-CA"/>
              </w:rPr>
              <w:t>57,500</w:t>
            </w:r>
          </w:p>
        </w:tc>
      </w:tr>
      <w:tr w:rsidR="004C571B" w:rsidRPr="00BE38DF" w14:paraId="7D3A95EC" w14:textId="77777777" w:rsidTr="00B546DE">
        <w:trPr>
          <w:trHeight w:val="1178"/>
          <w:jc w:val="center"/>
        </w:trPr>
        <w:tc>
          <w:tcPr>
            <w:tcW w:w="1090" w:type="pct"/>
            <w:tcBorders>
              <w:top w:val="single" w:sz="4" w:space="0" w:color="auto"/>
              <w:left w:val="single" w:sz="4" w:space="0" w:color="auto"/>
              <w:bottom w:val="single" w:sz="4" w:space="0" w:color="auto"/>
              <w:right w:val="single" w:sz="4" w:space="0" w:color="auto"/>
            </w:tcBorders>
            <w:vAlign w:val="center"/>
          </w:tcPr>
          <w:p w14:paraId="7EBD79A2" w14:textId="77777777" w:rsidR="004C571B" w:rsidRPr="00BE38DF" w:rsidRDefault="004C571B" w:rsidP="00B546DE">
            <w:pPr>
              <w:suppressAutoHyphens/>
              <w:jc w:val="left"/>
              <w:rPr>
                <w:sz w:val="20"/>
                <w:szCs w:val="20"/>
                <w:lang w:eastAsia="en-CA"/>
              </w:rPr>
            </w:pPr>
            <w:r>
              <w:rPr>
                <w:sz w:val="20"/>
                <w:szCs w:val="20"/>
                <w:lang w:eastAsia="en-CA"/>
              </w:rPr>
              <w:t xml:space="preserve">Monitoring, evaluation and reporting </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45F03EFA" w14:textId="77777777" w:rsidR="004C571B" w:rsidRPr="00BE38DF" w:rsidRDefault="004C571B" w:rsidP="00B546DE">
            <w:pPr>
              <w:suppressAutoHyphens/>
              <w:jc w:val="left"/>
              <w:rPr>
                <w:b/>
                <w:bCs/>
                <w:sz w:val="20"/>
                <w:szCs w:val="20"/>
                <w:lang w:eastAsia="en-CA"/>
              </w:rPr>
            </w:pPr>
            <w:r>
              <w:rPr>
                <w:sz w:val="20"/>
                <w:szCs w:val="20"/>
                <w:lang w:eastAsia="en-CA"/>
              </w:rPr>
              <w:t>Monitoring, evaluation and reporting</w:t>
            </w: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2CACD1DE" w14:textId="77777777" w:rsidR="004C571B" w:rsidRPr="00BE38DF" w:rsidRDefault="004C571B" w:rsidP="00B546DE">
            <w:pPr>
              <w:suppressAutoHyphens/>
              <w:jc w:val="right"/>
              <w:rPr>
                <w:b/>
                <w:bCs/>
                <w:sz w:val="20"/>
                <w:szCs w:val="20"/>
                <w:lang w:eastAsia="en-CA"/>
              </w:rPr>
            </w:pPr>
            <w:r>
              <w:rPr>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BEB57" w14:textId="77777777" w:rsidR="004C571B" w:rsidRPr="00BE38DF" w:rsidRDefault="004C571B" w:rsidP="00B546DE">
            <w:pPr>
              <w:suppressAutoHyphens/>
              <w:jc w:val="left"/>
              <w:rPr>
                <w:b/>
                <w:bCs/>
                <w:sz w:val="20"/>
                <w:szCs w:val="20"/>
                <w:lang w:eastAsia="en-CA"/>
              </w:rPr>
            </w:pPr>
            <w:r>
              <w:rPr>
                <w:sz w:val="20"/>
                <w:szCs w:val="20"/>
                <w:lang w:eastAsia="en-CA"/>
              </w:rPr>
              <w:t>Monitoring, evaluation and reporting</w:t>
            </w:r>
          </w:p>
        </w:tc>
        <w:tc>
          <w:tcPr>
            <w:tcW w:w="521" w:type="pct"/>
            <w:tcBorders>
              <w:top w:val="single" w:sz="4" w:space="0" w:color="auto"/>
              <w:left w:val="nil"/>
              <w:bottom w:val="single" w:sz="4" w:space="0" w:color="auto"/>
              <w:right w:val="single" w:sz="4" w:space="0" w:color="auto"/>
            </w:tcBorders>
            <w:vAlign w:val="center"/>
          </w:tcPr>
          <w:p w14:paraId="67806390" w14:textId="77777777" w:rsidR="004C571B" w:rsidRPr="00BE38DF" w:rsidRDefault="004C571B" w:rsidP="00B546DE">
            <w:pPr>
              <w:suppressAutoHyphens/>
              <w:jc w:val="right"/>
              <w:rPr>
                <w:b/>
                <w:bCs/>
                <w:sz w:val="20"/>
                <w:szCs w:val="20"/>
                <w:lang w:eastAsia="en-CA"/>
              </w:rPr>
            </w:pPr>
            <w:r>
              <w:rPr>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43786800" w14:textId="77777777" w:rsidR="004C571B" w:rsidRPr="00BE38DF" w:rsidRDefault="004C571B" w:rsidP="00B546DE">
            <w:pPr>
              <w:suppressAutoHyphens/>
              <w:jc w:val="right"/>
              <w:rPr>
                <w:b/>
                <w:bCs/>
                <w:sz w:val="20"/>
                <w:szCs w:val="20"/>
                <w:lang w:eastAsia="en-CA"/>
              </w:rPr>
            </w:pPr>
          </w:p>
        </w:tc>
      </w:tr>
      <w:tr w:rsidR="004C571B" w:rsidRPr="00BE38DF" w14:paraId="3F4D219F" w14:textId="77777777" w:rsidTr="00B546DE">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4B967B57" w14:textId="77777777" w:rsidR="004C571B" w:rsidRPr="00BE38DF" w:rsidRDefault="004C571B" w:rsidP="00B546DE">
            <w:pPr>
              <w:suppressAutoHyphens/>
              <w:jc w:val="left"/>
              <w:rPr>
                <w:sz w:val="20"/>
                <w:szCs w:val="20"/>
                <w:lang w:eastAsia="en-CA"/>
              </w:rPr>
            </w:pPr>
            <w:r>
              <w:rPr>
                <w:b/>
                <w:bCs/>
                <w:sz w:val="20"/>
                <w:szCs w:val="20"/>
                <w:lang w:eastAsia="en-CA"/>
              </w:rPr>
              <w:t>Subtotal</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67069524" w14:textId="77777777" w:rsidR="004C571B" w:rsidRPr="00BE38DF" w:rsidRDefault="004C571B" w:rsidP="00B546DE">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02946C6F" w14:textId="77777777" w:rsidR="004C571B" w:rsidRPr="00BE38DF" w:rsidRDefault="004C571B" w:rsidP="00B546DE">
            <w:pPr>
              <w:suppressAutoHyphens/>
              <w:jc w:val="right"/>
              <w:rPr>
                <w:b/>
                <w:bCs/>
                <w:sz w:val="20"/>
                <w:szCs w:val="20"/>
                <w:lang w:eastAsia="en-CA"/>
              </w:rPr>
            </w:pPr>
            <w:r>
              <w:rPr>
                <w:b/>
                <w:bCs/>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09673" w14:textId="77777777" w:rsidR="004C571B" w:rsidRPr="00BE38DF" w:rsidRDefault="004C571B" w:rsidP="00B546DE">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7E686F20" w14:textId="77777777" w:rsidR="004C571B" w:rsidRPr="00BE38DF" w:rsidRDefault="004C571B" w:rsidP="00B546DE">
            <w:pPr>
              <w:suppressAutoHyphens/>
              <w:jc w:val="right"/>
              <w:rPr>
                <w:b/>
                <w:bCs/>
                <w:sz w:val="20"/>
                <w:szCs w:val="20"/>
                <w:lang w:eastAsia="en-CA"/>
              </w:rPr>
            </w:pPr>
            <w:r>
              <w:rPr>
                <w:b/>
                <w:bCs/>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077C1C0F" w14:textId="77777777" w:rsidR="004C571B" w:rsidRPr="00BE38DF" w:rsidRDefault="004C571B" w:rsidP="00B546DE">
            <w:pPr>
              <w:suppressAutoHyphens/>
              <w:jc w:val="right"/>
              <w:rPr>
                <w:b/>
                <w:bCs/>
                <w:sz w:val="20"/>
                <w:szCs w:val="20"/>
                <w:lang w:eastAsia="en-CA"/>
              </w:rPr>
            </w:pPr>
            <w:r>
              <w:rPr>
                <w:b/>
                <w:bCs/>
                <w:sz w:val="20"/>
                <w:szCs w:val="20"/>
                <w:lang w:eastAsia="en-CA"/>
              </w:rPr>
              <w:t>35,000</w:t>
            </w:r>
          </w:p>
        </w:tc>
      </w:tr>
      <w:tr w:rsidR="004C571B" w:rsidRPr="00BE38DF" w14:paraId="51832B27" w14:textId="77777777" w:rsidTr="00B546DE">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0D0FB71E" w14:textId="77777777" w:rsidR="004C571B" w:rsidRPr="00BE38DF" w:rsidRDefault="004C571B" w:rsidP="00B546DE">
            <w:pPr>
              <w:suppressAutoHyphens/>
              <w:jc w:val="left"/>
              <w:rPr>
                <w:b/>
                <w:bCs/>
                <w:sz w:val="20"/>
                <w:szCs w:val="20"/>
                <w:lang w:eastAsia="en-CA"/>
              </w:rPr>
            </w:pPr>
            <w:r>
              <w:rPr>
                <w:b/>
                <w:bCs/>
                <w:sz w:val="20"/>
                <w:szCs w:val="20"/>
                <w:lang w:eastAsia="en-CA"/>
              </w:rPr>
              <w:t>Total</w:t>
            </w:r>
          </w:p>
        </w:tc>
        <w:tc>
          <w:tcPr>
            <w:tcW w:w="1165" w:type="pct"/>
            <w:tcBorders>
              <w:top w:val="single" w:sz="4" w:space="0" w:color="auto"/>
              <w:left w:val="nil"/>
              <w:bottom w:val="single" w:sz="4" w:space="0" w:color="auto"/>
              <w:right w:val="single" w:sz="4" w:space="0" w:color="auto"/>
            </w:tcBorders>
            <w:vAlign w:val="center"/>
          </w:tcPr>
          <w:p w14:paraId="2EF0B205" w14:textId="77777777" w:rsidR="004C571B" w:rsidRPr="00BE38DF" w:rsidRDefault="004C571B" w:rsidP="00B546DE">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62EA4587" w14:textId="77777777" w:rsidR="004C571B" w:rsidRPr="00BE38DF" w:rsidRDefault="004C571B" w:rsidP="00B546DE">
            <w:pPr>
              <w:suppressAutoHyphens/>
              <w:jc w:val="right"/>
              <w:rPr>
                <w:b/>
                <w:bCs/>
                <w:sz w:val="20"/>
                <w:szCs w:val="20"/>
                <w:lang w:eastAsia="en-CA"/>
              </w:rPr>
            </w:pPr>
            <w:r>
              <w:rPr>
                <w:b/>
                <w:bCs/>
                <w:sz w:val="20"/>
                <w:szCs w:val="20"/>
                <w:lang w:eastAsia="en-CA"/>
              </w:rPr>
              <w:t>191,000</w:t>
            </w:r>
          </w:p>
        </w:tc>
        <w:tc>
          <w:tcPr>
            <w:tcW w:w="1117" w:type="pct"/>
            <w:tcBorders>
              <w:top w:val="single" w:sz="4" w:space="0" w:color="auto"/>
              <w:left w:val="single" w:sz="4" w:space="0" w:color="auto"/>
              <w:bottom w:val="single" w:sz="4" w:space="0" w:color="auto"/>
              <w:right w:val="single" w:sz="4" w:space="0" w:color="auto"/>
            </w:tcBorders>
            <w:vAlign w:val="center"/>
          </w:tcPr>
          <w:p w14:paraId="507A3278" w14:textId="77777777" w:rsidR="004C571B" w:rsidRPr="00BE38DF" w:rsidRDefault="004C571B" w:rsidP="00B546DE">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7AEF0B0B" w14:textId="77777777" w:rsidR="004C571B" w:rsidRPr="00BE38DF" w:rsidRDefault="004C571B" w:rsidP="00B546DE">
            <w:pPr>
              <w:suppressAutoHyphens/>
              <w:jc w:val="right"/>
              <w:rPr>
                <w:b/>
                <w:bCs/>
                <w:sz w:val="20"/>
                <w:szCs w:val="20"/>
                <w:lang w:eastAsia="en-CA"/>
              </w:rPr>
            </w:pPr>
            <w:r>
              <w:rPr>
                <w:b/>
                <w:bCs/>
                <w:sz w:val="20"/>
                <w:szCs w:val="20"/>
                <w:lang w:eastAsia="en-CA"/>
              </w:rPr>
              <w:t>135,000</w:t>
            </w:r>
          </w:p>
        </w:tc>
        <w:tc>
          <w:tcPr>
            <w:tcW w:w="649" w:type="pct"/>
            <w:tcBorders>
              <w:top w:val="single" w:sz="4" w:space="0" w:color="auto"/>
              <w:left w:val="nil"/>
              <w:bottom w:val="single" w:sz="4" w:space="0" w:color="auto"/>
              <w:right w:val="single" w:sz="4" w:space="0" w:color="auto"/>
            </w:tcBorders>
            <w:vAlign w:val="center"/>
          </w:tcPr>
          <w:p w14:paraId="3F87A2F3" w14:textId="77777777" w:rsidR="004C571B" w:rsidRPr="00BE38DF" w:rsidRDefault="004C571B" w:rsidP="00B546DE">
            <w:pPr>
              <w:suppressAutoHyphens/>
              <w:jc w:val="right"/>
              <w:rPr>
                <w:b/>
                <w:bCs/>
                <w:sz w:val="20"/>
                <w:szCs w:val="20"/>
                <w:lang w:eastAsia="en-CA"/>
              </w:rPr>
            </w:pPr>
            <w:r>
              <w:rPr>
                <w:b/>
                <w:bCs/>
                <w:sz w:val="20"/>
                <w:szCs w:val="20"/>
                <w:lang w:eastAsia="en-CA"/>
              </w:rPr>
              <w:t>326,000</w:t>
            </w:r>
          </w:p>
        </w:tc>
      </w:tr>
      <w:tr w:rsidR="004C571B" w:rsidRPr="00973AA9" w14:paraId="61A4707C" w14:textId="77777777" w:rsidTr="00B546DE">
        <w:trPr>
          <w:trHeight w:val="50"/>
          <w:jc w:val="center"/>
        </w:trPr>
        <w:tc>
          <w:tcPr>
            <w:tcW w:w="1090" w:type="pct"/>
            <w:tcBorders>
              <w:top w:val="single" w:sz="4" w:space="0" w:color="auto"/>
              <w:left w:val="single" w:sz="4" w:space="0" w:color="auto"/>
              <w:bottom w:val="single" w:sz="4" w:space="0" w:color="auto"/>
              <w:right w:val="single" w:sz="4" w:space="0" w:color="auto"/>
            </w:tcBorders>
            <w:vAlign w:val="center"/>
          </w:tcPr>
          <w:p w14:paraId="301B6012" w14:textId="77777777" w:rsidR="004C571B" w:rsidRPr="00BE38DF" w:rsidRDefault="004C571B" w:rsidP="00B546DE">
            <w:pPr>
              <w:suppressAutoHyphens/>
              <w:jc w:val="left"/>
              <w:rPr>
                <w:b/>
                <w:bCs/>
                <w:sz w:val="20"/>
                <w:szCs w:val="20"/>
                <w:lang w:eastAsia="en-CA"/>
              </w:rPr>
            </w:pPr>
            <w:r>
              <w:rPr>
                <w:b/>
                <w:bCs/>
                <w:sz w:val="20"/>
                <w:szCs w:val="20"/>
                <w:lang w:eastAsia="en-CA"/>
              </w:rPr>
              <w:t>Percentage of total (%)</w:t>
            </w:r>
          </w:p>
        </w:tc>
        <w:tc>
          <w:tcPr>
            <w:tcW w:w="1165" w:type="pct"/>
            <w:tcBorders>
              <w:top w:val="single" w:sz="4" w:space="0" w:color="auto"/>
              <w:left w:val="nil"/>
              <w:bottom w:val="single" w:sz="4" w:space="0" w:color="auto"/>
              <w:right w:val="single" w:sz="4" w:space="0" w:color="auto"/>
            </w:tcBorders>
            <w:vAlign w:val="center"/>
          </w:tcPr>
          <w:p w14:paraId="25415168" w14:textId="77777777" w:rsidR="004C571B" w:rsidRPr="00BE38DF" w:rsidRDefault="004C571B" w:rsidP="00B546DE">
            <w:pPr>
              <w:suppressAutoHyphens/>
              <w:jc w:val="lef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55DCC577" w14:textId="77777777" w:rsidR="004C571B" w:rsidRPr="00BE38DF" w:rsidRDefault="004C571B" w:rsidP="00B546DE">
            <w:pPr>
              <w:suppressAutoHyphens/>
              <w:jc w:val="right"/>
              <w:rPr>
                <w:b/>
                <w:bCs/>
                <w:sz w:val="20"/>
                <w:szCs w:val="20"/>
                <w:lang w:eastAsia="en-CA"/>
              </w:rPr>
            </w:pPr>
            <w:r>
              <w:rPr>
                <w:b/>
                <w:bCs/>
                <w:sz w:val="20"/>
                <w:szCs w:val="20"/>
                <w:lang w:eastAsia="en-CA"/>
              </w:rPr>
              <w:t>59</w:t>
            </w:r>
          </w:p>
        </w:tc>
        <w:tc>
          <w:tcPr>
            <w:tcW w:w="1117" w:type="pct"/>
            <w:tcBorders>
              <w:top w:val="single" w:sz="4" w:space="0" w:color="auto"/>
              <w:left w:val="single" w:sz="4" w:space="0" w:color="auto"/>
              <w:bottom w:val="single" w:sz="4" w:space="0" w:color="auto"/>
              <w:right w:val="single" w:sz="4" w:space="0" w:color="auto"/>
            </w:tcBorders>
            <w:vAlign w:val="center"/>
          </w:tcPr>
          <w:p w14:paraId="11905966" w14:textId="77777777" w:rsidR="004C571B" w:rsidRPr="00BE38DF" w:rsidRDefault="004C571B" w:rsidP="00B546DE">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69C2587F" w14:textId="77777777" w:rsidR="004C571B" w:rsidRPr="00BE38DF" w:rsidRDefault="004C571B" w:rsidP="00B546DE">
            <w:pPr>
              <w:suppressAutoHyphens/>
              <w:jc w:val="right"/>
              <w:rPr>
                <w:b/>
                <w:bCs/>
                <w:sz w:val="20"/>
                <w:szCs w:val="20"/>
                <w:lang w:eastAsia="en-CA"/>
              </w:rPr>
            </w:pPr>
            <w:r>
              <w:rPr>
                <w:b/>
                <w:bCs/>
                <w:sz w:val="20"/>
                <w:szCs w:val="20"/>
                <w:lang w:eastAsia="en-CA"/>
              </w:rPr>
              <w:t>41</w:t>
            </w:r>
          </w:p>
        </w:tc>
        <w:tc>
          <w:tcPr>
            <w:tcW w:w="649" w:type="pct"/>
            <w:tcBorders>
              <w:top w:val="single" w:sz="4" w:space="0" w:color="auto"/>
              <w:left w:val="nil"/>
              <w:bottom w:val="single" w:sz="4" w:space="0" w:color="auto"/>
              <w:right w:val="single" w:sz="4" w:space="0" w:color="auto"/>
            </w:tcBorders>
            <w:vAlign w:val="center"/>
          </w:tcPr>
          <w:p w14:paraId="5FC9F40D" w14:textId="77777777" w:rsidR="004C571B" w:rsidRPr="00973AA9" w:rsidRDefault="004C571B" w:rsidP="00B546DE">
            <w:pPr>
              <w:suppressAutoHyphens/>
              <w:jc w:val="right"/>
              <w:rPr>
                <w:b/>
                <w:bCs/>
                <w:sz w:val="20"/>
                <w:szCs w:val="20"/>
                <w:lang w:eastAsia="en-CA"/>
              </w:rPr>
            </w:pPr>
            <w:r>
              <w:rPr>
                <w:b/>
                <w:bCs/>
                <w:sz w:val="20"/>
                <w:szCs w:val="20"/>
                <w:lang w:eastAsia="en-CA"/>
              </w:rPr>
              <w:t>100</w:t>
            </w:r>
          </w:p>
        </w:tc>
      </w:tr>
    </w:tbl>
    <w:p w14:paraId="7C7C361C" w14:textId="77777777" w:rsidR="004C571B" w:rsidRDefault="004C571B" w:rsidP="004C57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71B" w:rsidRPr="009B0D30" w14:paraId="281A2C4C" w14:textId="77777777" w:rsidTr="00B546DE">
        <w:tc>
          <w:tcPr>
            <w:tcW w:w="1871" w:type="dxa"/>
          </w:tcPr>
          <w:p w14:paraId="4434D40C" w14:textId="77777777" w:rsidR="004C571B" w:rsidRPr="009B0D30" w:rsidRDefault="004C571B" w:rsidP="00B546DE">
            <w:r>
              <w:tab/>
            </w:r>
          </w:p>
        </w:tc>
        <w:tc>
          <w:tcPr>
            <w:tcW w:w="1872" w:type="dxa"/>
          </w:tcPr>
          <w:p w14:paraId="39B79E36" w14:textId="77777777" w:rsidR="004C571B" w:rsidRPr="009B0D30" w:rsidRDefault="004C571B" w:rsidP="00B546DE"/>
        </w:tc>
        <w:tc>
          <w:tcPr>
            <w:tcW w:w="1872" w:type="dxa"/>
            <w:tcBorders>
              <w:bottom w:val="single" w:sz="4" w:space="0" w:color="auto"/>
            </w:tcBorders>
          </w:tcPr>
          <w:p w14:paraId="543D4CE4" w14:textId="77777777" w:rsidR="004C571B" w:rsidRPr="009B0D30" w:rsidRDefault="004C571B" w:rsidP="00B546DE"/>
        </w:tc>
        <w:tc>
          <w:tcPr>
            <w:tcW w:w="1872" w:type="dxa"/>
          </w:tcPr>
          <w:p w14:paraId="4EBBA769" w14:textId="77777777" w:rsidR="004C571B" w:rsidRPr="009B0D30" w:rsidRDefault="004C571B" w:rsidP="00B546DE"/>
        </w:tc>
        <w:tc>
          <w:tcPr>
            <w:tcW w:w="1873" w:type="dxa"/>
          </w:tcPr>
          <w:p w14:paraId="10124628" w14:textId="77777777" w:rsidR="004C571B" w:rsidRPr="009B0D30" w:rsidRDefault="004C571B" w:rsidP="00B546DE"/>
        </w:tc>
      </w:tr>
    </w:tbl>
    <w:p w14:paraId="0BE63D1E" w14:textId="77777777" w:rsidR="00720EE7" w:rsidRPr="009B0D30" w:rsidRDefault="00720EE7" w:rsidP="004C571B">
      <w:pPr>
        <w:suppressAutoHyphens/>
        <w:jc w:val="center"/>
      </w:pPr>
    </w:p>
    <w:sectPr w:rsidR="00720EE7" w:rsidRPr="009B0D30" w:rsidSect="000E2817">
      <w:headerReference w:type="even" r:id="rId34"/>
      <w:headerReference w:type="default" r:id="rId35"/>
      <w:footerReference w:type="even" r:id="rId36"/>
      <w:footerReference w:type="default" r:id="rId37"/>
      <w:footerReference w:type="first" r:id="rId3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D37E0" w14:textId="77777777" w:rsidR="00F8742F" w:rsidRDefault="00F8742F" w:rsidP="004A504B">
      <w:r>
        <w:separator/>
      </w:r>
    </w:p>
  </w:endnote>
  <w:endnote w:type="continuationSeparator" w:id="0">
    <w:p w14:paraId="0EB96851" w14:textId="77777777" w:rsidR="00F8742F" w:rsidRDefault="00F874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CA13" w14:textId="77777777" w:rsidR="00037539" w:rsidRPr="0033525D" w:rsidRDefault="0003753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8EC1" w14:textId="77777777" w:rsidR="00037539" w:rsidRPr="0033525D" w:rsidRDefault="0003753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3EF1" w14:textId="77777777" w:rsidR="00037539" w:rsidRPr="00F435B3" w:rsidRDefault="00037539" w:rsidP="004E7F9C">
    <w:pPr>
      <w:pBdr>
        <w:top w:val="single" w:sz="4" w:space="1" w:color="auto"/>
        <w:left w:val="single" w:sz="4" w:space="4" w:color="auto"/>
        <w:bottom w:val="single" w:sz="4" w:space="1" w:color="auto"/>
        <w:right w:val="single" w:sz="4" w:space="4" w:color="auto"/>
      </w:pBdr>
      <w:jc w:val="center"/>
      <w:rPr>
        <w:sz w:val="8"/>
        <w:szCs w:val="8"/>
      </w:rPr>
    </w:pPr>
  </w:p>
  <w:p w14:paraId="599C94B1" w14:textId="77777777" w:rsidR="00037539" w:rsidRPr="00766F51" w:rsidRDefault="00037539"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766F51">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67012EC7" w14:textId="77777777" w:rsidR="00037539" w:rsidRPr="00766F51" w:rsidRDefault="00037539"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96E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014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8242" w14:textId="77777777" w:rsidR="00CB0432" w:rsidRPr="002D16B5" w:rsidRDefault="00CB0432" w:rsidP="002D16B5">
    <w:pPr>
      <w:pBdr>
        <w:top w:val="single" w:sz="4" w:space="1" w:color="auto"/>
        <w:left w:val="single" w:sz="4" w:space="4" w:color="auto"/>
        <w:bottom w:val="single" w:sz="4" w:space="1" w:color="auto"/>
        <w:right w:val="single" w:sz="4" w:space="4" w:color="auto"/>
      </w:pBdr>
      <w:jc w:val="center"/>
      <w:rPr>
        <w:sz w:val="10"/>
        <w:szCs w:val="10"/>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088B" w14:textId="77777777" w:rsidR="00795A44" w:rsidRPr="0033525D" w:rsidRDefault="00795A44">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8AF1" w14:textId="711B76B5" w:rsidR="002D16B5" w:rsidRPr="002D16B5" w:rsidRDefault="00795A44" w:rsidP="00795A44">
    <w:pPr>
      <w:pBdr>
        <w:top w:val="single" w:sz="4" w:space="1" w:color="auto"/>
        <w:left w:val="single" w:sz="4" w:space="4" w:color="auto"/>
        <w:bottom w:val="single" w:sz="4" w:space="1" w:color="auto"/>
        <w:right w:val="single" w:sz="4" w:space="4" w:color="auto"/>
      </w:pBdr>
      <w:tabs>
        <w:tab w:val="left" w:pos="7188"/>
      </w:tabs>
      <w:rPr>
        <w:sz w:val="10"/>
        <w:szCs w:val="10"/>
        <w:lang w:val="en-US"/>
      </w:rPr>
    </w:pPr>
    <w:r>
      <w:rPr>
        <w:lang w:val="en-US"/>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64594"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B93"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FD89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4701"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1B4A8"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F1C3DEB" w14:textId="77777777" w:rsidR="004E7F9C" w:rsidRPr="00766F51"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766F51">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9800C47" w14:textId="77777777" w:rsidR="004E7F9C" w:rsidRPr="00766F51"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322E" w14:textId="77777777" w:rsidR="00F8742F" w:rsidRDefault="00F8742F" w:rsidP="004A504B">
      <w:r>
        <w:separator/>
      </w:r>
    </w:p>
  </w:footnote>
  <w:footnote w:type="continuationSeparator" w:id="0">
    <w:p w14:paraId="28EDA6CC" w14:textId="77777777" w:rsidR="00F8742F" w:rsidRDefault="00F8742F" w:rsidP="004A504B">
      <w:r>
        <w:continuationSeparator/>
      </w:r>
    </w:p>
  </w:footnote>
  <w:footnote w:id="1">
    <w:p w14:paraId="0FEE825D" w14:textId="77777777" w:rsidR="00CB0432" w:rsidRPr="00766F51" w:rsidRDefault="00CB0432" w:rsidP="00CB0432">
      <w:pPr>
        <w:pStyle w:val="FootnoteText"/>
        <w:spacing w:after="120"/>
        <w:rPr>
          <w:lang w:val="es-ES"/>
        </w:rPr>
      </w:pPr>
      <w:r w:rsidRPr="001A24C6">
        <w:rPr>
          <w:rStyle w:val="FootnoteReference"/>
        </w:rPr>
        <w:footnoteRef/>
      </w:r>
      <w:r w:rsidRPr="00766F51">
        <w:rPr>
          <w:lang w:val="es-ES"/>
        </w:rPr>
        <w:t xml:space="preserve"> UNEP/OzL.Pro/ExCom/99/1</w:t>
      </w:r>
    </w:p>
  </w:footnote>
  <w:footnote w:id="2">
    <w:p w14:paraId="12BA0C90" w14:textId="5FE4F828" w:rsidR="00037539" w:rsidRPr="00766F51" w:rsidRDefault="00037539" w:rsidP="00037539">
      <w:pPr>
        <w:pStyle w:val="FootnoteText"/>
        <w:rPr>
          <w:lang w:val="es-ES"/>
        </w:rPr>
      </w:pPr>
      <w:r>
        <w:rPr>
          <w:rStyle w:val="FootnoteReference"/>
        </w:rPr>
        <w:footnoteRef/>
      </w:r>
      <w:r w:rsidRPr="00766F51">
        <w:rPr>
          <w:lang w:val="es-ES"/>
        </w:rPr>
        <w:t xml:space="preserve"> De conformidad con la carta de</w:t>
      </w:r>
      <w:r w:rsidR="00BB3083" w:rsidRPr="00766F51">
        <w:rPr>
          <w:lang w:val="es-ES"/>
        </w:rPr>
        <w:t xml:space="preserve"> 18 </w:t>
      </w:r>
      <w:r w:rsidRPr="00766F51">
        <w:rPr>
          <w:lang w:val="es-ES"/>
        </w:rPr>
        <w:t xml:space="preserve">de agosto de 2026 dirigida a la Secretaría por el Ministerio del Medio Ambiente, Juventud y Turismo Sostenible de </w:t>
      </w:r>
      <w:r w:rsidR="00736840" w:rsidRPr="00766F51">
        <w:rPr>
          <w:lang w:val="es-ES"/>
        </w:rPr>
        <w:t xml:space="preserve">Santo Tomé </w:t>
      </w:r>
      <w:r w:rsidRPr="00766F51">
        <w:rPr>
          <w:lang w:val="es-ES"/>
        </w:rPr>
        <w:t>y Príncipe.</w:t>
      </w:r>
    </w:p>
  </w:footnote>
  <w:footnote w:id="3">
    <w:p w14:paraId="0680B4BA" w14:textId="77777777" w:rsidR="00037539" w:rsidRPr="00766F51" w:rsidRDefault="00037539" w:rsidP="00037539">
      <w:pPr>
        <w:pStyle w:val="FootnoteText"/>
        <w:rPr>
          <w:lang w:val="es-ES"/>
        </w:rPr>
      </w:pPr>
      <w:r>
        <w:rPr>
          <w:rStyle w:val="FootnoteReference"/>
        </w:rPr>
        <w:footnoteRef/>
      </w:r>
      <w:r w:rsidRPr="00766F51">
        <w:rPr>
          <w:lang w:val="es-ES"/>
        </w:rPr>
        <w:t xml:space="preserve"> Decisión 63/42</w:t>
      </w:r>
    </w:p>
  </w:footnote>
  <w:footnote w:id="4">
    <w:p w14:paraId="12A1F0D5" w14:textId="77777777" w:rsidR="00037539" w:rsidRPr="00766F51" w:rsidRDefault="00037539" w:rsidP="00037539">
      <w:pPr>
        <w:pStyle w:val="FootnoteText"/>
        <w:rPr>
          <w:lang w:val="es-ES"/>
        </w:rPr>
      </w:pPr>
      <w:r>
        <w:rPr>
          <w:rStyle w:val="FootnoteReference"/>
        </w:rPr>
        <w:footnoteRef/>
      </w:r>
      <w:r w:rsidRPr="00766F51">
        <w:rPr>
          <w:lang w:val="es-ES"/>
        </w:rPr>
        <w:t xml:space="preserve"> El consumo de HCFC podrá ser superior a cero en cualquier año, siempre que la suma de los niveles de consumo calculados durante el período de diez años comprendido entre el 1 de enero de 2030 y el 1 de enero de 2040, dividida por 10, no supere el 2,5 % del nivel básico de HCFC.</w:t>
      </w:r>
    </w:p>
  </w:footnote>
  <w:footnote w:id="5">
    <w:p w14:paraId="3F4A5057" w14:textId="7C5565C5" w:rsidR="009E102B" w:rsidRPr="00766F51" w:rsidRDefault="009E102B">
      <w:pPr>
        <w:pStyle w:val="FootnoteText"/>
        <w:rPr>
          <w:lang w:val="es-ES"/>
        </w:rPr>
      </w:pPr>
      <w:r>
        <w:rPr>
          <w:rStyle w:val="FootnoteReference"/>
        </w:rPr>
        <w:footnoteRef/>
      </w:r>
      <w:r w:rsidRPr="00766F51">
        <w:rPr>
          <w:lang w:val="es-ES"/>
        </w:rPr>
        <w:t xml:space="preserve"> </w:t>
      </w:r>
      <w:r w:rsidR="004B66E5" w:rsidRPr="00766F51">
        <w:rPr>
          <w:lang w:val="es-ES"/>
        </w:rPr>
        <w:t>Según la carta de 10 de agosto de 2026 dirigida a la Secretaría por el Ministerio del Medio Ambiente, Juventud y Turismo Sostenible de Santo Tomé y Príncipe.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3C3" w14:textId="0B610659" w:rsidR="00037539" w:rsidRPr="0033525D" w:rsidRDefault="00BD3E4B">
    <w:pPr>
      <w:jc w:val="left"/>
    </w:pPr>
    <w:fldSimple w:instr=" DOCPROPERTY &quot;Document number&quot;  \* MERGEFORMAT ">
      <w:r>
        <w:t>UNEP/OzL.Pro/ExCom/99/69</w:t>
      </w:r>
    </w:fldSimple>
  </w:p>
  <w:p w14:paraId="57830C5F" w14:textId="77777777" w:rsidR="00037539" w:rsidRDefault="00037539">
    <w:pPr>
      <w:jc w:val="left"/>
    </w:pPr>
  </w:p>
  <w:p w14:paraId="597E6E01" w14:textId="77777777" w:rsidR="00037539" w:rsidRPr="0033525D" w:rsidRDefault="00037539">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C9E2" w14:textId="23430367" w:rsidR="00037539" w:rsidRPr="0033525D" w:rsidRDefault="00BD3E4B">
    <w:pPr>
      <w:jc w:val="right"/>
    </w:pPr>
    <w:fldSimple w:instr=" DOCPROPERTY &quot;Document number&quot;  \* MERGEFORMAT ">
      <w:r>
        <w:t>UNEP/OzL.Pro/ExCom/99/69</w:t>
      </w:r>
    </w:fldSimple>
  </w:p>
  <w:p w14:paraId="17DF9B9A" w14:textId="77777777" w:rsidR="00037539" w:rsidRDefault="00037539">
    <w:pPr>
      <w:pStyle w:val="Header"/>
      <w:jc w:val="right"/>
    </w:pPr>
  </w:p>
  <w:p w14:paraId="786114C5" w14:textId="77777777" w:rsidR="00037539" w:rsidRPr="0033525D" w:rsidRDefault="0003753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2BC0" w14:textId="3E33BBEF" w:rsidR="00CB0432" w:rsidRPr="009B0D30" w:rsidRDefault="00623413">
    <w:fldSimple w:instr=" DOCPROPERTY &quot;Document number&quot;  \* MERGEFORMAT ">
      <w:r>
        <w:t>UNEP/OzL.Pro/ExCom/99/69</w:t>
      </w:r>
    </w:fldSimple>
  </w:p>
  <w:p w14:paraId="2212280A" w14:textId="13AA59C0" w:rsidR="00CB0432" w:rsidRDefault="00CB0432"/>
  <w:p w14:paraId="2D96BF75"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1F85" w14:textId="4870748F" w:rsidR="00CB0432" w:rsidRPr="009B0D30" w:rsidRDefault="00623413">
    <w:pPr>
      <w:jc w:val="right"/>
    </w:pPr>
    <w:fldSimple w:instr=" DOCPROPERTY &quot;Document number&quot;  \* MERGEFORMAT ">
      <w:r>
        <w:t>UNEP/OzL.Pro/ExCom/99/69</w:t>
      </w:r>
    </w:fldSimple>
  </w:p>
  <w:p w14:paraId="43AAEEE8" w14:textId="77777777" w:rsidR="00CB0432" w:rsidRPr="0033525D" w:rsidRDefault="00CB0432">
    <w:pPr>
      <w:jc w:val="right"/>
    </w:pPr>
  </w:p>
  <w:p w14:paraId="0F9C1FF6" w14:textId="77777777" w:rsidR="00CB0432" w:rsidRPr="0033525D" w:rsidRDefault="00CB04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8E1F" w14:textId="77777777" w:rsidR="00C2222D" w:rsidRDefault="00C222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B2D7" w14:textId="2292A790" w:rsidR="002D16B5" w:rsidRPr="009B0D30" w:rsidRDefault="00BD3E4B">
    <w:fldSimple w:instr=" DOCPROPERTY &quot;Document number&quot;  \* MERGEFORMAT ">
      <w:r>
        <w:t>UNEP/OzL.Pro/ExCom/99/69</w:t>
      </w:r>
    </w:fldSimple>
  </w:p>
  <w:p w14:paraId="3F9AD6B2" w14:textId="77777777" w:rsidR="002D16B5" w:rsidRDefault="002D16B5">
    <w:r>
      <w:t>Anexo I</w:t>
    </w:r>
  </w:p>
  <w:p w14:paraId="322B366B" w14:textId="77777777" w:rsidR="002D16B5" w:rsidRPr="0033525D" w:rsidRDefault="002D16B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3AFC" w14:textId="6E8A253F" w:rsidR="002D16B5" w:rsidRPr="009B0D30" w:rsidRDefault="00BD3E4B" w:rsidP="0098063E">
    <w:pPr>
      <w:jc w:val="right"/>
    </w:pPr>
    <w:fldSimple w:instr=" DOCPROPERTY &quot;Document number&quot;  \* MERGEFORMAT ">
      <w:r>
        <w:t>UNEP/OzL.Pro/ExCom/99/69</w:t>
      </w:r>
    </w:fldSimple>
  </w:p>
  <w:p w14:paraId="15670010" w14:textId="0765A4C6" w:rsidR="002D16B5" w:rsidRPr="0033525D" w:rsidRDefault="002D16B5" w:rsidP="0098063E">
    <w:pPr>
      <w:jc w:val="right"/>
    </w:pPr>
    <w:r>
      <w:t>Anexo I</w:t>
    </w:r>
  </w:p>
  <w:p w14:paraId="69D9BF7F" w14:textId="77777777" w:rsidR="002D16B5" w:rsidRPr="0033525D" w:rsidRDefault="002D16B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9C99" w14:textId="16767881" w:rsidR="002D16B5" w:rsidRDefault="002D16B5" w:rsidP="002D16B5">
    <w:pPr>
      <w:pStyle w:val="Header"/>
      <w:jc w:val="right"/>
    </w:pPr>
    <w:fldSimple w:instr=" DOCPROPERTY  &quot;Document number&quot;  \* MERGEFORMAT ">
      <w:r>
        <w:t>UNEP/OzL.Pro/ExCom/99/XX</w:t>
      </w:r>
    </w:fldSimple>
  </w:p>
  <w:p w14:paraId="5CC4AA85" w14:textId="519656DC" w:rsidR="002D16B5" w:rsidRDefault="002D16B5" w:rsidP="002D16B5">
    <w:pPr>
      <w:pStyle w:val="Header"/>
      <w:jc w:val="right"/>
    </w:pPr>
    <w:r>
      <w:t>Anexo I</w:t>
    </w:r>
  </w:p>
  <w:p w14:paraId="346871BE" w14:textId="77777777" w:rsidR="002D16B5" w:rsidRDefault="002D16B5" w:rsidP="002D16B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5499" w14:textId="7A36BEF1" w:rsidR="00CB0432" w:rsidRPr="009B0D30" w:rsidRDefault="00623413">
    <w:fldSimple w:instr=" DOCPROPERTY &quot;Document number&quot;  \* MERGEFORMAT ">
      <w:r>
        <w:t>UNEP/OzL.Pro/ExCom/99/69</w:t>
      </w:r>
    </w:fldSimple>
  </w:p>
  <w:p w14:paraId="21005BAF" w14:textId="415E435F" w:rsidR="00CB0432" w:rsidRPr="0033525D" w:rsidRDefault="00CB0432">
    <w:r>
      <w:t xml:space="preserve">Anexo </w:t>
    </w:r>
    <w:r w:rsidR="00596CF3">
      <w:t>II</w:t>
    </w:r>
  </w:p>
  <w:p w14:paraId="25CA03D8" w14:textId="77777777" w:rsidR="00CB0432" w:rsidRPr="0033525D" w:rsidRDefault="00CB043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10B6" w14:textId="3F1A7F84" w:rsidR="00CB0432" w:rsidRPr="009B0D30" w:rsidRDefault="00623413">
    <w:pPr>
      <w:jc w:val="right"/>
    </w:pPr>
    <w:fldSimple w:instr=" DOCPROPERTY &quot;Document number&quot;  \* MERGEFORMAT ">
      <w:r>
        <w:t>UNEP/OzL.Pro/ExCom/99/69</w:t>
      </w:r>
    </w:fldSimple>
  </w:p>
  <w:p w14:paraId="11C0E4F2" w14:textId="68C0A3F1" w:rsidR="00CB0432" w:rsidRPr="0033525D" w:rsidRDefault="00CB0432">
    <w:pPr>
      <w:jc w:val="right"/>
    </w:pPr>
    <w:r>
      <w:t xml:space="preserve">Anexo </w:t>
    </w:r>
    <w:r w:rsidR="00596CF3">
      <w:t>II</w:t>
    </w:r>
  </w:p>
  <w:p w14:paraId="301BCEB0" w14:textId="77777777" w:rsidR="00CB0432" w:rsidRPr="0033525D" w:rsidRDefault="00CB0432">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2BCE" w14:textId="77777777" w:rsidR="00CB0432" w:rsidRPr="009B0D30" w:rsidRDefault="004909D4">
    <w:pPr>
      <w:jc w:val="right"/>
    </w:pPr>
    <w:fldSimple w:instr=" DOCPROPERTY &quot;Document number&quot;  \* MERGEFORMAT ">
      <w:r>
        <w:t>UNEP/OzL.Pro/ExCom/99/1</w:t>
      </w:r>
    </w:fldSimple>
  </w:p>
  <w:p w14:paraId="7CAD7139" w14:textId="77777777" w:rsidR="00CB0432" w:rsidRDefault="00CB0432">
    <w:pPr>
      <w:pStyle w:val="Header"/>
      <w:jc w:val="right"/>
    </w:pPr>
    <w:r>
      <w:t>Anexo I</w:t>
    </w:r>
  </w:p>
  <w:p w14:paraId="24DD8D6C" w14:textId="77777777" w:rsidR="00CB0432" w:rsidRDefault="00CB0432">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8F4F" w14:textId="0EA230E8" w:rsidR="00DC6A10" w:rsidRPr="0033525D" w:rsidRDefault="00BD3E4B" w:rsidP="002E0FDF">
    <w:pPr>
      <w:jc w:val="left"/>
    </w:pPr>
    <w:fldSimple w:instr=" DOCPROPERTY &quot;Document number&quot;  \* MERGEFORMAT ">
      <w:r>
        <w:t>UNEP/OzL.Pro/ExCom/99/69</w:t>
      </w:r>
    </w:fldSimple>
  </w:p>
  <w:p w14:paraId="6DF6B79E" w14:textId="4ABC8491" w:rsidR="00DC6A10" w:rsidRPr="0033525D" w:rsidRDefault="00CC013B" w:rsidP="002E0FDF">
    <w:pPr>
      <w:jc w:val="left"/>
    </w:pPr>
    <w:r>
      <w:t>An</w:t>
    </w:r>
    <w:r w:rsidR="00EF254F">
      <w:t>nex</w:t>
    </w:r>
    <w:r>
      <w:t xml:space="preserve"> III</w:t>
    </w:r>
  </w:p>
  <w:p w14:paraId="2CEF1439" w14:textId="77777777" w:rsidR="00DC6A10" w:rsidRPr="0033525D" w:rsidRDefault="00DC6A10" w:rsidP="002E0FDF">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7D66" w14:textId="59D49765" w:rsidR="00DC6A10" w:rsidRPr="0033525D" w:rsidRDefault="00BD3E4B" w:rsidP="002E0FDF">
    <w:pPr>
      <w:jc w:val="right"/>
    </w:pPr>
    <w:fldSimple w:instr=" DOCPROPERTY &quot;Document number&quot;  \* MERGEFORMAT ">
      <w:r>
        <w:t>UNEP/OzL.Pro/ExCom/99/69</w:t>
      </w:r>
    </w:fldSimple>
  </w:p>
  <w:p w14:paraId="2AB0897F" w14:textId="049762ED" w:rsidR="00DC6A10" w:rsidRPr="0033525D" w:rsidRDefault="00CC013B" w:rsidP="002E0FDF">
    <w:pPr>
      <w:jc w:val="right"/>
    </w:pPr>
    <w:r>
      <w:t>An</w:t>
    </w:r>
    <w:r w:rsidR="00EF254F">
      <w:t xml:space="preserve">nex </w:t>
    </w:r>
    <w:r>
      <w:t>III</w:t>
    </w:r>
  </w:p>
  <w:p w14:paraId="5197A600" w14:textId="77777777" w:rsidR="00DC6A10" w:rsidRPr="0033525D" w:rsidRDefault="00DC6A10" w:rsidP="002E0FD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1542F0A"/>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47D52"/>
    <w:multiLevelType w:val="hybridMultilevel"/>
    <w:tmpl w:val="1CB0CF84"/>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5"/>
  </w:num>
  <w:num w:numId="4" w16cid:durableId="671107749">
    <w:abstractNumId w:val="6"/>
  </w:num>
  <w:num w:numId="5" w16cid:durableId="1526870837">
    <w:abstractNumId w:val="10"/>
  </w:num>
  <w:num w:numId="6" w16cid:durableId="1051735893">
    <w:abstractNumId w:val="8"/>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283435">
    <w:abstractNumId w:val="2"/>
  </w:num>
  <w:num w:numId="15" w16cid:durableId="154239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813681">
    <w:abstractNumId w:val="7"/>
  </w:num>
  <w:num w:numId="17" w16cid:durableId="1725564835">
    <w:abstractNumId w:val="4"/>
  </w:num>
  <w:num w:numId="18" w16cid:durableId="1269001707">
    <w:abstractNumId w:val="9"/>
  </w:num>
  <w:num w:numId="19" w16cid:durableId="364064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8516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2714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0634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60792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909D4"/>
    <w:rsid w:val="00000B00"/>
    <w:rsid w:val="00000FED"/>
    <w:rsid w:val="00001516"/>
    <w:rsid w:val="00002E09"/>
    <w:rsid w:val="0000434E"/>
    <w:rsid w:val="00004664"/>
    <w:rsid w:val="00005A7C"/>
    <w:rsid w:val="00006ADB"/>
    <w:rsid w:val="00007324"/>
    <w:rsid w:val="00007688"/>
    <w:rsid w:val="00007CB6"/>
    <w:rsid w:val="00010DDA"/>
    <w:rsid w:val="000126EC"/>
    <w:rsid w:val="00013749"/>
    <w:rsid w:val="00013CC3"/>
    <w:rsid w:val="00014CD6"/>
    <w:rsid w:val="00014FAB"/>
    <w:rsid w:val="00015641"/>
    <w:rsid w:val="00015817"/>
    <w:rsid w:val="0001596D"/>
    <w:rsid w:val="00016260"/>
    <w:rsid w:val="00016483"/>
    <w:rsid w:val="000174A6"/>
    <w:rsid w:val="0002008F"/>
    <w:rsid w:val="00020255"/>
    <w:rsid w:val="00020419"/>
    <w:rsid w:val="000219FC"/>
    <w:rsid w:val="00021E2F"/>
    <w:rsid w:val="00021E94"/>
    <w:rsid w:val="00022B2E"/>
    <w:rsid w:val="00023BB5"/>
    <w:rsid w:val="000246E3"/>
    <w:rsid w:val="00024ADA"/>
    <w:rsid w:val="000258B2"/>
    <w:rsid w:val="00027178"/>
    <w:rsid w:val="000276AB"/>
    <w:rsid w:val="00027F30"/>
    <w:rsid w:val="00030205"/>
    <w:rsid w:val="00030761"/>
    <w:rsid w:val="00030996"/>
    <w:rsid w:val="00031260"/>
    <w:rsid w:val="00031267"/>
    <w:rsid w:val="00031416"/>
    <w:rsid w:val="00031504"/>
    <w:rsid w:val="00031911"/>
    <w:rsid w:val="00031D3F"/>
    <w:rsid w:val="000325D1"/>
    <w:rsid w:val="00033336"/>
    <w:rsid w:val="00033A68"/>
    <w:rsid w:val="000343E1"/>
    <w:rsid w:val="00034839"/>
    <w:rsid w:val="0003557F"/>
    <w:rsid w:val="0003667C"/>
    <w:rsid w:val="0003681A"/>
    <w:rsid w:val="00037539"/>
    <w:rsid w:val="00037F80"/>
    <w:rsid w:val="000400DA"/>
    <w:rsid w:val="000424AD"/>
    <w:rsid w:val="00042BDE"/>
    <w:rsid w:val="00043227"/>
    <w:rsid w:val="00043606"/>
    <w:rsid w:val="00045061"/>
    <w:rsid w:val="000452A6"/>
    <w:rsid w:val="000460C4"/>
    <w:rsid w:val="00047E1A"/>
    <w:rsid w:val="00050E68"/>
    <w:rsid w:val="000515D2"/>
    <w:rsid w:val="00051D43"/>
    <w:rsid w:val="00053674"/>
    <w:rsid w:val="000548F9"/>
    <w:rsid w:val="00054A4A"/>
    <w:rsid w:val="00054DA8"/>
    <w:rsid w:val="00055053"/>
    <w:rsid w:val="000550CE"/>
    <w:rsid w:val="000554FD"/>
    <w:rsid w:val="0005650E"/>
    <w:rsid w:val="000565EB"/>
    <w:rsid w:val="00056BA9"/>
    <w:rsid w:val="00056D6E"/>
    <w:rsid w:val="000574E5"/>
    <w:rsid w:val="000579EF"/>
    <w:rsid w:val="00060028"/>
    <w:rsid w:val="00061C9D"/>
    <w:rsid w:val="00064F73"/>
    <w:rsid w:val="00065B24"/>
    <w:rsid w:val="00065D34"/>
    <w:rsid w:val="00065D6A"/>
    <w:rsid w:val="00065EE8"/>
    <w:rsid w:val="0006607F"/>
    <w:rsid w:val="00066C79"/>
    <w:rsid w:val="0006769A"/>
    <w:rsid w:val="00070104"/>
    <w:rsid w:val="00070264"/>
    <w:rsid w:val="00070C38"/>
    <w:rsid w:val="000710C2"/>
    <w:rsid w:val="000717FE"/>
    <w:rsid w:val="00072B13"/>
    <w:rsid w:val="00074B9A"/>
    <w:rsid w:val="000750A4"/>
    <w:rsid w:val="00075457"/>
    <w:rsid w:val="000758CD"/>
    <w:rsid w:val="00075C28"/>
    <w:rsid w:val="00075D10"/>
    <w:rsid w:val="00076B60"/>
    <w:rsid w:val="00076CBC"/>
    <w:rsid w:val="00076CEE"/>
    <w:rsid w:val="00077E33"/>
    <w:rsid w:val="00077F99"/>
    <w:rsid w:val="00080312"/>
    <w:rsid w:val="00080614"/>
    <w:rsid w:val="00080A8C"/>
    <w:rsid w:val="00080ED0"/>
    <w:rsid w:val="00081104"/>
    <w:rsid w:val="00082558"/>
    <w:rsid w:val="000827BA"/>
    <w:rsid w:val="0008289C"/>
    <w:rsid w:val="00083F1D"/>
    <w:rsid w:val="00085B8F"/>
    <w:rsid w:val="00085F80"/>
    <w:rsid w:val="000871F4"/>
    <w:rsid w:val="00087AFC"/>
    <w:rsid w:val="00090481"/>
    <w:rsid w:val="000908C8"/>
    <w:rsid w:val="00091A22"/>
    <w:rsid w:val="00091AF1"/>
    <w:rsid w:val="000923BA"/>
    <w:rsid w:val="00092DFB"/>
    <w:rsid w:val="00093FCD"/>
    <w:rsid w:val="000952F5"/>
    <w:rsid w:val="00096648"/>
    <w:rsid w:val="00096C16"/>
    <w:rsid w:val="000A0882"/>
    <w:rsid w:val="000A0D69"/>
    <w:rsid w:val="000A34C3"/>
    <w:rsid w:val="000A3F08"/>
    <w:rsid w:val="000B324E"/>
    <w:rsid w:val="000B3315"/>
    <w:rsid w:val="000B3C8B"/>
    <w:rsid w:val="000B3E62"/>
    <w:rsid w:val="000B5B26"/>
    <w:rsid w:val="000B5D0B"/>
    <w:rsid w:val="000B7088"/>
    <w:rsid w:val="000B775D"/>
    <w:rsid w:val="000C0287"/>
    <w:rsid w:val="000C167B"/>
    <w:rsid w:val="000C29A1"/>
    <w:rsid w:val="000C2F7E"/>
    <w:rsid w:val="000C3A47"/>
    <w:rsid w:val="000C3B3E"/>
    <w:rsid w:val="000C40F0"/>
    <w:rsid w:val="000C5EF0"/>
    <w:rsid w:val="000C7EF8"/>
    <w:rsid w:val="000D04EA"/>
    <w:rsid w:val="000D0641"/>
    <w:rsid w:val="000D1693"/>
    <w:rsid w:val="000D1889"/>
    <w:rsid w:val="000D18CF"/>
    <w:rsid w:val="000D38E0"/>
    <w:rsid w:val="000D5A54"/>
    <w:rsid w:val="000D62D2"/>
    <w:rsid w:val="000D7A90"/>
    <w:rsid w:val="000D7B88"/>
    <w:rsid w:val="000E01D4"/>
    <w:rsid w:val="000E0414"/>
    <w:rsid w:val="000E07BC"/>
    <w:rsid w:val="000E0D81"/>
    <w:rsid w:val="000E0EBE"/>
    <w:rsid w:val="000E1955"/>
    <w:rsid w:val="000E2313"/>
    <w:rsid w:val="000E2817"/>
    <w:rsid w:val="000E3086"/>
    <w:rsid w:val="000E3377"/>
    <w:rsid w:val="000E45E1"/>
    <w:rsid w:val="000E5480"/>
    <w:rsid w:val="000E5B2F"/>
    <w:rsid w:val="000E6F75"/>
    <w:rsid w:val="000E7281"/>
    <w:rsid w:val="000E7B61"/>
    <w:rsid w:val="000F00EE"/>
    <w:rsid w:val="000F0506"/>
    <w:rsid w:val="000F1115"/>
    <w:rsid w:val="000F1CD4"/>
    <w:rsid w:val="000F3CCE"/>
    <w:rsid w:val="000F4103"/>
    <w:rsid w:val="000F4178"/>
    <w:rsid w:val="000F42F0"/>
    <w:rsid w:val="000F43BC"/>
    <w:rsid w:val="000F4E86"/>
    <w:rsid w:val="000F6C9B"/>
    <w:rsid w:val="000F70A7"/>
    <w:rsid w:val="000F79ED"/>
    <w:rsid w:val="0010207A"/>
    <w:rsid w:val="00102569"/>
    <w:rsid w:val="00102959"/>
    <w:rsid w:val="00102C33"/>
    <w:rsid w:val="00104568"/>
    <w:rsid w:val="001049B8"/>
    <w:rsid w:val="001052BA"/>
    <w:rsid w:val="00105B9D"/>
    <w:rsid w:val="00105BE1"/>
    <w:rsid w:val="00107A64"/>
    <w:rsid w:val="00107B26"/>
    <w:rsid w:val="001115D9"/>
    <w:rsid w:val="001139D2"/>
    <w:rsid w:val="00113B80"/>
    <w:rsid w:val="001142DB"/>
    <w:rsid w:val="00114F96"/>
    <w:rsid w:val="00116333"/>
    <w:rsid w:val="00116B72"/>
    <w:rsid w:val="001201F8"/>
    <w:rsid w:val="00120820"/>
    <w:rsid w:val="00120AE4"/>
    <w:rsid w:val="00121044"/>
    <w:rsid w:val="00123EA2"/>
    <w:rsid w:val="00124800"/>
    <w:rsid w:val="00124B2E"/>
    <w:rsid w:val="001254DC"/>
    <w:rsid w:val="00126734"/>
    <w:rsid w:val="00126A82"/>
    <w:rsid w:val="00127B0F"/>
    <w:rsid w:val="00127C2D"/>
    <w:rsid w:val="00130EA8"/>
    <w:rsid w:val="0013115F"/>
    <w:rsid w:val="001312DB"/>
    <w:rsid w:val="00131B1A"/>
    <w:rsid w:val="00132388"/>
    <w:rsid w:val="00132431"/>
    <w:rsid w:val="00132741"/>
    <w:rsid w:val="00132E8E"/>
    <w:rsid w:val="00133B6E"/>
    <w:rsid w:val="00133C10"/>
    <w:rsid w:val="001348F0"/>
    <w:rsid w:val="00134BD9"/>
    <w:rsid w:val="00135980"/>
    <w:rsid w:val="00135F90"/>
    <w:rsid w:val="0013797B"/>
    <w:rsid w:val="00140110"/>
    <w:rsid w:val="00140199"/>
    <w:rsid w:val="001413D2"/>
    <w:rsid w:val="00141C8B"/>
    <w:rsid w:val="00143F85"/>
    <w:rsid w:val="0014471A"/>
    <w:rsid w:val="00145F7A"/>
    <w:rsid w:val="00147451"/>
    <w:rsid w:val="00151990"/>
    <w:rsid w:val="001539E1"/>
    <w:rsid w:val="00153C45"/>
    <w:rsid w:val="00154357"/>
    <w:rsid w:val="00155FD6"/>
    <w:rsid w:val="00160611"/>
    <w:rsid w:val="0016163E"/>
    <w:rsid w:val="0016244F"/>
    <w:rsid w:val="001635BD"/>
    <w:rsid w:val="00163D33"/>
    <w:rsid w:val="0016453C"/>
    <w:rsid w:val="00164719"/>
    <w:rsid w:val="0016522B"/>
    <w:rsid w:val="001657A3"/>
    <w:rsid w:val="00166FC4"/>
    <w:rsid w:val="001677AC"/>
    <w:rsid w:val="00171C85"/>
    <w:rsid w:val="00171E9A"/>
    <w:rsid w:val="00174B79"/>
    <w:rsid w:val="00175910"/>
    <w:rsid w:val="00177842"/>
    <w:rsid w:val="00177BF2"/>
    <w:rsid w:val="001803BD"/>
    <w:rsid w:val="001812C6"/>
    <w:rsid w:val="001825CE"/>
    <w:rsid w:val="001838E6"/>
    <w:rsid w:val="00183CB1"/>
    <w:rsid w:val="0018434C"/>
    <w:rsid w:val="001849EC"/>
    <w:rsid w:val="00184E3E"/>
    <w:rsid w:val="00185225"/>
    <w:rsid w:val="001856F1"/>
    <w:rsid w:val="001857E1"/>
    <w:rsid w:val="00185D45"/>
    <w:rsid w:val="00185D8E"/>
    <w:rsid w:val="001865FF"/>
    <w:rsid w:val="00186A9F"/>
    <w:rsid w:val="001908E0"/>
    <w:rsid w:val="00190A61"/>
    <w:rsid w:val="00191532"/>
    <w:rsid w:val="0019266B"/>
    <w:rsid w:val="00192AA0"/>
    <w:rsid w:val="00193A33"/>
    <w:rsid w:val="00195322"/>
    <w:rsid w:val="00196344"/>
    <w:rsid w:val="0019759B"/>
    <w:rsid w:val="00197AED"/>
    <w:rsid w:val="001A0A95"/>
    <w:rsid w:val="001A0CD8"/>
    <w:rsid w:val="001A113A"/>
    <w:rsid w:val="001A13FA"/>
    <w:rsid w:val="001A18CA"/>
    <w:rsid w:val="001A27EC"/>
    <w:rsid w:val="001A3342"/>
    <w:rsid w:val="001A3C39"/>
    <w:rsid w:val="001A3E3D"/>
    <w:rsid w:val="001A4D66"/>
    <w:rsid w:val="001A749C"/>
    <w:rsid w:val="001B0224"/>
    <w:rsid w:val="001B10A2"/>
    <w:rsid w:val="001B1E40"/>
    <w:rsid w:val="001B2290"/>
    <w:rsid w:val="001B2304"/>
    <w:rsid w:val="001B4C38"/>
    <w:rsid w:val="001B6403"/>
    <w:rsid w:val="001B662D"/>
    <w:rsid w:val="001B7002"/>
    <w:rsid w:val="001B72F6"/>
    <w:rsid w:val="001B7331"/>
    <w:rsid w:val="001B7938"/>
    <w:rsid w:val="001B7EDD"/>
    <w:rsid w:val="001C0350"/>
    <w:rsid w:val="001C0836"/>
    <w:rsid w:val="001C0EC5"/>
    <w:rsid w:val="001C15AC"/>
    <w:rsid w:val="001C1E46"/>
    <w:rsid w:val="001C2608"/>
    <w:rsid w:val="001C2C7B"/>
    <w:rsid w:val="001C3098"/>
    <w:rsid w:val="001C4BB0"/>
    <w:rsid w:val="001C764E"/>
    <w:rsid w:val="001C7987"/>
    <w:rsid w:val="001C7B9B"/>
    <w:rsid w:val="001C7E4D"/>
    <w:rsid w:val="001D22DE"/>
    <w:rsid w:val="001D2CFF"/>
    <w:rsid w:val="001D3E3C"/>
    <w:rsid w:val="001D3EAF"/>
    <w:rsid w:val="001D4116"/>
    <w:rsid w:val="001D4ADA"/>
    <w:rsid w:val="001E0FDA"/>
    <w:rsid w:val="001E1052"/>
    <w:rsid w:val="001E1BD4"/>
    <w:rsid w:val="001E21B1"/>
    <w:rsid w:val="001E2CEB"/>
    <w:rsid w:val="001E2F93"/>
    <w:rsid w:val="001E393F"/>
    <w:rsid w:val="001E53A7"/>
    <w:rsid w:val="001E58B9"/>
    <w:rsid w:val="001E61E5"/>
    <w:rsid w:val="001E6BA3"/>
    <w:rsid w:val="001E7103"/>
    <w:rsid w:val="001F122D"/>
    <w:rsid w:val="001F13B9"/>
    <w:rsid w:val="001F1562"/>
    <w:rsid w:val="001F1986"/>
    <w:rsid w:val="001F2159"/>
    <w:rsid w:val="001F233F"/>
    <w:rsid w:val="001F2344"/>
    <w:rsid w:val="001F2372"/>
    <w:rsid w:val="001F2B80"/>
    <w:rsid w:val="001F2F33"/>
    <w:rsid w:val="001F45B6"/>
    <w:rsid w:val="001F4CB2"/>
    <w:rsid w:val="001F5184"/>
    <w:rsid w:val="001F6115"/>
    <w:rsid w:val="001F7140"/>
    <w:rsid w:val="001F7148"/>
    <w:rsid w:val="001F73D6"/>
    <w:rsid w:val="001F7884"/>
    <w:rsid w:val="00201A2A"/>
    <w:rsid w:val="00201E44"/>
    <w:rsid w:val="00203CA8"/>
    <w:rsid w:val="0020426A"/>
    <w:rsid w:val="0020568B"/>
    <w:rsid w:val="00206E97"/>
    <w:rsid w:val="00210718"/>
    <w:rsid w:val="00210945"/>
    <w:rsid w:val="00211C1C"/>
    <w:rsid w:val="0021273B"/>
    <w:rsid w:val="0021300E"/>
    <w:rsid w:val="00213633"/>
    <w:rsid w:val="00213AF8"/>
    <w:rsid w:val="00214848"/>
    <w:rsid w:val="00214DDA"/>
    <w:rsid w:val="00215B20"/>
    <w:rsid w:val="0021605A"/>
    <w:rsid w:val="0021622A"/>
    <w:rsid w:val="00221E4B"/>
    <w:rsid w:val="00222140"/>
    <w:rsid w:val="00223868"/>
    <w:rsid w:val="002243A4"/>
    <w:rsid w:val="0022645D"/>
    <w:rsid w:val="00226C4F"/>
    <w:rsid w:val="00227253"/>
    <w:rsid w:val="002279A6"/>
    <w:rsid w:val="00227F4F"/>
    <w:rsid w:val="00230FBB"/>
    <w:rsid w:val="00233A16"/>
    <w:rsid w:val="00234D56"/>
    <w:rsid w:val="00234FF5"/>
    <w:rsid w:val="00237DF0"/>
    <w:rsid w:val="00237FBB"/>
    <w:rsid w:val="002401EB"/>
    <w:rsid w:val="00241836"/>
    <w:rsid w:val="0024191C"/>
    <w:rsid w:val="00241B5E"/>
    <w:rsid w:val="00241E97"/>
    <w:rsid w:val="002421DB"/>
    <w:rsid w:val="00242255"/>
    <w:rsid w:val="00242DB3"/>
    <w:rsid w:val="00243517"/>
    <w:rsid w:val="00245EDE"/>
    <w:rsid w:val="00246037"/>
    <w:rsid w:val="00246CA3"/>
    <w:rsid w:val="00246CC4"/>
    <w:rsid w:val="00246F3C"/>
    <w:rsid w:val="002477AB"/>
    <w:rsid w:val="0025090F"/>
    <w:rsid w:val="002511FE"/>
    <w:rsid w:val="00251B48"/>
    <w:rsid w:val="00251DFF"/>
    <w:rsid w:val="00253222"/>
    <w:rsid w:val="002543D4"/>
    <w:rsid w:val="002546E3"/>
    <w:rsid w:val="00255154"/>
    <w:rsid w:val="00256092"/>
    <w:rsid w:val="00256132"/>
    <w:rsid w:val="002566F7"/>
    <w:rsid w:val="002568DF"/>
    <w:rsid w:val="00256BC6"/>
    <w:rsid w:val="00256DFB"/>
    <w:rsid w:val="00256E34"/>
    <w:rsid w:val="002614BA"/>
    <w:rsid w:val="002620B3"/>
    <w:rsid w:val="00262116"/>
    <w:rsid w:val="00262E06"/>
    <w:rsid w:val="00263050"/>
    <w:rsid w:val="002635E6"/>
    <w:rsid w:val="00264741"/>
    <w:rsid w:val="00265F5E"/>
    <w:rsid w:val="00267867"/>
    <w:rsid w:val="0027083E"/>
    <w:rsid w:val="00270894"/>
    <w:rsid w:val="00271477"/>
    <w:rsid w:val="00271BFF"/>
    <w:rsid w:val="00272106"/>
    <w:rsid w:val="00272905"/>
    <w:rsid w:val="0027297D"/>
    <w:rsid w:val="00273117"/>
    <w:rsid w:val="00273B76"/>
    <w:rsid w:val="00275004"/>
    <w:rsid w:val="0027567B"/>
    <w:rsid w:val="00276D97"/>
    <w:rsid w:val="00277248"/>
    <w:rsid w:val="002775FE"/>
    <w:rsid w:val="00281412"/>
    <w:rsid w:val="00281DCB"/>
    <w:rsid w:val="00282520"/>
    <w:rsid w:val="00282C49"/>
    <w:rsid w:val="00283E1A"/>
    <w:rsid w:val="00284EB3"/>
    <w:rsid w:val="00286887"/>
    <w:rsid w:val="00286BE0"/>
    <w:rsid w:val="00286F19"/>
    <w:rsid w:val="002873CF"/>
    <w:rsid w:val="00291880"/>
    <w:rsid w:val="00292264"/>
    <w:rsid w:val="00292569"/>
    <w:rsid w:val="002929E6"/>
    <w:rsid w:val="00292DDC"/>
    <w:rsid w:val="0029399C"/>
    <w:rsid w:val="002950EF"/>
    <w:rsid w:val="00295268"/>
    <w:rsid w:val="00295523"/>
    <w:rsid w:val="00295DCA"/>
    <w:rsid w:val="0029663D"/>
    <w:rsid w:val="00297FA6"/>
    <w:rsid w:val="002A2001"/>
    <w:rsid w:val="002A371A"/>
    <w:rsid w:val="002A49D2"/>
    <w:rsid w:val="002A4BB5"/>
    <w:rsid w:val="002A58BF"/>
    <w:rsid w:val="002A58C6"/>
    <w:rsid w:val="002A5BEF"/>
    <w:rsid w:val="002A5C99"/>
    <w:rsid w:val="002A68C8"/>
    <w:rsid w:val="002A75D5"/>
    <w:rsid w:val="002A7A6F"/>
    <w:rsid w:val="002B14BC"/>
    <w:rsid w:val="002B1B37"/>
    <w:rsid w:val="002B23C8"/>
    <w:rsid w:val="002B2E3E"/>
    <w:rsid w:val="002B5C42"/>
    <w:rsid w:val="002B601C"/>
    <w:rsid w:val="002B6D02"/>
    <w:rsid w:val="002B72E9"/>
    <w:rsid w:val="002B7CC2"/>
    <w:rsid w:val="002C073C"/>
    <w:rsid w:val="002C07DD"/>
    <w:rsid w:val="002C182D"/>
    <w:rsid w:val="002C186E"/>
    <w:rsid w:val="002C1977"/>
    <w:rsid w:val="002C1F59"/>
    <w:rsid w:val="002C1FB2"/>
    <w:rsid w:val="002C249B"/>
    <w:rsid w:val="002C26DB"/>
    <w:rsid w:val="002C44B9"/>
    <w:rsid w:val="002C56B5"/>
    <w:rsid w:val="002C5B87"/>
    <w:rsid w:val="002C5C1C"/>
    <w:rsid w:val="002C6542"/>
    <w:rsid w:val="002C7743"/>
    <w:rsid w:val="002D0BE5"/>
    <w:rsid w:val="002D0E03"/>
    <w:rsid w:val="002D16B5"/>
    <w:rsid w:val="002D2285"/>
    <w:rsid w:val="002D3479"/>
    <w:rsid w:val="002D352D"/>
    <w:rsid w:val="002D3E6E"/>
    <w:rsid w:val="002D4C30"/>
    <w:rsid w:val="002D4FB0"/>
    <w:rsid w:val="002D58C9"/>
    <w:rsid w:val="002D642F"/>
    <w:rsid w:val="002D668B"/>
    <w:rsid w:val="002D6FCC"/>
    <w:rsid w:val="002E0B0C"/>
    <w:rsid w:val="002E0FDF"/>
    <w:rsid w:val="002E14BE"/>
    <w:rsid w:val="002E1D44"/>
    <w:rsid w:val="002E2ECB"/>
    <w:rsid w:val="002E36BE"/>
    <w:rsid w:val="002E3935"/>
    <w:rsid w:val="002E3ED5"/>
    <w:rsid w:val="002E46E3"/>
    <w:rsid w:val="002E4D14"/>
    <w:rsid w:val="002E4EA8"/>
    <w:rsid w:val="002E519B"/>
    <w:rsid w:val="002E53A0"/>
    <w:rsid w:val="002E58DC"/>
    <w:rsid w:val="002E5B06"/>
    <w:rsid w:val="002E6FCD"/>
    <w:rsid w:val="002E7013"/>
    <w:rsid w:val="002E72FF"/>
    <w:rsid w:val="002E7C78"/>
    <w:rsid w:val="002F0149"/>
    <w:rsid w:val="002F0B8E"/>
    <w:rsid w:val="002F1356"/>
    <w:rsid w:val="002F1865"/>
    <w:rsid w:val="002F23C1"/>
    <w:rsid w:val="002F274F"/>
    <w:rsid w:val="002F2C8C"/>
    <w:rsid w:val="002F388D"/>
    <w:rsid w:val="002F3E4A"/>
    <w:rsid w:val="002F4AF5"/>
    <w:rsid w:val="002F56FA"/>
    <w:rsid w:val="002F580D"/>
    <w:rsid w:val="002F68E7"/>
    <w:rsid w:val="002F6E3D"/>
    <w:rsid w:val="0030065C"/>
    <w:rsid w:val="00300BFC"/>
    <w:rsid w:val="00301A50"/>
    <w:rsid w:val="00303058"/>
    <w:rsid w:val="0030312D"/>
    <w:rsid w:val="00303264"/>
    <w:rsid w:val="003037BC"/>
    <w:rsid w:val="00304C6E"/>
    <w:rsid w:val="00305B4F"/>
    <w:rsid w:val="00305C39"/>
    <w:rsid w:val="003108E5"/>
    <w:rsid w:val="00310B0F"/>
    <w:rsid w:val="003110EE"/>
    <w:rsid w:val="00311465"/>
    <w:rsid w:val="0031183D"/>
    <w:rsid w:val="00311D72"/>
    <w:rsid w:val="00311DFF"/>
    <w:rsid w:val="003127BC"/>
    <w:rsid w:val="00314354"/>
    <w:rsid w:val="00314BC9"/>
    <w:rsid w:val="00314E6B"/>
    <w:rsid w:val="00315BA6"/>
    <w:rsid w:val="0031650D"/>
    <w:rsid w:val="00320000"/>
    <w:rsid w:val="0032039D"/>
    <w:rsid w:val="003221A9"/>
    <w:rsid w:val="00322A82"/>
    <w:rsid w:val="003234C4"/>
    <w:rsid w:val="003261F8"/>
    <w:rsid w:val="00326BDC"/>
    <w:rsid w:val="00326CE3"/>
    <w:rsid w:val="00326D93"/>
    <w:rsid w:val="003306E1"/>
    <w:rsid w:val="00330A34"/>
    <w:rsid w:val="00331403"/>
    <w:rsid w:val="0033179F"/>
    <w:rsid w:val="003320E4"/>
    <w:rsid w:val="00332D8B"/>
    <w:rsid w:val="0033405D"/>
    <w:rsid w:val="00334170"/>
    <w:rsid w:val="0033470A"/>
    <w:rsid w:val="0033525D"/>
    <w:rsid w:val="003355B4"/>
    <w:rsid w:val="00335623"/>
    <w:rsid w:val="00335B9D"/>
    <w:rsid w:val="003414F3"/>
    <w:rsid w:val="003416E2"/>
    <w:rsid w:val="00341B4A"/>
    <w:rsid w:val="00341C6B"/>
    <w:rsid w:val="00343373"/>
    <w:rsid w:val="00344B52"/>
    <w:rsid w:val="00344B7C"/>
    <w:rsid w:val="00345C77"/>
    <w:rsid w:val="00351328"/>
    <w:rsid w:val="0035246B"/>
    <w:rsid w:val="00354288"/>
    <w:rsid w:val="00354426"/>
    <w:rsid w:val="0035613E"/>
    <w:rsid w:val="003573D8"/>
    <w:rsid w:val="003578A3"/>
    <w:rsid w:val="00357C12"/>
    <w:rsid w:val="00361668"/>
    <w:rsid w:val="003620BC"/>
    <w:rsid w:val="00363223"/>
    <w:rsid w:val="00363EE9"/>
    <w:rsid w:val="003652C1"/>
    <w:rsid w:val="003654F6"/>
    <w:rsid w:val="003662B3"/>
    <w:rsid w:val="00367721"/>
    <w:rsid w:val="0037368B"/>
    <w:rsid w:val="00373BF5"/>
    <w:rsid w:val="003745E9"/>
    <w:rsid w:val="00374F03"/>
    <w:rsid w:val="00374F3A"/>
    <w:rsid w:val="00376128"/>
    <w:rsid w:val="00377280"/>
    <w:rsid w:val="0037742E"/>
    <w:rsid w:val="0037765E"/>
    <w:rsid w:val="00377AD1"/>
    <w:rsid w:val="00377CA5"/>
    <w:rsid w:val="003802AC"/>
    <w:rsid w:val="0038245A"/>
    <w:rsid w:val="00383D90"/>
    <w:rsid w:val="0038413C"/>
    <w:rsid w:val="003858A5"/>
    <w:rsid w:val="00390581"/>
    <w:rsid w:val="00392462"/>
    <w:rsid w:val="00392EAE"/>
    <w:rsid w:val="0039337A"/>
    <w:rsid w:val="003943CF"/>
    <w:rsid w:val="00394DD1"/>
    <w:rsid w:val="00396605"/>
    <w:rsid w:val="00397545"/>
    <w:rsid w:val="00397730"/>
    <w:rsid w:val="003A0F75"/>
    <w:rsid w:val="003A1E24"/>
    <w:rsid w:val="003A2173"/>
    <w:rsid w:val="003A3189"/>
    <w:rsid w:val="003A3FB7"/>
    <w:rsid w:val="003A4777"/>
    <w:rsid w:val="003A52A6"/>
    <w:rsid w:val="003A5E2E"/>
    <w:rsid w:val="003A60D7"/>
    <w:rsid w:val="003A61D5"/>
    <w:rsid w:val="003A636F"/>
    <w:rsid w:val="003A67E5"/>
    <w:rsid w:val="003A6829"/>
    <w:rsid w:val="003A7313"/>
    <w:rsid w:val="003B095B"/>
    <w:rsid w:val="003B0A2D"/>
    <w:rsid w:val="003B230D"/>
    <w:rsid w:val="003B2594"/>
    <w:rsid w:val="003B3973"/>
    <w:rsid w:val="003B3AB8"/>
    <w:rsid w:val="003B569D"/>
    <w:rsid w:val="003B598F"/>
    <w:rsid w:val="003B5B4B"/>
    <w:rsid w:val="003B6889"/>
    <w:rsid w:val="003B69AE"/>
    <w:rsid w:val="003B7039"/>
    <w:rsid w:val="003C0BFA"/>
    <w:rsid w:val="003C1AFE"/>
    <w:rsid w:val="003C1E3F"/>
    <w:rsid w:val="003C33E2"/>
    <w:rsid w:val="003C3C0E"/>
    <w:rsid w:val="003C400A"/>
    <w:rsid w:val="003C4B9C"/>
    <w:rsid w:val="003C6E46"/>
    <w:rsid w:val="003C73F9"/>
    <w:rsid w:val="003C7D09"/>
    <w:rsid w:val="003D0AAD"/>
    <w:rsid w:val="003D0C07"/>
    <w:rsid w:val="003D0D2D"/>
    <w:rsid w:val="003D18AF"/>
    <w:rsid w:val="003D2EB6"/>
    <w:rsid w:val="003D4477"/>
    <w:rsid w:val="003D4FAC"/>
    <w:rsid w:val="003D5200"/>
    <w:rsid w:val="003D6F6F"/>
    <w:rsid w:val="003E11E9"/>
    <w:rsid w:val="003E144E"/>
    <w:rsid w:val="003E1872"/>
    <w:rsid w:val="003E313D"/>
    <w:rsid w:val="003E3B78"/>
    <w:rsid w:val="003E40A0"/>
    <w:rsid w:val="003E50CA"/>
    <w:rsid w:val="003E520F"/>
    <w:rsid w:val="003E563F"/>
    <w:rsid w:val="003E7906"/>
    <w:rsid w:val="003F2E4C"/>
    <w:rsid w:val="003F3890"/>
    <w:rsid w:val="003F3C50"/>
    <w:rsid w:val="003F469C"/>
    <w:rsid w:val="003F5FAA"/>
    <w:rsid w:val="003F6F08"/>
    <w:rsid w:val="00400380"/>
    <w:rsid w:val="0040042A"/>
    <w:rsid w:val="00400DA1"/>
    <w:rsid w:val="00401693"/>
    <w:rsid w:val="00401ED5"/>
    <w:rsid w:val="00402440"/>
    <w:rsid w:val="00402AED"/>
    <w:rsid w:val="00403FD6"/>
    <w:rsid w:val="00406181"/>
    <w:rsid w:val="004063FB"/>
    <w:rsid w:val="00406A6A"/>
    <w:rsid w:val="00406B22"/>
    <w:rsid w:val="004105AB"/>
    <w:rsid w:val="004108F1"/>
    <w:rsid w:val="00411822"/>
    <w:rsid w:val="00412486"/>
    <w:rsid w:val="00412E90"/>
    <w:rsid w:val="00413683"/>
    <w:rsid w:val="00413E32"/>
    <w:rsid w:val="00415C2C"/>
    <w:rsid w:val="00415C3C"/>
    <w:rsid w:val="00415D92"/>
    <w:rsid w:val="004165C2"/>
    <w:rsid w:val="0041781A"/>
    <w:rsid w:val="0042188A"/>
    <w:rsid w:val="0042285F"/>
    <w:rsid w:val="004232C3"/>
    <w:rsid w:val="0042437D"/>
    <w:rsid w:val="004255F9"/>
    <w:rsid w:val="004258CD"/>
    <w:rsid w:val="00426183"/>
    <w:rsid w:val="004274BE"/>
    <w:rsid w:val="0043031B"/>
    <w:rsid w:val="00431151"/>
    <w:rsid w:val="00431D4F"/>
    <w:rsid w:val="00432279"/>
    <w:rsid w:val="004328A7"/>
    <w:rsid w:val="004329F9"/>
    <w:rsid w:val="00432EA8"/>
    <w:rsid w:val="00434C74"/>
    <w:rsid w:val="0043544C"/>
    <w:rsid w:val="00435EA4"/>
    <w:rsid w:val="004362DA"/>
    <w:rsid w:val="00437B53"/>
    <w:rsid w:val="00440BAD"/>
    <w:rsid w:val="00441844"/>
    <w:rsid w:val="00441C70"/>
    <w:rsid w:val="00443052"/>
    <w:rsid w:val="00443391"/>
    <w:rsid w:val="0044373A"/>
    <w:rsid w:val="00443B96"/>
    <w:rsid w:val="00444ADB"/>
    <w:rsid w:val="00444B5D"/>
    <w:rsid w:val="00444F05"/>
    <w:rsid w:val="0044693C"/>
    <w:rsid w:val="00450AA6"/>
    <w:rsid w:val="00451226"/>
    <w:rsid w:val="0045196B"/>
    <w:rsid w:val="00452F0B"/>
    <w:rsid w:val="00454879"/>
    <w:rsid w:val="004553F8"/>
    <w:rsid w:val="00455A78"/>
    <w:rsid w:val="0045623A"/>
    <w:rsid w:val="00456885"/>
    <w:rsid w:val="00456915"/>
    <w:rsid w:val="00456EB4"/>
    <w:rsid w:val="00457A5C"/>
    <w:rsid w:val="00457AFF"/>
    <w:rsid w:val="004608D7"/>
    <w:rsid w:val="004617A1"/>
    <w:rsid w:val="00462039"/>
    <w:rsid w:val="00463EB7"/>
    <w:rsid w:val="004649F4"/>
    <w:rsid w:val="004657D4"/>
    <w:rsid w:val="00465EDA"/>
    <w:rsid w:val="00465FFF"/>
    <w:rsid w:val="0046633C"/>
    <w:rsid w:val="0046676A"/>
    <w:rsid w:val="004669D1"/>
    <w:rsid w:val="00467258"/>
    <w:rsid w:val="00470323"/>
    <w:rsid w:val="00470584"/>
    <w:rsid w:val="00470BED"/>
    <w:rsid w:val="004712F1"/>
    <w:rsid w:val="0047153F"/>
    <w:rsid w:val="004718F3"/>
    <w:rsid w:val="00473018"/>
    <w:rsid w:val="00473700"/>
    <w:rsid w:val="00474437"/>
    <w:rsid w:val="004747BB"/>
    <w:rsid w:val="00475040"/>
    <w:rsid w:val="00475212"/>
    <w:rsid w:val="00475E2B"/>
    <w:rsid w:val="0047722C"/>
    <w:rsid w:val="004776A3"/>
    <w:rsid w:val="004777CC"/>
    <w:rsid w:val="00480018"/>
    <w:rsid w:val="004804BB"/>
    <w:rsid w:val="00480A65"/>
    <w:rsid w:val="004810A1"/>
    <w:rsid w:val="00481C52"/>
    <w:rsid w:val="00482896"/>
    <w:rsid w:val="00483565"/>
    <w:rsid w:val="00484924"/>
    <w:rsid w:val="0048515A"/>
    <w:rsid w:val="00485460"/>
    <w:rsid w:val="00486098"/>
    <w:rsid w:val="0048686F"/>
    <w:rsid w:val="00487291"/>
    <w:rsid w:val="004909D4"/>
    <w:rsid w:val="00491DC2"/>
    <w:rsid w:val="00492650"/>
    <w:rsid w:val="00493D40"/>
    <w:rsid w:val="00494488"/>
    <w:rsid w:val="00494E86"/>
    <w:rsid w:val="00495F16"/>
    <w:rsid w:val="00495FD2"/>
    <w:rsid w:val="004960A8"/>
    <w:rsid w:val="00496BE5"/>
    <w:rsid w:val="00497217"/>
    <w:rsid w:val="00497ACE"/>
    <w:rsid w:val="004A0E45"/>
    <w:rsid w:val="004A205E"/>
    <w:rsid w:val="004A3812"/>
    <w:rsid w:val="004A4EF5"/>
    <w:rsid w:val="004A504B"/>
    <w:rsid w:val="004A6911"/>
    <w:rsid w:val="004A7099"/>
    <w:rsid w:val="004B00FF"/>
    <w:rsid w:val="004B068D"/>
    <w:rsid w:val="004B19A1"/>
    <w:rsid w:val="004B1D51"/>
    <w:rsid w:val="004B2301"/>
    <w:rsid w:val="004B2A34"/>
    <w:rsid w:val="004B2F33"/>
    <w:rsid w:val="004B4DF0"/>
    <w:rsid w:val="004B54E0"/>
    <w:rsid w:val="004B55D3"/>
    <w:rsid w:val="004B5C14"/>
    <w:rsid w:val="004B66E5"/>
    <w:rsid w:val="004B6B01"/>
    <w:rsid w:val="004B7384"/>
    <w:rsid w:val="004B787E"/>
    <w:rsid w:val="004C10C0"/>
    <w:rsid w:val="004C16E8"/>
    <w:rsid w:val="004C189E"/>
    <w:rsid w:val="004C2948"/>
    <w:rsid w:val="004C4269"/>
    <w:rsid w:val="004C548F"/>
    <w:rsid w:val="004C5519"/>
    <w:rsid w:val="004C571B"/>
    <w:rsid w:val="004C5CF0"/>
    <w:rsid w:val="004C5F2F"/>
    <w:rsid w:val="004C6709"/>
    <w:rsid w:val="004C6A80"/>
    <w:rsid w:val="004C7524"/>
    <w:rsid w:val="004D0575"/>
    <w:rsid w:val="004D0ADA"/>
    <w:rsid w:val="004D13CF"/>
    <w:rsid w:val="004D2D68"/>
    <w:rsid w:val="004D2D80"/>
    <w:rsid w:val="004D48E0"/>
    <w:rsid w:val="004D4BCD"/>
    <w:rsid w:val="004D4D70"/>
    <w:rsid w:val="004D6236"/>
    <w:rsid w:val="004D7C74"/>
    <w:rsid w:val="004D7E0B"/>
    <w:rsid w:val="004E13F7"/>
    <w:rsid w:val="004E2DD8"/>
    <w:rsid w:val="004E2ECC"/>
    <w:rsid w:val="004E2F62"/>
    <w:rsid w:val="004E3AB7"/>
    <w:rsid w:val="004E471A"/>
    <w:rsid w:val="004E4C07"/>
    <w:rsid w:val="004E4DBB"/>
    <w:rsid w:val="004E5174"/>
    <w:rsid w:val="004E602B"/>
    <w:rsid w:val="004E6633"/>
    <w:rsid w:val="004E7F9C"/>
    <w:rsid w:val="004F18BB"/>
    <w:rsid w:val="004F2C2B"/>
    <w:rsid w:val="004F2CE7"/>
    <w:rsid w:val="004F2E25"/>
    <w:rsid w:val="004F2E3A"/>
    <w:rsid w:val="004F3493"/>
    <w:rsid w:val="004F4D48"/>
    <w:rsid w:val="004F4F82"/>
    <w:rsid w:val="004F594F"/>
    <w:rsid w:val="004F6C81"/>
    <w:rsid w:val="004F6D35"/>
    <w:rsid w:val="004F70B9"/>
    <w:rsid w:val="004F7313"/>
    <w:rsid w:val="004F7344"/>
    <w:rsid w:val="00501B24"/>
    <w:rsid w:val="00501D80"/>
    <w:rsid w:val="005024CA"/>
    <w:rsid w:val="00503326"/>
    <w:rsid w:val="00504518"/>
    <w:rsid w:val="00504E77"/>
    <w:rsid w:val="005051FD"/>
    <w:rsid w:val="005059AC"/>
    <w:rsid w:val="00505B81"/>
    <w:rsid w:val="005061E6"/>
    <w:rsid w:val="00506434"/>
    <w:rsid w:val="0050688A"/>
    <w:rsid w:val="005076F0"/>
    <w:rsid w:val="00510F02"/>
    <w:rsid w:val="005118FC"/>
    <w:rsid w:val="00511C94"/>
    <w:rsid w:val="00512094"/>
    <w:rsid w:val="005126D8"/>
    <w:rsid w:val="00512927"/>
    <w:rsid w:val="00512B09"/>
    <w:rsid w:val="00512C14"/>
    <w:rsid w:val="00513FD5"/>
    <w:rsid w:val="005140DC"/>
    <w:rsid w:val="00514419"/>
    <w:rsid w:val="00514626"/>
    <w:rsid w:val="00514C18"/>
    <w:rsid w:val="0051575C"/>
    <w:rsid w:val="005174FA"/>
    <w:rsid w:val="00517C66"/>
    <w:rsid w:val="00521A49"/>
    <w:rsid w:val="00521CD2"/>
    <w:rsid w:val="00522040"/>
    <w:rsid w:val="00522BDC"/>
    <w:rsid w:val="00522C75"/>
    <w:rsid w:val="0052314B"/>
    <w:rsid w:val="00523372"/>
    <w:rsid w:val="00524C15"/>
    <w:rsid w:val="005254F8"/>
    <w:rsid w:val="005256D6"/>
    <w:rsid w:val="0052576A"/>
    <w:rsid w:val="005257D4"/>
    <w:rsid w:val="0052686E"/>
    <w:rsid w:val="00527D4D"/>
    <w:rsid w:val="0053083A"/>
    <w:rsid w:val="00531732"/>
    <w:rsid w:val="005319F2"/>
    <w:rsid w:val="0053284B"/>
    <w:rsid w:val="00533DCD"/>
    <w:rsid w:val="00535145"/>
    <w:rsid w:val="0053688C"/>
    <w:rsid w:val="00536FB7"/>
    <w:rsid w:val="00537633"/>
    <w:rsid w:val="00537B1C"/>
    <w:rsid w:val="00540DFC"/>
    <w:rsid w:val="0054150A"/>
    <w:rsid w:val="0054522E"/>
    <w:rsid w:val="00546074"/>
    <w:rsid w:val="005467FC"/>
    <w:rsid w:val="005508B0"/>
    <w:rsid w:val="00552B10"/>
    <w:rsid w:val="00553DC7"/>
    <w:rsid w:val="00554148"/>
    <w:rsid w:val="005548E3"/>
    <w:rsid w:val="00555237"/>
    <w:rsid w:val="00555D75"/>
    <w:rsid w:val="00560DF0"/>
    <w:rsid w:val="00561EDC"/>
    <w:rsid w:val="00561FFD"/>
    <w:rsid w:val="00563793"/>
    <w:rsid w:val="0056393A"/>
    <w:rsid w:val="00563F44"/>
    <w:rsid w:val="00564D13"/>
    <w:rsid w:val="005654F7"/>
    <w:rsid w:val="0056727D"/>
    <w:rsid w:val="00571A09"/>
    <w:rsid w:val="00571BEE"/>
    <w:rsid w:val="00571FFC"/>
    <w:rsid w:val="00572D49"/>
    <w:rsid w:val="0057392D"/>
    <w:rsid w:val="00573A49"/>
    <w:rsid w:val="00573CEB"/>
    <w:rsid w:val="00574427"/>
    <w:rsid w:val="0057462E"/>
    <w:rsid w:val="00574863"/>
    <w:rsid w:val="005759D3"/>
    <w:rsid w:val="00576C07"/>
    <w:rsid w:val="00577951"/>
    <w:rsid w:val="005801E3"/>
    <w:rsid w:val="005814EB"/>
    <w:rsid w:val="00581660"/>
    <w:rsid w:val="005830D3"/>
    <w:rsid w:val="0058375E"/>
    <w:rsid w:val="00584222"/>
    <w:rsid w:val="005850A0"/>
    <w:rsid w:val="00587181"/>
    <w:rsid w:val="0058783E"/>
    <w:rsid w:val="005904E9"/>
    <w:rsid w:val="00591693"/>
    <w:rsid w:val="00592415"/>
    <w:rsid w:val="00593EA4"/>
    <w:rsid w:val="00594253"/>
    <w:rsid w:val="00594546"/>
    <w:rsid w:val="005947FE"/>
    <w:rsid w:val="00594912"/>
    <w:rsid w:val="00594C73"/>
    <w:rsid w:val="00596CF3"/>
    <w:rsid w:val="00597523"/>
    <w:rsid w:val="0059786B"/>
    <w:rsid w:val="005A090C"/>
    <w:rsid w:val="005A0C34"/>
    <w:rsid w:val="005A0D1C"/>
    <w:rsid w:val="005A0ED2"/>
    <w:rsid w:val="005A26ED"/>
    <w:rsid w:val="005A416F"/>
    <w:rsid w:val="005A4536"/>
    <w:rsid w:val="005A5195"/>
    <w:rsid w:val="005A6824"/>
    <w:rsid w:val="005A68C5"/>
    <w:rsid w:val="005A7CAD"/>
    <w:rsid w:val="005B37BA"/>
    <w:rsid w:val="005B37CA"/>
    <w:rsid w:val="005B48FF"/>
    <w:rsid w:val="005B4E64"/>
    <w:rsid w:val="005B5195"/>
    <w:rsid w:val="005B63C9"/>
    <w:rsid w:val="005B6432"/>
    <w:rsid w:val="005B78CA"/>
    <w:rsid w:val="005C01D6"/>
    <w:rsid w:val="005C6204"/>
    <w:rsid w:val="005C6A9D"/>
    <w:rsid w:val="005C7162"/>
    <w:rsid w:val="005C7618"/>
    <w:rsid w:val="005C7764"/>
    <w:rsid w:val="005C7A40"/>
    <w:rsid w:val="005C7EAA"/>
    <w:rsid w:val="005D0DD6"/>
    <w:rsid w:val="005D1A3F"/>
    <w:rsid w:val="005D1CC9"/>
    <w:rsid w:val="005D1E4E"/>
    <w:rsid w:val="005D32F9"/>
    <w:rsid w:val="005D3316"/>
    <w:rsid w:val="005D38E2"/>
    <w:rsid w:val="005D3E7C"/>
    <w:rsid w:val="005D4040"/>
    <w:rsid w:val="005D4F44"/>
    <w:rsid w:val="005D6024"/>
    <w:rsid w:val="005D6E06"/>
    <w:rsid w:val="005D7A8C"/>
    <w:rsid w:val="005E05AD"/>
    <w:rsid w:val="005E07C6"/>
    <w:rsid w:val="005E07DC"/>
    <w:rsid w:val="005E088C"/>
    <w:rsid w:val="005E18AE"/>
    <w:rsid w:val="005E695E"/>
    <w:rsid w:val="005E7AAE"/>
    <w:rsid w:val="005F0260"/>
    <w:rsid w:val="005F0CC0"/>
    <w:rsid w:val="005F10FD"/>
    <w:rsid w:val="005F2A12"/>
    <w:rsid w:val="005F37E6"/>
    <w:rsid w:val="005F3FA6"/>
    <w:rsid w:val="005F654C"/>
    <w:rsid w:val="005F708B"/>
    <w:rsid w:val="005F70F1"/>
    <w:rsid w:val="005F751C"/>
    <w:rsid w:val="00600A67"/>
    <w:rsid w:val="006012A7"/>
    <w:rsid w:val="00601B74"/>
    <w:rsid w:val="00601BFD"/>
    <w:rsid w:val="00602248"/>
    <w:rsid w:val="0060402D"/>
    <w:rsid w:val="0060415B"/>
    <w:rsid w:val="00605753"/>
    <w:rsid w:val="00605A4F"/>
    <w:rsid w:val="0060612B"/>
    <w:rsid w:val="006079E0"/>
    <w:rsid w:val="00610183"/>
    <w:rsid w:val="00611BFD"/>
    <w:rsid w:val="00611E4B"/>
    <w:rsid w:val="00612240"/>
    <w:rsid w:val="0061321E"/>
    <w:rsid w:val="00613994"/>
    <w:rsid w:val="00613BCB"/>
    <w:rsid w:val="00613DBD"/>
    <w:rsid w:val="006141A1"/>
    <w:rsid w:val="006141C1"/>
    <w:rsid w:val="00615424"/>
    <w:rsid w:val="00615782"/>
    <w:rsid w:val="006158D5"/>
    <w:rsid w:val="006161CB"/>
    <w:rsid w:val="006162EC"/>
    <w:rsid w:val="00616F27"/>
    <w:rsid w:val="006177A4"/>
    <w:rsid w:val="00620435"/>
    <w:rsid w:val="0062104D"/>
    <w:rsid w:val="00622ECD"/>
    <w:rsid w:val="0062304D"/>
    <w:rsid w:val="00623413"/>
    <w:rsid w:val="00623D9B"/>
    <w:rsid w:val="00623F96"/>
    <w:rsid w:val="00625574"/>
    <w:rsid w:val="006256F1"/>
    <w:rsid w:val="00625792"/>
    <w:rsid w:val="00625D83"/>
    <w:rsid w:val="00627E70"/>
    <w:rsid w:val="0063083A"/>
    <w:rsid w:val="006315F4"/>
    <w:rsid w:val="00632063"/>
    <w:rsid w:val="006326E4"/>
    <w:rsid w:val="00633DE3"/>
    <w:rsid w:val="00633F0C"/>
    <w:rsid w:val="006340EC"/>
    <w:rsid w:val="00634863"/>
    <w:rsid w:val="006351EE"/>
    <w:rsid w:val="00636141"/>
    <w:rsid w:val="006361A7"/>
    <w:rsid w:val="00636409"/>
    <w:rsid w:val="00636BD0"/>
    <w:rsid w:val="0063730E"/>
    <w:rsid w:val="00637A61"/>
    <w:rsid w:val="00641158"/>
    <w:rsid w:val="0064286B"/>
    <w:rsid w:val="006430BD"/>
    <w:rsid w:val="00643284"/>
    <w:rsid w:val="00643292"/>
    <w:rsid w:val="00643B71"/>
    <w:rsid w:val="006451CD"/>
    <w:rsid w:val="00645D3D"/>
    <w:rsid w:val="006467FB"/>
    <w:rsid w:val="00646953"/>
    <w:rsid w:val="006470AB"/>
    <w:rsid w:val="0065086F"/>
    <w:rsid w:val="00651147"/>
    <w:rsid w:val="006512AF"/>
    <w:rsid w:val="00653E46"/>
    <w:rsid w:val="006544A2"/>
    <w:rsid w:val="00654592"/>
    <w:rsid w:val="00655C87"/>
    <w:rsid w:val="006563A2"/>
    <w:rsid w:val="00656467"/>
    <w:rsid w:val="00656F01"/>
    <w:rsid w:val="0065758C"/>
    <w:rsid w:val="00657746"/>
    <w:rsid w:val="00657E6F"/>
    <w:rsid w:val="006604D9"/>
    <w:rsid w:val="006623E7"/>
    <w:rsid w:val="006628B6"/>
    <w:rsid w:val="00662B09"/>
    <w:rsid w:val="00662B80"/>
    <w:rsid w:val="006631C2"/>
    <w:rsid w:val="00663589"/>
    <w:rsid w:val="00663BE9"/>
    <w:rsid w:val="00665BD3"/>
    <w:rsid w:val="00666F22"/>
    <w:rsid w:val="0067023E"/>
    <w:rsid w:val="006729FB"/>
    <w:rsid w:val="006733AC"/>
    <w:rsid w:val="006733E2"/>
    <w:rsid w:val="006748A6"/>
    <w:rsid w:val="00674E23"/>
    <w:rsid w:val="006765A4"/>
    <w:rsid w:val="00677579"/>
    <w:rsid w:val="0067783F"/>
    <w:rsid w:val="00680055"/>
    <w:rsid w:val="0068023A"/>
    <w:rsid w:val="006802A3"/>
    <w:rsid w:val="00682720"/>
    <w:rsid w:val="0068281F"/>
    <w:rsid w:val="006833F6"/>
    <w:rsid w:val="006835CB"/>
    <w:rsid w:val="0068383E"/>
    <w:rsid w:val="00684148"/>
    <w:rsid w:val="006852C7"/>
    <w:rsid w:val="00686125"/>
    <w:rsid w:val="0068653F"/>
    <w:rsid w:val="00687328"/>
    <w:rsid w:val="00690A48"/>
    <w:rsid w:val="00690EFF"/>
    <w:rsid w:val="00690FD3"/>
    <w:rsid w:val="006927C7"/>
    <w:rsid w:val="006929C8"/>
    <w:rsid w:val="00692DBF"/>
    <w:rsid w:val="00693905"/>
    <w:rsid w:val="00693D8B"/>
    <w:rsid w:val="00694423"/>
    <w:rsid w:val="00694698"/>
    <w:rsid w:val="00695635"/>
    <w:rsid w:val="0069567F"/>
    <w:rsid w:val="00695D60"/>
    <w:rsid w:val="00696B12"/>
    <w:rsid w:val="006973F8"/>
    <w:rsid w:val="00697449"/>
    <w:rsid w:val="006A06DD"/>
    <w:rsid w:val="006A0F42"/>
    <w:rsid w:val="006A107F"/>
    <w:rsid w:val="006A10F1"/>
    <w:rsid w:val="006A3399"/>
    <w:rsid w:val="006A375D"/>
    <w:rsid w:val="006A3BA1"/>
    <w:rsid w:val="006A3FC8"/>
    <w:rsid w:val="006A4088"/>
    <w:rsid w:val="006A49EA"/>
    <w:rsid w:val="006A5465"/>
    <w:rsid w:val="006A5AD4"/>
    <w:rsid w:val="006A68E7"/>
    <w:rsid w:val="006A6EEA"/>
    <w:rsid w:val="006A7948"/>
    <w:rsid w:val="006A7964"/>
    <w:rsid w:val="006B0BA9"/>
    <w:rsid w:val="006B0D54"/>
    <w:rsid w:val="006B2345"/>
    <w:rsid w:val="006B4035"/>
    <w:rsid w:val="006B45E9"/>
    <w:rsid w:val="006B64C4"/>
    <w:rsid w:val="006B6875"/>
    <w:rsid w:val="006B6E8B"/>
    <w:rsid w:val="006B7334"/>
    <w:rsid w:val="006B78EE"/>
    <w:rsid w:val="006B7C49"/>
    <w:rsid w:val="006B7FAB"/>
    <w:rsid w:val="006C0723"/>
    <w:rsid w:val="006C1727"/>
    <w:rsid w:val="006C32FD"/>
    <w:rsid w:val="006C3ABA"/>
    <w:rsid w:val="006C3BAB"/>
    <w:rsid w:val="006C3D29"/>
    <w:rsid w:val="006C3FA3"/>
    <w:rsid w:val="006C4DBC"/>
    <w:rsid w:val="006C546F"/>
    <w:rsid w:val="006C6474"/>
    <w:rsid w:val="006D04F2"/>
    <w:rsid w:val="006D0673"/>
    <w:rsid w:val="006D08D9"/>
    <w:rsid w:val="006D0FCC"/>
    <w:rsid w:val="006D27C8"/>
    <w:rsid w:val="006D3DCB"/>
    <w:rsid w:val="006D49DB"/>
    <w:rsid w:val="006D5B2A"/>
    <w:rsid w:val="006D649B"/>
    <w:rsid w:val="006D6E9F"/>
    <w:rsid w:val="006D7074"/>
    <w:rsid w:val="006E0692"/>
    <w:rsid w:val="006E07FA"/>
    <w:rsid w:val="006E08AA"/>
    <w:rsid w:val="006E0D57"/>
    <w:rsid w:val="006E4E73"/>
    <w:rsid w:val="006E5EFD"/>
    <w:rsid w:val="006E6A9D"/>
    <w:rsid w:val="006E7670"/>
    <w:rsid w:val="006F1FF9"/>
    <w:rsid w:val="006F275E"/>
    <w:rsid w:val="006F39B4"/>
    <w:rsid w:val="006F49BF"/>
    <w:rsid w:val="006F5FFC"/>
    <w:rsid w:val="006F6061"/>
    <w:rsid w:val="006F649A"/>
    <w:rsid w:val="006F6B57"/>
    <w:rsid w:val="006F7AEC"/>
    <w:rsid w:val="006F7E21"/>
    <w:rsid w:val="007012BF"/>
    <w:rsid w:val="00703EC8"/>
    <w:rsid w:val="007048E2"/>
    <w:rsid w:val="0070616B"/>
    <w:rsid w:val="00706914"/>
    <w:rsid w:val="00706FDA"/>
    <w:rsid w:val="00711AC9"/>
    <w:rsid w:val="00711F9A"/>
    <w:rsid w:val="00712354"/>
    <w:rsid w:val="00712658"/>
    <w:rsid w:val="007128D7"/>
    <w:rsid w:val="00712B8E"/>
    <w:rsid w:val="00712E65"/>
    <w:rsid w:val="007131C4"/>
    <w:rsid w:val="007133ED"/>
    <w:rsid w:val="00713743"/>
    <w:rsid w:val="00713810"/>
    <w:rsid w:val="00714435"/>
    <w:rsid w:val="007144D6"/>
    <w:rsid w:val="00715B26"/>
    <w:rsid w:val="00715EC1"/>
    <w:rsid w:val="007162E5"/>
    <w:rsid w:val="00716A17"/>
    <w:rsid w:val="00717860"/>
    <w:rsid w:val="00720EE7"/>
    <w:rsid w:val="007218E6"/>
    <w:rsid w:val="007223AD"/>
    <w:rsid w:val="007224ED"/>
    <w:rsid w:val="007229B9"/>
    <w:rsid w:val="007232E9"/>
    <w:rsid w:val="0072342F"/>
    <w:rsid w:val="00723B09"/>
    <w:rsid w:val="00723E4A"/>
    <w:rsid w:val="007245D5"/>
    <w:rsid w:val="007252A0"/>
    <w:rsid w:val="00727992"/>
    <w:rsid w:val="007303A5"/>
    <w:rsid w:val="00730B3E"/>
    <w:rsid w:val="0073341A"/>
    <w:rsid w:val="00733EE0"/>
    <w:rsid w:val="0073420B"/>
    <w:rsid w:val="00734356"/>
    <w:rsid w:val="00735677"/>
    <w:rsid w:val="007357BE"/>
    <w:rsid w:val="00736840"/>
    <w:rsid w:val="00737257"/>
    <w:rsid w:val="00737951"/>
    <w:rsid w:val="00737C8B"/>
    <w:rsid w:val="00741B70"/>
    <w:rsid w:val="007423BC"/>
    <w:rsid w:val="00742E68"/>
    <w:rsid w:val="0074402F"/>
    <w:rsid w:val="007449EA"/>
    <w:rsid w:val="007455AF"/>
    <w:rsid w:val="007460E8"/>
    <w:rsid w:val="00746407"/>
    <w:rsid w:val="0074760E"/>
    <w:rsid w:val="00747AE5"/>
    <w:rsid w:val="0075112F"/>
    <w:rsid w:val="00752005"/>
    <w:rsid w:val="007525EE"/>
    <w:rsid w:val="00753B95"/>
    <w:rsid w:val="00754ABA"/>
    <w:rsid w:val="00754AD1"/>
    <w:rsid w:val="00756BDB"/>
    <w:rsid w:val="00757829"/>
    <w:rsid w:val="007608B7"/>
    <w:rsid w:val="00760F9F"/>
    <w:rsid w:val="0076101C"/>
    <w:rsid w:val="00761512"/>
    <w:rsid w:val="00761C77"/>
    <w:rsid w:val="007627C0"/>
    <w:rsid w:val="00762D03"/>
    <w:rsid w:val="00763CD6"/>
    <w:rsid w:val="00763F34"/>
    <w:rsid w:val="00764185"/>
    <w:rsid w:val="0076443C"/>
    <w:rsid w:val="007648EA"/>
    <w:rsid w:val="00766575"/>
    <w:rsid w:val="00766F51"/>
    <w:rsid w:val="007672B8"/>
    <w:rsid w:val="007677D1"/>
    <w:rsid w:val="00770034"/>
    <w:rsid w:val="00770B71"/>
    <w:rsid w:val="00770E86"/>
    <w:rsid w:val="0077127C"/>
    <w:rsid w:val="007712B4"/>
    <w:rsid w:val="007715DA"/>
    <w:rsid w:val="00771909"/>
    <w:rsid w:val="00771CA4"/>
    <w:rsid w:val="00772373"/>
    <w:rsid w:val="00772C82"/>
    <w:rsid w:val="007734A1"/>
    <w:rsid w:val="00773A34"/>
    <w:rsid w:val="00773AEB"/>
    <w:rsid w:val="00774611"/>
    <w:rsid w:val="0077464E"/>
    <w:rsid w:val="00774CBA"/>
    <w:rsid w:val="00777373"/>
    <w:rsid w:val="00777817"/>
    <w:rsid w:val="00777C2A"/>
    <w:rsid w:val="007804EF"/>
    <w:rsid w:val="007813E6"/>
    <w:rsid w:val="00782A29"/>
    <w:rsid w:val="00782EC9"/>
    <w:rsid w:val="00783148"/>
    <w:rsid w:val="007836A1"/>
    <w:rsid w:val="0078482D"/>
    <w:rsid w:val="007861A3"/>
    <w:rsid w:val="007905B5"/>
    <w:rsid w:val="007913AC"/>
    <w:rsid w:val="00792132"/>
    <w:rsid w:val="007923A6"/>
    <w:rsid w:val="007924AD"/>
    <w:rsid w:val="00792836"/>
    <w:rsid w:val="007931BE"/>
    <w:rsid w:val="0079347C"/>
    <w:rsid w:val="007940E7"/>
    <w:rsid w:val="007950AF"/>
    <w:rsid w:val="00795A44"/>
    <w:rsid w:val="00795BF7"/>
    <w:rsid w:val="00795DB6"/>
    <w:rsid w:val="00797253"/>
    <w:rsid w:val="00797A70"/>
    <w:rsid w:val="007A06D7"/>
    <w:rsid w:val="007A1169"/>
    <w:rsid w:val="007A143E"/>
    <w:rsid w:val="007A1546"/>
    <w:rsid w:val="007A1FD7"/>
    <w:rsid w:val="007A228C"/>
    <w:rsid w:val="007A2ABC"/>
    <w:rsid w:val="007A368E"/>
    <w:rsid w:val="007A419A"/>
    <w:rsid w:val="007A4871"/>
    <w:rsid w:val="007A4AD2"/>
    <w:rsid w:val="007A5868"/>
    <w:rsid w:val="007A59AD"/>
    <w:rsid w:val="007A5E3A"/>
    <w:rsid w:val="007A605C"/>
    <w:rsid w:val="007A60F4"/>
    <w:rsid w:val="007B04CE"/>
    <w:rsid w:val="007B061D"/>
    <w:rsid w:val="007B17FA"/>
    <w:rsid w:val="007B1CF3"/>
    <w:rsid w:val="007B3D87"/>
    <w:rsid w:val="007B41B0"/>
    <w:rsid w:val="007B4326"/>
    <w:rsid w:val="007B4631"/>
    <w:rsid w:val="007B4782"/>
    <w:rsid w:val="007B491B"/>
    <w:rsid w:val="007B598C"/>
    <w:rsid w:val="007B5A1D"/>
    <w:rsid w:val="007B6871"/>
    <w:rsid w:val="007C00B5"/>
    <w:rsid w:val="007C0375"/>
    <w:rsid w:val="007C0965"/>
    <w:rsid w:val="007C0A38"/>
    <w:rsid w:val="007C0E3F"/>
    <w:rsid w:val="007C1C13"/>
    <w:rsid w:val="007C2296"/>
    <w:rsid w:val="007C2C37"/>
    <w:rsid w:val="007C3347"/>
    <w:rsid w:val="007C3465"/>
    <w:rsid w:val="007C3B4B"/>
    <w:rsid w:val="007C3D33"/>
    <w:rsid w:val="007C4332"/>
    <w:rsid w:val="007C46FA"/>
    <w:rsid w:val="007C66CD"/>
    <w:rsid w:val="007C728B"/>
    <w:rsid w:val="007D0777"/>
    <w:rsid w:val="007D20B1"/>
    <w:rsid w:val="007D24BB"/>
    <w:rsid w:val="007D294A"/>
    <w:rsid w:val="007D3164"/>
    <w:rsid w:val="007D353D"/>
    <w:rsid w:val="007D45C3"/>
    <w:rsid w:val="007D47D2"/>
    <w:rsid w:val="007D53DC"/>
    <w:rsid w:val="007D5BCE"/>
    <w:rsid w:val="007D67F0"/>
    <w:rsid w:val="007D6EC0"/>
    <w:rsid w:val="007D73D4"/>
    <w:rsid w:val="007D7950"/>
    <w:rsid w:val="007D7E1D"/>
    <w:rsid w:val="007E182F"/>
    <w:rsid w:val="007E1A8F"/>
    <w:rsid w:val="007E1AB7"/>
    <w:rsid w:val="007E1EF3"/>
    <w:rsid w:val="007E22C8"/>
    <w:rsid w:val="007E361C"/>
    <w:rsid w:val="007E4AD1"/>
    <w:rsid w:val="007E4AF2"/>
    <w:rsid w:val="007E4F8B"/>
    <w:rsid w:val="007E56D1"/>
    <w:rsid w:val="007E611A"/>
    <w:rsid w:val="007E6FF4"/>
    <w:rsid w:val="007E7230"/>
    <w:rsid w:val="007F0DB8"/>
    <w:rsid w:val="007F10E9"/>
    <w:rsid w:val="007F15A5"/>
    <w:rsid w:val="007F1F76"/>
    <w:rsid w:val="007F2069"/>
    <w:rsid w:val="007F4688"/>
    <w:rsid w:val="007F616E"/>
    <w:rsid w:val="007F6A84"/>
    <w:rsid w:val="007F6B40"/>
    <w:rsid w:val="0080030F"/>
    <w:rsid w:val="0080040F"/>
    <w:rsid w:val="00800FC2"/>
    <w:rsid w:val="008017CB"/>
    <w:rsid w:val="008017FC"/>
    <w:rsid w:val="00801AC1"/>
    <w:rsid w:val="00801F16"/>
    <w:rsid w:val="00802435"/>
    <w:rsid w:val="00802CD9"/>
    <w:rsid w:val="00803FD3"/>
    <w:rsid w:val="00804A4A"/>
    <w:rsid w:val="00804CB0"/>
    <w:rsid w:val="00804FBB"/>
    <w:rsid w:val="0080545A"/>
    <w:rsid w:val="008063BA"/>
    <w:rsid w:val="008067D5"/>
    <w:rsid w:val="008069DD"/>
    <w:rsid w:val="00807BA3"/>
    <w:rsid w:val="00807C59"/>
    <w:rsid w:val="00807DBE"/>
    <w:rsid w:val="0081049B"/>
    <w:rsid w:val="00810C13"/>
    <w:rsid w:val="00810FA7"/>
    <w:rsid w:val="00810FAD"/>
    <w:rsid w:val="0081133E"/>
    <w:rsid w:val="0081192A"/>
    <w:rsid w:val="00812159"/>
    <w:rsid w:val="008122D2"/>
    <w:rsid w:val="00813B1D"/>
    <w:rsid w:val="00814256"/>
    <w:rsid w:val="00814A9E"/>
    <w:rsid w:val="00814E8C"/>
    <w:rsid w:val="008158ED"/>
    <w:rsid w:val="008159F0"/>
    <w:rsid w:val="00815E23"/>
    <w:rsid w:val="008164CF"/>
    <w:rsid w:val="00816F10"/>
    <w:rsid w:val="0082055B"/>
    <w:rsid w:val="0082176F"/>
    <w:rsid w:val="00821A62"/>
    <w:rsid w:val="00821DFA"/>
    <w:rsid w:val="0082375A"/>
    <w:rsid w:val="00824BAB"/>
    <w:rsid w:val="0082554A"/>
    <w:rsid w:val="008260B5"/>
    <w:rsid w:val="008263DA"/>
    <w:rsid w:val="00827BCD"/>
    <w:rsid w:val="00827EE8"/>
    <w:rsid w:val="0083111B"/>
    <w:rsid w:val="0083273A"/>
    <w:rsid w:val="00833516"/>
    <w:rsid w:val="008356D5"/>
    <w:rsid w:val="008406BF"/>
    <w:rsid w:val="00841898"/>
    <w:rsid w:val="00842076"/>
    <w:rsid w:val="0084223A"/>
    <w:rsid w:val="00842241"/>
    <w:rsid w:val="00842A7F"/>
    <w:rsid w:val="00842D5C"/>
    <w:rsid w:val="00843664"/>
    <w:rsid w:val="00843A13"/>
    <w:rsid w:val="00844A94"/>
    <w:rsid w:val="00845046"/>
    <w:rsid w:val="00846DD2"/>
    <w:rsid w:val="00847224"/>
    <w:rsid w:val="008510D4"/>
    <w:rsid w:val="00851B53"/>
    <w:rsid w:val="00851C41"/>
    <w:rsid w:val="00852D2F"/>
    <w:rsid w:val="00853870"/>
    <w:rsid w:val="00853ADB"/>
    <w:rsid w:val="00853BF7"/>
    <w:rsid w:val="00854BBA"/>
    <w:rsid w:val="0085542D"/>
    <w:rsid w:val="00856754"/>
    <w:rsid w:val="00856E74"/>
    <w:rsid w:val="00857F38"/>
    <w:rsid w:val="00860D99"/>
    <w:rsid w:val="00861387"/>
    <w:rsid w:val="00861797"/>
    <w:rsid w:val="008617DC"/>
    <w:rsid w:val="00863230"/>
    <w:rsid w:val="00863953"/>
    <w:rsid w:val="00863AFA"/>
    <w:rsid w:val="00864643"/>
    <w:rsid w:val="00864C96"/>
    <w:rsid w:val="00865646"/>
    <w:rsid w:val="008659C4"/>
    <w:rsid w:val="008665CF"/>
    <w:rsid w:val="00866A7F"/>
    <w:rsid w:val="00866AA2"/>
    <w:rsid w:val="00870B96"/>
    <w:rsid w:val="00870D88"/>
    <w:rsid w:val="00871190"/>
    <w:rsid w:val="008717D8"/>
    <w:rsid w:val="00871BE2"/>
    <w:rsid w:val="0087215C"/>
    <w:rsid w:val="0087309A"/>
    <w:rsid w:val="008734CF"/>
    <w:rsid w:val="008741FB"/>
    <w:rsid w:val="00875311"/>
    <w:rsid w:val="00875C20"/>
    <w:rsid w:val="008806B1"/>
    <w:rsid w:val="00882284"/>
    <w:rsid w:val="008828CF"/>
    <w:rsid w:val="00883026"/>
    <w:rsid w:val="008830C0"/>
    <w:rsid w:val="00883223"/>
    <w:rsid w:val="00885F28"/>
    <w:rsid w:val="008875FE"/>
    <w:rsid w:val="008876F7"/>
    <w:rsid w:val="00887F8E"/>
    <w:rsid w:val="00890195"/>
    <w:rsid w:val="00890E49"/>
    <w:rsid w:val="0089111C"/>
    <w:rsid w:val="008914F8"/>
    <w:rsid w:val="00891638"/>
    <w:rsid w:val="00891DB9"/>
    <w:rsid w:val="00891FB7"/>
    <w:rsid w:val="00892FB5"/>
    <w:rsid w:val="008955DB"/>
    <w:rsid w:val="00895BE6"/>
    <w:rsid w:val="00896234"/>
    <w:rsid w:val="00897E43"/>
    <w:rsid w:val="008A0077"/>
    <w:rsid w:val="008A08EB"/>
    <w:rsid w:val="008A09B9"/>
    <w:rsid w:val="008A0B0E"/>
    <w:rsid w:val="008A113C"/>
    <w:rsid w:val="008A2499"/>
    <w:rsid w:val="008A3473"/>
    <w:rsid w:val="008A3912"/>
    <w:rsid w:val="008A3E9F"/>
    <w:rsid w:val="008A4FF2"/>
    <w:rsid w:val="008A590F"/>
    <w:rsid w:val="008A77A4"/>
    <w:rsid w:val="008B0AE4"/>
    <w:rsid w:val="008B0DAF"/>
    <w:rsid w:val="008B15F2"/>
    <w:rsid w:val="008B20B8"/>
    <w:rsid w:val="008B2571"/>
    <w:rsid w:val="008B2ED4"/>
    <w:rsid w:val="008B421B"/>
    <w:rsid w:val="008B580E"/>
    <w:rsid w:val="008B5CF7"/>
    <w:rsid w:val="008B61CD"/>
    <w:rsid w:val="008B63CB"/>
    <w:rsid w:val="008B651A"/>
    <w:rsid w:val="008B7601"/>
    <w:rsid w:val="008C0F63"/>
    <w:rsid w:val="008C1AE9"/>
    <w:rsid w:val="008C23D7"/>
    <w:rsid w:val="008C2559"/>
    <w:rsid w:val="008C3005"/>
    <w:rsid w:val="008C32EA"/>
    <w:rsid w:val="008C4731"/>
    <w:rsid w:val="008C5738"/>
    <w:rsid w:val="008C6E88"/>
    <w:rsid w:val="008C7283"/>
    <w:rsid w:val="008C736A"/>
    <w:rsid w:val="008C7EAD"/>
    <w:rsid w:val="008D0882"/>
    <w:rsid w:val="008D0F92"/>
    <w:rsid w:val="008D10B2"/>
    <w:rsid w:val="008D14EC"/>
    <w:rsid w:val="008D2194"/>
    <w:rsid w:val="008D21A5"/>
    <w:rsid w:val="008D581D"/>
    <w:rsid w:val="008D6152"/>
    <w:rsid w:val="008D723A"/>
    <w:rsid w:val="008E1790"/>
    <w:rsid w:val="008E1825"/>
    <w:rsid w:val="008E1BD4"/>
    <w:rsid w:val="008E28E9"/>
    <w:rsid w:val="008E4A69"/>
    <w:rsid w:val="008E66BF"/>
    <w:rsid w:val="008E6B83"/>
    <w:rsid w:val="008E6C02"/>
    <w:rsid w:val="008E7AF6"/>
    <w:rsid w:val="008E7F05"/>
    <w:rsid w:val="008F04DC"/>
    <w:rsid w:val="008F0860"/>
    <w:rsid w:val="008F0F81"/>
    <w:rsid w:val="008F1D25"/>
    <w:rsid w:val="008F2203"/>
    <w:rsid w:val="008F35FC"/>
    <w:rsid w:val="008F68E0"/>
    <w:rsid w:val="008F6F12"/>
    <w:rsid w:val="008F7682"/>
    <w:rsid w:val="009001C8"/>
    <w:rsid w:val="00901BD5"/>
    <w:rsid w:val="00901D64"/>
    <w:rsid w:val="0090257C"/>
    <w:rsid w:val="009040F7"/>
    <w:rsid w:val="00904503"/>
    <w:rsid w:val="00904E7D"/>
    <w:rsid w:val="00904EB2"/>
    <w:rsid w:val="00905EAB"/>
    <w:rsid w:val="00905F51"/>
    <w:rsid w:val="009063E3"/>
    <w:rsid w:val="00906892"/>
    <w:rsid w:val="009072FB"/>
    <w:rsid w:val="009074EF"/>
    <w:rsid w:val="00910240"/>
    <w:rsid w:val="009120F7"/>
    <w:rsid w:val="00912481"/>
    <w:rsid w:val="00912697"/>
    <w:rsid w:val="00912AA5"/>
    <w:rsid w:val="009153F1"/>
    <w:rsid w:val="00915677"/>
    <w:rsid w:val="00916405"/>
    <w:rsid w:val="0091757C"/>
    <w:rsid w:val="009208CC"/>
    <w:rsid w:val="009208FC"/>
    <w:rsid w:val="00922A55"/>
    <w:rsid w:val="00922B66"/>
    <w:rsid w:val="00923136"/>
    <w:rsid w:val="00923540"/>
    <w:rsid w:val="00924129"/>
    <w:rsid w:val="009257A2"/>
    <w:rsid w:val="00926767"/>
    <w:rsid w:val="00927DDD"/>
    <w:rsid w:val="00930F08"/>
    <w:rsid w:val="00931D86"/>
    <w:rsid w:val="0093210E"/>
    <w:rsid w:val="009327B5"/>
    <w:rsid w:val="00934063"/>
    <w:rsid w:val="009361D5"/>
    <w:rsid w:val="00937842"/>
    <w:rsid w:val="00940E5F"/>
    <w:rsid w:val="00941053"/>
    <w:rsid w:val="00941F99"/>
    <w:rsid w:val="009421AA"/>
    <w:rsid w:val="0094245D"/>
    <w:rsid w:val="00942682"/>
    <w:rsid w:val="00943014"/>
    <w:rsid w:val="0094377F"/>
    <w:rsid w:val="00943F96"/>
    <w:rsid w:val="0094512F"/>
    <w:rsid w:val="00945B53"/>
    <w:rsid w:val="0094617A"/>
    <w:rsid w:val="00950BD2"/>
    <w:rsid w:val="00951B90"/>
    <w:rsid w:val="00951DED"/>
    <w:rsid w:val="00952A41"/>
    <w:rsid w:val="00953FAF"/>
    <w:rsid w:val="00954097"/>
    <w:rsid w:val="00954A47"/>
    <w:rsid w:val="00954ED8"/>
    <w:rsid w:val="009556E6"/>
    <w:rsid w:val="00955CA9"/>
    <w:rsid w:val="0095666F"/>
    <w:rsid w:val="009574A2"/>
    <w:rsid w:val="009574BF"/>
    <w:rsid w:val="00957AB6"/>
    <w:rsid w:val="00960299"/>
    <w:rsid w:val="0096107E"/>
    <w:rsid w:val="00961A13"/>
    <w:rsid w:val="00961B2B"/>
    <w:rsid w:val="00961B44"/>
    <w:rsid w:val="00961F25"/>
    <w:rsid w:val="00963668"/>
    <w:rsid w:val="0096388C"/>
    <w:rsid w:val="00963B85"/>
    <w:rsid w:val="00963F21"/>
    <w:rsid w:val="0096539E"/>
    <w:rsid w:val="009659F4"/>
    <w:rsid w:val="00965D14"/>
    <w:rsid w:val="00966FDE"/>
    <w:rsid w:val="00967514"/>
    <w:rsid w:val="0097063C"/>
    <w:rsid w:val="00970D60"/>
    <w:rsid w:val="009721FB"/>
    <w:rsid w:val="009734BF"/>
    <w:rsid w:val="0097360C"/>
    <w:rsid w:val="009743B0"/>
    <w:rsid w:val="009777D8"/>
    <w:rsid w:val="00977DA0"/>
    <w:rsid w:val="0098063E"/>
    <w:rsid w:val="00981D40"/>
    <w:rsid w:val="009820D4"/>
    <w:rsid w:val="009825AF"/>
    <w:rsid w:val="0098608C"/>
    <w:rsid w:val="00986B73"/>
    <w:rsid w:val="00986FC8"/>
    <w:rsid w:val="00987BF1"/>
    <w:rsid w:val="00991408"/>
    <w:rsid w:val="0099230E"/>
    <w:rsid w:val="009925CD"/>
    <w:rsid w:val="00992A37"/>
    <w:rsid w:val="009940DF"/>
    <w:rsid w:val="009942F1"/>
    <w:rsid w:val="009950C7"/>
    <w:rsid w:val="0099530D"/>
    <w:rsid w:val="00995C28"/>
    <w:rsid w:val="00997175"/>
    <w:rsid w:val="009A0111"/>
    <w:rsid w:val="009A0667"/>
    <w:rsid w:val="009A4061"/>
    <w:rsid w:val="009A4854"/>
    <w:rsid w:val="009A512E"/>
    <w:rsid w:val="009A51C3"/>
    <w:rsid w:val="009A7AA9"/>
    <w:rsid w:val="009A7ADC"/>
    <w:rsid w:val="009B0E33"/>
    <w:rsid w:val="009B1948"/>
    <w:rsid w:val="009B1CB9"/>
    <w:rsid w:val="009B2CBC"/>
    <w:rsid w:val="009B4628"/>
    <w:rsid w:val="009B4B44"/>
    <w:rsid w:val="009B5245"/>
    <w:rsid w:val="009B622D"/>
    <w:rsid w:val="009B75B3"/>
    <w:rsid w:val="009C002E"/>
    <w:rsid w:val="009C0038"/>
    <w:rsid w:val="009C004B"/>
    <w:rsid w:val="009C0431"/>
    <w:rsid w:val="009C090F"/>
    <w:rsid w:val="009C0D95"/>
    <w:rsid w:val="009C10C7"/>
    <w:rsid w:val="009C19B7"/>
    <w:rsid w:val="009C1F2C"/>
    <w:rsid w:val="009C401F"/>
    <w:rsid w:val="009C4776"/>
    <w:rsid w:val="009C5A61"/>
    <w:rsid w:val="009D042B"/>
    <w:rsid w:val="009D06F2"/>
    <w:rsid w:val="009D081E"/>
    <w:rsid w:val="009D1856"/>
    <w:rsid w:val="009D1943"/>
    <w:rsid w:val="009D2215"/>
    <w:rsid w:val="009D2AE8"/>
    <w:rsid w:val="009D37DE"/>
    <w:rsid w:val="009D3935"/>
    <w:rsid w:val="009D4096"/>
    <w:rsid w:val="009D41A9"/>
    <w:rsid w:val="009D53F2"/>
    <w:rsid w:val="009D5D43"/>
    <w:rsid w:val="009D5F13"/>
    <w:rsid w:val="009D72BA"/>
    <w:rsid w:val="009D7C51"/>
    <w:rsid w:val="009E0364"/>
    <w:rsid w:val="009E09C7"/>
    <w:rsid w:val="009E0A14"/>
    <w:rsid w:val="009E102B"/>
    <w:rsid w:val="009E10D8"/>
    <w:rsid w:val="009E151B"/>
    <w:rsid w:val="009E154E"/>
    <w:rsid w:val="009E175D"/>
    <w:rsid w:val="009E2066"/>
    <w:rsid w:val="009E2EB0"/>
    <w:rsid w:val="009E5BC7"/>
    <w:rsid w:val="009E7E37"/>
    <w:rsid w:val="009F0CBA"/>
    <w:rsid w:val="009F0DDB"/>
    <w:rsid w:val="009F2C1D"/>
    <w:rsid w:val="009F36BF"/>
    <w:rsid w:val="009F3980"/>
    <w:rsid w:val="009F523B"/>
    <w:rsid w:val="009F5A5F"/>
    <w:rsid w:val="00A0101B"/>
    <w:rsid w:val="00A0206B"/>
    <w:rsid w:val="00A0289F"/>
    <w:rsid w:val="00A0320A"/>
    <w:rsid w:val="00A042AA"/>
    <w:rsid w:val="00A04CD9"/>
    <w:rsid w:val="00A05642"/>
    <w:rsid w:val="00A05734"/>
    <w:rsid w:val="00A0644C"/>
    <w:rsid w:val="00A0657A"/>
    <w:rsid w:val="00A070C2"/>
    <w:rsid w:val="00A10DD0"/>
    <w:rsid w:val="00A111B6"/>
    <w:rsid w:val="00A11D06"/>
    <w:rsid w:val="00A12F9F"/>
    <w:rsid w:val="00A135B2"/>
    <w:rsid w:val="00A14042"/>
    <w:rsid w:val="00A1423C"/>
    <w:rsid w:val="00A16044"/>
    <w:rsid w:val="00A172D9"/>
    <w:rsid w:val="00A17DA8"/>
    <w:rsid w:val="00A20147"/>
    <w:rsid w:val="00A20FDE"/>
    <w:rsid w:val="00A213AF"/>
    <w:rsid w:val="00A21DC5"/>
    <w:rsid w:val="00A21E46"/>
    <w:rsid w:val="00A22742"/>
    <w:rsid w:val="00A2311A"/>
    <w:rsid w:val="00A231C2"/>
    <w:rsid w:val="00A27F6F"/>
    <w:rsid w:val="00A315D9"/>
    <w:rsid w:val="00A32E2D"/>
    <w:rsid w:val="00A33B15"/>
    <w:rsid w:val="00A33B72"/>
    <w:rsid w:val="00A3618B"/>
    <w:rsid w:val="00A3760A"/>
    <w:rsid w:val="00A377B1"/>
    <w:rsid w:val="00A41A53"/>
    <w:rsid w:val="00A41FFC"/>
    <w:rsid w:val="00A429C3"/>
    <w:rsid w:val="00A42A99"/>
    <w:rsid w:val="00A44112"/>
    <w:rsid w:val="00A4489A"/>
    <w:rsid w:val="00A45B28"/>
    <w:rsid w:val="00A465CA"/>
    <w:rsid w:val="00A47530"/>
    <w:rsid w:val="00A4759A"/>
    <w:rsid w:val="00A47CFB"/>
    <w:rsid w:val="00A50BC7"/>
    <w:rsid w:val="00A5151A"/>
    <w:rsid w:val="00A5164C"/>
    <w:rsid w:val="00A53278"/>
    <w:rsid w:val="00A539FF"/>
    <w:rsid w:val="00A54755"/>
    <w:rsid w:val="00A5550E"/>
    <w:rsid w:val="00A56907"/>
    <w:rsid w:val="00A56EF6"/>
    <w:rsid w:val="00A57519"/>
    <w:rsid w:val="00A613CD"/>
    <w:rsid w:val="00A6214D"/>
    <w:rsid w:val="00A627DC"/>
    <w:rsid w:val="00A631D4"/>
    <w:rsid w:val="00A632AC"/>
    <w:rsid w:val="00A63DF7"/>
    <w:rsid w:val="00A64111"/>
    <w:rsid w:val="00A65037"/>
    <w:rsid w:val="00A65CB3"/>
    <w:rsid w:val="00A662A4"/>
    <w:rsid w:val="00A6632B"/>
    <w:rsid w:val="00A676B1"/>
    <w:rsid w:val="00A714A8"/>
    <w:rsid w:val="00A715D0"/>
    <w:rsid w:val="00A719BD"/>
    <w:rsid w:val="00A71A6C"/>
    <w:rsid w:val="00A71BB7"/>
    <w:rsid w:val="00A72D4F"/>
    <w:rsid w:val="00A732C3"/>
    <w:rsid w:val="00A738D8"/>
    <w:rsid w:val="00A73A67"/>
    <w:rsid w:val="00A740D7"/>
    <w:rsid w:val="00A7423C"/>
    <w:rsid w:val="00A745CC"/>
    <w:rsid w:val="00A7483F"/>
    <w:rsid w:val="00A7489A"/>
    <w:rsid w:val="00A74977"/>
    <w:rsid w:val="00A75062"/>
    <w:rsid w:val="00A7535B"/>
    <w:rsid w:val="00A763F7"/>
    <w:rsid w:val="00A80837"/>
    <w:rsid w:val="00A80CC4"/>
    <w:rsid w:val="00A80DF0"/>
    <w:rsid w:val="00A823F6"/>
    <w:rsid w:val="00A82B62"/>
    <w:rsid w:val="00A82F70"/>
    <w:rsid w:val="00A83C73"/>
    <w:rsid w:val="00A83F40"/>
    <w:rsid w:val="00A84A9B"/>
    <w:rsid w:val="00A84C3D"/>
    <w:rsid w:val="00A84C9E"/>
    <w:rsid w:val="00A852F9"/>
    <w:rsid w:val="00A85594"/>
    <w:rsid w:val="00A85BE2"/>
    <w:rsid w:val="00A86ABD"/>
    <w:rsid w:val="00A90192"/>
    <w:rsid w:val="00A90C30"/>
    <w:rsid w:val="00A9100C"/>
    <w:rsid w:val="00A91A3E"/>
    <w:rsid w:val="00A92292"/>
    <w:rsid w:val="00A924D8"/>
    <w:rsid w:val="00A92663"/>
    <w:rsid w:val="00A927E4"/>
    <w:rsid w:val="00A9296B"/>
    <w:rsid w:val="00A92D75"/>
    <w:rsid w:val="00A95D56"/>
    <w:rsid w:val="00A96026"/>
    <w:rsid w:val="00A966DC"/>
    <w:rsid w:val="00A96A83"/>
    <w:rsid w:val="00A96D7F"/>
    <w:rsid w:val="00A973B9"/>
    <w:rsid w:val="00A97F1F"/>
    <w:rsid w:val="00AA013C"/>
    <w:rsid w:val="00AA08EC"/>
    <w:rsid w:val="00AA0A89"/>
    <w:rsid w:val="00AA1B45"/>
    <w:rsid w:val="00AA1CE8"/>
    <w:rsid w:val="00AA22BB"/>
    <w:rsid w:val="00AA2BD3"/>
    <w:rsid w:val="00AA2EE1"/>
    <w:rsid w:val="00AA331C"/>
    <w:rsid w:val="00AA426B"/>
    <w:rsid w:val="00AA515C"/>
    <w:rsid w:val="00AA5E0C"/>
    <w:rsid w:val="00AA7836"/>
    <w:rsid w:val="00AA7F5B"/>
    <w:rsid w:val="00AB0E88"/>
    <w:rsid w:val="00AB1E75"/>
    <w:rsid w:val="00AB24D9"/>
    <w:rsid w:val="00AB3113"/>
    <w:rsid w:val="00AB4E6F"/>
    <w:rsid w:val="00AB4FEC"/>
    <w:rsid w:val="00AB5A2C"/>
    <w:rsid w:val="00AB5B1D"/>
    <w:rsid w:val="00AB622D"/>
    <w:rsid w:val="00AB6F58"/>
    <w:rsid w:val="00AB7364"/>
    <w:rsid w:val="00AB7B3C"/>
    <w:rsid w:val="00AC01AA"/>
    <w:rsid w:val="00AC0CE5"/>
    <w:rsid w:val="00AC1717"/>
    <w:rsid w:val="00AC1984"/>
    <w:rsid w:val="00AC1C7D"/>
    <w:rsid w:val="00AC2334"/>
    <w:rsid w:val="00AC3935"/>
    <w:rsid w:val="00AC3D0D"/>
    <w:rsid w:val="00AC3D73"/>
    <w:rsid w:val="00AC4B4B"/>
    <w:rsid w:val="00AC4F72"/>
    <w:rsid w:val="00AC5498"/>
    <w:rsid w:val="00AC7093"/>
    <w:rsid w:val="00AC73E8"/>
    <w:rsid w:val="00AC78B3"/>
    <w:rsid w:val="00AC7F53"/>
    <w:rsid w:val="00AD257E"/>
    <w:rsid w:val="00AD356D"/>
    <w:rsid w:val="00AD3D58"/>
    <w:rsid w:val="00AD3DFB"/>
    <w:rsid w:val="00AD448F"/>
    <w:rsid w:val="00AD4804"/>
    <w:rsid w:val="00AD50AA"/>
    <w:rsid w:val="00AD56BF"/>
    <w:rsid w:val="00AD5BE2"/>
    <w:rsid w:val="00AD63DA"/>
    <w:rsid w:val="00AD69D5"/>
    <w:rsid w:val="00AD6E42"/>
    <w:rsid w:val="00AD74D4"/>
    <w:rsid w:val="00AD774A"/>
    <w:rsid w:val="00AE1622"/>
    <w:rsid w:val="00AE2C46"/>
    <w:rsid w:val="00AE4DE2"/>
    <w:rsid w:val="00AE5358"/>
    <w:rsid w:val="00AE5FD3"/>
    <w:rsid w:val="00AE6321"/>
    <w:rsid w:val="00AE655C"/>
    <w:rsid w:val="00AE7274"/>
    <w:rsid w:val="00AE7368"/>
    <w:rsid w:val="00AE7EBE"/>
    <w:rsid w:val="00AF19A9"/>
    <w:rsid w:val="00AF1A46"/>
    <w:rsid w:val="00AF2138"/>
    <w:rsid w:val="00AF2867"/>
    <w:rsid w:val="00AF35EE"/>
    <w:rsid w:val="00AF433D"/>
    <w:rsid w:val="00AF4482"/>
    <w:rsid w:val="00AF464F"/>
    <w:rsid w:val="00AF5411"/>
    <w:rsid w:val="00AF54E9"/>
    <w:rsid w:val="00AF5905"/>
    <w:rsid w:val="00AF6124"/>
    <w:rsid w:val="00AF6A4B"/>
    <w:rsid w:val="00AF741A"/>
    <w:rsid w:val="00AF7E07"/>
    <w:rsid w:val="00B00731"/>
    <w:rsid w:val="00B02430"/>
    <w:rsid w:val="00B02C13"/>
    <w:rsid w:val="00B02EFE"/>
    <w:rsid w:val="00B03603"/>
    <w:rsid w:val="00B04161"/>
    <w:rsid w:val="00B042E2"/>
    <w:rsid w:val="00B0465E"/>
    <w:rsid w:val="00B04E40"/>
    <w:rsid w:val="00B056F9"/>
    <w:rsid w:val="00B05E49"/>
    <w:rsid w:val="00B062E6"/>
    <w:rsid w:val="00B07707"/>
    <w:rsid w:val="00B07A5D"/>
    <w:rsid w:val="00B104ED"/>
    <w:rsid w:val="00B10966"/>
    <w:rsid w:val="00B10BA2"/>
    <w:rsid w:val="00B10D09"/>
    <w:rsid w:val="00B11BAF"/>
    <w:rsid w:val="00B11E3D"/>
    <w:rsid w:val="00B121EA"/>
    <w:rsid w:val="00B12E6C"/>
    <w:rsid w:val="00B13355"/>
    <w:rsid w:val="00B13D67"/>
    <w:rsid w:val="00B1452D"/>
    <w:rsid w:val="00B1647A"/>
    <w:rsid w:val="00B16C63"/>
    <w:rsid w:val="00B17E82"/>
    <w:rsid w:val="00B20767"/>
    <w:rsid w:val="00B208E1"/>
    <w:rsid w:val="00B22741"/>
    <w:rsid w:val="00B2293B"/>
    <w:rsid w:val="00B24073"/>
    <w:rsid w:val="00B24BC6"/>
    <w:rsid w:val="00B256AD"/>
    <w:rsid w:val="00B3220F"/>
    <w:rsid w:val="00B32BE6"/>
    <w:rsid w:val="00B33F80"/>
    <w:rsid w:val="00B35F9B"/>
    <w:rsid w:val="00B36D86"/>
    <w:rsid w:val="00B40021"/>
    <w:rsid w:val="00B40AF7"/>
    <w:rsid w:val="00B4118F"/>
    <w:rsid w:val="00B42241"/>
    <w:rsid w:val="00B42EDF"/>
    <w:rsid w:val="00B43A6B"/>
    <w:rsid w:val="00B44225"/>
    <w:rsid w:val="00B454C4"/>
    <w:rsid w:val="00B454E1"/>
    <w:rsid w:val="00B45F9B"/>
    <w:rsid w:val="00B46B95"/>
    <w:rsid w:val="00B506A8"/>
    <w:rsid w:val="00B50897"/>
    <w:rsid w:val="00B51CA5"/>
    <w:rsid w:val="00B52015"/>
    <w:rsid w:val="00B521FD"/>
    <w:rsid w:val="00B522E9"/>
    <w:rsid w:val="00B52C8C"/>
    <w:rsid w:val="00B54D83"/>
    <w:rsid w:val="00B55263"/>
    <w:rsid w:val="00B56764"/>
    <w:rsid w:val="00B570E2"/>
    <w:rsid w:val="00B57123"/>
    <w:rsid w:val="00B575BA"/>
    <w:rsid w:val="00B57BAE"/>
    <w:rsid w:val="00B60153"/>
    <w:rsid w:val="00B60E49"/>
    <w:rsid w:val="00B617E4"/>
    <w:rsid w:val="00B619AE"/>
    <w:rsid w:val="00B63963"/>
    <w:rsid w:val="00B63F1F"/>
    <w:rsid w:val="00B6765A"/>
    <w:rsid w:val="00B67711"/>
    <w:rsid w:val="00B67A2B"/>
    <w:rsid w:val="00B7002F"/>
    <w:rsid w:val="00B70439"/>
    <w:rsid w:val="00B721E9"/>
    <w:rsid w:val="00B73282"/>
    <w:rsid w:val="00B743A3"/>
    <w:rsid w:val="00B7469A"/>
    <w:rsid w:val="00B7567B"/>
    <w:rsid w:val="00B758AB"/>
    <w:rsid w:val="00B76055"/>
    <w:rsid w:val="00B76429"/>
    <w:rsid w:val="00B76470"/>
    <w:rsid w:val="00B76572"/>
    <w:rsid w:val="00B76591"/>
    <w:rsid w:val="00B77686"/>
    <w:rsid w:val="00B77D50"/>
    <w:rsid w:val="00B8028C"/>
    <w:rsid w:val="00B810FC"/>
    <w:rsid w:val="00B8133F"/>
    <w:rsid w:val="00B8156D"/>
    <w:rsid w:val="00B81F87"/>
    <w:rsid w:val="00B8367C"/>
    <w:rsid w:val="00B83B33"/>
    <w:rsid w:val="00B84B11"/>
    <w:rsid w:val="00B84E8E"/>
    <w:rsid w:val="00B8570D"/>
    <w:rsid w:val="00B85C10"/>
    <w:rsid w:val="00B85ED4"/>
    <w:rsid w:val="00B86702"/>
    <w:rsid w:val="00B86F27"/>
    <w:rsid w:val="00B877DE"/>
    <w:rsid w:val="00B87B9A"/>
    <w:rsid w:val="00B87F83"/>
    <w:rsid w:val="00B87FD8"/>
    <w:rsid w:val="00B927DB"/>
    <w:rsid w:val="00B929BD"/>
    <w:rsid w:val="00B92A2C"/>
    <w:rsid w:val="00B937C1"/>
    <w:rsid w:val="00B93957"/>
    <w:rsid w:val="00B93B2F"/>
    <w:rsid w:val="00B93C45"/>
    <w:rsid w:val="00B93F8E"/>
    <w:rsid w:val="00B95036"/>
    <w:rsid w:val="00B9508A"/>
    <w:rsid w:val="00B956D4"/>
    <w:rsid w:val="00B957CF"/>
    <w:rsid w:val="00B95A59"/>
    <w:rsid w:val="00B95F86"/>
    <w:rsid w:val="00B9720A"/>
    <w:rsid w:val="00B972DE"/>
    <w:rsid w:val="00BA0A23"/>
    <w:rsid w:val="00BA0D38"/>
    <w:rsid w:val="00BA1362"/>
    <w:rsid w:val="00BA16A6"/>
    <w:rsid w:val="00BA20F7"/>
    <w:rsid w:val="00BA2E3C"/>
    <w:rsid w:val="00BA3F09"/>
    <w:rsid w:val="00BA4EF7"/>
    <w:rsid w:val="00BA5ED7"/>
    <w:rsid w:val="00BA7432"/>
    <w:rsid w:val="00BA7985"/>
    <w:rsid w:val="00BA7BEF"/>
    <w:rsid w:val="00BA7CEC"/>
    <w:rsid w:val="00BB077E"/>
    <w:rsid w:val="00BB27FA"/>
    <w:rsid w:val="00BB3083"/>
    <w:rsid w:val="00BB35C3"/>
    <w:rsid w:val="00BB463B"/>
    <w:rsid w:val="00BB4C54"/>
    <w:rsid w:val="00BB6C00"/>
    <w:rsid w:val="00BB7C1F"/>
    <w:rsid w:val="00BC0A28"/>
    <w:rsid w:val="00BC108D"/>
    <w:rsid w:val="00BC15C5"/>
    <w:rsid w:val="00BC1AA0"/>
    <w:rsid w:val="00BC1C17"/>
    <w:rsid w:val="00BC23E6"/>
    <w:rsid w:val="00BC3835"/>
    <w:rsid w:val="00BC3B5D"/>
    <w:rsid w:val="00BC4117"/>
    <w:rsid w:val="00BC5064"/>
    <w:rsid w:val="00BC6157"/>
    <w:rsid w:val="00BC6867"/>
    <w:rsid w:val="00BC754C"/>
    <w:rsid w:val="00BC7EB9"/>
    <w:rsid w:val="00BD09D1"/>
    <w:rsid w:val="00BD1801"/>
    <w:rsid w:val="00BD205B"/>
    <w:rsid w:val="00BD2144"/>
    <w:rsid w:val="00BD2643"/>
    <w:rsid w:val="00BD3E4B"/>
    <w:rsid w:val="00BD42C2"/>
    <w:rsid w:val="00BD444A"/>
    <w:rsid w:val="00BD4B3A"/>
    <w:rsid w:val="00BD4C89"/>
    <w:rsid w:val="00BD5851"/>
    <w:rsid w:val="00BD6464"/>
    <w:rsid w:val="00BD6558"/>
    <w:rsid w:val="00BD6D3F"/>
    <w:rsid w:val="00BD6DEE"/>
    <w:rsid w:val="00BD7C2B"/>
    <w:rsid w:val="00BE007D"/>
    <w:rsid w:val="00BE08BF"/>
    <w:rsid w:val="00BE26B0"/>
    <w:rsid w:val="00BE2A03"/>
    <w:rsid w:val="00BE2E28"/>
    <w:rsid w:val="00BE38DF"/>
    <w:rsid w:val="00BE39DC"/>
    <w:rsid w:val="00BE3C0E"/>
    <w:rsid w:val="00BE3D58"/>
    <w:rsid w:val="00BE6012"/>
    <w:rsid w:val="00BF0566"/>
    <w:rsid w:val="00BF0702"/>
    <w:rsid w:val="00BF0E4A"/>
    <w:rsid w:val="00BF2760"/>
    <w:rsid w:val="00BF2D15"/>
    <w:rsid w:val="00BF3214"/>
    <w:rsid w:val="00BF414B"/>
    <w:rsid w:val="00BF49D3"/>
    <w:rsid w:val="00BF4C5F"/>
    <w:rsid w:val="00BF516B"/>
    <w:rsid w:val="00BF589D"/>
    <w:rsid w:val="00BF7178"/>
    <w:rsid w:val="00BF71DE"/>
    <w:rsid w:val="00BF7C0B"/>
    <w:rsid w:val="00BF7E5F"/>
    <w:rsid w:val="00C0008D"/>
    <w:rsid w:val="00C00DB1"/>
    <w:rsid w:val="00C015D2"/>
    <w:rsid w:val="00C01899"/>
    <w:rsid w:val="00C01A07"/>
    <w:rsid w:val="00C01BA9"/>
    <w:rsid w:val="00C02055"/>
    <w:rsid w:val="00C02B31"/>
    <w:rsid w:val="00C02F42"/>
    <w:rsid w:val="00C0495B"/>
    <w:rsid w:val="00C05F17"/>
    <w:rsid w:val="00C0777D"/>
    <w:rsid w:val="00C078E2"/>
    <w:rsid w:val="00C10224"/>
    <w:rsid w:val="00C10AC7"/>
    <w:rsid w:val="00C1206C"/>
    <w:rsid w:val="00C14DD7"/>
    <w:rsid w:val="00C15867"/>
    <w:rsid w:val="00C159E8"/>
    <w:rsid w:val="00C16F4A"/>
    <w:rsid w:val="00C16FDF"/>
    <w:rsid w:val="00C17C1B"/>
    <w:rsid w:val="00C17CF7"/>
    <w:rsid w:val="00C20713"/>
    <w:rsid w:val="00C20A83"/>
    <w:rsid w:val="00C21413"/>
    <w:rsid w:val="00C21939"/>
    <w:rsid w:val="00C21AF2"/>
    <w:rsid w:val="00C22178"/>
    <w:rsid w:val="00C2222D"/>
    <w:rsid w:val="00C226CB"/>
    <w:rsid w:val="00C2296D"/>
    <w:rsid w:val="00C23155"/>
    <w:rsid w:val="00C23787"/>
    <w:rsid w:val="00C2435F"/>
    <w:rsid w:val="00C25601"/>
    <w:rsid w:val="00C25CA2"/>
    <w:rsid w:val="00C27891"/>
    <w:rsid w:val="00C27947"/>
    <w:rsid w:val="00C30D10"/>
    <w:rsid w:val="00C31000"/>
    <w:rsid w:val="00C320F3"/>
    <w:rsid w:val="00C32590"/>
    <w:rsid w:val="00C333A8"/>
    <w:rsid w:val="00C335B4"/>
    <w:rsid w:val="00C340F0"/>
    <w:rsid w:val="00C34472"/>
    <w:rsid w:val="00C3465A"/>
    <w:rsid w:val="00C34E2D"/>
    <w:rsid w:val="00C34EA1"/>
    <w:rsid w:val="00C35113"/>
    <w:rsid w:val="00C36B8F"/>
    <w:rsid w:val="00C40984"/>
    <w:rsid w:val="00C40C17"/>
    <w:rsid w:val="00C40C41"/>
    <w:rsid w:val="00C40CB2"/>
    <w:rsid w:val="00C43175"/>
    <w:rsid w:val="00C43400"/>
    <w:rsid w:val="00C43F41"/>
    <w:rsid w:val="00C45885"/>
    <w:rsid w:val="00C4641F"/>
    <w:rsid w:val="00C46A07"/>
    <w:rsid w:val="00C47314"/>
    <w:rsid w:val="00C50A9B"/>
    <w:rsid w:val="00C50F22"/>
    <w:rsid w:val="00C520C4"/>
    <w:rsid w:val="00C526E2"/>
    <w:rsid w:val="00C5315D"/>
    <w:rsid w:val="00C5374D"/>
    <w:rsid w:val="00C53A68"/>
    <w:rsid w:val="00C54879"/>
    <w:rsid w:val="00C54E27"/>
    <w:rsid w:val="00C56967"/>
    <w:rsid w:val="00C57582"/>
    <w:rsid w:val="00C57591"/>
    <w:rsid w:val="00C57971"/>
    <w:rsid w:val="00C61553"/>
    <w:rsid w:val="00C6223D"/>
    <w:rsid w:val="00C636B0"/>
    <w:rsid w:val="00C64BAE"/>
    <w:rsid w:val="00C65393"/>
    <w:rsid w:val="00C656AB"/>
    <w:rsid w:val="00C66DEF"/>
    <w:rsid w:val="00C67090"/>
    <w:rsid w:val="00C67A87"/>
    <w:rsid w:val="00C67F97"/>
    <w:rsid w:val="00C71095"/>
    <w:rsid w:val="00C712C0"/>
    <w:rsid w:val="00C716E6"/>
    <w:rsid w:val="00C71F96"/>
    <w:rsid w:val="00C72C56"/>
    <w:rsid w:val="00C730F9"/>
    <w:rsid w:val="00C7332A"/>
    <w:rsid w:val="00C736DE"/>
    <w:rsid w:val="00C73EFF"/>
    <w:rsid w:val="00C741BF"/>
    <w:rsid w:val="00C74726"/>
    <w:rsid w:val="00C747EA"/>
    <w:rsid w:val="00C75CCF"/>
    <w:rsid w:val="00C76102"/>
    <w:rsid w:val="00C76B3A"/>
    <w:rsid w:val="00C76BA4"/>
    <w:rsid w:val="00C76BE8"/>
    <w:rsid w:val="00C77A8F"/>
    <w:rsid w:val="00C80198"/>
    <w:rsid w:val="00C80DCF"/>
    <w:rsid w:val="00C815E4"/>
    <w:rsid w:val="00C81B3A"/>
    <w:rsid w:val="00C82F6E"/>
    <w:rsid w:val="00C83A48"/>
    <w:rsid w:val="00C854FA"/>
    <w:rsid w:val="00C85865"/>
    <w:rsid w:val="00C85E85"/>
    <w:rsid w:val="00C907F2"/>
    <w:rsid w:val="00C90C81"/>
    <w:rsid w:val="00C90D8F"/>
    <w:rsid w:val="00C91038"/>
    <w:rsid w:val="00C9172E"/>
    <w:rsid w:val="00C9269F"/>
    <w:rsid w:val="00C937B7"/>
    <w:rsid w:val="00C94C07"/>
    <w:rsid w:val="00C95652"/>
    <w:rsid w:val="00C95845"/>
    <w:rsid w:val="00C95AEC"/>
    <w:rsid w:val="00C96BF7"/>
    <w:rsid w:val="00C977D7"/>
    <w:rsid w:val="00CA0328"/>
    <w:rsid w:val="00CA0A02"/>
    <w:rsid w:val="00CA110A"/>
    <w:rsid w:val="00CA2130"/>
    <w:rsid w:val="00CA2EAE"/>
    <w:rsid w:val="00CA3360"/>
    <w:rsid w:val="00CA338D"/>
    <w:rsid w:val="00CA346B"/>
    <w:rsid w:val="00CA39D2"/>
    <w:rsid w:val="00CA4546"/>
    <w:rsid w:val="00CA4AC1"/>
    <w:rsid w:val="00CA4F95"/>
    <w:rsid w:val="00CA53C2"/>
    <w:rsid w:val="00CA6220"/>
    <w:rsid w:val="00CA7695"/>
    <w:rsid w:val="00CB0316"/>
    <w:rsid w:val="00CB0317"/>
    <w:rsid w:val="00CB0432"/>
    <w:rsid w:val="00CB0B11"/>
    <w:rsid w:val="00CB24BA"/>
    <w:rsid w:val="00CB3026"/>
    <w:rsid w:val="00CB3710"/>
    <w:rsid w:val="00CB479B"/>
    <w:rsid w:val="00CB5354"/>
    <w:rsid w:val="00CB59E6"/>
    <w:rsid w:val="00CB5D66"/>
    <w:rsid w:val="00CB6356"/>
    <w:rsid w:val="00CB6446"/>
    <w:rsid w:val="00CB6772"/>
    <w:rsid w:val="00CB79CB"/>
    <w:rsid w:val="00CC013B"/>
    <w:rsid w:val="00CC04D2"/>
    <w:rsid w:val="00CC14A1"/>
    <w:rsid w:val="00CC1C2A"/>
    <w:rsid w:val="00CC1C3B"/>
    <w:rsid w:val="00CC2596"/>
    <w:rsid w:val="00CC2876"/>
    <w:rsid w:val="00CC2AAC"/>
    <w:rsid w:val="00CC381D"/>
    <w:rsid w:val="00CC3A46"/>
    <w:rsid w:val="00CC4AE5"/>
    <w:rsid w:val="00CC5215"/>
    <w:rsid w:val="00CC6A14"/>
    <w:rsid w:val="00CC6E10"/>
    <w:rsid w:val="00CC70A3"/>
    <w:rsid w:val="00CC7A43"/>
    <w:rsid w:val="00CC7F83"/>
    <w:rsid w:val="00CD121E"/>
    <w:rsid w:val="00CD1575"/>
    <w:rsid w:val="00CD349C"/>
    <w:rsid w:val="00CD53C3"/>
    <w:rsid w:val="00CD55DA"/>
    <w:rsid w:val="00CD5730"/>
    <w:rsid w:val="00CD574E"/>
    <w:rsid w:val="00CD71A8"/>
    <w:rsid w:val="00CD7670"/>
    <w:rsid w:val="00CE049E"/>
    <w:rsid w:val="00CE1110"/>
    <w:rsid w:val="00CE3408"/>
    <w:rsid w:val="00CE4C22"/>
    <w:rsid w:val="00CE5892"/>
    <w:rsid w:val="00CE5A28"/>
    <w:rsid w:val="00CE5B52"/>
    <w:rsid w:val="00CE6093"/>
    <w:rsid w:val="00CE63CC"/>
    <w:rsid w:val="00CE72EC"/>
    <w:rsid w:val="00CE739B"/>
    <w:rsid w:val="00CE7405"/>
    <w:rsid w:val="00CE7783"/>
    <w:rsid w:val="00CF0B48"/>
    <w:rsid w:val="00CF0E09"/>
    <w:rsid w:val="00CF2214"/>
    <w:rsid w:val="00CF2563"/>
    <w:rsid w:val="00CF3F98"/>
    <w:rsid w:val="00CF408A"/>
    <w:rsid w:val="00CF41EC"/>
    <w:rsid w:val="00CF4593"/>
    <w:rsid w:val="00CF4B12"/>
    <w:rsid w:val="00CF5418"/>
    <w:rsid w:val="00CF5D04"/>
    <w:rsid w:val="00CF5DB8"/>
    <w:rsid w:val="00CF613E"/>
    <w:rsid w:val="00CF617B"/>
    <w:rsid w:val="00CF679D"/>
    <w:rsid w:val="00CF7BC5"/>
    <w:rsid w:val="00D003A4"/>
    <w:rsid w:val="00D02796"/>
    <w:rsid w:val="00D037F7"/>
    <w:rsid w:val="00D039B1"/>
    <w:rsid w:val="00D04BAA"/>
    <w:rsid w:val="00D04DE4"/>
    <w:rsid w:val="00D0508C"/>
    <w:rsid w:val="00D063F1"/>
    <w:rsid w:val="00D10E3D"/>
    <w:rsid w:val="00D110C1"/>
    <w:rsid w:val="00D111A6"/>
    <w:rsid w:val="00D111E2"/>
    <w:rsid w:val="00D127D1"/>
    <w:rsid w:val="00D13590"/>
    <w:rsid w:val="00D1399B"/>
    <w:rsid w:val="00D1445D"/>
    <w:rsid w:val="00D14A3F"/>
    <w:rsid w:val="00D14F22"/>
    <w:rsid w:val="00D15611"/>
    <w:rsid w:val="00D1597A"/>
    <w:rsid w:val="00D16FC1"/>
    <w:rsid w:val="00D17AA3"/>
    <w:rsid w:val="00D202EF"/>
    <w:rsid w:val="00D20770"/>
    <w:rsid w:val="00D210F1"/>
    <w:rsid w:val="00D2123A"/>
    <w:rsid w:val="00D219CA"/>
    <w:rsid w:val="00D21B9F"/>
    <w:rsid w:val="00D23404"/>
    <w:rsid w:val="00D2371D"/>
    <w:rsid w:val="00D24723"/>
    <w:rsid w:val="00D249C4"/>
    <w:rsid w:val="00D25B9F"/>
    <w:rsid w:val="00D26722"/>
    <w:rsid w:val="00D27136"/>
    <w:rsid w:val="00D300C8"/>
    <w:rsid w:val="00D30874"/>
    <w:rsid w:val="00D3124B"/>
    <w:rsid w:val="00D329E2"/>
    <w:rsid w:val="00D32AE8"/>
    <w:rsid w:val="00D3394C"/>
    <w:rsid w:val="00D348AD"/>
    <w:rsid w:val="00D34F73"/>
    <w:rsid w:val="00D35493"/>
    <w:rsid w:val="00D37685"/>
    <w:rsid w:val="00D37B61"/>
    <w:rsid w:val="00D37ECF"/>
    <w:rsid w:val="00D4085D"/>
    <w:rsid w:val="00D42237"/>
    <w:rsid w:val="00D43191"/>
    <w:rsid w:val="00D444B9"/>
    <w:rsid w:val="00D4519B"/>
    <w:rsid w:val="00D46815"/>
    <w:rsid w:val="00D46DB7"/>
    <w:rsid w:val="00D4718A"/>
    <w:rsid w:val="00D47876"/>
    <w:rsid w:val="00D47E64"/>
    <w:rsid w:val="00D47F30"/>
    <w:rsid w:val="00D50B7B"/>
    <w:rsid w:val="00D50D20"/>
    <w:rsid w:val="00D522BD"/>
    <w:rsid w:val="00D52574"/>
    <w:rsid w:val="00D52EE3"/>
    <w:rsid w:val="00D53B7D"/>
    <w:rsid w:val="00D54212"/>
    <w:rsid w:val="00D55347"/>
    <w:rsid w:val="00D5555E"/>
    <w:rsid w:val="00D56092"/>
    <w:rsid w:val="00D56588"/>
    <w:rsid w:val="00D568B0"/>
    <w:rsid w:val="00D57918"/>
    <w:rsid w:val="00D57E94"/>
    <w:rsid w:val="00D60387"/>
    <w:rsid w:val="00D60DC7"/>
    <w:rsid w:val="00D61221"/>
    <w:rsid w:val="00D616A2"/>
    <w:rsid w:val="00D620FF"/>
    <w:rsid w:val="00D62A97"/>
    <w:rsid w:val="00D646DF"/>
    <w:rsid w:val="00D646EF"/>
    <w:rsid w:val="00D647C9"/>
    <w:rsid w:val="00D65A04"/>
    <w:rsid w:val="00D67C48"/>
    <w:rsid w:val="00D71340"/>
    <w:rsid w:val="00D71B22"/>
    <w:rsid w:val="00D71B89"/>
    <w:rsid w:val="00D72BDD"/>
    <w:rsid w:val="00D731B5"/>
    <w:rsid w:val="00D73DC6"/>
    <w:rsid w:val="00D74C1A"/>
    <w:rsid w:val="00D74CF6"/>
    <w:rsid w:val="00D75205"/>
    <w:rsid w:val="00D7533C"/>
    <w:rsid w:val="00D754C1"/>
    <w:rsid w:val="00D7572B"/>
    <w:rsid w:val="00D75839"/>
    <w:rsid w:val="00D75B7A"/>
    <w:rsid w:val="00D77A35"/>
    <w:rsid w:val="00D77C51"/>
    <w:rsid w:val="00D803C8"/>
    <w:rsid w:val="00D80C6D"/>
    <w:rsid w:val="00D81B3E"/>
    <w:rsid w:val="00D82160"/>
    <w:rsid w:val="00D830CE"/>
    <w:rsid w:val="00D8436F"/>
    <w:rsid w:val="00D84ABF"/>
    <w:rsid w:val="00D84BAD"/>
    <w:rsid w:val="00D858BE"/>
    <w:rsid w:val="00D865C1"/>
    <w:rsid w:val="00D870E9"/>
    <w:rsid w:val="00D90240"/>
    <w:rsid w:val="00D90C5D"/>
    <w:rsid w:val="00D90C70"/>
    <w:rsid w:val="00D90E49"/>
    <w:rsid w:val="00D911BB"/>
    <w:rsid w:val="00D92A1F"/>
    <w:rsid w:val="00D92DD2"/>
    <w:rsid w:val="00D95FB2"/>
    <w:rsid w:val="00D964AE"/>
    <w:rsid w:val="00D96AA3"/>
    <w:rsid w:val="00D976E9"/>
    <w:rsid w:val="00DA08B2"/>
    <w:rsid w:val="00DA0DD2"/>
    <w:rsid w:val="00DA166F"/>
    <w:rsid w:val="00DA1C9C"/>
    <w:rsid w:val="00DA1CB4"/>
    <w:rsid w:val="00DA229B"/>
    <w:rsid w:val="00DA243C"/>
    <w:rsid w:val="00DA397C"/>
    <w:rsid w:val="00DA3A7E"/>
    <w:rsid w:val="00DA5AFF"/>
    <w:rsid w:val="00DA6274"/>
    <w:rsid w:val="00DB1350"/>
    <w:rsid w:val="00DB203C"/>
    <w:rsid w:val="00DB2C4C"/>
    <w:rsid w:val="00DB2EBA"/>
    <w:rsid w:val="00DB2F02"/>
    <w:rsid w:val="00DB40A7"/>
    <w:rsid w:val="00DB6DFA"/>
    <w:rsid w:val="00DB7A97"/>
    <w:rsid w:val="00DC02A8"/>
    <w:rsid w:val="00DC05A9"/>
    <w:rsid w:val="00DC1849"/>
    <w:rsid w:val="00DC18DA"/>
    <w:rsid w:val="00DC256A"/>
    <w:rsid w:val="00DC2A72"/>
    <w:rsid w:val="00DC2D74"/>
    <w:rsid w:val="00DC35C8"/>
    <w:rsid w:val="00DC3A80"/>
    <w:rsid w:val="00DC497C"/>
    <w:rsid w:val="00DC4B43"/>
    <w:rsid w:val="00DC617A"/>
    <w:rsid w:val="00DC692A"/>
    <w:rsid w:val="00DC6A10"/>
    <w:rsid w:val="00DC6D65"/>
    <w:rsid w:val="00DC6F3C"/>
    <w:rsid w:val="00DC752C"/>
    <w:rsid w:val="00DD2AA9"/>
    <w:rsid w:val="00DD2D09"/>
    <w:rsid w:val="00DD3D94"/>
    <w:rsid w:val="00DD4DB6"/>
    <w:rsid w:val="00DD4FD6"/>
    <w:rsid w:val="00DD502B"/>
    <w:rsid w:val="00DD52A8"/>
    <w:rsid w:val="00DD582E"/>
    <w:rsid w:val="00DD5DDF"/>
    <w:rsid w:val="00DD72DE"/>
    <w:rsid w:val="00DD7E3E"/>
    <w:rsid w:val="00DE00B1"/>
    <w:rsid w:val="00DE0235"/>
    <w:rsid w:val="00DE13F5"/>
    <w:rsid w:val="00DE144F"/>
    <w:rsid w:val="00DE188D"/>
    <w:rsid w:val="00DE1908"/>
    <w:rsid w:val="00DE1C85"/>
    <w:rsid w:val="00DE1D5E"/>
    <w:rsid w:val="00DE2C96"/>
    <w:rsid w:val="00DE3005"/>
    <w:rsid w:val="00DE3F39"/>
    <w:rsid w:val="00DE461C"/>
    <w:rsid w:val="00DE54A6"/>
    <w:rsid w:val="00DE657E"/>
    <w:rsid w:val="00DF1D98"/>
    <w:rsid w:val="00DF2062"/>
    <w:rsid w:val="00DF29B2"/>
    <w:rsid w:val="00DF4704"/>
    <w:rsid w:val="00DF4BA2"/>
    <w:rsid w:val="00DF6528"/>
    <w:rsid w:val="00DF665B"/>
    <w:rsid w:val="00DF66F6"/>
    <w:rsid w:val="00DF716F"/>
    <w:rsid w:val="00E00299"/>
    <w:rsid w:val="00E013D5"/>
    <w:rsid w:val="00E02086"/>
    <w:rsid w:val="00E024AA"/>
    <w:rsid w:val="00E04148"/>
    <w:rsid w:val="00E046D5"/>
    <w:rsid w:val="00E06216"/>
    <w:rsid w:val="00E06673"/>
    <w:rsid w:val="00E06D22"/>
    <w:rsid w:val="00E07871"/>
    <w:rsid w:val="00E125FB"/>
    <w:rsid w:val="00E133BC"/>
    <w:rsid w:val="00E138DC"/>
    <w:rsid w:val="00E13ED9"/>
    <w:rsid w:val="00E14B29"/>
    <w:rsid w:val="00E1693E"/>
    <w:rsid w:val="00E16D12"/>
    <w:rsid w:val="00E17064"/>
    <w:rsid w:val="00E17ADF"/>
    <w:rsid w:val="00E2046D"/>
    <w:rsid w:val="00E20584"/>
    <w:rsid w:val="00E20BF1"/>
    <w:rsid w:val="00E247B3"/>
    <w:rsid w:val="00E24A1F"/>
    <w:rsid w:val="00E250F1"/>
    <w:rsid w:val="00E25408"/>
    <w:rsid w:val="00E254E9"/>
    <w:rsid w:val="00E25C4A"/>
    <w:rsid w:val="00E26B1A"/>
    <w:rsid w:val="00E26C95"/>
    <w:rsid w:val="00E30B0D"/>
    <w:rsid w:val="00E31DE8"/>
    <w:rsid w:val="00E32A09"/>
    <w:rsid w:val="00E32E6B"/>
    <w:rsid w:val="00E32EE4"/>
    <w:rsid w:val="00E33106"/>
    <w:rsid w:val="00E33A29"/>
    <w:rsid w:val="00E33D92"/>
    <w:rsid w:val="00E3550D"/>
    <w:rsid w:val="00E35B62"/>
    <w:rsid w:val="00E3650C"/>
    <w:rsid w:val="00E373CA"/>
    <w:rsid w:val="00E37A6A"/>
    <w:rsid w:val="00E4016B"/>
    <w:rsid w:val="00E405D9"/>
    <w:rsid w:val="00E409FB"/>
    <w:rsid w:val="00E40BC0"/>
    <w:rsid w:val="00E40D36"/>
    <w:rsid w:val="00E411D5"/>
    <w:rsid w:val="00E418C6"/>
    <w:rsid w:val="00E42532"/>
    <w:rsid w:val="00E42B4A"/>
    <w:rsid w:val="00E43947"/>
    <w:rsid w:val="00E446C6"/>
    <w:rsid w:val="00E45A97"/>
    <w:rsid w:val="00E470BC"/>
    <w:rsid w:val="00E50035"/>
    <w:rsid w:val="00E50062"/>
    <w:rsid w:val="00E5046E"/>
    <w:rsid w:val="00E5091A"/>
    <w:rsid w:val="00E514CC"/>
    <w:rsid w:val="00E51706"/>
    <w:rsid w:val="00E517E8"/>
    <w:rsid w:val="00E51EED"/>
    <w:rsid w:val="00E532DB"/>
    <w:rsid w:val="00E5566B"/>
    <w:rsid w:val="00E556D1"/>
    <w:rsid w:val="00E5777C"/>
    <w:rsid w:val="00E604D8"/>
    <w:rsid w:val="00E614E0"/>
    <w:rsid w:val="00E62908"/>
    <w:rsid w:val="00E62B81"/>
    <w:rsid w:val="00E639F7"/>
    <w:rsid w:val="00E63D59"/>
    <w:rsid w:val="00E643EA"/>
    <w:rsid w:val="00E64CB5"/>
    <w:rsid w:val="00E65379"/>
    <w:rsid w:val="00E6553B"/>
    <w:rsid w:val="00E65D17"/>
    <w:rsid w:val="00E703BA"/>
    <w:rsid w:val="00E71DEB"/>
    <w:rsid w:val="00E7263C"/>
    <w:rsid w:val="00E72A46"/>
    <w:rsid w:val="00E72AC2"/>
    <w:rsid w:val="00E7344D"/>
    <w:rsid w:val="00E73F7F"/>
    <w:rsid w:val="00E7421B"/>
    <w:rsid w:val="00E746D5"/>
    <w:rsid w:val="00E7525C"/>
    <w:rsid w:val="00E752A1"/>
    <w:rsid w:val="00E75426"/>
    <w:rsid w:val="00E75707"/>
    <w:rsid w:val="00E77182"/>
    <w:rsid w:val="00E7758E"/>
    <w:rsid w:val="00E8036E"/>
    <w:rsid w:val="00E80C4B"/>
    <w:rsid w:val="00E81D0E"/>
    <w:rsid w:val="00E82AF6"/>
    <w:rsid w:val="00E83511"/>
    <w:rsid w:val="00E83522"/>
    <w:rsid w:val="00E8565A"/>
    <w:rsid w:val="00E911B3"/>
    <w:rsid w:val="00E92FCF"/>
    <w:rsid w:val="00E944D6"/>
    <w:rsid w:val="00E94600"/>
    <w:rsid w:val="00E94E8D"/>
    <w:rsid w:val="00E95709"/>
    <w:rsid w:val="00E95AD5"/>
    <w:rsid w:val="00E966DB"/>
    <w:rsid w:val="00E970BE"/>
    <w:rsid w:val="00EA03EB"/>
    <w:rsid w:val="00EA1970"/>
    <w:rsid w:val="00EA2887"/>
    <w:rsid w:val="00EA4176"/>
    <w:rsid w:val="00EA429F"/>
    <w:rsid w:val="00EA497A"/>
    <w:rsid w:val="00EA4F9E"/>
    <w:rsid w:val="00EA5E65"/>
    <w:rsid w:val="00EA5EF7"/>
    <w:rsid w:val="00EA5F92"/>
    <w:rsid w:val="00EA618B"/>
    <w:rsid w:val="00EA6D3B"/>
    <w:rsid w:val="00EA6ED2"/>
    <w:rsid w:val="00EA7836"/>
    <w:rsid w:val="00EA787F"/>
    <w:rsid w:val="00EB00AD"/>
    <w:rsid w:val="00EB03E7"/>
    <w:rsid w:val="00EB07D6"/>
    <w:rsid w:val="00EB136C"/>
    <w:rsid w:val="00EB260B"/>
    <w:rsid w:val="00EB33BA"/>
    <w:rsid w:val="00EB480E"/>
    <w:rsid w:val="00EB4ABD"/>
    <w:rsid w:val="00EB5EC6"/>
    <w:rsid w:val="00EB6C72"/>
    <w:rsid w:val="00EB7FC9"/>
    <w:rsid w:val="00EC04F7"/>
    <w:rsid w:val="00EC08CD"/>
    <w:rsid w:val="00EC16C4"/>
    <w:rsid w:val="00EC1DC4"/>
    <w:rsid w:val="00EC27F4"/>
    <w:rsid w:val="00EC329F"/>
    <w:rsid w:val="00EC3A5E"/>
    <w:rsid w:val="00EC3E4E"/>
    <w:rsid w:val="00EC430E"/>
    <w:rsid w:val="00EC5054"/>
    <w:rsid w:val="00ED13F0"/>
    <w:rsid w:val="00ED2146"/>
    <w:rsid w:val="00ED2CF2"/>
    <w:rsid w:val="00ED408D"/>
    <w:rsid w:val="00ED438D"/>
    <w:rsid w:val="00ED4573"/>
    <w:rsid w:val="00ED5B90"/>
    <w:rsid w:val="00ED6C78"/>
    <w:rsid w:val="00ED7137"/>
    <w:rsid w:val="00EE12C1"/>
    <w:rsid w:val="00EE191C"/>
    <w:rsid w:val="00EE1DC3"/>
    <w:rsid w:val="00EE3A9F"/>
    <w:rsid w:val="00EE4424"/>
    <w:rsid w:val="00EE4BC3"/>
    <w:rsid w:val="00EE5102"/>
    <w:rsid w:val="00EE51FF"/>
    <w:rsid w:val="00EE67AE"/>
    <w:rsid w:val="00EE6A4D"/>
    <w:rsid w:val="00EE735E"/>
    <w:rsid w:val="00EE7F8D"/>
    <w:rsid w:val="00EF0347"/>
    <w:rsid w:val="00EF1BBC"/>
    <w:rsid w:val="00EF1DF4"/>
    <w:rsid w:val="00EF254F"/>
    <w:rsid w:val="00EF3282"/>
    <w:rsid w:val="00EF3A42"/>
    <w:rsid w:val="00EF4892"/>
    <w:rsid w:val="00EF52BA"/>
    <w:rsid w:val="00EF52D1"/>
    <w:rsid w:val="00EF59D9"/>
    <w:rsid w:val="00EF5B26"/>
    <w:rsid w:val="00EF65CE"/>
    <w:rsid w:val="00EF784C"/>
    <w:rsid w:val="00EF7D9C"/>
    <w:rsid w:val="00F00912"/>
    <w:rsid w:val="00F019A8"/>
    <w:rsid w:val="00F01E94"/>
    <w:rsid w:val="00F021D3"/>
    <w:rsid w:val="00F036EB"/>
    <w:rsid w:val="00F036FF"/>
    <w:rsid w:val="00F03779"/>
    <w:rsid w:val="00F03D9B"/>
    <w:rsid w:val="00F049CB"/>
    <w:rsid w:val="00F04EEC"/>
    <w:rsid w:val="00F051B9"/>
    <w:rsid w:val="00F069CF"/>
    <w:rsid w:val="00F06A92"/>
    <w:rsid w:val="00F07357"/>
    <w:rsid w:val="00F0759E"/>
    <w:rsid w:val="00F07B0D"/>
    <w:rsid w:val="00F107D2"/>
    <w:rsid w:val="00F1248E"/>
    <w:rsid w:val="00F129CD"/>
    <w:rsid w:val="00F13984"/>
    <w:rsid w:val="00F14041"/>
    <w:rsid w:val="00F144E3"/>
    <w:rsid w:val="00F14D64"/>
    <w:rsid w:val="00F20B6D"/>
    <w:rsid w:val="00F21088"/>
    <w:rsid w:val="00F216B6"/>
    <w:rsid w:val="00F21D9C"/>
    <w:rsid w:val="00F226CF"/>
    <w:rsid w:val="00F2351E"/>
    <w:rsid w:val="00F236CF"/>
    <w:rsid w:val="00F241DE"/>
    <w:rsid w:val="00F24238"/>
    <w:rsid w:val="00F258F7"/>
    <w:rsid w:val="00F26ACA"/>
    <w:rsid w:val="00F27E4B"/>
    <w:rsid w:val="00F31439"/>
    <w:rsid w:val="00F327E7"/>
    <w:rsid w:val="00F32A5F"/>
    <w:rsid w:val="00F32CDD"/>
    <w:rsid w:val="00F33014"/>
    <w:rsid w:val="00F33820"/>
    <w:rsid w:val="00F33D62"/>
    <w:rsid w:val="00F34966"/>
    <w:rsid w:val="00F35284"/>
    <w:rsid w:val="00F355E4"/>
    <w:rsid w:val="00F35746"/>
    <w:rsid w:val="00F36371"/>
    <w:rsid w:val="00F3731A"/>
    <w:rsid w:val="00F37B0F"/>
    <w:rsid w:val="00F40D86"/>
    <w:rsid w:val="00F40D9C"/>
    <w:rsid w:val="00F40E27"/>
    <w:rsid w:val="00F40F60"/>
    <w:rsid w:val="00F42F71"/>
    <w:rsid w:val="00F4308B"/>
    <w:rsid w:val="00F430B5"/>
    <w:rsid w:val="00F435B3"/>
    <w:rsid w:val="00F446F0"/>
    <w:rsid w:val="00F447C7"/>
    <w:rsid w:val="00F45534"/>
    <w:rsid w:val="00F456C7"/>
    <w:rsid w:val="00F459A7"/>
    <w:rsid w:val="00F45BD6"/>
    <w:rsid w:val="00F45D3D"/>
    <w:rsid w:val="00F4721C"/>
    <w:rsid w:val="00F477D6"/>
    <w:rsid w:val="00F510E1"/>
    <w:rsid w:val="00F51325"/>
    <w:rsid w:val="00F5384C"/>
    <w:rsid w:val="00F544D6"/>
    <w:rsid w:val="00F54710"/>
    <w:rsid w:val="00F554A9"/>
    <w:rsid w:val="00F557F7"/>
    <w:rsid w:val="00F56AA9"/>
    <w:rsid w:val="00F56B04"/>
    <w:rsid w:val="00F60964"/>
    <w:rsid w:val="00F60CC4"/>
    <w:rsid w:val="00F61A50"/>
    <w:rsid w:val="00F62679"/>
    <w:rsid w:val="00F63058"/>
    <w:rsid w:val="00F63BF2"/>
    <w:rsid w:val="00F64380"/>
    <w:rsid w:val="00F6483E"/>
    <w:rsid w:val="00F64ADB"/>
    <w:rsid w:val="00F64E03"/>
    <w:rsid w:val="00F65AA9"/>
    <w:rsid w:val="00F66178"/>
    <w:rsid w:val="00F663E6"/>
    <w:rsid w:val="00F701B7"/>
    <w:rsid w:val="00F7058C"/>
    <w:rsid w:val="00F716FD"/>
    <w:rsid w:val="00F717E2"/>
    <w:rsid w:val="00F71BF7"/>
    <w:rsid w:val="00F721B6"/>
    <w:rsid w:val="00F727FD"/>
    <w:rsid w:val="00F7324D"/>
    <w:rsid w:val="00F75658"/>
    <w:rsid w:val="00F757A4"/>
    <w:rsid w:val="00F7586A"/>
    <w:rsid w:val="00F75C5F"/>
    <w:rsid w:val="00F75D44"/>
    <w:rsid w:val="00F75E74"/>
    <w:rsid w:val="00F76CF0"/>
    <w:rsid w:val="00F77065"/>
    <w:rsid w:val="00F77191"/>
    <w:rsid w:val="00F7745F"/>
    <w:rsid w:val="00F80355"/>
    <w:rsid w:val="00F80496"/>
    <w:rsid w:val="00F80E17"/>
    <w:rsid w:val="00F82F05"/>
    <w:rsid w:val="00F8319E"/>
    <w:rsid w:val="00F838B5"/>
    <w:rsid w:val="00F8516D"/>
    <w:rsid w:val="00F856CE"/>
    <w:rsid w:val="00F85D6F"/>
    <w:rsid w:val="00F86197"/>
    <w:rsid w:val="00F87200"/>
    <w:rsid w:val="00F8723E"/>
    <w:rsid w:val="00F8742F"/>
    <w:rsid w:val="00F907EC"/>
    <w:rsid w:val="00F91DDA"/>
    <w:rsid w:val="00F91FED"/>
    <w:rsid w:val="00F924A5"/>
    <w:rsid w:val="00F9314E"/>
    <w:rsid w:val="00F94E02"/>
    <w:rsid w:val="00F959EB"/>
    <w:rsid w:val="00F963F8"/>
    <w:rsid w:val="00F96B75"/>
    <w:rsid w:val="00FA1920"/>
    <w:rsid w:val="00FA1D13"/>
    <w:rsid w:val="00FA2063"/>
    <w:rsid w:val="00FA2652"/>
    <w:rsid w:val="00FA2D87"/>
    <w:rsid w:val="00FA31C1"/>
    <w:rsid w:val="00FA35C0"/>
    <w:rsid w:val="00FA4BEE"/>
    <w:rsid w:val="00FA528A"/>
    <w:rsid w:val="00FA52F4"/>
    <w:rsid w:val="00FA6349"/>
    <w:rsid w:val="00FA6B57"/>
    <w:rsid w:val="00FA6F3C"/>
    <w:rsid w:val="00FA7AE1"/>
    <w:rsid w:val="00FB0C81"/>
    <w:rsid w:val="00FB1515"/>
    <w:rsid w:val="00FB1BEF"/>
    <w:rsid w:val="00FB25BE"/>
    <w:rsid w:val="00FB29DC"/>
    <w:rsid w:val="00FB377E"/>
    <w:rsid w:val="00FB3A7E"/>
    <w:rsid w:val="00FB3E06"/>
    <w:rsid w:val="00FB56C0"/>
    <w:rsid w:val="00FB56C6"/>
    <w:rsid w:val="00FB630E"/>
    <w:rsid w:val="00FB6BFB"/>
    <w:rsid w:val="00FB6D21"/>
    <w:rsid w:val="00FB7D16"/>
    <w:rsid w:val="00FB7E31"/>
    <w:rsid w:val="00FC198D"/>
    <w:rsid w:val="00FC2200"/>
    <w:rsid w:val="00FC2540"/>
    <w:rsid w:val="00FC2AC5"/>
    <w:rsid w:val="00FC3E00"/>
    <w:rsid w:val="00FC48DA"/>
    <w:rsid w:val="00FC4C50"/>
    <w:rsid w:val="00FC4CAF"/>
    <w:rsid w:val="00FC593A"/>
    <w:rsid w:val="00FC5BE3"/>
    <w:rsid w:val="00FC637F"/>
    <w:rsid w:val="00FC72F5"/>
    <w:rsid w:val="00FC7997"/>
    <w:rsid w:val="00FD02CB"/>
    <w:rsid w:val="00FD0741"/>
    <w:rsid w:val="00FD1BF9"/>
    <w:rsid w:val="00FD33D1"/>
    <w:rsid w:val="00FD3DCC"/>
    <w:rsid w:val="00FD4BB6"/>
    <w:rsid w:val="00FD4DFE"/>
    <w:rsid w:val="00FD53FC"/>
    <w:rsid w:val="00FD5D42"/>
    <w:rsid w:val="00FD732D"/>
    <w:rsid w:val="00FD75C6"/>
    <w:rsid w:val="00FD7996"/>
    <w:rsid w:val="00FE2258"/>
    <w:rsid w:val="00FE3364"/>
    <w:rsid w:val="00FE3C27"/>
    <w:rsid w:val="00FE411F"/>
    <w:rsid w:val="00FE57D1"/>
    <w:rsid w:val="00FE7DC0"/>
    <w:rsid w:val="00FF0204"/>
    <w:rsid w:val="00FF09CF"/>
    <w:rsid w:val="00FF0B73"/>
    <w:rsid w:val="00FF1786"/>
    <w:rsid w:val="00FF1B8E"/>
    <w:rsid w:val="00FF309B"/>
    <w:rsid w:val="00FF3AED"/>
    <w:rsid w:val="00FF5867"/>
    <w:rsid w:val="00FF6483"/>
    <w:rsid w:val="00FF6908"/>
    <w:rsid w:val="00FF7B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DBB74"/>
  <w15:chartTrackingRefBased/>
  <w15:docId w15:val="{89D1E410-BE1D-4FA3-AD53-C9A14597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E1"/>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pPr>
      <w:numPr>
        <w:numId w:val="16"/>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17"/>
      </w:numPr>
    </w:pPr>
  </w:style>
  <w:style w:type="numbering" w:customStyle="1" w:styleId="ArticleSection1">
    <w:name w:val="Article / Section1"/>
    <w:basedOn w:val="NoList"/>
    <w:next w:val="ArticleSection"/>
    <w:semiHidden/>
    <w:rsid w:val="00720EE7"/>
    <w:pPr>
      <w:numPr>
        <w:numId w:val="18"/>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uiPriority w:val="35"/>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C2222D"/>
    <w:rPr>
      <w:b/>
      <w:bCs/>
      <w:i/>
      <w:iCs/>
      <w:spacing w:val="5"/>
    </w:rPr>
  </w:style>
  <w:style w:type="character" w:styleId="Emphasis">
    <w:name w:val="Emphasis"/>
    <w:basedOn w:val="DefaultParagraphFont"/>
    <w:uiPriority w:val="20"/>
    <w:qFormat/>
    <w:rsid w:val="00C2222D"/>
    <w:rPr>
      <w:i/>
      <w:iCs/>
    </w:rPr>
  </w:style>
  <w:style w:type="character" w:styleId="IntenseEmphasis">
    <w:name w:val="Intense Emphasis"/>
    <w:basedOn w:val="DefaultParagraphFont"/>
    <w:uiPriority w:val="21"/>
    <w:qFormat/>
    <w:rsid w:val="00C2222D"/>
    <w:rPr>
      <w:i/>
      <w:iCs/>
      <w:color w:val="4F81BD" w:themeColor="accent1"/>
    </w:rPr>
  </w:style>
  <w:style w:type="paragraph" w:styleId="IntenseQuote">
    <w:name w:val="Intense Quote"/>
    <w:basedOn w:val="Normal"/>
    <w:next w:val="Normal"/>
    <w:link w:val="IntenseQuoteChar"/>
    <w:uiPriority w:val="30"/>
    <w:qFormat/>
    <w:rsid w:val="00C222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222D"/>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C2222D"/>
    <w:rPr>
      <w:b/>
      <w:bCs/>
      <w:smallCaps/>
      <w:color w:val="4F81BD" w:themeColor="accent1"/>
      <w:spacing w:val="5"/>
    </w:rPr>
  </w:style>
  <w:style w:type="paragraph" w:styleId="NoSpacing">
    <w:name w:val="No Spacing"/>
    <w:uiPriority w:val="1"/>
    <w:qFormat/>
    <w:rsid w:val="00C2222D"/>
    <w:rPr>
      <w:rFonts w:eastAsia="Times New Roman"/>
      <w:sz w:val="22"/>
      <w:szCs w:val="22"/>
      <w:lang w:val="en-CA" w:eastAsia="en-US"/>
    </w:rPr>
  </w:style>
  <w:style w:type="character" w:styleId="Strong">
    <w:name w:val="Strong"/>
    <w:basedOn w:val="DefaultParagraphFont"/>
    <w:uiPriority w:val="22"/>
    <w:qFormat/>
    <w:rsid w:val="00C2222D"/>
    <w:rPr>
      <w:b/>
      <w:bCs/>
    </w:rPr>
  </w:style>
  <w:style w:type="character" w:styleId="SubtleEmphasis">
    <w:name w:val="Subtle Emphasis"/>
    <w:basedOn w:val="DefaultParagraphFont"/>
    <w:uiPriority w:val="19"/>
    <w:qFormat/>
    <w:rsid w:val="00C2222D"/>
    <w:rPr>
      <w:i/>
      <w:iCs/>
      <w:color w:val="404040" w:themeColor="text1" w:themeTint="BF"/>
    </w:rPr>
  </w:style>
  <w:style w:type="character" w:styleId="SubtleReference">
    <w:name w:val="Subtle Reference"/>
    <w:basedOn w:val="DefaultParagraphFont"/>
    <w:uiPriority w:val="31"/>
    <w:qFormat/>
    <w:rsid w:val="00C2222D"/>
    <w:rPr>
      <w:smallCaps/>
      <w:color w:val="5A5A5A" w:themeColor="text1" w:themeTint="A5"/>
    </w:rPr>
  </w:style>
  <w:style w:type="paragraph" w:styleId="TOCHeading">
    <w:name w:val="TOC Heading"/>
    <w:basedOn w:val="Heading1"/>
    <w:next w:val="Normal"/>
    <w:uiPriority w:val="39"/>
    <w:semiHidden/>
    <w:unhideWhenUsed/>
    <w:qFormat/>
    <w:rsid w:val="00C2222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8C0F63"/>
    <w:pPr>
      <w:autoSpaceDE w:val="0"/>
      <w:autoSpaceDN w:val="0"/>
      <w:adjustRightInd w:val="0"/>
      <w:spacing w:before="150"/>
      <w:ind w:right="323" w:firstLine="3"/>
    </w:pPr>
    <w:rPr>
      <w:rFonts w:eastAsiaTheme="minorEastAsia"/>
      <w:sz w:val="21"/>
      <w:szCs w:val="21"/>
      <w:lang w:eastAsia="zh-CN"/>
    </w:rPr>
  </w:style>
  <w:style w:type="character" w:customStyle="1" w:styleId="BodyTextChar">
    <w:name w:val="Body Text Char"/>
    <w:basedOn w:val="DefaultParagraphFont"/>
    <w:link w:val="BodyText"/>
    <w:uiPriority w:val="1"/>
    <w:rsid w:val="008C0F63"/>
    <w:rPr>
      <w:sz w:val="21"/>
      <w:szCs w:val="21"/>
      <w:lang w:val="en-CA"/>
    </w:rPr>
  </w:style>
  <w:style w:type="paragraph" w:customStyle="1" w:styleId="pf0">
    <w:name w:val="pf0"/>
    <w:basedOn w:val="Normal"/>
    <w:rsid w:val="0003753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986D9CB9-E6CB-4143-9CE7-ACCC0C86D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196</TotalTime>
  <Pages>46</Pages>
  <Words>17835</Words>
  <Characters>101662</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Propuestas de proyectos: Santo Tomé y Príncipe</vt:lpstr>
    </vt:vector>
  </TitlesOfParts>
  <Company>UNMFS</Company>
  <LinksUpToDate>false</LinksUpToDate>
  <CharactersWithSpaces>119259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Santo Tomé y Príncipe</dc:title>
  <dc:subject/>
  <dc:creator>MS/ RCK</dc:creator>
  <cp:keywords>99th ExCom, docId:84801210533CA84E63F19353C32D4874</cp:keywords>
  <dc:description>KIP stage request</dc:description>
  <cp:lastModifiedBy>Angela Xue He Yan</cp:lastModifiedBy>
  <cp:revision>10</cp:revision>
  <cp:lastPrinted>2001-05-26T16:40:00Z</cp:lastPrinted>
  <dcterms:created xsi:type="dcterms:W3CDTF">2026-10-29T17:44:00Z</dcterms:created>
  <dcterms:modified xsi:type="dcterms:W3CDTF">2026-10-30T21:32:00Z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UNEP/OzL.Pro/ExCom/99/69</vt:lpwstr>
  </property>
  <property fmtid="{D5CDD505-2E9C-101B-9397-08002B2CF9AE}" pid="3" name="Revision date">
    <vt:lpwstr>10/27/2026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Propuestas de proyectos: Santo Tomé y Príncipe</vt:lpwstr>
  </property>
</Properties>
</file>