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0" w:type="dxa"/>
        <w:tblInd w:w="-432" w:type="dxa"/>
        <w:tblLayout w:type="fixed"/>
        <w:tblLook w:val="0000" w:firstRow="0" w:lastRow="0" w:firstColumn="0" w:lastColumn="0" w:noHBand="0" w:noVBand="0"/>
      </w:tblPr>
      <w:tblGrid>
        <w:gridCol w:w="2070"/>
        <w:gridCol w:w="4316"/>
        <w:gridCol w:w="3544"/>
      </w:tblGrid>
      <w:tr w:rsidR="00C15867" w:rsidRPr="009B0D30" w14:paraId="404BBE0D" w14:textId="77777777" w:rsidTr="00FD25EF">
        <w:trPr>
          <w:trHeight w:val="720"/>
        </w:trPr>
        <w:tc>
          <w:tcPr>
            <w:tcW w:w="6386" w:type="dxa"/>
            <w:gridSpan w:val="2"/>
            <w:tcBorders>
              <w:bottom w:val="single" w:sz="18" w:space="0" w:color="auto"/>
            </w:tcBorders>
          </w:tcPr>
          <w:p w14:paraId="580EB3AF" w14:textId="77777777" w:rsidR="00505AE4" w:rsidRDefault="00505AE4" w:rsidP="00505AE4">
            <w:pPr>
              <w:rPr>
                <w:b/>
                <w:bCs/>
                <w:sz w:val="28"/>
                <w:szCs w:val="28"/>
              </w:rPr>
            </w:pPr>
            <w:r>
              <w:rPr>
                <w:b/>
                <w:bCs/>
                <w:sz w:val="28"/>
                <w:szCs w:val="28"/>
              </w:rPr>
              <w:t>ОРГАНИЗАЦИЯ</w:t>
            </w:r>
          </w:p>
          <w:p w14:paraId="4710244E" w14:textId="77777777" w:rsidR="00505AE4" w:rsidRDefault="00505AE4" w:rsidP="00505AE4">
            <w:pPr>
              <w:rPr>
                <w:b/>
                <w:bCs/>
                <w:sz w:val="28"/>
                <w:szCs w:val="28"/>
              </w:rPr>
            </w:pPr>
            <w:r>
              <w:rPr>
                <w:b/>
                <w:bCs/>
                <w:sz w:val="28"/>
                <w:szCs w:val="28"/>
              </w:rPr>
              <w:t>ОБЪЕДИНЕННЫХ</w:t>
            </w:r>
          </w:p>
          <w:p w14:paraId="41E780D4" w14:textId="514D951C" w:rsidR="00C15867" w:rsidRPr="009B0D30" w:rsidRDefault="00505AE4" w:rsidP="00505A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rPr>
              <w:t>НАЦИЙ</w:t>
            </w:r>
          </w:p>
        </w:tc>
        <w:tc>
          <w:tcPr>
            <w:tcW w:w="3544" w:type="dxa"/>
            <w:tcBorders>
              <w:bottom w:val="single" w:sz="18" w:space="0" w:color="auto"/>
            </w:tcBorders>
          </w:tcPr>
          <w:p w14:paraId="694612CA" w14:textId="77777777" w:rsidR="00C15867" w:rsidRPr="009B0D30" w:rsidRDefault="00C15867">
            <w:pPr>
              <w:jc w:val="right"/>
              <w:rPr>
                <w:sz w:val="52"/>
                <w:szCs w:val="52"/>
              </w:rPr>
            </w:pPr>
            <w:r>
              <w:rPr>
                <w:rFonts w:ascii="Univers Bold" w:hAnsi="Univers Bold"/>
                <w:b/>
                <w:sz w:val="72"/>
              </w:rPr>
              <w:t>EP</w:t>
            </w:r>
          </w:p>
        </w:tc>
      </w:tr>
      <w:tr w:rsidR="00C15867" w:rsidRPr="009B0D30" w14:paraId="7456C40A" w14:textId="77777777" w:rsidTr="00FD25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34C6DD6D" w14:textId="77777777" w:rsidR="00C15867" w:rsidRPr="009B0D30" w:rsidRDefault="00E52838">
            <w:pPr>
              <w:spacing w:before="120"/>
            </w:pPr>
            <w:r>
              <w:rPr>
                <w:noProof/>
              </w:rPr>
              <mc:AlternateContent>
                <mc:Choice Requires="wpg">
                  <w:drawing>
                    <wp:anchor distT="0" distB="0" distL="114300" distR="114300" simplePos="0" relativeHeight="251658240" behindDoc="0" locked="0" layoutInCell="1" allowOverlap="1" wp14:anchorId="32D96253" wp14:editId="5CFDCEDA">
                      <wp:simplePos x="0" y="0"/>
                      <wp:positionH relativeFrom="column">
                        <wp:posOffset>5715</wp:posOffset>
                      </wp:positionH>
                      <wp:positionV relativeFrom="paragraph">
                        <wp:posOffset>71755</wp:posOffset>
                      </wp:positionV>
                      <wp:extent cx="822325" cy="1514475"/>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514475"/>
                                <a:chOff x="0" y="0"/>
                                <a:chExt cx="822325" cy="15144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1297" y="749300"/>
                                  <a:ext cx="801028" cy="76517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B61D986" id="Group 1" o:spid="_x0000_s1026" style="position:absolute;margin-left:.45pt;margin-top:5.65pt;width:64.75pt;height:119.25pt;z-index:251658240;mso-width-relative:margin;mso-height-relative:margin" coordsize="8223,1514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12;top:7493;width:8011;height:76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">
                        <v:imagedata r:id="rId13" o:title="UNEP"/>
                      </v:shape>
                      <v:shape id="Picture 3" o:spid="_x0000_s1028" type="#_x0000_t75" style="position:absolute;width:8223;height:7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">
                        <v:imagedata r:id="rId14" o:title=""/>
                      </v:shape>
                    </v:group>
                  </w:pict>
                </mc:Fallback>
              </mc:AlternateContent>
            </w:r>
          </w:p>
        </w:tc>
        <w:tc>
          <w:tcPr>
            <w:tcW w:w="4316" w:type="dxa"/>
            <w:tcBorders>
              <w:top w:val="nil"/>
              <w:left w:val="nil"/>
              <w:bottom w:val="single" w:sz="36" w:space="0" w:color="auto"/>
              <w:right w:val="nil"/>
            </w:tcBorders>
          </w:tcPr>
          <w:p w14:paraId="53C0EBBC" w14:textId="77777777" w:rsidR="008B5712" w:rsidRDefault="008B57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6C7E4DE" w14:textId="77777777" w:rsidR="00703DCD" w:rsidRDefault="00703DCD" w:rsidP="00703DCD">
            <w:pPr>
              <w:rPr>
                <w:b/>
                <w:bCs/>
                <w:sz w:val="32"/>
                <w:szCs w:val="32"/>
              </w:rPr>
            </w:pPr>
            <w:r>
              <w:rPr>
                <w:b/>
                <w:bCs/>
                <w:sz w:val="32"/>
                <w:szCs w:val="32"/>
              </w:rPr>
              <w:t>Программа Организации</w:t>
            </w:r>
          </w:p>
          <w:p w14:paraId="107822D8" w14:textId="5551BAE4" w:rsidR="00C15867" w:rsidRPr="009B0D30" w:rsidRDefault="00703DCD" w:rsidP="00BF31DC">
            <w:pPr>
              <w:jc w:val="left"/>
            </w:pPr>
            <w:r>
              <w:rPr>
                <w:b/>
                <w:bCs/>
                <w:sz w:val="32"/>
                <w:szCs w:val="32"/>
              </w:rPr>
              <w:t>Объединенных Наций по</w:t>
            </w:r>
            <w:r w:rsidR="00BF31DC">
              <w:rPr>
                <w:b/>
                <w:bCs/>
                <w:sz w:val="32"/>
                <w:szCs w:val="32"/>
              </w:rPr>
              <w:t xml:space="preserve"> </w:t>
            </w:r>
            <w:r>
              <w:rPr>
                <w:b/>
                <w:bCs/>
                <w:sz w:val="32"/>
                <w:szCs w:val="32"/>
              </w:rPr>
              <w:t>окружающей среде</w:t>
            </w:r>
            <w:r w:rsidRPr="009B0D30">
              <w:t xml:space="preserve"> </w:t>
            </w:r>
          </w:p>
        </w:tc>
        <w:tc>
          <w:tcPr>
            <w:tcW w:w="3544" w:type="dxa"/>
            <w:tcBorders>
              <w:top w:val="nil"/>
              <w:left w:val="nil"/>
              <w:bottom w:val="single" w:sz="36" w:space="0" w:color="auto"/>
              <w:right w:val="nil"/>
            </w:tcBorders>
          </w:tcPr>
          <w:p w14:paraId="15281DA4" w14:textId="77777777" w:rsidR="008B5712" w:rsidRDefault="008B5712"/>
          <w:p w14:paraId="6BDD699F" w14:textId="2B20674F" w:rsidR="00C15867" w:rsidRPr="009B0D30" w:rsidRDefault="00C15867">
            <w:proofErr w:type="spellStart"/>
            <w:r>
              <w:t>Distr</w:t>
            </w:r>
            <w:proofErr w:type="spellEnd"/>
            <w:r>
              <w:t>.</w:t>
            </w:r>
          </w:p>
          <w:p w14:paraId="2829D899" w14:textId="77777777" w:rsidR="00923540" w:rsidRPr="009B0D30" w:rsidRDefault="00923540" w:rsidP="00923540">
            <w:r>
              <w:t>GENERAL</w:t>
            </w:r>
          </w:p>
          <w:p w14:paraId="581090E9" w14:textId="77777777" w:rsidR="00C15867" w:rsidRPr="009B0D30" w:rsidRDefault="00C15867"/>
          <w:p w14:paraId="0E9422B9" w14:textId="7EC78578" w:rsidR="00C15867" w:rsidRPr="00097B48" w:rsidRDefault="00276841">
            <w:pPr>
              <w:rPr>
                <w:lang w:val="en-US"/>
              </w:rPr>
            </w:pPr>
            <w:r>
              <w:fldChar w:fldCharType="begin"/>
            </w:r>
            <w:r w:rsidRPr="00097B48">
              <w:rPr>
                <w:lang w:val="en-US"/>
              </w:rPr>
              <w:instrText xml:space="preserve"> DOCPROPERTY "Document number"  \* MERGEFORMAT </w:instrText>
            </w:r>
            <w:r>
              <w:fldChar w:fldCharType="separate"/>
            </w:r>
            <w:r w:rsidR="004261E3" w:rsidRPr="00097B48">
              <w:rPr>
                <w:lang w:val="en-US"/>
              </w:rPr>
              <w:t>UNEP/</w:t>
            </w:r>
            <w:proofErr w:type="spellStart"/>
            <w:r w:rsidR="004261E3" w:rsidRPr="00097B48">
              <w:rPr>
                <w:lang w:val="en-US"/>
              </w:rPr>
              <w:t>OzL.Pro</w:t>
            </w:r>
            <w:proofErr w:type="spellEnd"/>
            <w:r w:rsidR="004261E3" w:rsidRPr="00097B48">
              <w:rPr>
                <w:lang w:val="en-US"/>
              </w:rPr>
              <w:t>/ExCom/96/16</w:t>
            </w:r>
            <w:r>
              <w:fldChar w:fldCharType="end"/>
            </w:r>
          </w:p>
          <w:p w14:paraId="6404D225" w14:textId="252AB1A6" w:rsidR="00C15867" w:rsidRPr="00097B48" w:rsidRDefault="00BC2495">
            <w:pPr>
              <w:rPr>
                <w:lang w:val="en-US"/>
              </w:rPr>
            </w:pPr>
            <w:r w:rsidRPr="009B0D30">
              <w:fldChar w:fldCharType="begin"/>
            </w:r>
            <w:r w:rsidR="00851352" w:rsidRPr="00097B48">
              <w:rPr>
                <w:lang w:val="en-US"/>
              </w:rPr>
              <w:instrText xml:space="preserve"> DOCPROPERTY "Revision date" \@ "d MMMM YYYY"  \* MERGEFORMAT </w:instrText>
            </w:r>
            <w:r w:rsidRPr="009B0D30">
              <w:fldChar w:fldCharType="separate"/>
            </w:r>
            <w:r w:rsidR="004261E3" w:rsidRPr="00097B48">
              <w:rPr>
                <w:lang w:val="en-US"/>
              </w:rPr>
              <w:t xml:space="preserve">5 </w:t>
            </w:r>
            <w:r w:rsidR="00FD25EF">
              <w:rPr>
                <w:lang w:val="fr-FR"/>
              </w:rPr>
              <w:t>May</w:t>
            </w:r>
            <w:r w:rsidR="004261E3" w:rsidRPr="00097B48">
              <w:rPr>
                <w:lang w:val="en-US"/>
              </w:rPr>
              <w:t xml:space="preserve"> 2025</w:t>
            </w:r>
            <w:r w:rsidRPr="009B0D30">
              <w:fldChar w:fldCharType="end"/>
            </w:r>
          </w:p>
          <w:p w14:paraId="27FEC576" w14:textId="77777777" w:rsidR="00C15867" w:rsidRPr="00097B48" w:rsidRDefault="00C15867">
            <w:pPr>
              <w:rPr>
                <w:caps/>
                <w:lang w:val="en-US"/>
              </w:rPr>
            </w:pPr>
          </w:p>
          <w:p w14:paraId="73EA088B" w14:textId="77777777" w:rsidR="00C15867" w:rsidRPr="00C83E1B" w:rsidRDefault="00C15867">
            <w:pPr>
              <w:rPr>
                <w:lang w:val="fr-FR"/>
              </w:rPr>
            </w:pPr>
            <w:r>
              <w:t xml:space="preserve">RUSSIAN </w:t>
            </w:r>
            <w:r>
              <w:br/>
              <w:t>ORIGINAL: ENGLISH</w:t>
            </w:r>
          </w:p>
        </w:tc>
      </w:tr>
    </w:tbl>
    <w:p w14:paraId="6D94BB12" w14:textId="77777777" w:rsidR="001E2339" w:rsidRPr="00DB6803" w:rsidRDefault="001E2339" w:rsidP="001E2339">
      <w:pPr>
        <w:jc w:val="left"/>
      </w:pPr>
      <w:r w:rsidRPr="00DB6803">
        <w:t xml:space="preserve">ИСПОЛНИТЕЛЬНЫЙ КОМИТЕТ </w:t>
      </w:r>
      <w:r w:rsidRPr="00DB6803">
        <w:br/>
        <w:t xml:space="preserve">  МНОГОСТОРОННЕГО ФОНДА ДЛЯ </w:t>
      </w:r>
    </w:p>
    <w:p w14:paraId="7DD9A33D" w14:textId="77777777" w:rsidR="001E2339" w:rsidRPr="00DB6803" w:rsidRDefault="001E2339" w:rsidP="001E2339">
      <w:pPr>
        <w:jc w:val="left"/>
      </w:pPr>
      <w:r w:rsidRPr="00DB6803">
        <w:t xml:space="preserve">  ОСУЩЕСТВЛЕНИЯ МОНРЕАЛЬСКОГО ПРОТОКОЛА</w:t>
      </w:r>
      <w:r w:rsidRPr="00DB6803">
        <w:br/>
        <w:t xml:space="preserve">Девяносто шестое </w:t>
      </w:r>
      <w:r w:rsidRPr="00690438">
        <w:t>совещани</w:t>
      </w:r>
      <w:r>
        <w:t>е</w:t>
      </w:r>
    </w:p>
    <w:p w14:paraId="21584530" w14:textId="77777777" w:rsidR="001E2339" w:rsidRPr="004331A5" w:rsidRDefault="001E2339" w:rsidP="001E2339">
      <w:pPr>
        <w:jc w:val="left"/>
      </w:pPr>
      <w:r w:rsidRPr="00DB6803">
        <w:rPr>
          <w:lang w:eastAsia="zh-CN"/>
        </w:rPr>
        <w:t xml:space="preserve">Монреаль, </w:t>
      </w:r>
      <w:proofErr w:type="gramStart"/>
      <w:r w:rsidRPr="00DB6803">
        <w:rPr>
          <w:lang w:eastAsia="zh-CN"/>
        </w:rPr>
        <w:t>26-30</w:t>
      </w:r>
      <w:proofErr w:type="gramEnd"/>
      <w:r w:rsidRPr="00DB6803">
        <w:rPr>
          <w:lang w:eastAsia="zh-CN"/>
        </w:rPr>
        <w:t xml:space="preserve"> мая 2025 года</w:t>
      </w:r>
    </w:p>
    <w:p w14:paraId="7C53C0BA" w14:textId="3CEC816C" w:rsidR="0079781A" w:rsidRDefault="001E2339" w:rsidP="001E2339">
      <w:pPr>
        <w:spacing w:after="480"/>
        <w:jc w:val="left"/>
      </w:pPr>
      <w:r w:rsidRPr="004331A5">
        <w:t xml:space="preserve">Пункт </w:t>
      </w:r>
      <w:r w:rsidR="009A61A7" w:rsidRPr="009A61A7">
        <w:t>9 (a)</w:t>
      </w:r>
      <w:r w:rsidRPr="004331A5">
        <w:t xml:space="preserve"> предварительной повестки дня</w:t>
      </w:r>
      <w:r w:rsidR="0079781A" w:rsidRPr="00512BEF">
        <w:rPr>
          <w:rStyle w:val="afa"/>
        </w:rPr>
        <w:footnoteReference w:id="2"/>
      </w:r>
    </w:p>
    <w:p w14:paraId="204B22DB" w14:textId="712E6C95" w:rsidR="00E7088A" w:rsidRPr="001E24B4" w:rsidRDefault="00E7088A" w:rsidP="00A415BF">
      <w:pPr>
        <w:pStyle w:val="Title1"/>
        <w:spacing w:after="240"/>
        <w:rPr>
          <w:sz w:val="24"/>
          <w:szCs w:val="24"/>
        </w:rPr>
      </w:pPr>
      <w:r>
        <w:rPr>
          <w:sz w:val="24"/>
        </w:rPr>
        <w:t>Общий обзор вопросов, выявленных в ходе рассмотрения проектов</w:t>
      </w:r>
    </w:p>
    <w:p w14:paraId="70F6A533" w14:textId="77777777" w:rsidR="00E7088A" w:rsidRPr="00991C60" w:rsidRDefault="00E7088A" w:rsidP="00E7088A">
      <w:pPr>
        <w:pStyle w:val="Title1"/>
        <w:spacing w:after="240"/>
        <w:jc w:val="left"/>
        <w:rPr>
          <w:sz w:val="24"/>
          <w:szCs w:val="24"/>
        </w:rPr>
      </w:pPr>
      <w:r>
        <w:rPr>
          <w:caps w:val="0"/>
          <w:sz w:val="24"/>
        </w:rPr>
        <w:t>Введение</w:t>
      </w:r>
    </w:p>
    <w:p w14:paraId="412C9B93" w14:textId="77777777" w:rsidR="00E7088A" w:rsidRDefault="00E7088A" w:rsidP="004B50A2">
      <w:pPr>
        <w:pStyle w:val="1"/>
        <w:spacing w:before="120" w:after="120"/>
      </w:pPr>
      <w:r>
        <w:t>Настоящий документ состоит из следующих разделов:</w:t>
      </w:r>
    </w:p>
    <w:p w14:paraId="67592E97" w14:textId="77777777" w:rsidR="00E7088A" w:rsidRPr="00097B48" w:rsidRDefault="00E7088A" w:rsidP="00097B48">
      <w:pPr>
        <w:spacing w:before="240" w:after="240"/>
        <w:ind w:leftChars="322" w:left="1416" w:hangingChars="322" w:hanging="708"/>
        <w:rPr>
          <w:rFonts w:hint="eastAsia"/>
          <w:lang w:val="en-US" w:eastAsia="zh-CN"/>
        </w:rPr>
      </w:pPr>
      <w:r>
        <w:t>I:</w:t>
      </w:r>
      <w:r>
        <w:tab/>
        <w:t>Обзор проектов и мероприятий, представленных двусторонними учреждениями и учреждениями-исполнителями</w:t>
      </w:r>
    </w:p>
    <w:p w14:paraId="635D4F0A" w14:textId="2C2E1EA4" w:rsidR="00E7088A" w:rsidRDefault="00E7088A" w:rsidP="002A14F3">
      <w:pPr>
        <w:spacing w:before="240" w:after="240"/>
        <w:ind w:firstLine="706"/>
      </w:pPr>
      <w:r>
        <w:t>II.</w:t>
      </w:r>
      <w:r>
        <w:tab/>
        <w:t>Обзор проектов и мероприятий по итогам процесса обзора проектов</w:t>
      </w:r>
    </w:p>
    <w:p w14:paraId="1F2B7AC6" w14:textId="77777777" w:rsidR="00E7088A" w:rsidRPr="009914A8" w:rsidRDefault="00E7088A" w:rsidP="002A14F3">
      <w:pPr>
        <w:spacing w:before="240" w:after="240"/>
        <w:ind w:firstLine="720"/>
      </w:pPr>
      <w:r>
        <w:t>III.</w:t>
      </w:r>
      <w:r>
        <w:tab/>
        <w:t>Вопросы, выявленные в ходе рассмотрения проектов:</w:t>
      </w:r>
    </w:p>
    <w:p w14:paraId="091BAEBD" w14:textId="72832936" w:rsidR="00EC0559" w:rsidRPr="009914A8" w:rsidRDefault="00E7088A" w:rsidP="002A14F3">
      <w:pPr>
        <w:spacing w:before="240" w:after="240"/>
        <w:ind w:left="2126" w:hanging="686"/>
      </w:pPr>
      <w:r>
        <w:t>III.1</w:t>
      </w:r>
      <w:r>
        <w:tab/>
        <w:t xml:space="preserve">Расчет воздействия на климат планов реализации </w:t>
      </w:r>
      <w:proofErr w:type="spellStart"/>
      <w:r>
        <w:t>Кигалийской</w:t>
      </w:r>
      <w:proofErr w:type="spellEnd"/>
      <w:r>
        <w:t xml:space="preserve"> поправки по ГФУ</w:t>
      </w:r>
    </w:p>
    <w:p w14:paraId="05350A7F" w14:textId="7582DCD5" w:rsidR="001C4A6A" w:rsidRPr="001E6F4F" w:rsidRDefault="00EC0559" w:rsidP="002A14F3">
      <w:pPr>
        <w:spacing w:before="240" w:after="240"/>
        <w:ind w:left="2126" w:hanging="686"/>
      </w:pPr>
      <w:r>
        <w:t>III.2</w:t>
      </w:r>
      <w:r>
        <w:tab/>
        <w:t xml:space="preserve">Применимость </w:t>
      </w:r>
      <w:r w:rsidR="009623A2" w:rsidRPr="009623A2">
        <w:t xml:space="preserve">крайних сроков для мощностей ГФУ, имеющих право на получение финансирования, согласованных в решении 95/86(h), </w:t>
      </w:r>
      <w:r w:rsidR="009926A1" w:rsidRPr="009926A1">
        <w:t xml:space="preserve">в контексте </w:t>
      </w:r>
      <w:r w:rsidR="009623A2" w:rsidRPr="009623A2">
        <w:t>проектов, связанных с повышением энергоэффективности</w:t>
      </w:r>
    </w:p>
    <w:p w14:paraId="15E12BBB" w14:textId="7C57CFCE" w:rsidR="001C4A6A" w:rsidRPr="001E6F4F" w:rsidRDefault="001C4A6A" w:rsidP="002A14F3">
      <w:pPr>
        <w:spacing w:before="240" w:after="240"/>
        <w:ind w:left="2126" w:hanging="686"/>
      </w:pPr>
      <w:r>
        <w:t>III.3</w:t>
      </w:r>
      <w:r>
        <w:tab/>
        <w:t xml:space="preserve">Проверка потребления ГФУ для стран с низким объемом потребления, для которых утверждены этапы планов реализации </w:t>
      </w:r>
      <w:proofErr w:type="spellStart"/>
      <w:r>
        <w:t>Кигалийской</w:t>
      </w:r>
      <w:proofErr w:type="spellEnd"/>
      <w:r>
        <w:t xml:space="preserve"> поправки по ГФУ</w:t>
      </w:r>
    </w:p>
    <w:p w14:paraId="39C696F5" w14:textId="19FE9E3B" w:rsidR="001E6F4F" w:rsidRPr="001E6F4F" w:rsidRDefault="005E345A" w:rsidP="002A14F3">
      <w:pPr>
        <w:spacing w:before="240" w:after="240"/>
        <w:ind w:left="2126" w:hanging="686"/>
      </w:pPr>
      <w:r>
        <w:t>III.4</w:t>
      </w:r>
      <w:r>
        <w:tab/>
        <w:t>Запросы на финансирование подготовки проектов, представляемых в соответствии с решением 95/87(g)</w:t>
      </w:r>
    </w:p>
    <w:p w14:paraId="1A6701DB" w14:textId="6330378D" w:rsidR="005E345A" w:rsidRPr="00C312EA" w:rsidRDefault="005E345A" w:rsidP="002A14F3">
      <w:pPr>
        <w:spacing w:before="240" w:after="240"/>
        <w:ind w:left="2126" w:hanging="686"/>
      </w:pPr>
      <w:r>
        <w:t>III.5</w:t>
      </w:r>
      <w:r>
        <w:tab/>
        <w:t>Представление новых этапов планов организационной деятельности по поэтапному отказу от ГХФУ странами с низким объемом потребления</w:t>
      </w:r>
      <w:r w:rsidR="00915EA7">
        <w:t xml:space="preserve"> </w:t>
      </w:r>
      <w:r>
        <w:t xml:space="preserve">для </w:t>
      </w:r>
      <w:r>
        <w:lastRenderedPageBreak/>
        <w:t>достижения целевых показателей сокращения потребления за предыдущие годы</w:t>
      </w:r>
    </w:p>
    <w:p w14:paraId="60B4FC11" w14:textId="0C7B35AD" w:rsidR="00E7088A" w:rsidRDefault="00E7088A" w:rsidP="002A14F3">
      <w:pPr>
        <w:spacing w:before="240" w:after="240"/>
        <w:ind w:left="1440" w:hanging="720"/>
      </w:pPr>
      <w:r>
        <w:t>IV:</w:t>
      </w:r>
      <w:r>
        <w:tab/>
        <w:t>Доклады об осуществлении решений и последующ</w:t>
      </w:r>
      <w:r w:rsidR="00D30F3C">
        <w:t>ей</w:t>
      </w:r>
      <w:r>
        <w:t xml:space="preserve"> </w:t>
      </w:r>
      <w:r w:rsidR="00D30F3C">
        <w:t>деятельности</w:t>
      </w:r>
      <w:r>
        <w:t xml:space="preserve"> по итогам предыдущих обсуждений, касающихся обзора проектов</w:t>
      </w:r>
    </w:p>
    <w:p w14:paraId="1B4A3896" w14:textId="434C14A7" w:rsidR="00433C1A" w:rsidRPr="004B50A2" w:rsidRDefault="00433C1A" w:rsidP="00C312EA">
      <w:pPr>
        <w:pStyle w:val="1"/>
        <w:spacing w:after="0"/>
      </w:pPr>
      <w:r>
        <w:t>Разделы I, II и IV представлены в добавлении к настоящему документу (документ UNEP/</w:t>
      </w:r>
      <w:proofErr w:type="spellStart"/>
      <w:r>
        <w:t>OzL.Pro</w:t>
      </w:r>
      <w:proofErr w:type="spellEnd"/>
      <w:r>
        <w:t>/</w:t>
      </w:r>
      <w:proofErr w:type="spellStart"/>
      <w:r>
        <w:t>ExCom</w:t>
      </w:r>
      <w:proofErr w:type="spellEnd"/>
      <w:r>
        <w:t>/96/16/Add.1).</w:t>
      </w:r>
      <w:r w:rsidR="00CA36BF">
        <w:t xml:space="preserve"> </w:t>
      </w:r>
    </w:p>
    <w:p w14:paraId="3F1618DE" w14:textId="77777777" w:rsidR="00E7088A" w:rsidRPr="00FD3B6E" w:rsidRDefault="00E7088A" w:rsidP="00314634">
      <w:pPr>
        <w:pStyle w:val="1"/>
        <w:keepNext/>
        <w:keepLines/>
        <w:numPr>
          <w:ilvl w:val="0"/>
          <w:numId w:val="22"/>
        </w:numPr>
        <w:spacing w:before="240"/>
        <w:ind w:left="731" w:hanging="731"/>
        <w:jc w:val="left"/>
        <w:rPr>
          <w:b/>
          <w:sz w:val="24"/>
          <w:szCs w:val="24"/>
        </w:rPr>
      </w:pPr>
      <w:r>
        <w:rPr>
          <w:b/>
          <w:sz w:val="24"/>
        </w:rPr>
        <w:t>Вопросы, выявленные в ходе рассмотрения проектов</w:t>
      </w:r>
    </w:p>
    <w:p w14:paraId="4DC4D690" w14:textId="1EBC1DEA" w:rsidR="00E7088A" w:rsidRPr="00FD3B6E" w:rsidRDefault="00E7088A" w:rsidP="00314634">
      <w:pPr>
        <w:keepNext/>
        <w:keepLines/>
        <w:spacing w:after="240"/>
        <w:outlineLvl w:val="0"/>
        <w:rPr>
          <w:b/>
          <w:bCs/>
          <w:sz w:val="24"/>
          <w:szCs w:val="24"/>
        </w:rPr>
      </w:pPr>
      <w:r>
        <w:rPr>
          <w:b/>
          <w:sz w:val="24"/>
        </w:rPr>
        <w:t>III.1</w:t>
      </w:r>
      <w:r>
        <w:rPr>
          <w:b/>
          <w:sz w:val="24"/>
        </w:rPr>
        <w:tab/>
        <w:t xml:space="preserve">Расчет воздействия на климат планов реализации </w:t>
      </w:r>
      <w:proofErr w:type="spellStart"/>
      <w:r>
        <w:rPr>
          <w:b/>
          <w:sz w:val="24"/>
        </w:rPr>
        <w:t>Кигалийской</w:t>
      </w:r>
      <w:proofErr w:type="spellEnd"/>
      <w:r>
        <w:rPr>
          <w:b/>
          <w:sz w:val="24"/>
        </w:rPr>
        <w:t xml:space="preserve"> поправки по ГФУ</w:t>
      </w:r>
    </w:p>
    <w:p w14:paraId="2CB2A7F5" w14:textId="61690A00" w:rsidR="00EE4218" w:rsidRPr="00A26EAC" w:rsidRDefault="003D4CD5" w:rsidP="007250C7">
      <w:pPr>
        <w:pStyle w:val="1"/>
        <w:spacing w:before="240"/>
      </w:pPr>
      <w:r>
        <w:t xml:space="preserve">В дополнение к обновленной информации о расчете воздействия на климат мероприятий, предусмотренных планами реализации </w:t>
      </w:r>
      <w:proofErr w:type="spellStart"/>
      <w:r>
        <w:t>Кигалийской</w:t>
      </w:r>
      <w:proofErr w:type="spellEnd"/>
      <w:r>
        <w:t xml:space="preserve"> поправки по ГФУ (ПРК), представленной в «Общем обзоре вопросов, выявленных в ходе рассмотрения проектов» на 95-м совещании</w:t>
      </w:r>
      <w:r w:rsidR="00BD65BC">
        <w:rPr>
          <w:rStyle w:val="afa"/>
          <w:lang w:val="en-US"/>
        </w:rPr>
        <w:footnoteReference w:id="3"/>
      </w:r>
      <w:r w:rsidR="00C63E88">
        <w:t>,</w:t>
      </w:r>
      <w:r>
        <w:t xml:space="preserve"> секретариат должен был представить на 96-м совещании дополнительную информацию о тестируемой методологии с применением обновленной версии индикатора воздействия на климат Многостороннего фонда (ИВКМФ)</w:t>
      </w:r>
      <w:r w:rsidR="000A14F8">
        <w:rPr>
          <w:rStyle w:val="afa"/>
          <w:lang w:val="en-US"/>
        </w:rPr>
        <w:footnoteReference w:id="4"/>
      </w:r>
      <w:r>
        <w:t xml:space="preserve">. Соответственно, секретариат представляет предлагаемую методологию оценки воздействия ПРК на климат. Данная методология была представлена члену </w:t>
      </w:r>
      <w:proofErr w:type="gramStart"/>
      <w:r>
        <w:t>Группы по научной оценке</w:t>
      </w:r>
      <w:proofErr w:type="gramEnd"/>
      <w:r>
        <w:t xml:space="preserve"> (ГНО) Монреальского протокола, и его замечания были учтены при ее разработке.</w:t>
      </w:r>
    </w:p>
    <w:p w14:paraId="5CE22DC1" w14:textId="77777777" w:rsidR="00EE4218" w:rsidRPr="006C7BDE" w:rsidRDefault="00EE4218" w:rsidP="007250C7">
      <w:pPr>
        <w:keepNext/>
        <w:spacing w:before="240" w:after="240"/>
        <w:outlineLvl w:val="0"/>
        <w:rPr>
          <w:b/>
          <w:bCs/>
        </w:rPr>
      </w:pPr>
      <w:r>
        <w:rPr>
          <w:b/>
        </w:rPr>
        <w:t>История вопроса</w:t>
      </w:r>
    </w:p>
    <w:p w14:paraId="6C023774" w14:textId="327F4AB1" w:rsidR="00EE4218" w:rsidRPr="0090782F" w:rsidRDefault="00EE4218" w:rsidP="00523BA7">
      <w:pPr>
        <w:pStyle w:val="1"/>
        <w:spacing w:before="240" w:after="0"/>
      </w:pPr>
      <w:r>
        <w:t>Несмотря на то, что информация о воздействии на климат в связи с осуществлением планов организационной деятельности по поэтапному отказу от ГХФУ (ПОДПО) была включена в соответствующие документы совещаний, она носила ограниченный характер. В отношении ПОДПО, включавших только мероприятия в секторе обслуживания, секретариат отметил, что каждый килограмм ГХФУ</w:t>
      </w:r>
      <w:r>
        <w:noBreakHyphen/>
        <w:t>22, выбросы которого были предотвращены благодаря более эффективным методам охлаждения, обеспечивал сокращение выбросов примерно на 1,8 тонны эквивалента CO</w:t>
      </w:r>
      <w:r>
        <w:rPr>
          <w:vertAlign w:val="subscript"/>
        </w:rPr>
        <w:t>2</w:t>
      </w:r>
      <w:r>
        <w:t xml:space="preserve"> (эквивалент</w:t>
      </w:r>
      <w:r w:rsidR="00C63E88" w:rsidRPr="00C63E88">
        <w:t xml:space="preserve"> </w:t>
      </w:r>
      <w:r w:rsidR="00C63E88">
        <w:t>СО₂</w:t>
      </w:r>
      <w:r>
        <w:t>).</w:t>
      </w:r>
      <w:r w:rsidR="00D85F0C">
        <w:t xml:space="preserve"> </w:t>
      </w:r>
      <w:r>
        <w:t>Однако не были представлены данные о совокупном сокращении выбросов ГХФУ</w:t>
      </w:r>
      <w:r w:rsidR="001D5DEE">
        <w:t xml:space="preserve"> </w:t>
      </w:r>
      <w:r>
        <w:t xml:space="preserve">в результате мероприятий по поэтапному отказу от </w:t>
      </w:r>
      <w:r w:rsidR="001D5DEE">
        <w:t>ГХФУ</w:t>
      </w:r>
      <w:r>
        <w:t>. В отношении ПОДПО, предполагающих перевод производственных мощностей на новые технологии, представленная на сегодняшний день информация отражала только воздействие на климат от конверсии производства за один год</w:t>
      </w:r>
      <w:r w:rsidR="00C708DB">
        <w:t>, а не</w:t>
      </w:r>
      <w:r>
        <w:t xml:space="preserve"> кумулятивное </w:t>
      </w:r>
      <w:r w:rsidR="00946C56">
        <w:t xml:space="preserve">воздействие за весь период </w:t>
      </w:r>
      <w:r>
        <w:t>осуществления ПОДПО. В частности, расчет воздействия на климат от конверсии производственных мощностей приводился в отношении выгоды, достигаемой благодаря выпуску продукции в течение одного года с применением новой технологии. При расчете воздействия на климат от конверсии в секторе производства холодильного оборудования и систем кондиционирования воздуха выполненный с использованием индикатора воздействия на климат Многостороннего фонда (ИВКМФ) также учитывается сокращение выбросов при обслуживании оборудования, произведенного в течение одного года, и снижение выбросов благодаря повышению энергоэффективности в течение всего срока службы такого оборудования.</w:t>
      </w:r>
    </w:p>
    <w:p w14:paraId="6A277621" w14:textId="62CB35CF" w:rsidR="009153BC" w:rsidRPr="007165F7" w:rsidRDefault="009153BC" w:rsidP="00523BA7">
      <w:pPr>
        <w:pStyle w:val="1"/>
        <w:spacing w:before="240"/>
      </w:pPr>
      <w:r>
        <w:t xml:space="preserve">Принятие </w:t>
      </w:r>
      <w:proofErr w:type="spellStart"/>
      <w:r>
        <w:t>Кигалийской</w:t>
      </w:r>
      <w:proofErr w:type="spellEnd"/>
      <w:r>
        <w:t xml:space="preserve"> поправки ввело обязательства по контролю за ГФУ, измеряемые в тоннах эквивалента CO₂. Отчетность о сокращении потребления и производства в рамках проектов по поэтапному сокращению ГФУ, финансируемых Многосторонним фондом, будет столь же простой и понятной, как и в случае проектов по поэтапному отказу от озоноразрушающих веществ </w:t>
      </w:r>
      <w:r>
        <w:lastRenderedPageBreak/>
        <w:t>(ОРВ), с единственным существенным отличием – единицей измерения (тонны эквивалента CO</w:t>
      </w:r>
      <w:r>
        <w:rPr>
          <w:vertAlign w:val="subscript"/>
        </w:rPr>
        <w:t>2</w:t>
      </w:r>
      <w:r>
        <w:t xml:space="preserve"> вместо тонны ОРС). В отличие от этого, оценка климатических выгод, достигаемых в результате осуществления проектов по поэтапному сокращению ГФУ, требует принципиально иного подхода. Соответственно, </w:t>
      </w:r>
      <w:r w:rsidR="002A25B6">
        <w:t>с</w:t>
      </w:r>
      <w:r>
        <w:t>екретариат разработал нижеизложенную методологию, направленную на учет совокупной выгоды от осуществления ПРК и обеспечение справедливого подхода ко всем странам, действующим в рамках статьи 5.</w:t>
      </w:r>
    </w:p>
    <w:p w14:paraId="6F90D1EE" w14:textId="2B99E3D5" w:rsidR="00991781" w:rsidRPr="0015374D" w:rsidRDefault="00991781" w:rsidP="00124A5D">
      <w:pPr>
        <w:pStyle w:val="1"/>
        <w:spacing w:after="0"/>
      </w:pPr>
      <w:r>
        <w:t>Базовый уровень потребления ГХФУ для оценки соблюдения обязательств для стран, действующих в рамках статьи 5, включает два компонента: потребление ГФУ в базовые годы</w:t>
      </w:r>
      <w:r>
        <w:rPr>
          <w:rStyle w:val="afa"/>
          <w:lang w:val="en-US"/>
        </w:rPr>
        <w:footnoteReference w:id="5"/>
      </w:r>
      <w:r>
        <w:t xml:space="preserve"> </w:t>
      </w:r>
      <w:r w:rsidR="004A47D8">
        <w:t xml:space="preserve">и </w:t>
      </w:r>
      <w:r>
        <w:t>компонент ГХФУ, эквивалентный 65</w:t>
      </w:r>
      <w:r w:rsidR="004A47D8">
        <w:t xml:space="preserve"> </w:t>
      </w:r>
      <w:r>
        <w:t xml:space="preserve">% базового уровня потребления ГХФУ. Все ПРК, одобренные до настоящего времени, предусматривают целевые показатели, гарантирующие соблюдение соответствующей страной, действующей в рамках статьи 5, положений Монреальского протокола. Однако лишь несколько ПРК устанавливают конечный целевой показатель ниже последнего зафиксированного объема потребления ГФУ в данной стране. При оценке климатических выгод на основе последних данных о потреблении почти все этапы ПРК, одобренные до настоящего времени, демонстрировали бы отрицательный климатический эффект, что не отражает реально предотвращенных выбросов благодаря осуществлению ПРК. Более того, это противоречило бы достигнутому Сторонами соглашению при определении базового уровня потребления ГФУ для оценки соблюдения обязательств, допускающему временный рост потребления странами, действующими в рамках статьи 5, в том числе за счет перехода с ГХФУ на ГФУ. В этой связи методология оценки климатических выгод в </w:t>
      </w:r>
      <w:r w:rsidR="001D043E">
        <w:t>результате</w:t>
      </w:r>
      <w:r>
        <w:t xml:space="preserve"> осуществлени</w:t>
      </w:r>
      <w:r w:rsidR="001D043E">
        <w:t>я</w:t>
      </w:r>
      <w:r>
        <w:t xml:space="preserve"> ПРК основана на объеме предотвращенных выбросов по сравнению с инерционным</w:t>
      </w:r>
      <w:r w:rsidR="00137659">
        <w:t>и</w:t>
      </w:r>
      <w:r>
        <w:t xml:space="preserve"> сценари</w:t>
      </w:r>
      <w:r w:rsidR="00137659">
        <w:t>ями</w:t>
      </w:r>
      <w:r>
        <w:t xml:space="preserve"> (ИС).</w:t>
      </w:r>
    </w:p>
    <w:p w14:paraId="43FFC88B" w14:textId="77777777" w:rsidR="00EE4218" w:rsidRPr="006C7BDE" w:rsidRDefault="00EE4218" w:rsidP="00124A5D">
      <w:pPr>
        <w:pStyle w:val="1"/>
        <w:keepNext/>
        <w:numPr>
          <w:ilvl w:val="0"/>
          <w:numId w:val="0"/>
        </w:numPr>
        <w:spacing w:before="240"/>
        <w:rPr>
          <w:b/>
          <w:bCs/>
        </w:rPr>
      </w:pPr>
      <w:r>
        <w:rPr>
          <w:b/>
        </w:rPr>
        <w:t>Разработка инерционных сценариев</w:t>
      </w:r>
    </w:p>
    <w:p w14:paraId="46BD4374" w14:textId="67C4CDC3" w:rsidR="00EE4218" w:rsidRPr="006D5F28" w:rsidRDefault="00EE4218" w:rsidP="00EE4218">
      <w:pPr>
        <w:pStyle w:val="1"/>
      </w:pPr>
      <w:r>
        <w:t xml:space="preserve">В предложенной секретариатом методологии применяются три ИС для определения вероятного диапазона сокращения потребления ГФУ. Потребление ГФУ используется в качестве косвенного показателя выбросов, поскольку предполагается, что все потребление </w:t>
      </w:r>
      <w:proofErr w:type="gramStart"/>
      <w:r>
        <w:t>в конечном итоге</w:t>
      </w:r>
      <w:proofErr w:type="gramEnd"/>
      <w:r>
        <w:t xml:space="preserve"> приводит к выбросам, при этом методология не делает предположений о временных рамках таких выбросов.</w:t>
      </w:r>
      <w:r w:rsidR="00A27383">
        <w:t xml:space="preserve"> </w:t>
      </w:r>
      <w:r>
        <w:t>Соответственно, термин «предотвращенные выбросы» можно рассматривать как эквивалент термина «предотвращенное потребление». Поскольку меры регулирования в рамках Монреальского протокола приводят к сокращению потребления, они обеспечивают устойчивое совокупное сокращение, создавая кумулятивный положительный эффект.</w:t>
      </w:r>
    </w:p>
    <w:p w14:paraId="65D19381" w14:textId="1EE17200" w:rsidR="00EE4218" w:rsidRPr="007047AA" w:rsidRDefault="00EE4218" w:rsidP="00EE4218">
      <w:pPr>
        <w:pStyle w:val="1"/>
      </w:pPr>
      <w:r>
        <w:t>Помимо использования потребления в качестве косвенного показателя выбросов, существуют альтернативные методологии, оценивающие выбросы хладагентов на основе подробной инвентаризации имеющегося в стране парка оборудования и, по мере необходимости, объемов производства оборудования, использующего ГФУ, а также коэффициентов выбросов других секторов (пожаротушение, аэрозоли, растворители). Межправительственная группа экспертов по изменению климата (МГЭИК) рекомендует три уровня оценки, где уровень 1 – наиболее простой и наименее трудоемкий, а уровень 3 требует максимального объема данных и является наиболее трудоемким. Выбор уровня зависит от наличия данных инвентаризации за несколько лет и оценок неопределенности по категориям источников с учетом национальных условий</w:t>
      </w:r>
      <w:r w:rsidRPr="0024502E">
        <w:rPr>
          <w:rStyle w:val="afa"/>
          <w:lang w:val="en-US"/>
        </w:rPr>
        <w:footnoteReference w:id="6"/>
      </w:r>
      <w:r>
        <w:t xml:space="preserve">. Для оценки предотвращенных выбросов на основе инвентаризации потребуется не только первоначальный кадастр выбросов, но и подробное описание в проекте ПРК ожидаемой динамики в процессе осуществления ПРК, включая, в частности, динамику парка установленного оборудования и связанных с ним выбросов ГФУ с учетом усовершенствованного обслуживания в рамках ПРК. Такой подход потребует значительных дополнительных ресурсов: учреждениям – для включения такой информации при подготовке ПРК, странам, действующим в рамках статьи 5, – для </w:t>
      </w:r>
      <w:r>
        <w:lastRenderedPageBreak/>
        <w:t>сбора необходимых данных и ведения кадастра выбросов, секретариату – для анализа предоставленной информации.</w:t>
      </w:r>
    </w:p>
    <w:p w14:paraId="341497F4" w14:textId="0B5125D5" w:rsidR="00EE4218" w:rsidRDefault="00EE4218" w:rsidP="00EE4218">
      <w:pPr>
        <w:pStyle w:val="1"/>
      </w:pPr>
      <w:r>
        <w:t xml:space="preserve">Предлагаемые инерционные сценарии (ИС) основываются на исходном уровне потребления ГФУ в базовые годы и расчетных темпах роста потребления, как показано ниже: </w:t>
      </w:r>
    </w:p>
    <w:p w14:paraId="15162830" w14:textId="623597DD" w:rsidR="00EE4218" w:rsidRDefault="00EE4218" w:rsidP="00EE4218">
      <w:pPr>
        <w:pStyle w:val="2"/>
        <w:widowControl/>
        <w:numPr>
          <w:ilvl w:val="1"/>
          <w:numId w:val="1"/>
        </w:numPr>
      </w:pPr>
      <w:r>
        <w:t>ИС с низким уровнем потребления: рассчитывается как произведение компонента ГФУ базового потребления на темпы роста. Отражает минимальный уровень исходного потребления, на основании которого можно рассчитать рост, поскольку соответствует фактическому потреблению ГФУ страной в базовые годы;</w:t>
      </w:r>
    </w:p>
    <w:p w14:paraId="0E1063ED" w14:textId="369B3B0E" w:rsidR="00EE4218" w:rsidRDefault="00EE4218" w:rsidP="00EE4218">
      <w:pPr>
        <w:pStyle w:val="2"/>
        <w:widowControl/>
        <w:numPr>
          <w:ilvl w:val="1"/>
          <w:numId w:val="1"/>
        </w:numPr>
      </w:pPr>
      <w:r>
        <w:t xml:space="preserve">ИС с промежуточным уровнем потребления: рассчитывается как произведение компонента ГФУ базового потребления на темпы роста плюс среднее потребление ГХФУ в стране в те же базовые годы. Это соответствует промежуточному объему исходного потребления, на основании которого можно рассчитать рост, поскольку в него включен остаточный объем потребления ГХФУ, способный привести к дополнительному потреблению ГФУ вследствие поэтапного </w:t>
      </w:r>
      <w:r w:rsidR="008355A3">
        <w:t>отказа от</w:t>
      </w:r>
      <w:r>
        <w:t xml:space="preserve"> ГХФУ, при этом предполагается, что переход от ГХФУ к ГФУ будет осуществляться постепенно в течение пяти лет; и</w:t>
      </w:r>
    </w:p>
    <w:p w14:paraId="25D62E33" w14:textId="77777777" w:rsidR="00EE4218" w:rsidRPr="00492363" w:rsidRDefault="00EE4218" w:rsidP="00EE4218">
      <w:pPr>
        <w:pStyle w:val="2"/>
        <w:widowControl/>
        <w:numPr>
          <w:ilvl w:val="1"/>
          <w:numId w:val="1"/>
        </w:numPr>
      </w:pPr>
      <w:r>
        <w:t>ИС с высоким уровнем потребления: рассчитывается как произведение базового уровня потребления ГФУ на темпы роста. Отражает максимальный уровень исходного потребления, на основании которого можно рассчитать рост, и соответствует общему объему базового потребления ГФУ, независимо от того, достигла ли страна такого уровня фактического потребления.</w:t>
      </w:r>
    </w:p>
    <w:p w14:paraId="24B72FB9" w14:textId="6D61ABCE" w:rsidR="00EE4218" w:rsidRPr="00EE1744" w:rsidRDefault="00EE4218" w:rsidP="00EE4218">
      <w:pPr>
        <w:pStyle w:val="1"/>
      </w:pPr>
      <w:r>
        <w:t>В своих докладах об оценках ГНО использовала сценарии на основе предотвращенных на глобальном уровне выбросов для оценки воздействия Монреальского протокола на климат. Сценарий предотвращен</w:t>
      </w:r>
      <w:r w:rsidR="00FD0342">
        <w:t>ных</w:t>
      </w:r>
      <w:r>
        <w:t xml:space="preserve"> выбросов </w:t>
      </w:r>
      <w:r w:rsidR="00422A25">
        <w:t xml:space="preserve">на глобальном уровне </w:t>
      </w:r>
      <w:r>
        <w:t xml:space="preserve">представляет собой идеализированный </w:t>
      </w:r>
      <w:proofErr w:type="spellStart"/>
      <w:r>
        <w:t>контрфактический</w:t>
      </w:r>
      <w:proofErr w:type="spellEnd"/>
      <w:r>
        <w:t xml:space="preserve"> анализ и обычно предполагает, что в отсутствие контроля за ОВР в рамках Монреальского протокола объемы выбросов ОРВ увеличивались бы со скоростью </w:t>
      </w:r>
      <w:r w:rsidR="005508DB">
        <w:t>3,0–3,</w:t>
      </w:r>
      <w:proofErr w:type="gramStart"/>
      <w:r w:rsidR="005508DB">
        <w:t xml:space="preserve">5 </w:t>
      </w:r>
      <w:r>
        <w:t xml:space="preserve"> %</w:t>
      </w:r>
      <w:proofErr w:type="gramEnd"/>
      <w:r>
        <w:t xml:space="preserve"> в год с учетом ожидаемого роста валового внутреннего продукта (ВВП) и анализа рынка. При этом устойчивые темпы роста выбросов ОРВ в размере </w:t>
      </w:r>
      <w:r w:rsidR="005508DB">
        <w:t>3,0–3,</w:t>
      </w:r>
      <w:proofErr w:type="gramStart"/>
      <w:r w:rsidR="005508DB">
        <w:t xml:space="preserve">5 </w:t>
      </w:r>
      <w:r w:rsidR="00DD793A">
        <w:t> </w:t>
      </w:r>
      <w:r>
        <w:t>%</w:t>
      </w:r>
      <w:proofErr w:type="gramEnd"/>
      <w:r>
        <w:t xml:space="preserve"> в год </w:t>
      </w:r>
      <w:r w:rsidR="00AD6C81">
        <w:t>представляют</w:t>
      </w:r>
      <w:r>
        <w:t xml:space="preserve"> лишь од</w:t>
      </w:r>
      <w:r w:rsidR="00AD6C81">
        <w:t>ин</w:t>
      </w:r>
      <w:r>
        <w:t xml:space="preserve"> из возможных сценариев предотвращенных на глобальном уровне выбросов, которые также могут включать сценарии с различными предположениями относительно будущего роста ВВП</w:t>
      </w:r>
      <w:r>
        <w:rPr>
          <w:rStyle w:val="afa"/>
        </w:rPr>
        <w:footnoteReference w:id="7"/>
      </w:r>
      <w:r>
        <w:t>.</w:t>
      </w:r>
    </w:p>
    <w:p w14:paraId="22AE93D7" w14:textId="0C1E18CE" w:rsidR="00EE4218" w:rsidRPr="008A7CF7" w:rsidRDefault="00EE4218" w:rsidP="00EE4218">
      <w:pPr>
        <w:pStyle w:val="1"/>
      </w:pPr>
      <w:r>
        <w:t>Секретариат предлагает применять номинальный темп роста потребления ГФУ на уровне 3</w:t>
      </w:r>
      <w:r w:rsidR="00AD6C81">
        <w:t> </w:t>
      </w:r>
      <w:r>
        <w:t>% для всех стран, действующих в рамках статьи 5, что соответствует нижней границе диапазона темпов роста, используемого ГНО. Секретариат не рекомендует использовать ИС, включенные в проекты ПРК, представленные учреждениями, поскольку это привело бы к различиям в темпах роста между странами, действующими в рамках статьи 5, и поставило бы под сомнение принцип справедливости. Например, применение страновых показателей роста привело бы к снижению оцениваемых климатических выгод для страны, действующей в рамках статьи 5, с более низким ожидаемым ростом ВВП по сравнению со страной, где ожидается более высокий рост. Кроме того, использование ИС в представляемых учреждениями проектах ПРК могло бы создать стимул для завышения показателей роста по сравнению с реалистичными оценками.</w:t>
      </w:r>
    </w:p>
    <w:p w14:paraId="1E6A6B76" w14:textId="77777777" w:rsidR="00EE4218" w:rsidRDefault="00EE4218" w:rsidP="00EE4218">
      <w:pPr>
        <w:pStyle w:val="1"/>
      </w:pPr>
      <w:r>
        <w:t xml:space="preserve">Расчетный диапазон предотвращенных выбросов в результате осуществления ПРК определяется как разница между ИС с низким и высоким уровнем потребления и целевым показателем на соответствующий год, указанным в соглашении ПРК, с учетом того, что целевой </w:t>
      </w:r>
      <w:r>
        <w:lastRenderedPageBreak/>
        <w:t>показатель может быть ниже значения, предусмотренного Монреальским протоколом. Для обеспечения учета сокращений выбросов, достигаемых за счет снижения потребления, выгоды интегрируются на десятилетний период до 2050 года, при этом предполагается, что целевые показатели на будущих этапах ПРК будут соответствовать обязательствам по контролю в рамках Монреальского протокола. Десятилетний период и горизонт до 2050 года также обеспечат согласованность при сравнении и обзоре этапов ПРК в последующие годы. В случае, если потребление ГФУ в рамках ИС в конкретном году оказывается ниже целевого показателя для этого года, объем предотвращенных выбросов за данный год считается нулевым.</w:t>
      </w:r>
    </w:p>
    <w:p w14:paraId="73A944DD" w14:textId="5875EB9A" w:rsidR="00EE4218" w:rsidRPr="00075BAA" w:rsidRDefault="00EE4218" w:rsidP="00EE4218">
      <w:pPr>
        <w:pStyle w:val="1"/>
      </w:pPr>
      <w:r>
        <w:t>В методологии не учитывается потенциал глобального потепления (ПГП) веществ, не регулируемых Монреальским протоколом, которые могут быть постепенно введены в обращение в ходе поэтапного сокращения ГФУ, а также ПГП веществ, не являющихся ГФУ, но которые могут быть выведены из обращения в процессе поэтапного сокращения ГФУ</w:t>
      </w:r>
      <w:r>
        <w:rPr>
          <w:rStyle w:val="afa"/>
          <w:lang w:val="en-US"/>
        </w:rPr>
        <w:footnoteReference w:id="8"/>
      </w:r>
      <w:r>
        <w:t>. Первый вариант приводит к завышению оценки объема предотвращенных выбросов, а второй – занижению. Кроме того, методология не учитывает особенности использования ГФУ, которые могут варьироваться в зависимости от климатических зон и уровня экономического развития стран, что, в свою очередь, может влиять на ожидаемый рост потребления ГФУ, сроки их выбросов в атмосферу, а также на возможное усиление тепловых волн и других климатических явлений.</w:t>
      </w:r>
    </w:p>
    <w:p w14:paraId="3FC3B890" w14:textId="54CA46C7" w:rsidR="00EE4218" w:rsidRPr="00C22067" w:rsidRDefault="00EE4218" w:rsidP="00EE4218">
      <w:pPr>
        <w:pStyle w:val="1"/>
      </w:pPr>
      <w:r>
        <w:t>Секретариат применил данную методологию для этапа I ПРК, утвержденных на 95-м совещании. Оценка предотвращенных выбросов до 2035 года варьируется от 12,46 до 38,55 млн тонн эквивалента CO₂</w:t>
      </w:r>
      <w:r w:rsidR="00E6706C">
        <w:t>,</w:t>
      </w:r>
      <w:r w:rsidR="00064DEF">
        <w:t xml:space="preserve"> а</w:t>
      </w:r>
      <w:r>
        <w:t xml:space="preserve"> до 2050 года – от 138,08 до 225,74 млн тонн эквивалента CO₂, как показано в таблице 1. В данном примере целевые показатели ПРК были ниже, чем требуемые Монреальским протоколом, что привело к дополнительному предотвращению выбросов в объеме 4,32 млн тонн эквивалента CO₂ для каждого инерционного сценария, </w:t>
      </w:r>
      <w:r w:rsidR="003F5DFA">
        <w:t xml:space="preserve">которые были </w:t>
      </w:r>
      <w:r>
        <w:t>включены в указанные ниже диапазоны.</w:t>
      </w:r>
    </w:p>
    <w:p w14:paraId="528C43E7" w14:textId="0E1F62CB" w:rsidR="00EE4218" w:rsidRPr="002720A8" w:rsidRDefault="00EE4218" w:rsidP="00EE4218">
      <w:pPr>
        <w:rPr>
          <w:b/>
          <w:bCs/>
        </w:rPr>
      </w:pPr>
      <w:r>
        <w:rPr>
          <w:b/>
        </w:rPr>
        <w:t>Таблица 1. Предотвращенные выбросы (</w:t>
      </w:r>
      <w:r w:rsidR="003135F1">
        <w:rPr>
          <w:b/>
        </w:rPr>
        <w:t>млн</w:t>
      </w:r>
      <w:r>
        <w:rPr>
          <w:b/>
        </w:rPr>
        <w:t xml:space="preserve"> тонн эквивалента CO₂)</w:t>
      </w:r>
    </w:p>
    <w:tbl>
      <w:tblPr>
        <w:tblStyle w:val="aa"/>
        <w:tblW w:w="5000" w:type="pct"/>
        <w:tblLook w:val="04A0" w:firstRow="1" w:lastRow="0" w:firstColumn="1" w:lastColumn="0" w:noHBand="0" w:noVBand="1"/>
      </w:tblPr>
      <w:tblGrid>
        <w:gridCol w:w="2337"/>
        <w:gridCol w:w="2337"/>
        <w:gridCol w:w="2338"/>
        <w:gridCol w:w="2338"/>
      </w:tblGrid>
      <w:tr w:rsidR="00EE4218" w:rsidRPr="00852DB1" w14:paraId="6643B3EA" w14:textId="77777777" w:rsidTr="00AD3FB0">
        <w:tc>
          <w:tcPr>
            <w:tcW w:w="1250" w:type="pct"/>
          </w:tcPr>
          <w:p w14:paraId="6A15DBB8" w14:textId="68401FB9" w:rsidR="00EE4218" w:rsidRPr="00097B48" w:rsidRDefault="00EE4218">
            <w:pPr>
              <w:rPr>
                <w:sz w:val="20"/>
                <w:szCs w:val="20"/>
              </w:rPr>
            </w:pPr>
          </w:p>
        </w:tc>
        <w:tc>
          <w:tcPr>
            <w:tcW w:w="1250" w:type="pct"/>
          </w:tcPr>
          <w:p w14:paraId="639B03C6" w14:textId="77777777" w:rsidR="00EE4218" w:rsidRPr="00852DB1" w:rsidRDefault="00EE4218">
            <w:pPr>
              <w:jc w:val="center"/>
              <w:rPr>
                <w:b/>
                <w:bCs/>
                <w:sz w:val="20"/>
                <w:szCs w:val="20"/>
              </w:rPr>
            </w:pPr>
            <w:r>
              <w:rPr>
                <w:b/>
                <w:sz w:val="20"/>
              </w:rPr>
              <w:t>Низкий</w:t>
            </w:r>
          </w:p>
        </w:tc>
        <w:tc>
          <w:tcPr>
            <w:tcW w:w="1250" w:type="pct"/>
          </w:tcPr>
          <w:p w14:paraId="4CECAC47" w14:textId="77777777" w:rsidR="00EE4218" w:rsidRPr="00852DB1" w:rsidRDefault="00EE4218">
            <w:pPr>
              <w:jc w:val="center"/>
              <w:rPr>
                <w:b/>
                <w:bCs/>
                <w:sz w:val="20"/>
                <w:szCs w:val="20"/>
              </w:rPr>
            </w:pPr>
            <w:r>
              <w:rPr>
                <w:b/>
                <w:sz w:val="20"/>
              </w:rPr>
              <w:t>Среднее</w:t>
            </w:r>
          </w:p>
        </w:tc>
        <w:tc>
          <w:tcPr>
            <w:tcW w:w="1250" w:type="pct"/>
          </w:tcPr>
          <w:p w14:paraId="2E9A0878" w14:textId="77777777" w:rsidR="00EE4218" w:rsidRPr="00852DB1" w:rsidRDefault="00EE4218">
            <w:pPr>
              <w:jc w:val="center"/>
              <w:rPr>
                <w:b/>
                <w:bCs/>
                <w:sz w:val="20"/>
                <w:szCs w:val="20"/>
              </w:rPr>
            </w:pPr>
            <w:r>
              <w:rPr>
                <w:b/>
                <w:sz w:val="20"/>
              </w:rPr>
              <w:t>Высокие</w:t>
            </w:r>
          </w:p>
        </w:tc>
      </w:tr>
      <w:tr w:rsidR="00EE4218" w:rsidRPr="00852DB1" w14:paraId="4EE98798" w14:textId="77777777" w:rsidTr="00AD3FB0">
        <w:tc>
          <w:tcPr>
            <w:tcW w:w="1250" w:type="pct"/>
          </w:tcPr>
          <w:p w14:paraId="4E5A0D6B" w14:textId="77777777" w:rsidR="00EE4218" w:rsidRPr="00852DB1" w:rsidRDefault="00EE4218">
            <w:pPr>
              <w:rPr>
                <w:sz w:val="20"/>
                <w:szCs w:val="20"/>
              </w:rPr>
            </w:pPr>
            <w:r>
              <w:rPr>
                <w:sz w:val="20"/>
              </w:rPr>
              <w:t>До 2035 года</w:t>
            </w:r>
          </w:p>
        </w:tc>
        <w:tc>
          <w:tcPr>
            <w:tcW w:w="1250" w:type="pct"/>
          </w:tcPr>
          <w:p w14:paraId="6FC1B3E9" w14:textId="58EA3EE8" w:rsidR="00EE4218" w:rsidRPr="00852DB1" w:rsidRDefault="00EE4218" w:rsidP="00AD3FB0">
            <w:pPr>
              <w:ind w:right="175"/>
              <w:jc w:val="right"/>
              <w:rPr>
                <w:sz w:val="20"/>
                <w:szCs w:val="20"/>
              </w:rPr>
            </w:pPr>
            <w:r>
              <w:rPr>
                <w:sz w:val="20"/>
              </w:rPr>
              <w:t>12,46</w:t>
            </w:r>
          </w:p>
        </w:tc>
        <w:tc>
          <w:tcPr>
            <w:tcW w:w="1250" w:type="pct"/>
          </w:tcPr>
          <w:p w14:paraId="751FDD04" w14:textId="57A8BEE1" w:rsidR="00EE4218" w:rsidRPr="00852DB1" w:rsidRDefault="00EE4218" w:rsidP="00AD3FB0">
            <w:pPr>
              <w:ind w:right="105"/>
              <w:jc w:val="right"/>
              <w:rPr>
                <w:sz w:val="20"/>
                <w:szCs w:val="20"/>
              </w:rPr>
            </w:pPr>
            <w:r>
              <w:rPr>
                <w:sz w:val="20"/>
              </w:rPr>
              <w:t>18,07</w:t>
            </w:r>
          </w:p>
        </w:tc>
        <w:tc>
          <w:tcPr>
            <w:tcW w:w="1250" w:type="pct"/>
          </w:tcPr>
          <w:p w14:paraId="626EC788" w14:textId="207BDBBE" w:rsidR="00EE4218" w:rsidRPr="00852DB1" w:rsidRDefault="00EE4218" w:rsidP="00AD3FB0">
            <w:pPr>
              <w:ind w:right="176"/>
              <w:jc w:val="right"/>
              <w:rPr>
                <w:sz w:val="20"/>
                <w:szCs w:val="20"/>
              </w:rPr>
            </w:pPr>
            <w:r>
              <w:rPr>
                <w:sz w:val="20"/>
              </w:rPr>
              <w:t>38,55</w:t>
            </w:r>
          </w:p>
        </w:tc>
      </w:tr>
      <w:tr w:rsidR="00EE4218" w:rsidRPr="00852DB1" w14:paraId="2D6C9F89" w14:textId="77777777" w:rsidTr="00AD3FB0">
        <w:tc>
          <w:tcPr>
            <w:tcW w:w="1250" w:type="pct"/>
          </w:tcPr>
          <w:p w14:paraId="7003AE3A" w14:textId="77777777" w:rsidR="00EE4218" w:rsidRPr="00852DB1" w:rsidRDefault="00EE4218">
            <w:pPr>
              <w:rPr>
                <w:sz w:val="20"/>
                <w:szCs w:val="20"/>
              </w:rPr>
            </w:pPr>
            <w:r>
              <w:rPr>
                <w:sz w:val="20"/>
              </w:rPr>
              <w:t>До 2050 года</w:t>
            </w:r>
          </w:p>
        </w:tc>
        <w:tc>
          <w:tcPr>
            <w:tcW w:w="1250" w:type="pct"/>
          </w:tcPr>
          <w:p w14:paraId="583FE95F" w14:textId="2D7C20AD" w:rsidR="00EE4218" w:rsidRPr="00852DB1" w:rsidRDefault="00EE4218" w:rsidP="00AD3FB0">
            <w:pPr>
              <w:ind w:right="175"/>
              <w:jc w:val="right"/>
              <w:rPr>
                <w:sz w:val="20"/>
                <w:szCs w:val="20"/>
              </w:rPr>
            </w:pPr>
            <w:r>
              <w:rPr>
                <w:sz w:val="20"/>
              </w:rPr>
              <w:t>138,08</w:t>
            </w:r>
          </w:p>
        </w:tc>
        <w:tc>
          <w:tcPr>
            <w:tcW w:w="1250" w:type="pct"/>
          </w:tcPr>
          <w:p w14:paraId="26E8B68F" w14:textId="7FAF922E" w:rsidR="00EE4218" w:rsidRPr="00852DB1" w:rsidRDefault="00EE4218" w:rsidP="00AD3FB0">
            <w:pPr>
              <w:ind w:right="105"/>
              <w:jc w:val="right"/>
              <w:rPr>
                <w:sz w:val="20"/>
                <w:szCs w:val="20"/>
              </w:rPr>
            </w:pPr>
            <w:r>
              <w:rPr>
                <w:sz w:val="20"/>
              </w:rPr>
              <w:t>155,71</w:t>
            </w:r>
          </w:p>
        </w:tc>
        <w:tc>
          <w:tcPr>
            <w:tcW w:w="1250" w:type="pct"/>
          </w:tcPr>
          <w:p w14:paraId="48B045A5" w14:textId="749202A1" w:rsidR="00EE4218" w:rsidRPr="00852DB1" w:rsidRDefault="00EE4218" w:rsidP="00AD3FB0">
            <w:pPr>
              <w:ind w:right="176"/>
              <w:jc w:val="right"/>
              <w:rPr>
                <w:sz w:val="20"/>
                <w:szCs w:val="20"/>
              </w:rPr>
            </w:pPr>
            <w:r>
              <w:rPr>
                <w:sz w:val="20"/>
              </w:rPr>
              <w:t>225,74</w:t>
            </w:r>
          </w:p>
        </w:tc>
      </w:tr>
    </w:tbl>
    <w:p w14:paraId="3B312762" w14:textId="77777777" w:rsidR="00EE4218" w:rsidRPr="006C7BDE" w:rsidRDefault="00EE4218" w:rsidP="00EE4218">
      <w:pPr>
        <w:keepNext/>
        <w:spacing w:before="240" w:after="240"/>
        <w:rPr>
          <w:b/>
          <w:bCs/>
        </w:rPr>
      </w:pPr>
      <w:r>
        <w:rPr>
          <w:b/>
        </w:rPr>
        <w:t>Будущие направления работы</w:t>
      </w:r>
    </w:p>
    <w:p w14:paraId="67C0A18E" w14:textId="6227E56F" w:rsidR="00EE4218" w:rsidRPr="006C7BDE" w:rsidRDefault="00141DA3" w:rsidP="00EE4218">
      <w:pPr>
        <w:keepNext/>
        <w:spacing w:after="240"/>
        <w:rPr>
          <w:u w:val="single"/>
        </w:rPr>
      </w:pPr>
      <w:r>
        <w:rPr>
          <w:u w:val="single"/>
        </w:rPr>
        <w:t>Повышение э</w:t>
      </w:r>
      <w:r w:rsidR="00EE4218">
        <w:rPr>
          <w:u w:val="single"/>
        </w:rPr>
        <w:t>нергоэффективност</w:t>
      </w:r>
      <w:r>
        <w:rPr>
          <w:u w:val="single"/>
        </w:rPr>
        <w:t>и</w:t>
      </w:r>
    </w:p>
    <w:p w14:paraId="6402C550" w14:textId="556D22F9" w:rsidR="00EE4218" w:rsidRPr="00F70050" w:rsidRDefault="00EE4218" w:rsidP="00EE4218">
      <w:pPr>
        <w:pStyle w:val="1"/>
      </w:pPr>
      <w:r>
        <w:t>В методологии, разработанной секретариатом для оценки вероятного диапазона выбросов, которые могут быть предотвращены в результате осуществления ПРК, учитываются только прямые выгоды, а именно сокращение потребления ГФУ. При этом косвенные выгоды, такие как снижение выбросов за счет повышения энергоэффективности, в текущей методологии не отражены. Секретариат продолжает рассматривать возможные подходы к учету таких выгод и представит обновленную информацию по данному вопросу на 98-м совещании.</w:t>
      </w:r>
    </w:p>
    <w:p w14:paraId="59586A26" w14:textId="2DB2937B" w:rsidR="00EE4218" w:rsidRPr="006C7BDE" w:rsidRDefault="00EE4218" w:rsidP="00EE4218">
      <w:pPr>
        <w:keepNext/>
        <w:spacing w:after="240"/>
        <w:rPr>
          <w:u w:val="single"/>
        </w:rPr>
      </w:pPr>
      <w:r>
        <w:rPr>
          <w:u w:val="single"/>
        </w:rPr>
        <w:lastRenderedPageBreak/>
        <w:t>Использование индикатора воздействия на климат Многостороннего фонда для отдельных инвестиционных проектов</w:t>
      </w:r>
    </w:p>
    <w:p w14:paraId="2FED16B6" w14:textId="318C859A" w:rsidR="00EE4218" w:rsidRPr="00F70050" w:rsidRDefault="00EE4218" w:rsidP="00EE4218">
      <w:pPr>
        <w:pStyle w:val="1"/>
      </w:pPr>
      <w:r>
        <w:t>Секретариат продолжит использовать ИВКМФ для оценки воздействия на климат отдельных проектов по поэтапному сокращению ГФУ в секторе производства холодильного оборудования и систем кондиционирования воздуха (ХКВ). Поскольку цель ИВКМФ заключается в предоставлении информации о климатических выгодах конверсии производств ХКВ, секретариат предлагает обновить ИВКМФ путем пересмотра значений ПГП ГФУ в соответствии с данными шестого оценочного доклада МГЭИК, а не текущими значениями, основанными на четвертом докладе МГЭИК, которые используются в рамках Монреальского протокола. Секретариат будет регулярно обновлять значения ПГП ГФУ в модели ИВКМФ в соответствии с будущими оценочными докладами МГЭИК. В случае если Исполнительный комитет сочтет это целесообразным, секретариат также рассмотрит возможность адаптации ИВКМФ для оценки климатических выгод в результате конверсии предприятий, производящих комбинированные бытовые холодильники с морозильными камерами.</w:t>
      </w:r>
    </w:p>
    <w:p w14:paraId="358D14F7" w14:textId="77777777" w:rsidR="00EE4218" w:rsidRPr="006C7BDE" w:rsidRDefault="00EE4218" w:rsidP="00EE4218">
      <w:pPr>
        <w:keepNext/>
        <w:spacing w:after="240"/>
        <w:rPr>
          <w:u w:val="single"/>
        </w:rPr>
      </w:pPr>
      <w:r>
        <w:rPr>
          <w:u w:val="single"/>
        </w:rPr>
        <w:t>Оценка климатических выгод в результате осуществления планов организационной деятельности по поэтапному отказу от ГХФУ</w:t>
      </w:r>
    </w:p>
    <w:p w14:paraId="006A2133" w14:textId="11F6103B" w:rsidR="00EE4218" w:rsidRDefault="00EE4218" w:rsidP="00EE4218">
      <w:pPr>
        <w:pStyle w:val="1"/>
      </w:pPr>
      <w:r>
        <w:t>Для оценки климатических выгод в результате осуществления ПОДПО секретариат предлагает использовать методологию, аналогичную той, что применяется для ПРК. В данном случае расчет будет основан на разнице между целевыми показателями потребления, установленными в ПОДПО</w:t>
      </w:r>
      <w:r w:rsidR="005179ED">
        <w:t>,</w:t>
      </w:r>
      <w:r>
        <w:t xml:space="preserve"> и ИС, предполагающим 3 % годовой рост потребления ГХФУ по сравнению с базовым уровнем. Однако, в отличие от методологии, используемой для КИП, предлагаемый подход должен учитывать ГФУ, введенные в оборот в связи с поэтапным отказом от ГХФУ. Секретариат представит на 98-м совещании дополнительную информацию о возможной методологии учета такого замещения.</w:t>
      </w:r>
    </w:p>
    <w:p w14:paraId="1E64321D" w14:textId="77777777" w:rsidR="00425C98" w:rsidRPr="00447FC1" w:rsidRDefault="00425C98" w:rsidP="00425C98">
      <w:pPr>
        <w:pStyle w:val="1"/>
        <w:numPr>
          <w:ilvl w:val="0"/>
          <w:numId w:val="0"/>
        </w:numPr>
        <w:rPr>
          <w:b/>
          <w:bCs/>
        </w:rPr>
      </w:pPr>
      <w:r>
        <w:rPr>
          <w:b/>
        </w:rPr>
        <w:t>Рекомендация</w:t>
      </w:r>
    </w:p>
    <w:p w14:paraId="02858FF4" w14:textId="26453AB5" w:rsidR="00B245BF" w:rsidRDefault="007408C8" w:rsidP="007408C8">
      <w:pPr>
        <w:pStyle w:val="1"/>
      </w:pPr>
      <w:r>
        <w:t>Исполнительный комитет, возможно, пожелает:</w:t>
      </w:r>
    </w:p>
    <w:p w14:paraId="559A15F3" w14:textId="73647F8F" w:rsidR="009326D0" w:rsidRDefault="00DD5F04" w:rsidP="00B245BF">
      <w:pPr>
        <w:pStyle w:val="2"/>
      </w:pPr>
      <w:r>
        <w:t xml:space="preserve">рассмотреть вопрос об утверждении методологии расчета воздействия на климат в связи с осуществлением планов реализации </w:t>
      </w:r>
      <w:proofErr w:type="spellStart"/>
      <w:r>
        <w:t>Кигалийской</w:t>
      </w:r>
      <w:proofErr w:type="spellEnd"/>
      <w:r>
        <w:t xml:space="preserve"> поправки по ГФУ (ПРК), изложенной в пунктах </w:t>
      </w:r>
      <w:r w:rsidR="00713CA4">
        <w:t xml:space="preserve">7–14 </w:t>
      </w:r>
      <w:r>
        <w:t xml:space="preserve"> документа UNEP/</w:t>
      </w:r>
      <w:proofErr w:type="spellStart"/>
      <w:r>
        <w:t>OzL.Pro</w:t>
      </w:r>
      <w:proofErr w:type="spellEnd"/>
      <w:r>
        <w:t>/</w:t>
      </w:r>
      <w:proofErr w:type="spellStart"/>
      <w:r>
        <w:t>ExCom</w:t>
      </w:r>
      <w:proofErr w:type="spellEnd"/>
      <w:r>
        <w:t>/96/16, и поручить секретариату применять данную методологию;</w:t>
      </w:r>
    </w:p>
    <w:p w14:paraId="393E0C0C" w14:textId="27E95F3C" w:rsidR="00C724BB" w:rsidRDefault="000F2263" w:rsidP="00B245BF">
      <w:pPr>
        <w:pStyle w:val="2"/>
      </w:pPr>
      <w:r>
        <w:t>принять к сведению, что секретариат представит на 98-м совещании обновленную информацию о дальнейшей работе по следующим направлениям:</w:t>
      </w:r>
    </w:p>
    <w:p w14:paraId="61138625" w14:textId="19F4EE03" w:rsidR="00E94539" w:rsidRDefault="00E94539" w:rsidP="00C724BB">
      <w:pPr>
        <w:pStyle w:val="3"/>
      </w:pPr>
      <w:r>
        <w:t>дальнейшее обновление индикатора воздействия на климат Многостороннего фонда, как указано в документе, упомянутом в подпункте (a);</w:t>
      </w:r>
    </w:p>
    <w:p w14:paraId="63901975" w14:textId="2FE672C6" w:rsidR="00F37DC1" w:rsidRDefault="00F37DC1" w:rsidP="00C724BB">
      <w:pPr>
        <w:pStyle w:val="3"/>
      </w:pPr>
      <w:r>
        <w:t>обновление методологи</w:t>
      </w:r>
      <w:r w:rsidR="002779C1">
        <w:t>и</w:t>
      </w:r>
      <w:r>
        <w:t>, обозначенной в подпункте (a)</w:t>
      </w:r>
      <w:r w:rsidR="00713CA4">
        <w:t>,</w:t>
      </w:r>
      <w:r>
        <w:t xml:space="preserve"> для учета сокращения выбросов в результате повышения энергоэффективности в связи с осуществление</w:t>
      </w:r>
      <w:r w:rsidR="00713CA4">
        <w:t>м</w:t>
      </w:r>
      <w:r>
        <w:t xml:space="preserve"> ПРК; и</w:t>
      </w:r>
    </w:p>
    <w:p w14:paraId="3CB613B5" w14:textId="651DD099" w:rsidR="00B245BF" w:rsidRPr="00B245BF" w:rsidRDefault="005B0C5B" w:rsidP="00A66361">
      <w:pPr>
        <w:pStyle w:val="3"/>
      </w:pPr>
      <w:r>
        <w:t>возможная методология учета поэтапного внедрения ГФУ в контексте осуществления планов организационной деятельности по поэтапному отказу от ГХФУ.</w:t>
      </w:r>
    </w:p>
    <w:p w14:paraId="5E82BCB3" w14:textId="48C119B0" w:rsidR="009914A8" w:rsidRPr="009914A8" w:rsidRDefault="00EC0559" w:rsidP="009914A8">
      <w:pPr>
        <w:pStyle w:val="1"/>
        <w:numPr>
          <w:ilvl w:val="0"/>
          <w:numId w:val="0"/>
        </w:numPr>
        <w:spacing w:before="360"/>
        <w:ind w:left="709" w:hanging="709"/>
        <w:rPr>
          <w:b/>
          <w:bCs/>
          <w:sz w:val="24"/>
          <w:szCs w:val="24"/>
        </w:rPr>
      </w:pPr>
      <w:r>
        <w:rPr>
          <w:b/>
          <w:sz w:val="24"/>
        </w:rPr>
        <w:lastRenderedPageBreak/>
        <w:t>III.2</w:t>
      </w:r>
      <w:r>
        <w:rPr>
          <w:b/>
          <w:sz w:val="24"/>
        </w:rPr>
        <w:tab/>
        <w:t>Применимость крайних сроков для мощностей ГФУ,</w:t>
      </w:r>
      <w:r w:rsidR="00141F66">
        <w:rPr>
          <w:b/>
          <w:sz w:val="24"/>
        </w:rPr>
        <w:t xml:space="preserve"> имеющих </w:t>
      </w:r>
      <w:r w:rsidR="00141F66" w:rsidRPr="00141F66">
        <w:rPr>
          <w:b/>
          <w:sz w:val="24"/>
        </w:rPr>
        <w:t>право на получение финансирования,</w:t>
      </w:r>
      <w:r>
        <w:rPr>
          <w:b/>
          <w:sz w:val="24"/>
        </w:rPr>
        <w:t xml:space="preserve"> согласованных в решении 95/86(h), </w:t>
      </w:r>
      <w:r w:rsidR="003B2011">
        <w:rPr>
          <w:b/>
          <w:sz w:val="24"/>
        </w:rPr>
        <w:t>в контексте</w:t>
      </w:r>
      <w:r>
        <w:rPr>
          <w:b/>
          <w:sz w:val="24"/>
        </w:rPr>
        <w:t xml:space="preserve"> проектов, </w:t>
      </w:r>
      <w:r w:rsidR="00EF3686" w:rsidRPr="00EF3686">
        <w:rPr>
          <w:b/>
          <w:sz w:val="24"/>
        </w:rPr>
        <w:t>связанных с повышением энергоэффективности</w:t>
      </w:r>
    </w:p>
    <w:p w14:paraId="0EEA8196" w14:textId="2C02A2C9" w:rsidR="005538E5" w:rsidRPr="009914A8" w:rsidRDefault="009914A8" w:rsidP="009914A8">
      <w:pPr>
        <w:pStyle w:val="1"/>
        <w:numPr>
          <w:ilvl w:val="0"/>
          <w:numId w:val="0"/>
        </w:numPr>
        <w:rPr>
          <w:b/>
          <w:bCs/>
        </w:rPr>
      </w:pPr>
      <w:r>
        <w:rPr>
          <w:b/>
        </w:rPr>
        <w:t>История вопроса</w:t>
      </w:r>
    </w:p>
    <w:p w14:paraId="491A1A33" w14:textId="79C4FEC8" w:rsidR="005538E5" w:rsidRDefault="006D02C1" w:rsidP="00BC070C">
      <w:pPr>
        <w:pStyle w:val="1"/>
      </w:pPr>
      <w:r>
        <w:t>Исполнительный комитет утверждает отдельные инвестиционные проекты по поэтапному сокращению ГФУ и этап I ПРК, начиная с 80-го и 92-го совещаний соответственно</w:t>
      </w:r>
      <w:r w:rsidR="005939DC">
        <w:rPr>
          <w:rStyle w:val="afa"/>
        </w:rPr>
        <w:footnoteReference w:id="9"/>
      </w:r>
      <w:r>
        <w:t>. На</w:t>
      </w:r>
      <w:r w:rsidR="00DC7D68">
        <w:t xml:space="preserve"> 94-м совещании</w:t>
      </w:r>
      <w:r>
        <w:t xml:space="preserve"> Исполнительный комитет утвердил оперативную рамочную программу в области повышения энергоэффективности при одновременном поэтапном сокращении ГФУ в производственном секторе и создал соответствующую линию целевого финансирования. На 95-м совещании в рамочную программу были внесены дополнительные изменения</w:t>
      </w:r>
      <w:r w:rsidR="007F7370">
        <w:rPr>
          <w:rStyle w:val="afa"/>
        </w:rPr>
        <w:footnoteReference w:id="10"/>
      </w:r>
      <w:r>
        <w:t xml:space="preserve">. Впоследствии несколько производителей холодильного оборудования, кондиционеров и тепловых насосов (ХОКВТН) выразили заинтересованность в использовании этой линии финансирования. В настоящее время в соответствии с решением 94/60 одобрен один проект для Малайзии, и ожидается представление дополнительных проектов в рамках того же решения для Египта, Нигерии, Таиланда, Туниса и Турции. Подробная информация о предприятиях-бенефициарах проектов, находящихся </w:t>
      </w:r>
      <w:r w:rsidR="00C31500">
        <w:t>на</w:t>
      </w:r>
      <w:r>
        <w:t xml:space="preserve"> стадии подготовки, пока не известна, и остается неясным, были ли производственные мощности этих предприятий созданы до или после крайнего срока, определяющего право на получение финансовой поддержки.</w:t>
      </w:r>
    </w:p>
    <w:p w14:paraId="0F835A35" w14:textId="3A204473" w:rsidR="005538E5" w:rsidRDefault="005538E5" w:rsidP="00FD749D">
      <w:pPr>
        <w:pStyle w:val="1"/>
      </w:pPr>
      <w:r>
        <w:t xml:space="preserve">На 95-м совещании при рассмотрении запроса на </w:t>
      </w:r>
      <w:r w:rsidR="00C5680E">
        <w:t xml:space="preserve">финансирование </w:t>
      </w:r>
      <w:r>
        <w:t>подготовк</w:t>
      </w:r>
      <w:r w:rsidR="00C5680E">
        <w:t>и</w:t>
      </w:r>
      <w:r>
        <w:t xml:space="preserve"> проекта для Туниса было отмечено, что одно предприятие, по-видимому, было создано после установленной даты, определяющей право на получение финансирования производственных мощностей, </w:t>
      </w:r>
      <w:r w:rsidR="00120BE2" w:rsidRPr="00120BE2">
        <w:rPr>
          <w:bCs/>
        </w:rPr>
        <w:t>связанных с</w:t>
      </w:r>
      <w:r w:rsidR="00120BE2">
        <w:rPr>
          <w:b/>
        </w:rPr>
        <w:t xml:space="preserve"> </w:t>
      </w:r>
      <w:r>
        <w:t xml:space="preserve">ГФУ. Также было указано, что вопрос о праве на получение финансирования, связанного с </w:t>
      </w:r>
      <w:r w:rsidR="00423E1F">
        <w:t xml:space="preserve">повышением </w:t>
      </w:r>
      <w:r>
        <w:t>энергоэффективност</w:t>
      </w:r>
      <w:r w:rsidR="00423E1F">
        <w:t>и</w:t>
      </w:r>
      <w:r>
        <w:t>, может быть сопряжен с более широкими политическими аспектами, касающимися оперативной рамочной программы в области повышения энергоэффективности. В этой связи Исполнительный комитет поручил секретариату подготови</w:t>
      </w:r>
      <w:r w:rsidR="00423E1F">
        <w:t>ть</w:t>
      </w:r>
      <w:r>
        <w:t xml:space="preserve"> краткий справочный документ по вопросу предприятий, созданных после установленной даты, определяющей право на получение финансирования производственных мощностей, </w:t>
      </w:r>
      <w:r w:rsidR="00120BE2" w:rsidRPr="00120BE2">
        <w:rPr>
          <w:bCs/>
        </w:rPr>
        <w:t>связанных с</w:t>
      </w:r>
      <w:r w:rsidR="00120BE2">
        <w:rPr>
          <w:b/>
        </w:rPr>
        <w:t xml:space="preserve"> </w:t>
      </w:r>
      <w:r>
        <w:t>ГФУ, которые подают заявки на финансирование проектов по повышению энергоэффективности в производственном секторе в соответствии с решениями 94/60 и 95/87, для рассмотрения на 96-м совещании в рамках пункта повестки дня, посвященного общему обзору вопросов, выявленных в ходе рассмотрения проектов</w:t>
      </w:r>
      <w:r w:rsidR="00AF4813">
        <w:rPr>
          <w:rStyle w:val="afa"/>
        </w:rPr>
        <w:footnoteReference w:id="11"/>
      </w:r>
      <w:r>
        <w:t>.</w:t>
      </w:r>
    </w:p>
    <w:p w14:paraId="3D2865A4" w14:textId="26BDB79D" w:rsidR="005538E5" w:rsidRPr="00880B2B" w:rsidRDefault="00FD749D" w:rsidP="00FD749D">
      <w:pPr>
        <w:pStyle w:val="1"/>
        <w:numPr>
          <w:ilvl w:val="0"/>
          <w:numId w:val="0"/>
        </w:numPr>
        <w:rPr>
          <w:b/>
          <w:bCs/>
        </w:rPr>
      </w:pPr>
      <w:r>
        <w:rPr>
          <w:b/>
        </w:rPr>
        <w:t>Проекты в области повышения энергоэффективности в контексте крайн</w:t>
      </w:r>
      <w:r w:rsidR="00DF0B2A">
        <w:rPr>
          <w:b/>
        </w:rPr>
        <w:t>их</w:t>
      </w:r>
      <w:r>
        <w:rPr>
          <w:b/>
        </w:rPr>
        <w:t xml:space="preserve"> срок</w:t>
      </w:r>
      <w:r w:rsidR="00DF0B2A">
        <w:rPr>
          <w:b/>
        </w:rPr>
        <w:t>ов</w:t>
      </w:r>
      <w:r>
        <w:rPr>
          <w:b/>
        </w:rPr>
        <w:t>, определяющ</w:t>
      </w:r>
      <w:r w:rsidR="00DF0B2A">
        <w:rPr>
          <w:b/>
        </w:rPr>
        <w:t>их</w:t>
      </w:r>
      <w:r>
        <w:rPr>
          <w:b/>
        </w:rPr>
        <w:t xml:space="preserve"> право на получение финансирования для производственных мощностей, связанных с ГФУ</w:t>
      </w:r>
    </w:p>
    <w:p w14:paraId="5C2C5D9A" w14:textId="5739D38E" w:rsidR="005538E5" w:rsidRDefault="00285123" w:rsidP="0082682E">
      <w:pPr>
        <w:pStyle w:val="1"/>
      </w:pPr>
      <w:r>
        <w:t xml:space="preserve">В пункте 17 решения XXVIII/2 Стороны постановили, что крайним сроком для производственных мощностей, связанных с ГФУ, будет 1 января 2020 года для стран группы 1, действующих в рамках статьи 5, и 1 января 2024 года для стран группы 2, действующих в рамках статьи 5. Таким образом, производственные мощности, созданные после указанных дат не имеют права на получение финансирования для поэтапного сокращения ГФУ. Впоследствии Исполнительный комитет утвердил указанные даты, определяющие право на получение финансирования для производственных мощностей, связанных с ГФУ, в качестве части руководящих принципов финансирования поэтапного сокращения ГФУ (решение 95/86(h)). Однако вопрос крайнего срока для проектов в области повышения энергоэффективности в производственном секторе до настоящего времени не рассматривался ни в оперативной рамочной </w:t>
      </w:r>
      <w:r>
        <w:lastRenderedPageBreak/>
        <w:t xml:space="preserve">программе в области повышения энергоэффективности, ни в руководящих принципах финансирования поэтапного сокращения ГФУ.  </w:t>
      </w:r>
      <w:proofErr w:type="gramStart"/>
      <w:r w:rsidR="003135F1">
        <w:t>Таким образом</w:t>
      </w:r>
      <w:r w:rsidR="00DF0B2A">
        <w:t>,</w:t>
      </w:r>
      <w:r w:rsidR="003135F1">
        <w:t xml:space="preserve"> несмотря на то, что</w:t>
      </w:r>
      <w:proofErr w:type="gramEnd"/>
      <w:r>
        <w:t xml:space="preserve"> правительства и промышленность осведомлены о четко установленных сроках для производственных мощностей, связанных с ГФУ, аналогичная определенность отсутствует в отношении проектов по поэтапному сокращению ГФУ, связанных с повышением энергоэффективности.</w:t>
      </w:r>
    </w:p>
    <w:p w14:paraId="50FD9682" w14:textId="0D856CBB" w:rsidR="005538E5" w:rsidRDefault="005538E5" w:rsidP="00124A5D">
      <w:pPr>
        <w:pStyle w:val="1"/>
        <w:spacing w:after="0"/>
      </w:pPr>
      <w:r>
        <w:t xml:space="preserve">Секретариат отмечает, что страны, разрабатывающие ПРК, в результате которых целый сектор или сфера применения (например, кондиционирование воздуха в жилых помещениях или коммерческое холодильное оборудование) может перейти на альтернативные технологии, могут столкнуться с ситуацией, когда предприятия с мощностями, созданными после установленной даты прекращения финансирования, проявляют интерес к повышению энергоэффективности производственных процессов в этих секторах или сферах применения. Применение установленных сроков прекращения финансирования для мощностей, связанных с ГФУ, к мероприятиям по повышению энергоэффективности может создать сложности при преобразовании таких секторов или сфер применения с целью снижения потребления ГФУ. Например, в стране, действующей в рамках статьи 5, может быть ряд предприятий, производственные мощности которых не соответствуют критериям финансирования для  поэтапного сокращения ГФУ исключительно по причине их создания после установленной даты прекращения финансирования, при этом страна может стремиться к поэтапному сокращению потребления ГФУ в рамках всего сектора или сферы применения, включая привлечение альтернативных источников финансирования помимо Многостороннего фонда. </w:t>
      </w:r>
      <w:r w:rsidR="00BD1B69">
        <w:t>Т</w:t>
      </w:r>
      <w:r>
        <w:t>акие предприятия, включая те, которые не соответствуют критериям финансирования, могут быть заинтересованы в осуществлении проектов по повышению энергоэффективности своего оборудования в соответствии с решениями 94/60 и/или 95/87.</w:t>
      </w:r>
    </w:p>
    <w:p w14:paraId="7AB26B71" w14:textId="79B679BC" w:rsidR="005538E5" w:rsidRDefault="0054076D" w:rsidP="00124A5D">
      <w:pPr>
        <w:pStyle w:val="1"/>
        <w:spacing w:before="240"/>
      </w:pPr>
      <w:r>
        <w:t xml:space="preserve">Осуществление комплексных отраслевых планов поэтапного сокращения ГФУ в национальном масштабе при одновременном повышении энергоэффективности (например, введение запрета или ограничения на использование </w:t>
      </w:r>
      <w:r w:rsidR="00CA2043">
        <w:t xml:space="preserve">ГФУ </w:t>
      </w:r>
      <w:r>
        <w:t>во всех сферах применения или установление более строгих минимальных стандартов энергетической эффективности для различных областей применения) без вовлечения всех промышленных предприятий отрасли сопряжена с определенными сложностями и может привести к возникновению неравных условий для предприятий в контексте повышения энергоэффективности в секторах или сферах применения, охватываемых ПРК.</w:t>
      </w:r>
    </w:p>
    <w:p w14:paraId="4774A8BE" w14:textId="6FE579E6" w:rsidR="005538E5" w:rsidRDefault="00B814BD" w:rsidP="008E267F">
      <w:pPr>
        <w:pStyle w:val="1"/>
      </w:pPr>
      <w:r>
        <w:t xml:space="preserve">Секретариат отмечает, что можно достичь более значительного сокращения объемов прямых (связанных с ГФУ) и косвенных (связанных с энергопотреблением) выбросов посредством комплексного плана, охватывающего использующие ГФУ предприятия, при одновременном поощрении стран к включению мер по повышению энергоэффективности в </w:t>
      </w:r>
      <w:r w:rsidR="00E9375D">
        <w:t xml:space="preserve">их ПРК в </w:t>
      </w:r>
      <w:r>
        <w:t>качестве неотъемлемого компонента. Учитывая, что темпы поэтапного сокращения использования ГФУ могут быть ускорены за счет повышения энергоэффективности всех соответствующих предприятий в рамках сектора или сферы применения, целесообразно рассмотреть возможность оказания поддержки проектам, направленным на повышение энергоэффективности предприятий, производящих оборудование и компоненты ХОКВТН, независимо от того, были ли они уже модернизированы или находятся в процессе перехода с ГФУ на технологии с пониженным или низким ПГП, при соблюдении следующих условий:</w:t>
      </w:r>
    </w:p>
    <w:p w14:paraId="2C22574C" w14:textId="50183BB0" w:rsidR="005538E5" w:rsidRDefault="005538E5" w:rsidP="00447FC1">
      <w:pPr>
        <w:pStyle w:val="2"/>
      </w:pPr>
      <w:r>
        <w:t>мощности, созданные в период с 1 января 2020 года (крайний срок для производственных мощностей, связанных с ГФУ) по 31 мая 2024 года (принятие решения 94/60) для производства пяти категорий оборудования, обозначенных в решении 94/60, будут соответствовать критериям финансирования;</w:t>
      </w:r>
    </w:p>
    <w:p w14:paraId="7484F875" w14:textId="042A345C" w:rsidR="005538E5" w:rsidRDefault="005538E5" w:rsidP="00447FC1">
      <w:pPr>
        <w:pStyle w:val="2"/>
        <w:widowControl/>
      </w:pPr>
      <w:r>
        <w:t xml:space="preserve">мощности, созданные в период с 1 января 2020 года по 8 декабря 2024 года (принятие решения 95/87) для производства тепловых насосов и компонентов ХОКВТН, </w:t>
      </w:r>
      <w:r>
        <w:lastRenderedPageBreak/>
        <w:t>обозначенных в решении 95/87, будут соответствовать критериям финансирования; и</w:t>
      </w:r>
    </w:p>
    <w:p w14:paraId="2BA94031" w14:textId="48308ACB" w:rsidR="005538E5" w:rsidRDefault="005538E5" w:rsidP="00447FC1">
      <w:pPr>
        <w:pStyle w:val="2"/>
      </w:pPr>
      <w:r>
        <w:t xml:space="preserve">мощности, созданные в период с 16 октября 2016 года (принятие </w:t>
      </w:r>
      <w:proofErr w:type="spellStart"/>
      <w:r>
        <w:t>Кигалийской</w:t>
      </w:r>
      <w:proofErr w:type="spellEnd"/>
      <w:r>
        <w:t xml:space="preserve"> поправки) по 31 декабря 2019 года для производства оборудования и компонентов ХОКВТН, обозначенных в решениях 94/60 и 95/87, могут рассматриваться в индивидуальном порядке.</w:t>
      </w:r>
    </w:p>
    <w:p w14:paraId="69F63400" w14:textId="59FCD495" w:rsidR="005538E5" w:rsidRPr="00447FC1" w:rsidRDefault="005538E5" w:rsidP="00447FC1">
      <w:pPr>
        <w:pStyle w:val="1"/>
        <w:numPr>
          <w:ilvl w:val="0"/>
          <w:numId w:val="0"/>
        </w:numPr>
        <w:rPr>
          <w:b/>
          <w:bCs/>
        </w:rPr>
      </w:pPr>
      <w:r>
        <w:rPr>
          <w:b/>
        </w:rPr>
        <w:t>Рекомендация</w:t>
      </w:r>
    </w:p>
    <w:p w14:paraId="1FA5CEE2" w14:textId="54BE6D93" w:rsidR="005538E5" w:rsidRDefault="005538E5" w:rsidP="00447FC1">
      <w:pPr>
        <w:pStyle w:val="1"/>
      </w:pPr>
      <w:r>
        <w:t>Исполнительный комитет, возможно, пожелает рассмотреть возможность предоставления права на финансирование, направленно</w:t>
      </w:r>
      <w:r w:rsidR="009B57CC">
        <w:t>е</w:t>
      </w:r>
      <w:r>
        <w:t xml:space="preserve"> на повышение энергоэффективности, предприятиям со следующими типами производственных мощностей, независимо от того, завершен ли </w:t>
      </w:r>
      <w:r w:rsidR="00193CF3">
        <w:t xml:space="preserve">переход </w:t>
      </w:r>
      <w:r>
        <w:t>от технологий на основе ГФУ к технологиям с пониженным или низким потенциалом глобального потепления</w:t>
      </w:r>
      <w:r w:rsidR="009B57CC" w:rsidRPr="009B57CC">
        <w:t xml:space="preserve"> </w:t>
      </w:r>
      <w:r w:rsidR="009B57CC">
        <w:t>или осуществляется в настоящее время</w:t>
      </w:r>
      <w:r>
        <w:t>:</w:t>
      </w:r>
    </w:p>
    <w:p w14:paraId="5C3F6340" w14:textId="16BB671A" w:rsidR="005538E5" w:rsidRDefault="005538E5" w:rsidP="00447FC1">
      <w:pPr>
        <w:pStyle w:val="2"/>
      </w:pPr>
      <w:r>
        <w:t>мощности, созданные в период с 1 января 2020 года по 31 мая 2024 года, для производства пяти категорий оборудования, обозначенных в решении 94/60;</w:t>
      </w:r>
    </w:p>
    <w:p w14:paraId="605FCEED" w14:textId="67DD0870" w:rsidR="005538E5" w:rsidRDefault="005538E5" w:rsidP="00447FC1">
      <w:pPr>
        <w:pStyle w:val="2"/>
      </w:pPr>
      <w:r>
        <w:t>мощности, созданные в период с 1 января 2020 года по 8 декабря 2024 года для производства тепловых насосов и компонентов холодильного оборудования, кондиционеров и тепловых насосов (ХОКВТН), обозначенных в решении 95/87; и</w:t>
      </w:r>
    </w:p>
    <w:p w14:paraId="54029765" w14:textId="1CD1421E" w:rsidR="001C4A6A" w:rsidRPr="0037576B" w:rsidRDefault="005538E5" w:rsidP="00447FC1">
      <w:pPr>
        <w:pStyle w:val="2"/>
      </w:pPr>
      <w:r>
        <w:t>мощности, созданные в период с 16 октября 2016 года по 31 декабря 2019 года для производства оборудования и компонентов ХОКВТН, обозначенных в решениях 94/60 и 95/87, – в индивидуальном порядке.</w:t>
      </w:r>
    </w:p>
    <w:p w14:paraId="496BA55C" w14:textId="62087E29" w:rsidR="001C4A6A" w:rsidRPr="00FD3B6E" w:rsidRDefault="001C4A6A" w:rsidP="00597F65">
      <w:pPr>
        <w:keepNext/>
        <w:keepLines/>
        <w:spacing w:before="360" w:after="240"/>
        <w:ind w:left="720" w:hanging="720"/>
        <w:rPr>
          <w:b/>
          <w:bCs/>
          <w:sz w:val="24"/>
          <w:szCs w:val="24"/>
        </w:rPr>
      </w:pPr>
      <w:r>
        <w:rPr>
          <w:b/>
          <w:sz w:val="24"/>
        </w:rPr>
        <w:t>III.3</w:t>
      </w:r>
      <w:r>
        <w:rPr>
          <w:b/>
          <w:sz w:val="24"/>
        </w:rPr>
        <w:tab/>
        <w:t xml:space="preserve">Проверка потребления ГФУ для стран с низким объемом потребления, для которых утверждены этапы планов реализации </w:t>
      </w:r>
      <w:proofErr w:type="spellStart"/>
      <w:r>
        <w:rPr>
          <w:b/>
          <w:sz w:val="24"/>
        </w:rPr>
        <w:t>Кигалийской</w:t>
      </w:r>
      <w:proofErr w:type="spellEnd"/>
      <w:r>
        <w:rPr>
          <w:b/>
          <w:sz w:val="24"/>
        </w:rPr>
        <w:t xml:space="preserve"> поправки по ГФУ</w:t>
      </w:r>
    </w:p>
    <w:p w14:paraId="4BBD8094" w14:textId="77777777" w:rsidR="006C7BDE" w:rsidRPr="006A6306" w:rsidRDefault="006C7BDE" w:rsidP="00597F65">
      <w:pPr>
        <w:keepNext/>
        <w:keepLines/>
        <w:spacing w:before="240" w:after="240"/>
        <w:rPr>
          <w:b/>
          <w:bCs/>
        </w:rPr>
      </w:pPr>
      <w:r>
        <w:rPr>
          <w:b/>
        </w:rPr>
        <w:t>История вопроса</w:t>
      </w:r>
    </w:p>
    <w:p w14:paraId="3FFA7C84" w14:textId="282B174F" w:rsidR="006C7BDE" w:rsidRPr="00604EFA" w:rsidRDefault="006C7BDE" w:rsidP="00597F65">
      <w:pPr>
        <w:pStyle w:val="1"/>
        <w:keepNext/>
        <w:keepLines/>
      </w:pPr>
      <w:r>
        <w:t>Проверка годового объема потребления регулируемых веществ является важной частью многолетних соглашений (МЛС), основанных на результатах деятельности, в рамках Многостороннего фонда. В соответствии с этими соглашениями Исполнительный комитет выделяет транши финансирования после выполнения страной ряда условий, включая представление независимой проверки, подтверждающей, что страна достигла согласованных целевых показателей потребления за все соответствующие годы. Руководящие принципы по проверке национальных целевых показателей потребления в рамках МЛС были согласованы на 46-м совещании Исполнительного комитета</w:t>
      </w:r>
      <w:r w:rsidRPr="00051E6C">
        <w:rPr>
          <w:rStyle w:val="afa"/>
        </w:rPr>
        <w:footnoteReference w:id="12"/>
      </w:r>
      <w:r>
        <w:t>.</w:t>
      </w:r>
    </w:p>
    <w:p w14:paraId="0787AA20" w14:textId="512E6C48" w:rsidR="006C7BDE" w:rsidRPr="005F7AEE" w:rsidRDefault="006C7BDE" w:rsidP="00FD3B6E">
      <w:pPr>
        <w:pStyle w:val="1"/>
        <w:spacing w:after="0"/>
      </w:pPr>
      <w:r>
        <w:t xml:space="preserve">Хотя проверка национальных целевых показателей потребления является обязательной для выделения траншей финансирования в рамках МЛС для стран, не относящихся к категории стран </w:t>
      </w:r>
      <w:r w:rsidR="006048BF">
        <w:t>с низким объемом потребления</w:t>
      </w:r>
      <w:r>
        <w:t>, Исполнительный комитет постановил проводить ежегодную проверку для выборки стран с низким объемом потребления</w:t>
      </w:r>
      <w:r w:rsidR="00C32144">
        <w:t xml:space="preserve"> (НОП)</w:t>
      </w:r>
      <w:r>
        <w:t>, как указано ниже:</w:t>
      </w:r>
    </w:p>
    <w:p w14:paraId="7A963CC0" w14:textId="52C4F05C" w:rsidR="006C7BDE" w:rsidRPr="00051E6C" w:rsidRDefault="006C7BDE" w:rsidP="00024773">
      <w:pPr>
        <w:pStyle w:val="2"/>
        <w:numPr>
          <w:ilvl w:val="1"/>
          <w:numId w:val="1"/>
        </w:numPr>
        <w:spacing w:before="240"/>
      </w:pPr>
      <w:r>
        <w:t>проводить ежегодную проверку случайной выборки утвержденных завершающих планов по поэтапному отказу (ЗППО), осуществляемых в странах НОП (т.е. 10 % утвержденных ЗППО), отмечая, что расходы, связанные с проверкой, будут включены в соответствующую программу работы ведущего учреждения-</w:t>
      </w:r>
      <w:r>
        <w:lastRenderedPageBreak/>
        <w:t>исполнителя</w:t>
      </w:r>
      <w:r w:rsidR="003135F1">
        <w:t xml:space="preserve"> </w:t>
      </w:r>
      <w:hyperlink r:id="rId15" w:history="1">
        <w:r>
          <w:rPr>
            <w:rStyle w:val="afd"/>
          </w:rPr>
          <w:t>(решение 45/54(d)</w:t>
        </w:r>
      </w:hyperlink>
      <w:r>
        <w:t>); и</w:t>
      </w:r>
    </w:p>
    <w:p w14:paraId="70A59B9E" w14:textId="78557DCC" w:rsidR="006C7BDE" w:rsidRPr="00051E6C" w:rsidRDefault="006C7BDE" w:rsidP="006C7BDE">
      <w:pPr>
        <w:pStyle w:val="2"/>
        <w:numPr>
          <w:ilvl w:val="1"/>
          <w:numId w:val="1"/>
        </w:numPr>
        <w:spacing w:before="240"/>
      </w:pPr>
      <w:r>
        <w:t>поручить секретариату представлять на первом совещании каждого года выборку из 20</w:t>
      </w:r>
      <w:r w:rsidR="00F472DA">
        <w:t xml:space="preserve"> </w:t>
      </w:r>
      <w:r>
        <w:t>% стран с потреблением на уровне  360 метрических тонн (</w:t>
      </w:r>
      <w:proofErr w:type="spellStart"/>
      <w:r>
        <w:t>мт</w:t>
      </w:r>
      <w:proofErr w:type="spellEnd"/>
      <w:r>
        <w:t>) или ниже, с тем чтобы Исполнительный комитет мог утвердить такую выборку для целей проведения проверки соблюдения этими странами условий соглашений по ПОДПО в данном году, при этом не требуется проводить проверку в рамках соглашений по ПОДПО для стран НОП, не включенных в выборку</w:t>
      </w:r>
      <w:r w:rsidR="003135F1">
        <w:t xml:space="preserve"> </w:t>
      </w:r>
      <w:hyperlink r:id="rId16" w:history="1">
        <w:r>
          <w:rPr>
            <w:rStyle w:val="afd"/>
          </w:rPr>
          <w:t>(решение 61/46 (d) и (e)</w:t>
        </w:r>
      </w:hyperlink>
      <w:r>
        <w:t>).</w:t>
      </w:r>
    </w:p>
    <w:p w14:paraId="1C4FDEA2" w14:textId="77777777" w:rsidR="006C7BDE" w:rsidRPr="00051E6C" w:rsidRDefault="006C7BDE" w:rsidP="006C7BDE">
      <w:pPr>
        <w:pStyle w:val="1"/>
        <w:widowControl w:val="0"/>
        <w:numPr>
          <w:ilvl w:val="0"/>
          <w:numId w:val="0"/>
        </w:numPr>
        <w:spacing w:before="240"/>
        <w:rPr>
          <w:b/>
          <w:bCs/>
        </w:rPr>
      </w:pPr>
      <w:r>
        <w:rPr>
          <w:b/>
        </w:rPr>
        <w:t>Проведение проверки потребления ГХФУ для стран с низким объемом потребления</w:t>
      </w:r>
    </w:p>
    <w:p w14:paraId="3F1CA56C" w14:textId="045BD61A" w:rsidR="006C7BDE" w:rsidRDefault="006C7BDE" w:rsidP="006C7BDE">
      <w:pPr>
        <w:pStyle w:val="1"/>
        <w:widowControl w:val="0"/>
      </w:pPr>
      <w:r>
        <w:t>Доклады о проверке, представляемые вместе с запросами на выделение траншей в рамках МЛС, предоставляют независимое подтверждение того, что страны достигли целевых показателей, указанных в их соглашениях с Исполнительным комитетом, что заявленное потребление соответствует данным таможенного учета, а также что установленные системы лицензирования и квотирования функционируют и применяются должным образом. Кроме того, они помог</w:t>
      </w:r>
      <w:r w:rsidR="002C47D7">
        <w:t>ают</w:t>
      </w:r>
      <w:r>
        <w:t xml:space="preserve"> странам НОП выявить недостатки в их нормативно-правовой базе, касающейся систем лицензирования и квотирования, включая меры по обеспечению соблюдения, и содержа</w:t>
      </w:r>
      <w:r w:rsidR="003F6613">
        <w:t>т</w:t>
      </w:r>
      <w:r>
        <w:t xml:space="preserve"> ценные рекомендации по их совершенствованию и оптимизации.</w:t>
      </w:r>
    </w:p>
    <w:p w14:paraId="4902FF65" w14:textId="3F0F4EB3" w:rsidR="006C7BDE" w:rsidRPr="001168F6" w:rsidRDefault="006C7BDE" w:rsidP="006C7BDE">
      <w:pPr>
        <w:pStyle w:val="1"/>
        <w:spacing w:before="240" w:after="0"/>
      </w:pPr>
      <w:r>
        <w:t>В рамках ПОДПО в соответствии с решением 61/46 и рядом дополнительных критериев, включая близость срока предоставления следующего транша, завершение предыдущих проверок, географическое распределение, уровень потребления, пропорциональное участие в осуществлении двусторонних учреждений и учреждений-исполнителей, секретариат ежегодно с 2012 года представляет сбалансированную выборку стран НОП для проведения проверок. Благодаря отбору 16–17 (20 %) стран НОП в год почти во всех странах НОП была проведена по меньшей мере одна проверка в период с 2013 по 2019 год, то есть в период осуществления этапа I в большинстве стран НОП. Этот процесс продолжился на последующих этапах ПОДПО, и почти во всех странах НОП была проведена по меньшей мере одна дополнительная проверка в ходе этапа II и далее, где это применимо.</w:t>
      </w:r>
    </w:p>
    <w:p w14:paraId="130C9365" w14:textId="77777777" w:rsidR="006C7BDE" w:rsidRPr="00A92FCF" w:rsidRDefault="006C7BDE" w:rsidP="00597F65">
      <w:pPr>
        <w:pStyle w:val="1"/>
        <w:keepNext/>
        <w:numPr>
          <w:ilvl w:val="0"/>
          <w:numId w:val="0"/>
        </w:numPr>
        <w:spacing w:before="240"/>
      </w:pPr>
      <w:r>
        <w:rPr>
          <w:b/>
        </w:rPr>
        <w:t>Проверка потребления ГХФУ для стран с низким объемом потребления</w:t>
      </w:r>
    </w:p>
    <w:p w14:paraId="647F4B07" w14:textId="5D6960C2" w:rsidR="006C7BDE" w:rsidRDefault="006C7BDE" w:rsidP="006C7BDE">
      <w:pPr>
        <w:pStyle w:val="1"/>
        <w:spacing w:before="240"/>
      </w:pPr>
      <w:r>
        <w:t>С учетом текущего утверждения ПРК, представленных после 92-го совещания, а также утверждения типового соглашения на 95-м совещании, ожидается, что страны, действующие в рамках статьи 5, теперь будут соблюдать условия для выделения траншей в рамках ПРК, аналогичные условиям, предусмотренным предыдущими МЛС, включая требование о проведении независимой проверки соблюдения согласованных национальных целевых показателей потребления ГФУ.</w:t>
      </w:r>
    </w:p>
    <w:p w14:paraId="026E345F" w14:textId="77777777" w:rsidR="006C7BDE" w:rsidRDefault="006C7BDE" w:rsidP="006C7BDE">
      <w:pPr>
        <w:pStyle w:val="1"/>
        <w:spacing w:before="240"/>
      </w:pPr>
      <w:r>
        <w:t>В отношении этапа I ПРК Исполнительный комитет, возможно, пожелает рассмотреть вопрос о том, следует ли требовать от стран НОП представления докладов о независимой проверке потребления ГФУ вместе с каждым запросом на выделение транша или же ежегодно отбирать выборку стран НОП для проведения проверки, по аналогии с ЗППО и ПОДПО. Для содействия рассмотрению данного вопроса в следующем разделе представлена соответствующая информация о сходствах и различиях между планами по поэтапному сокращению ГФУ и планами организационной деятельности по поэтапному отказу от ГХФУ.</w:t>
      </w:r>
    </w:p>
    <w:p w14:paraId="58DBD868" w14:textId="77777777" w:rsidR="006C7BDE" w:rsidRPr="00990B61" w:rsidRDefault="006C7BDE" w:rsidP="006C7BDE">
      <w:pPr>
        <w:spacing w:before="240" w:after="240"/>
        <w:rPr>
          <w:u w:val="single"/>
        </w:rPr>
      </w:pPr>
      <w:r>
        <w:rPr>
          <w:u w:val="single"/>
        </w:rPr>
        <w:t>Сложность учета и отчетности по ГФУ</w:t>
      </w:r>
    </w:p>
    <w:p w14:paraId="0509FAF5" w14:textId="48CBA743" w:rsidR="006C7BDE" w:rsidRDefault="006C7BDE" w:rsidP="006C7BDE">
      <w:pPr>
        <w:pStyle w:val="1"/>
        <w:spacing w:before="240"/>
      </w:pPr>
      <w:r>
        <w:t xml:space="preserve">Как показывает опыт, учет и представление данных о потреблении ГФУ представляют собой сложную задачу для стран, действующих в рамках статьи 5, включая страны НОП. В то время как учет и отчетность о потреблении ХФУ и ГХФУ в странах НОП в основном касались одного </w:t>
      </w:r>
      <w:r>
        <w:lastRenderedPageBreak/>
        <w:t xml:space="preserve">вещества (ХФУ-12 и ГХФУ-22, соответственно), то потребление ГФУ в большинстве случаев включает по меньшей мере два чистых вещества (например, ГФУ-32, ГФУ-134а) и от двух до четырех смесей (например, R-404A, R-407C, R-410A и R-507A), при этом соблюдение контрольных показателей измеряется в другой единице – в тоннах эквивалента CO₂, а не в тоннах ОРС. Кроме того, для многих стран, действующих в рамках статьи 5, первая мера регулирования ГФУ (2024 год) </w:t>
      </w:r>
      <w:r w:rsidR="000828B5">
        <w:t xml:space="preserve">вступила </w:t>
      </w:r>
      <w:r>
        <w:t xml:space="preserve">в силу вскоре после того, как они ратифицировали </w:t>
      </w:r>
      <w:proofErr w:type="spellStart"/>
      <w:r>
        <w:t>Кигалийскую</w:t>
      </w:r>
      <w:proofErr w:type="spellEnd"/>
      <w:r>
        <w:t xml:space="preserve"> поправку и начали представлять данные о потреблении ГФУ, тогда как данные о потреблении ГХФУ они представляли задолго до вступления в силу первой меры регулирования в 2013 году.</w:t>
      </w:r>
    </w:p>
    <w:p w14:paraId="6AED4611" w14:textId="4ED029B5" w:rsidR="006C7BDE" w:rsidRPr="007126DA" w:rsidRDefault="006C7BDE" w:rsidP="006C7BDE">
      <w:pPr>
        <w:pStyle w:val="1"/>
        <w:spacing w:before="240"/>
      </w:pPr>
      <w:r>
        <w:t>Как сообщил секретариат в «Общем обзоре вопросов, выявленных в ходе рассмотрения проектов», представленном на 93-м совещании</w:t>
      </w:r>
      <w:r>
        <w:rPr>
          <w:rStyle w:val="afa"/>
          <w:lang w:val="en-US"/>
        </w:rPr>
        <w:footnoteReference w:id="13"/>
      </w:r>
      <w:r>
        <w:t xml:space="preserve">, ряду стран пришлось пересмотреть ранее представленные данные по ГФУ на основе результатов, полученных в процессе подготовки ПРК.  Кроме того, в отчетных данных по потреблению ГФУ за базовые годы наблюдались колебания, вызванные вспышкой коронавирусной инфекции (COVID-19) и иными неустановленными факторами. Для лучшего понимания тенденций потребления ГФУ в ближайшие годы необходимо осуществлять постоянный мониторинг данных об импорте и динамике потребления, особенно </w:t>
      </w:r>
      <w:r w:rsidR="00350C68">
        <w:t>в свете</w:t>
      </w:r>
      <w:r>
        <w:t xml:space="preserve"> дополнительных сложностей, возникающих при учете и представлении данных о потреблении ГФУ, а также ввиду того, что страны лишь недавно начали внедрение систем квотирования и лицензирования. Проверка потребления ГФУ станет важным инструментом для стран НОП в этом процессе мониторинга, позволяя им выявить недостатки и совершенствовать свою нормативно-правовую базу, а также системы лицензирования и квотирования.</w:t>
      </w:r>
    </w:p>
    <w:p w14:paraId="2BA5FBCE" w14:textId="77777777" w:rsidR="006C7BDE" w:rsidRPr="00990B61" w:rsidRDefault="006C7BDE" w:rsidP="006C7BDE">
      <w:pPr>
        <w:spacing w:before="240" w:after="240"/>
        <w:rPr>
          <w:u w:val="single"/>
        </w:rPr>
      </w:pPr>
      <w:r>
        <w:rPr>
          <w:u w:val="single"/>
        </w:rPr>
        <w:t xml:space="preserve">Меньшее число траншей, запланированных в рамках этапа I планов реализации </w:t>
      </w:r>
      <w:proofErr w:type="spellStart"/>
      <w:r>
        <w:rPr>
          <w:u w:val="single"/>
        </w:rPr>
        <w:t>Кигалийской</w:t>
      </w:r>
      <w:proofErr w:type="spellEnd"/>
      <w:r>
        <w:rPr>
          <w:u w:val="single"/>
        </w:rPr>
        <w:t xml:space="preserve"> поправки по ГФУ</w:t>
      </w:r>
    </w:p>
    <w:p w14:paraId="19B9CA9B" w14:textId="165BE225" w:rsidR="006C7BDE" w:rsidRPr="00D659A9" w:rsidRDefault="006C7BDE" w:rsidP="006C7BDE">
      <w:pPr>
        <w:pStyle w:val="1"/>
        <w:spacing w:before="240"/>
      </w:pPr>
      <w:r>
        <w:t>Большинство стран НОП завершили этап I своих ПОДПО до 2020 года, а этап II – до 2030 года. Относительно продолжительные сроки реализации данных этапов позволили предусмотреть для каждого из них несколько траншей финансирования, при этом в соответствии с решением 62/17 последний транш по каждому этапу выделяется в последний год действия соответствующего соглашения.</w:t>
      </w:r>
    </w:p>
    <w:p w14:paraId="079E5BB4" w14:textId="00F1B5FE" w:rsidR="006C7BDE" w:rsidRPr="00190196" w:rsidRDefault="006C7BDE" w:rsidP="00190196">
      <w:pPr>
        <w:pStyle w:val="1"/>
        <w:spacing w:before="240" w:after="120"/>
      </w:pPr>
      <w:r>
        <w:t>Этап I ПРК имеет существенные отличия от этапов ПОДПО, в частности, по количеству предусмотренных траншей. В соответствии с решением 94/59 большинство представленных на сегодняшний день ПРК предусматривают только два транша, причем вторые (и последние) транши по многим из них запланированы на 2027 год. В таблице 2 представлены данные о количестве траншей, запланированных на каждый год для 44 стран НОП, для которых утверждены ПРК.</w:t>
      </w:r>
    </w:p>
    <w:p w14:paraId="6130AF20" w14:textId="35D52F7A" w:rsidR="006C7BDE" w:rsidRPr="00190196" w:rsidRDefault="006C7BDE" w:rsidP="00190196">
      <w:pPr>
        <w:keepNext/>
        <w:spacing w:before="120" w:after="20"/>
        <w:rPr>
          <w:b/>
          <w:bCs/>
        </w:rPr>
      </w:pPr>
      <w:r>
        <w:rPr>
          <w:b/>
        </w:rPr>
        <w:t>Таблица 2. Транши, запланированные для этапа I ПРК, утвержденных для стран НОП (группа 1 и 2)</w:t>
      </w:r>
    </w:p>
    <w:tbl>
      <w:tblPr>
        <w:tblStyle w:val="aa"/>
        <w:tblW w:w="5000" w:type="pct"/>
        <w:tblLook w:val="04A0" w:firstRow="1" w:lastRow="0" w:firstColumn="1" w:lastColumn="0" w:noHBand="0" w:noVBand="1"/>
      </w:tblPr>
      <w:tblGrid>
        <w:gridCol w:w="2662"/>
        <w:gridCol w:w="955"/>
        <w:gridCol w:w="955"/>
        <w:gridCol w:w="956"/>
        <w:gridCol w:w="956"/>
        <w:gridCol w:w="956"/>
        <w:gridCol w:w="956"/>
        <w:gridCol w:w="954"/>
      </w:tblGrid>
      <w:tr w:rsidR="006C7BDE" w:rsidRPr="00916FF4" w14:paraId="298A1742" w14:textId="77777777">
        <w:tc>
          <w:tcPr>
            <w:tcW w:w="1424" w:type="pct"/>
          </w:tcPr>
          <w:p w14:paraId="23BB5B4F" w14:textId="77777777" w:rsidR="006C7BDE" w:rsidRPr="00097B48" w:rsidRDefault="006C7BDE">
            <w:pPr>
              <w:pStyle w:val="1"/>
              <w:keepNext/>
              <w:numPr>
                <w:ilvl w:val="0"/>
                <w:numId w:val="0"/>
              </w:numPr>
              <w:spacing w:after="0"/>
              <w:jc w:val="center"/>
              <w:rPr>
                <w:b/>
                <w:bCs/>
                <w:sz w:val="20"/>
                <w:szCs w:val="20"/>
              </w:rPr>
            </w:pPr>
          </w:p>
        </w:tc>
        <w:tc>
          <w:tcPr>
            <w:tcW w:w="511" w:type="pct"/>
          </w:tcPr>
          <w:p w14:paraId="65AAA2C4" w14:textId="77777777" w:rsidR="006C7BDE" w:rsidRPr="00190196" w:rsidRDefault="006C7BDE">
            <w:pPr>
              <w:pStyle w:val="1"/>
              <w:keepNext/>
              <w:numPr>
                <w:ilvl w:val="0"/>
                <w:numId w:val="0"/>
              </w:numPr>
              <w:spacing w:after="0"/>
              <w:jc w:val="center"/>
              <w:rPr>
                <w:b/>
                <w:bCs/>
                <w:sz w:val="20"/>
                <w:szCs w:val="20"/>
              </w:rPr>
            </w:pPr>
            <w:r>
              <w:rPr>
                <w:b/>
                <w:sz w:val="20"/>
              </w:rPr>
              <w:t>2026 г.</w:t>
            </w:r>
          </w:p>
        </w:tc>
        <w:tc>
          <w:tcPr>
            <w:tcW w:w="511" w:type="pct"/>
          </w:tcPr>
          <w:p w14:paraId="5E331477" w14:textId="77777777" w:rsidR="006C7BDE" w:rsidRPr="00190196" w:rsidRDefault="006C7BDE">
            <w:pPr>
              <w:pStyle w:val="1"/>
              <w:keepNext/>
              <w:numPr>
                <w:ilvl w:val="0"/>
                <w:numId w:val="0"/>
              </w:numPr>
              <w:spacing w:after="0"/>
              <w:jc w:val="center"/>
              <w:rPr>
                <w:b/>
                <w:bCs/>
                <w:sz w:val="20"/>
                <w:szCs w:val="20"/>
              </w:rPr>
            </w:pPr>
            <w:r>
              <w:rPr>
                <w:b/>
                <w:sz w:val="20"/>
              </w:rPr>
              <w:t>2027 г.</w:t>
            </w:r>
          </w:p>
        </w:tc>
        <w:tc>
          <w:tcPr>
            <w:tcW w:w="511" w:type="pct"/>
          </w:tcPr>
          <w:p w14:paraId="68A4FC35" w14:textId="77777777" w:rsidR="006C7BDE" w:rsidRPr="00190196" w:rsidRDefault="006C7BDE">
            <w:pPr>
              <w:pStyle w:val="1"/>
              <w:keepNext/>
              <w:numPr>
                <w:ilvl w:val="0"/>
                <w:numId w:val="0"/>
              </w:numPr>
              <w:spacing w:after="0"/>
              <w:jc w:val="center"/>
              <w:rPr>
                <w:b/>
                <w:bCs/>
                <w:sz w:val="20"/>
                <w:szCs w:val="20"/>
              </w:rPr>
            </w:pPr>
            <w:r>
              <w:rPr>
                <w:b/>
                <w:sz w:val="20"/>
              </w:rPr>
              <w:t>2028 г.</w:t>
            </w:r>
          </w:p>
        </w:tc>
        <w:tc>
          <w:tcPr>
            <w:tcW w:w="511" w:type="pct"/>
          </w:tcPr>
          <w:p w14:paraId="1C6C7B70" w14:textId="77777777" w:rsidR="006C7BDE" w:rsidRPr="00190196" w:rsidRDefault="006C7BDE">
            <w:pPr>
              <w:pStyle w:val="1"/>
              <w:keepNext/>
              <w:numPr>
                <w:ilvl w:val="0"/>
                <w:numId w:val="0"/>
              </w:numPr>
              <w:spacing w:after="0"/>
              <w:jc w:val="center"/>
              <w:rPr>
                <w:b/>
                <w:bCs/>
                <w:sz w:val="20"/>
                <w:szCs w:val="20"/>
              </w:rPr>
            </w:pPr>
            <w:r>
              <w:rPr>
                <w:b/>
                <w:sz w:val="20"/>
              </w:rPr>
              <w:t>2029 г.</w:t>
            </w:r>
          </w:p>
        </w:tc>
        <w:tc>
          <w:tcPr>
            <w:tcW w:w="511" w:type="pct"/>
          </w:tcPr>
          <w:p w14:paraId="08C826AC" w14:textId="77777777" w:rsidR="006C7BDE" w:rsidRPr="00190196" w:rsidRDefault="006C7BDE">
            <w:pPr>
              <w:pStyle w:val="1"/>
              <w:keepNext/>
              <w:numPr>
                <w:ilvl w:val="0"/>
                <w:numId w:val="0"/>
              </w:numPr>
              <w:spacing w:after="0"/>
              <w:jc w:val="center"/>
              <w:rPr>
                <w:b/>
                <w:bCs/>
                <w:sz w:val="20"/>
                <w:szCs w:val="20"/>
              </w:rPr>
            </w:pPr>
            <w:r>
              <w:rPr>
                <w:b/>
                <w:sz w:val="20"/>
              </w:rPr>
              <w:t>2030 г.</w:t>
            </w:r>
          </w:p>
        </w:tc>
        <w:tc>
          <w:tcPr>
            <w:tcW w:w="511" w:type="pct"/>
          </w:tcPr>
          <w:p w14:paraId="018043B1" w14:textId="77777777" w:rsidR="006C7BDE" w:rsidRPr="00190196" w:rsidRDefault="006C7BDE">
            <w:pPr>
              <w:pStyle w:val="1"/>
              <w:keepNext/>
              <w:numPr>
                <w:ilvl w:val="0"/>
                <w:numId w:val="0"/>
              </w:numPr>
              <w:spacing w:after="0"/>
              <w:jc w:val="center"/>
              <w:rPr>
                <w:b/>
                <w:bCs/>
                <w:sz w:val="20"/>
                <w:szCs w:val="20"/>
              </w:rPr>
            </w:pPr>
            <w:r>
              <w:rPr>
                <w:b/>
                <w:sz w:val="20"/>
              </w:rPr>
              <w:t>2031 г.</w:t>
            </w:r>
          </w:p>
        </w:tc>
        <w:tc>
          <w:tcPr>
            <w:tcW w:w="511" w:type="pct"/>
          </w:tcPr>
          <w:p w14:paraId="30B1A169" w14:textId="77777777" w:rsidR="006C7BDE" w:rsidRPr="00916FF4" w:rsidRDefault="006C7BDE">
            <w:pPr>
              <w:pStyle w:val="1"/>
              <w:keepNext/>
              <w:numPr>
                <w:ilvl w:val="0"/>
                <w:numId w:val="0"/>
              </w:numPr>
              <w:spacing w:after="0"/>
              <w:jc w:val="center"/>
              <w:rPr>
                <w:b/>
                <w:bCs/>
                <w:sz w:val="20"/>
                <w:szCs w:val="20"/>
              </w:rPr>
            </w:pPr>
            <w:r>
              <w:rPr>
                <w:b/>
                <w:sz w:val="20"/>
              </w:rPr>
              <w:t>2032 г.</w:t>
            </w:r>
          </w:p>
        </w:tc>
      </w:tr>
      <w:tr w:rsidR="006C7BDE" w:rsidRPr="00094FD9" w14:paraId="2FF71F1B" w14:textId="77777777">
        <w:tc>
          <w:tcPr>
            <w:tcW w:w="1424" w:type="pct"/>
          </w:tcPr>
          <w:p w14:paraId="31AB035A" w14:textId="77777777" w:rsidR="006C7BDE" w:rsidRPr="00094FD9" w:rsidRDefault="006C7BDE">
            <w:pPr>
              <w:pStyle w:val="1"/>
              <w:numPr>
                <w:ilvl w:val="0"/>
                <w:numId w:val="0"/>
              </w:numPr>
              <w:spacing w:after="0"/>
              <w:ind w:right="-185"/>
              <w:jc w:val="left"/>
              <w:rPr>
                <w:sz w:val="20"/>
                <w:szCs w:val="20"/>
              </w:rPr>
            </w:pPr>
            <w:r>
              <w:rPr>
                <w:sz w:val="20"/>
              </w:rPr>
              <w:t>Число запланированных траншей</w:t>
            </w:r>
          </w:p>
        </w:tc>
        <w:tc>
          <w:tcPr>
            <w:tcW w:w="511" w:type="pct"/>
          </w:tcPr>
          <w:p w14:paraId="08AC50A7" w14:textId="77777777" w:rsidR="006C7BDE" w:rsidRPr="00094FD9" w:rsidRDefault="006C7BDE">
            <w:pPr>
              <w:pStyle w:val="1"/>
              <w:numPr>
                <w:ilvl w:val="0"/>
                <w:numId w:val="0"/>
              </w:numPr>
              <w:spacing w:after="0"/>
              <w:jc w:val="center"/>
              <w:rPr>
                <w:sz w:val="20"/>
                <w:szCs w:val="20"/>
              </w:rPr>
            </w:pPr>
            <w:r>
              <w:rPr>
                <w:sz w:val="20"/>
              </w:rPr>
              <w:t>9*</w:t>
            </w:r>
          </w:p>
        </w:tc>
        <w:tc>
          <w:tcPr>
            <w:tcW w:w="511" w:type="pct"/>
          </w:tcPr>
          <w:p w14:paraId="559ED44C" w14:textId="77777777" w:rsidR="006C7BDE" w:rsidRPr="00094FD9" w:rsidRDefault="006C7BDE">
            <w:pPr>
              <w:pStyle w:val="1"/>
              <w:numPr>
                <w:ilvl w:val="0"/>
                <w:numId w:val="0"/>
              </w:numPr>
              <w:spacing w:after="0"/>
              <w:jc w:val="center"/>
              <w:rPr>
                <w:sz w:val="20"/>
                <w:szCs w:val="20"/>
              </w:rPr>
            </w:pPr>
            <w:r>
              <w:rPr>
                <w:sz w:val="20"/>
              </w:rPr>
              <w:t>35</w:t>
            </w:r>
          </w:p>
        </w:tc>
        <w:tc>
          <w:tcPr>
            <w:tcW w:w="511" w:type="pct"/>
          </w:tcPr>
          <w:p w14:paraId="49433D97" w14:textId="77777777" w:rsidR="006C7BDE" w:rsidRPr="00094FD9" w:rsidRDefault="006C7BDE">
            <w:pPr>
              <w:pStyle w:val="1"/>
              <w:numPr>
                <w:ilvl w:val="0"/>
                <w:numId w:val="0"/>
              </w:numPr>
              <w:spacing w:after="0"/>
              <w:jc w:val="center"/>
              <w:rPr>
                <w:sz w:val="20"/>
                <w:szCs w:val="20"/>
              </w:rPr>
            </w:pPr>
            <w:r>
              <w:rPr>
                <w:sz w:val="20"/>
              </w:rPr>
              <w:t>1</w:t>
            </w:r>
          </w:p>
        </w:tc>
        <w:tc>
          <w:tcPr>
            <w:tcW w:w="511" w:type="pct"/>
          </w:tcPr>
          <w:p w14:paraId="339EA113" w14:textId="77777777" w:rsidR="006C7BDE" w:rsidRPr="00094FD9" w:rsidRDefault="006C7BDE">
            <w:pPr>
              <w:pStyle w:val="1"/>
              <w:numPr>
                <w:ilvl w:val="0"/>
                <w:numId w:val="0"/>
              </w:numPr>
              <w:spacing w:after="0"/>
              <w:jc w:val="center"/>
              <w:rPr>
                <w:sz w:val="20"/>
                <w:szCs w:val="20"/>
              </w:rPr>
            </w:pPr>
            <w:r>
              <w:rPr>
                <w:sz w:val="20"/>
              </w:rPr>
              <w:t>7</w:t>
            </w:r>
          </w:p>
        </w:tc>
        <w:tc>
          <w:tcPr>
            <w:tcW w:w="511" w:type="pct"/>
          </w:tcPr>
          <w:p w14:paraId="679619DC" w14:textId="77777777" w:rsidR="006C7BDE" w:rsidRPr="00094FD9" w:rsidRDefault="006C7BDE">
            <w:pPr>
              <w:pStyle w:val="1"/>
              <w:numPr>
                <w:ilvl w:val="0"/>
                <w:numId w:val="0"/>
              </w:numPr>
              <w:spacing w:after="0"/>
              <w:jc w:val="center"/>
              <w:rPr>
                <w:sz w:val="20"/>
                <w:szCs w:val="20"/>
              </w:rPr>
            </w:pPr>
            <w:r>
              <w:rPr>
                <w:sz w:val="20"/>
              </w:rPr>
              <w:t>9*</w:t>
            </w:r>
          </w:p>
        </w:tc>
        <w:tc>
          <w:tcPr>
            <w:tcW w:w="511" w:type="pct"/>
          </w:tcPr>
          <w:p w14:paraId="046B0376" w14:textId="77777777" w:rsidR="006C7BDE" w:rsidRPr="00094FD9" w:rsidRDefault="006C7BDE">
            <w:pPr>
              <w:pStyle w:val="1"/>
              <w:numPr>
                <w:ilvl w:val="0"/>
                <w:numId w:val="0"/>
              </w:numPr>
              <w:spacing w:after="0"/>
              <w:jc w:val="center"/>
              <w:rPr>
                <w:sz w:val="20"/>
                <w:szCs w:val="20"/>
              </w:rPr>
            </w:pPr>
            <w:r>
              <w:rPr>
                <w:sz w:val="20"/>
              </w:rPr>
              <w:t>0</w:t>
            </w:r>
          </w:p>
        </w:tc>
        <w:tc>
          <w:tcPr>
            <w:tcW w:w="511" w:type="pct"/>
          </w:tcPr>
          <w:p w14:paraId="187086FC" w14:textId="77777777" w:rsidR="006C7BDE" w:rsidRPr="00094FD9" w:rsidRDefault="006C7BDE">
            <w:pPr>
              <w:pStyle w:val="1"/>
              <w:numPr>
                <w:ilvl w:val="0"/>
                <w:numId w:val="0"/>
              </w:numPr>
              <w:spacing w:after="0"/>
              <w:jc w:val="center"/>
              <w:rPr>
                <w:sz w:val="20"/>
                <w:szCs w:val="20"/>
              </w:rPr>
            </w:pPr>
            <w:r>
              <w:rPr>
                <w:sz w:val="20"/>
              </w:rPr>
              <w:t>0</w:t>
            </w:r>
          </w:p>
        </w:tc>
      </w:tr>
    </w:tbl>
    <w:p w14:paraId="36711312" w14:textId="77777777" w:rsidR="006C7BDE" w:rsidRPr="003D20AE" w:rsidRDefault="006C7BDE" w:rsidP="00597F65">
      <w:pPr>
        <w:pStyle w:val="1"/>
        <w:numPr>
          <w:ilvl w:val="0"/>
          <w:numId w:val="0"/>
        </w:numPr>
        <w:spacing w:after="0"/>
        <w:rPr>
          <w:sz w:val="18"/>
          <w:szCs w:val="18"/>
        </w:rPr>
      </w:pPr>
      <w:r>
        <w:rPr>
          <w:sz w:val="18"/>
        </w:rPr>
        <w:t>* Включая транши для этапа I ПРК Никарагуа, который будет рассматриваться на данном совещании в связи с возможной отменой</w:t>
      </w:r>
    </w:p>
    <w:p w14:paraId="2AF55F39" w14:textId="58CB56BB" w:rsidR="006C7BDE" w:rsidRDefault="006C7BDE" w:rsidP="006C7BDE">
      <w:pPr>
        <w:pStyle w:val="1"/>
        <w:spacing w:before="240"/>
      </w:pPr>
      <w:r>
        <w:t xml:space="preserve">Как показано в таблице, отсутствует четкий ежегодный график выделения траншей, в связи с чем при выборке 20 % стран НОП в год лишь для ограниченного числа стран будет проведена проверка на этапе I ПРК. Учитывая дополнительные преимущества проведения проверок в странах НОП, а также тот факт, что ежегодная выборка из 20 % не охватит все такие страны, секретариат предлагает альтернативный </w:t>
      </w:r>
      <w:r w:rsidR="00A66764">
        <w:t>подход</w:t>
      </w:r>
      <w:r>
        <w:t>, обеспечивающий проведение одной проверки в каждой стране НОП в ходе этапа I ПРК, а именно:</w:t>
      </w:r>
    </w:p>
    <w:p w14:paraId="2252E4B3" w14:textId="77777777" w:rsidR="006C7BDE" w:rsidRDefault="006C7BDE" w:rsidP="006C7BDE">
      <w:pPr>
        <w:pStyle w:val="2"/>
        <w:numPr>
          <w:ilvl w:val="1"/>
          <w:numId w:val="1"/>
        </w:numPr>
        <w:spacing w:before="240"/>
      </w:pPr>
      <w:r>
        <w:lastRenderedPageBreak/>
        <w:t>каждый год секретариат будет отбирать для проверки те страны НОП, которые запланировали получение транша на следующий год и еще не проходили проверку;</w:t>
      </w:r>
    </w:p>
    <w:p w14:paraId="611C7C72" w14:textId="77777777" w:rsidR="006C7BDE" w:rsidRPr="005065C8" w:rsidRDefault="006C7BDE" w:rsidP="006C7BDE">
      <w:pPr>
        <w:pStyle w:val="2"/>
        <w:numPr>
          <w:ilvl w:val="1"/>
          <w:numId w:val="1"/>
        </w:numPr>
        <w:spacing w:before="240"/>
      </w:pPr>
      <w:r>
        <w:t>на первом совещании года секретариат представляет Исполнительному комитету список стран НОП, подлежащих проверке, которые подали запрос на получение транша, запланированного на следующий год, а ведущим двусторонним учреждениям и учреждениям-исполнителям, ответственным за проверку, будет предложено предусмотреть бюджет на подготовку докладов о проверке на том же совещании; и</w:t>
      </w:r>
    </w:p>
    <w:p w14:paraId="1CDEFDF4" w14:textId="4487F5CC" w:rsidR="006C7BDE" w:rsidRDefault="006C7BDE" w:rsidP="006C7BDE">
      <w:pPr>
        <w:pStyle w:val="2"/>
        <w:numPr>
          <w:ilvl w:val="1"/>
          <w:numId w:val="1"/>
        </w:numPr>
        <w:spacing w:before="240"/>
      </w:pPr>
      <w:r>
        <w:t>бюджет, рекомендованный для проверки потребления ГФУ, сохраняется в пределах 30 000 долл. США, как и в случае с проверкой потребления ГХФУ. Несмотря на обширный опыт по подготовке проверок, проверк</w:t>
      </w:r>
      <w:r w:rsidR="00226AD3">
        <w:t>и</w:t>
      </w:r>
      <w:r>
        <w:t xml:space="preserve"> в рамках ПРК охватывают большее число веществ.</w:t>
      </w:r>
    </w:p>
    <w:p w14:paraId="31C139A1" w14:textId="77777777" w:rsidR="006C7BDE" w:rsidRDefault="006C7BDE" w:rsidP="006C7BDE">
      <w:pPr>
        <w:pStyle w:val="1"/>
        <w:spacing w:before="240"/>
      </w:pPr>
      <w:r>
        <w:t>Соответственно, исходя из распределения траншей 44 ПРК, утвержденных для стран НОП на данный момент, число стран, которые могут быть отобраны для проведения соответствующих проверок в 2026 году, составляет девять, а в 2027 году – 35. Число проверок, которые будет необходимо провести в период с 2027 по 2032 год, увеличится в зависимости от числа дополнительных ПРК, которые будут утверждены для стран НОП в ближайшие годы.</w:t>
      </w:r>
    </w:p>
    <w:p w14:paraId="5CCCB3F9" w14:textId="77777777" w:rsidR="006C7BDE" w:rsidRPr="00CC567B" w:rsidRDefault="006C7BDE" w:rsidP="006C7BDE">
      <w:pPr>
        <w:pStyle w:val="1"/>
        <w:spacing w:before="240"/>
      </w:pPr>
      <w:r>
        <w:t>Данный подход представляет собой более эффективную альтернативу ежегодной случайной выборке стран, обеспечивая, чтобы для всех страны НОП с утвержденными ПРК была проведена проверка на этапе I, что в свою очередь позволит странам принять корректирующие меры для совершенствования своих систем лицензирования и квотирования, где это необходимо, еще в период осуществления этапа I. Секретариат предлагает пересмотреть эту систему для этапа II, исходя из конкретных обстоятельств на тот момент.</w:t>
      </w:r>
    </w:p>
    <w:p w14:paraId="3421332C" w14:textId="2109577F" w:rsidR="006C7BDE" w:rsidRPr="002611E8" w:rsidRDefault="00635E7B" w:rsidP="008A2810">
      <w:pPr>
        <w:keepNext/>
        <w:spacing w:before="240" w:after="240"/>
        <w:rPr>
          <w:u w:val="single"/>
        </w:rPr>
      </w:pPr>
      <w:r>
        <w:rPr>
          <w:u w:val="single"/>
        </w:rPr>
        <w:t>Одновременная</w:t>
      </w:r>
      <w:r w:rsidR="006C7BDE">
        <w:rPr>
          <w:u w:val="single"/>
        </w:rPr>
        <w:t xml:space="preserve"> проверка потребления ГХФУ и ГФУ</w:t>
      </w:r>
    </w:p>
    <w:p w14:paraId="78B4DF0C" w14:textId="72A4BF9B" w:rsidR="006C7BDE" w:rsidRDefault="006C7BDE" w:rsidP="006C7BDE">
      <w:pPr>
        <w:pStyle w:val="1"/>
        <w:spacing w:before="240"/>
      </w:pPr>
      <w:r>
        <w:t xml:space="preserve">В соответствии с </w:t>
      </w:r>
      <w:r w:rsidR="00ED64DE">
        <w:t>р</w:t>
      </w:r>
      <w:r>
        <w:t xml:space="preserve">ешением 94/59 странам, действующим </w:t>
      </w:r>
      <w:r w:rsidR="004353D7">
        <w:t xml:space="preserve">в рамках статьи </w:t>
      </w:r>
      <w:r>
        <w:t xml:space="preserve">5, было предложено согласовать сроки предоставления траншей в рамках ПРК и ПОДПО. В странах, которые уже осуществили такое согласование, проверки потребления ГФУ и ГХФУ могут проводиться одновременно. В случае задержки одного из траншей, доклад о проверке потребления ГХФУ и ГФУ представляется вместе с запросом о выделении транша, который подается первым. При отборе стран для проведения проверки потребления ГХФУ на первом совещании года секретариат будет также учитывать страны, согласовавшие свои графики предоставления траншей ПОДПО и ПРК. Секретариат рекомендует установить бюджет для одновременной проверки потребления ГХФУ и ГФУ в этих странах </w:t>
      </w:r>
      <w:r w:rsidR="004353D7">
        <w:t xml:space="preserve">в пределах </w:t>
      </w:r>
      <w:r>
        <w:t>45 000 долл. США, учитывая, что сбор информации одновременно по ГФУ и ГХФУ, не увеличивает объем работы проводящего проверку учреждения, а подготовка и окончательная доработка единого доклада позволяет достичь оптимизации затрат.</w:t>
      </w:r>
    </w:p>
    <w:p w14:paraId="4DDDB4D0" w14:textId="77777777" w:rsidR="006C7BDE" w:rsidRPr="00FF021B" w:rsidRDefault="006C7BDE" w:rsidP="006C7BDE">
      <w:pPr>
        <w:keepNext/>
        <w:spacing w:before="240" w:after="240"/>
        <w:rPr>
          <w:u w:val="single"/>
        </w:rPr>
      </w:pPr>
      <w:r>
        <w:rPr>
          <w:u w:val="single"/>
        </w:rPr>
        <w:t>Проверка потребления ГФУ в базовые годы</w:t>
      </w:r>
    </w:p>
    <w:p w14:paraId="4D6E674E" w14:textId="0C9A15AA" w:rsidR="006C7BDE" w:rsidRDefault="006C7BDE" w:rsidP="006C7BDE">
      <w:pPr>
        <w:pStyle w:val="1"/>
        <w:spacing w:before="240"/>
      </w:pPr>
      <w:r>
        <w:t>Доклады о проверке потребления ГФУ в базовые годы охватывают период, начиная с года утверждения предыдущего транша. Учитывая проблемы, изложенные в пункте 33 выше, следует поощрять страны, желающие включить базовые годы в свою первую проверку, к такому подходу.</w:t>
      </w:r>
    </w:p>
    <w:p w14:paraId="1F7DE9B7" w14:textId="77777777" w:rsidR="006C7BDE" w:rsidRPr="00524A89" w:rsidRDefault="006C7BDE" w:rsidP="0008236B">
      <w:pPr>
        <w:keepNext/>
        <w:spacing w:before="240" w:after="240"/>
        <w:rPr>
          <w:u w:val="single"/>
        </w:rPr>
      </w:pPr>
      <w:r>
        <w:rPr>
          <w:u w:val="single"/>
        </w:rPr>
        <w:lastRenderedPageBreak/>
        <w:t>Страны, не входящие в категорию стран с низким объемом потребления, с объемом финансирования, аналогичным странам с низким объемом потребления</w:t>
      </w:r>
    </w:p>
    <w:p w14:paraId="3C7BC4CF" w14:textId="54CB825C" w:rsidR="006C7BDE" w:rsidRDefault="006C7BDE" w:rsidP="00035865">
      <w:pPr>
        <w:pStyle w:val="1"/>
        <w:spacing w:before="120"/>
      </w:pPr>
      <w:r>
        <w:t>В соответствии с решением 92/37(c) страны со средни</w:t>
      </w:r>
      <w:r w:rsidR="00AF15C7">
        <w:t>м</w:t>
      </w:r>
      <w:r>
        <w:t xml:space="preserve"> объем</w:t>
      </w:r>
      <w:r w:rsidR="00AF15C7">
        <w:t>ом</w:t>
      </w:r>
      <w:r>
        <w:t xml:space="preserve"> потребления ГФУ в секторе обслуживания, превышающим в базовые годы 360 </w:t>
      </w:r>
      <w:proofErr w:type="spellStart"/>
      <w:r>
        <w:t>мт</w:t>
      </w:r>
      <w:proofErr w:type="spellEnd"/>
      <w:r>
        <w:t xml:space="preserve">, могут при желании получать финансирование в размере, установленном для стран НОП со средним потреблением ГФУ в секторе обслуживания в базовые годы между 300 и 360 тоннами. Секретариат рекомендует включать эти страны в выборку для проверки, применяя аналогичный подход, который использовался при проверке стран с потреблением ГХФУ свыше 300 </w:t>
      </w:r>
      <w:proofErr w:type="spellStart"/>
      <w:r>
        <w:t>мт</w:t>
      </w:r>
      <w:proofErr w:type="spellEnd"/>
      <w:r>
        <w:t>, которые получали финансирование как страны НОП в рамках ПОДПО</w:t>
      </w:r>
      <w:r>
        <w:rPr>
          <w:rStyle w:val="afa"/>
          <w:lang w:val="en-US"/>
        </w:rPr>
        <w:footnoteReference w:id="14"/>
      </w:r>
      <w:r w:rsidR="00821EF8">
        <w:t>.</w:t>
      </w:r>
      <w:r>
        <w:t xml:space="preserve"> </w:t>
      </w:r>
    </w:p>
    <w:p w14:paraId="7339FCEE" w14:textId="5D2DCBAA" w:rsidR="006C7BDE" w:rsidRPr="00404D66" w:rsidRDefault="006C7BDE" w:rsidP="0008236B">
      <w:pPr>
        <w:pStyle w:val="1"/>
        <w:widowControl w:val="0"/>
        <w:numPr>
          <w:ilvl w:val="0"/>
          <w:numId w:val="0"/>
        </w:numPr>
        <w:spacing w:before="240"/>
        <w:rPr>
          <w:b/>
          <w:bCs/>
        </w:rPr>
      </w:pPr>
      <w:r>
        <w:rPr>
          <w:b/>
        </w:rPr>
        <w:t>Рекомендация</w:t>
      </w:r>
    </w:p>
    <w:p w14:paraId="12A93E75" w14:textId="77777777" w:rsidR="006C7BDE" w:rsidRDefault="006C7BDE" w:rsidP="00035865">
      <w:pPr>
        <w:pStyle w:val="1"/>
        <w:widowControl w:val="0"/>
        <w:spacing w:before="120"/>
      </w:pPr>
      <w:r>
        <w:t>Исполнительный комитет, возможно, пожелает:</w:t>
      </w:r>
    </w:p>
    <w:p w14:paraId="01CDDC0F" w14:textId="77777777" w:rsidR="006C7BDE" w:rsidRPr="00954BDB" w:rsidRDefault="006C7BDE" w:rsidP="0008236B">
      <w:pPr>
        <w:pStyle w:val="2"/>
        <w:numPr>
          <w:ilvl w:val="1"/>
          <w:numId w:val="1"/>
        </w:numPr>
        <w:spacing w:after="120"/>
      </w:pPr>
      <w:r>
        <w:t>просить:</w:t>
      </w:r>
    </w:p>
    <w:p w14:paraId="517FDED9" w14:textId="77777777" w:rsidR="006C7BDE" w:rsidRPr="003C6CF8" w:rsidRDefault="006C7BDE" w:rsidP="0008236B">
      <w:pPr>
        <w:pStyle w:val="3"/>
        <w:numPr>
          <w:ilvl w:val="2"/>
          <w:numId w:val="1"/>
        </w:numPr>
        <w:spacing w:before="120" w:after="120"/>
      </w:pPr>
      <w:r>
        <w:t>секретариат:</w:t>
      </w:r>
    </w:p>
    <w:p w14:paraId="31951BE7" w14:textId="19F74FC4" w:rsidR="006C7BDE" w:rsidRDefault="006C7BDE" w:rsidP="0008236B">
      <w:pPr>
        <w:pStyle w:val="newheader40"/>
        <w:keepNext w:val="0"/>
        <w:widowControl w:val="0"/>
        <w:numPr>
          <w:ilvl w:val="0"/>
          <w:numId w:val="26"/>
        </w:numPr>
        <w:spacing w:before="120" w:after="120"/>
        <w:ind w:left="2835" w:right="-45" w:hanging="709"/>
      </w:pPr>
      <w:r>
        <w:t>предоставлять Исполнительному комитету на первом совещании каждого года, начиная с 2026 года, список стран со средним  потреблением ГФУ в секторе обслуживания в базовые годы в объеме 360 метрических тонн (</w:t>
      </w:r>
      <w:proofErr w:type="spellStart"/>
      <w:r>
        <w:t>мт</w:t>
      </w:r>
      <w:proofErr w:type="spellEnd"/>
      <w:r>
        <w:t xml:space="preserve">) и ниже, которые запланировали получение транша в рамках своих планов реализации </w:t>
      </w:r>
      <w:proofErr w:type="spellStart"/>
      <w:r>
        <w:t>Кигалийской</w:t>
      </w:r>
      <w:proofErr w:type="spellEnd"/>
      <w:r>
        <w:t xml:space="preserve"> поправки по ГФУ (ПРК) на следующий год и ранее не получали финансирования для проведения таких проверок, с целью утверждения Исполнительным комитетом данного списка для целей проверки соблюдения этими странами условий их соглашений ПРК;</w:t>
      </w:r>
    </w:p>
    <w:p w14:paraId="405C3B12" w14:textId="5BFE409F" w:rsidR="006C7BDE" w:rsidRPr="003B7EA3" w:rsidRDefault="006C7BDE" w:rsidP="0008236B">
      <w:pPr>
        <w:pStyle w:val="4"/>
        <w:keepNext w:val="0"/>
        <w:numPr>
          <w:ilvl w:val="0"/>
          <w:numId w:val="26"/>
        </w:numPr>
        <w:spacing w:before="120" w:after="240"/>
        <w:ind w:left="2835" w:hanging="709"/>
      </w:pPr>
      <w:r>
        <w:t>включить в список, указанный в подпункте (a)(</w:t>
      </w:r>
      <w:proofErr w:type="gramStart"/>
      <w:r>
        <w:t>i)a.</w:t>
      </w:r>
      <w:proofErr w:type="gramEnd"/>
      <w:r>
        <w:t xml:space="preserve"> выше, </w:t>
      </w:r>
      <w:r w:rsidR="00F86925">
        <w:t xml:space="preserve">страны, </w:t>
      </w:r>
      <w:r>
        <w:t xml:space="preserve">среднее потребление ГФУ в секторе обслуживания которых в базисные годы превышает 360 </w:t>
      </w:r>
      <w:proofErr w:type="spellStart"/>
      <w:r>
        <w:t>мт</w:t>
      </w:r>
      <w:proofErr w:type="spellEnd"/>
      <w:r>
        <w:t>, но которые принял</w:t>
      </w:r>
      <w:r w:rsidR="00F86925">
        <w:t>и</w:t>
      </w:r>
      <w:r>
        <w:t xml:space="preserve"> решение получать финансирование как страны НОП в соответствии с решением 92/36(c);</w:t>
      </w:r>
    </w:p>
    <w:p w14:paraId="2D52E653" w14:textId="334AC6E2" w:rsidR="006C7BDE" w:rsidRDefault="006C7BDE" w:rsidP="0008236B">
      <w:pPr>
        <w:pStyle w:val="3"/>
        <w:widowControl/>
        <w:numPr>
          <w:ilvl w:val="2"/>
          <w:numId w:val="1"/>
        </w:numPr>
        <w:spacing w:before="120"/>
      </w:pPr>
      <w:r>
        <w:t>двусторонние учреждения и учреждения-исполнители, выступающи</w:t>
      </w:r>
      <w:r w:rsidR="00512EB9">
        <w:t>е</w:t>
      </w:r>
      <w:r>
        <w:t xml:space="preserve"> в качестве ведущих учреждений по соответствующим соглашениям, включать расходы на проведение проверки в свои программы работы на соответствующий год и представлять доклад о проверке вместе с запросами на выделение транша в следующем году;</w:t>
      </w:r>
    </w:p>
    <w:p w14:paraId="605ACE40" w14:textId="7C6CCF94" w:rsidR="006C7BDE" w:rsidRDefault="006C7BDE" w:rsidP="006C7BDE">
      <w:pPr>
        <w:pStyle w:val="2"/>
        <w:numPr>
          <w:ilvl w:val="1"/>
          <w:numId w:val="1"/>
        </w:numPr>
        <w:spacing w:before="240"/>
      </w:pPr>
      <w:r>
        <w:t xml:space="preserve">сохранять бюджет, рекомендованный для проведения проверки потребления ГФУ в странах с объемом потребления до 360 </w:t>
      </w:r>
      <w:proofErr w:type="spellStart"/>
      <w:r>
        <w:t>мт</w:t>
      </w:r>
      <w:proofErr w:type="spellEnd"/>
      <w:r>
        <w:t xml:space="preserve"> в секторе обслуживания в базовые годы, в пределах 30 000 долл. США или 45 000 долл. США, когда проводится одновременная проверка потребления ГФУ и ГХФУ;</w:t>
      </w:r>
    </w:p>
    <w:p w14:paraId="16A74DC3" w14:textId="5F847D25" w:rsidR="006C7BDE" w:rsidRDefault="006C7BDE" w:rsidP="006C7BDE">
      <w:pPr>
        <w:pStyle w:val="2"/>
        <w:numPr>
          <w:ilvl w:val="1"/>
          <w:numId w:val="1"/>
        </w:numPr>
        <w:spacing w:before="240"/>
      </w:pPr>
      <w:r>
        <w:t xml:space="preserve">поощрять страны с объемом потребления до 360 </w:t>
      </w:r>
      <w:proofErr w:type="spellStart"/>
      <w:r>
        <w:t>мт</w:t>
      </w:r>
      <w:proofErr w:type="spellEnd"/>
      <w:r>
        <w:t xml:space="preserve"> в секторе обслуживания в базовые годы и страны с объемом потребления свыше 360 </w:t>
      </w:r>
      <w:proofErr w:type="spellStart"/>
      <w:r>
        <w:t>мт</w:t>
      </w:r>
      <w:proofErr w:type="spellEnd"/>
      <w:r>
        <w:t>, которые принял</w:t>
      </w:r>
      <w:r w:rsidR="00AA23B6">
        <w:t>и</w:t>
      </w:r>
      <w:r>
        <w:t xml:space="preserve"> решение получать финансирование как страны НОП, включать, если желают, базовые годы в свою проверку потребления ГФУ; и</w:t>
      </w:r>
    </w:p>
    <w:p w14:paraId="055410DD" w14:textId="02C7F65F" w:rsidR="00FA39AF" w:rsidRPr="00FD3B6E" w:rsidRDefault="006C7BDE" w:rsidP="00EE170D">
      <w:pPr>
        <w:pStyle w:val="2"/>
        <w:numPr>
          <w:ilvl w:val="1"/>
          <w:numId w:val="1"/>
        </w:numPr>
        <w:spacing w:before="240" w:after="0"/>
      </w:pPr>
      <w:r>
        <w:t>далее просить соответствующие двусторонние учреждения и учреждения-</w:t>
      </w:r>
      <w:r>
        <w:lastRenderedPageBreak/>
        <w:t>исполнители, выступающие в качестве ведущих учреждений, при необходимости включить в свои соответствующие документы о двустороннем сотрудничестве и поправки к программам работы, представляемые на 97-м совещании, бюджет для подготовки докладов о проверке в рамках этапа I ПРК для Албании, Конго, Кубы, Кыргызстана, Малави, Мозамбика, Северной Македонии и Туркменистана, которые должны быть представлены вместе с запросами на выделение траншей в 2026 году, отмечая, что Албания также  включена в список стран для проведения проверки потребления ГХФУ, доклад о которой должен быть представлен вместе с запросом на выделение транша в рамках ее плана организационной деятельности по поэтапному отказу от ГХФУ</w:t>
      </w:r>
      <w:r w:rsidR="00F472DA">
        <w:t xml:space="preserve"> </w:t>
      </w:r>
      <w:r>
        <w:t>в 2026 году.</w:t>
      </w:r>
    </w:p>
    <w:p w14:paraId="10CAF11C" w14:textId="64FE7D09" w:rsidR="001E6F4F" w:rsidRPr="001E6F4F" w:rsidRDefault="00FA39AF" w:rsidP="00035865">
      <w:pPr>
        <w:keepNext/>
        <w:spacing w:before="360" w:after="240"/>
        <w:rPr>
          <w:b/>
          <w:bCs/>
          <w:sz w:val="24"/>
          <w:szCs w:val="24"/>
        </w:rPr>
      </w:pPr>
      <w:r>
        <w:rPr>
          <w:b/>
          <w:sz w:val="24"/>
        </w:rPr>
        <w:t>III.4</w:t>
      </w:r>
      <w:r>
        <w:rPr>
          <w:b/>
          <w:sz w:val="24"/>
        </w:rPr>
        <w:tab/>
        <w:t>Запросы на финансирование подготовки проектов, представляемых в соответствии с решением 95/87(g)</w:t>
      </w:r>
    </w:p>
    <w:p w14:paraId="54908A06" w14:textId="513E1C5B" w:rsidR="001E6F4F" w:rsidRDefault="00B8188E" w:rsidP="001E6F4F">
      <w:pPr>
        <w:pStyle w:val="1"/>
      </w:pPr>
      <w:bookmarkStart w:id="0" w:name="_Hlk197092140"/>
      <w:r w:rsidRPr="00B8188E">
        <w:t>На своем 95-м совещании Исполнительный комитет создал линию целевого финансирования в размере 40 млн долл. США для двух проектов по повышению энергоэффективности для конечных пользователей с использованием механизма оборотного фонда, разработанного учреждениями-исполнителями, которые также обеспечиваю</w:t>
      </w:r>
      <w:r w:rsidR="006D5753">
        <w:t>т</w:t>
      </w:r>
      <w:r w:rsidRPr="00B8188E">
        <w:t xml:space="preserve"> его функционирование. Комитет также постановил выделить средства на подготовку не более пяти подобных проектов в пределах 100 000 долл. США для каждого, при условии, что соответствующие предложения будут представлены на 96-м совещании и что будет отобрано не более двух проектов для целевого финансирования (решение 95/87 (f) и (g)).</w:t>
      </w:r>
    </w:p>
    <w:bookmarkEnd w:id="0"/>
    <w:p w14:paraId="480BF3A0" w14:textId="7EA67F3E" w:rsidR="001E6F4F" w:rsidRDefault="00CE7F2B" w:rsidP="00E45281">
      <w:pPr>
        <w:pStyle w:val="1"/>
      </w:pPr>
      <w:r>
        <w:t>Соответственно, Всемирный банк и ПРООН представили на рассмотрение на 96-м совещании запросы на финансирование подготовки проектов для конечных пользователей с использованием средств оборотного фонда.</w:t>
      </w:r>
      <w:r w:rsidRPr="00CE7F2B">
        <w:rPr>
          <w:lang w:val="fr-FR"/>
        </w:rPr>
        <w:t xml:space="preserve"> </w:t>
      </w:r>
      <w:r>
        <w:t xml:space="preserve">Всемирный банк представил четыре запроса на подготовку проектов в размере 100 000 долл. США каждый (Гренада, Мексика, Таиланд и Турция), а ПРООН представила одно предложение по подготовке </w:t>
      </w:r>
      <w:proofErr w:type="spellStart"/>
      <w:r>
        <w:t>многостранового</w:t>
      </w:r>
      <w:proofErr w:type="spellEnd"/>
      <w:r>
        <w:t xml:space="preserve"> проекта на сумму 200 000 долл. США, охватывающе</w:t>
      </w:r>
      <w:r w:rsidR="00191D14">
        <w:t>го</w:t>
      </w:r>
      <w:r>
        <w:t xml:space="preserve"> Колумбию, Гану и Иорданию.</w:t>
      </w:r>
      <w:r w:rsidRPr="00CE7F2B">
        <w:rPr>
          <w:lang w:val="fr-FR"/>
        </w:rPr>
        <w:t xml:space="preserve"> </w:t>
      </w:r>
      <w:r>
        <w:t>Подробная информация о запросах на финансирование подготовки проектов, включенных в программы работы ПРООН</w:t>
      </w:r>
      <w:r w:rsidR="00A27BC7" w:rsidRPr="00A27BC7">
        <w:rPr>
          <w:vertAlign w:val="superscript"/>
          <w:lang w:val="en-CA"/>
        </w:rPr>
        <w:footnoteReference w:id="15"/>
      </w:r>
      <w:r w:rsidR="00A27BC7" w:rsidRPr="00097B48">
        <w:t xml:space="preserve"> </w:t>
      </w:r>
      <w:r>
        <w:t>и Всемирного банка</w:t>
      </w:r>
      <w:r w:rsidR="006A5A36" w:rsidRPr="006A5A36">
        <w:rPr>
          <w:vertAlign w:val="superscript"/>
          <w:lang w:val="en-CA"/>
        </w:rPr>
        <w:footnoteReference w:id="16"/>
      </w:r>
      <w:r>
        <w:t>, содержит обзор ключевых аспектов данных проектов</w:t>
      </w:r>
      <w:r w:rsidR="001E6F4F">
        <w:t>.</w:t>
      </w:r>
    </w:p>
    <w:p w14:paraId="14292D5A" w14:textId="18007638" w:rsidR="001E6F4F" w:rsidRPr="0045043D" w:rsidRDefault="00DF4E77" w:rsidP="00DA527F">
      <w:pPr>
        <w:pStyle w:val="1"/>
      </w:pPr>
      <w:r>
        <w:t>Учитывая, что общее число представленных запросов превышает установленный лимит в 500 000 долл. США, предусмотренный для этих целей в соответствии с решением 95/87(g), Исполнительному комитету предстоит отобрать предложения, которые он сочтет целесообразными.</w:t>
      </w:r>
      <w:r w:rsidRPr="00DF4E77">
        <w:rPr>
          <w:lang w:val="fr-FR"/>
        </w:rPr>
        <w:t xml:space="preserve"> </w:t>
      </w:r>
      <w:r>
        <w:t>Секретариат отмечает, что проектное предложение ПРООН, охватывающее три страны, превышает установленный лимит в 100 000 долл. США на подготовку одного проекта, как указано в решении 95/87(g).</w:t>
      </w:r>
    </w:p>
    <w:p w14:paraId="7940C09D" w14:textId="1935B487" w:rsidR="00FA39AF" w:rsidRPr="00F71631" w:rsidRDefault="00501094" w:rsidP="003A2F9D">
      <w:pPr>
        <w:pStyle w:val="1"/>
      </w:pPr>
      <w:r>
        <w:t>При отборе пяти предложений на подготовку проектов, подлежащих утверждению, Исполнительный комитет, возможно, пожелает рассмотреть те из них, которые в наибольшей степени соответствуют целям линии финансирования и способны обеспечить оперативную и эффективную мобилизацию механизма оборотного фонда, а также достижение максимальных результатов в области повышения энергоэффективности при одновременном поэтапном сокращении ГФУ.</w:t>
      </w:r>
      <w:r w:rsidRPr="00501094">
        <w:rPr>
          <w:lang w:val="fr-FR"/>
        </w:rPr>
        <w:t xml:space="preserve"> </w:t>
      </w:r>
      <w:r>
        <w:t>Этот вопрос может быть дополнительно рассмотрен в рамках пункта 9(d) повестки дня (Проекты, рекомендованные для индивидуального рассмотрения).</w:t>
      </w:r>
    </w:p>
    <w:p w14:paraId="0BE368C6" w14:textId="63754FEE" w:rsidR="00A8069B" w:rsidRDefault="00A8069B" w:rsidP="00124A5D">
      <w:pPr>
        <w:spacing w:before="480" w:after="240"/>
        <w:ind w:left="709" w:hanging="709"/>
      </w:pPr>
      <w:r>
        <w:rPr>
          <w:b/>
          <w:sz w:val="24"/>
        </w:rPr>
        <w:t>III.5</w:t>
      </w:r>
      <w:r>
        <w:rPr>
          <w:b/>
          <w:sz w:val="24"/>
        </w:rPr>
        <w:tab/>
      </w:r>
      <w:r w:rsidR="005523F2" w:rsidRPr="005523F2">
        <w:rPr>
          <w:b/>
          <w:sz w:val="24"/>
        </w:rPr>
        <w:t xml:space="preserve">Представление новых этапов планов организационной деятельности по поэтапному отказу от ГХФУ странами с низким объемом потребления для </w:t>
      </w:r>
      <w:r w:rsidR="005523F2" w:rsidRPr="005523F2">
        <w:rPr>
          <w:b/>
          <w:sz w:val="24"/>
        </w:rPr>
        <w:lastRenderedPageBreak/>
        <w:t>достижения целевых показателей сокращения потребления за предыдущие годы</w:t>
      </w:r>
    </w:p>
    <w:p w14:paraId="66A8EF18" w14:textId="6EBEA398" w:rsidR="001700EB" w:rsidRPr="001700EB" w:rsidRDefault="001700EB" w:rsidP="001700EB">
      <w:pPr>
        <w:pStyle w:val="1"/>
      </w:pPr>
      <w:r w:rsidRPr="001700EB">
        <w:t xml:space="preserve">На 96-м совещании учреждения-исполнители представили заключительные этапы </w:t>
      </w:r>
      <w:r w:rsidR="00D02C25">
        <w:t>ПОДПО</w:t>
      </w:r>
      <w:r w:rsidRPr="001700EB">
        <w:t xml:space="preserve"> для Антигуа и Барбуды, Армении и Гаити. По</w:t>
      </w:r>
      <w:r w:rsidR="007D71B4">
        <w:t xml:space="preserve"> итогам рассмотрения</w:t>
      </w:r>
      <w:r w:rsidRPr="001700EB">
        <w:t xml:space="preserve"> представленных этапов </w:t>
      </w:r>
      <w:r w:rsidR="007D71B4">
        <w:t>с</w:t>
      </w:r>
      <w:r w:rsidRPr="001700EB">
        <w:t>екретариат отметил, что:</w:t>
      </w:r>
    </w:p>
    <w:p w14:paraId="14237BA3" w14:textId="420A8795" w:rsidR="00A8069B" w:rsidRPr="00FB5186" w:rsidRDefault="004C14B1" w:rsidP="00A8069B">
      <w:pPr>
        <w:pStyle w:val="2"/>
        <w:numPr>
          <w:ilvl w:val="1"/>
          <w:numId w:val="1"/>
        </w:numPr>
      </w:pPr>
      <w:r>
        <w:t xml:space="preserve">для </w:t>
      </w:r>
      <w:r w:rsidRPr="004C14B1">
        <w:t>Антигуа и Барбуд</w:t>
      </w:r>
      <w:r>
        <w:t>ы был одобрен</w:t>
      </w:r>
      <w:r w:rsidRPr="004C14B1">
        <w:t xml:space="preserve"> этап</w:t>
      </w:r>
      <w:r w:rsidR="008B0F15">
        <w:t xml:space="preserve"> </w:t>
      </w:r>
      <w:r>
        <w:t>I</w:t>
      </w:r>
      <w:r w:rsidR="008B0F15">
        <w:t xml:space="preserve">, предусматривающий </w:t>
      </w:r>
      <w:r w:rsidRPr="004C14B1">
        <w:t>сокращени</w:t>
      </w:r>
      <w:r w:rsidR="008B0F15">
        <w:t>е</w:t>
      </w:r>
      <w:r w:rsidRPr="004C14B1">
        <w:t xml:space="preserve"> </w:t>
      </w:r>
      <w:r w:rsidR="00A232DC">
        <w:t xml:space="preserve">на </w:t>
      </w:r>
      <w:r w:rsidRPr="004C14B1">
        <w:t>10</w:t>
      </w:r>
      <w:r w:rsidR="00F472DA">
        <w:t> </w:t>
      </w:r>
      <w:r w:rsidR="00A232DC">
        <w:t>%</w:t>
      </w:r>
      <w:r w:rsidRPr="004C14B1">
        <w:t xml:space="preserve"> от базового уровня </w:t>
      </w:r>
      <w:r w:rsidR="00D215BD" w:rsidRPr="00D215BD">
        <w:t xml:space="preserve">потребления </w:t>
      </w:r>
      <w:r w:rsidRPr="004C14B1">
        <w:t>ГХФУ к 2015 году</w:t>
      </w:r>
      <w:r w:rsidR="001D5475">
        <w:t>,</w:t>
      </w:r>
      <w:r w:rsidRPr="004C14B1">
        <w:t xml:space="preserve"> однако соответствующий проект был отменен на 82-м совещании в 2018 году. Для этапа II запрашивалось финансирование в целях достижения сокращения на 35 </w:t>
      </w:r>
      <w:r w:rsidR="00A232DC">
        <w:t>%</w:t>
      </w:r>
      <w:r w:rsidRPr="004C14B1">
        <w:t xml:space="preserve"> к 2020 году, на 67,5 </w:t>
      </w:r>
      <w:r w:rsidR="00FE51DF">
        <w:t>%</w:t>
      </w:r>
      <w:r w:rsidRPr="004C14B1">
        <w:t xml:space="preserve"> к 2025 году и полного</w:t>
      </w:r>
      <w:r w:rsidR="00B9463C">
        <w:t xml:space="preserve"> поэтапного</w:t>
      </w:r>
      <w:r w:rsidRPr="004C14B1">
        <w:t xml:space="preserve"> </w:t>
      </w:r>
      <w:r w:rsidR="00390D05">
        <w:t xml:space="preserve">отказа от </w:t>
      </w:r>
      <w:r w:rsidRPr="004C14B1">
        <w:t>ГХФУ к 2030 году</w:t>
      </w:r>
      <w:r w:rsidR="00A8069B">
        <w:t>;</w:t>
      </w:r>
    </w:p>
    <w:p w14:paraId="304AE74B" w14:textId="2A48B5DA" w:rsidR="00A8069B" w:rsidRPr="00FB5186" w:rsidRDefault="000C57B3" w:rsidP="00A8069B">
      <w:pPr>
        <w:pStyle w:val="2"/>
        <w:numPr>
          <w:ilvl w:val="1"/>
          <w:numId w:val="1"/>
        </w:numPr>
      </w:pPr>
      <w:r>
        <w:t xml:space="preserve">для </w:t>
      </w:r>
      <w:r w:rsidR="00C877F0" w:rsidRPr="00C877F0">
        <w:t>Армени</w:t>
      </w:r>
      <w:r w:rsidR="00C877F0">
        <w:t>и</w:t>
      </w:r>
      <w:r w:rsidR="00C877F0" w:rsidRPr="00C877F0">
        <w:t xml:space="preserve"> </w:t>
      </w:r>
      <w:r w:rsidR="00C877F0">
        <w:t>были одобрены</w:t>
      </w:r>
      <w:r w:rsidR="00C877F0" w:rsidRPr="00C877F0">
        <w:t xml:space="preserve"> этап</w:t>
      </w:r>
      <w:r w:rsidR="00C877F0">
        <w:t>ы</w:t>
      </w:r>
      <w:r w:rsidR="00C877F0" w:rsidRPr="00C877F0">
        <w:t xml:space="preserve"> I и II</w:t>
      </w:r>
      <w:r w:rsidR="00D215BD">
        <w:t xml:space="preserve">, предусматривающие </w:t>
      </w:r>
      <w:r w:rsidR="00D215BD" w:rsidRPr="004C14B1">
        <w:t>сокращени</w:t>
      </w:r>
      <w:r w:rsidR="00D215BD">
        <w:t>е</w:t>
      </w:r>
      <w:r w:rsidR="00D215BD" w:rsidRPr="004C14B1">
        <w:t xml:space="preserve"> </w:t>
      </w:r>
      <w:r w:rsidR="00D215BD">
        <w:t xml:space="preserve">на </w:t>
      </w:r>
      <w:r w:rsidR="00D215BD" w:rsidRPr="004C14B1">
        <w:t xml:space="preserve">10 </w:t>
      </w:r>
      <w:r w:rsidR="00D215BD">
        <w:t>%</w:t>
      </w:r>
      <w:r w:rsidR="00D215BD" w:rsidRPr="004C14B1">
        <w:t xml:space="preserve"> от базового уровня </w:t>
      </w:r>
      <w:r w:rsidR="00D215BD" w:rsidRPr="00D215BD">
        <w:t xml:space="preserve">потребления </w:t>
      </w:r>
      <w:r w:rsidR="00D215BD" w:rsidRPr="004C14B1">
        <w:t xml:space="preserve">ГХФУ </w:t>
      </w:r>
      <w:r w:rsidR="00D215BD">
        <w:t xml:space="preserve">к </w:t>
      </w:r>
      <w:r w:rsidR="00C877F0" w:rsidRPr="00C877F0">
        <w:t xml:space="preserve">2015 году и 66,6 </w:t>
      </w:r>
      <w:r w:rsidR="00D215BD">
        <w:t>%</w:t>
      </w:r>
      <w:r w:rsidR="00C877F0" w:rsidRPr="00C877F0">
        <w:t xml:space="preserve"> к 2020 году. </w:t>
      </w:r>
      <w:r w:rsidR="00814F22" w:rsidRPr="00814F22">
        <w:t xml:space="preserve">Этап II предусматривает финансирование, необходимое для достижения цели по сокращению потребления на 67,5 </w:t>
      </w:r>
      <w:r w:rsidR="00814F22">
        <w:t xml:space="preserve">% </w:t>
      </w:r>
      <w:r w:rsidR="00C877F0" w:rsidRPr="00C877F0">
        <w:t xml:space="preserve">к 2025 году и </w:t>
      </w:r>
      <w:r w:rsidR="00814F22" w:rsidRPr="004C14B1">
        <w:t xml:space="preserve">полного </w:t>
      </w:r>
      <w:r w:rsidR="00B9463C">
        <w:t>поэтапного</w:t>
      </w:r>
      <w:r w:rsidR="00B9463C" w:rsidRPr="004C14B1">
        <w:t xml:space="preserve"> </w:t>
      </w:r>
      <w:r w:rsidR="00814F22">
        <w:t xml:space="preserve">отказа от </w:t>
      </w:r>
      <w:r w:rsidR="00814F22" w:rsidRPr="004C14B1">
        <w:t xml:space="preserve">ГХФУ </w:t>
      </w:r>
      <w:r w:rsidR="005A0F47">
        <w:t xml:space="preserve">к </w:t>
      </w:r>
      <w:r w:rsidR="00C877F0" w:rsidRPr="00C877F0">
        <w:t>2030 году</w:t>
      </w:r>
      <w:r w:rsidR="00A8069B">
        <w:t xml:space="preserve">; </w:t>
      </w:r>
      <w:r w:rsidR="00C877F0">
        <w:t>и</w:t>
      </w:r>
    </w:p>
    <w:p w14:paraId="4498023C" w14:textId="05FE51A5" w:rsidR="00A8069B" w:rsidRPr="00FB5186" w:rsidRDefault="006F0B91" w:rsidP="00A8069B">
      <w:pPr>
        <w:pStyle w:val="2"/>
        <w:numPr>
          <w:ilvl w:val="1"/>
          <w:numId w:val="1"/>
        </w:numPr>
      </w:pPr>
      <w:r>
        <w:t xml:space="preserve">для </w:t>
      </w:r>
      <w:r w:rsidRPr="006F0B91">
        <w:t xml:space="preserve">Гаити </w:t>
      </w:r>
      <w:r>
        <w:t>был одобрен</w:t>
      </w:r>
      <w:r w:rsidRPr="004C14B1">
        <w:t xml:space="preserve"> этап</w:t>
      </w:r>
      <w:r>
        <w:t xml:space="preserve"> I, предусматривающий </w:t>
      </w:r>
      <w:r w:rsidRPr="004C14B1">
        <w:t>сокращени</w:t>
      </w:r>
      <w:r>
        <w:t>е</w:t>
      </w:r>
      <w:r w:rsidRPr="004C14B1">
        <w:t xml:space="preserve"> </w:t>
      </w:r>
      <w:r>
        <w:t xml:space="preserve">на </w:t>
      </w:r>
      <w:r w:rsidRPr="006F0B91">
        <w:t>35</w:t>
      </w:r>
      <w:r w:rsidR="00D64665">
        <w:t xml:space="preserve"> </w:t>
      </w:r>
      <w:r w:rsidRPr="006F0B91">
        <w:t xml:space="preserve">% от базового уровня </w:t>
      </w:r>
      <w:r w:rsidR="00D64665" w:rsidRPr="00D215BD">
        <w:t xml:space="preserve">потребления </w:t>
      </w:r>
      <w:r w:rsidRPr="006F0B91">
        <w:t>ГХФУ к 2020 году</w:t>
      </w:r>
      <w:r w:rsidR="001D5475">
        <w:t>,</w:t>
      </w:r>
      <w:r w:rsidRPr="006F0B91">
        <w:t xml:space="preserve"> однако проект был отменен на 95-м совещании в 2024 году. На этапе</w:t>
      </w:r>
      <w:r w:rsidR="00D64665" w:rsidRPr="00D64665">
        <w:t xml:space="preserve"> </w:t>
      </w:r>
      <w:r w:rsidR="00D64665" w:rsidRPr="00C877F0">
        <w:t>II</w:t>
      </w:r>
      <w:r w:rsidRPr="006F0B91">
        <w:t xml:space="preserve"> планировалось привлечь финансирование для достижения </w:t>
      </w:r>
      <w:r w:rsidR="00F44264">
        <w:t xml:space="preserve">целевого показателя по </w:t>
      </w:r>
      <w:r w:rsidRPr="006F0B91">
        <w:t>сокращени</w:t>
      </w:r>
      <w:r w:rsidR="00F44264">
        <w:t>ю</w:t>
      </w:r>
      <w:r w:rsidRPr="006F0B91">
        <w:t xml:space="preserve"> на 35</w:t>
      </w:r>
      <w:r w:rsidR="00F44264">
        <w:t xml:space="preserve"> </w:t>
      </w:r>
      <w:r w:rsidRPr="006F0B91">
        <w:t>% к 2020 году, на 67,5</w:t>
      </w:r>
      <w:r w:rsidR="005A20BA">
        <w:t xml:space="preserve"> </w:t>
      </w:r>
      <w:r w:rsidRPr="006F0B91">
        <w:t xml:space="preserve">% к 2025 году и </w:t>
      </w:r>
      <w:r w:rsidR="00B9463C">
        <w:t xml:space="preserve">полного </w:t>
      </w:r>
      <w:r w:rsidR="00DD4FA4">
        <w:t>поэтапного</w:t>
      </w:r>
      <w:r w:rsidR="00F44264" w:rsidRPr="004C14B1">
        <w:t xml:space="preserve"> </w:t>
      </w:r>
      <w:r w:rsidR="00F44264">
        <w:t xml:space="preserve">отказа </w:t>
      </w:r>
      <w:r w:rsidR="0078525B">
        <w:t xml:space="preserve">от </w:t>
      </w:r>
      <w:r w:rsidRPr="006F0B91">
        <w:t>ГХФУ к 2030 году.</w:t>
      </w:r>
    </w:p>
    <w:p w14:paraId="169A9769" w14:textId="1009002D" w:rsidR="00A8069B" w:rsidRDefault="00C96867" w:rsidP="00A8069B">
      <w:pPr>
        <w:pStyle w:val="1"/>
      </w:pPr>
      <w:r w:rsidRPr="00C96867">
        <w:t xml:space="preserve">Во всех случаях представленные предложения по затратам основывались на разнице между допустимыми расходами на </w:t>
      </w:r>
      <w:r w:rsidR="00044D5A" w:rsidRPr="00044D5A">
        <w:t>поэтапн</w:t>
      </w:r>
      <w:r w:rsidR="007C28E5">
        <w:t>ый</w:t>
      </w:r>
      <w:r w:rsidR="00044D5A" w:rsidRPr="00044D5A">
        <w:t xml:space="preserve"> отказ от </w:t>
      </w:r>
      <w:r w:rsidR="001D5DEE">
        <w:t>ГХФУ</w:t>
      </w:r>
      <w:r w:rsidRPr="00C96867">
        <w:t xml:space="preserve">, установленными в руководящих принципах </w:t>
      </w:r>
      <w:r w:rsidR="007C28E5">
        <w:t xml:space="preserve">финансирования </w:t>
      </w:r>
      <w:r w:rsidR="007C28E5" w:rsidRPr="007C28E5">
        <w:t xml:space="preserve">поэтапного отказа от </w:t>
      </w:r>
      <w:r w:rsidR="001D5DEE">
        <w:t>ГХФУ</w:t>
      </w:r>
      <w:r w:rsidR="007C28E5" w:rsidRPr="007C28E5">
        <w:t xml:space="preserve"> </w:t>
      </w:r>
      <w:r w:rsidRPr="00C96867">
        <w:t xml:space="preserve">(решение 74/50), и чистым объемом финансирования, полученным в рамках ранее одобренных этапов. </w:t>
      </w:r>
      <w:r w:rsidR="00E262AD" w:rsidRPr="00E262AD">
        <w:t>Кажд</w:t>
      </w:r>
      <w:r w:rsidR="00237532">
        <w:t xml:space="preserve">ый из представленных </w:t>
      </w:r>
      <w:r w:rsidR="009922CE">
        <w:t xml:space="preserve">проектов </w:t>
      </w:r>
      <w:r w:rsidR="006F5766">
        <w:t>рассматривался</w:t>
      </w:r>
      <w:r w:rsidR="00E262AD" w:rsidRPr="00E262AD">
        <w:t xml:space="preserve"> с учетом </w:t>
      </w:r>
      <w:r w:rsidR="006F5766" w:rsidRPr="006F5766">
        <w:t>конкретной ситуации в соответствующей стране,</w:t>
      </w:r>
      <w:r w:rsidR="00E262AD" w:rsidRPr="00E262AD">
        <w:t xml:space="preserve"> а результаты обсуждений и рекомендации отражены в документах UNEP/</w:t>
      </w:r>
      <w:proofErr w:type="spellStart"/>
      <w:r w:rsidR="00E262AD" w:rsidRPr="00E262AD">
        <w:t>OzL.Pro</w:t>
      </w:r>
      <w:proofErr w:type="spellEnd"/>
      <w:r w:rsidR="00E262AD" w:rsidRPr="00E262AD">
        <w:t>/</w:t>
      </w:r>
      <w:proofErr w:type="spellStart"/>
      <w:r w:rsidR="00E262AD" w:rsidRPr="00E262AD">
        <w:t>ExCom</w:t>
      </w:r>
      <w:proofErr w:type="spellEnd"/>
      <w:r w:rsidR="00E262AD" w:rsidRPr="00E262AD">
        <w:t>/96/24 (Антигуа и Барбуда), UNEP/</w:t>
      </w:r>
      <w:proofErr w:type="spellStart"/>
      <w:r w:rsidR="00E262AD" w:rsidRPr="00E262AD">
        <w:t>OzL.Pro</w:t>
      </w:r>
      <w:proofErr w:type="spellEnd"/>
      <w:r w:rsidR="00E262AD" w:rsidRPr="00E262AD">
        <w:t>/</w:t>
      </w:r>
      <w:proofErr w:type="spellStart"/>
      <w:r w:rsidR="00E262AD" w:rsidRPr="00E262AD">
        <w:t>ExCom</w:t>
      </w:r>
      <w:proofErr w:type="spellEnd"/>
      <w:r w:rsidR="00E262AD" w:rsidRPr="00E262AD">
        <w:t>/96/25 (Армения) и UNEP/</w:t>
      </w:r>
      <w:proofErr w:type="spellStart"/>
      <w:r w:rsidR="00E262AD" w:rsidRPr="00E262AD">
        <w:t>OzL.Pro</w:t>
      </w:r>
      <w:proofErr w:type="spellEnd"/>
      <w:r w:rsidR="00E262AD" w:rsidRPr="00E262AD">
        <w:t>/</w:t>
      </w:r>
      <w:proofErr w:type="spellStart"/>
      <w:r w:rsidR="00E262AD" w:rsidRPr="00E262AD">
        <w:t>ExCom</w:t>
      </w:r>
      <w:proofErr w:type="spellEnd"/>
      <w:r w:rsidR="00E262AD" w:rsidRPr="00E262AD">
        <w:t>/96/40 (Гаити).</w:t>
      </w:r>
    </w:p>
    <w:p w14:paraId="43AF41EE" w14:textId="66973F38" w:rsidR="00A8069B" w:rsidRDefault="008F3B4C" w:rsidP="00A8069B">
      <w:pPr>
        <w:pStyle w:val="1"/>
      </w:pPr>
      <w:r w:rsidRPr="008F3B4C">
        <w:t xml:space="preserve">В соответствии с решением 74/50 странам </w:t>
      </w:r>
      <w:r w:rsidR="00A51165">
        <w:t>НОП</w:t>
      </w:r>
      <w:r w:rsidRPr="008F3B4C">
        <w:t xml:space="preserve"> выделяется финансирование при условии обоснования </w:t>
      </w:r>
      <w:r w:rsidR="00A51165">
        <w:t xml:space="preserve">в проектных предложениях </w:t>
      </w:r>
      <w:r w:rsidRPr="008F3B4C">
        <w:t xml:space="preserve">необходимости </w:t>
      </w:r>
      <w:r w:rsidR="009B4C5A">
        <w:t>такого объема финансирования</w:t>
      </w:r>
      <w:r w:rsidRPr="008F3B4C">
        <w:t xml:space="preserve"> для достижения целевых показателей </w:t>
      </w:r>
      <w:r w:rsidR="001759D9">
        <w:t xml:space="preserve">поэтапного отказа от </w:t>
      </w:r>
      <w:r w:rsidR="001759D9" w:rsidRPr="008F3B4C">
        <w:t>ГХФУ</w:t>
      </w:r>
      <w:r w:rsidRPr="008F3B4C">
        <w:t xml:space="preserve">. </w:t>
      </w:r>
      <w:r w:rsidR="001759D9" w:rsidRPr="001759D9">
        <w:t xml:space="preserve">Во всех трех случаях </w:t>
      </w:r>
      <w:r w:rsidR="001759D9">
        <w:t>с</w:t>
      </w:r>
      <w:r w:rsidRPr="008F3B4C">
        <w:t>екретариат рекомендовал выделить финансирование для достижения 67,5</w:t>
      </w:r>
      <w:r w:rsidR="00185CF1">
        <w:t xml:space="preserve"> </w:t>
      </w:r>
      <w:r w:rsidRPr="008F3B4C">
        <w:t xml:space="preserve">% сокращения к 2025 </w:t>
      </w:r>
      <w:r w:rsidR="00042223" w:rsidRPr="008F3B4C">
        <w:t>году</w:t>
      </w:r>
      <w:r w:rsidR="00042223" w:rsidRPr="00A02343">
        <w:t xml:space="preserve"> несмотря на то, что</w:t>
      </w:r>
      <w:r w:rsidR="00A02343" w:rsidRPr="00A02343">
        <w:t xml:space="preserve"> соответствующие предложения были поданы в том же году.</w:t>
      </w:r>
      <w:r w:rsidRPr="008F3B4C">
        <w:t xml:space="preserve"> Однако для Антигуа и Барбуды и Гаити, </w:t>
      </w:r>
      <w:r w:rsidR="003E112F">
        <w:t xml:space="preserve">для которых </w:t>
      </w:r>
      <w:r w:rsidRPr="008F3B4C">
        <w:t>этап</w:t>
      </w:r>
      <w:r w:rsidR="00290694">
        <w:t>ы</w:t>
      </w:r>
      <w:r w:rsidRPr="008F3B4C">
        <w:t xml:space="preserve"> I </w:t>
      </w:r>
      <w:r w:rsidR="003E112F">
        <w:t xml:space="preserve">ПОДПО были отменены и которые </w:t>
      </w:r>
      <w:r w:rsidRPr="008F3B4C">
        <w:t>запрашива</w:t>
      </w:r>
      <w:r w:rsidR="00561994">
        <w:t xml:space="preserve">ли </w:t>
      </w:r>
      <w:r w:rsidR="00561994" w:rsidRPr="00561994">
        <w:t xml:space="preserve">финансирование для достижения цели по сокращению на </w:t>
      </w:r>
      <w:r w:rsidRPr="008F3B4C">
        <w:t>35</w:t>
      </w:r>
      <w:r w:rsidR="00561994">
        <w:t xml:space="preserve"> </w:t>
      </w:r>
      <w:r w:rsidRPr="008F3B4C">
        <w:t xml:space="preserve">% к 2020 году, </w:t>
      </w:r>
      <w:r w:rsidR="00047BD2">
        <w:t>с</w:t>
      </w:r>
      <w:r w:rsidR="00047BD2" w:rsidRPr="00047BD2">
        <w:t>екретариат не рекомендовал выделение соответствующего финансирования</w:t>
      </w:r>
      <w:r w:rsidRPr="008F3B4C">
        <w:t xml:space="preserve">, поскольку целевой показатель </w:t>
      </w:r>
      <w:r w:rsidR="00047BD2" w:rsidRPr="00047BD2">
        <w:t xml:space="preserve">на 2020 год </w:t>
      </w:r>
      <w:r w:rsidRPr="008F3B4C">
        <w:t xml:space="preserve">уже был достигнут и </w:t>
      </w:r>
      <w:r w:rsidR="00CA47FD" w:rsidRPr="008F3B4C">
        <w:t>сохраня</w:t>
      </w:r>
      <w:r w:rsidR="00CA47FD">
        <w:t>ется</w:t>
      </w:r>
      <w:r w:rsidRPr="008F3B4C">
        <w:t xml:space="preserve"> в течение четырех лет</w:t>
      </w:r>
      <w:r w:rsidR="00CA47FD" w:rsidRPr="00CA47FD">
        <w:t>, в связи с чем дополнительное финансирование для достижения данной цели признано необоснованным</w:t>
      </w:r>
      <w:r w:rsidR="00A8069B">
        <w:rPr>
          <w:rStyle w:val="afa"/>
          <w:lang w:val="en-US"/>
        </w:rPr>
        <w:footnoteReference w:id="17"/>
      </w:r>
      <w:r>
        <w:t>.</w:t>
      </w:r>
      <w:r w:rsidR="006B5306">
        <w:t xml:space="preserve"> </w:t>
      </w:r>
    </w:p>
    <w:p w14:paraId="35811670" w14:textId="1A05A9F5" w:rsidR="00A8069B" w:rsidRDefault="00C9656C" w:rsidP="00F71631">
      <w:pPr>
        <w:pStyle w:val="1"/>
        <w:spacing w:after="0"/>
      </w:pPr>
      <w:r w:rsidRPr="00C9656C">
        <w:t xml:space="preserve">В более широком контексте </w:t>
      </w:r>
      <w:r w:rsidR="002A25B6">
        <w:t>с</w:t>
      </w:r>
      <w:r w:rsidRPr="00C9656C">
        <w:t xml:space="preserve">екретариат отметил, </w:t>
      </w:r>
      <w:r w:rsidR="00163CDE" w:rsidRPr="00163CDE">
        <w:t xml:space="preserve">что девять стран </w:t>
      </w:r>
      <w:r w:rsidR="00D27726">
        <w:t>НОП</w:t>
      </w:r>
      <w:r w:rsidR="00163CDE" w:rsidRPr="00163CDE">
        <w:t xml:space="preserve">, </w:t>
      </w:r>
      <w:r w:rsidR="00D27726">
        <w:t>для которых был одобрен</w:t>
      </w:r>
      <w:r w:rsidR="00163CDE" w:rsidRPr="00163CDE">
        <w:t xml:space="preserve"> этап </w:t>
      </w:r>
      <w:r w:rsidR="00D27726" w:rsidRPr="008F3B4C">
        <w:t>I</w:t>
      </w:r>
      <w:r w:rsidR="00D27726">
        <w:t xml:space="preserve">, предусматривающий сокращение на </w:t>
      </w:r>
      <w:r w:rsidR="00163CDE" w:rsidRPr="00163CDE">
        <w:t>35</w:t>
      </w:r>
      <w:r w:rsidR="00D27726">
        <w:t xml:space="preserve"> </w:t>
      </w:r>
      <w:r w:rsidR="00163CDE" w:rsidRPr="00163CDE">
        <w:t>% к 2020 году, не представили предложени</w:t>
      </w:r>
      <w:r w:rsidR="00FC6C0E">
        <w:t>я</w:t>
      </w:r>
      <w:r w:rsidR="00163CDE" w:rsidRPr="00163CDE">
        <w:t xml:space="preserve"> по этапу</w:t>
      </w:r>
      <w:r w:rsidR="00FC6C0E">
        <w:t xml:space="preserve"> </w:t>
      </w:r>
      <w:r w:rsidR="00FC6C0E" w:rsidRPr="00C877F0">
        <w:t>II</w:t>
      </w:r>
      <w:r w:rsidR="00163CDE" w:rsidRPr="00163CDE">
        <w:t xml:space="preserve"> для достижения</w:t>
      </w:r>
      <w:r w:rsidR="00FC6C0E">
        <w:t xml:space="preserve"> сокр</w:t>
      </w:r>
      <w:r w:rsidR="00CC45BB">
        <w:t>ащ</w:t>
      </w:r>
      <w:r w:rsidR="00FC6C0E">
        <w:t>ения на</w:t>
      </w:r>
      <w:r w:rsidR="00163CDE" w:rsidRPr="00163CDE">
        <w:t xml:space="preserve"> 67,5</w:t>
      </w:r>
      <w:r w:rsidR="00FC6C0E">
        <w:t xml:space="preserve"> </w:t>
      </w:r>
      <w:r w:rsidR="00163CDE" w:rsidRPr="00163CDE">
        <w:t>% к 2025 году</w:t>
      </w:r>
      <w:r w:rsidR="00AA27FA" w:rsidRPr="00AA27FA">
        <w:rPr>
          <w:vertAlign w:val="superscript"/>
          <w:lang w:val="en-US"/>
        </w:rPr>
        <w:footnoteReference w:id="18"/>
      </w:r>
      <w:r w:rsidR="00163CDE" w:rsidRPr="00163CDE">
        <w:t xml:space="preserve">. Если эти страны </w:t>
      </w:r>
      <w:r w:rsidR="00FF64BE">
        <w:t xml:space="preserve">представят </w:t>
      </w:r>
      <w:r w:rsidR="00FF64BE" w:rsidRPr="00163CDE">
        <w:lastRenderedPageBreak/>
        <w:t>предложени</w:t>
      </w:r>
      <w:r w:rsidR="00FF64BE">
        <w:t>е</w:t>
      </w:r>
      <w:r w:rsidR="00FF64BE" w:rsidRPr="00163CDE">
        <w:t xml:space="preserve"> по этапу</w:t>
      </w:r>
      <w:r w:rsidR="00FF64BE">
        <w:t xml:space="preserve"> </w:t>
      </w:r>
      <w:r w:rsidR="00FF64BE" w:rsidRPr="00C877F0">
        <w:t>II</w:t>
      </w:r>
      <w:r w:rsidR="00163CDE" w:rsidRPr="00163CDE">
        <w:t xml:space="preserve"> после 2025 года, они не смогут обосновать необходимость финансирования для достижения целевого показателя на 2025 год. </w:t>
      </w:r>
      <w:r w:rsidR="00F72CBD" w:rsidRPr="00F72CBD">
        <w:t xml:space="preserve">В соответствии с решением 74/50 финансирование в таких случаях может </w:t>
      </w:r>
      <w:r w:rsidR="00DD4FA4">
        <w:t>быть предоставлено</w:t>
      </w:r>
      <w:r w:rsidR="00F72CBD" w:rsidRPr="00F72CBD">
        <w:t xml:space="preserve"> исключительно для </w:t>
      </w:r>
      <w:r w:rsidR="004B4492">
        <w:t xml:space="preserve">полного </w:t>
      </w:r>
      <w:r w:rsidR="00DD4FA4">
        <w:t>поэтапного</w:t>
      </w:r>
      <w:r w:rsidR="00DD4FA4" w:rsidRPr="004C14B1">
        <w:t xml:space="preserve"> </w:t>
      </w:r>
      <w:r w:rsidR="00DD4FA4">
        <w:t xml:space="preserve">отказа от </w:t>
      </w:r>
      <w:r w:rsidR="00DD4FA4" w:rsidRPr="006F0B91">
        <w:t>ГХФУ к 2030 году</w:t>
      </w:r>
      <w:r w:rsidR="00163CDE" w:rsidRPr="00163CDE">
        <w:t>.</w:t>
      </w:r>
    </w:p>
    <w:p w14:paraId="34468B66" w14:textId="01759E5C" w:rsidR="00A8069B" w:rsidRPr="006D3FBD" w:rsidRDefault="00163CDE" w:rsidP="00F71631">
      <w:pPr>
        <w:pStyle w:val="1"/>
        <w:spacing w:before="240"/>
      </w:pPr>
      <w:r w:rsidRPr="00163CDE">
        <w:t xml:space="preserve">Исполнительный комитет, возможно, пожелает призвать страны </w:t>
      </w:r>
      <w:r w:rsidR="00304F40">
        <w:t>НОП</w:t>
      </w:r>
      <w:r w:rsidRPr="00163CDE">
        <w:t xml:space="preserve">, </w:t>
      </w:r>
      <w:r w:rsidR="00304F40">
        <w:t xml:space="preserve">которые </w:t>
      </w:r>
      <w:r w:rsidRPr="00163CDE">
        <w:t xml:space="preserve">еще не </w:t>
      </w:r>
      <w:r w:rsidR="002F5CC9" w:rsidRPr="002F5CC9">
        <w:t xml:space="preserve">представили этап II своих планов </w:t>
      </w:r>
      <w:r w:rsidR="002F5CC9">
        <w:t>организационной деятельности по поэтапному отказу от ГХФУ</w:t>
      </w:r>
      <w:r w:rsidR="00F510BD">
        <w:t>, предусматривающий сокращение</w:t>
      </w:r>
      <w:r w:rsidR="002F5CC9">
        <w:t xml:space="preserve"> </w:t>
      </w:r>
      <w:r w:rsidR="00F510BD">
        <w:t>на</w:t>
      </w:r>
      <w:r w:rsidR="00C11FC8" w:rsidRPr="00C11FC8">
        <w:t xml:space="preserve"> 67,5</w:t>
      </w:r>
      <w:r w:rsidR="00F510BD">
        <w:t xml:space="preserve"> %</w:t>
      </w:r>
      <w:r w:rsidR="00C11FC8" w:rsidRPr="00C11FC8">
        <w:t xml:space="preserve"> к 2025 году, представить соответствующие предложения на 97</w:t>
      </w:r>
      <w:r w:rsidR="00F510BD">
        <w:t>-м совещании</w:t>
      </w:r>
      <w:r w:rsidRPr="00163CDE">
        <w:t>.</w:t>
      </w:r>
    </w:p>
    <w:p w14:paraId="0C85FD6A" w14:textId="77777777" w:rsidR="00125A5F" w:rsidRPr="00097B48" w:rsidRDefault="00125A5F" w:rsidP="008D1110">
      <w:pPr>
        <w:jc w:val="center"/>
      </w:pPr>
    </w:p>
    <w:p w14:paraId="34FD5A40" w14:textId="77777777" w:rsidR="00125A5F" w:rsidRPr="009B0D30" w:rsidRDefault="00125A5F" w:rsidP="008D1110">
      <w:pPr>
        <w:jc w:val="cente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8683AD2" w14:textId="77777777" w:rsidTr="00125A5F">
        <w:tc>
          <w:tcPr>
            <w:tcW w:w="1871" w:type="dxa"/>
          </w:tcPr>
          <w:p w14:paraId="31EA22A8" w14:textId="77777777" w:rsidR="00E85409" w:rsidRPr="009B0D30" w:rsidRDefault="00E85409" w:rsidP="008D1110">
            <w:pPr>
              <w:jc w:val="center"/>
            </w:pPr>
          </w:p>
        </w:tc>
        <w:tc>
          <w:tcPr>
            <w:tcW w:w="1872" w:type="dxa"/>
          </w:tcPr>
          <w:p w14:paraId="7E406390" w14:textId="77777777" w:rsidR="00E85409" w:rsidRPr="009B0D30" w:rsidRDefault="00E85409" w:rsidP="008D1110">
            <w:pPr>
              <w:jc w:val="center"/>
            </w:pPr>
          </w:p>
        </w:tc>
        <w:tc>
          <w:tcPr>
            <w:tcW w:w="1872" w:type="dxa"/>
            <w:tcBorders>
              <w:bottom w:val="single" w:sz="4" w:space="0" w:color="auto"/>
            </w:tcBorders>
          </w:tcPr>
          <w:p w14:paraId="07389808" w14:textId="77777777" w:rsidR="00E85409" w:rsidRPr="009B0D30" w:rsidRDefault="00E85409" w:rsidP="008D1110">
            <w:pPr>
              <w:jc w:val="center"/>
            </w:pPr>
          </w:p>
        </w:tc>
        <w:tc>
          <w:tcPr>
            <w:tcW w:w="1872" w:type="dxa"/>
          </w:tcPr>
          <w:p w14:paraId="212D232E" w14:textId="77777777" w:rsidR="00E85409" w:rsidRPr="009B0D30" w:rsidRDefault="00E85409" w:rsidP="008D1110">
            <w:pPr>
              <w:jc w:val="center"/>
            </w:pPr>
          </w:p>
        </w:tc>
        <w:tc>
          <w:tcPr>
            <w:tcW w:w="1873" w:type="dxa"/>
          </w:tcPr>
          <w:p w14:paraId="5BAB5EFF" w14:textId="77777777" w:rsidR="00E85409" w:rsidRPr="009B0D30" w:rsidRDefault="00E85409" w:rsidP="008D1110">
            <w:pPr>
              <w:jc w:val="center"/>
            </w:pPr>
          </w:p>
        </w:tc>
      </w:tr>
    </w:tbl>
    <w:p w14:paraId="31A5707E" w14:textId="77777777" w:rsidR="00E85409" w:rsidRPr="009B0D30" w:rsidRDefault="00E85409" w:rsidP="008D1110">
      <w:pPr>
        <w:jc w:val="center"/>
      </w:pPr>
    </w:p>
    <w:sectPr w:rsidR="00E85409" w:rsidRPr="009B0D30" w:rsidSect="00673C94">
      <w:headerReference w:type="even" r:id="rId17"/>
      <w:headerReference w:type="default" r:id="rId18"/>
      <w:footerReference w:type="even" r:id="rId19"/>
      <w:footerReference w:type="default" r:id="rId20"/>
      <w:footerReference w:type="first" r:id="rId21"/>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B88B7" w14:textId="77777777" w:rsidR="00BC7DDA" w:rsidRDefault="00BC7DDA" w:rsidP="004A504B">
      <w:r>
        <w:separator/>
      </w:r>
    </w:p>
  </w:endnote>
  <w:endnote w:type="continuationSeparator" w:id="0">
    <w:p w14:paraId="5D501769" w14:textId="77777777" w:rsidR="00BC7DDA" w:rsidRDefault="00BC7DDA" w:rsidP="004A504B">
      <w:r>
        <w:continuationSeparator/>
      </w:r>
    </w:p>
  </w:endnote>
  <w:endnote w:type="continuationNotice" w:id="1">
    <w:p w14:paraId="402849E0" w14:textId="77777777" w:rsidR="00BC7DDA" w:rsidRDefault="00BC7D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ACFF" w:usb2="00000009" w:usb3="00000000" w:csb0="000001FF" w:csb1="00000000"/>
  </w:font>
  <w:font w:name="Univers Bold">
    <w:altName w:val="Arial"/>
    <w:panose1 w:val="020B0604020202020204"/>
    <w:charset w:val="00"/>
    <w:family w:val="swiss"/>
    <w:notTrueType/>
    <w:pitch w:val="default"/>
    <w:sig w:usb0="00000003" w:usb1="00000000" w:usb2="00000000" w:usb3="00000000" w:csb0="00000001" w:csb1="00000000"/>
  </w:font>
  <w:font w:name="Univers">
    <w:altName w:val="Arial"/>
    <w:panose1 w:val="020B0503020202020204"/>
    <w:charset w:val="00"/>
    <w:family w:val="swiss"/>
    <w:pitch w:val="variable"/>
    <w:sig w:usb0="80000287" w:usb1="00000000" w:usb2="00000000" w:usb3="00000000" w:csb0="0000000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B47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9E1D"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C24B" w14:textId="790E0B22" w:rsidR="004E7F9C" w:rsidRPr="00691C0C"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691C0C">
      <w:rPr>
        <w:sz w:val="16"/>
        <w:szCs w:val="20"/>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69C0F" w14:textId="77777777" w:rsidR="00BC7DDA" w:rsidRDefault="00BC7DDA" w:rsidP="004A504B">
      <w:r>
        <w:separator/>
      </w:r>
    </w:p>
  </w:footnote>
  <w:footnote w:type="continuationSeparator" w:id="0">
    <w:p w14:paraId="477FC54F" w14:textId="77777777" w:rsidR="00BC7DDA" w:rsidRDefault="00BC7DDA" w:rsidP="004A504B">
      <w:r>
        <w:continuationSeparator/>
      </w:r>
    </w:p>
  </w:footnote>
  <w:footnote w:type="continuationNotice" w:id="1">
    <w:p w14:paraId="0DA077F7" w14:textId="77777777" w:rsidR="00BC7DDA" w:rsidRDefault="00BC7DDA"/>
  </w:footnote>
  <w:footnote w:id="2">
    <w:p w14:paraId="409EDA7E" w14:textId="77777777" w:rsidR="0079781A" w:rsidRPr="00097B48" w:rsidRDefault="0079781A" w:rsidP="00A63338">
      <w:pPr>
        <w:pStyle w:val="af8"/>
        <w:spacing w:after="120"/>
        <w:rPr>
          <w:lang w:val="en-US"/>
        </w:rPr>
      </w:pPr>
      <w:r>
        <w:rPr>
          <w:rStyle w:val="afa"/>
        </w:rPr>
        <w:footnoteRef/>
      </w:r>
      <w:r w:rsidRPr="00097B48">
        <w:rPr>
          <w:lang w:val="en-US"/>
        </w:rPr>
        <w:t xml:space="preserve"> UNEP/OzL.Pro/ExCom/96/1</w:t>
      </w:r>
    </w:p>
  </w:footnote>
  <w:footnote w:id="3">
    <w:p w14:paraId="328FA15B" w14:textId="6A505297" w:rsidR="00BD65BC" w:rsidRPr="00097B48" w:rsidRDefault="00BD65BC">
      <w:pPr>
        <w:pStyle w:val="af8"/>
        <w:rPr>
          <w:lang w:val="en-US"/>
        </w:rPr>
      </w:pPr>
      <w:r>
        <w:rPr>
          <w:rStyle w:val="afa"/>
        </w:rPr>
        <w:footnoteRef/>
      </w:r>
      <w:r w:rsidRPr="00097B48">
        <w:rPr>
          <w:lang w:val="en-US"/>
        </w:rPr>
        <w:t xml:space="preserve"> UNEP/OzL.Pro/ExCom/95/31</w:t>
      </w:r>
    </w:p>
  </w:footnote>
  <w:footnote w:id="4">
    <w:p w14:paraId="4D887C16" w14:textId="77777777" w:rsidR="000A14F8" w:rsidRPr="00097B48" w:rsidRDefault="000A14F8" w:rsidP="000A14F8">
      <w:pPr>
        <w:pStyle w:val="af8"/>
        <w:rPr>
          <w:lang w:val="en-US"/>
        </w:rPr>
      </w:pPr>
      <w:r>
        <w:rPr>
          <w:rStyle w:val="afa"/>
        </w:rPr>
        <w:footnoteRef/>
      </w:r>
      <w:r w:rsidRPr="00097B48">
        <w:rPr>
          <w:lang w:val="en-US"/>
        </w:rPr>
        <w:t xml:space="preserve"> </w:t>
      </w:r>
      <w:r>
        <w:t>Пункт</w:t>
      </w:r>
      <w:r w:rsidRPr="00097B48">
        <w:rPr>
          <w:lang w:val="en-US"/>
        </w:rPr>
        <w:t xml:space="preserve"> 145 </w:t>
      </w:r>
      <w:r>
        <w:t>документа</w:t>
      </w:r>
      <w:r w:rsidRPr="00097B48">
        <w:rPr>
          <w:lang w:val="en-US"/>
        </w:rPr>
        <w:t xml:space="preserve"> UNEP/OzL.Pro/ExCom/95/94</w:t>
      </w:r>
    </w:p>
  </w:footnote>
  <w:footnote w:id="5">
    <w:p w14:paraId="21D27918" w14:textId="77777777" w:rsidR="00991781" w:rsidRPr="002358A8" w:rsidRDefault="00991781" w:rsidP="00991781">
      <w:pPr>
        <w:pStyle w:val="af8"/>
      </w:pPr>
      <w:r>
        <w:rPr>
          <w:rStyle w:val="afa"/>
        </w:rPr>
        <w:footnoteRef/>
      </w:r>
      <w:r>
        <w:t xml:space="preserve"> С 2020 года по 2022 год для стран группы 1, действующих в рамках статьи 5, и с 2024 года по 2026 год для стран группы 2, действующих в рамках статьи 5.</w:t>
      </w:r>
    </w:p>
  </w:footnote>
  <w:footnote w:id="6">
    <w:p w14:paraId="4548687E" w14:textId="2832820E" w:rsidR="00EE4218" w:rsidRPr="00451E69" w:rsidRDefault="00EE4218" w:rsidP="00EE4218">
      <w:pPr>
        <w:pStyle w:val="af8"/>
      </w:pPr>
      <w:r>
        <w:rPr>
          <w:rStyle w:val="afa"/>
        </w:rPr>
        <w:footnoteRef/>
      </w:r>
      <w:r>
        <w:t xml:space="preserve"> </w:t>
      </w:r>
      <w:hyperlink r:id="rId1" w:history="1">
        <w:r>
          <w:rPr>
            <w:rStyle w:val="afd"/>
          </w:rPr>
          <w:t>https://www.ipcc.ch/site/assets/uploads/2019/12/19R_V0_01_Overview.pdf</w:t>
        </w:r>
      </w:hyperlink>
    </w:p>
  </w:footnote>
  <w:footnote w:id="7">
    <w:p w14:paraId="05DD7E5F" w14:textId="77777777" w:rsidR="00EE4218" w:rsidRPr="00097B48" w:rsidRDefault="00EE4218" w:rsidP="00EE4218">
      <w:pPr>
        <w:pStyle w:val="af8"/>
        <w:rPr>
          <w:lang w:val="en-US"/>
        </w:rPr>
      </w:pPr>
      <w:r>
        <w:rPr>
          <w:rStyle w:val="afa"/>
        </w:rPr>
        <w:footnoteRef/>
      </w:r>
      <w:r w:rsidRPr="00097B48">
        <w:rPr>
          <w:lang w:val="en-US"/>
        </w:rPr>
        <w:t xml:space="preserve"> World Meteorological Organization (WMO). </w:t>
      </w:r>
      <w:r w:rsidRPr="00097B48">
        <w:rPr>
          <w:i/>
          <w:lang w:val="en-US"/>
        </w:rPr>
        <w:t>Scientific Assessment of Ozone Depletion: 2022</w:t>
      </w:r>
      <w:r w:rsidRPr="00097B48">
        <w:rPr>
          <w:lang w:val="en-US"/>
        </w:rPr>
        <w:t>, GAW Report No. 278, 509 pp.; WMO: Geneva, 2022.</w:t>
      </w:r>
    </w:p>
  </w:footnote>
  <w:footnote w:id="8">
    <w:p w14:paraId="1D45B8C3" w14:textId="54D9018C" w:rsidR="00EE4218" w:rsidRPr="002720A8" w:rsidRDefault="00EE4218" w:rsidP="00EE4218">
      <w:pPr>
        <w:pStyle w:val="af8"/>
      </w:pPr>
      <w:r>
        <w:rPr>
          <w:rStyle w:val="afa"/>
        </w:rPr>
        <w:footnoteRef/>
      </w:r>
      <w:r>
        <w:t xml:space="preserve"> Например, хладагент R-508B состоит из 46</w:t>
      </w:r>
      <w:r w:rsidR="00620A45">
        <w:t xml:space="preserve"> </w:t>
      </w:r>
      <w:r>
        <w:t>% ГФУ-23 и 54</w:t>
      </w:r>
      <w:r w:rsidR="0052544B">
        <w:t xml:space="preserve"> </w:t>
      </w:r>
      <w:r>
        <w:t xml:space="preserve">% </w:t>
      </w:r>
      <w:proofErr w:type="spellStart"/>
      <w:r>
        <w:t>перфторуглерода</w:t>
      </w:r>
      <w:proofErr w:type="spellEnd"/>
      <w:r>
        <w:t xml:space="preserve"> (ПФУ-116) и имеет ПГП 12 802, однако расчетное потребление этой смеси отражает только ПГП ГФУ-23, в результате чего эффективный ПГП в соответствии с </w:t>
      </w:r>
      <w:proofErr w:type="spellStart"/>
      <w:r>
        <w:t>Кигалийской</w:t>
      </w:r>
      <w:proofErr w:type="spellEnd"/>
      <w:r>
        <w:t xml:space="preserve"> поправкой составляет 6 808.  Аналогичн</w:t>
      </w:r>
      <w:r w:rsidR="0052544B">
        <w:t>ым образом</w:t>
      </w:r>
      <w:r>
        <w:t xml:space="preserve"> хладагент R-401A представляет собой смесь 53</w:t>
      </w:r>
      <w:r w:rsidR="00620A45">
        <w:t xml:space="preserve"> </w:t>
      </w:r>
      <w:r>
        <w:t xml:space="preserve">% </w:t>
      </w:r>
      <w:proofErr w:type="spellStart"/>
      <w:r>
        <w:t>хлордифторметана</w:t>
      </w:r>
      <w:proofErr w:type="spellEnd"/>
      <w:r>
        <w:t xml:space="preserve"> (ГХФУ-22), 13</w:t>
      </w:r>
      <w:r w:rsidR="0052544B">
        <w:t xml:space="preserve"> </w:t>
      </w:r>
      <w:r>
        <w:t xml:space="preserve">% </w:t>
      </w:r>
      <w:proofErr w:type="spellStart"/>
      <w:r>
        <w:t>дифторэтана</w:t>
      </w:r>
      <w:proofErr w:type="spellEnd"/>
      <w:r>
        <w:t xml:space="preserve"> (ГФУ-152а) и 34</w:t>
      </w:r>
      <w:r w:rsidR="00620A45">
        <w:t xml:space="preserve"> </w:t>
      </w:r>
      <w:r>
        <w:t xml:space="preserve">% </w:t>
      </w:r>
      <w:proofErr w:type="spellStart"/>
      <w:r>
        <w:t>тетрафторэтана</w:t>
      </w:r>
      <w:proofErr w:type="spellEnd"/>
      <w:r>
        <w:t xml:space="preserve"> (ГХФУ-124) с ПГП 1 182,48, однако для целей расчета потребления ПГП смеси составляет 16,12.</w:t>
      </w:r>
    </w:p>
  </w:footnote>
  <w:footnote w:id="9">
    <w:p w14:paraId="5B9EEF70" w14:textId="76350FA1" w:rsidR="005939DC" w:rsidRDefault="005939DC">
      <w:pPr>
        <w:pStyle w:val="af8"/>
      </w:pPr>
      <w:r>
        <w:rPr>
          <w:rStyle w:val="afa"/>
        </w:rPr>
        <w:footnoteRef/>
      </w:r>
      <w:r>
        <w:t xml:space="preserve"> Проекты в соответствии с решением 78/3(g) были утверждены после 80-го совещания.</w:t>
      </w:r>
    </w:p>
  </w:footnote>
  <w:footnote w:id="10">
    <w:p w14:paraId="0F8D0A94" w14:textId="3ED7B907" w:rsidR="007F7370" w:rsidRDefault="007F7370">
      <w:pPr>
        <w:pStyle w:val="af8"/>
      </w:pPr>
      <w:r>
        <w:rPr>
          <w:rStyle w:val="afa"/>
        </w:rPr>
        <w:footnoteRef/>
      </w:r>
      <w:r>
        <w:t xml:space="preserve"> Решение 94/60 (утверждено 31 мая 2024 года) и решение 95/87 (утверждено 8 декабря 2024 года).</w:t>
      </w:r>
    </w:p>
  </w:footnote>
  <w:footnote w:id="11">
    <w:p w14:paraId="408F27EB" w14:textId="7CB8D3B8" w:rsidR="00AF4813" w:rsidRDefault="00AF4813">
      <w:pPr>
        <w:pStyle w:val="af8"/>
      </w:pPr>
      <w:r>
        <w:rPr>
          <w:rStyle w:val="afa"/>
        </w:rPr>
        <w:footnoteRef/>
      </w:r>
      <w:r>
        <w:t xml:space="preserve"> Пункт 185 документа UNEP/</w:t>
      </w:r>
      <w:proofErr w:type="spellStart"/>
      <w:r>
        <w:t>OzL.Pro</w:t>
      </w:r>
      <w:proofErr w:type="spellEnd"/>
      <w:r>
        <w:t>/</w:t>
      </w:r>
      <w:proofErr w:type="spellStart"/>
      <w:r>
        <w:t>ExCom</w:t>
      </w:r>
      <w:proofErr w:type="spellEnd"/>
      <w:r>
        <w:t>/95/94</w:t>
      </w:r>
    </w:p>
  </w:footnote>
  <w:footnote w:id="12">
    <w:p w14:paraId="724B2933" w14:textId="77777777" w:rsidR="006C7BDE" w:rsidRPr="001F20EA" w:rsidRDefault="006C7BDE" w:rsidP="006C7BDE">
      <w:pPr>
        <w:pStyle w:val="1"/>
        <w:numPr>
          <w:ilvl w:val="0"/>
          <w:numId w:val="0"/>
        </w:numPr>
        <w:spacing w:after="0"/>
        <w:rPr>
          <w:sz w:val="20"/>
          <w:szCs w:val="20"/>
        </w:rPr>
      </w:pPr>
      <w:r>
        <w:rPr>
          <w:rStyle w:val="afa"/>
          <w:sz w:val="20"/>
          <w:szCs w:val="20"/>
        </w:rPr>
        <w:footnoteRef/>
      </w:r>
      <w:r>
        <w:rPr>
          <w:sz w:val="20"/>
        </w:rPr>
        <w:t xml:space="preserve"> Решение 46/38 и приложение XIII к документу UNEP/</w:t>
      </w:r>
      <w:proofErr w:type="spellStart"/>
      <w:r>
        <w:rPr>
          <w:sz w:val="20"/>
        </w:rPr>
        <w:t>OzL.Pro</w:t>
      </w:r>
      <w:proofErr w:type="spellEnd"/>
      <w:r>
        <w:rPr>
          <w:sz w:val="20"/>
        </w:rPr>
        <w:t>/</w:t>
      </w:r>
      <w:proofErr w:type="spellStart"/>
      <w:r>
        <w:rPr>
          <w:sz w:val="20"/>
        </w:rPr>
        <w:t>ExCom</w:t>
      </w:r>
      <w:proofErr w:type="spellEnd"/>
      <w:r>
        <w:rPr>
          <w:sz w:val="20"/>
        </w:rPr>
        <w:t>/46/47 (2005)</w:t>
      </w:r>
    </w:p>
  </w:footnote>
  <w:footnote w:id="13">
    <w:p w14:paraId="48787918" w14:textId="77777777" w:rsidR="006C7BDE" w:rsidRPr="001F6EAB" w:rsidRDefault="006C7BDE" w:rsidP="006C7BDE">
      <w:pPr>
        <w:pStyle w:val="af8"/>
      </w:pPr>
      <w:r>
        <w:rPr>
          <w:rStyle w:val="afa"/>
        </w:rPr>
        <w:footnoteRef/>
      </w:r>
      <w:r>
        <w:t xml:space="preserve"> UNEP/</w:t>
      </w:r>
      <w:proofErr w:type="spellStart"/>
      <w:r>
        <w:t>OzL.Pro</w:t>
      </w:r>
      <w:proofErr w:type="spellEnd"/>
      <w:r>
        <w:t>/</w:t>
      </w:r>
      <w:proofErr w:type="spellStart"/>
      <w:r>
        <w:t>ExCom</w:t>
      </w:r>
      <w:proofErr w:type="spellEnd"/>
      <w:r>
        <w:t>/93/31</w:t>
      </w:r>
    </w:p>
  </w:footnote>
  <w:footnote w:id="14">
    <w:p w14:paraId="50CA7964" w14:textId="77777777" w:rsidR="006C7BDE" w:rsidRPr="00DA4684" w:rsidRDefault="006C7BDE" w:rsidP="006C7BDE">
      <w:pPr>
        <w:pStyle w:val="af8"/>
      </w:pPr>
      <w:r>
        <w:rPr>
          <w:rStyle w:val="afa"/>
        </w:rPr>
        <w:footnoteRef/>
      </w:r>
      <w:r>
        <w:t xml:space="preserve"> В случае ГХФУ Бенин, Буркина-Фасо, Габон, Мадагаскар, Того и Эквадор, уровень потребления которых превышал 360 млн тонн в базовые годы, получали финансирование, аналогичное странам НОП.</w:t>
      </w:r>
    </w:p>
  </w:footnote>
  <w:footnote w:id="15">
    <w:p w14:paraId="280212EA" w14:textId="77777777" w:rsidR="00A27BC7" w:rsidRPr="00097B48" w:rsidRDefault="00A27BC7" w:rsidP="00A27BC7">
      <w:pPr>
        <w:pStyle w:val="af8"/>
        <w:rPr>
          <w:lang w:val="en-US"/>
        </w:rPr>
      </w:pPr>
      <w:r>
        <w:rPr>
          <w:rStyle w:val="afa"/>
        </w:rPr>
        <w:footnoteRef/>
      </w:r>
      <w:r w:rsidRPr="00097B48">
        <w:rPr>
          <w:lang w:val="en-US"/>
        </w:rPr>
        <w:t xml:space="preserve"> UNEP/OzL.Pro/ExCom/96/20</w:t>
      </w:r>
    </w:p>
  </w:footnote>
  <w:footnote w:id="16">
    <w:p w14:paraId="474F2A54" w14:textId="77777777" w:rsidR="006A5A36" w:rsidRPr="00097B48" w:rsidRDefault="006A5A36" w:rsidP="006A5A36">
      <w:pPr>
        <w:pStyle w:val="af8"/>
        <w:rPr>
          <w:lang w:val="en-US"/>
        </w:rPr>
      </w:pPr>
      <w:r>
        <w:rPr>
          <w:rStyle w:val="afa"/>
        </w:rPr>
        <w:footnoteRef/>
      </w:r>
      <w:r w:rsidRPr="00097B48">
        <w:rPr>
          <w:lang w:val="en-US"/>
        </w:rPr>
        <w:t xml:space="preserve"> UNEP/OzL.Pro/ExCom/96/23</w:t>
      </w:r>
    </w:p>
  </w:footnote>
  <w:footnote w:id="17">
    <w:p w14:paraId="115E9130" w14:textId="1A376D1B" w:rsidR="00A8069B" w:rsidRPr="00AE0E4E" w:rsidRDefault="00A8069B" w:rsidP="00A8069B">
      <w:pPr>
        <w:pStyle w:val="af8"/>
      </w:pPr>
      <w:r>
        <w:rPr>
          <w:rStyle w:val="afa"/>
        </w:rPr>
        <w:footnoteRef/>
      </w:r>
      <w:r>
        <w:t xml:space="preserve"> </w:t>
      </w:r>
      <w:r w:rsidR="000370ED" w:rsidRPr="000370ED">
        <w:t>В соответствии с решением 74/50(c)(</w:t>
      </w:r>
      <w:proofErr w:type="spellStart"/>
      <w:r w:rsidR="000370ED" w:rsidRPr="000370ED">
        <w:t>xii</w:t>
      </w:r>
      <w:proofErr w:type="spellEnd"/>
      <w:r w:rsidR="000370ED" w:rsidRPr="000370ED">
        <w:t xml:space="preserve">) финансирование для стран </w:t>
      </w:r>
      <w:r w:rsidR="000370ED">
        <w:t>НОП</w:t>
      </w:r>
      <w:r w:rsidR="000370ED" w:rsidRPr="000370ED">
        <w:t xml:space="preserve"> предоставляется с учетом </w:t>
      </w:r>
      <w:r w:rsidR="00155FCC">
        <w:t>объема</w:t>
      </w:r>
      <w:r w:rsidR="000370ED" w:rsidRPr="000370ED">
        <w:t xml:space="preserve"> потребления в секторе обслуживания </w:t>
      </w:r>
      <w:r w:rsidR="009025B9" w:rsidRPr="009025B9">
        <w:t>ХКВ</w:t>
      </w:r>
      <w:r w:rsidR="000370ED" w:rsidRPr="000370ED">
        <w:t xml:space="preserve"> при условии обоснования</w:t>
      </w:r>
      <w:r w:rsidR="009025B9" w:rsidRPr="009025B9">
        <w:t xml:space="preserve"> в проектных предложениях</w:t>
      </w:r>
      <w:r w:rsidR="000370ED" w:rsidRPr="000370ED">
        <w:t xml:space="preserve"> необходимости </w:t>
      </w:r>
      <w:r w:rsidR="00C13825">
        <w:t>в финансировании</w:t>
      </w:r>
      <w:r w:rsidR="00C13825" w:rsidRPr="008F3B4C">
        <w:t xml:space="preserve"> для достижения целевых показателей </w:t>
      </w:r>
      <w:r w:rsidR="00C13825">
        <w:t xml:space="preserve">поэтапного отказа от </w:t>
      </w:r>
      <w:r w:rsidR="00C13825" w:rsidRPr="008F3B4C">
        <w:t>ГХФУ</w:t>
      </w:r>
      <w:r w:rsidR="000370ED" w:rsidRPr="000370ED">
        <w:t>.</w:t>
      </w:r>
    </w:p>
  </w:footnote>
  <w:footnote w:id="18">
    <w:p w14:paraId="254A4D75" w14:textId="7303E820" w:rsidR="00AA27FA" w:rsidRPr="00097B48" w:rsidRDefault="00AA27FA" w:rsidP="00AA27FA">
      <w:pPr>
        <w:pStyle w:val="af8"/>
      </w:pPr>
      <w:r>
        <w:rPr>
          <w:rStyle w:val="afa"/>
        </w:rPr>
        <w:footnoteRef/>
      </w:r>
      <w:r>
        <w:t xml:space="preserve"> </w:t>
      </w:r>
      <w:r w:rsidR="00C32FC3" w:rsidRPr="00C32FC3">
        <w:t>Джибути, Доминика, Мали, Мьянма, Сан-Томе и Принсипи, Сент-Китс и Невис, Центральноафриканская Республика, Экваториальная Гвинея</w:t>
      </w:r>
      <w:r w:rsidR="00C32FC3">
        <w:t xml:space="preserve"> и </w:t>
      </w:r>
      <w:r w:rsidR="00C32FC3" w:rsidRPr="00C32FC3">
        <w:t>Южный Судан</w:t>
      </w:r>
      <w:r w:rsidR="002A25B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9471" w14:textId="763B1587" w:rsidR="00DC6A10" w:rsidRPr="0033525D" w:rsidRDefault="00D95219">
    <w:r>
      <w:fldChar w:fldCharType="begin"/>
    </w:r>
    <w:r>
      <w:instrText xml:space="preserve"> DOCPROPERTY "Document number"  \* MERGEFORMAT </w:instrText>
    </w:r>
    <w:r>
      <w:fldChar w:fldCharType="separate"/>
    </w:r>
    <w:r w:rsidR="004261E3">
      <w:t>UNEP/</w:t>
    </w:r>
    <w:proofErr w:type="spellStart"/>
    <w:r w:rsidR="004261E3">
      <w:t>OzL.Pro</w:t>
    </w:r>
    <w:proofErr w:type="spellEnd"/>
    <w:r w:rsidR="004261E3">
      <w:t>/</w:t>
    </w:r>
    <w:proofErr w:type="spellStart"/>
    <w:r w:rsidR="004261E3">
      <w:t>ExCom</w:t>
    </w:r>
    <w:proofErr w:type="spellEnd"/>
    <w:r w:rsidR="004261E3">
      <w:t>/96/16</w:t>
    </w:r>
    <w:r>
      <w:fldChar w:fldCharType="end"/>
    </w:r>
  </w:p>
  <w:p w14:paraId="7CD6943B" w14:textId="77777777" w:rsidR="00DC6A10" w:rsidRPr="0033525D" w:rsidRDefault="00DC6A10"/>
  <w:p w14:paraId="4F018BD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CFEC" w14:textId="7F1D7941" w:rsidR="00DC6A10" w:rsidRPr="0033525D" w:rsidRDefault="00CC3331" w:rsidP="00DC770C">
    <w:pPr>
      <w:jc w:val="right"/>
    </w:pPr>
    <w:r>
      <w:fldChar w:fldCharType="begin"/>
    </w:r>
    <w:r>
      <w:instrText xml:space="preserve"> DOCPROPERTY "Document number"  \* MERGEFORMAT </w:instrText>
    </w:r>
    <w:r>
      <w:fldChar w:fldCharType="separate"/>
    </w:r>
    <w:r w:rsidR="004261E3">
      <w:t>UNEP/</w:t>
    </w:r>
    <w:proofErr w:type="spellStart"/>
    <w:r w:rsidR="004261E3">
      <w:t>OzL.Pro</w:t>
    </w:r>
    <w:proofErr w:type="spellEnd"/>
    <w:r w:rsidR="004261E3">
      <w:t>/</w:t>
    </w:r>
    <w:proofErr w:type="spellStart"/>
    <w:r w:rsidR="004261E3">
      <w:t>ExCom</w:t>
    </w:r>
    <w:proofErr w:type="spellEnd"/>
    <w:r w:rsidR="004261E3">
      <w:t>/96/16</w:t>
    </w:r>
    <w:r>
      <w:fldChar w:fldCharType="end"/>
    </w:r>
  </w:p>
  <w:p w14:paraId="563F8300" w14:textId="77777777" w:rsidR="00DC6A10" w:rsidRPr="0033525D" w:rsidRDefault="00DC6A10" w:rsidP="00DC770C">
    <w:pPr>
      <w:jc w:val="right"/>
    </w:pPr>
  </w:p>
  <w:p w14:paraId="5D9170FD" w14:textId="77777777" w:rsidR="00DC6A10" w:rsidRPr="0033525D" w:rsidRDefault="00DC6A10" w:rsidP="00DC770C">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4C371A"/>
    <w:lvl w:ilvl="0">
      <w:start w:val="1"/>
      <w:numFmt w:val="decimal"/>
      <w:pStyle w:val="1"/>
      <w:lvlText w:val="%1."/>
      <w:lvlJc w:val="left"/>
      <w:pPr>
        <w:tabs>
          <w:tab w:val="num" w:pos="0"/>
        </w:tabs>
        <w:ind w:left="0" w:firstLine="0"/>
      </w:pPr>
      <w:rPr>
        <w:b w:val="0"/>
        <w:bCs w:val="0"/>
      </w:rPr>
    </w:lvl>
    <w:lvl w:ilvl="1">
      <w:start w:val="1"/>
      <w:numFmt w:val="lowerLetter"/>
      <w:pStyle w:val="2"/>
      <w:lvlText w:val="(%2)"/>
      <w:lvlJc w:val="left"/>
      <w:pPr>
        <w:tabs>
          <w:tab w:val="num" w:pos="0"/>
        </w:tabs>
        <w:ind w:left="1440" w:hanging="720"/>
      </w:pPr>
    </w:lvl>
    <w:lvl w:ilvl="2">
      <w:start w:val="1"/>
      <w:numFmt w:val="lowerRoman"/>
      <w:pStyle w:val="3"/>
      <w:lvlText w:val="(%3)"/>
      <w:lvlJc w:val="left"/>
      <w:pPr>
        <w:tabs>
          <w:tab w:val="num" w:pos="0"/>
        </w:tabs>
        <w:ind w:left="2160" w:hanging="720"/>
      </w:p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18"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21"/>
  </w:num>
  <w:num w:numId="20" w16cid:durableId="444007775">
    <w:abstractNumId w:val="13"/>
  </w:num>
  <w:num w:numId="21" w16cid:durableId="1541747500">
    <w:abstractNumId w:val="16"/>
  </w:num>
  <w:num w:numId="22" w16cid:durableId="1256937469">
    <w:abstractNumId w:val="20"/>
  </w:num>
  <w:num w:numId="23" w16cid:durableId="1911230471">
    <w:abstractNumId w:val="11"/>
  </w:num>
  <w:num w:numId="24" w16cid:durableId="1497529307">
    <w:abstractNumId w:val="19"/>
  </w:num>
  <w:num w:numId="25" w16cid:durableId="137378651">
    <w:abstractNumId w:val="18"/>
  </w:num>
  <w:num w:numId="26" w16cid:durableId="29841594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6841"/>
    <w:rsid w:val="00000FED"/>
    <w:rsid w:val="0000239C"/>
    <w:rsid w:val="0000434E"/>
    <w:rsid w:val="00013D69"/>
    <w:rsid w:val="00015B64"/>
    <w:rsid w:val="00020CE3"/>
    <w:rsid w:val="000211A9"/>
    <w:rsid w:val="00021238"/>
    <w:rsid w:val="00021D98"/>
    <w:rsid w:val="00022009"/>
    <w:rsid w:val="00022071"/>
    <w:rsid w:val="00022B68"/>
    <w:rsid w:val="00023AFD"/>
    <w:rsid w:val="00024773"/>
    <w:rsid w:val="00026E0E"/>
    <w:rsid w:val="00031223"/>
    <w:rsid w:val="00031260"/>
    <w:rsid w:val="00035865"/>
    <w:rsid w:val="0003681A"/>
    <w:rsid w:val="000370ED"/>
    <w:rsid w:val="000372B7"/>
    <w:rsid w:val="00037B8E"/>
    <w:rsid w:val="00042223"/>
    <w:rsid w:val="000425A1"/>
    <w:rsid w:val="00044D5A"/>
    <w:rsid w:val="0004796D"/>
    <w:rsid w:val="00047BD2"/>
    <w:rsid w:val="00050F6E"/>
    <w:rsid w:val="0005197D"/>
    <w:rsid w:val="00057AE6"/>
    <w:rsid w:val="00060084"/>
    <w:rsid w:val="00060420"/>
    <w:rsid w:val="00061EC2"/>
    <w:rsid w:val="000631A5"/>
    <w:rsid w:val="00064DEF"/>
    <w:rsid w:val="00064E87"/>
    <w:rsid w:val="0006526D"/>
    <w:rsid w:val="000668FD"/>
    <w:rsid w:val="00066CE8"/>
    <w:rsid w:val="00072DDD"/>
    <w:rsid w:val="00074712"/>
    <w:rsid w:val="00075901"/>
    <w:rsid w:val="00080D65"/>
    <w:rsid w:val="00080ED0"/>
    <w:rsid w:val="0008236B"/>
    <w:rsid w:val="000828B5"/>
    <w:rsid w:val="00083D3A"/>
    <w:rsid w:val="0008426A"/>
    <w:rsid w:val="00085B8F"/>
    <w:rsid w:val="00085F6C"/>
    <w:rsid w:val="00090481"/>
    <w:rsid w:val="00090A19"/>
    <w:rsid w:val="00090D65"/>
    <w:rsid w:val="00093F0C"/>
    <w:rsid w:val="00097B48"/>
    <w:rsid w:val="000A14F8"/>
    <w:rsid w:val="000A3826"/>
    <w:rsid w:val="000A423B"/>
    <w:rsid w:val="000A6C26"/>
    <w:rsid w:val="000A7A44"/>
    <w:rsid w:val="000B2317"/>
    <w:rsid w:val="000B27EC"/>
    <w:rsid w:val="000B36C8"/>
    <w:rsid w:val="000B7057"/>
    <w:rsid w:val="000B7DD0"/>
    <w:rsid w:val="000C0255"/>
    <w:rsid w:val="000C21DB"/>
    <w:rsid w:val="000C247D"/>
    <w:rsid w:val="000C2F2B"/>
    <w:rsid w:val="000C4629"/>
    <w:rsid w:val="000C47D4"/>
    <w:rsid w:val="000C4C5D"/>
    <w:rsid w:val="000C57B3"/>
    <w:rsid w:val="000C5B39"/>
    <w:rsid w:val="000D52A4"/>
    <w:rsid w:val="000E07BC"/>
    <w:rsid w:val="000E0DAC"/>
    <w:rsid w:val="000E14DA"/>
    <w:rsid w:val="000E2B05"/>
    <w:rsid w:val="000E2E21"/>
    <w:rsid w:val="000E4373"/>
    <w:rsid w:val="000E4D2A"/>
    <w:rsid w:val="000E6A20"/>
    <w:rsid w:val="000F1A7E"/>
    <w:rsid w:val="000F1CD4"/>
    <w:rsid w:val="000F2263"/>
    <w:rsid w:val="000F4103"/>
    <w:rsid w:val="000F70A7"/>
    <w:rsid w:val="000F7F83"/>
    <w:rsid w:val="00100615"/>
    <w:rsid w:val="0010286B"/>
    <w:rsid w:val="00107F90"/>
    <w:rsid w:val="001108D9"/>
    <w:rsid w:val="0011183B"/>
    <w:rsid w:val="00111884"/>
    <w:rsid w:val="00113CCA"/>
    <w:rsid w:val="001157B0"/>
    <w:rsid w:val="00120BE2"/>
    <w:rsid w:val="00121130"/>
    <w:rsid w:val="00122F25"/>
    <w:rsid w:val="00124A5D"/>
    <w:rsid w:val="00124D1B"/>
    <w:rsid w:val="00125A5F"/>
    <w:rsid w:val="00135554"/>
    <w:rsid w:val="00135980"/>
    <w:rsid w:val="00137659"/>
    <w:rsid w:val="0013786F"/>
    <w:rsid w:val="00141DA3"/>
    <w:rsid w:val="00141F66"/>
    <w:rsid w:val="0014323F"/>
    <w:rsid w:val="001453A0"/>
    <w:rsid w:val="001454E0"/>
    <w:rsid w:val="00152E4A"/>
    <w:rsid w:val="00153846"/>
    <w:rsid w:val="00155FCC"/>
    <w:rsid w:val="00163CDE"/>
    <w:rsid w:val="00164719"/>
    <w:rsid w:val="00166FC4"/>
    <w:rsid w:val="0016701B"/>
    <w:rsid w:val="001672EA"/>
    <w:rsid w:val="001677AC"/>
    <w:rsid w:val="001678EE"/>
    <w:rsid w:val="001700EB"/>
    <w:rsid w:val="00170262"/>
    <w:rsid w:val="001759D9"/>
    <w:rsid w:val="00176B46"/>
    <w:rsid w:val="001804EA"/>
    <w:rsid w:val="00181B46"/>
    <w:rsid w:val="0018341B"/>
    <w:rsid w:val="00183A77"/>
    <w:rsid w:val="00183FAA"/>
    <w:rsid w:val="001844FB"/>
    <w:rsid w:val="00185CF1"/>
    <w:rsid w:val="00190196"/>
    <w:rsid w:val="00190A61"/>
    <w:rsid w:val="00191D14"/>
    <w:rsid w:val="00192EBF"/>
    <w:rsid w:val="00193CF3"/>
    <w:rsid w:val="00195B0C"/>
    <w:rsid w:val="00196BB1"/>
    <w:rsid w:val="00197179"/>
    <w:rsid w:val="001A06BB"/>
    <w:rsid w:val="001A2215"/>
    <w:rsid w:val="001A3342"/>
    <w:rsid w:val="001A3E3D"/>
    <w:rsid w:val="001A5018"/>
    <w:rsid w:val="001A7049"/>
    <w:rsid w:val="001A74BD"/>
    <w:rsid w:val="001B0E05"/>
    <w:rsid w:val="001B1E40"/>
    <w:rsid w:val="001B50A5"/>
    <w:rsid w:val="001B6097"/>
    <w:rsid w:val="001C4935"/>
    <w:rsid w:val="001C4A6A"/>
    <w:rsid w:val="001C764E"/>
    <w:rsid w:val="001C7B4B"/>
    <w:rsid w:val="001D043E"/>
    <w:rsid w:val="001D3917"/>
    <w:rsid w:val="001D43A3"/>
    <w:rsid w:val="001D5475"/>
    <w:rsid w:val="001D5CB0"/>
    <w:rsid w:val="001D5DEE"/>
    <w:rsid w:val="001D6DFF"/>
    <w:rsid w:val="001E1052"/>
    <w:rsid w:val="001E21B1"/>
    <w:rsid w:val="001E232F"/>
    <w:rsid w:val="001E2339"/>
    <w:rsid w:val="001E2F93"/>
    <w:rsid w:val="001E4327"/>
    <w:rsid w:val="001E4554"/>
    <w:rsid w:val="001E49C3"/>
    <w:rsid w:val="001E61E5"/>
    <w:rsid w:val="001E6B7B"/>
    <w:rsid w:val="001E6F4F"/>
    <w:rsid w:val="001E7318"/>
    <w:rsid w:val="001F0B6D"/>
    <w:rsid w:val="001F0C5A"/>
    <w:rsid w:val="001F0CAD"/>
    <w:rsid w:val="001F2159"/>
    <w:rsid w:val="001F4C01"/>
    <w:rsid w:val="001F53FD"/>
    <w:rsid w:val="001F7941"/>
    <w:rsid w:val="00200EAF"/>
    <w:rsid w:val="002031D5"/>
    <w:rsid w:val="00203F7F"/>
    <w:rsid w:val="002041FD"/>
    <w:rsid w:val="00206089"/>
    <w:rsid w:val="00206ADB"/>
    <w:rsid w:val="0021039D"/>
    <w:rsid w:val="00210AFE"/>
    <w:rsid w:val="00210B8B"/>
    <w:rsid w:val="00212ED7"/>
    <w:rsid w:val="00214863"/>
    <w:rsid w:val="002156B4"/>
    <w:rsid w:val="002162AB"/>
    <w:rsid w:val="00217E89"/>
    <w:rsid w:val="00224FCD"/>
    <w:rsid w:val="00226AD3"/>
    <w:rsid w:val="00237532"/>
    <w:rsid w:val="00240370"/>
    <w:rsid w:val="00240D96"/>
    <w:rsid w:val="002412C1"/>
    <w:rsid w:val="0024502E"/>
    <w:rsid w:val="002474D3"/>
    <w:rsid w:val="00253222"/>
    <w:rsid w:val="002579E1"/>
    <w:rsid w:val="00257D65"/>
    <w:rsid w:val="00261C13"/>
    <w:rsid w:val="00262847"/>
    <w:rsid w:val="002638B7"/>
    <w:rsid w:val="002639CC"/>
    <w:rsid w:val="00264572"/>
    <w:rsid w:val="0026678E"/>
    <w:rsid w:val="002708F6"/>
    <w:rsid w:val="0027374A"/>
    <w:rsid w:val="002738F7"/>
    <w:rsid w:val="00276589"/>
    <w:rsid w:val="002766A6"/>
    <w:rsid w:val="00276841"/>
    <w:rsid w:val="002779C1"/>
    <w:rsid w:val="00281BB2"/>
    <w:rsid w:val="0028310A"/>
    <w:rsid w:val="002839A3"/>
    <w:rsid w:val="00285123"/>
    <w:rsid w:val="00290655"/>
    <w:rsid w:val="00290694"/>
    <w:rsid w:val="00291AC3"/>
    <w:rsid w:val="002927F3"/>
    <w:rsid w:val="00296FC6"/>
    <w:rsid w:val="00297976"/>
    <w:rsid w:val="002A03C3"/>
    <w:rsid w:val="002A14F3"/>
    <w:rsid w:val="002A25B6"/>
    <w:rsid w:val="002A7E5D"/>
    <w:rsid w:val="002B254E"/>
    <w:rsid w:val="002B4CE8"/>
    <w:rsid w:val="002B6122"/>
    <w:rsid w:val="002B63F4"/>
    <w:rsid w:val="002B64A2"/>
    <w:rsid w:val="002B72E9"/>
    <w:rsid w:val="002C0C6F"/>
    <w:rsid w:val="002C144E"/>
    <w:rsid w:val="002C1975"/>
    <w:rsid w:val="002C47D7"/>
    <w:rsid w:val="002C5A64"/>
    <w:rsid w:val="002C7998"/>
    <w:rsid w:val="002E1AB4"/>
    <w:rsid w:val="002E2CED"/>
    <w:rsid w:val="002E3ED5"/>
    <w:rsid w:val="002E400A"/>
    <w:rsid w:val="002F1E53"/>
    <w:rsid w:val="002F2972"/>
    <w:rsid w:val="002F2CAA"/>
    <w:rsid w:val="002F45FE"/>
    <w:rsid w:val="002F5CC9"/>
    <w:rsid w:val="0030052C"/>
    <w:rsid w:val="003008E3"/>
    <w:rsid w:val="00301642"/>
    <w:rsid w:val="003018DF"/>
    <w:rsid w:val="00304F40"/>
    <w:rsid w:val="0030663B"/>
    <w:rsid w:val="00311E25"/>
    <w:rsid w:val="003135F1"/>
    <w:rsid w:val="00314634"/>
    <w:rsid w:val="003164DB"/>
    <w:rsid w:val="00321D12"/>
    <w:rsid w:val="003225FA"/>
    <w:rsid w:val="00322ED9"/>
    <w:rsid w:val="00324C5D"/>
    <w:rsid w:val="003306E1"/>
    <w:rsid w:val="003320E4"/>
    <w:rsid w:val="00333A9A"/>
    <w:rsid w:val="0033525D"/>
    <w:rsid w:val="003360E9"/>
    <w:rsid w:val="00337774"/>
    <w:rsid w:val="003414F3"/>
    <w:rsid w:val="0034235E"/>
    <w:rsid w:val="00350C68"/>
    <w:rsid w:val="0035357C"/>
    <w:rsid w:val="0035613E"/>
    <w:rsid w:val="00363EE9"/>
    <w:rsid w:val="003649E2"/>
    <w:rsid w:val="003710B6"/>
    <w:rsid w:val="00371252"/>
    <w:rsid w:val="0037576B"/>
    <w:rsid w:val="00376128"/>
    <w:rsid w:val="0037742E"/>
    <w:rsid w:val="00377D56"/>
    <w:rsid w:val="0038245A"/>
    <w:rsid w:val="003840E6"/>
    <w:rsid w:val="00385285"/>
    <w:rsid w:val="00385CFC"/>
    <w:rsid w:val="003866AF"/>
    <w:rsid w:val="00390158"/>
    <w:rsid w:val="00390D05"/>
    <w:rsid w:val="00391D49"/>
    <w:rsid w:val="003920A1"/>
    <w:rsid w:val="0039337A"/>
    <w:rsid w:val="003936B9"/>
    <w:rsid w:val="003964FF"/>
    <w:rsid w:val="0039764E"/>
    <w:rsid w:val="003A2AD1"/>
    <w:rsid w:val="003A3189"/>
    <w:rsid w:val="003A3CA7"/>
    <w:rsid w:val="003A4B7C"/>
    <w:rsid w:val="003A5075"/>
    <w:rsid w:val="003B0FEE"/>
    <w:rsid w:val="003B2011"/>
    <w:rsid w:val="003B243D"/>
    <w:rsid w:val="003B2AEA"/>
    <w:rsid w:val="003B2DF0"/>
    <w:rsid w:val="003B2E44"/>
    <w:rsid w:val="003B33BD"/>
    <w:rsid w:val="003B3A7F"/>
    <w:rsid w:val="003B569D"/>
    <w:rsid w:val="003B59A6"/>
    <w:rsid w:val="003B59E4"/>
    <w:rsid w:val="003C21D1"/>
    <w:rsid w:val="003C3C0E"/>
    <w:rsid w:val="003C7A2D"/>
    <w:rsid w:val="003D2528"/>
    <w:rsid w:val="003D42A6"/>
    <w:rsid w:val="003D4CD5"/>
    <w:rsid w:val="003D4F21"/>
    <w:rsid w:val="003D4FAC"/>
    <w:rsid w:val="003E00E7"/>
    <w:rsid w:val="003E112F"/>
    <w:rsid w:val="003E1885"/>
    <w:rsid w:val="003E7906"/>
    <w:rsid w:val="003F000F"/>
    <w:rsid w:val="003F1320"/>
    <w:rsid w:val="003F2BAB"/>
    <w:rsid w:val="003F3C50"/>
    <w:rsid w:val="003F3CFA"/>
    <w:rsid w:val="003F5DFA"/>
    <w:rsid w:val="003F65A3"/>
    <w:rsid w:val="003F6613"/>
    <w:rsid w:val="0040085B"/>
    <w:rsid w:val="004010CB"/>
    <w:rsid w:val="00404163"/>
    <w:rsid w:val="00406202"/>
    <w:rsid w:val="00406A6A"/>
    <w:rsid w:val="00406B22"/>
    <w:rsid w:val="00407147"/>
    <w:rsid w:val="004078FA"/>
    <w:rsid w:val="00411D41"/>
    <w:rsid w:val="00411E8B"/>
    <w:rsid w:val="00412EAF"/>
    <w:rsid w:val="0041327D"/>
    <w:rsid w:val="00413AB4"/>
    <w:rsid w:val="00422A25"/>
    <w:rsid w:val="00423E1F"/>
    <w:rsid w:val="00424719"/>
    <w:rsid w:val="00425C98"/>
    <w:rsid w:val="004261E3"/>
    <w:rsid w:val="00427904"/>
    <w:rsid w:val="00430AE8"/>
    <w:rsid w:val="00431E08"/>
    <w:rsid w:val="004328A7"/>
    <w:rsid w:val="00433C1A"/>
    <w:rsid w:val="00433F44"/>
    <w:rsid w:val="00434C74"/>
    <w:rsid w:val="004353D7"/>
    <w:rsid w:val="00435926"/>
    <w:rsid w:val="00436874"/>
    <w:rsid w:val="0044583E"/>
    <w:rsid w:val="00447FC1"/>
    <w:rsid w:val="00450300"/>
    <w:rsid w:val="004521EB"/>
    <w:rsid w:val="00452406"/>
    <w:rsid w:val="004531AE"/>
    <w:rsid w:val="00456EB4"/>
    <w:rsid w:val="00457827"/>
    <w:rsid w:val="004643CF"/>
    <w:rsid w:val="004644C7"/>
    <w:rsid w:val="00464875"/>
    <w:rsid w:val="004700BA"/>
    <w:rsid w:val="004718F3"/>
    <w:rsid w:val="004735AE"/>
    <w:rsid w:val="00474562"/>
    <w:rsid w:val="00474B26"/>
    <w:rsid w:val="00475040"/>
    <w:rsid w:val="00482069"/>
    <w:rsid w:val="00485539"/>
    <w:rsid w:val="00490C06"/>
    <w:rsid w:val="00490CB6"/>
    <w:rsid w:val="004916B6"/>
    <w:rsid w:val="00493D40"/>
    <w:rsid w:val="00493EE3"/>
    <w:rsid w:val="00494E86"/>
    <w:rsid w:val="004967B6"/>
    <w:rsid w:val="00497508"/>
    <w:rsid w:val="004976F9"/>
    <w:rsid w:val="004A1304"/>
    <w:rsid w:val="004A1ADC"/>
    <w:rsid w:val="004A1C47"/>
    <w:rsid w:val="004A34CA"/>
    <w:rsid w:val="004A47D8"/>
    <w:rsid w:val="004A504B"/>
    <w:rsid w:val="004A6911"/>
    <w:rsid w:val="004B1FD4"/>
    <w:rsid w:val="004B23A6"/>
    <w:rsid w:val="004B2E7A"/>
    <w:rsid w:val="004B3225"/>
    <w:rsid w:val="004B3652"/>
    <w:rsid w:val="004B4492"/>
    <w:rsid w:val="004B50A2"/>
    <w:rsid w:val="004B54E0"/>
    <w:rsid w:val="004B63E7"/>
    <w:rsid w:val="004B7384"/>
    <w:rsid w:val="004C14B1"/>
    <w:rsid w:val="004C268D"/>
    <w:rsid w:val="004C4269"/>
    <w:rsid w:val="004C6B6C"/>
    <w:rsid w:val="004D54ED"/>
    <w:rsid w:val="004D6236"/>
    <w:rsid w:val="004D702B"/>
    <w:rsid w:val="004D7F90"/>
    <w:rsid w:val="004E2517"/>
    <w:rsid w:val="004E2792"/>
    <w:rsid w:val="004E33C7"/>
    <w:rsid w:val="004E4DBB"/>
    <w:rsid w:val="004E4E41"/>
    <w:rsid w:val="004E51CC"/>
    <w:rsid w:val="004E55C3"/>
    <w:rsid w:val="004E5D55"/>
    <w:rsid w:val="004E73DB"/>
    <w:rsid w:val="004E7F9C"/>
    <w:rsid w:val="004F08E0"/>
    <w:rsid w:val="004F25F7"/>
    <w:rsid w:val="004F2EF4"/>
    <w:rsid w:val="004F3493"/>
    <w:rsid w:val="004F5143"/>
    <w:rsid w:val="004F54C6"/>
    <w:rsid w:val="005005BA"/>
    <w:rsid w:val="005006D0"/>
    <w:rsid w:val="00500B5C"/>
    <w:rsid w:val="00501094"/>
    <w:rsid w:val="00505AE4"/>
    <w:rsid w:val="005074DA"/>
    <w:rsid w:val="00512B09"/>
    <w:rsid w:val="00512EB9"/>
    <w:rsid w:val="00514CD1"/>
    <w:rsid w:val="00514EF1"/>
    <w:rsid w:val="00517482"/>
    <w:rsid w:val="005179ED"/>
    <w:rsid w:val="005220ED"/>
    <w:rsid w:val="00523BA7"/>
    <w:rsid w:val="00524719"/>
    <w:rsid w:val="0052544B"/>
    <w:rsid w:val="00530CBE"/>
    <w:rsid w:val="0053325E"/>
    <w:rsid w:val="00533796"/>
    <w:rsid w:val="00533CC2"/>
    <w:rsid w:val="00534B46"/>
    <w:rsid w:val="00537343"/>
    <w:rsid w:val="0054076D"/>
    <w:rsid w:val="00540FF0"/>
    <w:rsid w:val="00542001"/>
    <w:rsid w:val="00542C4D"/>
    <w:rsid w:val="00542D01"/>
    <w:rsid w:val="00546686"/>
    <w:rsid w:val="005508DB"/>
    <w:rsid w:val="005516F3"/>
    <w:rsid w:val="005523F2"/>
    <w:rsid w:val="005538E5"/>
    <w:rsid w:val="00555D75"/>
    <w:rsid w:val="0055639A"/>
    <w:rsid w:val="00560DF0"/>
    <w:rsid w:val="00561994"/>
    <w:rsid w:val="00561ED4"/>
    <w:rsid w:val="005672F2"/>
    <w:rsid w:val="00567446"/>
    <w:rsid w:val="0056759C"/>
    <w:rsid w:val="0057066D"/>
    <w:rsid w:val="00572C5C"/>
    <w:rsid w:val="00577353"/>
    <w:rsid w:val="005931B8"/>
    <w:rsid w:val="005939DC"/>
    <w:rsid w:val="0059513E"/>
    <w:rsid w:val="00597F65"/>
    <w:rsid w:val="005A0F47"/>
    <w:rsid w:val="005A20BA"/>
    <w:rsid w:val="005A446E"/>
    <w:rsid w:val="005A6AA4"/>
    <w:rsid w:val="005A6D9F"/>
    <w:rsid w:val="005B0C5B"/>
    <w:rsid w:val="005B3131"/>
    <w:rsid w:val="005B42C0"/>
    <w:rsid w:val="005B48FF"/>
    <w:rsid w:val="005C1E32"/>
    <w:rsid w:val="005C3967"/>
    <w:rsid w:val="005C670D"/>
    <w:rsid w:val="005C74DC"/>
    <w:rsid w:val="005D044E"/>
    <w:rsid w:val="005D06DA"/>
    <w:rsid w:val="005D230C"/>
    <w:rsid w:val="005D363F"/>
    <w:rsid w:val="005D3730"/>
    <w:rsid w:val="005E2B93"/>
    <w:rsid w:val="005E345A"/>
    <w:rsid w:val="005E4AD5"/>
    <w:rsid w:val="005E4DBC"/>
    <w:rsid w:val="005E4E16"/>
    <w:rsid w:val="005E67A0"/>
    <w:rsid w:val="005F187B"/>
    <w:rsid w:val="005F1C3E"/>
    <w:rsid w:val="00600BCA"/>
    <w:rsid w:val="00601748"/>
    <w:rsid w:val="0060323F"/>
    <w:rsid w:val="006048BF"/>
    <w:rsid w:val="00604C15"/>
    <w:rsid w:val="0060510F"/>
    <w:rsid w:val="00605746"/>
    <w:rsid w:val="006060A9"/>
    <w:rsid w:val="006158D5"/>
    <w:rsid w:val="00620305"/>
    <w:rsid w:val="00620A45"/>
    <w:rsid w:val="006233D5"/>
    <w:rsid w:val="00625509"/>
    <w:rsid w:val="00625BAF"/>
    <w:rsid w:val="00625D83"/>
    <w:rsid w:val="00625D91"/>
    <w:rsid w:val="00631071"/>
    <w:rsid w:val="00635E7B"/>
    <w:rsid w:val="00636EDA"/>
    <w:rsid w:val="00637143"/>
    <w:rsid w:val="00644E5D"/>
    <w:rsid w:val="006464C0"/>
    <w:rsid w:val="006470D6"/>
    <w:rsid w:val="006470EE"/>
    <w:rsid w:val="00651984"/>
    <w:rsid w:val="006529F0"/>
    <w:rsid w:val="00655885"/>
    <w:rsid w:val="00657BCF"/>
    <w:rsid w:val="006623E7"/>
    <w:rsid w:val="00662B80"/>
    <w:rsid w:val="0066768F"/>
    <w:rsid w:val="00670897"/>
    <w:rsid w:val="00670F6C"/>
    <w:rsid w:val="00673C94"/>
    <w:rsid w:val="006757DB"/>
    <w:rsid w:val="00676E58"/>
    <w:rsid w:val="006778B2"/>
    <w:rsid w:val="00677A2B"/>
    <w:rsid w:val="00682396"/>
    <w:rsid w:val="00682E09"/>
    <w:rsid w:val="006852C7"/>
    <w:rsid w:val="006852CE"/>
    <w:rsid w:val="0068679B"/>
    <w:rsid w:val="00690469"/>
    <w:rsid w:val="00690ED7"/>
    <w:rsid w:val="006914ED"/>
    <w:rsid w:val="00691C0C"/>
    <w:rsid w:val="0069203B"/>
    <w:rsid w:val="00692D14"/>
    <w:rsid w:val="006A0534"/>
    <w:rsid w:val="006A0B1F"/>
    <w:rsid w:val="006A28DC"/>
    <w:rsid w:val="006A5A36"/>
    <w:rsid w:val="006A7A3B"/>
    <w:rsid w:val="006B0C22"/>
    <w:rsid w:val="006B242B"/>
    <w:rsid w:val="006B5306"/>
    <w:rsid w:val="006B65C7"/>
    <w:rsid w:val="006B7C60"/>
    <w:rsid w:val="006C03DD"/>
    <w:rsid w:val="006C1727"/>
    <w:rsid w:val="006C32FD"/>
    <w:rsid w:val="006C360B"/>
    <w:rsid w:val="006C39CE"/>
    <w:rsid w:val="006C506B"/>
    <w:rsid w:val="006C528A"/>
    <w:rsid w:val="006C7BDE"/>
    <w:rsid w:val="006D02C1"/>
    <w:rsid w:val="006D0FCC"/>
    <w:rsid w:val="006D21CB"/>
    <w:rsid w:val="006D21F5"/>
    <w:rsid w:val="006D2E7B"/>
    <w:rsid w:val="006D3089"/>
    <w:rsid w:val="006D409A"/>
    <w:rsid w:val="006D4276"/>
    <w:rsid w:val="006D4CC4"/>
    <w:rsid w:val="006D5753"/>
    <w:rsid w:val="006E126D"/>
    <w:rsid w:val="006E1FC3"/>
    <w:rsid w:val="006E4B37"/>
    <w:rsid w:val="006E5288"/>
    <w:rsid w:val="006E61A9"/>
    <w:rsid w:val="006F0B91"/>
    <w:rsid w:val="006F5766"/>
    <w:rsid w:val="006F705E"/>
    <w:rsid w:val="00703DCD"/>
    <w:rsid w:val="00704CE9"/>
    <w:rsid w:val="00705ED3"/>
    <w:rsid w:val="0070616B"/>
    <w:rsid w:val="00706295"/>
    <w:rsid w:val="00706FDA"/>
    <w:rsid w:val="00707FB6"/>
    <w:rsid w:val="007105EC"/>
    <w:rsid w:val="00710AF4"/>
    <w:rsid w:val="00711F9A"/>
    <w:rsid w:val="00712558"/>
    <w:rsid w:val="00713810"/>
    <w:rsid w:val="00713A4A"/>
    <w:rsid w:val="00713CA4"/>
    <w:rsid w:val="0071715B"/>
    <w:rsid w:val="00717AEB"/>
    <w:rsid w:val="0072238A"/>
    <w:rsid w:val="00722605"/>
    <w:rsid w:val="007250C7"/>
    <w:rsid w:val="00725B43"/>
    <w:rsid w:val="00725E1B"/>
    <w:rsid w:val="00725FA1"/>
    <w:rsid w:val="007303A5"/>
    <w:rsid w:val="00730B3E"/>
    <w:rsid w:val="00730D48"/>
    <w:rsid w:val="0073420B"/>
    <w:rsid w:val="007344B5"/>
    <w:rsid w:val="00736367"/>
    <w:rsid w:val="007408C8"/>
    <w:rsid w:val="00740EE9"/>
    <w:rsid w:val="007415E0"/>
    <w:rsid w:val="007415E8"/>
    <w:rsid w:val="00742AA6"/>
    <w:rsid w:val="007450FD"/>
    <w:rsid w:val="00745BA2"/>
    <w:rsid w:val="00746157"/>
    <w:rsid w:val="007466C7"/>
    <w:rsid w:val="007468AA"/>
    <w:rsid w:val="00747123"/>
    <w:rsid w:val="0074760E"/>
    <w:rsid w:val="00750924"/>
    <w:rsid w:val="00751291"/>
    <w:rsid w:val="007548C4"/>
    <w:rsid w:val="00754ABA"/>
    <w:rsid w:val="0075676B"/>
    <w:rsid w:val="00756EA4"/>
    <w:rsid w:val="0076197F"/>
    <w:rsid w:val="007624A2"/>
    <w:rsid w:val="00763666"/>
    <w:rsid w:val="00764D05"/>
    <w:rsid w:val="0076568A"/>
    <w:rsid w:val="007704D0"/>
    <w:rsid w:val="00773FA4"/>
    <w:rsid w:val="00774582"/>
    <w:rsid w:val="007827A2"/>
    <w:rsid w:val="00782B0D"/>
    <w:rsid w:val="00784728"/>
    <w:rsid w:val="0078475B"/>
    <w:rsid w:val="0078525B"/>
    <w:rsid w:val="00785F6C"/>
    <w:rsid w:val="00787BE4"/>
    <w:rsid w:val="00791D10"/>
    <w:rsid w:val="007956ED"/>
    <w:rsid w:val="00796B48"/>
    <w:rsid w:val="00796DDA"/>
    <w:rsid w:val="0079781A"/>
    <w:rsid w:val="007A1546"/>
    <w:rsid w:val="007A228C"/>
    <w:rsid w:val="007A368E"/>
    <w:rsid w:val="007A5868"/>
    <w:rsid w:val="007A6C22"/>
    <w:rsid w:val="007A6DF4"/>
    <w:rsid w:val="007B04CE"/>
    <w:rsid w:val="007B2497"/>
    <w:rsid w:val="007B5A25"/>
    <w:rsid w:val="007B6871"/>
    <w:rsid w:val="007B7A2F"/>
    <w:rsid w:val="007C28E5"/>
    <w:rsid w:val="007C2B69"/>
    <w:rsid w:val="007C32EE"/>
    <w:rsid w:val="007C3D33"/>
    <w:rsid w:val="007C4AEF"/>
    <w:rsid w:val="007C54B9"/>
    <w:rsid w:val="007C6F47"/>
    <w:rsid w:val="007C7089"/>
    <w:rsid w:val="007D1B90"/>
    <w:rsid w:val="007D2657"/>
    <w:rsid w:val="007D294A"/>
    <w:rsid w:val="007D3D3E"/>
    <w:rsid w:val="007D47D2"/>
    <w:rsid w:val="007D620F"/>
    <w:rsid w:val="007D6EC0"/>
    <w:rsid w:val="007D71B4"/>
    <w:rsid w:val="007D7273"/>
    <w:rsid w:val="007D73E1"/>
    <w:rsid w:val="007D75DD"/>
    <w:rsid w:val="007D7E1D"/>
    <w:rsid w:val="007E503C"/>
    <w:rsid w:val="007F2349"/>
    <w:rsid w:val="007F7370"/>
    <w:rsid w:val="008023F9"/>
    <w:rsid w:val="008025C8"/>
    <w:rsid w:val="0080345C"/>
    <w:rsid w:val="00813E89"/>
    <w:rsid w:val="00814F22"/>
    <w:rsid w:val="0081624E"/>
    <w:rsid w:val="00816D43"/>
    <w:rsid w:val="00821EF8"/>
    <w:rsid w:val="00824AB3"/>
    <w:rsid w:val="0082522F"/>
    <w:rsid w:val="0082682E"/>
    <w:rsid w:val="00831979"/>
    <w:rsid w:val="008326BF"/>
    <w:rsid w:val="008355A3"/>
    <w:rsid w:val="00836559"/>
    <w:rsid w:val="008410BB"/>
    <w:rsid w:val="00844A56"/>
    <w:rsid w:val="0084515D"/>
    <w:rsid w:val="0084598B"/>
    <w:rsid w:val="00851352"/>
    <w:rsid w:val="008523F1"/>
    <w:rsid w:val="00853365"/>
    <w:rsid w:val="00853771"/>
    <w:rsid w:val="0085695E"/>
    <w:rsid w:val="00857077"/>
    <w:rsid w:val="008605BD"/>
    <w:rsid w:val="00863230"/>
    <w:rsid w:val="00863391"/>
    <w:rsid w:val="00863A6F"/>
    <w:rsid w:val="00865729"/>
    <w:rsid w:val="00865B6F"/>
    <w:rsid w:val="00865BD0"/>
    <w:rsid w:val="00866B40"/>
    <w:rsid w:val="008717D8"/>
    <w:rsid w:val="0087215C"/>
    <w:rsid w:val="00875D25"/>
    <w:rsid w:val="008765EC"/>
    <w:rsid w:val="00877F54"/>
    <w:rsid w:val="00880B2B"/>
    <w:rsid w:val="00880E35"/>
    <w:rsid w:val="008875FE"/>
    <w:rsid w:val="00887F8E"/>
    <w:rsid w:val="008938DD"/>
    <w:rsid w:val="00896234"/>
    <w:rsid w:val="008967A7"/>
    <w:rsid w:val="00897E43"/>
    <w:rsid w:val="008A0D19"/>
    <w:rsid w:val="008A2810"/>
    <w:rsid w:val="008A39E2"/>
    <w:rsid w:val="008A3B47"/>
    <w:rsid w:val="008A554E"/>
    <w:rsid w:val="008A58FE"/>
    <w:rsid w:val="008A7C0F"/>
    <w:rsid w:val="008B0F15"/>
    <w:rsid w:val="008B11D7"/>
    <w:rsid w:val="008B2081"/>
    <w:rsid w:val="008B5712"/>
    <w:rsid w:val="008B7453"/>
    <w:rsid w:val="008C09E6"/>
    <w:rsid w:val="008C11DF"/>
    <w:rsid w:val="008C157A"/>
    <w:rsid w:val="008C222B"/>
    <w:rsid w:val="008C5738"/>
    <w:rsid w:val="008C7EAD"/>
    <w:rsid w:val="008D0CFE"/>
    <w:rsid w:val="008D1110"/>
    <w:rsid w:val="008D6152"/>
    <w:rsid w:val="008E0547"/>
    <w:rsid w:val="008E267F"/>
    <w:rsid w:val="008E28EC"/>
    <w:rsid w:val="008E3796"/>
    <w:rsid w:val="008E3E78"/>
    <w:rsid w:val="008E78F4"/>
    <w:rsid w:val="008E7BA9"/>
    <w:rsid w:val="008F0F81"/>
    <w:rsid w:val="008F27BF"/>
    <w:rsid w:val="008F2E64"/>
    <w:rsid w:val="008F3B4C"/>
    <w:rsid w:val="008F5E40"/>
    <w:rsid w:val="008F79A0"/>
    <w:rsid w:val="009025B9"/>
    <w:rsid w:val="009033B6"/>
    <w:rsid w:val="00903D3C"/>
    <w:rsid w:val="00903F24"/>
    <w:rsid w:val="00904460"/>
    <w:rsid w:val="00905621"/>
    <w:rsid w:val="00905F45"/>
    <w:rsid w:val="00911BB1"/>
    <w:rsid w:val="009142EC"/>
    <w:rsid w:val="009145E4"/>
    <w:rsid w:val="009153BC"/>
    <w:rsid w:val="009154C3"/>
    <w:rsid w:val="00915EA7"/>
    <w:rsid w:val="009210A8"/>
    <w:rsid w:val="00923540"/>
    <w:rsid w:val="00926767"/>
    <w:rsid w:val="0092697D"/>
    <w:rsid w:val="009269A6"/>
    <w:rsid w:val="00927EBA"/>
    <w:rsid w:val="00931C02"/>
    <w:rsid w:val="009326D0"/>
    <w:rsid w:val="00932A40"/>
    <w:rsid w:val="0093398B"/>
    <w:rsid w:val="009361D5"/>
    <w:rsid w:val="00936451"/>
    <w:rsid w:val="009403E7"/>
    <w:rsid w:val="009428A4"/>
    <w:rsid w:val="00942BAE"/>
    <w:rsid w:val="009432DD"/>
    <w:rsid w:val="0094634B"/>
    <w:rsid w:val="009467D9"/>
    <w:rsid w:val="00946C56"/>
    <w:rsid w:val="0094768E"/>
    <w:rsid w:val="00955D0B"/>
    <w:rsid w:val="009623A2"/>
    <w:rsid w:val="00965039"/>
    <w:rsid w:val="00965422"/>
    <w:rsid w:val="009656C3"/>
    <w:rsid w:val="009659F4"/>
    <w:rsid w:val="0096601F"/>
    <w:rsid w:val="00970D60"/>
    <w:rsid w:val="00973E78"/>
    <w:rsid w:val="009752C2"/>
    <w:rsid w:val="00981B46"/>
    <w:rsid w:val="00984A4E"/>
    <w:rsid w:val="00985931"/>
    <w:rsid w:val="009874D0"/>
    <w:rsid w:val="0099086D"/>
    <w:rsid w:val="0099147E"/>
    <w:rsid w:val="009914A8"/>
    <w:rsid w:val="00991781"/>
    <w:rsid w:val="009922CE"/>
    <w:rsid w:val="009926A1"/>
    <w:rsid w:val="0099390E"/>
    <w:rsid w:val="009960E5"/>
    <w:rsid w:val="009A3C00"/>
    <w:rsid w:val="009A44F7"/>
    <w:rsid w:val="009A61A7"/>
    <w:rsid w:val="009A67B7"/>
    <w:rsid w:val="009A7ADC"/>
    <w:rsid w:val="009B0AD4"/>
    <w:rsid w:val="009B0D30"/>
    <w:rsid w:val="009B40BA"/>
    <w:rsid w:val="009B4534"/>
    <w:rsid w:val="009B4C5A"/>
    <w:rsid w:val="009B4F7A"/>
    <w:rsid w:val="009B57CC"/>
    <w:rsid w:val="009B79CC"/>
    <w:rsid w:val="009C0899"/>
    <w:rsid w:val="009C19B7"/>
    <w:rsid w:val="009C47CD"/>
    <w:rsid w:val="009C4BB4"/>
    <w:rsid w:val="009C5ABB"/>
    <w:rsid w:val="009D1C21"/>
    <w:rsid w:val="009D37C0"/>
    <w:rsid w:val="009D5FAF"/>
    <w:rsid w:val="009D6D56"/>
    <w:rsid w:val="009D7C51"/>
    <w:rsid w:val="009D7DEA"/>
    <w:rsid w:val="009E196C"/>
    <w:rsid w:val="009E2EB0"/>
    <w:rsid w:val="009E380A"/>
    <w:rsid w:val="009E6A0A"/>
    <w:rsid w:val="009E723C"/>
    <w:rsid w:val="009E7748"/>
    <w:rsid w:val="009F36BF"/>
    <w:rsid w:val="009F68F5"/>
    <w:rsid w:val="009F7E58"/>
    <w:rsid w:val="00A02343"/>
    <w:rsid w:val="00A111B6"/>
    <w:rsid w:val="00A14468"/>
    <w:rsid w:val="00A16126"/>
    <w:rsid w:val="00A208B2"/>
    <w:rsid w:val="00A20F07"/>
    <w:rsid w:val="00A232DC"/>
    <w:rsid w:val="00A2362C"/>
    <w:rsid w:val="00A26D27"/>
    <w:rsid w:val="00A27383"/>
    <w:rsid w:val="00A27BC7"/>
    <w:rsid w:val="00A30027"/>
    <w:rsid w:val="00A355BD"/>
    <w:rsid w:val="00A37381"/>
    <w:rsid w:val="00A376EE"/>
    <w:rsid w:val="00A415BF"/>
    <w:rsid w:val="00A42A99"/>
    <w:rsid w:val="00A42C26"/>
    <w:rsid w:val="00A433CF"/>
    <w:rsid w:val="00A4552D"/>
    <w:rsid w:val="00A50BB0"/>
    <w:rsid w:val="00A51165"/>
    <w:rsid w:val="00A5151A"/>
    <w:rsid w:val="00A535CE"/>
    <w:rsid w:val="00A5420D"/>
    <w:rsid w:val="00A56F76"/>
    <w:rsid w:val="00A57D8F"/>
    <w:rsid w:val="00A57E0A"/>
    <w:rsid w:val="00A57ECD"/>
    <w:rsid w:val="00A62AC0"/>
    <w:rsid w:val="00A63338"/>
    <w:rsid w:val="00A66361"/>
    <w:rsid w:val="00A66764"/>
    <w:rsid w:val="00A76189"/>
    <w:rsid w:val="00A77919"/>
    <w:rsid w:val="00A8069B"/>
    <w:rsid w:val="00A823F6"/>
    <w:rsid w:val="00A83502"/>
    <w:rsid w:val="00A8438E"/>
    <w:rsid w:val="00A84B0F"/>
    <w:rsid w:val="00A8719E"/>
    <w:rsid w:val="00A8755A"/>
    <w:rsid w:val="00A87C7A"/>
    <w:rsid w:val="00A91211"/>
    <w:rsid w:val="00A94201"/>
    <w:rsid w:val="00A9515F"/>
    <w:rsid w:val="00A9708A"/>
    <w:rsid w:val="00AA07FC"/>
    <w:rsid w:val="00AA0A89"/>
    <w:rsid w:val="00AA23B6"/>
    <w:rsid w:val="00AA27FA"/>
    <w:rsid w:val="00AA4189"/>
    <w:rsid w:val="00AA5368"/>
    <w:rsid w:val="00AA6429"/>
    <w:rsid w:val="00AA6A9F"/>
    <w:rsid w:val="00AB3701"/>
    <w:rsid w:val="00AC01AA"/>
    <w:rsid w:val="00AC22B1"/>
    <w:rsid w:val="00AC2364"/>
    <w:rsid w:val="00AC2F56"/>
    <w:rsid w:val="00AC3EE9"/>
    <w:rsid w:val="00AC4F72"/>
    <w:rsid w:val="00AC5041"/>
    <w:rsid w:val="00AC6774"/>
    <w:rsid w:val="00AD02A1"/>
    <w:rsid w:val="00AD3FB0"/>
    <w:rsid w:val="00AD48F1"/>
    <w:rsid w:val="00AD6C81"/>
    <w:rsid w:val="00AE1755"/>
    <w:rsid w:val="00AE482E"/>
    <w:rsid w:val="00AE5D70"/>
    <w:rsid w:val="00AE6926"/>
    <w:rsid w:val="00AE6D2A"/>
    <w:rsid w:val="00AF15C7"/>
    <w:rsid w:val="00AF1B39"/>
    <w:rsid w:val="00AF306C"/>
    <w:rsid w:val="00AF4813"/>
    <w:rsid w:val="00AF741A"/>
    <w:rsid w:val="00B01ADB"/>
    <w:rsid w:val="00B02F09"/>
    <w:rsid w:val="00B04161"/>
    <w:rsid w:val="00B056F9"/>
    <w:rsid w:val="00B11E3D"/>
    <w:rsid w:val="00B11EBA"/>
    <w:rsid w:val="00B127A6"/>
    <w:rsid w:val="00B14D2C"/>
    <w:rsid w:val="00B17E82"/>
    <w:rsid w:val="00B17F84"/>
    <w:rsid w:val="00B243C5"/>
    <w:rsid w:val="00B245BF"/>
    <w:rsid w:val="00B2528C"/>
    <w:rsid w:val="00B34982"/>
    <w:rsid w:val="00B360F2"/>
    <w:rsid w:val="00B36561"/>
    <w:rsid w:val="00B36807"/>
    <w:rsid w:val="00B41C84"/>
    <w:rsid w:val="00B421CD"/>
    <w:rsid w:val="00B43161"/>
    <w:rsid w:val="00B43602"/>
    <w:rsid w:val="00B443BB"/>
    <w:rsid w:val="00B45486"/>
    <w:rsid w:val="00B4548A"/>
    <w:rsid w:val="00B4575A"/>
    <w:rsid w:val="00B47EF8"/>
    <w:rsid w:val="00B51D38"/>
    <w:rsid w:val="00B553AF"/>
    <w:rsid w:val="00B575BA"/>
    <w:rsid w:val="00B63763"/>
    <w:rsid w:val="00B64C2B"/>
    <w:rsid w:val="00B677FC"/>
    <w:rsid w:val="00B711CA"/>
    <w:rsid w:val="00B71569"/>
    <w:rsid w:val="00B71608"/>
    <w:rsid w:val="00B721B4"/>
    <w:rsid w:val="00B756F1"/>
    <w:rsid w:val="00B758A5"/>
    <w:rsid w:val="00B76429"/>
    <w:rsid w:val="00B77EAF"/>
    <w:rsid w:val="00B814BD"/>
    <w:rsid w:val="00B8188E"/>
    <w:rsid w:val="00B84A02"/>
    <w:rsid w:val="00B86471"/>
    <w:rsid w:val="00B86F40"/>
    <w:rsid w:val="00B900F3"/>
    <w:rsid w:val="00B9415F"/>
    <w:rsid w:val="00B9463C"/>
    <w:rsid w:val="00B956D4"/>
    <w:rsid w:val="00B97446"/>
    <w:rsid w:val="00B97A06"/>
    <w:rsid w:val="00BA0B7C"/>
    <w:rsid w:val="00BA176A"/>
    <w:rsid w:val="00BA5714"/>
    <w:rsid w:val="00BA5B9A"/>
    <w:rsid w:val="00BA68F9"/>
    <w:rsid w:val="00BA7432"/>
    <w:rsid w:val="00BB088C"/>
    <w:rsid w:val="00BB2764"/>
    <w:rsid w:val="00BC070C"/>
    <w:rsid w:val="00BC1528"/>
    <w:rsid w:val="00BC1AA0"/>
    <w:rsid w:val="00BC2495"/>
    <w:rsid w:val="00BC2BC2"/>
    <w:rsid w:val="00BC2D70"/>
    <w:rsid w:val="00BC314A"/>
    <w:rsid w:val="00BC434C"/>
    <w:rsid w:val="00BC7DDA"/>
    <w:rsid w:val="00BC7EB9"/>
    <w:rsid w:val="00BD0719"/>
    <w:rsid w:val="00BD1B69"/>
    <w:rsid w:val="00BD2643"/>
    <w:rsid w:val="00BD56B1"/>
    <w:rsid w:val="00BD6558"/>
    <w:rsid w:val="00BD65BC"/>
    <w:rsid w:val="00BD7220"/>
    <w:rsid w:val="00BE0BB8"/>
    <w:rsid w:val="00BE0FFB"/>
    <w:rsid w:val="00BE3CC3"/>
    <w:rsid w:val="00BE4DB7"/>
    <w:rsid w:val="00BE54CE"/>
    <w:rsid w:val="00BF2AD7"/>
    <w:rsid w:val="00BF2F76"/>
    <w:rsid w:val="00BF3022"/>
    <w:rsid w:val="00BF31DC"/>
    <w:rsid w:val="00BF3214"/>
    <w:rsid w:val="00BF35EC"/>
    <w:rsid w:val="00BF5573"/>
    <w:rsid w:val="00BF6AC0"/>
    <w:rsid w:val="00C05BB7"/>
    <w:rsid w:val="00C07544"/>
    <w:rsid w:val="00C11FC8"/>
    <w:rsid w:val="00C13825"/>
    <w:rsid w:val="00C15867"/>
    <w:rsid w:val="00C17045"/>
    <w:rsid w:val="00C214CC"/>
    <w:rsid w:val="00C22067"/>
    <w:rsid w:val="00C22398"/>
    <w:rsid w:val="00C2296D"/>
    <w:rsid w:val="00C23155"/>
    <w:rsid w:val="00C23FE0"/>
    <w:rsid w:val="00C262DC"/>
    <w:rsid w:val="00C3093B"/>
    <w:rsid w:val="00C312EA"/>
    <w:rsid w:val="00C31500"/>
    <w:rsid w:val="00C317C2"/>
    <w:rsid w:val="00C31B5E"/>
    <w:rsid w:val="00C32144"/>
    <w:rsid w:val="00C32E7D"/>
    <w:rsid w:val="00C32FC3"/>
    <w:rsid w:val="00C36954"/>
    <w:rsid w:val="00C40C41"/>
    <w:rsid w:val="00C449D4"/>
    <w:rsid w:val="00C45885"/>
    <w:rsid w:val="00C467BD"/>
    <w:rsid w:val="00C50F22"/>
    <w:rsid w:val="00C53A6C"/>
    <w:rsid w:val="00C5680E"/>
    <w:rsid w:val="00C56C50"/>
    <w:rsid w:val="00C57971"/>
    <w:rsid w:val="00C63E88"/>
    <w:rsid w:val="00C63EDA"/>
    <w:rsid w:val="00C65B8C"/>
    <w:rsid w:val="00C65BD7"/>
    <w:rsid w:val="00C708DB"/>
    <w:rsid w:val="00C71605"/>
    <w:rsid w:val="00C71EB0"/>
    <w:rsid w:val="00C724BB"/>
    <w:rsid w:val="00C72581"/>
    <w:rsid w:val="00C73118"/>
    <w:rsid w:val="00C76547"/>
    <w:rsid w:val="00C76BA4"/>
    <w:rsid w:val="00C83A48"/>
    <w:rsid w:val="00C83DA6"/>
    <w:rsid w:val="00C83E1B"/>
    <w:rsid w:val="00C84B93"/>
    <w:rsid w:val="00C8504E"/>
    <w:rsid w:val="00C856AA"/>
    <w:rsid w:val="00C85865"/>
    <w:rsid w:val="00C85E85"/>
    <w:rsid w:val="00C877F0"/>
    <w:rsid w:val="00C916D0"/>
    <w:rsid w:val="00C926C8"/>
    <w:rsid w:val="00C9656C"/>
    <w:rsid w:val="00C96867"/>
    <w:rsid w:val="00CA2043"/>
    <w:rsid w:val="00CA2EAE"/>
    <w:rsid w:val="00CA36BF"/>
    <w:rsid w:val="00CA3C1E"/>
    <w:rsid w:val="00CA3D3F"/>
    <w:rsid w:val="00CA47FD"/>
    <w:rsid w:val="00CA4AC1"/>
    <w:rsid w:val="00CA59FB"/>
    <w:rsid w:val="00CA5CE3"/>
    <w:rsid w:val="00CA6494"/>
    <w:rsid w:val="00CA6B0F"/>
    <w:rsid w:val="00CA6DD5"/>
    <w:rsid w:val="00CA7567"/>
    <w:rsid w:val="00CB0316"/>
    <w:rsid w:val="00CB0B11"/>
    <w:rsid w:val="00CB0BC3"/>
    <w:rsid w:val="00CB1DBA"/>
    <w:rsid w:val="00CB426A"/>
    <w:rsid w:val="00CB5354"/>
    <w:rsid w:val="00CC149E"/>
    <w:rsid w:val="00CC1CA4"/>
    <w:rsid w:val="00CC29AD"/>
    <w:rsid w:val="00CC3331"/>
    <w:rsid w:val="00CC3C9E"/>
    <w:rsid w:val="00CC45BB"/>
    <w:rsid w:val="00CC6A14"/>
    <w:rsid w:val="00CC70A3"/>
    <w:rsid w:val="00CD312E"/>
    <w:rsid w:val="00CD3EBF"/>
    <w:rsid w:val="00CD4442"/>
    <w:rsid w:val="00CD53C3"/>
    <w:rsid w:val="00CD574E"/>
    <w:rsid w:val="00CD5F8C"/>
    <w:rsid w:val="00CD71E0"/>
    <w:rsid w:val="00CE0251"/>
    <w:rsid w:val="00CE06BA"/>
    <w:rsid w:val="00CE0B80"/>
    <w:rsid w:val="00CE1D1C"/>
    <w:rsid w:val="00CE4C22"/>
    <w:rsid w:val="00CE76E5"/>
    <w:rsid w:val="00CE7B21"/>
    <w:rsid w:val="00CE7F2B"/>
    <w:rsid w:val="00CF079F"/>
    <w:rsid w:val="00CF0FB6"/>
    <w:rsid w:val="00CF41EC"/>
    <w:rsid w:val="00CF4816"/>
    <w:rsid w:val="00CF5D04"/>
    <w:rsid w:val="00D02C25"/>
    <w:rsid w:val="00D04DE4"/>
    <w:rsid w:val="00D050D7"/>
    <w:rsid w:val="00D06339"/>
    <w:rsid w:val="00D063F1"/>
    <w:rsid w:val="00D115DA"/>
    <w:rsid w:val="00D11735"/>
    <w:rsid w:val="00D14F22"/>
    <w:rsid w:val="00D16575"/>
    <w:rsid w:val="00D21156"/>
    <w:rsid w:val="00D215BD"/>
    <w:rsid w:val="00D2264F"/>
    <w:rsid w:val="00D251FA"/>
    <w:rsid w:val="00D262BA"/>
    <w:rsid w:val="00D27726"/>
    <w:rsid w:val="00D27784"/>
    <w:rsid w:val="00D30469"/>
    <w:rsid w:val="00D30F3C"/>
    <w:rsid w:val="00D354ED"/>
    <w:rsid w:val="00D35BCB"/>
    <w:rsid w:val="00D36B6B"/>
    <w:rsid w:val="00D37201"/>
    <w:rsid w:val="00D43E71"/>
    <w:rsid w:val="00D469FC"/>
    <w:rsid w:val="00D4741C"/>
    <w:rsid w:val="00D51978"/>
    <w:rsid w:val="00D52F87"/>
    <w:rsid w:val="00D54CF4"/>
    <w:rsid w:val="00D552F4"/>
    <w:rsid w:val="00D57918"/>
    <w:rsid w:val="00D62607"/>
    <w:rsid w:val="00D64594"/>
    <w:rsid w:val="00D64665"/>
    <w:rsid w:val="00D6780D"/>
    <w:rsid w:val="00D70F33"/>
    <w:rsid w:val="00D716E4"/>
    <w:rsid w:val="00D73DC6"/>
    <w:rsid w:val="00D74C1A"/>
    <w:rsid w:val="00D74F82"/>
    <w:rsid w:val="00D754C1"/>
    <w:rsid w:val="00D75994"/>
    <w:rsid w:val="00D769C7"/>
    <w:rsid w:val="00D76C40"/>
    <w:rsid w:val="00D77393"/>
    <w:rsid w:val="00D77A35"/>
    <w:rsid w:val="00D81B3E"/>
    <w:rsid w:val="00D83470"/>
    <w:rsid w:val="00D84D6A"/>
    <w:rsid w:val="00D85F0C"/>
    <w:rsid w:val="00D90C70"/>
    <w:rsid w:val="00D90E49"/>
    <w:rsid w:val="00D91EED"/>
    <w:rsid w:val="00D95219"/>
    <w:rsid w:val="00D96ADE"/>
    <w:rsid w:val="00DA0CE2"/>
    <w:rsid w:val="00DA2387"/>
    <w:rsid w:val="00DA7935"/>
    <w:rsid w:val="00DC1778"/>
    <w:rsid w:val="00DC5E2B"/>
    <w:rsid w:val="00DC6A10"/>
    <w:rsid w:val="00DC6C4D"/>
    <w:rsid w:val="00DC712B"/>
    <w:rsid w:val="00DC770C"/>
    <w:rsid w:val="00DC7D68"/>
    <w:rsid w:val="00DD24C0"/>
    <w:rsid w:val="00DD343C"/>
    <w:rsid w:val="00DD4FA4"/>
    <w:rsid w:val="00DD554E"/>
    <w:rsid w:val="00DD5A55"/>
    <w:rsid w:val="00DD5F04"/>
    <w:rsid w:val="00DD60B8"/>
    <w:rsid w:val="00DD6164"/>
    <w:rsid w:val="00DD6B1E"/>
    <w:rsid w:val="00DD793A"/>
    <w:rsid w:val="00DE11CF"/>
    <w:rsid w:val="00DE232D"/>
    <w:rsid w:val="00DE3780"/>
    <w:rsid w:val="00DE657E"/>
    <w:rsid w:val="00DF0B2A"/>
    <w:rsid w:val="00DF225B"/>
    <w:rsid w:val="00DF4704"/>
    <w:rsid w:val="00DF4E77"/>
    <w:rsid w:val="00E00C75"/>
    <w:rsid w:val="00E0210D"/>
    <w:rsid w:val="00E024AA"/>
    <w:rsid w:val="00E0345E"/>
    <w:rsid w:val="00E05925"/>
    <w:rsid w:val="00E068E6"/>
    <w:rsid w:val="00E11133"/>
    <w:rsid w:val="00E11415"/>
    <w:rsid w:val="00E15C77"/>
    <w:rsid w:val="00E1693E"/>
    <w:rsid w:val="00E24724"/>
    <w:rsid w:val="00E250F1"/>
    <w:rsid w:val="00E262AD"/>
    <w:rsid w:val="00E322AA"/>
    <w:rsid w:val="00E33699"/>
    <w:rsid w:val="00E33D0C"/>
    <w:rsid w:val="00E3550D"/>
    <w:rsid w:val="00E43A82"/>
    <w:rsid w:val="00E44597"/>
    <w:rsid w:val="00E449C1"/>
    <w:rsid w:val="00E5211A"/>
    <w:rsid w:val="00E52838"/>
    <w:rsid w:val="00E52F1C"/>
    <w:rsid w:val="00E5454B"/>
    <w:rsid w:val="00E548C6"/>
    <w:rsid w:val="00E614E0"/>
    <w:rsid w:val="00E633D6"/>
    <w:rsid w:val="00E6706C"/>
    <w:rsid w:val="00E7088A"/>
    <w:rsid w:val="00E7154D"/>
    <w:rsid w:val="00E73D87"/>
    <w:rsid w:val="00E73F7F"/>
    <w:rsid w:val="00E753E8"/>
    <w:rsid w:val="00E7669E"/>
    <w:rsid w:val="00E77012"/>
    <w:rsid w:val="00E80580"/>
    <w:rsid w:val="00E83DD2"/>
    <w:rsid w:val="00E85409"/>
    <w:rsid w:val="00E87B97"/>
    <w:rsid w:val="00E9101B"/>
    <w:rsid w:val="00E9233D"/>
    <w:rsid w:val="00E9339B"/>
    <w:rsid w:val="00E9375D"/>
    <w:rsid w:val="00E94539"/>
    <w:rsid w:val="00EA143A"/>
    <w:rsid w:val="00EA2330"/>
    <w:rsid w:val="00EA38DC"/>
    <w:rsid w:val="00EA429F"/>
    <w:rsid w:val="00EA4723"/>
    <w:rsid w:val="00EA4F9E"/>
    <w:rsid w:val="00EA63CA"/>
    <w:rsid w:val="00EA6D3B"/>
    <w:rsid w:val="00EA7120"/>
    <w:rsid w:val="00EB00AD"/>
    <w:rsid w:val="00EB136C"/>
    <w:rsid w:val="00EB480E"/>
    <w:rsid w:val="00EB5EC6"/>
    <w:rsid w:val="00EB7FC9"/>
    <w:rsid w:val="00EC0559"/>
    <w:rsid w:val="00EC0DDA"/>
    <w:rsid w:val="00EC1249"/>
    <w:rsid w:val="00ED27E8"/>
    <w:rsid w:val="00ED47FB"/>
    <w:rsid w:val="00ED64DE"/>
    <w:rsid w:val="00ED7137"/>
    <w:rsid w:val="00ED7C32"/>
    <w:rsid w:val="00ED7DC5"/>
    <w:rsid w:val="00EE170D"/>
    <w:rsid w:val="00EE2FA2"/>
    <w:rsid w:val="00EE4218"/>
    <w:rsid w:val="00EE4BDD"/>
    <w:rsid w:val="00EE50BB"/>
    <w:rsid w:val="00EE6AAA"/>
    <w:rsid w:val="00EF06EA"/>
    <w:rsid w:val="00EF15BC"/>
    <w:rsid w:val="00EF3686"/>
    <w:rsid w:val="00F00B57"/>
    <w:rsid w:val="00F03150"/>
    <w:rsid w:val="00F063D7"/>
    <w:rsid w:val="00F075BF"/>
    <w:rsid w:val="00F07604"/>
    <w:rsid w:val="00F10452"/>
    <w:rsid w:val="00F12690"/>
    <w:rsid w:val="00F21088"/>
    <w:rsid w:val="00F27955"/>
    <w:rsid w:val="00F3216A"/>
    <w:rsid w:val="00F326BF"/>
    <w:rsid w:val="00F327E7"/>
    <w:rsid w:val="00F336D4"/>
    <w:rsid w:val="00F34B56"/>
    <w:rsid w:val="00F35746"/>
    <w:rsid w:val="00F37DC1"/>
    <w:rsid w:val="00F424F1"/>
    <w:rsid w:val="00F42DC2"/>
    <w:rsid w:val="00F44264"/>
    <w:rsid w:val="00F447C7"/>
    <w:rsid w:val="00F44C7E"/>
    <w:rsid w:val="00F459B4"/>
    <w:rsid w:val="00F472DA"/>
    <w:rsid w:val="00F47376"/>
    <w:rsid w:val="00F5068E"/>
    <w:rsid w:val="00F508DA"/>
    <w:rsid w:val="00F510BD"/>
    <w:rsid w:val="00F5211B"/>
    <w:rsid w:val="00F554A9"/>
    <w:rsid w:val="00F61377"/>
    <w:rsid w:val="00F618BF"/>
    <w:rsid w:val="00F61E9E"/>
    <w:rsid w:val="00F620FC"/>
    <w:rsid w:val="00F6491E"/>
    <w:rsid w:val="00F701E8"/>
    <w:rsid w:val="00F71631"/>
    <w:rsid w:val="00F716FD"/>
    <w:rsid w:val="00F725B0"/>
    <w:rsid w:val="00F72CBD"/>
    <w:rsid w:val="00F77F18"/>
    <w:rsid w:val="00F802A0"/>
    <w:rsid w:val="00F80355"/>
    <w:rsid w:val="00F803C0"/>
    <w:rsid w:val="00F809F9"/>
    <w:rsid w:val="00F80A8A"/>
    <w:rsid w:val="00F827DC"/>
    <w:rsid w:val="00F832F1"/>
    <w:rsid w:val="00F86925"/>
    <w:rsid w:val="00F8784D"/>
    <w:rsid w:val="00F87C43"/>
    <w:rsid w:val="00F93BCD"/>
    <w:rsid w:val="00F941B1"/>
    <w:rsid w:val="00F950B9"/>
    <w:rsid w:val="00F95FCE"/>
    <w:rsid w:val="00F96746"/>
    <w:rsid w:val="00F97671"/>
    <w:rsid w:val="00FA0E3D"/>
    <w:rsid w:val="00FA3228"/>
    <w:rsid w:val="00FA39AF"/>
    <w:rsid w:val="00FA5722"/>
    <w:rsid w:val="00FB0C81"/>
    <w:rsid w:val="00FB2807"/>
    <w:rsid w:val="00FB5186"/>
    <w:rsid w:val="00FC2200"/>
    <w:rsid w:val="00FC2540"/>
    <w:rsid w:val="00FC5B1D"/>
    <w:rsid w:val="00FC6C0E"/>
    <w:rsid w:val="00FD0342"/>
    <w:rsid w:val="00FD0E22"/>
    <w:rsid w:val="00FD114B"/>
    <w:rsid w:val="00FD2358"/>
    <w:rsid w:val="00FD25EF"/>
    <w:rsid w:val="00FD2847"/>
    <w:rsid w:val="00FD3B6E"/>
    <w:rsid w:val="00FD3C3E"/>
    <w:rsid w:val="00FD3CE5"/>
    <w:rsid w:val="00FD749D"/>
    <w:rsid w:val="00FE17E7"/>
    <w:rsid w:val="00FE33A6"/>
    <w:rsid w:val="00FE51DF"/>
    <w:rsid w:val="00FF0204"/>
    <w:rsid w:val="00FF3AED"/>
    <w:rsid w:val="00FF4F01"/>
    <w:rsid w:val="00FF64BE"/>
    <w:rsid w:val="00FF6797"/>
    <w:rsid w:val="00FF682C"/>
    <w:rsid w:val="1CBFC4D6"/>
    <w:rsid w:val="1E3798B4"/>
    <w:rsid w:val="262B378D"/>
    <w:rsid w:val="3CD30721"/>
    <w:rsid w:val="53B134E4"/>
    <w:rsid w:val="545A7D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06C93"/>
  <w15:docId w15:val="{7116A0F6-7525-40D3-A796-BCBC82C60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Título 11"/>
    <w:basedOn w:val="a0"/>
    <w:next w:val="a0"/>
    <w:link w:val="10"/>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link w:val="20"/>
    <w:qFormat/>
    <w:rsid w:val="0033525D"/>
    <w:pPr>
      <w:widowControl w:val="0"/>
      <w:numPr>
        <w:ilvl w:val="1"/>
        <w:numId w:val="2"/>
      </w:numPr>
      <w:spacing w:after="240"/>
      <w:outlineLvl w:val="1"/>
    </w:pPr>
  </w:style>
  <w:style w:type="paragraph" w:styleId="3">
    <w:name w:val="heading 3"/>
    <w:aliases w:val="Char,Char Char,Heading 3 Char1,Heading 3 Char Char,Char Char Char,Char Char1,Heading 3 Char1 Char,Heading 3 Char Char Char,Char Char Char Char,Char Char1 Char,Heading 3 Char2,Char Char2,Char Char Char1,Heading 3 Char Char1 Char,Heading 3 Char"/>
    <w:basedOn w:val="a0"/>
    <w:next w:val="a0"/>
    <w:qFormat/>
    <w:rsid w:val="0033525D"/>
    <w:pPr>
      <w:widowControl w:val="0"/>
      <w:numPr>
        <w:ilvl w:val="2"/>
        <w:numId w:val="3"/>
      </w:numPr>
      <w:spacing w:after="240"/>
      <w:outlineLvl w:val="2"/>
    </w:pPr>
  </w:style>
  <w:style w:type="paragraph" w:styleId="4">
    <w:name w:val="heading 4"/>
    <w:aliases w:val="Heading 11,para 4,Título 41,heading 4,Heading 41,标题 41,He=ding 41,标 题  41"/>
    <w:basedOn w:val="a0"/>
    <w:next w:val="9"/>
    <w:qFormat/>
    <w:rsid w:val="007B6871"/>
    <w:pPr>
      <w:keepNext/>
      <w:numPr>
        <w:ilvl w:val="3"/>
        <w:numId w:val="4"/>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qFormat/>
    <w:rsid w:val="00A5151A"/>
    <w:pPr>
      <w:numPr>
        <w:ilvl w:val="5"/>
        <w:numId w:val="1"/>
      </w:numPr>
      <w:spacing w:before="240" w:after="60"/>
      <w:outlineLvl w:val="5"/>
    </w:pPr>
    <w:rPr>
      <w:rFonts w:ascii="Arial" w:hAnsi="Arial"/>
      <w:i/>
    </w:rPr>
  </w:style>
  <w:style w:type="paragraph" w:styleId="7">
    <w:name w:val="heading 7"/>
    <w:basedOn w:val="a0"/>
    <w:next w:val="a0"/>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6">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a">
    <w:name w:val="Table Grid"/>
    <w:basedOn w:val="a2"/>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ru-RU"/>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ru-RU"/>
    </w:rPr>
  </w:style>
  <w:style w:type="paragraph" w:styleId="af4">
    <w:name w:val="annotation text"/>
    <w:basedOn w:val="a0"/>
    <w:link w:val="af5"/>
    <w:uiPriority w:val="99"/>
    <w:unhideWhenUsed/>
    <w:rsid w:val="00B04161"/>
    <w:rPr>
      <w:sz w:val="20"/>
      <w:szCs w:val="20"/>
    </w:rPr>
  </w:style>
  <w:style w:type="character" w:customStyle="1" w:styleId="af5">
    <w:name w:val="批注文字 字符"/>
    <w:basedOn w:val="a1"/>
    <w:link w:val="af4"/>
    <w:uiPriority w:val="99"/>
    <w:rsid w:val="00B04161"/>
    <w:rPr>
      <w:lang w:val="ru-RU"/>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
    <w:basedOn w:val="a0"/>
    <w:link w:val="af9"/>
    <w:uiPriority w:val="9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uiPriority w:val="99"/>
    <w:rsid w:val="006E126D"/>
    <w:rPr>
      <w:lang w:val="ru-RU"/>
    </w:rPr>
  </w:style>
  <w:style w:type="character" w:styleId="afa">
    <w:name w:val="footnote reference"/>
    <w:aliases w:val="Footnote text,Footnote Text1,Footnote Text2,ftref,16 Point,Superscript 6 Point,Superscript 6 Point + 11 pt,BVI fnr,BVI fnr Car Car,BVI fnr Car,BVI fnr Car Car Car Car,Footnote Text11,Footnote Text3"/>
    <w:basedOn w:val="a1"/>
    <w:uiPriority w:val="99"/>
    <w:unhideWhenUsed/>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paragraph" w:styleId="afb">
    <w:name w:val="List Paragraph"/>
    <w:basedOn w:val="a0"/>
    <w:uiPriority w:val="34"/>
    <w:qFormat/>
    <w:rsid w:val="00E7088A"/>
    <w:pPr>
      <w:ind w:left="720"/>
      <w:contextualSpacing/>
    </w:p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E7088A"/>
    <w:rPr>
      <w:sz w:val="22"/>
      <w:szCs w:val="22"/>
      <w:lang w:val="ru-RU"/>
    </w:rPr>
  </w:style>
  <w:style w:type="table" w:customStyle="1" w:styleId="TableGrid1">
    <w:name w:val="Table Grid1"/>
    <w:basedOn w:val="a2"/>
    <w:next w:val="aa"/>
    <w:qFormat/>
    <w:rsid w:val="00E708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a1"/>
    <w:rsid w:val="002031D5"/>
  </w:style>
  <w:style w:type="paragraph" w:styleId="afc">
    <w:name w:val="Revision"/>
    <w:hidden/>
    <w:uiPriority w:val="99"/>
    <w:semiHidden/>
    <w:rsid w:val="009B4F7A"/>
    <w:rPr>
      <w:sz w:val="22"/>
      <w:szCs w:val="22"/>
    </w:rPr>
  </w:style>
  <w:style w:type="character" w:styleId="afd">
    <w:name w:val="Hyperlink"/>
    <w:basedOn w:val="a1"/>
    <w:uiPriority w:val="99"/>
    <w:unhideWhenUsed/>
    <w:rsid w:val="00EE4218"/>
    <w:rPr>
      <w:color w:val="0000FF" w:themeColor="hyperlink"/>
      <w:u w:val="single"/>
    </w:rPr>
  </w:style>
  <w:style w:type="paragraph" w:customStyle="1" w:styleId="newheader40">
    <w:name w:val="new header4"/>
    <w:basedOn w:val="4"/>
    <w:next w:val="a0"/>
    <w:qFormat/>
    <w:rsid w:val="006C7BDE"/>
    <w:pPr>
      <w:spacing w:before="0" w:after="240"/>
      <w:ind w:left="2880" w:hanging="720"/>
    </w:pPr>
    <w:rPr>
      <w:rFonts w:eastAsiaTheme="minorHAnsi"/>
    </w:rPr>
  </w:style>
  <w:style w:type="character" w:styleId="afe">
    <w:name w:val="FollowedHyperlink"/>
    <w:basedOn w:val="a1"/>
    <w:uiPriority w:val="99"/>
    <w:semiHidden/>
    <w:unhideWhenUsed/>
    <w:rsid w:val="008A0D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26302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5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ultilateralfund.org/resources/decisions/decision-6146?text-highlight=61/4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multilateralfund.org/resources/decisions/decision-4554?text-highlight=45/5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247</TotalTime>
  <Pages>16</Pages>
  <Words>6135</Words>
  <Characters>40370</Characters>
  <Application>Microsoft Office Word</Application>
  <DocSecurity>0</DocSecurity>
  <Lines>684</Lines>
  <Paragraphs>185</Paragraphs>
  <ScaleCrop>false</ScaleCrop>
  <HeadingPairs>
    <vt:vector size="6" baseType="variant">
      <vt:variant>
        <vt:lpstr>Titre</vt:lpstr>
      </vt:variant>
      <vt:variant>
        <vt:i4>1</vt:i4>
      </vt:variant>
      <vt:variant>
        <vt:lpstr>Title</vt:lpstr>
      </vt:variant>
      <vt:variant>
        <vt:i4>1</vt:i4>
      </vt:variant>
      <vt:variant>
        <vt:lpstr>Headings</vt:lpstr>
      </vt:variant>
      <vt:variant>
        <vt:i4>94</vt:i4>
      </vt:variant>
    </vt:vector>
  </HeadingPairs>
  <TitlesOfParts>
    <vt:vector size="96" baseType="lpstr">
      <vt:lpstr>Overview of issues identified during project review</vt:lpstr>
      <vt:lpstr>Overview of issues identified during project review</vt:lpstr>
      <vt:lpstr>Overview of issues identified DURING project review</vt:lpstr>
      <vt:lpstr>Introduction</vt:lpstr>
      <vt:lpstr>This document consists of the following sections:</vt:lpstr>
      <vt:lpstr>Sections I, II, and IV are presented in the addendum to the present document (do</vt:lpstr>
      <vt:lpstr>Issues identified during the project review process</vt:lpstr>
      <vt:lpstr>III.1	Calculation of the climate impact of Kigali HFC implementation plans</vt:lpstr>
      <vt:lpstr>Further to the update on the calculation of the climate impact of activities in </vt:lpstr>
      <vt:lpstr>Background</vt:lpstr>
      <vt:lpstr>While the information related to the impact on the climate from the implementati</vt:lpstr>
      <vt:lpstr>The adoption of the Kigali Amendment added control obligations for HFCs that are</vt:lpstr>
      <vt:lpstr>Article 5 countries’ HFC baseline for compliance includes both an HFC component,</vt:lpstr>
      <vt:lpstr>Development of business-as-usual scenarios</vt:lpstr>
      <vt:lpstr>The methodology proposed by the Secretariat uses three BAU scenarios to capture </vt:lpstr>
      <vt:lpstr>Rather than using consumption as a proxy for emissions, methodologies also exist</vt:lpstr>
      <vt:lpstr>The BAU scenarios proposed depend on the initial HFC consumption during baseline</vt:lpstr>
      <vt:lpstr>    BAU Scenario Low: Calculated using the HFC component of the baseline multiplied </vt:lpstr>
      <vt:lpstr>    BAU Scenario Intermediate: Calculated using the HFC component of the baseline mu</vt:lpstr>
      <vt:lpstr>    BAU Scenario High: Calculated using the HFC baseline multiplied by the growth ra</vt:lpstr>
      <vt:lpstr>In its assessment reports, the SAP has used world-avoided scenarios to evaluate </vt:lpstr>
      <vt:lpstr>The Secretariat proposes using a 3 per cent nominal growth rate in HFC consumpti</vt:lpstr>
      <vt:lpstr>The estimated range of avoided emissions from the implementation of the KIP is t</vt:lpstr>
      <vt:lpstr>The methodology accounts for neither the global-warming potential (GWP) of subst</vt:lpstr>
      <vt:lpstr>The Secretariat applied this methodology to stage I of a KIP approved at the 95t</vt:lpstr>
      <vt:lpstr>The methodology developed by the Secretariat to estimate the likely range of avo</vt:lpstr>
      <vt:lpstr>The Secretariat will continue to use the MCII to estimate the climate impact of </vt:lpstr>
      <vt:lpstr>The Secretariat proposes using a similar methodology to estimate the climate ben</vt:lpstr>
      <vt:lpstr>Recommendation</vt:lpstr>
      <vt:lpstr>The Executive Committee may wish:</vt:lpstr>
      <vt:lpstr>    To consider approving the methodology to calculate the climate impacts from the </vt:lpstr>
      <vt:lpstr>    To note that the Secretariat will provide an update, at the 98th meeting, on fut</vt:lpstr>
      <vt:lpstr>        Further updates to the Multilateral Fund Climate Impact Indicator as described i</vt:lpstr>
      <vt:lpstr>        An updated methodology referred to in subparagraph (a), taking into account redu</vt:lpstr>
      <vt:lpstr>        A possible methodology to account for the phase-in relating to the implementatio</vt:lpstr>
      <vt:lpstr>III.2	Applicability of the cut-off date for eligible HFC capacity agreed by deci</vt:lpstr>
      <vt:lpstr>Background</vt:lpstr>
      <vt:lpstr>The Executive Committee has been approving stand-alone HFC phase-down investment</vt:lpstr>
      <vt:lpstr>At the 95th meeting, when considering the request for the preparation of the pro</vt:lpstr>
      <vt:lpstr>Projects related to energy efficiency in conjunction with the cut-off date for e</vt:lpstr>
      <vt:lpstr>Through paragraph 17 of decision XXVIII/2, the Parties decided that the cut-off </vt:lpstr>
      <vt:lpstr>The Secretariat notes that countries developing KIPs that could result in a conv</vt:lpstr>
      <vt:lpstr>The implementation of comprehensive, country-wide sector plans to phase down HFC</vt:lpstr>
      <vt:lpstr>The Secretariat notes that higher levels of direct (i.e., HFC-related) and indir</vt:lpstr>
      <vt:lpstr>    Capacity established between 1 January 2020 (cut-off date for eligible HFC capac</vt:lpstr>
      <vt:lpstr>    Capacity established between 1 January 2020 and 8 December 2024 (adoption of dec</vt:lpstr>
      <vt:lpstr>    Capacity established between 16 October 2016 (adoption of the Kigali Amendment) </vt:lpstr>
      <vt:lpstr>Recommendation</vt:lpstr>
      <vt:lpstr>The Executive Committee may wish to consider that enterprises with the following</vt:lpstr>
      <vt:lpstr>    Capacity established between 1 January 2020 and 31 May 2024 for the manufacturin</vt:lpstr>
      <vt:lpstr>    Capacity established between 1 January 2020 and 8 December 2024 for the manufact</vt:lpstr>
      <vt:lpstr>    Capacity established between 16 October 2016 and 31 December 2019 for the manufa</vt:lpstr>
      <vt:lpstr>The verification of annual consumption of controlled substances is an essential </vt:lpstr>
      <vt:lpstr>While the verification of national consumption targets is mandatory for releasin</vt:lpstr>
      <vt:lpstr>    To require, on an annual basis, verification of a randomly selected sample of ap</vt:lpstr>
      <vt:lpstr>    To request the Secretariat to provide, at the first meeting of each year, a samp</vt:lpstr>
      <vt:lpstr>Implementation of the verification of HCFC consumption for low-volume-consuming </vt:lpstr>
      <vt:lpstr>Verification reports submitted with MYA tranche requests have provided independe</vt:lpstr>
      <vt:lpstr>Under the HPMPs, based on decision 61/46 and several additional criteria, includ</vt:lpstr>
      <vt:lpstr>Verification of HFC consumption for low-volume-consuming countries</vt:lpstr>
      <vt:lpstr>With the ongoing approvals of KIPs submitted since the 92nd meeting and the temp</vt:lpstr>
      <vt:lpstr>Regarding stage I of the KIPs, the Executive Committee may wish to consider whet</vt:lpstr>
      <vt:lpstr>The recording and reporting of HFC consumption has so far proven challenging for</vt:lpstr>
      <vt:lpstr>As the Secretariat reported in the “Overview of issues identified during project</vt:lpstr>
      <vt:lpstr>The majority of LVC countries implemented stage I of their HPMPs up to 2020, and</vt:lpstr>
      <vt:lpstr>Stage I of KIPs differ from HPMP stages inter alia in the number of tranches the</vt:lpstr>
      <vt:lpstr>*Including tranches for stage I of the KIP for Nicaragua, being considered for c</vt:lpstr>
      <vt:lpstr>As shown in the table, the annual pattern of tranches remains unclear, and shows</vt:lpstr>
      <vt:lpstr>    Each year, the Secretariat will select for verification those LVC countries that</vt:lpstr>
      <vt:lpstr>    At the first meeting of the year, the Secretariat will present to the Executive </vt:lpstr>
      <vt:lpstr>    The level of funds recommended for the verification of HFC consumption is mainta</vt:lpstr>
      <vt:lpstr>Accordingly, based on the tranche distribution of the 44 KIPs approved for LVC c</vt:lpstr>
      <vt:lpstr>This proposed approach will be simpler to implement than annually selecting a sa</vt:lpstr>
      <vt:lpstr>Decision 94/59 encouraged Article 5 countries to harmonize the timing of their K</vt:lpstr>
      <vt:lpstr>The years covered by the HFC verification reports start from the year of approva</vt:lpstr>
      <vt:lpstr>Decision 92/37(c) permits countries with an average HFC consumption above 360 mt</vt:lpstr>
      <vt:lpstr>Recommendation</vt:lpstr>
      <vt:lpstr>The Executive Committee may wish:</vt:lpstr>
      <vt:lpstr>    To request:</vt:lpstr>
      <vt:lpstr>        The Secretariat:</vt:lpstr>
      <vt:lpstr>        Bilateral and implementing agencies acting as lead agencies for the respective a</vt:lpstr>
      <vt:lpstr>    To maintain the level of funds recommended for the verification of HFC consumpti</vt:lpstr>
      <vt:lpstr>    To encourage countries with consumption up to 360 mt in servicing in the baselin</vt:lpstr>
      <vt:lpstr>    To further request relevant bilateral and implementing agencies acting as lead a</vt:lpstr>
      <vt:lpstr>At the 95th meeting, the Executive Committee established a funding window of US </vt:lpstr>
      <vt:lpstr>Accordingly, the World Bank and UNDP submitted to the 96th meeting funding reque</vt:lpstr>
      <vt:lpstr>As the funding requests received cumulatively exceed the maximum of US $500,000 </vt:lpstr>
      <vt:lpstr>In selecting the five preparatory proposals to be approved, the Executive Commit</vt:lpstr>
      <vt:lpstr>At the 96th meeting, the implementing agencies submitted the final HPMP stages f</vt:lpstr>
      <vt:lpstr>    Antigua and Barbuda received approval for stage I to phase out 10 per cent of th</vt:lpstr>
      <vt:lpstr>    Armenia received approval for stages I and II to phase out 10 per cent of the HC</vt:lpstr>
      <vt:lpstr>    Haiti received approval for stage I to phase out 35 per cent of the HCFC baselin</vt:lpstr>
      <vt:lpstr>In all cases, the proposed costs as submitted were based on the difference betwe</vt:lpstr>
      <vt:lpstr>In line with decision 74/50, LVC countries would be provided with funding on the</vt:lpstr>
      <vt:lpstr>In reviewing the issue more broadly, the Secretariat noted that nine additional </vt:lpstr>
      <vt:lpstr>The Executive Committee may wish to encourage those low-volume-consuming countri</vt:lpstr>
    </vt:vector>
  </TitlesOfParts>
  <Manager/>
  <Company>UNMFS</Company>
  <LinksUpToDate>false</LinksUpToDate>
  <CharactersWithSpaces>46320</CharactersWithSpaces>
  <SharedDoc>false</SharedDoc>
  <HyperlinkBase/>
  <HLinks>
    <vt:vector size="18" baseType="variant">
      <vt:variant>
        <vt:i4>4194306</vt:i4>
      </vt:variant>
      <vt:variant>
        <vt:i4>9</vt:i4>
      </vt:variant>
      <vt:variant>
        <vt:i4>0</vt:i4>
      </vt:variant>
      <vt:variant>
        <vt:i4>5</vt:i4>
      </vt:variant>
      <vt:variant>
        <vt:lpwstr>https://www.multilateralfund.org/resources/decisions/decision-6146?text-highlight=61%2F46</vt:lpwstr>
      </vt:variant>
      <vt:variant>
        <vt:lpwstr/>
      </vt:variant>
      <vt:variant>
        <vt:i4>4390915</vt:i4>
      </vt:variant>
      <vt:variant>
        <vt:i4>6</vt:i4>
      </vt:variant>
      <vt:variant>
        <vt:i4>0</vt:i4>
      </vt:variant>
      <vt:variant>
        <vt:i4>5</vt:i4>
      </vt:variant>
      <vt:variant>
        <vt:lpwstr>https://www.multilateralfund.org/resources/decisions/decision-4554?text-highlight=45%2F54</vt:lpwstr>
      </vt:variant>
      <vt:variant>
        <vt:lpwstr/>
      </vt:variant>
      <vt:variant>
        <vt:i4>2359388</vt:i4>
      </vt:variant>
      <vt:variant>
        <vt:i4>0</vt:i4>
      </vt:variant>
      <vt:variant>
        <vt:i4>0</vt:i4>
      </vt:variant>
      <vt:variant>
        <vt:i4>5</vt:i4>
      </vt:variant>
      <vt:variant>
        <vt:lpwstr>https://www.ipcc.ch/site/assets/uploads/2019/12/19R_V0_01_Overview.pdf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subject/>
  <dc:creator>Dominika Suwik</dc:creator>
  <cp:keywords>96th ExCom</cp:keywords>
  <dc:description>Section III; the Addendum contains the remaining sections of the document</dc:description>
  <cp:lastModifiedBy>Chuang WU</cp:lastModifiedBy>
  <cp:revision>168</cp:revision>
  <cp:lastPrinted>2001-05-27T01:40:00Z</cp:lastPrinted>
  <dcterms:created xsi:type="dcterms:W3CDTF">2025-05-09T07:25:00Z</dcterms:created>
  <dcterms:modified xsi:type="dcterms:W3CDTF">2025-05-09T18:42:00Z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i4>4523400</vt:i4>
  </property>
  <property fmtid="{D5CDD505-2E9C-101B-9397-08002B2CF9AE}" pid="4" name="MediaServiceImageTags">
    <vt:lpwstr/>
  </property>
  <property fmtid="{D5CDD505-2E9C-101B-9397-08002B2CF9AE}" pid="5" name="Document number">
    <vt:lpwstr>UNEP/OzL.Pro/ExCom/96/16</vt:lpwstr>
  </property>
  <property fmtid="{D5CDD505-2E9C-101B-9397-08002B2CF9AE}" pid="6" name="Revision date">
    <vt:lpwstr>5/5/2025</vt:lpwstr>
  </property>
</Properties>
</file>