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205490" w:rsidRPr="00407193" w:rsidTr="00205490">
        <w:trPr>
          <w:trHeight w:val="720"/>
        </w:trPr>
        <w:tc>
          <w:tcPr>
            <w:tcW w:w="7061" w:type="dxa"/>
            <w:gridSpan w:val="2"/>
            <w:tcBorders>
              <w:bottom w:val="single" w:sz="18" w:space="0" w:color="auto"/>
            </w:tcBorders>
          </w:tcPr>
          <w:p w:rsidR="00205490" w:rsidRPr="00407193" w:rsidRDefault="00205490" w:rsidP="002054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07193">
              <w:rPr>
                <w:rFonts w:ascii="Univers" w:hAnsi="Univers"/>
                <w:b/>
                <w:sz w:val="28"/>
                <w:szCs w:val="28"/>
                <w:lang w:val="fr-CA"/>
              </w:rPr>
              <w:t>NATIONS</w:t>
            </w:r>
          </w:p>
          <w:p w:rsidR="00205490" w:rsidRPr="00407193" w:rsidRDefault="00205490" w:rsidP="002054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07193">
              <w:rPr>
                <w:rFonts w:ascii="Univers" w:hAnsi="Univers"/>
                <w:b/>
                <w:sz w:val="28"/>
                <w:szCs w:val="28"/>
                <w:lang w:val="fr-CA"/>
              </w:rPr>
              <w:t xml:space="preserve">UNIES </w:t>
            </w:r>
          </w:p>
        </w:tc>
        <w:tc>
          <w:tcPr>
            <w:tcW w:w="3544" w:type="dxa"/>
            <w:tcBorders>
              <w:bottom w:val="single" w:sz="18" w:space="0" w:color="auto"/>
            </w:tcBorders>
          </w:tcPr>
          <w:p w:rsidR="00205490" w:rsidRPr="00407193" w:rsidRDefault="00205490" w:rsidP="00205490">
            <w:pPr>
              <w:tabs>
                <w:tab w:val="left" w:pos="3010"/>
              </w:tabs>
              <w:jc w:val="center"/>
              <w:rPr>
                <w:sz w:val="52"/>
                <w:szCs w:val="52"/>
                <w:lang w:val="fr-CA"/>
              </w:rPr>
            </w:pPr>
            <w:r w:rsidRPr="00407193">
              <w:rPr>
                <w:rFonts w:ascii="Univers Bold" w:hAnsi="Univers Bold"/>
                <w:b/>
                <w:sz w:val="72"/>
                <w:lang w:val="fr-CA"/>
              </w:rPr>
              <w:t xml:space="preserve">          EP</w:t>
            </w:r>
          </w:p>
        </w:tc>
      </w:tr>
      <w:tr w:rsidR="00205490" w:rsidRPr="00610687" w:rsidTr="002054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05490" w:rsidRPr="00407193" w:rsidRDefault="00205490" w:rsidP="00205490">
            <w:pPr>
              <w:spacing w:before="120"/>
              <w:rPr>
                <w:lang w:val="fr-CA"/>
              </w:rPr>
            </w:pPr>
            <w:r w:rsidRPr="00407193">
              <w:rPr>
                <w:noProof/>
                <w:lang w:val="en-CA" w:eastAsia="en-CA"/>
              </w:rPr>
              <w:drawing>
                <wp:anchor distT="0" distB="0" distL="114300" distR="114300" simplePos="0" relativeHeight="251659264" behindDoc="0" locked="0" layoutInCell="1" allowOverlap="1" wp14:anchorId="247F5AE2" wp14:editId="44CE5D47">
                  <wp:simplePos x="0" y="0"/>
                  <wp:positionH relativeFrom="column">
                    <wp:posOffset>83185</wp:posOffset>
                  </wp:positionH>
                  <wp:positionV relativeFrom="paragraph">
                    <wp:posOffset>882015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407193">
              <w:rPr>
                <w:noProof/>
                <w:lang w:val="en-CA" w:eastAsia="en-CA"/>
              </w:rPr>
              <w:drawing>
                <wp:anchor distT="0" distB="0" distL="114300" distR="114300" simplePos="0" relativeHeight="251660288" behindDoc="1" locked="0" layoutInCell="0" allowOverlap="1" wp14:anchorId="3BDD4A14" wp14:editId="336FC09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205490" w:rsidRPr="00407193" w:rsidRDefault="00205490" w:rsidP="002054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205490" w:rsidRPr="00407193" w:rsidRDefault="00205490" w:rsidP="002054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07193">
              <w:rPr>
                <w:rFonts w:ascii="Univers" w:hAnsi="Univers"/>
                <w:b/>
                <w:sz w:val="32"/>
                <w:lang w:val="fr-CA"/>
              </w:rPr>
              <w:t>Programme des</w:t>
            </w:r>
          </w:p>
          <w:p w:rsidR="00205490" w:rsidRPr="00407193" w:rsidRDefault="00205490" w:rsidP="00205490">
            <w:pPr>
              <w:rPr>
                <w:rFonts w:ascii="Univers" w:hAnsi="Univers"/>
                <w:b/>
                <w:sz w:val="32"/>
                <w:lang w:val="fr-CA"/>
              </w:rPr>
            </w:pPr>
            <w:r w:rsidRPr="00407193">
              <w:rPr>
                <w:rFonts w:ascii="Univers" w:hAnsi="Univers"/>
                <w:b/>
                <w:sz w:val="32"/>
                <w:lang w:val="fr-CA"/>
              </w:rPr>
              <w:t>Nations Unies pour</w:t>
            </w:r>
          </w:p>
          <w:p w:rsidR="00205490" w:rsidRPr="00407193" w:rsidRDefault="00205490" w:rsidP="00205490">
            <w:pPr>
              <w:rPr>
                <w:rFonts w:ascii="Univers" w:hAnsi="Univers"/>
                <w:b/>
                <w:sz w:val="32"/>
                <w:lang w:val="fr-CA"/>
              </w:rPr>
            </w:pPr>
            <w:proofErr w:type="gramStart"/>
            <w:r w:rsidRPr="00407193">
              <w:rPr>
                <w:rFonts w:ascii="Univers" w:hAnsi="Univers"/>
                <w:b/>
                <w:sz w:val="32"/>
                <w:lang w:val="fr-CA"/>
              </w:rPr>
              <w:t>l’environnement</w:t>
            </w:r>
            <w:proofErr w:type="gramEnd"/>
          </w:p>
          <w:p w:rsidR="00205490" w:rsidRPr="00407193" w:rsidRDefault="00205490" w:rsidP="00205490">
            <w:pPr>
              <w:spacing w:before="720"/>
              <w:ind w:left="158"/>
              <w:rPr>
                <w:lang w:val="fr-CA"/>
              </w:rPr>
            </w:pPr>
            <w:r w:rsidRPr="00407193">
              <w:rPr>
                <w:lang w:val="fr-CA"/>
              </w:rPr>
              <w:t xml:space="preserve"> </w:t>
            </w:r>
          </w:p>
        </w:tc>
        <w:tc>
          <w:tcPr>
            <w:tcW w:w="3544" w:type="dxa"/>
            <w:tcBorders>
              <w:top w:val="nil"/>
              <w:left w:val="nil"/>
              <w:bottom w:val="single" w:sz="36" w:space="0" w:color="auto"/>
              <w:right w:val="nil"/>
            </w:tcBorders>
          </w:tcPr>
          <w:p w:rsidR="00205490" w:rsidRPr="00407193" w:rsidRDefault="00205490" w:rsidP="00205490">
            <w:pPr>
              <w:rPr>
                <w:lang w:val="fr-CA"/>
              </w:rPr>
            </w:pPr>
          </w:p>
          <w:p w:rsidR="00205490" w:rsidRPr="00407193" w:rsidRDefault="00205490" w:rsidP="00205490">
            <w:pPr>
              <w:rPr>
                <w:lang w:val="fr-CA"/>
              </w:rPr>
            </w:pPr>
            <w:proofErr w:type="spellStart"/>
            <w:r w:rsidRPr="00407193">
              <w:rPr>
                <w:lang w:val="fr-CA"/>
              </w:rPr>
              <w:t>Distr</w:t>
            </w:r>
            <w:proofErr w:type="spellEnd"/>
            <w:r w:rsidRPr="00407193">
              <w:rPr>
                <w:lang w:val="fr-CA"/>
              </w:rPr>
              <w:t>.</w:t>
            </w:r>
          </w:p>
          <w:p w:rsidR="00205490" w:rsidRPr="00407193" w:rsidRDefault="00205490" w:rsidP="00205490">
            <w:pPr>
              <w:rPr>
                <w:lang w:val="fr-CA"/>
              </w:rPr>
            </w:pPr>
            <w:r w:rsidRPr="00407193">
              <w:rPr>
                <w:lang w:val="fr-CA"/>
              </w:rPr>
              <w:t>GÉNÉRAL</w:t>
            </w:r>
          </w:p>
          <w:p w:rsidR="00205490" w:rsidRPr="00407193" w:rsidRDefault="00205490" w:rsidP="00205490">
            <w:pPr>
              <w:rPr>
                <w:lang w:val="fr-CA"/>
              </w:rPr>
            </w:pPr>
          </w:p>
          <w:p w:rsidR="00205490" w:rsidRPr="00407193" w:rsidRDefault="00205490" w:rsidP="00205490">
            <w:pPr>
              <w:rPr>
                <w:lang w:val="fr-CA"/>
              </w:rPr>
            </w:pPr>
            <w:r>
              <w:rPr>
                <w:lang w:val="en-GB"/>
              </w:rPr>
              <w:fldChar w:fldCharType="begin"/>
            </w:r>
            <w:r w:rsidRPr="00057305">
              <w:rPr>
                <w:lang w:val="fr-CA"/>
              </w:rPr>
              <w:instrText xml:space="preserve"> DOCPROPERTY "Document number"  \* MERGEFORMAT </w:instrText>
            </w:r>
            <w:r>
              <w:rPr>
                <w:lang w:val="en-GB"/>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/84/62</w:t>
            </w:r>
            <w:r>
              <w:rPr>
                <w:lang w:val="fr-CA"/>
              </w:rPr>
              <w:fldChar w:fldCharType="end"/>
            </w:r>
          </w:p>
          <w:p w:rsidR="00205490" w:rsidRPr="00407193" w:rsidRDefault="00205490" w:rsidP="00205490">
            <w:pPr>
              <w:rPr>
                <w:lang w:val="fr-CA"/>
              </w:rPr>
            </w:pPr>
            <w:r>
              <w:rPr>
                <w:lang w:val="fr-CA"/>
              </w:rPr>
              <w:t>22</w:t>
            </w:r>
            <w:r w:rsidRPr="00407193">
              <w:rPr>
                <w:lang w:val="fr-CA"/>
              </w:rPr>
              <w:t xml:space="preserve"> novembre 2019</w:t>
            </w:r>
          </w:p>
          <w:p w:rsidR="00205490" w:rsidRPr="00407193" w:rsidRDefault="00205490" w:rsidP="00205490">
            <w:pPr>
              <w:rPr>
                <w:caps/>
                <w:lang w:val="fr-CA"/>
              </w:rPr>
            </w:pPr>
            <w:r w:rsidRPr="00407193">
              <w:rPr>
                <w:caps/>
                <w:lang w:val="fr-CA"/>
              </w:rPr>
              <w:br/>
              <w:t>FRANÇAIS</w:t>
            </w:r>
          </w:p>
          <w:p w:rsidR="00205490" w:rsidRPr="00407193" w:rsidRDefault="00205490" w:rsidP="00205490">
            <w:pPr>
              <w:rPr>
                <w:lang w:val="fr-CA"/>
              </w:rPr>
            </w:pPr>
            <w:r w:rsidRPr="00407193">
              <w:rPr>
                <w:lang w:val="fr-CA"/>
              </w:rPr>
              <w:t>ORIGINAL : ANGLAIS</w:t>
            </w:r>
          </w:p>
        </w:tc>
      </w:tr>
    </w:tbl>
    <w:p w:rsidR="00205490" w:rsidRPr="00407193" w:rsidRDefault="00205490" w:rsidP="00205490">
      <w:pPr>
        <w:jc w:val="left"/>
        <w:rPr>
          <w:lang w:val="fr-CA"/>
        </w:rPr>
      </w:pPr>
      <w:r w:rsidRPr="00407193">
        <w:rPr>
          <w:lang w:val="fr-CA"/>
        </w:rPr>
        <w:t xml:space="preserve">COMITE EXÉCUTIF </w:t>
      </w:r>
      <w:r w:rsidRPr="00407193">
        <w:rPr>
          <w:lang w:val="fr-CA"/>
        </w:rPr>
        <w:br/>
        <w:t xml:space="preserve">  DU FONDS MULTILATÉRAL AUX FINS </w:t>
      </w:r>
      <w:r w:rsidRPr="00407193">
        <w:rPr>
          <w:lang w:val="fr-CA"/>
        </w:rPr>
        <w:br/>
        <w:t xml:space="preserve">  D’APPLICATION DU PROTOCOLE DE MONTRÉAL</w:t>
      </w:r>
      <w:r w:rsidRPr="00407193">
        <w:rPr>
          <w:lang w:val="fr-CA"/>
        </w:rPr>
        <w:br/>
        <w:t>Quatre-vingt-quatrième réunion</w:t>
      </w:r>
    </w:p>
    <w:p w:rsidR="00205490" w:rsidRPr="00407193" w:rsidRDefault="00205490" w:rsidP="00205490">
      <w:pPr>
        <w:jc w:val="left"/>
        <w:rPr>
          <w:lang w:val="fr-CA"/>
        </w:rPr>
      </w:pPr>
      <w:r w:rsidRPr="00407193">
        <w:rPr>
          <w:lang w:val="fr-CA"/>
        </w:rPr>
        <w:t>Montréal, 16 – 20 décembre 2019</w:t>
      </w:r>
    </w:p>
    <w:p w:rsidR="00205490" w:rsidRPr="00407193" w:rsidRDefault="00205490" w:rsidP="00205490">
      <w:pPr>
        <w:jc w:val="left"/>
        <w:rPr>
          <w:lang w:val="fr-CA"/>
        </w:rPr>
      </w:pPr>
    </w:p>
    <w:p w:rsidR="00205490" w:rsidRPr="00407193" w:rsidRDefault="00205490" w:rsidP="00205490">
      <w:pPr>
        <w:pStyle w:val="Heading3"/>
        <w:numPr>
          <w:ilvl w:val="0"/>
          <w:numId w:val="0"/>
        </w:numPr>
        <w:spacing w:after="0"/>
        <w:rPr>
          <w:lang w:val="fr-CA"/>
        </w:rPr>
      </w:pPr>
    </w:p>
    <w:p w:rsidR="003919B9" w:rsidRPr="00436081" w:rsidRDefault="003919B9" w:rsidP="00B027E1">
      <w:pPr>
        <w:tabs>
          <w:tab w:val="left" w:pos="8280"/>
        </w:tabs>
      </w:pPr>
    </w:p>
    <w:p w:rsidR="004731B8" w:rsidRPr="00436081" w:rsidRDefault="004731B8" w:rsidP="00B027E1">
      <w:pPr>
        <w:tabs>
          <w:tab w:val="left" w:pos="8280"/>
        </w:tabs>
      </w:pPr>
    </w:p>
    <w:p w:rsidR="00FD4D02" w:rsidRPr="00D50D34" w:rsidRDefault="00FD4D02" w:rsidP="00B027E1">
      <w:pPr>
        <w:jc w:val="center"/>
        <w:rPr>
          <w:b/>
        </w:rPr>
      </w:pPr>
      <w:r>
        <w:rPr>
          <w:b/>
        </w:rPr>
        <w:t>PROPOSITION DE PROJET :  VIET NAM</w:t>
      </w:r>
    </w:p>
    <w:p w:rsidR="00FD4D02" w:rsidRPr="00436081" w:rsidRDefault="00FD4D02" w:rsidP="00B027E1"/>
    <w:p w:rsidR="00FD4D02" w:rsidRPr="00436081" w:rsidRDefault="00FD4D02" w:rsidP="00B027E1"/>
    <w:p w:rsidR="00FD4D02" w:rsidRPr="00D50D34" w:rsidRDefault="00FD4D02" w:rsidP="00B027E1">
      <w:pPr>
        <w:ind w:firstLine="720"/>
      </w:pPr>
      <w:r>
        <w:t xml:space="preserve">Le présent document contient les observations et la recommandation du Secrétariat du Fonds sur la proposition de projet suivante : </w:t>
      </w:r>
    </w:p>
    <w:p w:rsidR="00FD4D02" w:rsidRPr="00436081" w:rsidRDefault="00FD4D02" w:rsidP="00B027E1"/>
    <w:p w:rsidR="00FD4D02" w:rsidRPr="00D50D34" w:rsidRDefault="00FD4D02" w:rsidP="00B027E1">
      <w:pPr>
        <w:rPr>
          <w:u w:val="single"/>
        </w:rPr>
      </w:pPr>
      <w:r>
        <w:rPr>
          <w:u w:val="single"/>
        </w:rPr>
        <w:t>Élimination</w:t>
      </w:r>
    </w:p>
    <w:p w:rsidR="00FD4D02" w:rsidRPr="00D50D34" w:rsidRDefault="00FD4D02" w:rsidP="00B027E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D4D02" w:rsidRPr="00D50D34" w:rsidTr="00FF3846">
        <w:tc>
          <w:tcPr>
            <w:tcW w:w="6941" w:type="dxa"/>
          </w:tcPr>
          <w:p w:rsidR="00FD4D02" w:rsidRPr="00D50D34" w:rsidRDefault="00FD4D02" w:rsidP="00B027E1">
            <w:pPr>
              <w:pStyle w:val="ListParagraph"/>
              <w:numPr>
                <w:ilvl w:val="0"/>
                <w:numId w:val="21"/>
              </w:numPr>
              <w:ind w:hanging="830"/>
            </w:pPr>
            <w:r>
              <w:t>Plan de gestion de l’élimination des HCFC (phase II, deuxième tranche)</w:t>
            </w:r>
          </w:p>
        </w:tc>
        <w:tc>
          <w:tcPr>
            <w:tcW w:w="2409" w:type="dxa"/>
          </w:tcPr>
          <w:p w:rsidR="00F216DC" w:rsidRPr="00D50D34" w:rsidRDefault="00F216DC" w:rsidP="00B027E1">
            <w:pPr>
              <w:jc w:val="right"/>
            </w:pPr>
            <w:r>
              <w:t>Banque Mondiale et Japon</w:t>
            </w:r>
          </w:p>
        </w:tc>
      </w:tr>
      <w:tr w:rsidR="00F216DC" w:rsidRPr="00D50D34" w:rsidTr="00FF3846">
        <w:tc>
          <w:tcPr>
            <w:tcW w:w="6941" w:type="dxa"/>
          </w:tcPr>
          <w:p w:rsidR="00F216DC" w:rsidRPr="00D50D34" w:rsidRDefault="00F216DC" w:rsidP="00B027E1">
            <w:pPr>
              <w:rPr>
                <w:lang w:val="en-CA"/>
              </w:rPr>
            </w:pPr>
          </w:p>
        </w:tc>
        <w:tc>
          <w:tcPr>
            <w:tcW w:w="2409" w:type="dxa"/>
          </w:tcPr>
          <w:p w:rsidR="00F216DC" w:rsidRPr="00D50D34" w:rsidRDefault="00F216DC" w:rsidP="00B027E1">
            <w:pPr>
              <w:jc w:val="right"/>
              <w:rPr>
                <w:lang w:val="en-CA"/>
              </w:rPr>
            </w:pPr>
          </w:p>
        </w:tc>
      </w:tr>
    </w:tbl>
    <w:p w:rsidR="00FD4D02" w:rsidRPr="00D50D34" w:rsidRDefault="00FD4D02" w:rsidP="00B027E1">
      <w:pPr>
        <w:rPr>
          <w:lang w:val="en-CA"/>
        </w:rPr>
      </w:pPr>
    </w:p>
    <w:p w:rsidR="00FD4D02" w:rsidRPr="00D50D34" w:rsidRDefault="00FD4D02" w:rsidP="00B027E1">
      <w:pPr>
        <w:rPr>
          <w:lang w:val="en-CA"/>
        </w:rPr>
      </w:pPr>
    </w:p>
    <w:p w:rsidR="00F216DC" w:rsidRPr="00D50D34" w:rsidRDefault="00F216DC" w:rsidP="00B027E1">
      <w:pPr>
        <w:jc w:val="left"/>
      </w:pPr>
      <w:r>
        <w:br w:type="page"/>
      </w:r>
    </w:p>
    <w:p w:rsidR="00FD4D02" w:rsidRPr="00D50D34" w:rsidRDefault="00FD4D02" w:rsidP="00B027E1">
      <w:pPr>
        <w:jc w:val="center"/>
        <w:rPr>
          <w:b/>
        </w:rPr>
      </w:pPr>
      <w:r>
        <w:rPr>
          <w:b/>
        </w:rPr>
        <w:lastRenderedPageBreak/>
        <w:t>FICHE D’ÉVALUATION DE PROJET – PROJETS PLURIANNUELS</w:t>
      </w:r>
      <w:r w:rsidR="00205490">
        <w:rPr>
          <w:b/>
        </w:rPr>
        <w:t xml:space="preserve"> - </w:t>
      </w:r>
      <w:r>
        <w:rPr>
          <w:b/>
        </w:rPr>
        <w:t>Viet Nam</w:t>
      </w:r>
    </w:p>
    <w:p w:rsidR="00FD4D02" w:rsidRPr="00205490" w:rsidRDefault="00FD4D02" w:rsidP="00B027E1">
      <w:pPr>
        <w:jc w:val="center"/>
        <w:rPr>
          <w:sz w:val="16"/>
          <w:szCs w:val="16"/>
        </w:rPr>
      </w:pPr>
      <w:r w:rsidRPr="00205490">
        <w:rPr>
          <w:b/>
          <w:sz w:val="16"/>
          <w:szCs w:val="16"/>
        </w:rPr>
        <w:t xml:space="preserve"> </w:t>
      </w: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3746"/>
        <w:gridCol w:w="1800"/>
        <w:gridCol w:w="1542"/>
      </w:tblGrid>
      <w:tr w:rsidR="00FD4D02" w:rsidRPr="00D50D34" w:rsidTr="00205490">
        <w:trPr>
          <w:trHeight w:val="269"/>
          <w:jc w:val="center"/>
        </w:trPr>
        <w:tc>
          <w:tcPr>
            <w:tcW w:w="3539" w:type="dxa"/>
            <w:shd w:val="clear" w:color="auto" w:fill="auto"/>
          </w:tcPr>
          <w:p w:rsidR="00FD4D02" w:rsidRPr="00D50D34" w:rsidRDefault="00FD4D02" w:rsidP="00B027E1">
            <w:pPr>
              <w:spacing w:after="80"/>
              <w:jc w:val="left"/>
              <w:rPr>
                <w:b/>
                <w:sz w:val="18"/>
              </w:rPr>
            </w:pPr>
            <w:r>
              <w:rPr>
                <w:b/>
                <w:sz w:val="18"/>
              </w:rPr>
              <w:t>(I) TITRE DU PROJET</w:t>
            </w:r>
          </w:p>
        </w:tc>
        <w:tc>
          <w:tcPr>
            <w:tcW w:w="3746" w:type="dxa"/>
            <w:shd w:val="clear" w:color="auto" w:fill="auto"/>
          </w:tcPr>
          <w:p w:rsidR="00FD4D02" w:rsidRPr="00D50D34" w:rsidRDefault="00FD4D02" w:rsidP="00B027E1">
            <w:pPr>
              <w:spacing w:after="80"/>
              <w:jc w:val="center"/>
              <w:rPr>
                <w:b/>
                <w:sz w:val="18"/>
              </w:rPr>
            </w:pPr>
            <w:r>
              <w:rPr>
                <w:b/>
                <w:sz w:val="18"/>
              </w:rPr>
              <w:t>AGENCE</w:t>
            </w:r>
          </w:p>
        </w:tc>
        <w:tc>
          <w:tcPr>
            <w:tcW w:w="1800" w:type="dxa"/>
            <w:shd w:val="clear" w:color="auto" w:fill="auto"/>
          </w:tcPr>
          <w:p w:rsidR="00FD4D02" w:rsidRPr="00D50D34" w:rsidRDefault="00FD4D02" w:rsidP="00B027E1">
            <w:pPr>
              <w:spacing w:after="80"/>
              <w:jc w:val="center"/>
              <w:rPr>
                <w:b/>
                <w:sz w:val="18"/>
              </w:rPr>
            </w:pPr>
            <w:r>
              <w:rPr>
                <w:b/>
                <w:sz w:val="18"/>
              </w:rPr>
              <w:t>RÉUNION D’APPROBATION</w:t>
            </w:r>
          </w:p>
        </w:tc>
        <w:tc>
          <w:tcPr>
            <w:tcW w:w="1542" w:type="dxa"/>
            <w:shd w:val="clear" w:color="auto" w:fill="auto"/>
          </w:tcPr>
          <w:p w:rsidR="00FD4D02" w:rsidRPr="00D50D34" w:rsidRDefault="00FD4D02" w:rsidP="00B027E1">
            <w:pPr>
              <w:spacing w:after="80"/>
              <w:jc w:val="center"/>
              <w:rPr>
                <w:b/>
                <w:sz w:val="18"/>
              </w:rPr>
            </w:pPr>
            <w:r>
              <w:rPr>
                <w:b/>
                <w:sz w:val="18"/>
              </w:rPr>
              <w:t>MESURE DE CONTRÔLE</w:t>
            </w:r>
          </w:p>
        </w:tc>
      </w:tr>
      <w:tr w:rsidR="00FD4D02" w:rsidRPr="00D50D34" w:rsidTr="00205490">
        <w:trPr>
          <w:trHeight w:val="240"/>
          <w:jc w:val="center"/>
        </w:trPr>
        <w:tc>
          <w:tcPr>
            <w:tcW w:w="3539" w:type="dxa"/>
            <w:shd w:val="clear" w:color="auto" w:fill="auto"/>
          </w:tcPr>
          <w:p w:rsidR="00FD4D02" w:rsidRPr="00D50D34" w:rsidRDefault="00FD4D02" w:rsidP="00B027E1">
            <w:pPr>
              <w:spacing w:after="80"/>
              <w:jc w:val="center"/>
              <w:rPr>
                <w:sz w:val="18"/>
              </w:rPr>
            </w:pPr>
            <w:r>
              <w:rPr>
                <w:sz w:val="18"/>
              </w:rPr>
              <w:t>Plan de l’élimination des HCFC (phase II)</w:t>
            </w:r>
          </w:p>
        </w:tc>
        <w:tc>
          <w:tcPr>
            <w:tcW w:w="3746" w:type="dxa"/>
            <w:shd w:val="clear" w:color="auto" w:fill="auto"/>
          </w:tcPr>
          <w:p w:rsidR="00FD4D02" w:rsidRPr="00D50D34" w:rsidRDefault="00FD4D02" w:rsidP="00B027E1">
            <w:pPr>
              <w:spacing w:after="80"/>
              <w:jc w:val="center"/>
              <w:rPr>
                <w:sz w:val="18"/>
              </w:rPr>
            </w:pPr>
            <w:r>
              <w:rPr>
                <w:sz w:val="18"/>
              </w:rPr>
              <w:t>Banque Mondiale (agence principale), Japon</w:t>
            </w:r>
          </w:p>
        </w:tc>
        <w:tc>
          <w:tcPr>
            <w:tcW w:w="1800" w:type="dxa"/>
            <w:shd w:val="clear" w:color="auto" w:fill="auto"/>
          </w:tcPr>
          <w:p w:rsidR="00FD4D02" w:rsidRPr="00D50D34" w:rsidRDefault="00FD4D02" w:rsidP="00B027E1">
            <w:pPr>
              <w:spacing w:after="80"/>
              <w:jc w:val="center"/>
              <w:rPr>
                <w:sz w:val="18"/>
              </w:rPr>
            </w:pPr>
            <w:r>
              <w:rPr>
                <w:sz w:val="18"/>
              </w:rPr>
              <w:t>63rd</w:t>
            </w:r>
          </w:p>
        </w:tc>
        <w:tc>
          <w:tcPr>
            <w:tcW w:w="1542" w:type="dxa"/>
            <w:shd w:val="clear" w:color="auto" w:fill="auto"/>
          </w:tcPr>
          <w:p w:rsidR="00FD4D02" w:rsidRPr="00D50D34" w:rsidRDefault="00FD4D02" w:rsidP="00B027E1">
            <w:pPr>
              <w:spacing w:after="80"/>
              <w:jc w:val="center"/>
              <w:rPr>
                <w:sz w:val="18"/>
              </w:rPr>
            </w:pPr>
            <w:r>
              <w:rPr>
                <w:sz w:val="18"/>
              </w:rPr>
              <w:t>28% d’ici 2021</w:t>
            </w:r>
          </w:p>
        </w:tc>
      </w:tr>
    </w:tbl>
    <w:p w:rsidR="00FD4D02" w:rsidRPr="00205490" w:rsidRDefault="00FD4D02" w:rsidP="00B027E1">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95"/>
        <w:gridCol w:w="1620"/>
        <w:gridCol w:w="1812"/>
      </w:tblGrid>
      <w:tr w:rsidR="00FD4D02" w:rsidRPr="00D50D34" w:rsidTr="00205490">
        <w:trPr>
          <w:trHeight w:val="240"/>
          <w:jc w:val="center"/>
        </w:trPr>
        <w:tc>
          <w:tcPr>
            <w:tcW w:w="7195" w:type="dxa"/>
            <w:shd w:val="clear" w:color="auto" w:fill="auto"/>
          </w:tcPr>
          <w:p w:rsidR="00FD4D02" w:rsidRPr="00D50D34" w:rsidRDefault="00FD4D02" w:rsidP="00B027E1">
            <w:pPr>
              <w:spacing w:after="60"/>
              <w:jc w:val="left"/>
              <w:rPr>
                <w:b/>
                <w:sz w:val="18"/>
              </w:rPr>
            </w:pPr>
            <w:r>
              <w:rPr>
                <w:b/>
                <w:sz w:val="18"/>
              </w:rPr>
              <w:t>(II) DERNIÈRES DONNÉES COMMUNIQUÉES EN VERTU DE L’ARTICLE 7 (Annexe C Groupe l)</w:t>
            </w:r>
          </w:p>
        </w:tc>
        <w:tc>
          <w:tcPr>
            <w:tcW w:w="1620" w:type="dxa"/>
            <w:shd w:val="clear" w:color="auto" w:fill="auto"/>
          </w:tcPr>
          <w:p w:rsidR="00FD4D02" w:rsidRPr="00D50D34" w:rsidRDefault="00FD4D02" w:rsidP="00B027E1">
            <w:pPr>
              <w:spacing w:after="60"/>
              <w:jc w:val="center"/>
              <w:rPr>
                <w:sz w:val="18"/>
              </w:rPr>
            </w:pPr>
            <w:r>
              <w:rPr>
                <w:sz w:val="18"/>
              </w:rPr>
              <w:t>Année : 2018</w:t>
            </w:r>
          </w:p>
        </w:tc>
        <w:tc>
          <w:tcPr>
            <w:tcW w:w="1812" w:type="dxa"/>
            <w:shd w:val="clear" w:color="auto" w:fill="auto"/>
          </w:tcPr>
          <w:p w:rsidR="00FD4D02" w:rsidRPr="00D50D34" w:rsidRDefault="00FD4D02" w:rsidP="00B027E1">
            <w:pPr>
              <w:spacing w:after="60"/>
              <w:jc w:val="right"/>
              <w:rPr>
                <w:sz w:val="18"/>
              </w:rPr>
            </w:pPr>
            <w:r>
              <w:rPr>
                <w:sz w:val="18"/>
              </w:rPr>
              <w:t>197,31 (tonnes PAO)</w:t>
            </w:r>
          </w:p>
        </w:tc>
      </w:tr>
    </w:tbl>
    <w:p w:rsidR="00FD4D02" w:rsidRPr="00205490" w:rsidRDefault="00FD4D02" w:rsidP="00B027E1">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93"/>
        <w:gridCol w:w="786"/>
        <w:gridCol w:w="777"/>
        <w:gridCol w:w="896"/>
        <w:gridCol w:w="1036"/>
        <w:gridCol w:w="876"/>
        <w:gridCol w:w="837"/>
        <w:gridCol w:w="1276"/>
        <w:gridCol w:w="1029"/>
        <w:gridCol w:w="1921"/>
      </w:tblGrid>
      <w:tr w:rsidR="00FD4D02" w:rsidRPr="00D50D34" w:rsidTr="00FF3846">
        <w:trPr>
          <w:trHeight w:val="240"/>
          <w:jc w:val="center"/>
        </w:trPr>
        <w:tc>
          <w:tcPr>
            <w:tcW w:w="0" w:type="auto"/>
            <w:gridSpan w:val="8"/>
            <w:shd w:val="clear" w:color="auto" w:fill="auto"/>
          </w:tcPr>
          <w:p w:rsidR="00FD4D02" w:rsidRPr="00D50D34" w:rsidRDefault="00FD4D02" w:rsidP="00B027E1">
            <w:pPr>
              <w:spacing w:after="60"/>
              <w:jc w:val="left"/>
              <w:rPr>
                <w:b/>
                <w:sz w:val="18"/>
              </w:rPr>
            </w:pPr>
            <w:r>
              <w:rPr>
                <w:b/>
                <w:sz w:val="18"/>
              </w:rPr>
              <w:t>(III) DERNIÈRES DONNÉES SECTORIELLES DU PROGRAMME DU PAYS (tonnes PAO)</w:t>
            </w:r>
          </w:p>
        </w:tc>
        <w:tc>
          <w:tcPr>
            <w:tcW w:w="3017" w:type="dxa"/>
            <w:gridSpan w:val="2"/>
            <w:shd w:val="clear" w:color="auto" w:fill="auto"/>
          </w:tcPr>
          <w:p w:rsidR="00FD4D02" w:rsidRPr="00D50D34" w:rsidRDefault="00FD4D02" w:rsidP="00B027E1">
            <w:pPr>
              <w:spacing w:after="60"/>
              <w:jc w:val="right"/>
              <w:rPr>
                <w:b/>
                <w:sz w:val="18"/>
              </w:rPr>
            </w:pPr>
            <w:r>
              <w:rPr>
                <w:b/>
                <w:sz w:val="18"/>
              </w:rPr>
              <w:t>Année : 2018</w:t>
            </w:r>
          </w:p>
        </w:tc>
      </w:tr>
      <w:tr w:rsidR="00FD4D02" w:rsidRPr="00D50D34" w:rsidTr="00FF3846">
        <w:trPr>
          <w:trHeight w:val="240"/>
          <w:jc w:val="center"/>
        </w:trPr>
        <w:tc>
          <w:tcPr>
            <w:tcW w:w="0" w:type="auto"/>
            <w:shd w:val="clear" w:color="auto" w:fill="auto"/>
          </w:tcPr>
          <w:p w:rsidR="00FD4D02" w:rsidRPr="00D50D34" w:rsidRDefault="00FD4D02" w:rsidP="00B027E1">
            <w:pPr>
              <w:spacing w:after="60"/>
              <w:jc w:val="center"/>
              <w:rPr>
                <w:sz w:val="18"/>
              </w:rPr>
            </w:pPr>
            <w:r>
              <w:rPr>
                <w:sz w:val="18"/>
              </w:rPr>
              <w:t>Substance</w:t>
            </w:r>
          </w:p>
        </w:tc>
        <w:tc>
          <w:tcPr>
            <w:tcW w:w="0" w:type="auto"/>
            <w:shd w:val="clear" w:color="auto" w:fill="auto"/>
          </w:tcPr>
          <w:p w:rsidR="00FD4D02" w:rsidRPr="00D50D34" w:rsidRDefault="00FD4D02" w:rsidP="00B027E1">
            <w:pPr>
              <w:spacing w:after="60"/>
              <w:jc w:val="center"/>
              <w:rPr>
                <w:sz w:val="18"/>
              </w:rPr>
            </w:pPr>
            <w:r>
              <w:rPr>
                <w:sz w:val="18"/>
              </w:rPr>
              <w:t>Aérosol</w:t>
            </w:r>
          </w:p>
        </w:tc>
        <w:tc>
          <w:tcPr>
            <w:tcW w:w="0" w:type="auto"/>
            <w:shd w:val="clear" w:color="auto" w:fill="auto"/>
          </w:tcPr>
          <w:p w:rsidR="00FD4D02" w:rsidRPr="00D50D34" w:rsidRDefault="00FD4D02" w:rsidP="00B027E1">
            <w:pPr>
              <w:spacing w:after="60"/>
              <w:jc w:val="center"/>
              <w:rPr>
                <w:sz w:val="18"/>
              </w:rPr>
            </w:pPr>
            <w:r>
              <w:rPr>
                <w:sz w:val="18"/>
              </w:rPr>
              <w:t>Mousse</w:t>
            </w:r>
          </w:p>
        </w:tc>
        <w:tc>
          <w:tcPr>
            <w:tcW w:w="0" w:type="auto"/>
            <w:shd w:val="clear" w:color="auto" w:fill="auto"/>
          </w:tcPr>
          <w:p w:rsidR="00FD4D02" w:rsidRPr="00D50D34" w:rsidRDefault="00FD4D02" w:rsidP="00B027E1">
            <w:pPr>
              <w:spacing w:after="60"/>
              <w:jc w:val="center"/>
              <w:rPr>
                <w:sz w:val="18"/>
              </w:rPr>
            </w:pPr>
            <w:r>
              <w:rPr>
                <w:sz w:val="18"/>
              </w:rPr>
              <w:t>Lutte contre les incendies</w:t>
            </w:r>
          </w:p>
        </w:tc>
        <w:tc>
          <w:tcPr>
            <w:tcW w:w="0" w:type="auto"/>
            <w:gridSpan w:val="2"/>
            <w:shd w:val="clear" w:color="auto" w:fill="auto"/>
          </w:tcPr>
          <w:p w:rsidR="00FD4D02" w:rsidRPr="00D50D34" w:rsidRDefault="00FD4D02" w:rsidP="00B027E1">
            <w:pPr>
              <w:spacing w:after="60"/>
              <w:jc w:val="center"/>
              <w:rPr>
                <w:sz w:val="18"/>
              </w:rPr>
            </w:pPr>
            <w:r>
              <w:rPr>
                <w:sz w:val="18"/>
              </w:rPr>
              <w:t>Réfrigération</w:t>
            </w:r>
          </w:p>
        </w:tc>
        <w:tc>
          <w:tcPr>
            <w:tcW w:w="0" w:type="auto"/>
            <w:shd w:val="clear" w:color="auto" w:fill="auto"/>
          </w:tcPr>
          <w:p w:rsidR="00FD4D02" w:rsidRPr="00D50D34" w:rsidRDefault="00FD4D02" w:rsidP="00B027E1">
            <w:pPr>
              <w:spacing w:after="60"/>
              <w:jc w:val="center"/>
              <w:rPr>
                <w:sz w:val="18"/>
              </w:rPr>
            </w:pPr>
            <w:r>
              <w:rPr>
                <w:sz w:val="18"/>
              </w:rPr>
              <w:t>Solvants</w:t>
            </w:r>
          </w:p>
        </w:tc>
        <w:tc>
          <w:tcPr>
            <w:tcW w:w="0" w:type="auto"/>
            <w:shd w:val="clear" w:color="auto" w:fill="auto"/>
          </w:tcPr>
          <w:p w:rsidR="00FD4D02" w:rsidRPr="00D50D34" w:rsidRDefault="00FD4D02" w:rsidP="00B027E1">
            <w:pPr>
              <w:spacing w:after="60"/>
              <w:jc w:val="center"/>
              <w:rPr>
                <w:sz w:val="18"/>
              </w:rPr>
            </w:pPr>
            <w:r>
              <w:rPr>
                <w:sz w:val="18"/>
              </w:rPr>
              <w:t>Agent de transformation</w:t>
            </w:r>
          </w:p>
        </w:tc>
        <w:tc>
          <w:tcPr>
            <w:tcW w:w="1032" w:type="dxa"/>
            <w:shd w:val="clear" w:color="auto" w:fill="auto"/>
          </w:tcPr>
          <w:p w:rsidR="00FD4D02" w:rsidRPr="00D50D34" w:rsidRDefault="00FD4D02" w:rsidP="00B027E1">
            <w:pPr>
              <w:spacing w:after="60"/>
              <w:jc w:val="center"/>
              <w:rPr>
                <w:sz w:val="18"/>
              </w:rPr>
            </w:pPr>
            <w:r>
              <w:rPr>
                <w:sz w:val="18"/>
              </w:rPr>
              <w:t>Utilisation en laboratoire</w:t>
            </w:r>
          </w:p>
        </w:tc>
        <w:tc>
          <w:tcPr>
            <w:tcW w:w="1985" w:type="dxa"/>
            <w:shd w:val="clear" w:color="auto" w:fill="auto"/>
          </w:tcPr>
          <w:p w:rsidR="00FD4D02" w:rsidRPr="00D50D34" w:rsidRDefault="00FD4D02" w:rsidP="00B027E1">
            <w:pPr>
              <w:spacing w:after="60"/>
              <w:jc w:val="center"/>
              <w:rPr>
                <w:sz w:val="18"/>
              </w:rPr>
            </w:pPr>
            <w:r>
              <w:rPr>
                <w:sz w:val="18"/>
              </w:rPr>
              <w:t>Consommation totale du secteur</w:t>
            </w:r>
          </w:p>
        </w:tc>
      </w:tr>
      <w:tr w:rsidR="00FD4D02" w:rsidRPr="00D50D34" w:rsidTr="00FF3846">
        <w:trPr>
          <w:trHeight w:val="240"/>
          <w:jc w:val="center"/>
        </w:trPr>
        <w:tc>
          <w:tcPr>
            <w:tcW w:w="0" w:type="auto"/>
            <w:gridSpan w:val="4"/>
            <w:shd w:val="clear" w:color="auto" w:fill="auto"/>
          </w:tcPr>
          <w:p w:rsidR="00FD4D02" w:rsidRPr="00D50D34" w:rsidRDefault="00FD4D02" w:rsidP="00B027E1">
            <w:pPr>
              <w:spacing w:after="60"/>
              <w:jc w:val="center"/>
              <w:rPr>
                <w:sz w:val="18"/>
              </w:rPr>
            </w:pPr>
            <w:r>
              <w:rPr>
                <w:sz w:val="18"/>
              </w:rPr>
              <w:t xml:space="preserve"> </w:t>
            </w:r>
          </w:p>
        </w:tc>
        <w:tc>
          <w:tcPr>
            <w:tcW w:w="0" w:type="auto"/>
            <w:shd w:val="clear" w:color="auto" w:fill="auto"/>
          </w:tcPr>
          <w:p w:rsidR="00FD4D02" w:rsidRPr="00D50D34" w:rsidRDefault="00FD4D02" w:rsidP="00B027E1">
            <w:pPr>
              <w:spacing w:after="60"/>
              <w:jc w:val="center"/>
              <w:rPr>
                <w:sz w:val="18"/>
              </w:rPr>
            </w:pPr>
            <w:r>
              <w:rPr>
                <w:sz w:val="18"/>
              </w:rPr>
              <w:t>Fabrication</w:t>
            </w:r>
          </w:p>
        </w:tc>
        <w:tc>
          <w:tcPr>
            <w:tcW w:w="0" w:type="auto"/>
            <w:shd w:val="clear" w:color="auto" w:fill="auto"/>
          </w:tcPr>
          <w:p w:rsidR="00FD4D02" w:rsidRPr="00D50D34" w:rsidRDefault="00FD4D02" w:rsidP="00B027E1">
            <w:pPr>
              <w:spacing w:after="60"/>
              <w:jc w:val="center"/>
              <w:rPr>
                <w:sz w:val="18"/>
              </w:rPr>
            </w:pPr>
            <w:r>
              <w:rPr>
                <w:sz w:val="18"/>
              </w:rPr>
              <w:t>Entretien</w:t>
            </w:r>
          </w:p>
        </w:tc>
        <w:tc>
          <w:tcPr>
            <w:tcW w:w="4825" w:type="dxa"/>
            <w:gridSpan w:val="4"/>
            <w:shd w:val="clear" w:color="auto" w:fill="auto"/>
          </w:tcPr>
          <w:p w:rsidR="00FD4D02" w:rsidRPr="00D50D34" w:rsidRDefault="00FD4D02" w:rsidP="00B027E1">
            <w:pPr>
              <w:spacing w:after="60"/>
              <w:jc w:val="center"/>
              <w:rPr>
                <w:sz w:val="18"/>
                <w:lang w:val="en-CA"/>
              </w:rPr>
            </w:pPr>
          </w:p>
        </w:tc>
      </w:tr>
      <w:tr w:rsidR="00FD4D02" w:rsidRPr="00D50D34" w:rsidTr="00FF3846">
        <w:trPr>
          <w:trHeight w:val="240"/>
          <w:jc w:val="center"/>
        </w:trPr>
        <w:tc>
          <w:tcPr>
            <w:tcW w:w="1200" w:type="dxa"/>
            <w:shd w:val="clear" w:color="auto" w:fill="auto"/>
          </w:tcPr>
          <w:p w:rsidR="00FD4D02" w:rsidRPr="00D50D34" w:rsidRDefault="00FD4D02" w:rsidP="00B027E1">
            <w:pPr>
              <w:spacing w:after="60"/>
              <w:jc w:val="left"/>
              <w:rPr>
                <w:sz w:val="18"/>
              </w:rPr>
            </w:pPr>
            <w:r>
              <w:rPr>
                <w:sz w:val="18"/>
              </w:rPr>
              <w:t>HCFC-22</w:t>
            </w: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133D55" w:rsidP="00B027E1">
            <w:pPr>
              <w:spacing w:after="60"/>
              <w:jc w:val="right"/>
              <w:rPr>
                <w:sz w:val="18"/>
              </w:rPr>
            </w:pPr>
            <w:r>
              <w:rPr>
                <w:sz w:val="18"/>
              </w:rPr>
              <w:t>58,53</w:t>
            </w:r>
          </w:p>
        </w:tc>
        <w:tc>
          <w:tcPr>
            <w:tcW w:w="0" w:type="auto"/>
            <w:shd w:val="clear" w:color="auto" w:fill="auto"/>
          </w:tcPr>
          <w:p w:rsidR="00FD4D02" w:rsidRPr="00D50D34" w:rsidRDefault="00133D55" w:rsidP="00B027E1">
            <w:pPr>
              <w:spacing w:after="60"/>
              <w:jc w:val="right"/>
              <w:rPr>
                <w:sz w:val="18"/>
              </w:rPr>
            </w:pPr>
            <w:r>
              <w:rPr>
                <w:sz w:val="18"/>
              </w:rPr>
              <w:t>136,57</w:t>
            </w: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1032" w:type="dxa"/>
            <w:shd w:val="clear" w:color="auto" w:fill="auto"/>
          </w:tcPr>
          <w:p w:rsidR="00FD4D02" w:rsidRPr="00D50D34" w:rsidRDefault="00FD4D02" w:rsidP="00B027E1">
            <w:pPr>
              <w:spacing w:after="60"/>
              <w:jc w:val="right"/>
              <w:rPr>
                <w:sz w:val="18"/>
                <w:lang w:val="en-CA"/>
              </w:rPr>
            </w:pPr>
          </w:p>
        </w:tc>
        <w:tc>
          <w:tcPr>
            <w:tcW w:w="1985" w:type="dxa"/>
            <w:shd w:val="clear" w:color="auto" w:fill="auto"/>
          </w:tcPr>
          <w:p w:rsidR="00FD4D02" w:rsidRPr="00D50D34" w:rsidRDefault="00133D55" w:rsidP="00B027E1">
            <w:pPr>
              <w:spacing w:after="60"/>
              <w:jc w:val="right"/>
              <w:rPr>
                <w:sz w:val="18"/>
              </w:rPr>
            </w:pPr>
            <w:r>
              <w:rPr>
                <w:sz w:val="18"/>
              </w:rPr>
              <w:t>195,10</w:t>
            </w:r>
          </w:p>
        </w:tc>
      </w:tr>
      <w:tr w:rsidR="00FD4D02" w:rsidRPr="00D50D34" w:rsidTr="00FF38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jc w:val="center"/>
        </w:trPr>
        <w:tc>
          <w:tcPr>
            <w:tcW w:w="1200" w:type="dxa"/>
          </w:tcPr>
          <w:p w:rsidR="00FD4D02" w:rsidRPr="00D50D34" w:rsidRDefault="00FD4D02" w:rsidP="00B027E1">
            <w:pPr>
              <w:spacing w:after="60"/>
              <w:jc w:val="left"/>
              <w:rPr>
                <w:sz w:val="18"/>
              </w:rPr>
            </w:pPr>
            <w:r>
              <w:rPr>
                <w:sz w:val="18"/>
              </w:rPr>
              <w:t>HCFC-123</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rPr>
            </w:pPr>
            <w:r>
              <w:rPr>
                <w:sz w:val="18"/>
              </w:rPr>
              <w:t>0,33</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1032" w:type="dxa"/>
          </w:tcPr>
          <w:p w:rsidR="00FD4D02" w:rsidRPr="00D50D34" w:rsidRDefault="00FD4D02" w:rsidP="00B027E1">
            <w:pPr>
              <w:spacing w:after="60"/>
              <w:jc w:val="right"/>
              <w:rPr>
                <w:sz w:val="18"/>
                <w:lang w:val="en-CA"/>
              </w:rPr>
            </w:pPr>
          </w:p>
        </w:tc>
        <w:tc>
          <w:tcPr>
            <w:tcW w:w="1985" w:type="dxa"/>
          </w:tcPr>
          <w:p w:rsidR="00FD4D02" w:rsidRPr="00D50D34" w:rsidRDefault="00FD4D02" w:rsidP="00B027E1">
            <w:pPr>
              <w:spacing w:after="60"/>
              <w:jc w:val="right"/>
              <w:rPr>
                <w:sz w:val="18"/>
              </w:rPr>
            </w:pPr>
            <w:r>
              <w:rPr>
                <w:sz w:val="18"/>
              </w:rPr>
              <w:t>0,33</w:t>
            </w:r>
          </w:p>
        </w:tc>
      </w:tr>
      <w:tr w:rsidR="00FD4D02" w:rsidRPr="00D50D34" w:rsidTr="00FF3846">
        <w:trPr>
          <w:trHeight w:val="240"/>
          <w:jc w:val="center"/>
        </w:trPr>
        <w:tc>
          <w:tcPr>
            <w:tcW w:w="1200" w:type="dxa"/>
            <w:shd w:val="clear" w:color="auto" w:fill="auto"/>
          </w:tcPr>
          <w:p w:rsidR="00FD4D02" w:rsidRPr="00D50D34" w:rsidRDefault="00FD4D02" w:rsidP="00B027E1">
            <w:pPr>
              <w:spacing w:after="60"/>
              <w:jc w:val="left"/>
              <w:rPr>
                <w:sz w:val="18"/>
              </w:rPr>
            </w:pPr>
            <w:r>
              <w:rPr>
                <w:sz w:val="18"/>
              </w:rPr>
              <w:t>HCFC-225</w:t>
            </w: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lang w:val="en-CA"/>
              </w:rPr>
            </w:pPr>
          </w:p>
        </w:tc>
        <w:tc>
          <w:tcPr>
            <w:tcW w:w="0" w:type="auto"/>
            <w:shd w:val="clear" w:color="auto" w:fill="auto"/>
          </w:tcPr>
          <w:p w:rsidR="00FD4D02" w:rsidRPr="00D50D34" w:rsidRDefault="00FD4D02" w:rsidP="00B027E1">
            <w:pPr>
              <w:spacing w:after="60"/>
              <w:jc w:val="right"/>
              <w:rPr>
                <w:sz w:val="18"/>
              </w:rPr>
            </w:pPr>
            <w:r>
              <w:rPr>
                <w:sz w:val="18"/>
              </w:rPr>
              <w:t>1,88</w:t>
            </w:r>
          </w:p>
        </w:tc>
        <w:tc>
          <w:tcPr>
            <w:tcW w:w="0" w:type="auto"/>
            <w:shd w:val="clear" w:color="auto" w:fill="auto"/>
          </w:tcPr>
          <w:p w:rsidR="00FD4D02" w:rsidRPr="00D50D34" w:rsidRDefault="00FD4D02" w:rsidP="00B027E1">
            <w:pPr>
              <w:spacing w:after="60"/>
              <w:jc w:val="right"/>
              <w:rPr>
                <w:sz w:val="18"/>
                <w:lang w:val="en-CA"/>
              </w:rPr>
            </w:pPr>
          </w:p>
        </w:tc>
        <w:tc>
          <w:tcPr>
            <w:tcW w:w="1032" w:type="dxa"/>
            <w:shd w:val="clear" w:color="auto" w:fill="auto"/>
          </w:tcPr>
          <w:p w:rsidR="00FD4D02" w:rsidRPr="00D50D34" w:rsidRDefault="00FD4D02" w:rsidP="00B027E1">
            <w:pPr>
              <w:spacing w:after="60"/>
              <w:jc w:val="right"/>
              <w:rPr>
                <w:sz w:val="18"/>
                <w:lang w:val="en-CA"/>
              </w:rPr>
            </w:pPr>
          </w:p>
        </w:tc>
        <w:tc>
          <w:tcPr>
            <w:tcW w:w="1985" w:type="dxa"/>
            <w:shd w:val="clear" w:color="auto" w:fill="auto"/>
          </w:tcPr>
          <w:p w:rsidR="00FD4D02" w:rsidRPr="00D50D34" w:rsidRDefault="00FD4D02" w:rsidP="00B027E1">
            <w:pPr>
              <w:spacing w:after="60"/>
              <w:jc w:val="right"/>
              <w:rPr>
                <w:sz w:val="18"/>
              </w:rPr>
            </w:pPr>
            <w:r>
              <w:rPr>
                <w:sz w:val="18"/>
              </w:rPr>
              <w:t>1,88</w:t>
            </w:r>
          </w:p>
        </w:tc>
      </w:tr>
      <w:tr w:rsidR="00FD4D02" w:rsidRPr="00D50D34" w:rsidTr="00FF38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0"/>
          <w:jc w:val="center"/>
        </w:trPr>
        <w:tc>
          <w:tcPr>
            <w:tcW w:w="1200" w:type="dxa"/>
          </w:tcPr>
          <w:p w:rsidR="00FD4D02" w:rsidRPr="00D50D34" w:rsidRDefault="00FD4D02" w:rsidP="00B027E1">
            <w:pPr>
              <w:spacing w:after="60"/>
              <w:jc w:val="left"/>
              <w:rPr>
                <w:sz w:val="18"/>
              </w:rPr>
            </w:pPr>
            <w:r>
              <w:rPr>
                <w:sz w:val="18"/>
              </w:rPr>
              <w:t>HCFC-141b dans les polyols prémélangés importés</w:t>
            </w:r>
          </w:p>
        </w:tc>
        <w:tc>
          <w:tcPr>
            <w:tcW w:w="0" w:type="auto"/>
          </w:tcPr>
          <w:p w:rsidR="00FD4D02" w:rsidRPr="00436081" w:rsidRDefault="00FD4D02" w:rsidP="00B027E1">
            <w:pPr>
              <w:spacing w:after="60"/>
              <w:jc w:val="right"/>
              <w:rPr>
                <w:sz w:val="18"/>
              </w:rPr>
            </w:pPr>
          </w:p>
        </w:tc>
        <w:tc>
          <w:tcPr>
            <w:tcW w:w="0" w:type="auto"/>
          </w:tcPr>
          <w:p w:rsidR="00FD4D02" w:rsidRPr="00D50D34" w:rsidRDefault="00133D55" w:rsidP="00B027E1">
            <w:pPr>
              <w:spacing w:after="60"/>
              <w:jc w:val="right"/>
              <w:rPr>
                <w:sz w:val="18"/>
              </w:rPr>
            </w:pPr>
            <w:r>
              <w:rPr>
                <w:sz w:val="18"/>
              </w:rPr>
              <w:t>126,00</w:t>
            </w: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0" w:type="auto"/>
          </w:tcPr>
          <w:p w:rsidR="00FD4D02" w:rsidRPr="00D50D34" w:rsidRDefault="00FD4D02" w:rsidP="00B027E1">
            <w:pPr>
              <w:spacing w:after="60"/>
              <w:jc w:val="right"/>
              <w:rPr>
                <w:sz w:val="18"/>
                <w:lang w:val="en-CA"/>
              </w:rPr>
            </w:pPr>
          </w:p>
        </w:tc>
        <w:tc>
          <w:tcPr>
            <w:tcW w:w="1032" w:type="dxa"/>
          </w:tcPr>
          <w:p w:rsidR="00FD4D02" w:rsidRPr="00D50D34" w:rsidRDefault="00FD4D02" w:rsidP="00B027E1">
            <w:pPr>
              <w:spacing w:after="60"/>
              <w:jc w:val="right"/>
              <w:rPr>
                <w:sz w:val="18"/>
                <w:lang w:val="en-CA"/>
              </w:rPr>
            </w:pPr>
          </w:p>
        </w:tc>
        <w:tc>
          <w:tcPr>
            <w:tcW w:w="1985" w:type="dxa"/>
          </w:tcPr>
          <w:p w:rsidR="00FD4D02" w:rsidRPr="00D50D34" w:rsidRDefault="00133D55" w:rsidP="00B027E1">
            <w:pPr>
              <w:spacing w:after="60"/>
              <w:jc w:val="right"/>
              <w:rPr>
                <w:sz w:val="18"/>
              </w:rPr>
            </w:pPr>
            <w:r>
              <w:rPr>
                <w:sz w:val="18"/>
              </w:rPr>
              <w:t>126,00</w:t>
            </w:r>
          </w:p>
        </w:tc>
      </w:tr>
    </w:tbl>
    <w:p w:rsidR="00FD4D02" w:rsidRPr="00205490" w:rsidRDefault="00FD4D02" w:rsidP="00B027E1">
      <w:pPr>
        <w:spacing w:after="60"/>
        <w:jc w:val="center"/>
        <w:rPr>
          <w:sz w:val="16"/>
          <w:szCs w:val="16"/>
          <w:lang w:val="en-CA"/>
        </w:rP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92"/>
        <w:gridCol w:w="928"/>
        <w:gridCol w:w="4936"/>
        <w:gridCol w:w="2171"/>
      </w:tblGrid>
      <w:tr w:rsidR="00FD4D02" w:rsidRPr="00D50D34" w:rsidTr="00FF3846">
        <w:trPr>
          <w:trHeight w:val="240"/>
          <w:jc w:val="center"/>
        </w:trPr>
        <w:tc>
          <w:tcPr>
            <w:tcW w:w="10627" w:type="dxa"/>
            <w:gridSpan w:val="4"/>
            <w:shd w:val="clear" w:color="auto" w:fill="auto"/>
          </w:tcPr>
          <w:p w:rsidR="00FD4D02" w:rsidRPr="00D50D34" w:rsidRDefault="00FD4D02" w:rsidP="00B027E1">
            <w:pPr>
              <w:spacing w:after="60"/>
              <w:jc w:val="left"/>
              <w:rPr>
                <w:b/>
                <w:sz w:val="18"/>
              </w:rPr>
            </w:pPr>
            <w:r>
              <w:rPr>
                <w:b/>
                <w:sz w:val="18"/>
              </w:rPr>
              <w:t>(IV) DONNÉES DE CONSOMMATION (tonnes PAO)</w:t>
            </w:r>
          </w:p>
        </w:tc>
      </w:tr>
      <w:tr w:rsidR="00FD4D02" w:rsidRPr="00D50D34" w:rsidTr="00FF3846">
        <w:trPr>
          <w:trHeight w:val="240"/>
          <w:jc w:val="center"/>
        </w:trPr>
        <w:tc>
          <w:tcPr>
            <w:tcW w:w="0" w:type="auto"/>
            <w:shd w:val="clear" w:color="auto" w:fill="auto"/>
          </w:tcPr>
          <w:p w:rsidR="00FD4D02" w:rsidRPr="00D50D34" w:rsidRDefault="00FD4D02" w:rsidP="00B027E1">
            <w:pPr>
              <w:spacing w:after="60"/>
              <w:jc w:val="center"/>
              <w:rPr>
                <w:sz w:val="18"/>
              </w:rPr>
            </w:pPr>
            <w:r>
              <w:rPr>
                <w:sz w:val="18"/>
              </w:rPr>
              <w:t>Référence 2009 – 2010 :</w:t>
            </w:r>
          </w:p>
        </w:tc>
        <w:tc>
          <w:tcPr>
            <w:tcW w:w="0" w:type="auto"/>
            <w:shd w:val="clear" w:color="auto" w:fill="auto"/>
          </w:tcPr>
          <w:p w:rsidR="00FD4D02" w:rsidRPr="00D50D34" w:rsidRDefault="00FD4D02" w:rsidP="00B027E1">
            <w:pPr>
              <w:spacing w:after="60"/>
              <w:jc w:val="right"/>
              <w:rPr>
                <w:sz w:val="18"/>
              </w:rPr>
            </w:pPr>
            <w:r>
              <w:rPr>
                <w:sz w:val="18"/>
              </w:rPr>
              <w:t>221,2</w:t>
            </w:r>
          </w:p>
        </w:tc>
        <w:tc>
          <w:tcPr>
            <w:tcW w:w="0" w:type="auto"/>
            <w:shd w:val="clear" w:color="auto" w:fill="auto"/>
          </w:tcPr>
          <w:p w:rsidR="00FD4D02" w:rsidRPr="00D50D34" w:rsidRDefault="00FD4D02" w:rsidP="00B027E1">
            <w:pPr>
              <w:spacing w:after="60"/>
              <w:jc w:val="center"/>
              <w:rPr>
                <w:sz w:val="18"/>
              </w:rPr>
            </w:pPr>
            <w:r>
              <w:rPr>
                <w:sz w:val="18"/>
              </w:rPr>
              <w:t>Point de départ des réductions globales durables :</w:t>
            </w:r>
          </w:p>
        </w:tc>
        <w:tc>
          <w:tcPr>
            <w:tcW w:w="1663" w:type="dxa"/>
            <w:shd w:val="clear" w:color="auto" w:fill="auto"/>
          </w:tcPr>
          <w:p w:rsidR="00FD4D02" w:rsidRPr="00D50D34" w:rsidRDefault="00FD4D02" w:rsidP="00B027E1">
            <w:pPr>
              <w:spacing w:after="60"/>
              <w:jc w:val="right"/>
              <w:rPr>
                <w:sz w:val="18"/>
              </w:rPr>
            </w:pPr>
            <w:r>
              <w:rPr>
                <w:sz w:val="18"/>
              </w:rPr>
              <w:t>385,77</w:t>
            </w:r>
          </w:p>
        </w:tc>
      </w:tr>
      <w:tr w:rsidR="00FD4D02" w:rsidRPr="00D50D34" w:rsidTr="00FF3846">
        <w:trPr>
          <w:trHeight w:val="240"/>
          <w:jc w:val="center"/>
        </w:trPr>
        <w:tc>
          <w:tcPr>
            <w:tcW w:w="10627" w:type="dxa"/>
            <w:gridSpan w:val="4"/>
            <w:shd w:val="clear" w:color="auto" w:fill="auto"/>
          </w:tcPr>
          <w:p w:rsidR="00FD4D02" w:rsidRPr="00D50D34" w:rsidRDefault="00FD4D02" w:rsidP="00B027E1">
            <w:pPr>
              <w:spacing w:after="60"/>
              <w:jc w:val="center"/>
              <w:rPr>
                <w:b/>
                <w:sz w:val="18"/>
              </w:rPr>
            </w:pPr>
            <w:r>
              <w:rPr>
                <w:b/>
                <w:sz w:val="18"/>
              </w:rPr>
              <w:t>CONSOMMATION ADMISSIBLE AU FINANCEMENT (tonnes PAO)</w:t>
            </w:r>
          </w:p>
        </w:tc>
      </w:tr>
      <w:tr w:rsidR="00FD4D02" w:rsidRPr="00D50D34" w:rsidTr="00FF3846">
        <w:trPr>
          <w:trHeight w:val="240"/>
          <w:jc w:val="center"/>
        </w:trPr>
        <w:tc>
          <w:tcPr>
            <w:tcW w:w="0" w:type="auto"/>
            <w:shd w:val="clear" w:color="auto" w:fill="auto"/>
          </w:tcPr>
          <w:p w:rsidR="00FD4D02" w:rsidRPr="00D50D34" w:rsidRDefault="00FD4D02" w:rsidP="00B027E1">
            <w:pPr>
              <w:spacing w:after="60"/>
              <w:jc w:val="center"/>
              <w:rPr>
                <w:sz w:val="18"/>
              </w:rPr>
            </w:pPr>
            <w:r>
              <w:rPr>
                <w:sz w:val="18"/>
              </w:rPr>
              <w:t>Déjà approuvée :</w:t>
            </w:r>
          </w:p>
        </w:tc>
        <w:tc>
          <w:tcPr>
            <w:tcW w:w="0" w:type="auto"/>
            <w:shd w:val="clear" w:color="auto" w:fill="auto"/>
          </w:tcPr>
          <w:p w:rsidR="00FD4D02" w:rsidRPr="00D50D34" w:rsidRDefault="004E51B4" w:rsidP="004E51B4">
            <w:pPr>
              <w:spacing w:after="60"/>
              <w:jc w:val="right"/>
              <w:rPr>
                <w:sz w:val="18"/>
              </w:rPr>
            </w:pPr>
            <w:r>
              <w:rPr>
                <w:sz w:val="18"/>
              </w:rPr>
              <w:t>273,77</w:t>
            </w:r>
          </w:p>
        </w:tc>
        <w:tc>
          <w:tcPr>
            <w:tcW w:w="0" w:type="auto"/>
            <w:shd w:val="clear" w:color="auto" w:fill="auto"/>
          </w:tcPr>
          <w:p w:rsidR="00FD4D02" w:rsidRPr="00D50D34" w:rsidRDefault="00FD4D02" w:rsidP="00B027E1">
            <w:pPr>
              <w:spacing w:after="60"/>
              <w:jc w:val="center"/>
              <w:rPr>
                <w:sz w:val="18"/>
              </w:rPr>
            </w:pPr>
            <w:r>
              <w:rPr>
                <w:sz w:val="18"/>
              </w:rPr>
              <w:t>Restante :</w:t>
            </w:r>
          </w:p>
        </w:tc>
        <w:tc>
          <w:tcPr>
            <w:tcW w:w="1663" w:type="dxa"/>
            <w:shd w:val="clear" w:color="auto" w:fill="auto"/>
          </w:tcPr>
          <w:p w:rsidR="00FD4D02" w:rsidRPr="00D50D34" w:rsidRDefault="004E51B4" w:rsidP="004E51B4">
            <w:pPr>
              <w:spacing w:after="60"/>
              <w:jc w:val="right"/>
              <w:rPr>
                <w:sz w:val="18"/>
              </w:rPr>
            </w:pPr>
            <w:r>
              <w:rPr>
                <w:sz w:val="18"/>
              </w:rPr>
              <w:t>112,00</w:t>
            </w:r>
          </w:p>
        </w:tc>
      </w:tr>
    </w:tbl>
    <w:p w:rsidR="00FD4D02" w:rsidRPr="00205490" w:rsidRDefault="00FD4D02" w:rsidP="00B027E1">
      <w:pPr>
        <w:spacing w:after="60"/>
        <w:jc w:val="center"/>
        <w:rPr>
          <w:sz w:val="16"/>
          <w:szCs w:val="16"/>
          <w:lang w:val="en-CA"/>
        </w:rPr>
      </w:pPr>
    </w:p>
    <w:tbl>
      <w:tblPr>
        <w:tblStyle w:val="TableGrid"/>
        <w:tblW w:w="1070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78"/>
        <w:gridCol w:w="3067"/>
        <w:gridCol w:w="1665"/>
        <w:gridCol w:w="1665"/>
        <w:gridCol w:w="1665"/>
        <w:gridCol w:w="1665"/>
      </w:tblGrid>
      <w:tr w:rsidR="00FD4D02" w:rsidRPr="00D50D34" w:rsidTr="00205490">
        <w:trPr>
          <w:trHeight w:val="240"/>
          <w:jc w:val="center"/>
        </w:trPr>
        <w:tc>
          <w:tcPr>
            <w:tcW w:w="4045" w:type="dxa"/>
            <w:gridSpan w:val="2"/>
            <w:shd w:val="clear" w:color="auto" w:fill="auto"/>
          </w:tcPr>
          <w:p w:rsidR="00FD4D02" w:rsidRPr="00D50D34" w:rsidRDefault="00FD4D02" w:rsidP="00B027E1">
            <w:pPr>
              <w:spacing w:after="60"/>
              <w:jc w:val="left"/>
              <w:rPr>
                <w:b/>
                <w:sz w:val="18"/>
              </w:rPr>
            </w:pPr>
            <w:r>
              <w:rPr>
                <w:b/>
                <w:sz w:val="18"/>
              </w:rPr>
              <w:t>(V) PLAN D’ACTIVITÉS</w:t>
            </w:r>
          </w:p>
        </w:tc>
        <w:tc>
          <w:tcPr>
            <w:tcW w:w="1665" w:type="dxa"/>
            <w:shd w:val="clear" w:color="auto" w:fill="auto"/>
          </w:tcPr>
          <w:p w:rsidR="00FD4D02" w:rsidRPr="00D50D34" w:rsidRDefault="00FD4D02" w:rsidP="00B027E1">
            <w:pPr>
              <w:spacing w:after="60"/>
              <w:jc w:val="center"/>
              <w:rPr>
                <w:b/>
                <w:sz w:val="18"/>
              </w:rPr>
            </w:pPr>
            <w:r>
              <w:rPr>
                <w:b/>
                <w:sz w:val="18"/>
              </w:rPr>
              <w:t>2019</w:t>
            </w:r>
          </w:p>
        </w:tc>
        <w:tc>
          <w:tcPr>
            <w:tcW w:w="1665" w:type="dxa"/>
            <w:shd w:val="clear" w:color="auto" w:fill="auto"/>
          </w:tcPr>
          <w:p w:rsidR="00FD4D02" w:rsidRPr="00D50D34" w:rsidRDefault="00FD4D02" w:rsidP="00B027E1">
            <w:pPr>
              <w:spacing w:after="60"/>
              <w:jc w:val="center"/>
              <w:rPr>
                <w:b/>
                <w:sz w:val="18"/>
              </w:rPr>
            </w:pPr>
            <w:r>
              <w:rPr>
                <w:b/>
                <w:sz w:val="18"/>
              </w:rPr>
              <w:t>2020</w:t>
            </w:r>
          </w:p>
        </w:tc>
        <w:tc>
          <w:tcPr>
            <w:tcW w:w="1665" w:type="dxa"/>
            <w:shd w:val="clear" w:color="auto" w:fill="auto"/>
          </w:tcPr>
          <w:p w:rsidR="00FD4D02" w:rsidRPr="00D50D34" w:rsidRDefault="00FD4D02" w:rsidP="00B027E1">
            <w:pPr>
              <w:spacing w:after="60"/>
              <w:jc w:val="center"/>
              <w:rPr>
                <w:b/>
                <w:sz w:val="18"/>
              </w:rPr>
            </w:pPr>
            <w:r>
              <w:rPr>
                <w:b/>
                <w:sz w:val="18"/>
              </w:rPr>
              <w:t>2021</w:t>
            </w:r>
          </w:p>
        </w:tc>
        <w:tc>
          <w:tcPr>
            <w:tcW w:w="1665" w:type="dxa"/>
            <w:shd w:val="clear" w:color="auto" w:fill="auto"/>
          </w:tcPr>
          <w:p w:rsidR="00FD4D02" w:rsidRPr="00D50D34" w:rsidRDefault="00FD4D02" w:rsidP="00B027E1">
            <w:pPr>
              <w:spacing w:after="60"/>
              <w:jc w:val="center"/>
              <w:rPr>
                <w:b/>
                <w:sz w:val="18"/>
              </w:rPr>
            </w:pPr>
            <w:r>
              <w:rPr>
                <w:b/>
                <w:sz w:val="18"/>
              </w:rPr>
              <w:t>Total</w:t>
            </w:r>
          </w:p>
        </w:tc>
      </w:tr>
      <w:tr w:rsidR="00FD4D02" w:rsidRPr="00D50D34" w:rsidTr="00205490">
        <w:trPr>
          <w:trHeight w:val="240"/>
          <w:jc w:val="center"/>
        </w:trPr>
        <w:tc>
          <w:tcPr>
            <w:tcW w:w="0" w:type="auto"/>
            <w:vMerge w:val="restart"/>
            <w:shd w:val="clear" w:color="auto" w:fill="auto"/>
          </w:tcPr>
          <w:p w:rsidR="00FD4D02" w:rsidRPr="00D50D34" w:rsidRDefault="00FD4D02" w:rsidP="00B027E1">
            <w:pPr>
              <w:spacing w:after="60"/>
              <w:jc w:val="center"/>
              <w:rPr>
                <w:sz w:val="18"/>
              </w:rPr>
            </w:pPr>
            <w:r>
              <w:rPr>
                <w:sz w:val="18"/>
              </w:rPr>
              <w:t>Banque mondiale</w:t>
            </w:r>
          </w:p>
        </w:tc>
        <w:tc>
          <w:tcPr>
            <w:tcW w:w="3067" w:type="dxa"/>
            <w:shd w:val="clear" w:color="auto" w:fill="auto"/>
          </w:tcPr>
          <w:p w:rsidR="00FD4D02" w:rsidRPr="00D50D34" w:rsidRDefault="00FD4D02" w:rsidP="00B027E1">
            <w:pPr>
              <w:spacing w:after="60"/>
              <w:jc w:val="left"/>
              <w:rPr>
                <w:sz w:val="18"/>
              </w:rPr>
            </w:pPr>
            <w:r>
              <w:rPr>
                <w:sz w:val="18"/>
              </w:rPr>
              <w:t>Élimination des SAO (tonnes PAO)</w:t>
            </w:r>
          </w:p>
        </w:tc>
        <w:tc>
          <w:tcPr>
            <w:tcW w:w="1665" w:type="dxa"/>
            <w:shd w:val="clear" w:color="auto" w:fill="auto"/>
          </w:tcPr>
          <w:p w:rsidR="00FD4D02" w:rsidRPr="00D50D34" w:rsidRDefault="00FD4D02" w:rsidP="00B027E1">
            <w:pPr>
              <w:spacing w:after="60"/>
              <w:jc w:val="right"/>
              <w:rPr>
                <w:sz w:val="18"/>
              </w:rPr>
            </w:pPr>
            <w:r>
              <w:rPr>
                <w:sz w:val="18"/>
              </w:rPr>
              <w:t>53,14</w:t>
            </w:r>
          </w:p>
        </w:tc>
        <w:tc>
          <w:tcPr>
            <w:tcW w:w="1665" w:type="dxa"/>
            <w:shd w:val="clear" w:color="auto" w:fill="auto"/>
          </w:tcPr>
          <w:p w:rsidR="00FD4D02" w:rsidRPr="00D50D34" w:rsidRDefault="00FD4D02" w:rsidP="00B027E1">
            <w:pPr>
              <w:spacing w:after="60"/>
              <w:jc w:val="right"/>
              <w:rPr>
                <w:sz w:val="18"/>
              </w:rPr>
            </w:pPr>
            <w:r>
              <w:rPr>
                <w:sz w:val="18"/>
              </w:rPr>
              <w:t>65,29</w:t>
            </w:r>
          </w:p>
        </w:tc>
        <w:tc>
          <w:tcPr>
            <w:tcW w:w="1665" w:type="dxa"/>
            <w:shd w:val="clear" w:color="auto" w:fill="auto"/>
          </w:tcPr>
          <w:p w:rsidR="00FD4D02" w:rsidRPr="00D50D34" w:rsidRDefault="00FD4D02" w:rsidP="00B027E1">
            <w:pPr>
              <w:spacing w:after="60"/>
              <w:jc w:val="right"/>
              <w:rPr>
                <w:sz w:val="18"/>
              </w:rPr>
            </w:pPr>
            <w:r>
              <w:rPr>
                <w:sz w:val="18"/>
              </w:rPr>
              <w:t>6,53</w:t>
            </w:r>
          </w:p>
        </w:tc>
        <w:tc>
          <w:tcPr>
            <w:tcW w:w="1665" w:type="dxa"/>
            <w:shd w:val="clear" w:color="auto" w:fill="auto"/>
          </w:tcPr>
          <w:p w:rsidR="00FD4D02" w:rsidRPr="00233EF1" w:rsidRDefault="00FD4D02" w:rsidP="00B027E1">
            <w:pPr>
              <w:spacing w:after="60"/>
              <w:jc w:val="right"/>
              <w:rPr>
                <w:sz w:val="18"/>
              </w:rPr>
            </w:pPr>
            <w:r w:rsidRPr="00233EF1">
              <w:rPr>
                <w:sz w:val="18"/>
              </w:rPr>
              <w:fldChar w:fldCharType="begin"/>
            </w:r>
            <w:r w:rsidRPr="00233EF1">
              <w:rPr>
                <w:sz w:val="18"/>
              </w:rPr>
              <w:instrText xml:space="preserve"> =SUM(LEFT) </w:instrText>
            </w:r>
            <w:r w:rsidRPr="00233EF1">
              <w:rPr>
                <w:sz w:val="18"/>
              </w:rPr>
              <w:fldChar w:fldCharType="separate"/>
            </w:r>
            <w:r w:rsidR="00436081">
              <w:rPr>
                <w:noProof/>
                <w:sz w:val="18"/>
              </w:rPr>
              <w:t>124,96</w:t>
            </w:r>
            <w:r w:rsidRPr="00233EF1">
              <w:rPr>
                <w:sz w:val="18"/>
              </w:rPr>
              <w:fldChar w:fldCharType="end"/>
            </w:r>
          </w:p>
        </w:tc>
      </w:tr>
      <w:tr w:rsidR="00FD4D02" w:rsidRPr="00D50D34" w:rsidTr="00205490">
        <w:trPr>
          <w:trHeight w:val="240"/>
          <w:jc w:val="center"/>
        </w:trPr>
        <w:tc>
          <w:tcPr>
            <w:tcW w:w="0" w:type="auto"/>
            <w:vMerge/>
            <w:shd w:val="clear" w:color="auto" w:fill="auto"/>
          </w:tcPr>
          <w:p w:rsidR="00FD4D02" w:rsidRPr="00D50D34" w:rsidRDefault="00FD4D02" w:rsidP="00B027E1">
            <w:pPr>
              <w:spacing w:after="60"/>
              <w:jc w:val="center"/>
              <w:rPr>
                <w:sz w:val="18"/>
                <w:lang w:val="en-CA"/>
              </w:rPr>
            </w:pPr>
          </w:p>
        </w:tc>
        <w:tc>
          <w:tcPr>
            <w:tcW w:w="3067" w:type="dxa"/>
            <w:shd w:val="clear" w:color="auto" w:fill="auto"/>
          </w:tcPr>
          <w:p w:rsidR="00FD4D02" w:rsidRPr="00D50D34" w:rsidRDefault="00FD4D02" w:rsidP="00B027E1">
            <w:pPr>
              <w:spacing w:after="60"/>
              <w:jc w:val="left"/>
              <w:rPr>
                <w:sz w:val="18"/>
              </w:rPr>
            </w:pPr>
            <w:r>
              <w:rPr>
                <w:sz w:val="18"/>
              </w:rPr>
              <w:t>Financement ($US)</w:t>
            </w:r>
          </w:p>
        </w:tc>
        <w:tc>
          <w:tcPr>
            <w:tcW w:w="1665" w:type="dxa"/>
            <w:shd w:val="clear" w:color="auto" w:fill="auto"/>
          </w:tcPr>
          <w:p w:rsidR="00FD4D02" w:rsidRPr="00D50D34" w:rsidRDefault="00FD4D02" w:rsidP="00B027E1">
            <w:pPr>
              <w:spacing w:after="60"/>
              <w:jc w:val="right"/>
              <w:rPr>
                <w:sz w:val="18"/>
              </w:rPr>
            </w:pPr>
            <w:r>
              <w:rPr>
                <w:sz w:val="18"/>
              </w:rPr>
              <w:t>6 377 682</w:t>
            </w:r>
          </w:p>
        </w:tc>
        <w:tc>
          <w:tcPr>
            <w:tcW w:w="1665" w:type="dxa"/>
            <w:shd w:val="clear" w:color="auto" w:fill="auto"/>
          </w:tcPr>
          <w:p w:rsidR="00FD4D02" w:rsidRPr="00D50D34" w:rsidRDefault="00FD4D02" w:rsidP="00B027E1">
            <w:pPr>
              <w:spacing w:after="60"/>
              <w:jc w:val="right"/>
              <w:rPr>
                <w:sz w:val="18"/>
              </w:rPr>
            </w:pPr>
            <w:r>
              <w:rPr>
                <w:sz w:val="18"/>
              </w:rPr>
              <w:t>7 834 987</w:t>
            </w:r>
          </w:p>
        </w:tc>
        <w:tc>
          <w:tcPr>
            <w:tcW w:w="1665" w:type="dxa"/>
            <w:shd w:val="clear" w:color="auto" w:fill="auto"/>
          </w:tcPr>
          <w:p w:rsidR="00FD4D02" w:rsidRPr="00D50D34" w:rsidRDefault="00FD4D02" w:rsidP="00B027E1">
            <w:pPr>
              <w:spacing w:after="60"/>
              <w:jc w:val="right"/>
              <w:rPr>
                <w:sz w:val="18"/>
              </w:rPr>
            </w:pPr>
            <w:r>
              <w:rPr>
                <w:sz w:val="18"/>
              </w:rPr>
              <w:t>783 499</w:t>
            </w:r>
          </w:p>
        </w:tc>
        <w:tc>
          <w:tcPr>
            <w:tcW w:w="1665" w:type="dxa"/>
            <w:shd w:val="clear" w:color="auto" w:fill="auto"/>
          </w:tcPr>
          <w:p w:rsidR="00FD4D02" w:rsidRPr="00233EF1" w:rsidRDefault="00FD4D02" w:rsidP="00B027E1">
            <w:pPr>
              <w:spacing w:after="60"/>
              <w:jc w:val="right"/>
              <w:rPr>
                <w:sz w:val="18"/>
              </w:rPr>
            </w:pPr>
            <w:r w:rsidRPr="00233EF1">
              <w:rPr>
                <w:sz w:val="18"/>
              </w:rPr>
              <w:fldChar w:fldCharType="begin"/>
            </w:r>
            <w:r w:rsidRPr="00233EF1">
              <w:rPr>
                <w:sz w:val="18"/>
              </w:rPr>
              <w:instrText xml:space="preserve"> =SUM(left) </w:instrText>
            </w:r>
            <w:r w:rsidRPr="00233EF1">
              <w:rPr>
                <w:sz w:val="18"/>
              </w:rPr>
              <w:fldChar w:fldCharType="separate"/>
            </w:r>
            <w:r w:rsidR="00436081">
              <w:rPr>
                <w:noProof/>
                <w:sz w:val="18"/>
              </w:rPr>
              <w:t>14 996 168</w:t>
            </w:r>
            <w:r w:rsidRPr="00233EF1">
              <w:rPr>
                <w:sz w:val="18"/>
              </w:rPr>
              <w:fldChar w:fldCharType="end"/>
            </w:r>
          </w:p>
        </w:tc>
      </w:tr>
      <w:tr w:rsidR="00FD4D02" w:rsidRPr="00D50D34" w:rsidTr="00205490">
        <w:trPr>
          <w:trHeight w:val="240"/>
          <w:jc w:val="center"/>
        </w:trPr>
        <w:tc>
          <w:tcPr>
            <w:tcW w:w="0" w:type="auto"/>
            <w:vMerge w:val="restart"/>
            <w:shd w:val="clear" w:color="auto" w:fill="auto"/>
          </w:tcPr>
          <w:p w:rsidR="00FD4D02" w:rsidRPr="00D50D34" w:rsidRDefault="00FD4D02" w:rsidP="00B027E1">
            <w:pPr>
              <w:spacing w:after="60"/>
              <w:jc w:val="center"/>
              <w:rPr>
                <w:sz w:val="18"/>
              </w:rPr>
            </w:pPr>
            <w:r>
              <w:rPr>
                <w:sz w:val="18"/>
              </w:rPr>
              <w:t>Japon</w:t>
            </w:r>
          </w:p>
        </w:tc>
        <w:tc>
          <w:tcPr>
            <w:tcW w:w="3067" w:type="dxa"/>
            <w:shd w:val="clear" w:color="auto" w:fill="auto"/>
          </w:tcPr>
          <w:p w:rsidR="00FD4D02" w:rsidRPr="00D50D34" w:rsidRDefault="00FD4D02" w:rsidP="00B027E1">
            <w:pPr>
              <w:spacing w:after="60"/>
              <w:jc w:val="left"/>
              <w:rPr>
                <w:sz w:val="18"/>
              </w:rPr>
            </w:pPr>
            <w:r>
              <w:rPr>
                <w:sz w:val="18"/>
              </w:rPr>
              <w:t>Élimination des SAO (tonnes PAO)</w:t>
            </w:r>
          </w:p>
        </w:tc>
        <w:tc>
          <w:tcPr>
            <w:tcW w:w="1665" w:type="dxa"/>
            <w:shd w:val="clear" w:color="auto" w:fill="auto"/>
          </w:tcPr>
          <w:p w:rsidR="00FD4D02" w:rsidRPr="00D50D34" w:rsidRDefault="00FD4D02" w:rsidP="00B027E1">
            <w:pPr>
              <w:spacing w:after="60"/>
              <w:jc w:val="right"/>
              <w:rPr>
                <w:sz w:val="18"/>
              </w:rPr>
            </w:pPr>
            <w:r>
              <w:rPr>
                <w:sz w:val="18"/>
              </w:rPr>
              <w:t>1,70</w:t>
            </w:r>
          </w:p>
        </w:tc>
        <w:tc>
          <w:tcPr>
            <w:tcW w:w="1665" w:type="dxa"/>
            <w:shd w:val="clear" w:color="auto" w:fill="auto"/>
          </w:tcPr>
          <w:p w:rsidR="00FD4D02" w:rsidRPr="00D50D34" w:rsidRDefault="00FD4D02" w:rsidP="00B027E1">
            <w:pPr>
              <w:spacing w:after="60"/>
              <w:jc w:val="right"/>
              <w:rPr>
                <w:sz w:val="18"/>
              </w:rPr>
            </w:pPr>
            <w:r>
              <w:rPr>
                <w:sz w:val="18"/>
              </w:rPr>
              <w:t>0</w:t>
            </w:r>
          </w:p>
        </w:tc>
        <w:tc>
          <w:tcPr>
            <w:tcW w:w="1665" w:type="dxa"/>
            <w:shd w:val="clear" w:color="auto" w:fill="auto"/>
          </w:tcPr>
          <w:p w:rsidR="00FD4D02" w:rsidRPr="00D50D34" w:rsidRDefault="00FD4D02" w:rsidP="00B027E1">
            <w:pPr>
              <w:spacing w:after="60"/>
              <w:jc w:val="right"/>
              <w:rPr>
                <w:sz w:val="18"/>
              </w:rPr>
            </w:pPr>
            <w:r>
              <w:rPr>
                <w:sz w:val="18"/>
              </w:rPr>
              <w:t>0</w:t>
            </w:r>
          </w:p>
        </w:tc>
        <w:tc>
          <w:tcPr>
            <w:tcW w:w="1665" w:type="dxa"/>
            <w:shd w:val="clear" w:color="auto" w:fill="auto"/>
          </w:tcPr>
          <w:p w:rsidR="00FD4D02" w:rsidRPr="00233EF1" w:rsidRDefault="00FD4D02" w:rsidP="00B027E1">
            <w:pPr>
              <w:spacing w:after="60"/>
              <w:jc w:val="right"/>
              <w:rPr>
                <w:sz w:val="18"/>
              </w:rPr>
            </w:pPr>
            <w:r>
              <w:rPr>
                <w:sz w:val="18"/>
              </w:rPr>
              <w:t>1,70</w:t>
            </w:r>
          </w:p>
        </w:tc>
      </w:tr>
      <w:tr w:rsidR="00FD4D02" w:rsidRPr="00D50D34" w:rsidTr="00205490">
        <w:trPr>
          <w:trHeight w:val="240"/>
          <w:jc w:val="center"/>
        </w:trPr>
        <w:tc>
          <w:tcPr>
            <w:tcW w:w="0" w:type="auto"/>
            <w:vMerge/>
            <w:shd w:val="clear" w:color="auto" w:fill="auto"/>
          </w:tcPr>
          <w:p w:rsidR="00FD4D02" w:rsidRPr="00D50D34" w:rsidRDefault="00FD4D02" w:rsidP="00B027E1">
            <w:pPr>
              <w:spacing w:after="60"/>
              <w:jc w:val="center"/>
              <w:rPr>
                <w:sz w:val="18"/>
                <w:lang w:val="en-CA"/>
              </w:rPr>
            </w:pPr>
          </w:p>
        </w:tc>
        <w:tc>
          <w:tcPr>
            <w:tcW w:w="3067" w:type="dxa"/>
            <w:shd w:val="clear" w:color="auto" w:fill="auto"/>
          </w:tcPr>
          <w:p w:rsidR="00FD4D02" w:rsidRPr="00D50D34" w:rsidRDefault="00FD4D02" w:rsidP="00B027E1">
            <w:pPr>
              <w:spacing w:after="60"/>
              <w:jc w:val="left"/>
              <w:rPr>
                <w:sz w:val="18"/>
              </w:rPr>
            </w:pPr>
            <w:r>
              <w:rPr>
                <w:sz w:val="18"/>
              </w:rPr>
              <w:t>Financement ($US)</w:t>
            </w:r>
          </w:p>
        </w:tc>
        <w:tc>
          <w:tcPr>
            <w:tcW w:w="1665" w:type="dxa"/>
            <w:shd w:val="clear" w:color="auto" w:fill="auto"/>
          </w:tcPr>
          <w:p w:rsidR="00FD4D02" w:rsidRPr="00D50D34" w:rsidRDefault="00FD4D02" w:rsidP="00B027E1">
            <w:pPr>
              <w:spacing w:after="60"/>
              <w:jc w:val="right"/>
              <w:rPr>
                <w:sz w:val="18"/>
              </w:rPr>
            </w:pPr>
            <w:r>
              <w:rPr>
                <w:sz w:val="18"/>
              </w:rPr>
              <w:t>215 129</w:t>
            </w:r>
          </w:p>
        </w:tc>
        <w:tc>
          <w:tcPr>
            <w:tcW w:w="1665" w:type="dxa"/>
            <w:shd w:val="clear" w:color="auto" w:fill="auto"/>
          </w:tcPr>
          <w:p w:rsidR="00FD4D02" w:rsidRPr="00D50D34" w:rsidRDefault="00FD4D02" w:rsidP="00B027E1">
            <w:pPr>
              <w:spacing w:after="60"/>
              <w:jc w:val="right"/>
              <w:rPr>
                <w:sz w:val="18"/>
              </w:rPr>
            </w:pPr>
            <w:r>
              <w:rPr>
                <w:sz w:val="18"/>
              </w:rPr>
              <w:t>0</w:t>
            </w:r>
          </w:p>
        </w:tc>
        <w:tc>
          <w:tcPr>
            <w:tcW w:w="1665" w:type="dxa"/>
            <w:shd w:val="clear" w:color="auto" w:fill="auto"/>
          </w:tcPr>
          <w:p w:rsidR="00FD4D02" w:rsidRPr="00D50D34" w:rsidRDefault="00FD4D02" w:rsidP="00B027E1">
            <w:pPr>
              <w:spacing w:after="60"/>
              <w:jc w:val="right"/>
              <w:rPr>
                <w:sz w:val="18"/>
              </w:rPr>
            </w:pPr>
            <w:r>
              <w:rPr>
                <w:sz w:val="18"/>
              </w:rPr>
              <w:t>0</w:t>
            </w:r>
          </w:p>
        </w:tc>
        <w:tc>
          <w:tcPr>
            <w:tcW w:w="1665" w:type="dxa"/>
            <w:shd w:val="clear" w:color="auto" w:fill="auto"/>
          </w:tcPr>
          <w:p w:rsidR="00FD4D02" w:rsidRPr="00233EF1" w:rsidRDefault="00FD4D02" w:rsidP="00B027E1">
            <w:pPr>
              <w:spacing w:after="60"/>
              <w:jc w:val="right"/>
              <w:rPr>
                <w:sz w:val="18"/>
              </w:rPr>
            </w:pPr>
            <w:r w:rsidRPr="00233EF1">
              <w:rPr>
                <w:sz w:val="18"/>
              </w:rPr>
              <w:fldChar w:fldCharType="begin"/>
            </w:r>
            <w:r w:rsidRPr="00233EF1">
              <w:rPr>
                <w:sz w:val="18"/>
              </w:rPr>
              <w:instrText xml:space="preserve"> =SUM(left) </w:instrText>
            </w:r>
            <w:r w:rsidRPr="00233EF1">
              <w:rPr>
                <w:sz w:val="18"/>
              </w:rPr>
              <w:fldChar w:fldCharType="separate"/>
            </w:r>
            <w:r w:rsidR="00436081">
              <w:rPr>
                <w:noProof/>
                <w:sz w:val="18"/>
              </w:rPr>
              <w:t>215 129</w:t>
            </w:r>
            <w:r w:rsidRPr="00233EF1">
              <w:rPr>
                <w:sz w:val="18"/>
              </w:rPr>
              <w:fldChar w:fldCharType="end"/>
            </w:r>
          </w:p>
        </w:tc>
      </w:tr>
    </w:tbl>
    <w:p w:rsidR="00FD4D02" w:rsidRPr="00205490" w:rsidRDefault="00FD4D02" w:rsidP="00B027E1">
      <w:pPr>
        <w:spacing w:after="60"/>
        <w:jc w:val="center"/>
        <w:rPr>
          <w:sz w:val="16"/>
          <w:szCs w:val="16"/>
          <w:lang w:val="en-CA"/>
        </w:rPr>
      </w:pPr>
    </w:p>
    <w:tbl>
      <w:tblPr>
        <w:tblStyle w:val="TableGrid"/>
        <w:tblW w:w="1099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11"/>
        <w:gridCol w:w="1579"/>
        <w:gridCol w:w="1350"/>
        <w:gridCol w:w="900"/>
        <w:gridCol w:w="990"/>
        <w:gridCol w:w="990"/>
        <w:gridCol w:w="990"/>
        <w:gridCol w:w="990"/>
        <w:gridCol w:w="837"/>
        <w:gridCol w:w="1155"/>
      </w:tblGrid>
      <w:tr w:rsidR="00FD4D02" w:rsidRPr="00D50D34" w:rsidTr="00205490">
        <w:trPr>
          <w:jc w:val="center"/>
        </w:trPr>
        <w:tc>
          <w:tcPr>
            <w:tcW w:w="4140" w:type="dxa"/>
            <w:gridSpan w:val="3"/>
            <w:shd w:val="clear" w:color="auto" w:fill="auto"/>
          </w:tcPr>
          <w:p w:rsidR="00FD4D02" w:rsidRPr="00D50D34" w:rsidRDefault="00FD4D02" w:rsidP="00B027E1">
            <w:pPr>
              <w:spacing w:after="60"/>
              <w:jc w:val="left"/>
              <w:rPr>
                <w:b/>
                <w:sz w:val="18"/>
              </w:rPr>
            </w:pPr>
            <w:r>
              <w:rPr>
                <w:b/>
                <w:sz w:val="18"/>
              </w:rPr>
              <w:t>(VI) DONNÉES DU PROJET</w:t>
            </w:r>
          </w:p>
        </w:tc>
        <w:tc>
          <w:tcPr>
            <w:tcW w:w="900" w:type="dxa"/>
            <w:shd w:val="clear" w:color="auto" w:fill="auto"/>
          </w:tcPr>
          <w:p w:rsidR="00FD4D02" w:rsidRPr="00D50D34" w:rsidRDefault="00FD4D02" w:rsidP="00B027E1">
            <w:pPr>
              <w:spacing w:after="60"/>
              <w:jc w:val="center"/>
              <w:rPr>
                <w:b/>
                <w:sz w:val="18"/>
              </w:rPr>
            </w:pPr>
            <w:r>
              <w:rPr>
                <w:b/>
                <w:sz w:val="18"/>
              </w:rPr>
              <w:t>2016*</w:t>
            </w:r>
          </w:p>
        </w:tc>
        <w:tc>
          <w:tcPr>
            <w:tcW w:w="990" w:type="dxa"/>
            <w:shd w:val="clear" w:color="auto" w:fill="auto"/>
          </w:tcPr>
          <w:p w:rsidR="00FD4D02" w:rsidRPr="00D50D34" w:rsidRDefault="00FD4D02" w:rsidP="00B027E1">
            <w:pPr>
              <w:spacing w:after="60"/>
              <w:jc w:val="center"/>
              <w:rPr>
                <w:b/>
                <w:sz w:val="18"/>
              </w:rPr>
            </w:pPr>
            <w:r>
              <w:rPr>
                <w:b/>
                <w:sz w:val="18"/>
              </w:rPr>
              <w:t>2017</w:t>
            </w:r>
          </w:p>
        </w:tc>
        <w:tc>
          <w:tcPr>
            <w:tcW w:w="990" w:type="dxa"/>
            <w:shd w:val="clear" w:color="auto" w:fill="auto"/>
          </w:tcPr>
          <w:p w:rsidR="00FD4D02" w:rsidRPr="00D50D34" w:rsidRDefault="00FD4D02" w:rsidP="00B027E1">
            <w:pPr>
              <w:spacing w:after="60"/>
              <w:jc w:val="center"/>
              <w:rPr>
                <w:b/>
                <w:sz w:val="18"/>
              </w:rPr>
            </w:pPr>
            <w:r>
              <w:rPr>
                <w:b/>
                <w:sz w:val="18"/>
              </w:rPr>
              <w:t>2018</w:t>
            </w:r>
          </w:p>
        </w:tc>
        <w:tc>
          <w:tcPr>
            <w:tcW w:w="990" w:type="dxa"/>
            <w:shd w:val="clear" w:color="auto" w:fill="auto"/>
          </w:tcPr>
          <w:p w:rsidR="00FD4D02" w:rsidRPr="00D50D34" w:rsidRDefault="00FD4D02" w:rsidP="00B027E1">
            <w:pPr>
              <w:spacing w:after="60"/>
              <w:jc w:val="center"/>
              <w:rPr>
                <w:b/>
                <w:sz w:val="18"/>
              </w:rPr>
            </w:pPr>
            <w:r>
              <w:rPr>
                <w:b/>
                <w:sz w:val="18"/>
              </w:rPr>
              <w:t>2019**</w:t>
            </w:r>
          </w:p>
        </w:tc>
        <w:tc>
          <w:tcPr>
            <w:tcW w:w="990" w:type="dxa"/>
            <w:shd w:val="clear" w:color="auto" w:fill="auto"/>
          </w:tcPr>
          <w:p w:rsidR="00FD4D02" w:rsidRPr="00D50D34" w:rsidRDefault="00FD4D02" w:rsidP="00B027E1">
            <w:pPr>
              <w:spacing w:after="60"/>
              <w:jc w:val="center"/>
              <w:rPr>
                <w:b/>
                <w:sz w:val="18"/>
              </w:rPr>
            </w:pPr>
            <w:r>
              <w:rPr>
                <w:b/>
                <w:sz w:val="18"/>
              </w:rPr>
              <w:t>2020</w:t>
            </w:r>
          </w:p>
        </w:tc>
        <w:tc>
          <w:tcPr>
            <w:tcW w:w="837" w:type="dxa"/>
            <w:shd w:val="clear" w:color="auto" w:fill="auto"/>
          </w:tcPr>
          <w:p w:rsidR="00FD4D02" w:rsidRPr="00D50D34" w:rsidRDefault="00FD4D02" w:rsidP="00B027E1">
            <w:pPr>
              <w:spacing w:after="60"/>
              <w:jc w:val="center"/>
              <w:rPr>
                <w:b/>
                <w:sz w:val="18"/>
              </w:rPr>
            </w:pPr>
            <w:r>
              <w:rPr>
                <w:b/>
                <w:sz w:val="18"/>
              </w:rPr>
              <w:t>2021</w:t>
            </w:r>
          </w:p>
        </w:tc>
        <w:tc>
          <w:tcPr>
            <w:tcW w:w="1155" w:type="dxa"/>
            <w:shd w:val="clear" w:color="auto" w:fill="auto"/>
          </w:tcPr>
          <w:p w:rsidR="00FD4D02" w:rsidRPr="00D50D34" w:rsidRDefault="00FD4D02" w:rsidP="00B027E1">
            <w:pPr>
              <w:spacing w:after="60"/>
              <w:jc w:val="center"/>
              <w:rPr>
                <w:b/>
                <w:sz w:val="18"/>
              </w:rPr>
            </w:pPr>
            <w:r>
              <w:rPr>
                <w:b/>
                <w:sz w:val="18"/>
              </w:rPr>
              <w:t>Total</w:t>
            </w:r>
          </w:p>
        </w:tc>
      </w:tr>
      <w:tr w:rsidR="00FD4D02" w:rsidRPr="00D50D34" w:rsidTr="00205490">
        <w:trPr>
          <w:jc w:val="center"/>
        </w:trPr>
        <w:tc>
          <w:tcPr>
            <w:tcW w:w="4140" w:type="dxa"/>
            <w:gridSpan w:val="3"/>
            <w:shd w:val="clear" w:color="auto" w:fill="auto"/>
          </w:tcPr>
          <w:p w:rsidR="00FD4D02" w:rsidRPr="00D50D34" w:rsidRDefault="00FD4D02" w:rsidP="00B027E1">
            <w:pPr>
              <w:spacing w:after="60"/>
              <w:jc w:val="left"/>
              <w:rPr>
                <w:sz w:val="18"/>
              </w:rPr>
            </w:pPr>
            <w:r>
              <w:rPr>
                <w:sz w:val="18"/>
              </w:rPr>
              <w:t>Limites de consommation du Protocole de Montréal</w:t>
            </w:r>
          </w:p>
        </w:tc>
        <w:tc>
          <w:tcPr>
            <w:tcW w:w="90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143,78</w:t>
            </w:r>
          </w:p>
        </w:tc>
        <w:tc>
          <w:tcPr>
            <w:tcW w:w="837" w:type="dxa"/>
            <w:shd w:val="clear" w:color="auto" w:fill="auto"/>
          </w:tcPr>
          <w:p w:rsidR="00FD4D02" w:rsidRPr="00D50D34" w:rsidRDefault="00FD4D02" w:rsidP="00B027E1">
            <w:pPr>
              <w:jc w:val="right"/>
              <w:rPr>
                <w:color w:val="000000"/>
                <w:sz w:val="18"/>
                <w:szCs w:val="18"/>
              </w:rPr>
            </w:pPr>
            <w:r>
              <w:rPr>
                <w:color w:val="000000"/>
                <w:sz w:val="18"/>
                <w:szCs w:val="18"/>
              </w:rPr>
              <w:t>143,78</w:t>
            </w:r>
          </w:p>
        </w:tc>
        <w:tc>
          <w:tcPr>
            <w:tcW w:w="1155" w:type="dxa"/>
            <w:shd w:val="clear" w:color="auto" w:fill="auto"/>
          </w:tcPr>
          <w:p w:rsidR="00FD4D02" w:rsidRPr="00D50D34" w:rsidRDefault="00FD4D02" w:rsidP="00B027E1">
            <w:pPr>
              <w:spacing w:after="60"/>
              <w:jc w:val="center"/>
              <w:rPr>
                <w:sz w:val="18"/>
              </w:rPr>
            </w:pPr>
            <w:r>
              <w:rPr>
                <w:sz w:val="18"/>
              </w:rPr>
              <w:t>s.o.</w:t>
            </w:r>
          </w:p>
        </w:tc>
      </w:tr>
      <w:tr w:rsidR="00FD4D02" w:rsidRPr="00D50D34" w:rsidTr="00205490">
        <w:trPr>
          <w:jc w:val="center"/>
        </w:trPr>
        <w:tc>
          <w:tcPr>
            <w:tcW w:w="4140" w:type="dxa"/>
            <w:gridSpan w:val="3"/>
            <w:shd w:val="clear" w:color="auto" w:fill="auto"/>
          </w:tcPr>
          <w:p w:rsidR="00FD4D02" w:rsidRPr="00D50D34" w:rsidRDefault="00FD4D02" w:rsidP="00B027E1">
            <w:pPr>
              <w:spacing w:after="60"/>
              <w:jc w:val="left"/>
              <w:rPr>
                <w:sz w:val="18"/>
              </w:rPr>
            </w:pPr>
            <w:r>
              <w:rPr>
                <w:sz w:val="18"/>
              </w:rPr>
              <w:t>Consommation maximale admissible (tonnes PAO)</w:t>
            </w:r>
          </w:p>
        </w:tc>
        <w:tc>
          <w:tcPr>
            <w:tcW w:w="90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199,08</w:t>
            </w:r>
          </w:p>
        </w:tc>
        <w:tc>
          <w:tcPr>
            <w:tcW w:w="990" w:type="dxa"/>
            <w:shd w:val="clear" w:color="auto" w:fill="auto"/>
          </w:tcPr>
          <w:p w:rsidR="00FD4D02" w:rsidRPr="00D50D34" w:rsidRDefault="00FD4D02" w:rsidP="00B027E1">
            <w:pPr>
              <w:jc w:val="right"/>
              <w:rPr>
                <w:color w:val="000000"/>
                <w:sz w:val="18"/>
                <w:szCs w:val="18"/>
              </w:rPr>
            </w:pPr>
            <w:r>
              <w:rPr>
                <w:color w:val="000000"/>
                <w:sz w:val="18"/>
                <w:szCs w:val="18"/>
              </w:rPr>
              <w:t>143,78</w:t>
            </w:r>
          </w:p>
        </w:tc>
        <w:tc>
          <w:tcPr>
            <w:tcW w:w="837" w:type="dxa"/>
            <w:shd w:val="clear" w:color="auto" w:fill="auto"/>
          </w:tcPr>
          <w:p w:rsidR="00FD4D02" w:rsidRPr="00D50D34" w:rsidRDefault="00FD4D02" w:rsidP="00B027E1">
            <w:pPr>
              <w:jc w:val="right"/>
              <w:rPr>
                <w:color w:val="000000"/>
                <w:sz w:val="18"/>
                <w:szCs w:val="18"/>
              </w:rPr>
            </w:pPr>
            <w:r>
              <w:rPr>
                <w:color w:val="000000"/>
                <w:sz w:val="18"/>
                <w:szCs w:val="18"/>
              </w:rPr>
              <w:t>143,78</w:t>
            </w:r>
          </w:p>
        </w:tc>
        <w:tc>
          <w:tcPr>
            <w:tcW w:w="1155" w:type="dxa"/>
            <w:shd w:val="clear" w:color="auto" w:fill="auto"/>
          </w:tcPr>
          <w:p w:rsidR="00FD4D02" w:rsidRPr="00D50D34" w:rsidRDefault="00FD4D02" w:rsidP="00B027E1">
            <w:pPr>
              <w:spacing w:after="60"/>
              <w:jc w:val="center"/>
              <w:rPr>
                <w:sz w:val="18"/>
              </w:rPr>
            </w:pPr>
            <w:r>
              <w:rPr>
                <w:sz w:val="18"/>
              </w:rPr>
              <w:t>s.o.</w:t>
            </w:r>
          </w:p>
        </w:tc>
      </w:tr>
      <w:tr w:rsidR="00FD4D02" w:rsidRPr="00D50D34" w:rsidTr="00205490">
        <w:trPr>
          <w:jc w:val="center"/>
        </w:trPr>
        <w:tc>
          <w:tcPr>
            <w:tcW w:w="1211" w:type="dxa"/>
            <w:vMerge w:val="restart"/>
            <w:shd w:val="clear" w:color="auto" w:fill="auto"/>
          </w:tcPr>
          <w:p w:rsidR="00FD4D02" w:rsidRPr="00D50D34" w:rsidRDefault="00FD4D02" w:rsidP="00B027E1">
            <w:pPr>
              <w:spacing w:after="60"/>
              <w:jc w:val="left"/>
              <w:rPr>
                <w:sz w:val="18"/>
              </w:rPr>
            </w:pPr>
            <w:r>
              <w:rPr>
                <w:sz w:val="18"/>
              </w:rPr>
              <w:t>Financement convenu ($US)</w:t>
            </w:r>
          </w:p>
        </w:tc>
        <w:tc>
          <w:tcPr>
            <w:tcW w:w="1579" w:type="dxa"/>
            <w:vMerge w:val="restart"/>
            <w:shd w:val="clear" w:color="auto" w:fill="auto"/>
          </w:tcPr>
          <w:p w:rsidR="00FD4D02" w:rsidRPr="00D50D34" w:rsidRDefault="00FD4D02" w:rsidP="00B027E1">
            <w:pPr>
              <w:spacing w:after="60"/>
              <w:jc w:val="center"/>
              <w:rPr>
                <w:sz w:val="18"/>
              </w:rPr>
            </w:pPr>
            <w:r>
              <w:rPr>
                <w:sz w:val="18"/>
              </w:rPr>
              <w:t>Banque mondiale</w:t>
            </w:r>
          </w:p>
        </w:tc>
        <w:tc>
          <w:tcPr>
            <w:tcW w:w="1350" w:type="dxa"/>
            <w:shd w:val="clear" w:color="auto" w:fill="auto"/>
          </w:tcPr>
          <w:p w:rsidR="00FD4D02" w:rsidRPr="00D50D34" w:rsidRDefault="00FD4D02" w:rsidP="00B027E1">
            <w:pPr>
              <w:spacing w:after="60"/>
              <w:jc w:val="left"/>
              <w:rPr>
                <w:sz w:val="18"/>
              </w:rPr>
            </w:pPr>
            <w:r>
              <w:rPr>
                <w:sz w:val="18"/>
              </w:rPr>
              <w:t>Coûts du projet</w:t>
            </w:r>
          </w:p>
        </w:tc>
        <w:tc>
          <w:tcPr>
            <w:tcW w:w="900" w:type="dxa"/>
            <w:shd w:val="clear" w:color="auto" w:fill="auto"/>
          </w:tcPr>
          <w:p w:rsidR="00AB13D5" w:rsidRPr="00233EF1" w:rsidRDefault="00AB13D5" w:rsidP="00B027E1">
            <w:pPr>
              <w:spacing w:after="60"/>
              <w:jc w:val="right"/>
              <w:rPr>
                <w:sz w:val="18"/>
              </w:rPr>
            </w:pPr>
            <w:r>
              <w:rPr>
                <w:sz w:val="18"/>
              </w:rPr>
              <w:t>302 737</w:t>
            </w:r>
          </w:p>
        </w:tc>
        <w:tc>
          <w:tcPr>
            <w:tcW w:w="990" w:type="dxa"/>
            <w:shd w:val="clear" w:color="auto" w:fill="auto"/>
          </w:tcPr>
          <w:p w:rsidR="00FD4D02" w:rsidRPr="00D50D34" w:rsidRDefault="00FD4D02" w:rsidP="00B027E1">
            <w:pPr>
              <w:spacing w:after="60"/>
              <w:jc w:val="right"/>
              <w:rPr>
                <w:sz w:val="18"/>
              </w:rPr>
            </w:pPr>
            <w:r>
              <w:rPr>
                <w:sz w:val="18"/>
              </w:rPr>
              <w:t>2 179 193</w:t>
            </w:r>
          </w:p>
        </w:tc>
        <w:tc>
          <w:tcPr>
            <w:tcW w:w="990" w:type="dxa"/>
            <w:shd w:val="clear" w:color="auto" w:fill="auto"/>
          </w:tcPr>
          <w:p w:rsidR="00FD4D02" w:rsidRPr="00D50D34" w:rsidRDefault="00FD4D02" w:rsidP="00B027E1">
            <w:pPr>
              <w:spacing w:after="60"/>
              <w:jc w:val="right"/>
              <w:rPr>
                <w:sz w:val="18"/>
              </w:rPr>
            </w:pPr>
            <w:r>
              <w:rPr>
                <w:sz w:val="18"/>
              </w:rPr>
              <w:t>3 781 257</w:t>
            </w:r>
          </w:p>
        </w:tc>
        <w:tc>
          <w:tcPr>
            <w:tcW w:w="990" w:type="dxa"/>
            <w:shd w:val="clear" w:color="auto" w:fill="auto"/>
          </w:tcPr>
          <w:p w:rsidR="00FD4D02" w:rsidRPr="00D50D34" w:rsidRDefault="00FD4D02" w:rsidP="00B027E1">
            <w:pPr>
              <w:spacing w:after="60"/>
              <w:jc w:val="right"/>
              <w:rPr>
                <w:sz w:val="18"/>
              </w:rPr>
            </w:pPr>
            <w:r>
              <w:rPr>
                <w:sz w:val="18"/>
              </w:rPr>
              <w:t>4 393 450</w:t>
            </w:r>
          </w:p>
        </w:tc>
        <w:tc>
          <w:tcPr>
            <w:tcW w:w="990" w:type="dxa"/>
            <w:shd w:val="clear" w:color="auto" w:fill="auto"/>
          </w:tcPr>
          <w:p w:rsidR="00FD4D02" w:rsidRPr="00D50D34" w:rsidRDefault="00FD4D02" w:rsidP="00B027E1">
            <w:pPr>
              <w:spacing w:after="60"/>
              <w:jc w:val="right"/>
              <w:rPr>
                <w:sz w:val="18"/>
              </w:rPr>
            </w:pPr>
            <w:r>
              <w:rPr>
                <w:sz w:val="18"/>
              </w:rPr>
              <w:t>2 928 967</w:t>
            </w:r>
          </w:p>
        </w:tc>
        <w:tc>
          <w:tcPr>
            <w:tcW w:w="837" w:type="dxa"/>
            <w:shd w:val="clear" w:color="auto" w:fill="auto"/>
          </w:tcPr>
          <w:p w:rsidR="00FD4D02" w:rsidRPr="00D50D34" w:rsidRDefault="00FD4D02" w:rsidP="00B027E1">
            <w:pPr>
              <w:spacing w:after="60"/>
              <w:jc w:val="right"/>
              <w:rPr>
                <w:sz w:val="18"/>
              </w:rPr>
            </w:pPr>
            <w:r>
              <w:rPr>
                <w:sz w:val="18"/>
              </w:rPr>
              <w:t>732 242</w:t>
            </w:r>
          </w:p>
        </w:tc>
        <w:tc>
          <w:tcPr>
            <w:tcW w:w="1155" w:type="dxa"/>
            <w:shd w:val="clear" w:color="auto" w:fill="auto"/>
          </w:tcPr>
          <w:p w:rsidR="00FD4D02" w:rsidRPr="00D50D34" w:rsidRDefault="00FD4D02" w:rsidP="006969D2">
            <w:pPr>
              <w:spacing w:after="60"/>
              <w:jc w:val="right"/>
              <w:rPr>
                <w:sz w:val="18"/>
              </w:rPr>
            </w:pPr>
            <w:r>
              <w:rPr>
                <w:sz w:val="18"/>
              </w:rPr>
              <w:t>14 317 846</w:t>
            </w:r>
          </w:p>
        </w:tc>
      </w:tr>
      <w:tr w:rsidR="00FD4D02" w:rsidRPr="00D50D34" w:rsidTr="00205490">
        <w:trPr>
          <w:jc w:val="center"/>
        </w:trPr>
        <w:tc>
          <w:tcPr>
            <w:tcW w:w="1211" w:type="dxa"/>
            <w:vMerge/>
            <w:shd w:val="clear" w:color="auto" w:fill="auto"/>
          </w:tcPr>
          <w:p w:rsidR="00FD4D02" w:rsidRPr="00D50D34" w:rsidRDefault="00FD4D02" w:rsidP="00B027E1">
            <w:pPr>
              <w:spacing w:after="60"/>
              <w:jc w:val="center"/>
              <w:rPr>
                <w:sz w:val="18"/>
                <w:lang w:val="en-CA"/>
              </w:rPr>
            </w:pPr>
          </w:p>
        </w:tc>
        <w:tc>
          <w:tcPr>
            <w:tcW w:w="1579" w:type="dxa"/>
            <w:vMerge/>
            <w:shd w:val="clear" w:color="auto" w:fill="auto"/>
          </w:tcPr>
          <w:p w:rsidR="00FD4D02" w:rsidRPr="00D50D34" w:rsidRDefault="00FD4D02" w:rsidP="00B027E1">
            <w:pPr>
              <w:spacing w:after="60"/>
              <w:jc w:val="center"/>
              <w:rPr>
                <w:sz w:val="18"/>
                <w:lang w:val="en-CA"/>
              </w:rPr>
            </w:pPr>
          </w:p>
        </w:tc>
        <w:tc>
          <w:tcPr>
            <w:tcW w:w="1350" w:type="dxa"/>
            <w:shd w:val="clear" w:color="auto" w:fill="auto"/>
          </w:tcPr>
          <w:p w:rsidR="00FD4D02" w:rsidRPr="00D50D34" w:rsidRDefault="00FD4D02" w:rsidP="00B027E1">
            <w:pPr>
              <w:spacing w:after="60"/>
              <w:jc w:val="left"/>
              <w:rPr>
                <w:sz w:val="18"/>
              </w:rPr>
            </w:pPr>
            <w:r>
              <w:rPr>
                <w:sz w:val="18"/>
              </w:rPr>
              <w:t>Coûts d’appui</w:t>
            </w:r>
          </w:p>
        </w:tc>
        <w:tc>
          <w:tcPr>
            <w:tcW w:w="900" w:type="dxa"/>
            <w:shd w:val="clear" w:color="auto" w:fill="auto"/>
          </w:tcPr>
          <w:p w:rsidR="00AB13D5" w:rsidRPr="00233EF1" w:rsidRDefault="00AB13D5" w:rsidP="00B027E1">
            <w:pPr>
              <w:spacing w:after="60"/>
              <w:jc w:val="right"/>
              <w:rPr>
                <w:sz w:val="18"/>
              </w:rPr>
            </w:pPr>
            <w:r>
              <w:rPr>
                <w:sz w:val="18"/>
              </w:rPr>
              <w:t>21 192</w:t>
            </w:r>
          </w:p>
        </w:tc>
        <w:tc>
          <w:tcPr>
            <w:tcW w:w="990" w:type="dxa"/>
            <w:shd w:val="clear" w:color="auto" w:fill="auto"/>
          </w:tcPr>
          <w:p w:rsidR="00FD4D02" w:rsidRPr="00D50D34" w:rsidRDefault="00FD4D02" w:rsidP="00B027E1">
            <w:pPr>
              <w:spacing w:after="60"/>
              <w:jc w:val="right"/>
              <w:rPr>
                <w:sz w:val="18"/>
              </w:rPr>
            </w:pPr>
            <w:r>
              <w:rPr>
                <w:sz w:val="18"/>
              </w:rPr>
              <w:t>152 544</w:t>
            </w:r>
          </w:p>
        </w:tc>
        <w:tc>
          <w:tcPr>
            <w:tcW w:w="990" w:type="dxa"/>
            <w:shd w:val="clear" w:color="auto" w:fill="auto"/>
          </w:tcPr>
          <w:p w:rsidR="00FD4D02" w:rsidRPr="00D50D34" w:rsidRDefault="00FD4D02" w:rsidP="00B027E1">
            <w:pPr>
              <w:spacing w:after="60"/>
              <w:jc w:val="right"/>
              <w:rPr>
                <w:sz w:val="18"/>
              </w:rPr>
            </w:pPr>
            <w:r>
              <w:rPr>
                <w:sz w:val="18"/>
              </w:rPr>
              <w:t>264 688</w:t>
            </w:r>
          </w:p>
        </w:tc>
        <w:tc>
          <w:tcPr>
            <w:tcW w:w="990" w:type="dxa"/>
            <w:shd w:val="clear" w:color="auto" w:fill="auto"/>
          </w:tcPr>
          <w:p w:rsidR="00FD4D02" w:rsidRPr="00D50D34" w:rsidRDefault="00FD4D02" w:rsidP="00B027E1">
            <w:pPr>
              <w:spacing w:after="60"/>
              <w:jc w:val="right"/>
              <w:rPr>
                <w:sz w:val="18"/>
              </w:rPr>
            </w:pPr>
            <w:r>
              <w:rPr>
                <w:sz w:val="18"/>
              </w:rPr>
              <w:t>307 542</w:t>
            </w:r>
          </w:p>
        </w:tc>
        <w:tc>
          <w:tcPr>
            <w:tcW w:w="990" w:type="dxa"/>
            <w:shd w:val="clear" w:color="auto" w:fill="auto"/>
          </w:tcPr>
          <w:p w:rsidR="00FD4D02" w:rsidRPr="00D50D34" w:rsidRDefault="00FD4D02" w:rsidP="00B027E1">
            <w:pPr>
              <w:spacing w:after="60"/>
              <w:jc w:val="right"/>
              <w:rPr>
                <w:sz w:val="18"/>
              </w:rPr>
            </w:pPr>
            <w:r>
              <w:rPr>
                <w:sz w:val="18"/>
              </w:rPr>
              <w:t>205 028</w:t>
            </w:r>
          </w:p>
        </w:tc>
        <w:tc>
          <w:tcPr>
            <w:tcW w:w="837" w:type="dxa"/>
            <w:shd w:val="clear" w:color="auto" w:fill="auto"/>
          </w:tcPr>
          <w:p w:rsidR="00FD4D02" w:rsidRPr="00D50D34" w:rsidRDefault="00FD4D02" w:rsidP="00B027E1">
            <w:pPr>
              <w:spacing w:after="60"/>
              <w:jc w:val="right"/>
              <w:rPr>
                <w:sz w:val="18"/>
              </w:rPr>
            </w:pPr>
            <w:r>
              <w:rPr>
                <w:sz w:val="18"/>
              </w:rPr>
              <w:t>51 257</w:t>
            </w:r>
          </w:p>
        </w:tc>
        <w:tc>
          <w:tcPr>
            <w:tcW w:w="1155" w:type="dxa"/>
            <w:shd w:val="clear" w:color="auto" w:fill="auto"/>
          </w:tcPr>
          <w:p w:rsidR="00FD4D02" w:rsidRPr="00D50D34" w:rsidRDefault="00FD4D02" w:rsidP="006969D2">
            <w:pPr>
              <w:spacing w:after="60"/>
              <w:jc w:val="right"/>
              <w:rPr>
                <w:sz w:val="18"/>
              </w:rPr>
            </w:pPr>
            <w:r>
              <w:rPr>
                <w:sz w:val="18"/>
              </w:rPr>
              <w:t>1 002 249</w:t>
            </w:r>
          </w:p>
        </w:tc>
      </w:tr>
      <w:tr w:rsidR="00FD4D02" w:rsidRPr="00D50D34" w:rsidTr="00205490">
        <w:trPr>
          <w:jc w:val="center"/>
        </w:trPr>
        <w:tc>
          <w:tcPr>
            <w:tcW w:w="1211" w:type="dxa"/>
            <w:vMerge/>
            <w:shd w:val="clear" w:color="auto" w:fill="auto"/>
          </w:tcPr>
          <w:p w:rsidR="00FD4D02" w:rsidRPr="00D50D34" w:rsidRDefault="00FD4D02" w:rsidP="00B027E1">
            <w:pPr>
              <w:spacing w:after="60"/>
              <w:jc w:val="center"/>
              <w:rPr>
                <w:sz w:val="18"/>
                <w:lang w:val="en-CA"/>
              </w:rPr>
            </w:pPr>
          </w:p>
        </w:tc>
        <w:tc>
          <w:tcPr>
            <w:tcW w:w="1579" w:type="dxa"/>
            <w:vMerge w:val="restart"/>
            <w:shd w:val="clear" w:color="auto" w:fill="auto"/>
          </w:tcPr>
          <w:p w:rsidR="00FD4D02" w:rsidRPr="00D50D34" w:rsidRDefault="00FD4D02" w:rsidP="00B027E1">
            <w:pPr>
              <w:spacing w:after="60"/>
              <w:jc w:val="center"/>
              <w:rPr>
                <w:sz w:val="18"/>
              </w:rPr>
            </w:pPr>
            <w:r>
              <w:rPr>
                <w:sz w:val="18"/>
              </w:rPr>
              <w:t>Japon</w:t>
            </w:r>
          </w:p>
        </w:tc>
        <w:tc>
          <w:tcPr>
            <w:tcW w:w="1350" w:type="dxa"/>
            <w:shd w:val="clear" w:color="auto" w:fill="auto"/>
          </w:tcPr>
          <w:p w:rsidR="00FD4D02" w:rsidRPr="00D50D34" w:rsidRDefault="00FD4D02" w:rsidP="00B027E1">
            <w:pPr>
              <w:spacing w:after="60"/>
              <w:jc w:val="left"/>
              <w:rPr>
                <w:sz w:val="18"/>
              </w:rPr>
            </w:pPr>
            <w:r>
              <w:rPr>
                <w:sz w:val="18"/>
              </w:rPr>
              <w:t>Coûts du projet</w:t>
            </w:r>
          </w:p>
        </w:tc>
        <w:tc>
          <w:tcPr>
            <w:tcW w:w="900" w:type="dxa"/>
            <w:shd w:val="clear" w:color="auto" w:fill="auto"/>
          </w:tcPr>
          <w:p w:rsidR="00FD4D02" w:rsidRPr="00233EF1" w:rsidRDefault="00FD4D02" w:rsidP="00B027E1">
            <w:pPr>
              <w:spacing w:after="60"/>
              <w:jc w:val="right"/>
              <w:rPr>
                <w:sz w:val="18"/>
              </w:rPr>
            </w:pPr>
            <w:r>
              <w:rPr>
                <w:sz w:val="18"/>
              </w:rPr>
              <w:t>43 250</w:t>
            </w:r>
          </w:p>
        </w:tc>
        <w:tc>
          <w:tcPr>
            <w:tcW w:w="990" w:type="dxa"/>
            <w:shd w:val="clear" w:color="auto" w:fill="auto"/>
          </w:tcPr>
          <w:p w:rsidR="00FD4D02" w:rsidRPr="00D50D34" w:rsidRDefault="00FD4D02" w:rsidP="00B027E1">
            <w:pPr>
              <w:spacing w:after="60"/>
              <w:jc w:val="right"/>
              <w:rPr>
                <w:sz w:val="18"/>
              </w:rPr>
            </w:pPr>
            <w:r>
              <w:rPr>
                <w:sz w:val="18"/>
              </w:rPr>
              <w:t>163 980</w:t>
            </w:r>
          </w:p>
        </w:tc>
        <w:tc>
          <w:tcPr>
            <w:tcW w:w="990" w:type="dxa"/>
            <w:shd w:val="clear" w:color="auto" w:fill="auto"/>
          </w:tcPr>
          <w:p w:rsidR="00FD4D02" w:rsidRPr="00D50D34" w:rsidRDefault="00FD4D02" w:rsidP="00B027E1">
            <w:pPr>
              <w:spacing w:after="60"/>
              <w:jc w:val="right"/>
              <w:rPr>
                <w:sz w:val="18"/>
              </w:rPr>
            </w:pPr>
            <w:r>
              <w:rPr>
                <w:sz w:val="18"/>
              </w:rPr>
              <w:t>26 400</w:t>
            </w:r>
          </w:p>
        </w:tc>
        <w:tc>
          <w:tcPr>
            <w:tcW w:w="990" w:type="dxa"/>
            <w:shd w:val="clear" w:color="auto" w:fill="auto"/>
          </w:tcPr>
          <w:p w:rsidR="00FD4D02" w:rsidRPr="00D50D34" w:rsidRDefault="00FD4D02" w:rsidP="00B027E1">
            <w:pPr>
              <w:spacing w:after="60"/>
              <w:jc w:val="right"/>
              <w:rPr>
                <w:sz w:val="18"/>
                <w:lang w:val="en-CA"/>
              </w:rPr>
            </w:pPr>
          </w:p>
        </w:tc>
        <w:tc>
          <w:tcPr>
            <w:tcW w:w="990" w:type="dxa"/>
            <w:shd w:val="clear" w:color="auto" w:fill="auto"/>
          </w:tcPr>
          <w:p w:rsidR="00FD4D02" w:rsidRPr="00D50D34" w:rsidRDefault="00FD4D02" w:rsidP="00B027E1">
            <w:pPr>
              <w:spacing w:after="60"/>
              <w:jc w:val="right"/>
              <w:rPr>
                <w:sz w:val="18"/>
                <w:lang w:val="en-CA"/>
              </w:rPr>
            </w:pPr>
          </w:p>
        </w:tc>
        <w:tc>
          <w:tcPr>
            <w:tcW w:w="837" w:type="dxa"/>
            <w:shd w:val="clear" w:color="auto" w:fill="auto"/>
          </w:tcPr>
          <w:p w:rsidR="00FD4D02" w:rsidRPr="00D50D34" w:rsidRDefault="00FD4D02" w:rsidP="00B027E1">
            <w:pPr>
              <w:spacing w:after="60"/>
              <w:jc w:val="right"/>
              <w:rPr>
                <w:sz w:val="18"/>
                <w:lang w:val="en-CA"/>
              </w:rPr>
            </w:pPr>
          </w:p>
        </w:tc>
        <w:tc>
          <w:tcPr>
            <w:tcW w:w="1155" w:type="dxa"/>
            <w:shd w:val="clear" w:color="auto" w:fill="auto"/>
          </w:tcPr>
          <w:p w:rsidR="00FD4D02" w:rsidRPr="00D50D34" w:rsidRDefault="00FD4D02" w:rsidP="00B027E1">
            <w:pPr>
              <w:spacing w:after="60"/>
              <w:jc w:val="right"/>
              <w:rPr>
                <w:sz w:val="18"/>
              </w:rPr>
            </w:pPr>
            <w:r>
              <w:rPr>
                <w:sz w:val="18"/>
              </w:rPr>
              <w:t>233 630</w:t>
            </w:r>
          </w:p>
        </w:tc>
      </w:tr>
      <w:tr w:rsidR="00FD4D02" w:rsidRPr="00D50D34" w:rsidTr="00205490">
        <w:trPr>
          <w:jc w:val="center"/>
        </w:trPr>
        <w:tc>
          <w:tcPr>
            <w:tcW w:w="1211" w:type="dxa"/>
            <w:vMerge/>
            <w:shd w:val="clear" w:color="auto" w:fill="auto"/>
          </w:tcPr>
          <w:p w:rsidR="00FD4D02" w:rsidRPr="00D50D34" w:rsidRDefault="00FD4D02" w:rsidP="00B027E1">
            <w:pPr>
              <w:spacing w:after="60"/>
              <w:jc w:val="center"/>
              <w:rPr>
                <w:sz w:val="18"/>
                <w:lang w:val="en-CA"/>
              </w:rPr>
            </w:pPr>
          </w:p>
        </w:tc>
        <w:tc>
          <w:tcPr>
            <w:tcW w:w="1579" w:type="dxa"/>
            <w:vMerge/>
            <w:shd w:val="clear" w:color="auto" w:fill="auto"/>
          </w:tcPr>
          <w:p w:rsidR="00FD4D02" w:rsidRPr="00D50D34" w:rsidRDefault="00FD4D02" w:rsidP="00B027E1">
            <w:pPr>
              <w:spacing w:after="60"/>
              <w:jc w:val="center"/>
              <w:rPr>
                <w:sz w:val="18"/>
                <w:lang w:val="en-CA"/>
              </w:rPr>
            </w:pPr>
          </w:p>
        </w:tc>
        <w:tc>
          <w:tcPr>
            <w:tcW w:w="1350" w:type="dxa"/>
            <w:shd w:val="clear" w:color="auto" w:fill="auto"/>
          </w:tcPr>
          <w:p w:rsidR="00FD4D02" w:rsidRPr="00D50D34" w:rsidRDefault="00FD4D02" w:rsidP="00B027E1">
            <w:pPr>
              <w:spacing w:after="60"/>
              <w:jc w:val="left"/>
              <w:rPr>
                <w:sz w:val="18"/>
              </w:rPr>
            </w:pPr>
            <w:r>
              <w:rPr>
                <w:sz w:val="18"/>
              </w:rPr>
              <w:t>Coûts d’appui</w:t>
            </w:r>
          </w:p>
        </w:tc>
        <w:tc>
          <w:tcPr>
            <w:tcW w:w="900" w:type="dxa"/>
            <w:shd w:val="clear" w:color="auto" w:fill="auto"/>
          </w:tcPr>
          <w:p w:rsidR="00FD4D02" w:rsidRPr="00233EF1" w:rsidRDefault="00FD4D02" w:rsidP="00B027E1">
            <w:pPr>
              <w:spacing w:after="60"/>
              <w:jc w:val="right"/>
              <w:rPr>
                <w:sz w:val="18"/>
              </w:rPr>
            </w:pPr>
            <w:r>
              <w:rPr>
                <w:sz w:val="18"/>
              </w:rPr>
              <w:t>5 623</w:t>
            </w:r>
          </w:p>
        </w:tc>
        <w:tc>
          <w:tcPr>
            <w:tcW w:w="990" w:type="dxa"/>
            <w:shd w:val="clear" w:color="auto" w:fill="auto"/>
          </w:tcPr>
          <w:p w:rsidR="00FD4D02" w:rsidRPr="00D50D34" w:rsidRDefault="00FD4D02" w:rsidP="00B027E1">
            <w:pPr>
              <w:spacing w:after="60"/>
              <w:jc w:val="right"/>
              <w:rPr>
                <w:sz w:val="18"/>
              </w:rPr>
            </w:pPr>
            <w:r>
              <w:rPr>
                <w:sz w:val="18"/>
              </w:rPr>
              <w:t>21 317</w:t>
            </w:r>
          </w:p>
        </w:tc>
        <w:tc>
          <w:tcPr>
            <w:tcW w:w="990" w:type="dxa"/>
            <w:shd w:val="clear" w:color="auto" w:fill="auto"/>
          </w:tcPr>
          <w:p w:rsidR="00FD4D02" w:rsidRPr="00D50D34" w:rsidRDefault="00FD4D02" w:rsidP="00B027E1">
            <w:pPr>
              <w:spacing w:after="60"/>
              <w:jc w:val="right"/>
              <w:rPr>
                <w:sz w:val="18"/>
              </w:rPr>
            </w:pPr>
            <w:r>
              <w:rPr>
                <w:sz w:val="18"/>
              </w:rPr>
              <w:t>3 432</w:t>
            </w:r>
          </w:p>
        </w:tc>
        <w:tc>
          <w:tcPr>
            <w:tcW w:w="990" w:type="dxa"/>
            <w:shd w:val="clear" w:color="auto" w:fill="auto"/>
          </w:tcPr>
          <w:p w:rsidR="00FD4D02" w:rsidRPr="00D50D34" w:rsidRDefault="00FD4D02" w:rsidP="00B027E1">
            <w:pPr>
              <w:spacing w:after="60"/>
              <w:jc w:val="right"/>
              <w:rPr>
                <w:sz w:val="18"/>
                <w:lang w:val="en-CA"/>
              </w:rPr>
            </w:pPr>
          </w:p>
        </w:tc>
        <w:tc>
          <w:tcPr>
            <w:tcW w:w="990" w:type="dxa"/>
            <w:shd w:val="clear" w:color="auto" w:fill="auto"/>
          </w:tcPr>
          <w:p w:rsidR="00FD4D02" w:rsidRPr="00D50D34" w:rsidRDefault="00FD4D02" w:rsidP="00B027E1">
            <w:pPr>
              <w:spacing w:after="60"/>
              <w:jc w:val="right"/>
              <w:rPr>
                <w:sz w:val="18"/>
                <w:lang w:val="en-CA"/>
              </w:rPr>
            </w:pPr>
          </w:p>
        </w:tc>
        <w:tc>
          <w:tcPr>
            <w:tcW w:w="837" w:type="dxa"/>
            <w:shd w:val="clear" w:color="auto" w:fill="auto"/>
          </w:tcPr>
          <w:p w:rsidR="00FD4D02" w:rsidRPr="00D50D34" w:rsidRDefault="00FD4D02" w:rsidP="00B027E1">
            <w:pPr>
              <w:spacing w:after="60"/>
              <w:jc w:val="right"/>
              <w:rPr>
                <w:sz w:val="18"/>
                <w:lang w:val="en-CA"/>
              </w:rPr>
            </w:pPr>
          </w:p>
        </w:tc>
        <w:tc>
          <w:tcPr>
            <w:tcW w:w="1155" w:type="dxa"/>
            <w:shd w:val="clear" w:color="auto" w:fill="auto"/>
          </w:tcPr>
          <w:p w:rsidR="00FD4D02" w:rsidRPr="00D50D34" w:rsidRDefault="00FD4D02" w:rsidP="00B027E1">
            <w:pPr>
              <w:spacing w:after="60"/>
              <w:jc w:val="right"/>
              <w:rPr>
                <w:sz w:val="18"/>
              </w:rPr>
            </w:pPr>
            <w:r>
              <w:rPr>
                <w:sz w:val="18"/>
              </w:rPr>
              <w:t>30 372</w:t>
            </w:r>
          </w:p>
        </w:tc>
      </w:tr>
      <w:tr w:rsidR="006315E1" w:rsidRPr="00D50D34" w:rsidTr="00205490">
        <w:trPr>
          <w:jc w:val="center"/>
        </w:trPr>
        <w:tc>
          <w:tcPr>
            <w:tcW w:w="2790" w:type="dxa"/>
            <w:gridSpan w:val="2"/>
            <w:vMerge w:val="restart"/>
            <w:shd w:val="clear" w:color="auto" w:fill="auto"/>
          </w:tcPr>
          <w:p w:rsidR="006315E1" w:rsidRPr="00D50D34" w:rsidRDefault="006315E1" w:rsidP="006315E1">
            <w:pPr>
              <w:spacing w:after="60"/>
              <w:jc w:val="left"/>
              <w:rPr>
                <w:sz w:val="18"/>
              </w:rPr>
            </w:pPr>
            <w:r>
              <w:rPr>
                <w:sz w:val="18"/>
              </w:rPr>
              <w:t>Fonds approuvés par le Comité exécutif ($US)</w:t>
            </w:r>
          </w:p>
        </w:tc>
        <w:tc>
          <w:tcPr>
            <w:tcW w:w="1350" w:type="dxa"/>
            <w:shd w:val="clear" w:color="auto" w:fill="auto"/>
          </w:tcPr>
          <w:p w:rsidR="006315E1" w:rsidRPr="00D50D34" w:rsidRDefault="006315E1" w:rsidP="006315E1">
            <w:pPr>
              <w:spacing w:after="60"/>
              <w:jc w:val="left"/>
              <w:rPr>
                <w:sz w:val="18"/>
              </w:rPr>
            </w:pPr>
            <w:r>
              <w:rPr>
                <w:sz w:val="18"/>
              </w:rPr>
              <w:t>Coûts du projet</w:t>
            </w:r>
          </w:p>
        </w:tc>
        <w:tc>
          <w:tcPr>
            <w:tcW w:w="900" w:type="dxa"/>
            <w:shd w:val="clear" w:color="auto" w:fill="auto"/>
          </w:tcPr>
          <w:p w:rsidR="006315E1" w:rsidRPr="00233EF1" w:rsidRDefault="006315E1" w:rsidP="006315E1">
            <w:pPr>
              <w:spacing w:after="60"/>
              <w:jc w:val="right"/>
              <w:rPr>
                <w:sz w:val="18"/>
              </w:rPr>
            </w:pPr>
            <w:r>
              <w:rPr>
                <w:sz w:val="18"/>
              </w:rPr>
              <w:t>345 987</w:t>
            </w:r>
          </w:p>
        </w:tc>
        <w:tc>
          <w:tcPr>
            <w:tcW w:w="990" w:type="dxa"/>
            <w:shd w:val="clear" w:color="auto" w:fill="auto"/>
          </w:tcPr>
          <w:p w:rsidR="006315E1" w:rsidRPr="00D50D34" w:rsidRDefault="006315E1" w:rsidP="006315E1">
            <w:pPr>
              <w:spacing w:after="60"/>
              <w:jc w:val="right"/>
              <w:rPr>
                <w:sz w:val="18"/>
                <w:lang w:val="en-CA"/>
              </w:rPr>
            </w:pPr>
          </w:p>
        </w:tc>
        <w:tc>
          <w:tcPr>
            <w:tcW w:w="990" w:type="dxa"/>
            <w:shd w:val="clear" w:color="auto" w:fill="auto"/>
          </w:tcPr>
          <w:p w:rsidR="006315E1" w:rsidRPr="00D50D34" w:rsidRDefault="006315E1" w:rsidP="006315E1">
            <w:pPr>
              <w:spacing w:after="60"/>
              <w:jc w:val="right"/>
              <w:rPr>
                <w:sz w:val="18"/>
                <w:lang w:val="en-CA"/>
              </w:rPr>
            </w:pPr>
          </w:p>
        </w:tc>
        <w:tc>
          <w:tcPr>
            <w:tcW w:w="990" w:type="dxa"/>
            <w:shd w:val="clear" w:color="auto" w:fill="auto"/>
          </w:tcPr>
          <w:p w:rsidR="006315E1" w:rsidRPr="00D50D34" w:rsidRDefault="006315E1" w:rsidP="006315E1">
            <w:pPr>
              <w:spacing w:after="60"/>
              <w:jc w:val="right"/>
              <w:rPr>
                <w:sz w:val="18"/>
                <w:lang w:val="en-CA"/>
              </w:rPr>
            </w:pPr>
          </w:p>
        </w:tc>
        <w:tc>
          <w:tcPr>
            <w:tcW w:w="990" w:type="dxa"/>
            <w:shd w:val="clear" w:color="auto" w:fill="auto"/>
          </w:tcPr>
          <w:p w:rsidR="006315E1" w:rsidRPr="00D50D34" w:rsidRDefault="006315E1" w:rsidP="006315E1">
            <w:pPr>
              <w:spacing w:after="60"/>
              <w:jc w:val="right"/>
              <w:rPr>
                <w:sz w:val="18"/>
                <w:lang w:val="en-CA"/>
              </w:rPr>
            </w:pPr>
          </w:p>
        </w:tc>
        <w:tc>
          <w:tcPr>
            <w:tcW w:w="837" w:type="dxa"/>
            <w:shd w:val="clear" w:color="auto" w:fill="auto"/>
          </w:tcPr>
          <w:p w:rsidR="006315E1" w:rsidRPr="00D50D34" w:rsidRDefault="006315E1" w:rsidP="006315E1">
            <w:pPr>
              <w:spacing w:after="60"/>
              <w:jc w:val="right"/>
              <w:rPr>
                <w:sz w:val="18"/>
                <w:lang w:val="en-CA"/>
              </w:rPr>
            </w:pPr>
          </w:p>
        </w:tc>
        <w:tc>
          <w:tcPr>
            <w:tcW w:w="1155" w:type="dxa"/>
            <w:shd w:val="clear" w:color="auto" w:fill="auto"/>
          </w:tcPr>
          <w:p w:rsidR="006315E1" w:rsidRPr="00233EF1" w:rsidRDefault="006315E1" w:rsidP="006315E1">
            <w:pPr>
              <w:spacing w:after="60"/>
              <w:jc w:val="right"/>
              <w:rPr>
                <w:sz w:val="18"/>
              </w:rPr>
            </w:pPr>
            <w:r>
              <w:rPr>
                <w:sz w:val="18"/>
              </w:rPr>
              <w:t>345 987</w:t>
            </w:r>
          </w:p>
        </w:tc>
      </w:tr>
      <w:tr w:rsidR="006315E1" w:rsidRPr="00D50D34" w:rsidTr="00205490">
        <w:trPr>
          <w:trHeight w:val="107"/>
          <w:jc w:val="center"/>
        </w:trPr>
        <w:tc>
          <w:tcPr>
            <w:tcW w:w="2790" w:type="dxa"/>
            <w:gridSpan w:val="2"/>
            <w:vMerge/>
            <w:shd w:val="clear" w:color="auto" w:fill="auto"/>
          </w:tcPr>
          <w:p w:rsidR="006315E1" w:rsidRPr="00D50D34" w:rsidRDefault="006315E1" w:rsidP="006315E1">
            <w:pPr>
              <w:spacing w:after="60"/>
              <w:jc w:val="center"/>
              <w:rPr>
                <w:sz w:val="18"/>
                <w:lang w:val="en-CA"/>
              </w:rPr>
            </w:pPr>
          </w:p>
        </w:tc>
        <w:tc>
          <w:tcPr>
            <w:tcW w:w="1350" w:type="dxa"/>
            <w:shd w:val="clear" w:color="auto" w:fill="auto"/>
          </w:tcPr>
          <w:p w:rsidR="006315E1" w:rsidRPr="00D50D34" w:rsidRDefault="006315E1" w:rsidP="006315E1">
            <w:pPr>
              <w:spacing w:after="60"/>
              <w:jc w:val="left"/>
              <w:rPr>
                <w:sz w:val="18"/>
              </w:rPr>
            </w:pPr>
            <w:r>
              <w:rPr>
                <w:sz w:val="18"/>
              </w:rPr>
              <w:t>Coûts d’appui</w:t>
            </w:r>
          </w:p>
        </w:tc>
        <w:tc>
          <w:tcPr>
            <w:tcW w:w="900" w:type="dxa"/>
            <w:shd w:val="clear" w:color="auto" w:fill="auto"/>
          </w:tcPr>
          <w:p w:rsidR="006315E1" w:rsidRPr="00233EF1" w:rsidRDefault="006315E1" w:rsidP="006315E1">
            <w:pPr>
              <w:spacing w:after="60"/>
              <w:jc w:val="right"/>
              <w:rPr>
                <w:sz w:val="18"/>
              </w:rPr>
            </w:pPr>
            <w:r>
              <w:rPr>
                <w:sz w:val="18"/>
              </w:rPr>
              <w:t>26 814</w:t>
            </w:r>
          </w:p>
        </w:tc>
        <w:tc>
          <w:tcPr>
            <w:tcW w:w="990" w:type="dxa"/>
            <w:shd w:val="clear" w:color="auto" w:fill="auto"/>
          </w:tcPr>
          <w:p w:rsidR="006315E1" w:rsidRPr="00D50D34" w:rsidRDefault="006315E1" w:rsidP="006315E1">
            <w:pPr>
              <w:spacing w:after="60"/>
              <w:jc w:val="right"/>
              <w:rPr>
                <w:sz w:val="18"/>
                <w:lang w:val="en-CA"/>
              </w:rPr>
            </w:pPr>
          </w:p>
        </w:tc>
        <w:tc>
          <w:tcPr>
            <w:tcW w:w="990" w:type="dxa"/>
            <w:shd w:val="clear" w:color="auto" w:fill="auto"/>
          </w:tcPr>
          <w:p w:rsidR="006315E1" w:rsidRPr="00D50D34" w:rsidRDefault="006315E1" w:rsidP="006315E1">
            <w:pPr>
              <w:spacing w:after="60"/>
              <w:jc w:val="right"/>
              <w:rPr>
                <w:sz w:val="18"/>
                <w:lang w:val="en-CA"/>
              </w:rPr>
            </w:pPr>
          </w:p>
        </w:tc>
        <w:tc>
          <w:tcPr>
            <w:tcW w:w="990" w:type="dxa"/>
            <w:shd w:val="clear" w:color="auto" w:fill="auto"/>
          </w:tcPr>
          <w:p w:rsidR="006315E1" w:rsidRPr="00D50D34" w:rsidRDefault="006315E1" w:rsidP="006315E1">
            <w:pPr>
              <w:spacing w:after="60"/>
              <w:jc w:val="right"/>
              <w:rPr>
                <w:sz w:val="18"/>
                <w:lang w:val="en-CA"/>
              </w:rPr>
            </w:pPr>
          </w:p>
        </w:tc>
        <w:tc>
          <w:tcPr>
            <w:tcW w:w="990" w:type="dxa"/>
            <w:shd w:val="clear" w:color="auto" w:fill="auto"/>
          </w:tcPr>
          <w:p w:rsidR="006315E1" w:rsidRPr="00D50D34" w:rsidRDefault="006315E1" w:rsidP="006315E1">
            <w:pPr>
              <w:spacing w:after="60"/>
              <w:jc w:val="right"/>
              <w:rPr>
                <w:sz w:val="18"/>
                <w:lang w:val="en-CA"/>
              </w:rPr>
            </w:pPr>
          </w:p>
        </w:tc>
        <w:tc>
          <w:tcPr>
            <w:tcW w:w="837" w:type="dxa"/>
            <w:shd w:val="clear" w:color="auto" w:fill="auto"/>
          </w:tcPr>
          <w:p w:rsidR="006315E1" w:rsidRPr="00D50D34" w:rsidRDefault="006315E1" w:rsidP="006315E1">
            <w:pPr>
              <w:spacing w:after="60"/>
              <w:jc w:val="right"/>
              <w:rPr>
                <w:sz w:val="18"/>
                <w:lang w:val="en-CA"/>
              </w:rPr>
            </w:pPr>
          </w:p>
        </w:tc>
        <w:tc>
          <w:tcPr>
            <w:tcW w:w="1155" w:type="dxa"/>
            <w:shd w:val="clear" w:color="auto" w:fill="auto"/>
          </w:tcPr>
          <w:p w:rsidR="006315E1" w:rsidRPr="00233EF1" w:rsidRDefault="006315E1" w:rsidP="006315E1">
            <w:pPr>
              <w:spacing w:after="60"/>
              <w:jc w:val="right"/>
              <w:rPr>
                <w:sz w:val="18"/>
              </w:rPr>
            </w:pPr>
            <w:r>
              <w:rPr>
                <w:sz w:val="18"/>
              </w:rPr>
              <w:t>26 814</w:t>
            </w:r>
          </w:p>
        </w:tc>
      </w:tr>
      <w:tr w:rsidR="00824F5B" w:rsidRPr="00D50D34" w:rsidTr="00205490">
        <w:trPr>
          <w:jc w:val="center"/>
        </w:trPr>
        <w:tc>
          <w:tcPr>
            <w:tcW w:w="2790" w:type="dxa"/>
            <w:gridSpan w:val="2"/>
            <w:vMerge w:val="restart"/>
            <w:shd w:val="clear" w:color="auto" w:fill="auto"/>
          </w:tcPr>
          <w:p w:rsidR="00824F5B" w:rsidRPr="00D50D34" w:rsidRDefault="00824F5B" w:rsidP="00B027E1">
            <w:pPr>
              <w:spacing w:after="60"/>
              <w:jc w:val="left"/>
              <w:rPr>
                <w:sz w:val="18"/>
              </w:rPr>
            </w:pPr>
            <w:r>
              <w:rPr>
                <w:sz w:val="18"/>
              </w:rPr>
              <w:t>Total des fonds demandés pour approbation à cette réunion ($US)</w:t>
            </w:r>
          </w:p>
        </w:tc>
        <w:tc>
          <w:tcPr>
            <w:tcW w:w="1350" w:type="dxa"/>
            <w:shd w:val="clear" w:color="auto" w:fill="auto"/>
          </w:tcPr>
          <w:p w:rsidR="00824F5B" w:rsidRPr="00D50D34" w:rsidRDefault="00824F5B" w:rsidP="00B027E1">
            <w:pPr>
              <w:spacing w:after="60"/>
              <w:jc w:val="left"/>
              <w:rPr>
                <w:sz w:val="18"/>
              </w:rPr>
            </w:pPr>
            <w:r>
              <w:rPr>
                <w:sz w:val="18"/>
              </w:rPr>
              <w:t>Coûts du projet</w:t>
            </w:r>
          </w:p>
        </w:tc>
        <w:tc>
          <w:tcPr>
            <w:tcW w:w="900" w:type="dxa"/>
            <w:shd w:val="clear" w:color="auto" w:fill="auto"/>
          </w:tcPr>
          <w:p w:rsidR="00824F5B" w:rsidRPr="00233EF1" w:rsidRDefault="00824F5B" w:rsidP="00B027E1">
            <w:pPr>
              <w:spacing w:after="60"/>
              <w:jc w:val="right"/>
              <w:rPr>
                <w:sz w:val="18"/>
                <w:lang w:val="en-CA"/>
              </w:rPr>
            </w:pPr>
          </w:p>
        </w:tc>
        <w:tc>
          <w:tcPr>
            <w:tcW w:w="990" w:type="dxa"/>
            <w:shd w:val="clear" w:color="auto" w:fill="auto"/>
          </w:tcPr>
          <w:p w:rsidR="00824F5B" w:rsidRPr="00D50D34" w:rsidRDefault="00824F5B" w:rsidP="00B027E1">
            <w:pPr>
              <w:spacing w:after="60"/>
              <w:jc w:val="right"/>
              <w:rPr>
                <w:sz w:val="18"/>
                <w:lang w:val="en-CA"/>
              </w:rPr>
            </w:pPr>
          </w:p>
        </w:tc>
        <w:tc>
          <w:tcPr>
            <w:tcW w:w="990" w:type="dxa"/>
            <w:shd w:val="clear" w:color="auto" w:fill="auto"/>
          </w:tcPr>
          <w:p w:rsidR="00824F5B" w:rsidRPr="00D50D34" w:rsidRDefault="00824F5B" w:rsidP="00B027E1">
            <w:pPr>
              <w:jc w:val="right"/>
              <w:rPr>
                <w:color w:val="000000"/>
                <w:sz w:val="18"/>
                <w:szCs w:val="18"/>
                <w:lang w:val="en-CA"/>
              </w:rPr>
            </w:pPr>
          </w:p>
        </w:tc>
        <w:tc>
          <w:tcPr>
            <w:tcW w:w="990" w:type="dxa"/>
            <w:shd w:val="clear" w:color="auto" w:fill="auto"/>
          </w:tcPr>
          <w:p w:rsidR="00824F5B" w:rsidRPr="00D50D34" w:rsidRDefault="00824F5B" w:rsidP="00B027E1">
            <w:pPr>
              <w:spacing w:after="60"/>
              <w:jc w:val="right"/>
              <w:rPr>
                <w:sz w:val="18"/>
              </w:rPr>
            </w:pPr>
            <w:r>
              <w:rPr>
                <w:sz w:val="18"/>
              </w:rPr>
              <w:t>2 343 173</w:t>
            </w:r>
          </w:p>
        </w:tc>
        <w:tc>
          <w:tcPr>
            <w:tcW w:w="990" w:type="dxa"/>
            <w:shd w:val="clear" w:color="auto" w:fill="auto"/>
          </w:tcPr>
          <w:p w:rsidR="00824F5B" w:rsidRPr="00D50D34" w:rsidRDefault="00824F5B" w:rsidP="00B027E1">
            <w:pPr>
              <w:spacing w:after="60"/>
              <w:jc w:val="right"/>
              <w:rPr>
                <w:sz w:val="18"/>
                <w:lang w:val="en-CA"/>
              </w:rPr>
            </w:pPr>
          </w:p>
        </w:tc>
        <w:tc>
          <w:tcPr>
            <w:tcW w:w="837" w:type="dxa"/>
            <w:shd w:val="clear" w:color="auto" w:fill="auto"/>
          </w:tcPr>
          <w:p w:rsidR="00824F5B" w:rsidRPr="00D50D34" w:rsidRDefault="00824F5B" w:rsidP="00B027E1">
            <w:pPr>
              <w:spacing w:after="60"/>
              <w:jc w:val="right"/>
              <w:rPr>
                <w:sz w:val="18"/>
                <w:lang w:val="en-CA"/>
              </w:rPr>
            </w:pPr>
          </w:p>
        </w:tc>
        <w:tc>
          <w:tcPr>
            <w:tcW w:w="1155" w:type="dxa"/>
            <w:shd w:val="clear" w:color="auto" w:fill="auto"/>
          </w:tcPr>
          <w:p w:rsidR="00824F5B" w:rsidRPr="00D50D34" w:rsidRDefault="00824F5B" w:rsidP="00B027E1">
            <w:pPr>
              <w:spacing w:after="60"/>
              <w:jc w:val="right"/>
              <w:rPr>
                <w:sz w:val="18"/>
              </w:rPr>
            </w:pPr>
            <w:r>
              <w:rPr>
                <w:sz w:val="18"/>
              </w:rPr>
              <w:t>2 343 173</w:t>
            </w:r>
          </w:p>
        </w:tc>
      </w:tr>
      <w:tr w:rsidR="00824F5B" w:rsidRPr="00D50D34" w:rsidTr="00205490">
        <w:trPr>
          <w:jc w:val="center"/>
        </w:trPr>
        <w:tc>
          <w:tcPr>
            <w:tcW w:w="2790" w:type="dxa"/>
            <w:gridSpan w:val="2"/>
            <w:vMerge/>
            <w:shd w:val="clear" w:color="auto" w:fill="auto"/>
          </w:tcPr>
          <w:p w:rsidR="00824F5B" w:rsidRPr="00D50D34" w:rsidRDefault="00824F5B" w:rsidP="00B027E1">
            <w:pPr>
              <w:spacing w:after="60"/>
              <w:jc w:val="center"/>
              <w:rPr>
                <w:sz w:val="18"/>
                <w:lang w:val="en-CA"/>
              </w:rPr>
            </w:pPr>
          </w:p>
        </w:tc>
        <w:tc>
          <w:tcPr>
            <w:tcW w:w="1350" w:type="dxa"/>
            <w:shd w:val="clear" w:color="auto" w:fill="auto"/>
          </w:tcPr>
          <w:p w:rsidR="00824F5B" w:rsidRPr="00D50D34" w:rsidRDefault="00824F5B" w:rsidP="00B027E1">
            <w:pPr>
              <w:spacing w:after="60"/>
              <w:jc w:val="left"/>
              <w:rPr>
                <w:sz w:val="18"/>
              </w:rPr>
            </w:pPr>
            <w:r>
              <w:rPr>
                <w:sz w:val="18"/>
              </w:rPr>
              <w:t>Coûts d’appui</w:t>
            </w:r>
          </w:p>
        </w:tc>
        <w:tc>
          <w:tcPr>
            <w:tcW w:w="900" w:type="dxa"/>
            <w:shd w:val="clear" w:color="auto" w:fill="auto"/>
          </w:tcPr>
          <w:p w:rsidR="00824F5B" w:rsidRPr="00D50D34" w:rsidRDefault="00824F5B" w:rsidP="00B027E1">
            <w:pPr>
              <w:spacing w:after="60"/>
              <w:jc w:val="right"/>
              <w:rPr>
                <w:sz w:val="18"/>
                <w:lang w:val="en-CA"/>
              </w:rPr>
            </w:pPr>
          </w:p>
        </w:tc>
        <w:tc>
          <w:tcPr>
            <w:tcW w:w="990" w:type="dxa"/>
            <w:shd w:val="clear" w:color="auto" w:fill="auto"/>
          </w:tcPr>
          <w:p w:rsidR="00824F5B" w:rsidRPr="00D50D34" w:rsidRDefault="00824F5B" w:rsidP="00B027E1">
            <w:pPr>
              <w:spacing w:after="60"/>
              <w:jc w:val="right"/>
              <w:rPr>
                <w:sz w:val="18"/>
                <w:lang w:val="en-CA"/>
              </w:rPr>
            </w:pPr>
          </w:p>
        </w:tc>
        <w:tc>
          <w:tcPr>
            <w:tcW w:w="990" w:type="dxa"/>
            <w:shd w:val="clear" w:color="auto" w:fill="auto"/>
          </w:tcPr>
          <w:p w:rsidR="00824F5B" w:rsidRPr="00D50D34" w:rsidRDefault="00824F5B" w:rsidP="00B027E1">
            <w:pPr>
              <w:jc w:val="right"/>
              <w:rPr>
                <w:color w:val="000000"/>
                <w:sz w:val="18"/>
                <w:szCs w:val="18"/>
                <w:lang w:val="en-CA"/>
              </w:rPr>
            </w:pPr>
          </w:p>
        </w:tc>
        <w:tc>
          <w:tcPr>
            <w:tcW w:w="990" w:type="dxa"/>
            <w:shd w:val="clear" w:color="auto" w:fill="auto"/>
          </w:tcPr>
          <w:p w:rsidR="00824F5B" w:rsidRPr="00D50D34" w:rsidRDefault="00824F5B" w:rsidP="00B027E1">
            <w:pPr>
              <w:spacing w:after="60"/>
              <w:jc w:val="right"/>
              <w:rPr>
                <w:sz w:val="18"/>
              </w:rPr>
            </w:pPr>
            <w:r>
              <w:rPr>
                <w:sz w:val="18"/>
              </w:rPr>
              <w:t>173 861</w:t>
            </w:r>
          </w:p>
        </w:tc>
        <w:tc>
          <w:tcPr>
            <w:tcW w:w="990" w:type="dxa"/>
            <w:shd w:val="clear" w:color="auto" w:fill="auto"/>
          </w:tcPr>
          <w:p w:rsidR="00824F5B" w:rsidRPr="00D50D34" w:rsidRDefault="00824F5B" w:rsidP="00B027E1">
            <w:pPr>
              <w:spacing w:after="60"/>
              <w:jc w:val="right"/>
              <w:rPr>
                <w:sz w:val="18"/>
                <w:lang w:val="en-CA"/>
              </w:rPr>
            </w:pPr>
          </w:p>
        </w:tc>
        <w:tc>
          <w:tcPr>
            <w:tcW w:w="837" w:type="dxa"/>
            <w:shd w:val="clear" w:color="auto" w:fill="auto"/>
          </w:tcPr>
          <w:p w:rsidR="00824F5B" w:rsidRPr="00D50D34" w:rsidRDefault="00824F5B" w:rsidP="00B027E1">
            <w:pPr>
              <w:spacing w:after="60"/>
              <w:jc w:val="right"/>
              <w:rPr>
                <w:sz w:val="18"/>
                <w:lang w:val="en-CA"/>
              </w:rPr>
            </w:pPr>
          </w:p>
        </w:tc>
        <w:tc>
          <w:tcPr>
            <w:tcW w:w="1155" w:type="dxa"/>
            <w:shd w:val="clear" w:color="auto" w:fill="auto"/>
          </w:tcPr>
          <w:p w:rsidR="00824F5B" w:rsidRPr="00D50D34" w:rsidRDefault="00824F5B" w:rsidP="00B027E1">
            <w:pPr>
              <w:spacing w:after="60"/>
              <w:jc w:val="right"/>
              <w:rPr>
                <w:sz w:val="18"/>
              </w:rPr>
            </w:pPr>
            <w:r>
              <w:rPr>
                <w:sz w:val="18"/>
              </w:rPr>
              <w:t>173 861</w:t>
            </w:r>
          </w:p>
        </w:tc>
      </w:tr>
    </w:tbl>
    <w:p w:rsidR="00FD4D02" w:rsidRPr="00D50D34" w:rsidRDefault="00CD5262" w:rsidP="00205490">
      <w:pPr>
        <w:jc w:val="left"/>
        <w:rPr>
          <w:sz w:val="16"/>
          <w:szCs w:val="16"/>
        </w:rPr>
      </w:pPr>
      <w:r>
        <w:rPr>
          <w:sz w:val="16"/>
          <w:szCs w:val="16"/>
        </w:rPr>
        <w:t>*</w:t>
      </w:r>
      <w:r>
        <w:t xml:space="preserve"> </w:t>
      </w:r>
      <w:r>
        <w:rPr>
          <w:sz w:val="16"/>
          <w:szCs w:val="16"/>
        </w:rPr>
        <w:t>Financement actualisé pour tenir compte de la restitution de 93 358 $US, plus les coûts d’appui d’agence de 6 535 $US pour la Banque mondiale en raison d’un changement de technologie à Midea Consumer Electric (Viet Nam) pour passer du R-290 au HFC-</w:t>
      </w:r>
      <w:r w:rsidR="00436081">
        <w:rPr>
          <w:sz w:val="16"/>
          <w:szCs w:val="16"/>
        </w:rPr>
        <w:t>32 (</w:t>
      </w:r>
      <w:r>
        <w:rPr>
          <w:sz w:val="16"/>
          <w:szCs w:val="16"/>
        </w:rPr>
        <w:t>décision 82/37(b))</w:t>
      </w:r>
    </w:p>
    <w:p w:rsidR="00AB13D5" w:rsidRPr="00D50D34" w:rsidRDefault="00AB13D5" w:rsidP="00205490">
      <w:pPr>
        <w:jc w:val="left"/>
        <w:rPr>
          <w:sz w:val="16"/>
          <w:szCs w:val="16"/>
        </w:rPr>
      </w:pPr>
      <w:r>
        <w:rPr>
          <w:sz w:val="16"/>
          <w:szCs w:val="16"/>
        </w:rPr>
        <w:t>** La deuxième tranche aurait dû être présentée en 2017.</w:t>
      </w:r>
    </w:p>
    <w:p w:rsidR="00AB13D5" w:rsidRPr="00436081" w:rsidRDefault="00AB13D5" w:rsidP="00B027E1">
      <w:pPr>
        <w:spacing w:after="60"/>
        <w:jc w:val="center"/>
      </w:pPr>
    </w:p>
    <w:tbl>
      <w:tblPr>
        <w:tblStyle w:val="TableGrid"/>
        <w:tblW w:w="106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627"/>
      </w:tblGrid>
      <w:tr w:rsidR="00FD4D02" w:rsidRPr="00D50D34" w:rsidTr="00FF3846">
        <w:trPr>
          <w:trHeight w:val="240"/>
          <w:jc w:val="center"/>
        </w:trPr>
        <w:tc>
          <w:tcPr>
            <w:tcW w:w="3000" w:type="dxa"/>
            <w:shd w:val="clear" w:color="auto" w:fill="auto"/>
          </w:tcPr>
          <w:p w:rsidR="00FD4D02" w:rsidRPr="00D50D34" w:rsidRDefault="00FD4D02" w:rsidP="00B027E1">
            <w:pPr>
              <w:spacing w:after="60"/>
              <w:jc w:val="left"/>
              <w:rPr>
                <w:b/>
                <w:sz w:val="18"/>
              </w:rPr>
            </w:pPr>
            <w:r>
              <w:rPr>
                <w:b/>
                <w:sz w:val="18"/>
              </w:rPr>
              <w:t>Recommandation du Secrétariat :</w:t>
            </w:r>
          </w:p>
        </w:tc>
        <w:tc>
          <w:tcPr>
            <w:tcW w:w="7627" w:type="dxa"/>
            <w:shd w:val="clear" w:color="auto" w:fill="auto"/>
          </w:tcPr>
          <w:p w:rsidR="00FD4D02" w:rsidRPr="00D50D34" w:rsidRDefault="00FD4D02" w:rsidP="00B027E1">
            <w:pPr>
              <w:spacing w:after="60"/>
              <w:jc w:val="center"/>
              <w:rPr>
                <w:sz w:val="18"/>
              </w:rPr>
            </w:pPr>
            <w:r>
              <w:rPr>
                <w:sz w:val="18"/>
              </w:rPr>
              <w:t>Pour approbation générale</w:t>
            </w:r>
          </w:p>
        </w:tc>
      </w:tr>
    </w:tbl>
    <w:p w:rsidR="00205490" w:rsidRDefault="00205490" w:rsidP="00B027E1">
      <w:pPr>
        <w:jc w:val="center"/>
        <w:rPr>
          <w:b/>
        </w:rPr>
      </w:pPr>
    </w:p>
    <w:p w:rsidR="00AC66DF" w:rsidRDefault="00AC66DF" w:rsidP="00B027E1">
      <w:pPr>
        <w:jc w:val="center"/>
        <w:rPr>
          <w:b/>
        </w:rPr>
      </w:pPr>
    </w:p>
    <w:p w:rsidR="00FD4D02" w:rsidRPr="00D50D34" w:rsidRDefault="00FD4D02" w:rsidP="00B027E1">
      <w:pPr>
        <w:jc w:val="center"/>
        <w:rPr>
          <w:b/>
        </w:rPr>
      </w:pPr>
      <w:r>
        <w:rPr>
          <w:b/>
        </w:rPr>
        <w:t>DESCRIPTION DU PROJET</w:t>
      </w:r>
    </w:p>
    <w:p w:rsidR="00FD4D02" w:rsidRPr="00D50D34" w:rsidRDefault="00FD4D02" w:rsidP="00B027E1">
      <w:pPr>
        <w:rPr>
          <w:lang w:val="en-CA"/>
        </w:rPr>
      </w:pPr>
    </w:p>
    <w:p w:rsidR="00FD4D02" w:rsidRPr="00D50D34" w:rsidRDefault="00FD4D02" w:rsidP="00B027E1">
      <w:pPr>
        <w:pStyle w:val="Heading1"/>
      </w:pPr>
      <w:r>
        <w:t>Au nom du gouvernement du Viet Nam, la Banque mondiale, en tant que principale agence d’exécution, a présenté une demande de financement pour la deuxième tranche de la phase II du plan de gestion de l’élimination des HCFC (PGEH) d’un montant total de 2 517 034 $US, soit 2 179 193$ US, plus les coûts d’appui d’agence de 152 544 $US pour la Banque mondiale, et de 163 980 $US, plus les coûts d’appui d’agence de 21 317 $US pour le gouvernement du Japon.</w:t>
      </w:r>
      <w:r w:rsidRPr="00D50D34">
        <w:rPr>
          <w:rStyle w:val="FootnoteReference"/>
          <w:lang w:val="en-CA"/>
        </w:rPr>
        <w:footnoteReference w:id="1"/>
      </w:r>
      <w:r>
        <w:t xml:space="preserve"> La demande comprend un rapport périodique sur la mise en œuvre de la première tranche, la vérification du rapport de consommation des HCFC pour 2016 à 2018, ainsi que le plan de mise en œuvre de la tranche pour 2019 à 2020.</w:t>
      </w:r>
    </w:p>
    <w:p w:rsidR="00B93BB9" w:rsidRPr="00D50D34" w:rsidRDefault="00B93BB9" w:rsidP="00B027E1">
      <w:pPr>
        <w:rPr>
          <w:u w:val="single"/>
        </w:rPr>
      </w:pPr>
      <w:r>
        <w:rPr>
          <w:u w:val="single"/>
        </w:rPr>
        <w:t>Rapport sur la consommation de HCFC</w:t>
      </w:r>
    </w:p>
    <w:p w:rsidR="00B93BB9" w:rsidRPr="00436081" w:rsidRDefault="00B93BB9" w:rsidP="00B027E1"/>
    <w:p w:rsidR="00B93BB9" w:rsidRPr="00D50D34" w:rsidRDefault="00B93BB9" w:rsidP="00B027E1">
      <w:pPr>
        <w:pStyle w:val="Heading1"/>
      </w:pPr>
      <w:r>
        <w:t xml:space="preserve">Le gouvernement du Viet Nam a déclaré une consommation de 197,31 tonnes PAO de HCFC pour 2018, soit 11 pour cent de moins que la valeur de référence établie aux fins de conformité. La consommation de HCFC en 2014-2018 est indiquée dans le Tableau 1. </w:t>
      </w:r>
    </w:p>
    <w:p w:rsidR="00B93BB9" w:rsidRPr="00B027E1" w:rsidRDefault="00B93BB9" w:rsidP="00B027E1">
      <w:pPr>
        <w:rPr>
          <w:b/>
          <w:sz w:val="21"/>
          <w:szCs w:val="21"/>
        </w:rPr>
      </w:pPr>
      <w:r>
        <w:rPr>
          <w:b/>
          <w:sz w:val="21"/>
          <w:szCs w:val="21"/>
        </w:rPr>
        <w:t>Tableau 1. Consommation de HCFC au Viet Nam (données de l’Article 7 pour 2014-2018)</w:t>
      </w:r>
    </w:p>
    <w:tbl>
      <w:tblPr>
        <w:tblW w:w="5051" w:type="pct"/>
        <w:tblLayout w:type="fixed"/>
        <w:tblLook w:val="04A0" w:firstRow="1" w:lastRow="0" w:firstColumn="1" w:lastColumn="0" w:noHBand="0" w:noVBand="1"/>
      </w:tblPr>
      <w:tblGrid>
        <w:gridCol w:w="3057"/>
        <w:gridCol w:w="1064"/>
        <w:gridCol w:w="1065"/>
        <w:gridCol w:w="1065"/>
        <w:gridCol w:w="1065"/>
        <w:gridCol w:w="1065"/>
        <w:gridCol w:w="1064"/>
      </w:tblGrid>
      <w:tr w:rsidR="00B93BB9" w:rsidRPr="00D50D34" w:rsidTr="00B027E1">
        <w:trPr>
          <w:tblHeader/>
        </w:trPr>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b/>
                <w:bCs/>
                <w:color w:val="000000"/>
                <w:sz w:val="20"/>
                <w:szCs w:val="20"/>
              </w:rPr>
            </w:pPr>
            <w:r>
              <w:rPr>
                <w:b/>
                <w:bCs/>
                <w:color w:val="000000"/>
                <w:sz w:val="20"/>
                <w:szCs w:val="20"/>
              </w:rPr>
              <w:t>HCFC</w:t>
            </w:r>
          </w:p>
        </w:tc>
        <w:tc>
          <w:tcPr>
            <w:tcW w:w="563" w:type="pct"/>
            <w:tcBorders>
              <w:top w:val="single" w:sz="4" w:space="0" w:color="auto"/>
              <w:left w:val="nil"/>
              <w:bottom w:val="single" w:sz="4" w:space="0" w:color="auto"/>
              <w:right w:val="single" w:sz="4" w:space="0" w:color="auto"/>
            </w:tcBorders>
            <w:shd w:val="clear" w:color="auto" w:fill="auto"/>
            <w:noWrap/>
            <w:vAlign w:val="center"/>
            <w:hideMark/>
          </w:tcPr>
          <w:p w:rsidR="00B93BB9" w:rsidRPr="00D50D34" w:rsidRDefault="00B93BB9" w:rsidP="00B027E1">
            <w:pPr>
              <w:widowControl w:val="0"/>
              <w:jc w:val="center"/>
              <w:rPr>
                <w:b/>
                <w:bCs/>
                <w:color w:val="000000"/>
                <w:sz w:val="20"/>
                <w:szCs w:val="20"/>
              </w:rPr>
            </w:pPr>
            <w:r>
              <w:rPr>
                <w:b/>
                <w:bCs/>
                <w:color w:val="000000"/>
                <w:sz w:val="20"/>
                <w:szCs w:val="20"/>
              </w:rPr>
              <w:t>2014</w:t>
            </w:r>
          </w:p>
        </w:tc>
        <w:tc>
          <w:tcPr>
            <w:tcW w:w="564" w:type="pct"/>
            <w:tcBorders>
              <w:top w:val="single" w:sz="4" w:space="0" w:color="auto"/>
              <w:left w:val="nil"/>
              <w:bottom w:val="single" w:sz="4" w:space="0" w:color="auto"/>
              <w:right w:val="single" w:sz="4" w:space="0" w:color="auto"/>
            </w:tcBorders>
          </w:tcPr>
          <w:p w:rsidR="00B93BB9" w:rsidRPr="00D50D34" w:rsidRDefault="00B93BB9" w:rsidP="00B027E1">
            <w:pPr>
              <w:widowControl w:val="0"/>
              <w:jc w:val="center"/>
              <w:rPr>
                <w:b/>
                <w:bCs/>
                <w:color w:val="000000"/>
                <w:sz w:val="20"/>
                <w:szCs w:val="20"/>
              </w:rPr>
            </w:pPr>
            <w:r>
              <w:rPr>
                <w:b/>
                <w:bCs/>
                <w:color w:val="000000"/>
                <w:sz w:val="20"/>
                <w:szCs w:val="20"/>
              </w:rPr>
              <w:t>2015</w:t>
            </w: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rPr>
            </w:pPr>
            <w:r>
              <w:rPr>
                <w:b/>
                <w:bCs/>
                <w:color w:val="000000"/>
                <w:sz w:val="20"/>
                <w:szCs w:val="20"/>
              </w:rPr>
              <w:t>2016</w:t>
            </w: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rPr>
            </w:pPr>
            <w:r>
              <w:rPr>
                <w:b/>
                <w:bCs/>
                <w:color w:val="000000"/>
                <w:sz w:val="20"/>
                <w:szCs w:val="20"/>
              </w:rPr>
              <w:t>2017</w:t>
            </w: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rPr>
            </w:pPr>
            <w:r>
              <w:rPr>
                <w:b/>
                <w:bCs/>
                <w:color w:val="000000"/>
                <w:sz w:val="20"/>
                <w:szCs w:val="20"/>
              </w:rPr>
              <w:t>2018</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93BB9" w:rsidRPr="00D50D34" w:rsidRDefault="00B93BB9" w:rsidP="00B027E1">
            <w:pPr>
              <w:widowControl w:val="0"/>
              <w:jc w:val="center"/>
              <w:rPr>
                <w:b/>
                <w:bCs/>
                <w:color w:val="000000"/>
                <w:sz w:val="20"/>
                <w:szCs w:val="20"/>
              </w:rPr>
            </w:pPr>
            <w:r>
              <w:rPr>
                <w:b/>
                <w:bCs/>
                <w:color w:val="000000"/>
                <w:sz w:val="20"/>
                <w:szCs w:val="20"/>
              </w:rPr>
              <w:t>Valeur de référence</w:t>
            </w:r>
          </w:p>
        </w:tc>
      </w:tr>
      <w:tr w:rsidR="00B93BB9" w:rsidRPr="00D50D34" w:rsidTr="00B027E1">
        <w:trPr>
          <w:tblHeader/>
        </w:trPr>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rsidR="00B93BB9" w:rsidRPr="00D50D34" w:rsidRDefault="00B93BB9" w:rsidP="00B027E1">
            <w:pPr>
              <w:widowControl w:val="0"/>
              <w:jc w:val="left"/>
              <w:rPr>
                <w:b/>
                <w:bCs/>
                <w:color w:val="000000"/>
                <w:sz w:val="20"/>
                <w:szCs w:val="20"/>
              </w:rPr>
            </w:pPr>
            <w:r>
              <w:rPr>
                <w:b/>
                <w:bCs/>
                <w:color w:val="000000"/>
                <w:sz w:val="20"/>
                <w:szCs w:val="20"/>
              </w:rPr>
              <w:t>Tonnes métriques</w:t>
            </w:r>
          </w:p>
        </w:tc>
        <w:tc>
          <w:tcPr>
            <w:tcW w:w="563" w:type="pct"/>
            <w:tcBorders>
              <w:top w:val="single" w:sz="4" w:space="0" w:color="auto"/>
              <w:left w:val="nil"/>
              <w:bottom w:val="single" w:sz="4" w:space="0" w:color="auto"/>
              <w:right w:val="single" w:sz="4" w:space="0" w:color="auto"/>
            </w:tcBorders>
            <w:shd w:val="clear" w:color="auto" w:fill="auto"/>
            <w:noWrap/>
            <w:vAlign w:val="center"/>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nil"/>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4" w:type="pct"/>
            <w:tcBorders>
              <w:top w:val="single" w:sz="4" w:space="0" w:color="auto"/>
              <w:left w:val="single" w:sz="4" w:space="0" w:color="auto"/>
              <w:bottom w:val="single" w:sz="4" w:space="0" w:color="auto"/>
              <w:right w:val="single" w:sz="4" w:space="0" w:color="auto"/>
            </w:tcBorders>
          </w:tcPr>
          <w:p w:rsidR="00B93BB9" w:rsidRPr="00D50D34" w:rsidRDefault="00B93BB9" w:rsidP="00B027E1">
            <w:pPr>
              <w:widowControl w:val="0"/>
              <w:jc w:val="center"/>
              <w:rPr>
                <w:b/>
                <w:bCs/>
                <w:color w:val="000000"/>
                <w:sz w:val="20"/>
                <w:szCs w:val="20"/>
                <w:lang w:val="en-CA"/>
              </w:rPr>
            </w:pP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tcPr>
          <w:p w:rsidR="00B93BB9" w:rsidRPr="00D50D34" w:rsidRDefault="00B93BB9" w:rsidP="00B027E1">
            <w:pPr>
              <w:widowControl w:val="0"/>
              <w:jc w:val="center"/>
              <w:rPr>
                <w:b/>
                <w:bCs/>
                <w:color w:val="000000"/>
                <w:sz w:val="20"/>
                <w:szCs w:val="20"/>
                <w:lang w:val="en-CA"/>
              </w:rPr>
            </w:pP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rPr>
            </w:pPr>
            <w:r>
              <w:rPr>
                <w:color w:val="000000"/>
                <w:sz w:val="20"/>
                <w:szCs w:val="20"/>
              </w:rPr>
              <w:t>HCFC-22</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color w:val="000000"/>
                <w:sz w:val="20"/>
                <w:szCs w:val="20"/>
              </w:rPr>
            </w:pPr>
            <w:r>
              <w:rPr>
                <w:color w:val="000000"/>
                <w:sz w:val="20"/>
                <w:szCs w:val="20"/>
              </w:rPr>
              <w:t>3 516,71</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3 431,00</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3 522,61</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3 568,52</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3 547,25</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93BB9" w:rsidP="00B027E1">
            <w:pPr>
              <w:jc w:val="right"/>
              <w:rPr>
                <w:sz w:val="20"/>
                <w:szCs w:val="20"/>
              </w:rPr>
            </w:pPr>
            <w:r>
              <w:rPr>
                <w:sz w:val="20"/>
                <w:szCs w:val="20"/>
              </w:rPr>
              <w:t>3 039,00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rPr>
            </w:pPr>
            <w:r>
              <w:rPr>
                <w:color w:val="000000"/>
                <w:sz w:val="20"/>
                <w:szCs w:val="20"/>
              </w:rPr>
              <w:t>HCFC-123</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color w:val="000000"/>
                <w:sz w:val="20"/>
                <w:szCs w:val="20"/>
              </w:rPr>
            </w:pPr>
            <w:r>
              <w:rPr>
                <w:color w:val="000000"/>
                <w:sz w:val="20"/>
                <w:szCs w:val="20"/>
              </w:rPr>
              <w:t>19,29</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93,13</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44,62</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17,17</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16,34</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93BB9" w:rsidP="00B027E1">
            <w:pPr>
              <w:jc w:val="right"/>
              <w:rPr>
                <w:sz w:val="20"/>
                <w:szCs w:val="20"/>
              </w:rPr>
            </w:pPr>
            <w:r>
              <w:rPr>
                <w:sz w:val="20"/>
                <w:szCs w:val="20"/>
              </w:rPr>
              <w:t>8,00</w:t>
            </w:r>
          </w:p>
        </w:tc>
      </w:tr>
      <w:tr w:rsidR="00B027E1"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027E1" w:rsidRPr="00D50D34" w:rsidRDefault="00B027E1" w:rsidP="00B027E1">
            <w:pPr>
              <w:widowControl w:val="0"/>
              <w:jc w:val="left"/>
              <w:rPr>
                <w:color w:val="000000"/>
                <w:sz w:val="20"/>
                <w:szCs w:val="20"/>
              </w:rPr>
            </w:pPr>
            <w:r>
              <w:rPr>
                <w:color w:val="000000"/>
                <w:sz w:val="20"/>
                <w:szCs w:val="20"/>
              </w:rPr>
              <w:t>HCFC-141b</w:t>
            </w:r>
          </w:p>
        </w:tc>
        <w:tc>
          <w:tcPr>
            <w:tcW w:w="563" w:type="pct"/>
            <w:tcBorders>
              <w:top w:val="nil"/>
              <w:left w:val="nil"/>
              <w:bottom w:val="single" w:sz="4" w:space="0" w:color="auto"/>
              <w:right w:val="single" w:sz="4" w:space="0" w:color="auto"/>
            </w:tcBorders>
            <w:shd w:val="clear" w:color="auto" w:fill="auto"/>
            <w:noWrap/>
            <w:tcMar>
              <w:right w:w="144" w:type="dxa"/>
            </w:tcMar>
          </w:tcPr>
          <w:p w:rsidR="00B027E1" w:rsidRPr="00D50D34" w:rsidRDefault="00B027E1" w:rsidP="00B027E1">
            <w:pPr>
              <w:jc w:val="right"/>
              <w:rPr>
                <w:sz w:val="20"/>
                <w:szCs w:val="20"/>
              </w:rPr>
            </w:pPr>
            <w:r>
              <w:rPr>
                <w:sz w:val="20"/>
                <w:szCs w:val="20"/>
              </w:rPr>
              <w:t>145,00</w:t>
            </w:r>
          </w:p>
        </w:tc>
        <w:tc>
          <w:tcPr>
            <w:tcW w:w="564" w:type="pct"/>
            <w:tcBorders>
              <w:top w:val="single" w:sz="4" w:space="0" w:color="auto"/>
              <w:left w:val="nil"/>
              <w:bottom w:val="single" w:sz="4" w:space="0" w:color="auto"/>
              <w:right w:val="single" w:sz="4" w:space="0" w:color="auto"/>
            </w:tcBorders>
            <w:tcMar>
              <w:right w:w="144" w:type="dxa"/>
            </w:tcMar>
          </w:tcPr>
          <w:p w:rsidR="00B027E1" w:rsidRPr="00D50D34" w:rsidRDefault="00B027E1" w:rsidP="00B027E1">
            <w:pPr>
              <w:jc w:val="right"/>
              <w:rPr>
                <w:sz w:val="20"/>
                <w:szCs w:val="20"/>
              </w:rPr>
            </w:pPr>
            <w:r>
              <w:rPr>
                <w:sz w:val="20"/>
                <w:szCs w:val="20"/>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027E1" w:rsidRPr="00D50D34" w:rsidRDefault="00B027E1" w:rsidP="00B027E1">
            <w:pPr>
              <w:jc w:val="right"/>
              <w:rPr>
                <w:sz w:val="20"/>
                <w:szCs w:val="20"/>
              </w:rPr>
            </w:pPr>
            <w:r>
              <w:rPr>
                <w:sz w:val="20"/>
                <w:szCs w:val="20"/>
              </w:rPr>
              <w:t>490,00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rPr>
            </w:pPr>
            <w:r>
              <w:rPr>
                <w:color w:val="000000"/>
                <w:sz w:val="20"/>
                <w:szCs w:val="20"/>
              </w:rPr>
              <w:t>HCFC-225</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rPr>
            </w:pPr>
            <w:r>
              <w:rPr>
                <w:sz w:val="20"/>
                <w:szCs w:val="20"/>
              </w:rPr>
              <w:t>15,28</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sz w:val="20"/>
                <w:szCs w:val="20"/>
              </w:rPr>
            </w:pPr>
            <w:r>
              <w:rPr>
                <w:sz w:val="20"/>
                <w:szCs w:val="20"/>
              </w:rPr>
              <w:t>30,45</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15,60</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13,90</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color w:val="000000"/>
                <w:sz w:val="20"/>
                <w:szCs w:val="20"/>
              </w:rPr>
            </w:pPr>
            <w:r>
              <w:rPr>
                <w:color w:val="000000"/>
                <w:sz w:val="20"/>
                <w:szCs w:val="20"/>
              </w:rPr>
              <w:t>26,88</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027E1" w:rsidP="00B027E1">
            <w:pPr>
              <w:jc w:val="right"/>
              <w:rPr>
                <w:sz w:val="20"/>
                <w:szCs w:val="20"/>
              </w:rPr>
            </w:pPr>
            <w:r>
              <w:rPr>
                <w:sz w:val="20"/>
                <w:szCs w:val="20"/>
              </w:rPr>
              <w:t>0,00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rFonts w:eastAsiaTheme="minorHAnsi"/>
                <w:b/>
                <w:color w:val="000000"/>
                <w:sz w:val="20"/>
                <w:szCs w:val="20"/>
              </w:rPr>
            </w:pPr>
            <w:r>
              <w:rPr>
                <w:b/>
                <w:color w:val="000000"/>
                <w:sz w:val="20"/>
                <w:szCs w:val="20"/>
              </w:rPr>
              <w:t>Total (mt)</w:t>
            </w:r>
          </w:p>
        </w:tc>
        <w:tc>
          <w:tcPr>
            <w:tcW w:w="563" w:type="pct"/>
            <w:tcBorders>
              <w:top w:val="nil"/>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3 696,27</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3 554,58</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3 582,84</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3 599,59</w:t>
            </w:r>
          </w:p>
        </w:tc>
        <w:tc>
          <w:tcPr>
            <w:tcW w:w="564" w:type="pct"/>
            <w:tcBorders>
              <w:top w:val="nil"/>
              <w:left w:val="single" w:sz="4" w:space="0" w:color="auto"/>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3 590,47</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vAlign w:val="center"/>
          </w:tcPr>
          <w:p w:rsidR="00B93BB9" w:rsidRPr="00D50D34" w:rsidRDefault="00B93BB9" w:rsidP="00B027E1">
            <w:pPr>
              <w:widowControl w:val="0"/>
              <w:jc w:val="right"/>
              <w:rPr>
                <w:b/>
                <w:color w:val="000000"/>
                <w:sz w:val="20"/>
                <w:szCs w:val="20"/>
              </w:rPr>
            </w:pPr>
            <w:r w:rsidRPr="00D50D34">
              <w:rPr>
                <w:b/>
                <w:color w:val="000000"/>
                <w:sz w:val="20"/>
                <w:szCs w:val="20"/>
              </w:rPr>
              <w:fldChar w:fldCharType="begin"/>
            </w:r>
            <w:r w:rsidRPr="00D50D34">
              <w:rPr>
                <w:b/>
                <w:color w:val="000000"/>
                <w:sz w:val="20"/>
                <w:szCs w:val="20"/>
              </w:rPr>
              <w:instrText xml:space="preserve"> =SUM(ABOVE) </w:instrText>
            </w:r>
            <w:r w:rsidRPr="00D50D34">
              <w:rPr>
                <w:b/>
                <w:color w:val="000000"/>
                <w:sz w:val="20"/>
                <w:szCs w:val="20"/>
              </w:rPr>
              <w:fldChar w:fldCharType="separate"/>
            </w:r>
            <w:r w:rsidR="00436081">
              <w:rPr>
                <w:b/>
                <w:noProof/>
                <w:color w:val="000000"/>
                <w:sz w:val="20"/>
                <w:szCs w:val="20"/>
              </w:rPr>
              <w:t>3 537</w:t>
            </w:r>
            <w:r w:rsidRPr="00D50D34">
              <w:rPr>
                <w:b/>
                <w:color w:val="000000"/>
                <w:sz w:val="20"/>
                <w:szCs w:val="20"/>
              </w:rPr>
              <w:fldChar w:fldCharType="end"/>
            </w:r>
            <w:r>
              <w:rPr>
                <w:b/>
                <w:color w:val="000000"/>
                <w:sz w:val="20"/>
                <w:szCs w:val="20"/>
              </w:rPr>
              <w:t>.00</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b/>
                <w:bCs/>
                <w:color w:val="000000"/>
                <w:sz w:val="20"/>
                <w:szCs w:val="20"/>
              </w:rPr>
            </w:pPr>
            <w:r>
              <w:rPr>
                <w:color w:val="000000"/>
                <w:sz w:val="20"/>
                <w:szCs w:val="20"/>
              </w:rPr>
              <w:t>HCFC-141b dans les polyols prémélangés importés*</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rPr>
            </w:pPr>
            <w:r>
              <w:rPr>
                <w:sz w:val="20"/>
                <w:szCs w:val="20"/>
              </w:rPr>
              <w:t>2 908,00</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rPr>
            </w:pPr>
            <w:r>
              <w:rPr>
                <w:color w:val="000000"/>
                <w:sz w:val="20"/>
                <w:szCs w:val="20"/>
              </w:rPr>
              <w:t>3 297,68</w:t>
            </w: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sz w:val="20"/>
                <w:szCs w:val="20"/>
              </w:rPr>
            </w:pPr>
            <w:r>
              <w:rPr>
                <w:sz w:val="20"/>
                <w:szCs w:val="20"/>
              </w:rPr>
              <w:t>3 237,55</w:t>
            </w: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rPr>
            </w:pPr>
            <w:r>
              <w:rPr>
                <w:color w:val="000000"/>
                <w:sz w:val="20"/>
                <w:szCs w:val="20"/>
              </w:rPr>
              <w:t>1 879,00</w:t>
            </w: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rPr>
            </w:pPr>
            <w:r>
              <w:rPr>
                <w:sz w:val="20"/>
                <w:szCs w:val="20"/>
              </w:rPr>
              <w:t>1 145,50</w:t>
            </w:r>
          </w:p>
        </w:tc>
        <w:tc>
          <w:tcPr>
            <w:tcW w:w="563" w:type="pct"/>
            <w:tcBorders>
              <w:top w:val="nil"/>
              <w:left w:val="single" w:sz="4" w:space="0" w:color="auto"/>
              <w:bottom w:val="single" w:sz="4" w:space="0" w:color="auto"/>
              <w:right w:val="single" w:sz="4" w:space="0" w:color="auto"/>
            </w:tcBorders>
            <w:shd w:val="clear" w:color="auto" w:fill="auto"/>
            <w:noWrap/>
            <w:tcMar>
              <w:left w:w="0" w:type="dxa"/>
              <w:right w:w="144" w:type="dxa"/>
            </w:tcMar>
          </w:tcPr>
          <w:p w:rsidR="00B93BB9" w:rsidRPr="00D50D34" w:rsidRDefault="00B93BB9" w:rsidP="00B027E1">
            <w:pPr>
              <w:jc w:val="right"/>
              <w:rPr>
                <w:sz w:val="20"/>
                <w:szCs w:val="20"/>
              </w:rPr>
            </w:pPr>
            <w:r>
              <w:rPr>
                <w:color w:val="000000"/>
                <w:sz w:val="20"/>
                <w:szCs w:val="20"/>
              </w:rPr>
              <w:t>1 496,36**</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B93BB9" w:rsidRPr="00D50D34" w:rsidRDefault="00B93BB9" w:rsidP="00B027E1">
            <w:pPr>
              <w:widowControl w:val="0"/>
              <w:jc w:val="left"/>
              <w:rPr>
                <w:b/>
                <w:color w:val="000000"/>
                <w:sz w:val="20"/>
                <w:szCs w:val="20"/>
              </w:rPr>
            </w:pPr>
            <w:r>
              <w:rPr>
                <w:b/>
                <w:bCs/>
                <w:color w:val="000000"/>
                <w:sz w:val="20"/>
                <w:szCs w:val="20"/>
              </w:rPr>
              <w:t>Tonnes PAO</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b/>
                <w:sz w:val="20"/>
                <w:szCs w:val="20"/>
                <w:lang w:val="en-CA"/>
              </w:rPr>
            </w:pP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4" w:type="pct"/>
            <w:tcBorders>
              <w:top w:val="nil"/>
              <w:left w:val="single" w:sz="4" w:space="0" w:color="auto"/>
              <w:bottom w:val="single" w:sz="4" w:space="0" w:color="auto"/>
              <w:right w:val="single" w:sz="4" w:space="0" w:color="auto"/>
            </w:tcBorders>
            <w:tcMar>
              <w:right w:w="144" w:type="dxa"/>
            </w:tcMar>
          </w:tcPr>
          <w:p w:rsidR="00B93BB9" w:rsidRPr="00D50D34" w:rsidRDefault="00B93BB9" w:rsidP="00B027E1">
            <w:pPr>
              <w:jc w:val="right"/>
              <w:rPr>
                <w:b/>
                <w:sz w:val="20"/>
                <w:szCs w:val="20"/>
                <w:lang w:val="en-CA"/>
              </w:rPr>
            </w:pP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b/>
                <w:sz w:val="20"/>
                <w:szCs w:val="20"/>
                <w:lang w:val="en-CA"/>
              </w:rPr>
            </w:pP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keepNext/>
              <w:keepLines/>
              <w:widowControl w:val="0"/>
              <w:jc w:val="left"/>
              <w:rPr>
                <w:color w:val="000000"/>
                <w:sz w:val="20"/>
                <w:szCs w:val="20"/>
              </w:rPr>
            </w:pPr>
            <w:r>
              <w:rPr>
                <w:color w:val="000000"/>
                <w:sz w:val="20"/>
                <w:szCs w:val="20"/>
              </w:rPr>
              <w:t>HCFC-22</w:t>
            </w:r>
          </w:p>
        </w:tc>
        <w:tc>
          <w:tcPr>
            <w:tcW w:w="563" w:type="pct"/>
            <w:tcBorders>
              <w:top w:val="nil"/>
              <w:left w:val="nil"/>
              <w:bottom w:val="single" w:sz="4" w:space="0" w:color="auto"/>
              <w:right w:val="single" w:sz="4" w:space="0" w:color="auto"/>
            </w:tcBorders>
            <w:shd w:val="clear" w:color="auto" w:fill="auto"/>
            <w:noWrap/>
            <w:tcMar>
              <w:right w:w="144" w:type="dxa"/>
            </w:tcMar>
            <w:vAlign w:val="center"/>
          </w:tcPr>
          <w:p w:rsidR="00B93BB9" w:rsidRPr="00D50D34" w:rsidRDefault="00B93BB9" w:rsidP="00B027E1">
            <w:pPr>
              <w:jc w:val="right"/>
              <w:rPr>
                <w:color w:val="000000"/>
                <w:sz w:val="20"/>
                <w:szCs w:val="20"/>
              </w:rPr>
            </w:pPr>
            <w:r>
              <w:rPr>
                <w:color w:val="000000"/>
                <w:sz w:val="20"/>
                <w:szCs w:val="20"/>
              </w:rPr>
              <w:t>193,42</w:t>
            </w:r>
          </w:p>
        </w:tc>
        <w:tc>
          <w:tcPr>
            <w:tcW w:w="564" w:type="pct"/>
            <w:tcBorders>
              <w:top w:val="single" w:sz="4" w:space="0" w:color="auto"/>
              <w:left w:val="nil"/>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188,71</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193,74</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196,27</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195,10</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keepNext/>
              <w:keepLines/>
              <w:jc w:val="right"/>
              <w:rPr>
                <w:sz w:val="20"/>
                <w:szCs w:val="20"/>
              </w:rPr>
            </w:pPr>
            <w:r>
              <w:rPr>
                <w:sz w:val="20"/>
                <w:szCs w:val="20"/>
              </w:rPr>
              <w:t>167,15</w:t>
            </w:r>
          </w:p>
        </w:tc>
      </w:tr>
      <w:tr w:rsidR="00B93BB9"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rPr>
            </w:pPr>
            <w:r>
              <w:rPr>
                <w:color w:val="000000"/>
                <w:sz w:val="20"/>
                <w:szCs w:val="20"/>
              </w:rPr>
              <w:t>HCFC-123</w:t>
            </w:r>
          </w:p>
        </w:tc>
        <w:tc>
          <w:tcPr>
            <w:tcW w:w="563" w:type="pct"/>
            <w:tcBorders>
              <w:top w:val="nil"/>
              <w:left w:val="nil"/>
              <w:bottom w:val="single" w:sz="4" w:space="0" w:color="auto"/>
              <w:right w:val="single" w:sz="4" w:space="0" w:color="auto"/>
            </w:tcBorders>
            <w:shd w:val="clear" w:color="auto" w:fill="auto"/>
            <w:noWrap/>
            <w:tcMar>
              <w:right w:w="144" w:type="dxa"/>
            </w:tcMar>
            <w:vAlign w:val="center"/>
          </w:tcPr>
          <w:p w:rsidR="00B93BB9" w:rsidRPr="00D50D34" w:rsidRDefault="00B93BB9" w:rsidP="00B027E1">
            <w:pPr>
              <w:jc w:val="right"/>
              <w:rPr>
                <w:color w:val="000000"/>
                <w:sz w:val="20"/>
                <w:szCs w:val="20"/>
              </w:rPr>
            </w:pPr>
            <w:r>
              <w:rPr>
                <w:color w:val="000000"/>
                <w:sz w:val="20"/>
                <w:szCs w:val="20"/>
              </w:rPr>
              <w:t>0,39</w:t>
            </w:r>
          </w:p>
        </w:tc>
        <w:tc>
          <w:tcPr>
            <w:tcW w:w="564" w:type="pct"/>
            <w:tcBorders>
              <w:top w:val="single" w:sz="4" w:space="0" w:color="auto"/>
              <w:left w:val="nil"/>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1,86</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0,89</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0,34</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0,33</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rPr>
            </w:pPr>
            <w:r>
              <w:rPr>
                <w:sz w:val="20"/>
                <w:szCs w:val="20"/>
              </w:rPr>
              <w:t>0,16</w:t>
            </w:r>
          </w:p>
        </w:tc>
      </w:tr>
      <w:tr w:rsidR="00B027E1" w:rsidRPr="00D50D34" w:rsidTr="00B027E1">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027E1" w:rsidRPr="00D50D34" w:rsidRDefault="00B027E1" w:rsidP="00B027E1">
            <w:pPr>
              <w:widowControl w:val="0"/>
              <w:jc w:val="left"/>
              <w:rPr>
                <w:color w:val="000000"/>
                <w:sz w:val="20"/>
                <w:szCs w:val="20"/>
              </w:rPr>
            </w:pPr>
            <w:r>
              <w:rPr>
                <w:color w:val="000000"/>
                <w:sz w:val="20"/>
                <w:szCs w:val="20"/>
              </w:rPr>
              <w:t>HCFC-141b</w:t>
            </w:r>
          </w:p>
        </w:tc>
        <w:tc>
          <w:tcPr>
            <w:tcW w:w="563" w:type="pct"/>
            <w:tcBorders>
              <w:top w:val="nil"/>
              <w:left w:val="nil"/>
              <w:bottom w:val="single" w:sz="4" w:space="0" w:color="auto"/>
              <w:right w:val="single" w:sz="4" w:space="0" w:color="auto"/>
            </w:tcBorders>
            <w:shd w:val="clear" w:color="auto" w:fill="auto"/>
            <w:noWrap/>
            <w:tcMar>
              <w:right w:w="144" w:type="dxa"/>
            </w:tcMar>
          </w:tcPr>
          <w:p w:rsidR="00B027E1" w:rsidRPr="00D50D34" w:rsidRDefault="00B027E1" w:rsidP="00B027E1">
            <w:pPr>
              <w:jc w:val="right"/>
              <w:rPr>
                <w:sz w:val="20"/>
                <w:szCs w:val="20"/>
              </w:rPr>
            </w:pPr>
            <w:r>
              <w:rPr>
                <w:sz w:val="20"/>
                <w:szCs w:val="20"/>
              </w:rPr>
              <w:t>15,95</w:t>
            </w:r>
          </w:p>
        </w:tc>
        <w:tc>
          <w:tcPr>
            <w:tcW w:w="564" w:type="pct"/>
            <w:tcBorders>
              <w:top w:val="single" w:sz="4" w:space="0" w:color="auto"/>
              <w:left w:val="nil"/>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4" w:type="pct"/>
            <w:tcBorders>
              <w:top w:val="nil"/>
              <w:left w:val="single" w:sz="4" w:space="0" w:color="auto"/>
              <w:bottom w:val="single" w:sz="4" w:space="0" w:color="auto"/>
              <w:right w:val="single" w:sz="4" w:space="0" w:color="auto"/>
            </w:tcBorders>
            <w:tcMar>
              <w:right w:w="144" w:type="dxa"/>
            </w:tcMar>
            <w:vAlign w:val="center"/>
          </w:tcPr>
          <w:p w:rsidR="00B027E1" w:rsidRDefault="00B027E1" w:rsidP="00B027E1">
            <w:pPr>
              <w:jc w:val="right"/>
            </w:pPr>
            <w:r>
              <w:rPr>
                <w:sz w:val="20"/>
                <w:szCs w:val="20"/>
              </w:rPr>
              <w:t>0,00</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027E1" w:rsidRPr="00D50D34" w:rsidRDefault="00B027E1" w:rsidP="00B027E1">
            <w:pPr>
              <w:jc w:val="right"/>
              <w:rPr>
                <w:sz w:val="20"/>
                <w:szCs w:val="20"/>
              </w:rPr>
            </w:pPr>
            <w:r>
              <w:rPr>
                <w:sz w:val="20"/>
                <w:szCs w:val="20"/>
              </w:rPr>
              <w:t>53,90</w:t>
            </w:r>
          </w:p>
        </w:tc>
      </w:tr>
      <w:tr w:rsidR="00B93BB9" w:rsidRPr="00D50D34" w:rsidTr="00B027E1">
        <w:trPr>
          <w:trHeight w:val="20"/>
        </w:trPr>
        <w:tc>
          <w:tcPr>
            <w:tcW w:w="161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93BB9" w:rsidRPr="00D50D34" w:rsidRDefault="00B93BB9" w:rsidP="00B027E1">
            <w:pPr>
              <w:widowControl w:val="0"/>
              <w:jc w:val="left"/>
              <w:rPr>
                <w:color w:val="000000"/>
                <w:sz w:val="20"/>
                <w:szCs w:val="20"/>
              </w:rPr>
            </w:pPr>
            <w:r>
              <w:rPr>
                <w:color w:val="000000"/>
                <w:sz w:val="20"/>
                <w:szCs w:val="20"/>
              </w:rPr>
              <w:t>HCFC-225</w:t>
            </w:r>
          </w:p>
        </w:tc>
        <w:tc>
          <w:tcPr>
            <w:tcW w:w="563" w:type="pct"/>
            <w:tcBorders>
              <w:top w:val="nil"/>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rPr>
            </w:pPr>
            <w:r>
              <w:rPr>
                <w:sz w:val="20"/>
                <w:szCs w:val="20"/>
              </w:rPr>
              <w:t>1,07</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sz w:val="20"/>
                <w:szCs w:val="20"/>
              </w:rPr>
            </w:pPr>
            <w:r>
              <w:rPr>
                <w:sz w:val="20"/>
                <w:szCs w:val="20"/>
              </w:rPr>
              <w:t>2,13</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1,09</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0,97</w:t>
            </w:r>
          </w:p>
        </w:tc>
        <w:tc>
          <w:tcPr>
            <w:tcW w:w="564" w:type="pct"/>
            <w:tcBorders>
              <w:top w:val="nil"/>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color w:val="000000"/>
                <w:sz w:val="20"/>
                <w:szCs w:val="20"/>
              </w:rPr>
            </w:pPr>
            <w:r>
              <w:rPr>
                <w:color w:val="000000"/>
                <w:sz w:val="20"/>
                <w:szCs w:val="20"/>
              </w:rPr>
              <w:t>1,88</w:t>
            </w:r>
          </w:p>
        </w:tc>
        <w:tc>
          <w:tcPr>
            <w:tcW w:w="563" w:type="pct"/>
            <w:tcBorders>
              <w:top w:val="nil"/>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rPr>
            </w:pPr>
            <w:r>
              <w:rPr>
                <w:sz w:val="20"/>
                <w:szCs w:val="20"/>
              </w:rPr>
              <w:t>0</w:t>
            </w:r>
          </w:p>
        </w:tc>
      </w:tr>
      <w:tr w:rsidR="00B93BB9" w:rsidRPr="00D50D34" w:rsidTr="00B027E1">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rFonts w:eastAsiaTheme="minorHAnsi"/>
                <w:b/>
                <w:sz w:val="20"/>
                <w:szCs w:val="20"/>
              </w:rPr>
            </w:pPr>
            <w:r>
              <w:rPr>
                <w:b/>
                <w:sz w:val="20"/>
                <w:szCs w:val="20"/>
              </w:rPr>
              <w:t>Total (tonnes PAO)</w:t>
            </w:r>
          </w:p>
        </w:tc>
        <w:tc>
          <w:tcPr>
            <w:tcW w:w="563" w:type="pct"/>
            <w:tcBorders>
              <w:top w:val="single" w:sz="4" w:space="0" w:color="auto"/>
              <w:left w:val="nil"/>
              <w:bottom w:val="single" w:sz="4" w:space="0" w:color="auto"/>
              <w:right w:val="single" w:sz="4" w:space="0" w:color="auto"/>
            </w:tcBorders>
            <w:shd w:val="clear" w:color="auto" w:fill="auto"/>
            <w:noWrap/>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210,82</w:t>
            </w:r>
          </w:p>
        </w:tc>
        <w:tc>
          <w:tcPr>
            <w:tcW w:w="564" w:type="pct"/>
            <w:tcBorders>
              <w:top w:val="single" w:sz="4" w:space="0" w:color="auto"/>
              <w:left w:val="nil"/>
              <w:bottom w:val="single" w:sz="4" w:space="0" w:color="auto"/>
              <w:right w:val="single" w:sz="4" w:space="0" w:color="auto"/>
            </w:tcBorders>
            <w:tcMar>
              <w:right w:w="144" w:type="dxa"/>
            </w:tcMar>
            <w:vAlign w:val="bottom"/>
          </w:tcPr>
          <w:p w:rsidR="00B93BB9" w:rsidRPr="00D50D34" w:rsidRDefault="00B93BB9" w:rsidP="00B027E1">
            <w:pPr>
              <w:jc w:val="right"/>
              <w:rPr>
                <w:b/>
                <w:bCs/>
                <w:color w:val="000000"/>
                <w:sz w:val="20"/>
                <w:szCs w:val="20"/>
              </w:rPr>
            </w:pPr>
            <w:r>
              <w:rPr>
                <w:b/>
                <w:bCs/>
                <w:color w:val="000000"/>
                <w:sz w:val="20"/>
                <w:szCs w:val="20"/>
              </w:rPr>
              <w:t>192,70</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b/>
                <w:bCs/>
                <w:color w:val="000000"/>
                <w:sz w:val="20"/>
                <w:szCs w:val="20"/>
              </w:rPr>
            </w:pPr>
            <w:r>
              <w:rPr>
                <w:b/>
                <w:bCs/>
                <w:color w:val="000000"/>
                <w:sz w:val="20"/>
                <w:szCs w:val="20"/>
              </w:rPr>
              <w:t>195,73</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b/>
                <w:bCs/>
                <w:color w:val="000000"/>
                <w:sz w:val="20"/>
                <w:szCs w:val="20"/>
              </w:rPr>
            </w:pPr>
            <w:r>
              <w:rPr>
                <w:b/>
                <w:bCs/>
                <w:color w:val="000000"/>
                <w:sz w:val="20"/>
                <w:szCs w:val="20"/>
              </w:rPr>
              <w:t>197,58</w:t>
            </w:r>
          </w:p>
        </w:tc>
        <w:tc>
          <w:tcPr>
            <w:tcW w:w="564" w:type="pct"/>
            <w:tcBorders>
              <w:top w:val="single" w:sz="4" w:space="0" w:color="auto"/>
              <w:left w:val="single" w:sz="4" w:space="0" w:color="auto"/>
              <w:bottom w:val="single" w:sz="4" w:space="0" w:color="auto"/>
              <w:right w:val="single" w:sz="4" w:space="0" w:color="auto"/>
            </w:tcBorders>
            <w:tcMar>
              <w:right w:w="144" w:type="dxa"/>
            </w:tcMar>
            <w:vAlign w:val="center"/>
          </w:tcPr>
          <w:p w:rsidR="00B93BB9" w:rsidRPr="00D50D34" w:rsidRDefault="00B93BB9" w:rsidP="00B027E1">
            <w:pPr>
              <w:jc w:val="right"/>
              <w:rPr>
                <w:b/>
                <w:bCs/>
                <w:color w:val="000000"/>
                <w:sz w:val="20"/>
                <w:szCs w:val="20"/>
              </w:rPr>
            </w:pPr>
            <w:r>
              <w:rPr>
                <w:b/>
                <w:bCs/>
                <w:color w:val="000000"/>
                <w:sz w:val="20"/>
                <w:szCs w:val="20"/>
              </w:rPr>
              <w:t>197,31</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b/>
                <w:sz w:val="20"/>
                <w:szCs w:val="20"/>
              </w:rPr>
            </w:pPr>
            <w:r>
              <w:rPr>
                <w:b/>
                <w:sz w:val="20"/>
                <w:szCs w:val="20"/>
              </w:rPr>
              <w:t>221,21</w:t>
            </w:r>
          </w:p>
        </w:tc>
      </w:tr>
      <w:tr w:rsidR="00B93BB9" w:rsidRPr="00D50D34" w:rsidTr="00B027E1">
        <w:tc>
          <w:tcPr>
            <w:tcW w:w="161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B93BB9" w:rsidRPr="00D50D34" w:rsidRDefault="00B93BB9" w:rsidP="00B027E1">
            <w:pPr>
              <w:jc w:val="left"/>
              <w:rPr>
                <w:color w:val="000000"/>
                <w:sz w:val="20"/>
                <w:szCs w:val="20"/>
              </w:rPr>
            </w:pPr>
            <w:r>
              <w:rPr>
                <w:color w:val="000000"/>
                <w:sz w:val="20"/>
                <w:szCs w:val="20"/>
              </w:rPr>
              <w:t>HCFC-141b dans des polyols prémélangés importés*</w:t>
            </w:r>
          </w:p>
        </w:tc>
        <w:tc>
          <w:tcPr>
            <w:tcW w:w="563" w:type="pct"/>
            <w:tcBorders>
              <w:top w:val="single" w:sz="4" w:space="0" w:color="auto"/>
              <w:left w:val="nil"/>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sz w:val="20"/>
                <w:szCs w:val="20"/>
              </w:rPr>
            </w:pPr>
            <w:r>
              <w:rPr>
                <w:sz w:val="20"/>
                <w:szCs w:val="20"/>
              </w:rPr>
              <w:t>319,88</w:t>
            </w:r>
          </w:p>
        </w:tc>
        <w:tc>
          <w:tcPr>
            <w:tcW w:w="564" w:type="pct"/>
            <w:tcBorders>
              <w:top w:val="single" w:sz="4" w:space="0" w:color="auto"/>
              <w:left w:val="nil"/>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rPr>
            </w:pPr>
            <w:r>
              <w:rPr>
                <w:color w:val="000000"/>
                <w:sz w:val="20"/>
                <w:szCs w:val="20"/>
              </w:rPr>
              <w:t>362,74</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B93BB9" w:rsidRPr="00D50D34" w:rsidRDefault="00B93BB9" w:rsidP="00B027E1">
            <w:pPr>
              <w:jc w:val="right"/>
              <w:rPr>
                <w:sz w:val="20"/>
                <w:szCs w:val="20"/>
              </w:rPr>
            </w:pPr>
            <w:r>
              <w:rPr>
                <w:sz w:val="20"/>
                <w:szCs w:val="20"/>
              </w:rPr>
              <w:t>356,13</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B93BB9" w:rsidRPr="00D50D34" w:rsidRDefault="00B93BB9" w:rsidP="00B027E1">
            <w:pPr>
              <w:jc w:val="right"/>
              <w:rPr>
                <w:rFonts w:eastAsiaTheme="minorHAnsi"/>
                <w:color w:val="000000"/>
                <w:sz w:val="20"/>
                <w:szCs w:val="20"/>
              </w:rPr>
            </w:pPr>
            <w:r>
              <w:rPr>
                <w:color w:val="000000"/>
                <w:sz w:val="20"/>
                <w:szCs w:val="20"/>
              </w:rPr>
              <w:t>206,69</w:t>
            </w:r>
          </w:p>
        </w:tc>
        <w:tc>
          <w:tcPr>
            <w:tcW w:w="564" w:type="pct"/>
            <w:tcBorders>
              <w:top w:val="single" w:sz="4" w:space="0" w:color="auto"/>
              <w:left w:val="single" w:sz="4" w:space="0" w:color="auto"/>
              <w:bottom w:val="single" w:sz="4" w:space="0" w:color="auto"/>
              <w:right w:val="single" w:sz="4" w:space="0" w:color="auto"/>
            </w:tcBorders>
            <w:tcMar>
              <w:right w:w="144" w:type="dxa"/>
            </w:tcMar>
          </w:tcPr>
          <w:p w:rsidR="00B93BB9" w:rsidRPr="00D50D34" w:rsidRDefault="00B93BB9" w:rsidP="00B027E1">
            <w:pPr>
              <w:jc w:val="right"/>
              <w:rPr>
                <w:sz w:val="20"/>
                <w:szCs w:val="20"/>
              </w:rPr>
            </w:pPr>
            <w:r>
              <w:rPr>
                <w:sz w:val="20"/>
                <w:szCs w:val="20"/>
              </w:rPr>
              <w:t>126,00</w:t>
            </w:r>
          </w:p>
        </w:tc>
        <w:tc>
          <w:tcPr>
            <w:tcW w:w="563" w:type="pct"/>
            <w:tcBorders>
              <w:top w:val="single" w:sz="4" w:space="0" w:color="auto"/>
              <w:left w:val="single" w:sz="4" w:space="0" w:color="auto"/>
              <w:bottom w:val="single" w:sz="4" w:space="0" w:color="auto"/>
              <w:right w:val="single" w:sz="4" w:space="0" w:color="auto"/>
            </w:tcBorders>
            <w:shd w:val="clear" w:color="auto" w:fill="auto"/>
            <w:noWrap/>
            <w:tcMar>
              <w:right w:w="144" w:type="dxa"/>
            </w:tcMar>
          </w:tcPr>
          <w:p w:rsidR="00B93BB9" w:rsidRPr="00D50D34" w:rsidRDefault="00B93BB9" w:rsidP="00B027E1">
            <w:pPr>
              <w:jc w:val="right"/>
              <w:rPr>
                <w:rFonts w:eastAsiaTheme="minorHAnsi"/>
                <w:color w:val="000000"/>
                <w:sz w:val="20"/>
                <w:szCs w:val="20"/>
              </w:rPr>
            </w:pPr>
            <w:r>
              <w:rPr>
                <w:sz w:val="20"/>
                <w:szCs w:val="20"/>
              </w:rPr>
              <w:t>164,56**</w:t>
            </w:r>
          </w:p>
        </w:tc>
      </w:tr>
    </w:tbl>
    <w:p w:rsidR="00B93BB9" w:rsidRPr="00205490" w:rsidRDefault="00B93BB9" w:rsidP="00B027E1">
      <w:pPr>
        <w:rPr>
          <w:sz w:val="16"/>
          <w:szCs w:val="16"/>
        </w:rPr>
      </w:pPr>
      <w:r w:rsidRPr="00205490">
        <w:rPr>
          <w:sz w:val="16"/>
          <w:szCs w:val="16"/>
        </w:rPr>
        <w:t>* Données du programme de pays.</w:t>
      </w:r>
    </w:p>
    <w:p w:rsidR="00B93BB9" w:rsidRPr="00205490" w:rsidRDefault="00783700" w:rsidP="00B027E1">
      <w:pPr>
        <w:rPr>
          <w:sz w:val="16"/>
          <w:szCs w:val="16"/>
        </w:rPr>
      </w:pPr>
      <w:r w:rsidRPr="00205490">
        <w:rPr>
          <w:sz w:val="16"/>
          <w:szCs w:val="16"/>
        </w:rPr>
        <w:t>** Consommation moyenne entre 2007 et 2009.</w:t>
      </w:r>
    </w:p>
    <w:p w:rsidR="00B93BB9" w:rsidRPr="00D50D34" w:rsidRDefault="00B93BB9" w:rsidP="00B027E1">
      <w:pPr>
        <w:rPr>
          <w:lang w:val="en-CA"/>
        </w:rPr>
      </w:pPr>
    </w:p>
    <w:p w:rsidR="0073572D" w:rsidRPr="00D50D34" w:rsidRDefault="00B93BB9" w:rsidP="00B027E1">
      <w:pPr>
        <w:pStyle w:val="Heading1"/>
      </w:pPr>
      <w:r>
        <w:t xml:space="preserve">Au Viet Nam, la consommation de HCFC se compose essentiellement de HCFC-22, la fabrication de systèmes de réfrigération et de climatisation (RAC) représentant environ 30 % de cette consommation et l’entretien le reste, ainsi que de petites quantités de HCFC-123 et HCFC-225. Le HCFC-141b n’a pas été consommé depuis 2015, conformément à l’interdiction d’importation et d’exportation du HCFC-141b en vigueur depuis le 1er janvier 2015 ; en revanche, les importations de HCFC-141b contenu dans les polyols prémélangés importés ont initialement augmenté après l’interdiction et ont régulièrement diminué avec l’introduction des activités de reconversion de la mousse de polyuréthane (PU) au titre de la phase I du PGEH. </w:t>
      </w:r>
    </w:p>
    <w:p w:rsidR="00B93BB9" w:rsidRPr="00D50D34" w:rsidRDefault="00B93BB9" w:rsidP="00AC66DF">
      <w:pPr>
        <w:keepNext/>
        <w:keepLines/>
        <w:rPr>
          <w:i/>
        </w:rPr>
      </w:pPr>
      <w:r>
        <w:rPr>
          <w:i/>
        </w:rPr>
        <w:lastRenderedPageBreak/>
        <w:t>Rapport de mise en œuvre du programme de pays</w:t>
      </w:r>
    </w:p>
    <w:p w:rsidR="00B93BB9" w:rsidRPr="00436081" w:rsidRDefault="00B93BB9" w:rsidP="00AC66DF">
      <w:pPr>
        <w:keepNext/>
        <w:keepLines/>
      </w:pPr>
    </w:p>
    <w:p w:rsidR="00B93BB9" w:rsidRPr="00D50D34" w:rsidRDefault="00B93BB9" w:rsidP="00AC66DF">
      <w:pPr>
        <w:pStyle w:val="Heading1"/>
        <w:keepNext/>
        <w:keepLines/>
        <w:widowControl w:val="0"/>
      </w:pPr>
      <w:r>
        <w:t xml:space="preserve">Le gouvernement du Viet Nam a fait état des données de sa consommation de HCFC du secteur pour 2016, 2017 et 2018 dans le rapport de mise en œuvre du programme de pays, lesquelles correspondent aux données indiquées en vertu de l’article 7 du Protocole de Montréal.  </w:t>
      </w:r>
    </w:p>
    <w:p w:rsidR="00FD4D02" w:rsidRPr="00D50D34" w:rsidRDefault="00FD4D02" w:rsidP="00B027E1">
      <w:pPr>
        <w:rPr>
          <w:i/>
        </w:rPr>
      </w:pPr>
      <w:r>
        <w:rPr>
          <w:i/>
        </w:rPr>
        <w:t>Rapport de vérification</w:t>
      </w:r>
    </w:p>
    <w:p w:rsidR="00FD4D02" w:rsidRPr="00D50D34" w:rsidRDefault="00FD4D02" w:rsidP="00B027E1">
      <w:pPr>
        <w:rPr>
          <w:lang w:val="en-CA"/>
        </w:rPr>
      </w:pPr>
    </w:p>
    <w:p w:rsidR="00246C77" w:rsidRPr="00D50D34" w:rsidRDefault="00FD4D02" w:rsidP="00B027E1">
      <w:pPr>
        <w:pStyle w:val="Heading1"/>
      </w:pPr>
      <w:r>
        <w:t xml:space="preserve">Le rapport de vérification a confirmé que le gouvernement mettait en œuvre un système de permis et de quotas pour les importations et les exportations de HCFC, et que la consommation totale de HCFC pour 2016, 2017 et 2018 était respectivement de 195,76, 197,38 et 195,60 tonnes PAO, ce qui diffère de la consommation déclarée à la fois dans le rapport de mise en œuvre du programme de pays et dans l’article 7 du Protocole de Montréal, car ces chiffres étaient fondés sur les permis d’importation correspondant au volume total des quotas. Toutefois, les quantités réellement importées ont été inférieures à celles indiquées dans les permis d’importation. Il a été convenu que le gouvernement modifierait les données déclarées dans le rapport de mise en œuvre du programme de pays et à l’article 7 pour refléter la consommation vérifiée de 2016 à 2018. De plus, le gouvernement a renforcé la communication entre les douanes et l’Unité nationale de l’Ozone (UNO) pour faire en sorte que les données futures déclarées dans le cadre du rapport de mise en œuvre du programme de pays et de l’article 7 reflètent les importations réelles plutôt que les quotas alloués. Au moment de la finalisation du présent document, les données relatives aux années 2016 à 2018 n’avaient pas encore été modifiées. </w:t>
      </w:r>
    </w:p>
    <w:p w:rsidR="00FD4D02" w:rsidRPr="00D50D34" w:rsidRDefault="00FD4D02" w:rsidP="00B027E1">
      <w:pPr>
        <w:pStyle w:val="Heading1"/>
      </w:pPr>
      <w:r>
        <w:t>La vérification a permis de conclure que la consommation de HCFC au Viet Nam se situait dans les limites stipulées dans l’Accord conclu entre le pays et le Comité exécutif et que les données gérées par le MONRE et l’UNO, le Département des importations et exportations et le Département général des douanes du Viet Nam étaient complètes et cohérentes. Le rapport de vérification indique également que les envois suspects sont ouverts au point d’entrée pour faire l’objet d’un contrôle visuel. Toutefois, à ce jour, aucun envoi illégal de substances réglementées n’a été détecté, y compris aucun envoi contenant du CFC-11 ou du CFC-12. Les importateurs ayant tenté d’importer illégalement des substances réglementées peuvent se voir infliger une amende ; ces importations ne seront réexportées vers les pays exportateurs ou confisquées pour destruction que si elles sont dangereuses.</w:t>
      </w:r>
    </w:p>
    <w:p w:rsidR="00FD4D02" w:rsidRPr="00D50D34" w:rsidRDefault="00FD4D02" w:rsidP="00B027E1">
      <w:pPr>
        <w:rPr>
          <w:u w:val="single"/>
        </w:rPr>
      </w:pPr>
      <w:r>
        <w:rPr>
          <w:u w:val="single"/>
        </w:rPr>
        <w:t>Rapport périodique sur la mise en œuvre de la première tranche du PGEH</w:t>
      </w:r>
    </w:p>
    <w:p w:rsidR="00FD4D02" w:rsidRPr="00436081" w:rsidRDefault="00FD4D02" w:rsidP="00B027E1"/>
    <w:p w:rsidR="00FD4D02" w:rsidRPr="00D50D34" w:rsidRDefault="00FD4D02" w:rsidP="00B027E1">
      <w:pPr>
        <w:rPr>
          <w:i/>
        </w:rPr>
      </w:pPr>
      <w:r>
        <w:rPr>
          <w:i/>
        </w:rPr>
        <w:t>Cadre juridique</w:t>
      </w:r>
    </w:p>
    <w:p w:rsidR="00FD4D02" w:rsidRPr="00D50D34" w:rsidRDefault="00FD4D02" w:rsidP="00B027E1">
      <w:pPr>
        <w:rPr>
          <w:lang w:val="en-CA"/>
        </w:rPr>
      </w:pPr>
    </w:p>
    <w:p w:rsidR="00FD4D02" w:rsidRPr="00D50D34" w:rsidRDefault="006C7666" w:rsidP="00B027E1">
      <w:pPr>
        <w:pStyle w:val="Heading1"/>
      </w:pPr>
      <w:r>
        <w:t>Le Viet Nam a mis en place un système d’octroi de permis et de quotas. En 2018, la procédure d’importation des substances appauvrissant la couche d’ozone a été modifiée en obligeant les commerçant à demander les licences d’importation directement auprès du Département des importations et des exportations, et la vérification des documents d’importation et d’exportation des envois de HCFC a été simplifiée par l’UNO pour faciliter les activités des entreprises. En septembre 2019, le Viet Nam a ratifié l’Amendement de Kigali.</w:t>
      </w:r>
    </w:p>
    <w:p w:rsidR="005E2CB2" w:rsidRPr="00D50D34" w:rsidRDefault="005E2CB2" w:rsidP="00B027E1">
      <w:pPr>
        <w:rPr>
          <w:i/>
        </w:rPr>
      </w:pPr>
      <w:r>
        <w:rPr>
          <w:i/>
        </w:rPr>
        <w:t>Activités d’élimination</w:t>
      </w:r>
      <w:r>
        <w:t xml:space="preserve"> </w:t>
      </w:r>
    </w:p>
    <w:p w:rsidR="005E2CB2" w:rsidRDefault="005E2CB2" w:rsidP="00B027E1">
      <w:pPr>
        <w:rPr>
          <w:lang w:val="en-CA"/>
        </w:rPr>
      </w:pPr>
    </w:p>
    <w:p w:rsidR="00D04B9B" w:rsidRPr="00D50D34" w:rsidRDefault="00D04B9B" w:rsidP="00D04B9B">
      <w:pPr>
        <w:pStyle w:val="Heading1"/>
      </w:pPr>
      <w:r>
        <w:t xml:space="preserve">La phase I du HPMP s’est achevée le 30 juin 2017 ; la Banque mondiale avait présenté le rapport périodique final et le rapport d’achèvement du projet, et restitué les soldes de financement. </w:t>
      </w:r>
    </w:p>
    <w:p w:rsidR="00CB71CB" w:rsidRPr="00177EEE" w:rsidRDefault="00D04B9B" w:rsidP="00B027E1">
      <w:pPr>
        <w:pStyle w:val="Heading1"/>
      </w:pPr>
      <w:r>
        <w:t>La première tranche de financement de la phase II du PGEH était relativement modeste (c’est</w:t>
      </w:r>
      <w:r w:rsidR="00AC66DF">
        <w:noBreakHyphen/>
      </w:r>
      <w:r>
        <w:t>à</w:t>
      </w:r>
      <w:r w:rsidR="00AC66DF">
        <w:noBreakHyphen/>
      </w:r>
      <w:r>
        <w:t xml:space="preserve">dire 3 % du financement global approuvé en principe) et comprenait des activités visant à faciliter la signature de l’accord de subvention entre le gouvernement et la Banque mondiale, ainsi que la création de l’Unité de mise en œuvre et de suivi du projet (UGP), afin que des activités préliminaires en vue de l’élimination des </w:t>
      </w:r>
      <w:r>
        <w:lastRenderedPageBreak/>
        <w:t xml:space="preserve">HCFC puissent être menées. L’accord de subvention a été signé le 7 mars 2019, le manuel de mise en œuvre du projet a été approuvé le 25 avril 2019, et l’UGP a été créée. </w:t>
      </w:r>
    </w:p>
    <w:p w:rsidR="00FD4D02" w:rsidRPr="00D50D34" w:rsidRDefault="00FD4D02" w:rsidP="00B027E1">
      <w:pPr>
        <w:rPr>
          <w:i/>
        </w:rPr>
      </w:pPr>
      <w:r>
        <w:rPr>
          <w:i/>
        </w:rPr>
        <w:t>UGP</w:t>
      </w:r>
    </w:p>
    <w:p w:rsidR="00FD4D02" w:rsidRPr="00D50D34" w:rsidRDefault="00FD4D02" w:rsidP="00B027E1">
      <w:pPr>
        <w:rPr>
          <w:lang w:val="en-CA"/>
        </w:rPr>
      </w:pPr>
    </w:p>
    <w:p w:rsidR="001108B9" w:rsidRPr="00D50D34" w:rsidRDefault="0070259A" w:rsidP="00B027E1">
      <w:pPr>
        <w:pStyle w:val="Heading1"/>
      </w:pPr>
      <w:r>
        <w:t xml:space="preserve">L’UGP a mis en œuvre les activités suivantes : </w:t>
      </w:r>
    </w:p>
    <w:p w:rsidR="001108B9" w:rsidRPr="00D50D34" w:rsidRDefault="00824579" w:rsidP="00B027E1">
      <w:pPr>
        <w:pStyle w:val="Heading2"/>
      </w:pPr>
      <w:r>
        <w:t xml:space="preserve">Atelier de lancement portant sur la mise en œuvre de la phase II le 16 septembre 2019, Journée internationale de l’ozone (4 968 $US) ; </w:t>
      </w:r>
    </w:p>
    <w:p w:rsidR="00824579" w:rsidRPr="00D50D34" w:rsidRDefault="00824579" w:rsidP="00B027E1">
      <w:pPr>
        <w:pStyle w:val="Heading2"/>
      </w:pPr>
      <w:r>
        <w:t xml:space="preserve">Sollicitation des services d’un consultant indépendant pour entreprendre un examen technique et financier des propositions de sous-projets dans les secteurs de la mousse et des équipements RAC. La valeur du contrat s’est montée à 92 000 $US, la première avance de 9 028 $US ayant été versée après la signature du contrat le 26 septembre 2019 et avec la soumission d’un plan d’activités détaillé et d’un calendrier ; </w:t>
      </w:r>
    </w:p>
    <w:p w:rsidR="00824579" w:rsidRPr="00D50D34" w:rsidRDefault="00046793" w:rsidP="00B027E1">
      <w:pPr>
        <w:pStyle w:val="Heading2"/>
      </w:pPr>
      <w:r>
        <w:t>Sollicitation des services d’un consultant indépendant chargé de fournir une assistance technique à certains utilisateurs finaux des systèmes de réfrigération industrielle pour la gestion des fuites de HCFC, pour une valeur contractuelle de 34 000 $US, avec une première avance de 3 028 $US ; et</w:t>
      </w:r>
    </w:p>
    <w:p w:rsidR="00046793" w:rsidRPr="00D50D34" w:rsidRDefault="00046793" w:rsidP="00B027E1">
      <w:pPr>
        <w:pStyle w:val="Heading2"/>
      </w:pPr>
      <w:r>
        <w:t>Sollicitation d’un auditeur pour la vérification de la consommation de 2016 à 2018 (7</w:t>
      </w:r>
      <w:r w:rsidR="00C01044">
        <w:t> </w:t>
      </w:r>
      <w:r>
        <w:t>916</w:t>
      </w:r>
      <w:r w:rsidR="00C01044">
        <w:t> </w:t>
      </w:r>
      <w:r>
        <w:t>$US).</w:t>
      </w:r>
    </w:p>
    <w:p w:rsidR="00684CF5" w:rsidRPr="00D50D34" w:rsidRDefault="00046793" w:rsidP="00B027E1">
      <w:pPr>
        <w:pStyle w:val="Heading1"/>
      </w:pPr>
      <w:r>
        <w:t>Des décaissements supplémentaires pour l’UGP, constituée de cinq membres du personnel, à savoir pour les salaires du personnel (29 668 $US), le matériel de bureau (14 338 $US) et les dépenses de fonctionnement (1 155 $US). L’UGP prévoit la tenue de deux ateliers en novembre 2019 pour aider les entreprises bénéficiaires à préparer leurs propositions de sous-projets afin que ces dernières puissent être présentées en décembre 2019. L’UGP a également entamé des discussions avec la Direction de l’enseignement et de la formation professionnels sur la formation des formateurs et des techniciens dans les écoles professionnelles, ainsi qu’avec le Département général des douanes pour la formation des agents de  douane douaniers ; elle a lancé l’examen et l’élaboration de normes de sécurité pour l’utilisation des frigorigènes inflammables dans les équipements RAC ; et a participé à des discussions avec le gouvernement japonais et la Banque mondiale sur le mandat de l’assistance technique dans le secteur de la fabrication des climatiseurs que le gouvernement japonais est tenu d’appliquer.</w:t>
      </w:r>
    </w:p>
    <w:p w:rsidR="00FD4D02" w:rsidRPr="00D50D34" w:rsidRDefault="00FD4D02" w:rsidP="00B027E1">
      <w:pPr>
        <w:rPr>
          <w:u w:val="single"/>
        </w:rPr>
      </w:pPr>
      <w:r>
        <w:rPr>
          <w:u w:val="single"/>
        </w:rPr>
        <w:t>Niveau de décaissement des fonds</w:t>
      </w:r>
    </w:p>
    <w:p w:rsidR="00FD4D02" w:rsidRPr="00D50D34" w:rsidRDefault="00FD4D02" w:rsidP="00B027E1">
      <w:pPr>
        <w:rPr>
          <w:lang w:val="en-CA"/>
        </w:rPr>
      </w:pPr>
    </w:p>
    <w:p w:rsidR="00FD4D02" w:rsidRPr="00D50D34" w:rsidRDefault="00FD4D02" w:rsidP="00B027E1">
      <w:pPr>
        <w:pStyle w:val="Heading1"/>
      </w:pPr>
      <w:r>
        <w:t xml:space="preserve">Au mois d’octobre 2019, sur le montant de 345 987 $US approuvé jusqu’ici (302 737 $US pour la Banque mondiale et 43 250 $US pour le gouvernement du Japon), 70 101 $US (20 pour cent) avaient été décaissés uniquement pour la Banque mondiale. Le solde de 275 886 $US sera décaissé d’ici 2020. </w:t>
      </w:r>
    </w:p>
    <w:p w:rsidR="00FD4D02" w:rsidRPr="00D50D34" w:rsidRDefault="00FD4D02" w:rsidP="00B027E1">
      <w:pPr>
        <w:rPr>
          <w:u w:val="single"/>
        </w:rPr>
      </w:pPr>
      <w:r>
        <w:rPr>
          <w:u w:val="single"/>
        </w:rPr>
        <w:t>Plan de mise en œuvre de la deuxième tranche du PGEH</w:t>
      </w:r>
    </w:p>
    <w:p w:rsidR="00FD4D02" w:rsidRPr="00436081" w:rsidRDefault="00FD4D02" w:rsidP="00B027E1"/>
    <w:p w:rsidR="00FD4D02" w:rsidRPr="00D50D34" w:rsidRDefault="00FD4D02" w:rsidP="00B027E1">
      <w:pPr>
        <w:pStyle w:val="Heading1"/>
      </w:pPr>
      <w:r>
        <w:t>Les activités suivantes seront mises en œuvre jusqu’en décembre 2020 :</w:t>
      </w:r>
    </w:p>
    <w:p w:rsidR="006D4128" w:rsidRPr="00D50D34" w:rsidRDefault="006D4128" w:rsidP="006D4128">
      <w:pPr>
        <w:pStyle w:val="Heading2"/>
      </w:pPr>
      <w:r>
        <w:t>Deux ateliers à l’intention d’une soixantaine d’agents des douanes portant sur le contrôle et le suivi des importations et des exportations de HCFC (Banque mondiale) (15 333 $US)</w:t>
      </w:r>
      <w:r w:rsidR="00C01044">
        <w:t> </w:t>
      </w:r>
      <w:r>
        <w:t>;</w:t>
      </w:r>
    </w:p>
    <w:p w:rsidR="006D4128" w:rsidRPr="00D50D34" w:rsidRDefault="006D4128" w:rsidP="006D4128">
      <w:pPr>
        <w:pStyle w:val="Heading2"/>
      </w:pPr>
      <w:r>
        <w:t xml:space="preserve">Poursuite de l’assistance technique aux entreprises en vue de la préparation et de la mise en œuvre de sous-projets dans les secteurs de la mousse et de la fabrication des appareils de réfrigération et de climatisation (49 920 $US), examen des propositions de sous-projets (50 600 $US), élaboration d’un programme de formation sur la manipulation des </w:t>
      </w:r>
      <w:r>
        <w:lastRenderedPageBreak/>
        <w:t xml:space="preserve">frigorigènes inflammables dans les équipements de réfrigération et de climatisation (15 000 $US) et élaboration d’une norme de sécurité pour la production, le stockage sur place et la manipulation des mousses avec les agents de gonflage inflammables (5 400 $US) (Banque mondiale) ; </w:t>
      </w:r>
    </w:p>
    <w:p w:rsidR="00FD4D02" w:rsidRDefault="00F935CB" w:rsidP="00B027E1">
      <w:pPr>
        <w:pStyle w:val="Heading2"/>
      </w:pPr>
      <w:r>
        <w:t xml:space="preserve">Assistance technique aux fabricants de climatiseurs portant sur l’utilisation en toute sécurité HFC-32 dans la fabrication (gouvernement japonais) (163 980 $US) ; </w:t>
      </w:r>
    </w:p>
    <w:p w:rsidR="006D4128" w:rsidRPr="00D50D34" w:rsidRDefault="006D4128" w:rsidP="006D4128">
      <w:pPr>
        <w:pStyle w:val="Heading2"/>
      </w:pPr>
      <w:r>
        <w:t>Conversion de deux entreprises de fabrication de climatiseurs (Midea et Nagakawa) vers le HFC-32 (856 875 $US), de l’entreprise de fabrication de mousse XPS (Phu Vuong) vers le CO</w:t>
      </w:r>
      <w:r>
        <w:rPr>
          <w:vertAlign w:val="subscript"/>
        </w:rPr>
        <w:t>2</w:t>
      </w:r>
      <w:r>
        <w:t xml:space="preserve"> à l’aide d’une technologie à base d’alcool, de DME et de HFO (613 568 $US), de cinq entreprises de fabrication de systèmes de réfrigération vers une technologie à base de HFC-32, d’ammoniac et d’hydrocarbures (427 765 $US), de sept entreprises de fabrication de mousse vers une  technologie à base de cyclopentane et de HFO (1 059 917 $US) (Banque mondiale) ;</w:t>
      </w:r>
    </w:p>
    <w:p w:rsidR="00DD1887" w:rsidRPr="00D50D34" w:rsidRDefault="00DD1887" w:rsidP="00B027E1">
      <w:pPr>
        <w:pStyle w:val="Heading2"/>
        <w:numPr>
          <w:ilvl w:val="1"/>
          <w:numId w:val="1"/>
        </w:numPr>
      </w:pPr>
      <w:r>
        <w:t>Conseil en vue de l’examen des écoles de formation professionnelle (15 000 $US) et de l’évaluation des activités de gestion des fuites chez les utilisateurs finaux des systèmes de réfrigération industrielle (27 200 $US) (Banque mondiale) ;</w:t>
      </w:r>
    </w:p>
    <w:p w:rsidR="006D4128" w:rsidRPr="00D50D34" w:rsidRDefault="006D4128" w:rsidP="006D4128">
      <w:pPr>
        <w:pStyle w:val="Heading2"/>
      </w:pPr>
      <w:r>
        <w:t>Trois ateliers de formation à l’intention d’une soixantaine de formateurs d’écoles professionnelles (31 500 $US) et 14 ateliers à l’intention d’environ 700 techniciens portant sur les bonnes pratiques de manipulation des HCFC et des frigorigènes inflammables (128 000 $US) (Banque mondiale) ;</w:t>
      </w:r>
    </w:p>
    <w:p w:rsidR="00FD4D02" w:rsidRPr="00D50D34" w:rsidRDefault="009F6661" w:rsidP="00B027E1">
      <w:pPr>
        <w:pStyle w:val="Heading2"/>
        <w:numPr>
          <w:ilvl w:val="1"/>
          <w:numId w:val="1"/>
        </w:numPr>
      </w:pPr>
      <w:r>
        <w:t xml:space="preserve">Mise à disposition de trousses de formation (par exemple, pompe à vide, manomètre, détecteur de fuites, appareil portatif de récupération et balance à frigorigènes) dans environ 60 écoles de formation professionnelle sélectionnées, et élaboration de matériels de formation axés sur les bonnes pratiques de manipulation des HCFC et des frigorigènes inflammables, et mise à disposition de quelque 100 trousses à outils dans les ateliers d’entretien (Banque mondiale) (829 000 $US) ; </w:t>
      </w:r>
    </w:p>
    <w:p w:rsidR="005E6A7F" w:rsidRPr="00D50D34" w:rsidRDefault="005E6A7F" w:rsidP="00B027E1">
      <w:pPr>
        <w:pStyle w:val="Heading2"/>
      </w:pPr>
      <w:r>
        <w:t>Vérification de la consommation de 2019 (Banque mondiale) (4 000 $US) ; et</w:t>
      </w:r>
    </w:p>
    <w:p w:rsidR="0070259A" w:rsidRPr="00D50D34" w:rsidRDefault="009D4B3D" w:rsidP="00B027E1">
      <w:pPr>
        <w:pStyle w:val="Heading2"/>
      </w:pPr>
      <w:r>
        <w:t xml:space="preserve">L’UGP aidera le MONRE et l’UNO à revoir les quotas ; aidera les entreprises des secteurs de la mousse et des équipements RAC à mettre en œuvre leurs sous-projets ; surveillera la mise en œuvre de toutes les activités des projets ; effectuera des audits financiers annuels des dépenses de projets ; et élaborera des rapports sur la mise en œuvre des projets et des rapports financiers tous les six mois et tous les ans (Banque mondiale) (126 295 $US). </w:t>
      </w:r>
    </w:p>
    <w:p w:rsidR="00205490" w:rsidRDefault="00205490" w:rsidP="00B027E1">
      <w:pPr>
        <w:jc w:val="center"/>
        <w:rPr>
          <w:b/>
        </w:rPr>
      </w:pPr>
    </w:p>
    <w:p w:rsidR="00FD4D02" w:rsidRPr="00D50D34" w:rsidRDefault="00FD4D02" w:rsidP="00B027E1">
      <w:pPr>
        <w:jc w:val="center"/>
        <w:rPr>
          <w:b/>
        </w:rPr>
      </w:pPr>
      <w:r>
        <w:rPr>
          <w:b/>
        </w:rPr>
        <w:t>OBSERVATIONS ET RECOMMANDATION DU SECRÉTARIAT</w:t>
      </w:r>
    </w:p>
    <w:p w:rsidR="00FD4D02" w:rsidRPr="00436081" w:rsidRDefault="00FD4D02" w:rsidP="00B027E1"/>
    <w:p w:rsidR="00FD4D02" w:rsidRPr="00D50D34" w:rsidRDefault="00FD4D02" w:rsidP="00B027E1">
      <w:pPr>
        <w:rPr>
          <w:b/>
        </w:rPr>
      </w:pPr>
      <w:r>
        <w:rPr>
          <w:b/>
        </w:rPr>
        <w:t>OBSERVATIONS</w:t>
      </w:r>
    </w:p>
    <w:p w:rsidR="00FD4D02" w:rsidRPr="00436081" w:rsidRDefault="00FD4D02" w:rsidP="00B027E1"/>
    <w:p w:rsidR="00FD4D02" w:rsidRPr="006D4128" w:rsidRDefault="00FD4D02" w:rsidP="00B027E1">
      <w:pPr>
        <w:rPr>
          <w:u w:val="single"/>
        </w:rPr>
      </w:pPr>
      <w:r>
        <w:rPr>
          <w:u w:val="single"/>
        </w:rPr>
        <w:t>Cadre juridique</w:t>
      </w:r>
    </w:p>
    <w:p w:rsidR="00FD4D02" w:rsidRPr="00D50D34" w:rsidRDefault="00FD4D02" w:rsidP="00B027E1">
      <w:pPr>
        <w:rPr>
          <w:lang w:val="en-CA"/>
        </w:rPr>
      </w:pPr>
    </w:p>
    <w:p w:rsidR="00FD4D02" w:rsidRDefault="00FD4D02" w:rsidP="00B027E1">
      <w:pPr>
        <w:pStyle w:val="Heading1"/>
      </w:pPr>
      <w:r>
        <w:t>Le gouvernement du Viet Nam a déjà émis des quotas d’importation de HCFC pour 2019 conformément aux objectifs de réglementation du Protocole de Montréal.</w:t>
      </w:r>
    </w:p>
    <w:p w:rsidR="006D4128" w:rsidRPr="006D4128" w:rsidRDefault="006D4128" w:rsidP="006D4128">
      <w:pPr>
        <w:pStyle w:val="Heading1"/>
      </w:pPr>
      <w:r>
        <w:t xml:space="preserve">L’interdiction d’importer et d’exporter du HCFC-141b (en vrac) est entrée en vigueur le 1er janvier 2015, et le gouvernement mettra en œuvre une interdiction des importations de HCFC-141b contenu dans les polyols prémélangés d’ici le 1er janvier 2022, ce qui contribuera à assurer la durabilité de l’élimination </w:t>
      </w:r>
      <w:r>
        <w:lastRenderedPageBreak/>
        <w:t>dans le secteur de la fabrication des mousses en PU. De même, l’élimination du HCFC-22 dans le secteur de la fabrication des climatiseurs sera soutenue par une interdiction des importations et de la fabrication de climatiseurs à base de HCFC-22 d’ici au 1er janvier 2022.</w:t>
      </w:r>
    </w:p>
    <w:p w:rsidR="006D4128" w:rsidRPr="00D50D34" w:rsidRDefault="006D4128" w:rsidP="006D4128">
      <w:pPr>
        <w:rPr>
          <w:u w:val="single"/>
        </w:rPr>
      </w:pPr>
      <w:r>
        <w:rPr>
          <w:u w:val="single"/>
        </w:rPr>
        <w:t>Révision de la phase II de l’Accord du PGEH</w:t>
      </w:r>
    </w:p>
    <w:p w:rsidR="006D4128" w:rsidRPr="00436081" w:rsidRDefault="006D4128" w:rsidP="006D4128"/>
    <w:p w:rsidR="006D4128" w:rsidRPr="00D50D34" w:rsidRDefault="006D4128" w:rsidP="006D4128">
      <w:pPr>
        <w:pStyle w:val="Heading1"/>
      </w:pPr>
      <w:r>
        <w:t xml:space="preserve">Lors de la 82e réunion, le Comité exécutif a décidé d’approuver le changement de technologie chez Midea Consumer Electric (Viet Nam) Co. Ltd. </w:t>
      </w:r>
      <w:proofErr w:type="gramStart"/>
      <w:r>
        <w:t>en</w:t>
      </w:r>
      <w:proofErr w:type="gramEnd"/>
      <w:r>
        <w:t xml:space="preserve"> passant du R-290 au HFC-32, ce qui s’est traduit par la restitution au Fonds multilatéral à la 82e réunion de 93 358 $US, plus les coûts d’appui d’agence de la Banque mondiale, soit 6 535 $US. Le Comité exécutif a fait remarquer que l’Accord entre le gouvernement du Viet Nam et le Comité exécutif pour la phase II du PGEH serait modifié, lorsque la deuxième tranche de cette phase serait soumise, afin de refléter les fonds restitués (décision 82/37). En conséquence, un projet d’accord modifié a été élaboré, comme indiqué à l’Annexe I du présent document. L’Accord intégral révisé sera joint au rapport final de la 84</w:t>
      </w:r>
      <w:r>
        <w:rPr>
          <w:vertAlign w:val="superscript"/>
        </w:rPr>
        <w:t xml:space="preserve">e </w:t>
      </w:r>
      <w:r>
        <w:t>réunion.</w:t>
      </w:r>
    </w:p>
    <w:p w:rsidR="000957FD" w:rsidRPr="00D50D34" w:rsidRDefault="006D2274" w:rsidP="00B027E1">
      <w:pPr>
        <w:pStyle w:val="Heading1"/>
      </w:pPr>
      <w:r>
        <w:t xml:space="preserve">Comme le budget des activités prévues pour 2020 dépasse la valeur de la deuxième tranche et les soldes restants alloués au titre de la première tranche, le Secrétariat et la Banque mondiale ont examiné la possibilité de modifier également l’Appendice 3-A pour permettre au gouvernement du Viet Nam de soumettre la demande pour la troisième tranche et les tranches suivantes à la première réunion de l’année, permettant ainsi une mise en œuvre accélérée des activités. Le gouvernement a décidé qu’il préférait conserver en partie la soumission à la deuxième réunion de l’année pour s’assurer que la vérification de la consommation puisse se faire à temps et sans en compromettre la qualité. En effet, atteindre le seuil de décaissement de 20 % dans le peu de temps disponible poserait un défi supplémentaire. Les fonds de la troisième tranche qui devraient être présentés à la 86e réunion serviraient à financer les activités pour lesquelles le budget était supérieur aux fonds disponibles au titre </w:t>
      </w:r>
      <w:proofErr w:type="gramStart"/>
      <w:r>
        <w:t>des première et deuxième tranches</w:t>
      </w:r>
      <w:proofErr w:type="gramEnd"/>
      <w:r>
        <w:t xml:space="preserve">. </w:t>
      </w:r>
    </w:p>
    <w:p w:rsidR="00FF3846" w:rsidRPr="00D50D34" w:rsidRDefault="00FF3846" w:rsidP="00B027E1">
      <w:pPr>
        <w:keepNext/>
        <w:keepLines/>
        <w:rPr>
          <w:u w:val="single"/>
        </w:rPr>
      </w:pPr>
      <w:r>
        <w:rPr>
          <w:u w:val="single"/>
        </w:rPr>
        <w:t xml:space="preserve">Durabilité de l’élimination des HCFC. </w:t>
      </w:r>
    </w:p>
    <w:p w:rsidR="00FF3846" w:rsidRPr="00436081" w:rsidRDefault="00FF3846" w:rsidP="00B027E1">
      <w:pPr>
        <w:rPr>
          <w:u w:val="single"/>
        </w:rPr>
      </w:pPr>
    </w:p>
    <w:p w:rsidR="002F7BDF" w:rsidRPr="006D4128" w:rsidRDefault="006D4128" w:rsidP="00177EEE">
      <w:pPr>
        <w:pStyle w:val="Heading1"/>
      </w:pPr>
      <w:r>
        <w:t>Le rapport d’achèvement du projet pour la phase I du PGEH a fait état du démantèlement et de la destruction des 17 machines à mousse à base de HCFC dans les neuf entreprises converties lors de la phase</w:t>
      </w:r>
      <w:r w:rsidR="00AC66DF">
        <w:t> </w:t>
      </w:r>
      <w:r>
        <w:t xml:space="preserve">I ; trois autres machines à mousse dans deux entreprises ont été reconverties par passer à des agents de gonflage sans HCFC, conformément au plan de mise en œuvre. L’UGP a élaboré un manuel complet de mise en œuvre du projet qui précise les exigences et les processus permettant des conversions durables. Les activités d’assistance technique prévues pour former les parties prenantes, notamment les techniciens, les formateurs, les décideurs et les agents des douanes, contribueront à assurer la viabilité de l’élimination. </w:t>
      </w:r>
    </w:p>
    <w:p w:rsidR="00FF3846" w:rsidRPr="00D50D34" w:rsidRDefault="00FF3846" w:rsidP="00B027E1">
      <w:pPr>
        <w:rPr>
          <w:u w:val="single"/>
        </w:rPr>
      </w:pPr>
      <w:r>
        <w:rPr>
          <w:u w:val="single"/>
        </w:rPr>
        <w:t xml:space="preserve">Conclusion </w:t>
      </w:r>
    </w:p>
    <w:p w:rsidR="00FF3846" w:rsidRPr="00D50D34" w:rsidRDefault="00FF3846" w:rsidP="00B027E1">
      <w:pPr>
        <w:rPr>
          <w:lang w:val="en-CA"/>
        </w:rPr>
      </w:pPr>
    </w:p>
    <w:p w:rsidR="00993177" w:rsidRDefault="00F6014B" w:rsidP="00B027E1">
      <w:pPr>
        <w:pStyle w:val="Heading1"/>
      </w:pPr>
      <w:r>
        <w:t xml:space="preserve">La consommation vérifiée de 2016 à 2018 du pays était conforme aux objectifs stipulés dans l’Accord conclu entre le pays et le Comité exécutif. Le système national d’octroi de permis et de quotas d’importations est opérationnel et permettra de réduire la consommation de HCFC dans le respect du calendrier d’élimination prévu par le Protocole de Montréal. Comme l’accord de subvention entre la Banque mondiale et le pays a été signé en mars 2019, seules des activités limitées ont pu être entreprises dans le cadre du PGEH. Néanmoins, des progrès suffisants ont été réalisés pour garantir de décaisser 20 % de la première tranche. La mise en œuvre devrait s’accélérer compte tenu du plan d’action global prévu pour la deuxième tranche. </w:t>
      </w:r>
    </w:p>
    <w:p w:rsidR="00FD4D02" w:rsidRPr="00D50D34" w:rsidRDefault="00FD4D02" w:rsidP="00B027E1">
      <w:pPr>
        <w:rPr>
          <w:b/>
        </w:rPr>
      </w:pPr>
      <w:r>
        <w:rPr>
          <w:b/>
        </w:rPr>
        <w:t>RECOMMANDATION</w:t>
      </w:r>
    </w:p>
    <w:p w:rsidR="00FD4D02" w:rsidRPr="00D50D34" w:rsidRDefault="00FD4D02" w:rsidP="00B027E1">
      <w:pPr>
        <w:rPr>
          <w:lang w:val="en-CA"/>
        </w:rPr>
      </w:pPr>
    </w:p>
    <w:p w:rsidR="00FD4D02" w:rsidRPr="00D50D34" w:rsidRDefault="00FD4D02" w:rsidP="00B027E1">
      <w:pPr>
        <w:pStyle w:val="Heading1"/>
      </w:pPr>
      <w:r>
        <w:t>Le Secrétariat du Fonds recommande au Comité exécutif de :</w:t>
      </w:r>
    </w:p>
    <w:p w:rsidR="00FD4D02" w:rsidRPr="00D50D34" w:rsidRDefault="00FD4D02" w:rsidP="00B027E1">
      <w:pPr>
        <w:pStyle w:val="Heading2"/>
        <w:numPr>
          <w:ilvl w:val="1"/>
          <w:numId w:val="1"/>
        </w:numPr>
      </w:pPr>
      <w:r>
        <w:t>Prendre note du rapport périodique sur la mise en œuvre de la première tranche de la phase II du plan de gestion de l’élimination des HCFC (PGEH) pour le Viet Nam ; et</w:t>
      </w:r>
    </w:p>
    <w:p w:rsidR="00FD4D02" w:rsidRPr="00D50D34" w:rsidRDefault="00FD4D02" w:rsidP="00B027E1">
      <w:pPr>
        <w:pStyle w:val="Heading2"/>
        <w:numPr>
          <w:ilvl w:val="1"/>
          <w:numId w:val="1"/>
        </w:numPr>
      </w:pPr>
      <w:r>
        <w:lastRenderedPageBreak/>
        <w:t>Prendre note du fait que le Secrétariat du Fonds avait mis à jour l’Appendice 2-A de l’Accord conclu entre le gouvernement du Viet Nam et le Comité exécutif, sur la base de la restitution des fonds approuvés à la 82e réunion, et qu’un nouveau paragraphe 17 avait été ajouté pour indiquer que l’accord mis à jour remplaçait celui conclu lors de la 76</w:t>
      </w:r>
      <w:r>
        <w:rPr>
          <w:vertAlign w:val="superscript"/>
        </w:rPr>
        <w:t>e</w:t>
      </w:r>
      <w:r w:rsidR="00AC66DF">
        <w:rPr>
          <w:vertAlign w:val="superscript"/>
        </w:rPr>
        <w:t> </w:t>
      </w:r>
      <w:r>
        <w:t>réunion, tel qu’il apparaît en annexe I du présent document.</w:t>
      </w:r>
    </w:p>
    <w:p w:rsidR="00160874" w:rsidRPr="00D50D34" w:rsidRDefault="00FD4D02" w:rsidP="00B027E1">
      <w:pPr>
        <w:pStyle w:val="Heading1"/>
      </w:pPr>
      <w:r>
        <w:t>Le Secrétariat recommande par ailleurs l’approbation générale de la deuxième tranche de la phase II du PGEH pour le Viet Nam, et le plan de mise en œuvre de la tranche correspondante pour 2019-2020 au niveau de financement indiqué dans le tableau ci-dessous, étant entendu que :</w:t>
      </w:r>
    </w:p>
    <w:p w:rsidR="00160874" w:rsidRPr="00D50D34" w:rsidRDefault="00160874" w:rsidP="00B027E1">
      <w:pPr>
        <w:pStyle w:val="Heading2"/>
      </w:pPr>
      <w:r>
        <w:t>Le Trésorier devrait transférer les fonds à la Banque mondiale et déduire les coûts associés à la composante bilatérale du gouvernement du Japon uniquement si le Secrétariat confirmait que la consommation de 2016, 2017 et 2018 indiquée dans le rapport de mise en œuvre du programme de pays et à l’article 7 du Protocole de Montréal avait été modifiée pour refléter la consommation vérifiée pour ces années ; et</w:t>
      </w:r>
    </w:p>
    <w:p w:rsidR="00FD4D02" w:rsidRPr="00D50D34" w:rsidRDefault="009E5895" w:rsidP="00B027E1">
      <w:pPr>
        <w:pStyle w:val="Heading2"/>
      </w:pPr>
      <w:r>
        <w:t xml:space="preserve">Si la confirmation visée à l’alinéa (a) n’avait pas été reçue avant le 15 janvier 2020, aucun financement ne serait transféré ou déduit, et la deuxième tranche pourrait être soumise de nouveau à une réunion ultérieure : </w:t>
      </w:r>
    </w:p>
    <w:tbl>
      <w:tblPr>
        <w:tblW w:w="93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837"/>
        <w:gridCol w:w="1461"/>
        <w:gridCol w:w="1239"/>
        <w:gridCol w:w="1260"/>
      </w:tblGrid>
      <w:tr w:rsidR="00FD4D02" w:rsidRPr="00DA54FC" w:rsidTr="00DA54FC">
        <w:tc>
          <w:tcPr>
            <w:tcW w:w="540" w:type="dxa"/>
          </w:tcPr>
          <w:p w:rsidR="00FD4D02" w:rsidRPr="00436081" w:rsidRDefault="00FD4D02" w:rsidP="00DA54FC">
            <w:pPr>
              <w:jc w:val="center"/>
              <w:rPr>
                <w:b/>
                <w:bCs/>
                <w:sz w:val="19"/>
                <w:szCs w:val="19"/>
              </w:rPr>
            </w:pPr>
          </w:p>
        </w:tc>
        <w:tc>
          <w:tcPr>
            <w:tcW w:w="4837" w:type="dxa"/>
          </w:tcPr>
          <w:p w:rsidR="00FD4D02" w:rsidRPr="00DA54FC" w:rsidRDefault="00FD4D02" w:rsidP="00DA54FC">
            <w:pPr>
              <w:jc w:val="center"/>
              <w:rPr>
                <w:b/>
                <w:bCs/>
                <w:sz w:val="19"/>
                <w:szCs w:val="19"/>
              </w:rPr>
            </w:pPr>
            <w:r>
              <w:rPr>
                <w:b/>
                <w:bCs/>
                <w:sz w:val="19"/>
                <w:szCs w:val="19"/>
              </w:rPr>
              <w:t>Titre du projet</w:t>
            </w:r>
          </w:p>
        </w:tc>
        <w:tc>
          <w:tcPr>
            <w:tcW w:w="1461" w:type="dxa"/>
            <w:tcMar>
              <w:left w:w="29" w:type="dxa"/>
              <w:right w:w="29" w:type="dxa"/>
            </w:tcMar>
          </w:tcPr>
          <w:p w:rsidR="00FD4D02" w:rsidRPr="00DA54FC" w:rsidRDefault="00FD4D02" w:rsidP="00DA54FC">
            <w:pPr>
              <w:jc w:val="center"/>
              <w:rPr>
                <w:b/>
                <w:bCs/>
                <w:sz w:val="19"/>
                <w:szCs w:val="19"/>
              </w:rPr>
            </w:pPr>
            <w:r>
              <w:rPr>
                <w:b/>
                <w:bCs/>
                <w:sz w:val="19"/>
                <w:szCs w:val="19"/>
              </w:rPr>
              <w:t>Financement du projet ($US)</w:t>
            </w:r>
          </w:p>
        </w:tc>
        <w:tc>
          <w:tcPr>
            <w:tcW w:w="1239" w:type="dxa"/>
            <w:tcMar>
              <w:left w:w="29" w:type="dxa"/>
              <w:right w:w="29" w:type="dxa"/>
            </w:tcMar>
          </w:tcPr>
          <w:p w:rsidR="00FD4D02" w:rsidRPr="00DA54FC" w:rsidRDefault="00FD4D02" w:rsidP="00DA54FC">
            <w:pPr>
              <w:jc w:val="center"/>
              <w:rPr>
                <w:b/>
                <w:bCs/>
                <w:sz w:val="19"/>
                <w:szCs w:val="19"/>
              </w:rPr>
            </w:pPr>
            <w:r>
              <w:rPr>
                <w:b/>
                <w:bCs/>
                <w:sz w:val="19"/>
                <w:szCs w:val="19"/>
              </w:rPr>
              <w:t>Coûts d’appui ($US)</w:t>
            </w:r>
          </w:p>
        </w:tc>
        <w:tc>
          <w:tcPr>
            <w:tcW w:w="1260" w:type="dxa"/>
            <w:tcMar>
              <w:left w:w="29" w:type="dxa"/>
              <w:right w:w="29" w:type="dxa"/>
            </w:tcMar>
          </w:tcPr>
          <w:p w:rsidR="00FD4D02" w:rsidRPr="00DA54FC" w:rsidRDefault="00FD4D02" w:rsidP="00DA54FC">
            <w:pPr>
              <w:jc w:val="center"/>
              <w:rPr>
                <w:b/>
                <w:bCs/>
                <w:sz w:val="19"/>
                <w:szCs w:val="19"/>
              </w:rPr>
            </w:pPr>
            <w:r>
              <w:rPr>
                <w:b/>
                <w:bCs/>
                <w:sz w:val="19"/>
                <w:szCs w:val="19"/>
              </w:rPr>
              <w:t>Agence d’exécution</w:t>
            </w:r>
          </w:p>
        </w:tc>
      </w:tr>
      <w:tr w:rsidR="00FD4D02" w:rsidRPr="00DA54FC" w:rsidTr="00DA54FC">
        <w:tc>
          <w:tcPr>
            <w:tcW w:w="540" w:type="dxa"/>
          </w:tcPr>
          <w:p w:rsidR="00FD4D02" w:rsidRPr="00DA54FC" w:rsidRDefault="00FD4D02" w:rsidP="00DA54FC">
            <w:pPr>
              <w:rPr>
                <w:sz w:val="19"/>
                <w:szCs w:val="19"/>
              </w:rPr>
            </w:pPr>
            <w:r>
              <w:rPr>
                <w:sz w:val="19"/>
                <w:szCs w:val="19"/>
              </w:rPr>
              <w:t>(a)</w:t>
            </w:r>
          </w:p>
        </w:tc>
        <w:tc>
          <w:tcPr>
            <w:tcW w:w="4837" w:type="dxa"/>
            <w:vAlign w:val="center"/>
          </w:tcPr>
          <w:p w:rsidR="00FD4D02" w:rsidRPr="00DA54FC" w:rsidRDefault="00FD4D02" w:rsidP="00DA54FC">
            <w:pPr>
              <w:jc w:val="left"/>
              <w:rPr>
                <w:sz w:val="19"/>
                <w:szCs w:val="19"/>
              </w:rPr>
            </w:pPr>
            <w:r>
              <w:rPr>
                <w:sz w:val="19"/>
                <w:szCs w:val="19"/>
              </w:rPr>
              <w:t>Plan de gestion de l’élimination des HCFC (phase I, deuxième tranche)</w:t>
            </w:r>
          </w:p>
        </w:tc>
        <w:tc>
          <w:tcPr>
            <w:tcW w:w="1461" w:type="dxa"/>
          </w:tcPr>
          <w:p w:rsidR="00FD4D02" w:rsidRPr="00DA54FC" w:rsidRDefault="00FD4D02" w:rsidP="00DA54FC">
            <w:pPr>
              <w:jc w:val="right"/>
              <w:rPr>
                <w:sz w:val="19"/>
                <w:szCs w:val="19"/>
              </w:rPr>
            </w:pPr>
            <w:r>
              <w:rPr>
                <w:sz w:val="19"/>
                <w:szCs w:val="19"/>
              </w:rPr>
              <w:t>2 179 193</w:t>
            </w:r>
          </w:p>
        </w:tc>
        <w:tc>
          <w:tcPr>
            <w:tcW w:w="1239" w:type="dxa"/>
          </w:tcPr>
          <w:p w:rsidR="00FD4D02" w:rsidRPr="00DA54FC" w:rsidRDefault="00FD4D02" w:rsidP="00DA54FC">
            <w:pPr>
              <w:jc w:val="right"/>
              <w:rPr>
                <w:sz w:val="19"/>
                <w:szCs w:val="19"/>
              </w:rPr>
            </w:pPr>
            <w:r>
              <w:rPr>
                <w:sz w:val="19"/>
                <w:szCs w:val="19"/>
              </w:rPr>
              <w:t>152 544</w:t>
            </w:r>
          </w:p>
        </w:tc>
        <w:tc>
          <w:tcPr>
            <w:tcW w:w="1260" w:type="dxa"/>
          </w:tcPr>
          <w:p w:rsidR="00FD4D02" w:rsidRPr="00DA54FC" w:rsidRDefault="00FD4D02" w:rsidP="00DA54FC">
            <w:pPr>
              <w:jc w:val="center"/>
              <w:rPr>
                <w:sz w:val="19"/>
                <w:szCs w:val="19"/>
              </w:rPr>
            </w:pPr>
            <w:r>
              <w:rPr>
                <w:sz w:val="19"/>
                <w:szCs w:val="19"/>
              </w:rPr>
              <w:t>Banque mondiale</w:t>
            </w:r>
          </w:p>
        </w:tc>
      </w:tr>
      <w:tr w:rsidR="00FD4D02" w:rsidRPr="00DA54FC" w:rsidTr="00DA54FC">
        <w:tc>
          <w:tcPr>
            <w:tcW w:w="540" w:type="dxa"/>
          </w:tcPr>
          <w:p w:rsidR="00FD4D02" w:rsidRPr="00DA54FC" w:rsidRDefault="00FD4D02" w:rsidP="00DA54FC">
            <w:pPr>
              <w:rPr>
                <w:sz w:val="19"/>
                <w:szCs w:val="19"/>
              </w:rPr>
            </w:pPr>
            <w:r>
              <w:rPr>
                <w:sz w:val="19"/>
                <w:szCs w:val="19"/>
              </w:rPr>
              <w:t>(b)</w:t>
            </w:r>
          </w:p>
        </w:tc>
        <w:tc>
          <w:tcPr>
            <w:tcW w:w="4837" w:type="dxa"/>
            <w:vAlign w:val="center"/>
          </w:tcPr>
          <w:p w:rsidR="00FD4D02" w:rsidRPr="00DA54FC" w:rsidRDefault="00FD4D02" w:rsidP="00DA54FC">
            <w:pPr>
              <w:jc w:val="left"/>
              <w:rPr>
                <w:sz w:val="19"/>
                <w:szCs w:val="19"/>
              </w:rPr>
            </w:pPr>
            <w:r>
              <w:rPr>
                <w:sz w:val="19"/>
                <w:szCs w:val="19"/>
              </w:rPr>
              <w:t>Plan de gestion de l’élimination des HCFC (phase I, deuxième tranche)</w:t>
            </w:r>
          </w:p>
        </w:tc>
        <w:tc>
          <w:tcPr>
            <w:tcW w:w="1461" w:type="dxa"/>
          </w:tcPr>
          <w:p w:rsidR="00FD4D02" w:rsidRPr="00DA54FC" w:rsidRDefault="00FD4D02" w:rsidP="00DA54FC">
            <w:pPr>
              <w:jc w:val="right"/>
              <w:rPr>
                <w:sz w:val="19"/>
                <w:szCs w:val="19"/>
              </w:rPr>
            </w:pPr>
            <w:r>
              <w:rPr>
                <w:sz w:val="19"/>
                <w:szCs w:val="19"/>
              </w:rPr>
              <w:t>163 980</w:t>
            </w:r>
          </w:p>
        </w:tc>
        <w:tc>
          <w:tcPr>
            <w:tcW w:w="1239" w:type="dxa"/>
          </w:tcPr>
          <w:p w:rsidR="00FD4D02" w:rsidRPr="00DA54FC" w:rsidRDefault="00FD4D02" w:rsidP="00DA54FC">
            <w:pPr>
              <w:jc w:val="right"/>
              <w:rPr>
                <w:sz w:val="19"/>
                <w:szCs w:val="19"/>
              </w:rPr>
            </w:pPr>
            <w:r>
              <w:rPr>
                <w:sz w:val="19"/>
                <w:szCs w:val="19"/>
              </w:rPr>
              <w:t>21 317</w:t>
            </w:r>
          </w:p>
        </w:tc>
        <w:tc>
          <w:tcPr>
            <w:tcW w:w="1260" w:type="dxa"/>
          </w:tcPr>
          <w:p w:rsidR="00FD4D02" w:rsidRPr="00DA54FC" w:rsidRDefault="00FD4D02" w:rsidP="00DA54FC">
            <w:pPr>
              <w:jc w:val="center"/>
              <w:rPr>
                <w:sz w:val="19"/>
                <w:szCs w:val="19"/>
              </w:rPr>
            </w:pPr>
            <w:r>
              <w:rPr>
                <w:sz w:val="19"/>
                <w:szCs w:val="19"/>
              </w:rPr>
              <w:t>Japon</w:t>
            </w:r>
          </w:p>
        </w:tc>
      </w:tr>
    </w:tbl>
    <w:p w:rsidR="00C706D0" w:rsidRPr="00D50D34" w:rsidRDefault="00C706D0" w:rsidP="00B027E1">
      <w:pPr>
        <w:rPr>
          <w:lang w:val="en-CA"/>
        </w:rPr>
        <w:sectPr w:rsidR="00C706D0" w:rsidRPr="00D50D34"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88772F" w:rsidRPr="00D50D34" w:rsidRDefault="0088772F" w:rsidP="0024761F">
      <w:pPr>
        <w:jc w:val="center"/>
        <w:rPr>
          <w:b/>
        </w:rPr>
      </w:pPr>
      <w:r>
        <w:rPr>
          <w:b/>
        </w:rPr>
        <w:lastRenderedPageBreak/>
        <w:t>Annexe I</w:t>
      </w:r>
    </w:p>
    <w:p w:rsidR="0088772F" w:rsidRPr="00D50D34" w:rsidRDefault="0088772F" w:rsidP="00B027E1">
      <w:pPr>
        <w:rPr>
          <w:b/>
          <w:lang w:val="en-CA"/>
        </w:rPr>
      </w:pPr>
    </w:p>
    <w:p w:rsidR="00205490" w:rsidRDefault="0088772F" w:rsidP="00B027E1">
      <w:pPr>
        <w:jc w:val="center"/>
        <w:rPr>
          <w:b/>
        </w:rPr>
      </w:pPr>
      <w:r>
        <w:rPr>
          <w:b/>
        </w:rPr>
        <w:t>TEXTE À INCLURE DANS L’ACCORD MIS À JOUR RÉVISÉ ENTRE LE GOUVERNEMENT DU VIET NAM ET LE COMITÉ EXÉCUTIF DU FONDS MULTILATÉRAL POUR LA RÉDUCTION DE LA CONSOMMATION DES HYDROCHLOROFLUOROCARBURES CONFORMÉMENT À LA PHASE II DU</w:t>
      </w:r>
      <w:r w:rsidR="00205490">
        <w:rPr>
          <w:b/>
        </w:rPr>
        <w:t xml:space="preserve"> </w:t>
      </w:r>
      <w:r>
        <w:rPr>
          <w:b/>
        </w:rPr>
        <w:t xml:space="preserve">PLAN DE </w:t>
      </w:r>
    </w:p>
    <w:p w:rsidR="0088772F" w:rsidRPr="00D50D34" w:rsidRDefault="0088772F" w:rsidP="00B027E1">
      <w:pPr>
        <w:jc w:val="center"/>
        <w:rPr>
          <w:b/>
        </w:rPr>
      </w:pPr>
      <w:r>
        <w:rPr>
          <w:b/>
        </w:rPr>
        <w:t>GESTION DE L’ÉLIMINATION DES HCFC</w:t>
      </w:r>
    </w:p>
    <w:p w:rsidR="0088772F" w:rsidRPr="00D50D34" w:rsidRDefault="00EB01E4" w:rsidP="00B027E1">
      <w:pPr>
        <w:jc w:val="center"/>
      </w:pPr>
      <w:r>
        <w:t xml:space="preserve">(À des fins de commodité, les modifications pertinentes apparaissent en </w:t>
      </w:r>
      <w:r w:rsidR="00436081">
        <w:t>gras)</w:t>
      </w:r>
    </w:p>
    <w:p w:rsidR="0088772F" w:rsidRPr="00436081" w:rsidRDefault="0088772F" w:rsidP="00B027E1"/>
    <w:p w:rsidR="0088772F" w:rsidRPr="00D50D34" w:rsidRDefault="0088772F" w:rsidP="00B027E1">
      <w:r>
        <w:t>17.</w:t>
      </w:r>
      <w:r>
        <w:tab/>
        <w:t xml:space="preserve">Le présent Accord mis à jour remplace l’Accord conclu entre le gouvernement du Viet Nam et le Comité exécutif à la </w:t>
      </w:r>
      <w:r>
        <w:rPr>
          <w:b/>
          <w:bCs/>
        </w:rPr>
        <w:t>76</w:t>
      </w:r>
      <w:r>
        <w:rPr>
          <w:b/>
          <w:bCs/>
          <w:vertAlign w:val="superscript"/>
        </w:rPr>
        <w:t>e</w:t>
      </w:r>
      <w:r>
        <w:rPr>
          <w:vertAlign w:val="superscript"/>
        </w:rPr>
        <w:t xml:space="preserve"> </w:t>
      </w:r>
      <w:r>
        <w:t>réunion de ce dernier.</w:t>
      </w:r>
    </w:p>
    <w:p w:rsidR="0088772F" w:rsidRDefault="0088772F" w:rsidP="00B027E1"/>
    <w:p w:rsidR="0088772F" w:rsidRPr="00D50D34" w:rsidRDefault="0088772F" w:rsidP="00B027E1">
      <w:pPr>
        <w:keepNext/>
        <w:keepLines/>
        <w:rPr>
          <w:b/>
        </w:rPr>
      </w:pPr>
      <w:r>
        <w:rPr>
          <w:b/>
        </w:rPr>
        <w:t>APPENDICE 2-A : LES OBJECTIFS ET LE FINANCEMENT</w:t>
      </w:r>
    </w:p>
    <w:tbl>
      <w:tblPr>
        <w:tblW w:w="523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38"/>
        <w:gridCol w:w="802"/>
        <w:gridCol w:w="958"/>
        <w:gridCol w:w="958"/>
        <w:gridCol w:w="958"/>
        <w:gridCol w:w="1131"/>
        <w:gridCol w:w="857"/>
        <w:gridCol w:w="1026"/>
      </w:tblGrid>
      <w:tr w:rsidR="0088772F" w:rsidRPr="00D50D34" w:rsidTr="0024761F">
        <w:trPr>
          <w:trHeight w:val="107"/>
        </w:trPr>
        <w:tc>
          <w:tcPr>
            <w:tcW w:w="436"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Ligne</w:t>
            </w:r>
          </w:p>
        </w:tc>
        <w:tc>
          <w:tcPr>
            <w:tcW w:w="1144"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Caractéristiques</w:t>
            </w:r>
          </w:p>
        </w:tc>
        <w:tc>
          <w:tcPr>
            <w:tcW w:w="410"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2016**</w:t>
            </w:r>
          </w:p>
        </w:tc>
        <w:tc>
          <w:tcPr>
            <w:tcW w:w="490"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2017</w:t>
            </w:r>
          </w:p>
        </w:tc>
        <w:tc>
          <w:tcPr>
            <w:tcW w:w="490"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2018</w:t>
            </w:r>
          </w:p>
        </w:tc>
        <w:tc>
          <w:tcPr>
            <w:tcW w:w="490"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2019</w:t>
            </w:r>
          </w:p>
        </w:tc>
        <w:tc>
          <w:tcPr>
            <w:tcW w:w="578"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2020</w:t>
            </w:r>
          </w:p>
        </w:tc>
        <w:tc>
          <w:tcPr>
            <w:tcW w:w="438"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2021</w:t>
            </w:r>
          </w:p>
        </w:tc>
        <w:tc>
          <w:tcPr>
            <w:tcW w:w="525" w:type="pct"/>
            <w:shd w:val="clear" w:color="auto" w:fill="auto"/>
            <w:hideMark/>
          </w:tcPr>
          <w:p w:rsidR="0088772F" w:rsidRPr="00D50D34" w:rsidRDefault="0088772F" w:rsidP="00B027E1">
            <w:pPr>
              <w:jc w:val="center"/>
              <w:rPr>
                <w:b/>
                <w:bCs/>
                <w:color w:val="000000"/>
                <w:sz w:val="18"/>
                <w:szCs w:val="18"/>
              </w:rPr>
            </w:pPr>
            <w:r>
              <w:rPr>
                <w:b/>
                <w:bCs/>
                <w:color w:val="000000"/>
                <w:sz w:val="18"/>
                <w:szCs w:val="18"/>
              </w:rPr>
              <w:t>Total</w:t>
            </w:r>
          </w:p>
        </w:tc>
      </w:tr>
      <w:tr w:rsidR="0088772F" w:rsidRPr="00D50D34" w:rsidTr="0024761F">
        <w:trPr>
          <w:trHeight w:val="52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1,1</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Calendrier de réduction des substances du groupe I de l’annexe C du Protocole de Montréal (tonnes PAO)</w:t>
            </w:r>
          </w:p>
        </w:tc>
        <w:tc>
          <w:tcPr>
            <w:tcW w:w="41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49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49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49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578" w:type="pct"/>
            <w:shd w:val="clear" w:color="auto" w:fill="auto"/>
            <w:hideMark/>
          </w:tcPr>
          <w:p w:rsidR="0088772F" w:rsidRPr="00D50D34" w:rsidRDefault="0088772F" w:rsidP="00B027E1">
            <w:pPr>
              <w:jc w:val="right"/>
              <w:rPr>
                <w:color w:val="000000"/>
                <w:sz w:val="18"/>
                <w:szCs w:val="18"/>
              </w:rPr>
            </w:pPr>
            <w:r>
              <w:rPr>
                <w:color w:val="000000"/>
                <w:sz w:val="18"/>
                <w:szCs w:val="18"/>
              </w:rPr>
              <w:t>143,78</w:t>
            </w:r>
          </w:p>
        </w:tc>
        <w:tc>
          <w:tcPr>
            <w:tcW w:w="438" w:type="pct"/>
            <w:shd w:val="clear" w:color="auto" w:fill="auto"/>
            <w:hideMark/>
          </w:tcPr>
          <w:p w:rsidR="0088772F" w:rsidRPr="00D50D34" w:rsidRDefault="0088772F" w:rsidP="00B027E1">
            <w:pPr>
              <w:jc w:val="right"/>
              <w:rPr>
                <w:color w:val="000000"/>
                <w:sz w:val="18"/>
                <w:szCs w:val="18"/>
              </w:rPr>
            </w:pPr>
            <w:r>
              <w:rPr>
                <w:color w:val="000000"/>
                <w:sz w:val="18"/>
                <w:szCs w:val="18"/>
              </w:rPr>
              <w:t>143,78</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s.o.</w:t>
            </w:r>
          </w:p>
        </w:tc>
      </w:tr>
      <w:tr w:rsidR="0088772F" w:rsidRPr="00D50D34" w:rsidTr="0024761F">
        <w:trPr>
          <w:trHeight w:val="52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1,2</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Consommation totale maximum autorisée des substances du groupe I de l’annexe C (tonnes PAO)</w:t>
            </w:r>
          </w:p>
        </w:tc>
        <w:tc>
          <w:tcPr>
            <w:tcW w:w="41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49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49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490" w:type="pct"/>
            <w:shd w:val="clear" w:color="auto" w:fill="auto"/>
            <w:hideMark/>
          </w:tcPr>
          <w:p w:rsidR="0088772F" w:rsidRPr="00D50D34" w:rsidRDefault="0088772F" w:rsidP="00B027E1">
            <w:pPr>
              <w:jc w:val="right"/>
              <w:rPr>
                <w:color w:val="000000"/>
                <w:sz w:val="18"/>
                <w:szCs w:val="18"/>
              </w:rPr>
            </w:pPr>
            <w:r>
              <w:rPr>
                <w:color w:val="000000"/>
                <w:sz w:val="18"/>
                <w:szCs w:val="18"/>
              </w:rPr>
              <w:t>199,08</w:t>
            </w:r>
          </w:p>
        </w:tc>
        <w:tc>
          <w:tcPr>
            <w:tcW w:w="578" w:type="pct"/>
            <w:shd w:val="clear" w:color="auto" w:fill="auto"/>
            <w:hideMark/>
          </w:tcPr>
          <w:p w:rsidR="0088772F" w:rsidRPr="00D50D34" w:rsidRDefault="0088772F" w:rsidP="00B027E1">
            <w:pPr>
              <w:jc w:val="right"/>
              <w:rPr>
                <w:color w:val="000000"/>
                <w:sz w:val="18"/>
                <w:szCs w:val="18"/>
              </w:rPr>
            </w:pPr>
            <w:r>
              <w:rPr>
                <w:color w:val="000000"/>
                <w:sz w:val="18"/>
                <w:szCs w:val="18"/>
              </w:rPr>
              <w:t>143,78</w:t>
            </w:r>
          </w:p>
        </w:tc>
        <w:tc>
          <w:tcPr>
            <w:tcW w:w="438" w:type="pct"/>
            <w:shd w:val="clear" w:color="auto" w:fill="auto"/>
            <w:hideMark/>
          </w:tcPr>
          <w:p w:rsidR="0088772F" w:rsidRPr="00D50D34" w:rsidRDefault="0088772F" w:rsidP="00B027E1">
            <w:pPr>
              <w:jc w:val="right"/>
              <w:rPr>
                <w:color w:val="000000"/>
                <w:sz w:val="18"/>
                <w:szCs w:val="18"/>
              </w:rPr>
            </w:pPr>
            <w:r>
              <w:rPr>
                <w:color w:val="000000"/>
                <w:sz w:val="18"/>
                <w:szCs w:val="18"/>
              </w:rPr>
              <w:t>143,78</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s.o.</w:t>
            </w:r>
          </w:p>
        </w:tc>
      </w:tr>
      <w:tr w:rsidR="0088772F" w:rsidRPr="00D50D34" w:rsidTr="0024761F">
        <w:trPr>
          <w:trHeight w:val="31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2,1</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Financement convenu pour la Banque mondiale, agence principale ($US)</w:t>
            </w:r>
          </w:p>
        </w:tc>
        <w:tc>
          <w:tcPr>
            <w:tcW w:w="410" w:type="pct"/>
            <w:shd w:val="clear" w:color="auto" w:fill="auto"/>
            <w:hideMark/>
          </w:tcPr>
          <w:p w:rsidR="0088772F" w:rsidRPr="00DE2E52" w:rsidRDefault="00DE2E52" w:rsidP="00B027E1">
            <w:pPr>
              <w:jc w:val="right"/>
              <w:rPr>
                <w:b/>
                <w:color w:val="000000"/>
                <w:sz w:val="18"/>
                <w:szCs w:val="18"/>
              </w:rPr>
            </w:pPr>
            <w:r>
              <w:rPr>
                <w:b/>
                <w:color w:val="000000"/>
                <w:sz w:val="18"/>
                <w:szCs w:val="18"/>
              </w:rPr>
              <w:t>302 737</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2 179 193</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3 781 257</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4 393 450</w:t>
            </w:r>
          </w:p>
        </w:tc>
        <w:tc>
          <w:tcPr>
            <w:tcW w:w="578" w:type="pct"/>
            <w:shd w:val="clear" w:color="auto" w:fill="auto"/>
            <w:hideMark/>
          </w:tcPr>
          <w:p w:rsidR="0088772F" w:rsidRPr="00DE2E52" w:rsidRDefault="0088772F" w:rsidP="00B027E1">
            <w:pPr>
              <w:jc w:val="right"/>
              <w:rPr>
                <w:color w:val="000000"/>
                <w:sz w:val="18"/>
                <w:szCs w:val="18"/>
              </w:rPr>
            </w:pPr>
            <w:r>
              <w:rPr>
                <w:color w:val="000000"/>
                <w:sz w:val="18"/>
                <w:szCs w:val="18"/>
              </w:rPr>
              <w:t>2 928 967</w:t>
            </w:r>
          </w:p>
        </w:tc>
        <w:tc>
          <w:tcPr>
            <w:tcW w:w="438" w:type="pct"/>
            <w:shd w:val="clear" w:color="auto" w:fill="auto"/>
            <w:hideMark/>
          </w:tcPr>
          <w:p w:rsidR="0088772F" w:rsidRPr="00DE2E52" w:rsidRDefault="0088772F" w:rsidP="00B027E1">
            <w:pPr>
              <w:jc w:val="right"/>
              <w:rPr>
                <w:color w:val="000000"/>
                <w:sz w:val="18"/>
                <w:szCs w:val="18"/>
              </w:rPr>
            </w:pPr>
            <w:r>
              <w:rPr>
                <w:color w:val="000000"/>
                <w:sz w:val="18"/>
                <w:szCs w:val="18"/>
              </w:rPr>
              <w:t>732 242</w:t>
            </w:r>
          </w:p>
        </w:tc>
        <w:tc>
          <w:tcPr>
            <w:tcW w:w="525" w:type="pct"/>
            <w:shd w:val="clear" w:color="auto" w:fill="auto"/>
            <w:hideMark/>
          </w:tcPr>
          <w:p w:rsidR="0088772F" w:rsidRPr="00DE2E52" w:rsidRDefault="0088772F" w:rsidP="00B027E1">
            <w:pPr>
              <w:jc w:val="right"/>
              <w:rPr>
                <w:b/>
                <w:color w:val="000000"/>
                <w:sz w:val="18"/>
                <w:szCs w:val="18"/>
              </w:rPr>
            </w:pPr>
            <w:r>
              <w:rPr>
                <w:b/>
                <w:color w:val="000000"/>
                <w:sz w:val="18"/>
                <w:szCs w:val="18"/>
              </w:rPr>
              <w:t>14 317 846</w:t>
            </w:r>
          </w:p>
        </w:tc>
      </w:tr>
      <w:tr w:rsidR="0088772F" w:rsidRPr="00D50D34" w:rsidTr="0024761F">
        <w:trPr>
          <w:trHeight w:val="31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2,2</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Coûts d’appui pour l’agence principale ($US)</w:t>
            </w:r>
          </w:p>
        </w:tc>
        <w:tc>
          <w:tcPr>
            <w:tcW w:w="410" w:type="pct"/>
            <w:shd w:val="clear" w:color="auto" w:fill="auto"/>
            <w:hideMark/>
          </w:tcPr>
          <w:p w:rsidR="0088772F" w:rsidRPr="00DE2E52" w:rsidRDefault="008762F9" w:rsidP="00B027E1">
            <w:pPr>
              <w:jc w:val="right"/>
              <w:rPr>
                <w:b/>
                <w:color w:val="000000"/>
                <w:sz w:val="18"/>
                <w:szCs w:val="18"/>
              </w:rPr>
            </w:pPr>
            <w:r>
              <w:rPr>
                <w:b/>
                <w:color w:val="000000"/>
                <w:sz w:val="18"/>
                <w:szCs w:val="18"/>
              </w:rPr>
              <w:t>21 192</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152 544</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264 688</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307 542</w:t>
            </w:r>
          </w:p>
        </w:tc>
        <w:tc>
          <w:tcPr>
            <w:tcW w:w="578" w:type="pct"/>
            <w:shd w:val="clear" w:color="auto" w:fill="auto"/>
            <w:hideMark/>
          </w:tcPr>
          <w:p w:rsidR="0088772F" w:rsidRPr="00DE2E52" w:rsidRDefault="0088772F" w:rsidP="00B027E1">
            <w:pPr>
              <w:jc w:val="right"/>
              <w:rPr>
                <w:color w:val="000000"/>
                <w:sz w:val="18"/>
                <w:szCs w:val="18"/>
              </w:rPr>
            </w:pPr>
            <w:r>
              <w:rPr>
                <w:color w:val="000000"/>
                <w:sz w:val="18"/>
                <w:szCs w:val="18"/>
              </w:rPr>
              <w:t>205 028</w:t>
            </w:r>
          </w:p>
        </w:tc>
        <w:tc>
          <w:tcPr>
            <w:tcW w:w="438" w:type="pct"/>
            <w:shd w:val="clear" w:color="auto" w:fill="auto"/>
            <w:hideMark/>
          </w:tcPr>
          <w:p w:rsidR="0088772F" w:rsidRPr="00DE2E52" w:rsidRDefault="0088772F" w:rsidP="00B027E1">
            <w:pPr>
              <w:jc w:val="right"/>
              <w:rPr>
                <w:color w:val="000000"/>
                <w:sz w:val="18"/>
                <w:szCs w:val="18"/>
              </w:rPr>
            </w:pPr>
            <w:r>
              <w:rPr>
                <w:color w:val="000000"/>
                <w:sz w:val="18"/>
                <w:szCs w:val="18"/>
              </w:rPr>
              <w:t>51 257</w:t>
            </w:r>
          </w:p>
        </w:tc>
        <w:tc>
          <w:tcPr>
            <w:tcW w:w="525" w:type="pct"/>
            <w:shd w:val="clear" w:color="auto" w:fill="auto"/>
            <w:hideMark/>
          </w:tcPr>
          <w:p w:rsidR="0088772F" w:rsidRPr="00DE2E52" w:rsidRDefault="00DE2E52" w:rsidP="00B027E1">
            <w:pPr>
              <w:jc w:val="right"/>
              <w:rPr>
                <w:b/>
                <w:color w:val="000000"/>
                <w:sz w:val="18"/>
                <w:szCs w:val="18"/>
              </w:rPr>
            </w:pPr>
            <w:r>
              <w:rPr>
                <w:b/>
                <w:color w:val="000000"/>
                <w:sz w:val="18"/>
                <w:szCs w:val="18"/>
              </w:rPr>
              <w:t>1 002 249</w:t>
            </w:r>
          </w:p>
        </w:tc>
      </w:tr>
      <w:tr w:rsidR="0088772F" w:rsidRPr="00D50D34" w:rsidTr="0024761F">
        <w:trPr>
          <w:trHeight w:val="31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2,3</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Financement convenu pour l’agence de coopération (Japon) ($US)</w:t>
            </w:r>
          </w:p>
        </w:tc>
        <w:tc>
          <w:tcPr>
            <w:tcW w:w="410" w:type="pct"/>
            <w:shd w:val="clear" w:color="auto" w:fill="auto"/>
            <w:hideMark/>
          </w:tcPr>
          <w:p w:rsidR="0088772F" w:rsidRPr="00D50D34" w:rsidRDefault="0088772F" w:rsidP="00B027E1">
            <w:pPr>
              <w:jc w:val="right"/>
              <w:rPr>
                <w:color w:val="000000"/>
                <w:sz w:val="18"/>
                <w:szCs w:val="18"/>
              </w:rPr>
            </w:pPr>
            <w:r>
              <w:rPr>
                <w:color w:val="000000"/>
                <w:sz w:val="18"/>
                <w:szCs w:val="18"/>
              </w:rPr>
              <w:t>43 250</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163 980</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26 400</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0</w:t>
            </w:r>
          </w:p>
        </w:tc>
        <w:tc>
          <w:tcPr>
            <w:tcW w:w="578" w:type="pct"/>
            <w:shd w:val="clear" w:color="auto" w:fill="auto"/>
            <w:hideMark/>
          </w:tcPr>
          <w:p w:rsidR="0088772F" w:rsidRPr="00DE2E52" w:rsidRDefault="0088772F" w:rsidP="00B027E1">
            <w:pPr>
              <w:jc w:val="right"/>
              <w:rPr>
                <w:color w:val="000000"/>
                <w:sz w:val="18"/>
                <w:szCs w:val="18"/>
              </w:rPr>
            </w:pPr>
            <w:r>
              <w:rPr>
                <w:color w:val="000000"/>
                <w:sz w:val="18"/>
                <w:szCs w:val="18"/>
              </w:rPr>
              <w:t>0</w:t>
            </w:r>
          </w:p>
        </w:tc>
        <w:tc>
          <w:tcPr>
            <w:tcW w:w="438" w:type="pct"/>
            <w:shd w:val="clear" w:color="auto" w:fill="auto"/>
            <w:hideMark/>
          </w:tcPr>
          <w:p w:rsidR="0088772F" w:rsidRPr="00DE2E52" w:rsidRDefault="0088772F" w:rsidP="00B027E1">
            <w:pPr>
              <w:jc w:val="right"/>
              <w:rPr>
                <w:color w:val="000000"/>
                <w:sz w:val="18"/>
                <w:szCs w:val="18"/>
              </w:rPr>
            </w:pPr>
            <w:r>
              <w:rPr>
                <w:color w:val="000000"/>
                <w:sz w:val="18"/>
                <w:szCs w:val="18"/>
              </w:rPr>
              <w:t>0</w:t>
            </w:r>
          </w:p>
        </w:tc>
        <w:tc>
          <w:tcPr>
            <w:tcW w:w="525" w:type="pct"/>
            <w:shd w:val="clear" w:color="auto" w:fill="auto"/>
            <w:hideMark/>
          </w:tcPr>
          <w:p w:rsidR="0088772F" w:rsidRPr="00DE2E52" w:rsidRDefault="0088772F" w:rsidP="00B027E1">
            <w:pPr>
              <w:jc w:val="right"/>
              <w:rPr>
                <w:color w:val="000000"/>
                <w:sz w:val="18"/>
                <w:szCs w:val="18"/>
              </w:rPr>
            </w:pPr>
            <w:r>
              <w:rPr>
                <w:color w:val="000000"/>
                <w:sz w:val="18"/>
                <w:szCs w:val="18"/>
              </w:rPr>
              <w:t>233 630</w:t>
            </w:r>
          </w:p>
        </w:tc>
      </w:tr>
      <w:tr w:rsidR="0088772F" w:rsidRPr="00D50D34" w:rsidTr="0024761F">
        <w:trPr>
          <w:trHeight w:val="31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2,4</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Coûts d’appui pour l’agence de coopération ($US)</w:t>
            </w:r>
          </w:p>
        </w:tc>
        <w:tc>
          <w:tcPr>
            <w:tcW w:w="410" w:type="pct"/>
            <w:shd w:val="clear" w:color="auto" w:fill="auto"/>
            <w:hideMark/>
          </w:tcPr>
          <w:p w:rsidR="0088772F" w:rsidRPr="00D50D34" w:rsidRDefault="0088772F" w:rsidP="00B027E1">
            <w:pPr>
              <w:jc w:val="right"/>
              <w:rPr>
                <w:color w:val="000000"/>
                <w:sz w:val="18"/>
                <w:szCs w:val="18"/>
              </w:rPr>
            </w:pPr>
            <w:r>
              <w:rPr>
                <w:color w:val="000000"/>
                <w:sz w:val="18"/>
                <w:szCs w:val="18"/>
              </w:rPr>
              <w:t>5 623</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21 317</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3 432</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0</w:t>
            </w:r>
          </w:p>
        </w:tc>
        <w:tc>
          <w:tcPr>
            <w:tcW w:w="578" w:type="pct"/>
            <w:shd w:val="clear" w:color="auto" w:fill="auto"/>
            <w:hideMark/>
          </w:tcPr>
          <w:p w:rsidR="0088772F" w:rsidRPr="00DE2E52" w:rsidRDefault="0088772F" w:rsidP="00B027E1">
            <w:pPr>
              <w:jc w:val="right"/>
              <w:rPr>
                <w:color w:val="000000"/>
                <w:sz w:val="18"/>
                <w:szCs w:val="18"/>
              </w:rPr>
            </w:pPr>
            <w:r>
              <w:rPr>
                <w:color w:val="000000"/>
                <w:sz w:val="18"/>
                <w:szCs w:val="18"/>
              </w:rPr>
              <w:t>0</w:t>
            </w:r>
          </w:p>
        </w:tc>
        <w:tc>
          <w:tcPr>
            <w:tcW w:w="438" w:type="pct"/>
            <w:shd w:val="clear" w:color="auto" w:fill="auto"/>
            <w:hideMark/>
          </w:tcPr>
          <w:p w:rsidR="0088772F" w:rsidRPr="00DE2E52" w:rsidRDefault="0088772F" w:rsidP="00B027E1">
            <w:pPr>
              <w:jc w:val="right"/>
              <w:rPr>
                <w:color w:val="000000"/>
                <w:sz w:val="18"/>
                <w:szCs w:val="18"/>
              </w:rPr>
            </w:pPr>
            <w:r>
              <w:rPr>
                <w:color w:val="000000"/>
                <w:sz w:val="18"/>
                <w:szCs w:val="18"/>
              </w:rPr>
              <w:t>0</w:t>
            </w:r>
          </w:p>
        </w:tc>
        <w:tc>
          <w:tcPr>
            <w:tcW w:w="525" w:type="pct"/>
            <w:shd w:val="clear" w:color="auto" w:fill="auto"/>
            <w:hideMark/>
          </w:tcPr>
          <w:p w:rsidR="0088772F" w:rsidRPr="00DE2E52" w:rsidRDefault="0088772F" w:rsidP="00B027E1">
            <w:pPr>
              <w:jc w:val="right"/>
              <w:rPr>
                <w:color w:val="000000"/>
                <w:sz w:val="18"/>
                <w:szCs w:val="18"/>
              </w:rPr>
            </w:pPr>
            <w:r>
              <w:rPr>
                <w:color w:val="000000"/>
                <w:sz w:val="18"/>
                <w:szCs w:val="18"/>
              </w:rPr>
              <w:t>30 372</w:t>
            </w:r>
          </w:p>
        </w:tc>
      </w:tr>
      <w:tr w:rsidR="0088772F" w:rsidRPr="00D50D34" w:rsidTr="0024761F">
        <w:trPr>
          <w:trHeight w:val="31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3,1</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Total du financement convenu ($US)</w:t>
            </w:r>
          </w:p>
        </w:tc>
        <w:tc>
          <w:tcPr>
            <w:tcW w:w="410" w:type="pct"/>
            <w:shd w:val="clear" w:color="auto" w:fill="auto"/>
            <w:hideMark/>
          </w:tcPr>
          <w:p w:rsidR="0088772F" w:rsidRPr="008762F9" w:rsidRDefault="008762F9" w:rsidP="00B027E1">
            <w:pPr>
              <w:jc w:val="right"/>
              <w:rPr>
                <w:b/>
                <w:color w:val="000000"/>
                <w:sz w:val="18"/>
                <w:szCs w:val="18"/>
              </w:rPr>
            </w:pPr>
            <w:r>
              <w:rPr>
                <w:b/>
                <w:color w:val="000000"/>
                <w:sz w:val="18"/>
                <w:szCs w:val="18"/>
              </w:rPr>
              <w:t>345 987</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2 343 173</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3 807 657</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4 393 450</w:t>
            </w:r>
          </w:p>
        </w:tc>
        <w:tc>
          <w:tcPr>
            <w:tcW w:w="578" w:type="pct"/>
            <w:shd w:val="clear" w:color="auto" w:fill="auto"/>
            <w:hideMark/>
          </w:tcPr>
          <w:p w:rsidR="0088772F" w:rsidRPr="00DE2E52" w:rsidRDefault="0088772F" w:rsidP="00B027E1">
            <w:pPr>
              <w:jc w:val="right"/>
              <w:rPr>
                <w:color w:val="000000"/>
                <w:sz w:val="18"/>
                <w:szCs w:val="18"/>
              </w:rPr>
            </w:pPr>
            <w:r>
              <w:rPr>
                <w:color w:val="000000"/>
                <w:sz w:val="18"/>
                <w:szCs w:val="18"/>
              </w:rPr>
              <w:t>2 928 967</w:t>
            </w:r>
          </w:p>
        </w:tc>
        <w:tc>
          <w:tcPr>
            <w:tcW w:w="438" w:type="pct"/>
            <w:shd w:val="clear" w:color="auto" w:fill="auto"/>
            <w:hideMark/>
          </w:tcPr>
          <w:p w:rsidR="0088772F" w:rsidRPr="00DE2E52" w:rsidRDefault="0088772F" w:rsidP="00B027E1">
            <w:pPr>
              <w:jc w:val="right"/>
              <w:rPr>
                <w:color w:val="000000"/>
                <w:sz w:val="18"/>
                <w:szCs w:val="18"/>
              </w:rPr>
            </w:pPr>
            <w:r>
              <w:rPr>
                <w:color w:val="000000"/>
                <w:sz w:val="18"/>
                <w:szCs w:val="18"/>
              </w:rPr>
              <w:t>732 242</w:t>
            </w:r>
          </w:p>
        </w:tc>
        <w:tc>
          <w:tcPr>
            <w:tcW w:w="525" w:type="pct"/>
            <w:shd w:val="clear" w:color="auto" w:fill="auto"/>
            <w:hideMark/>
          </w:tcPr>
          <w:p w:rsidR="0088772F" w:rsidRPr="00DE2E52" w:rsidRDefault="0088772F" w:rsidP="00B027E1">
            <w:pPr>
              <w:jc w:val="right"/>
              <w:rPr>
                <w:b/>
                <w:color w:val="000000"/>
                <w:sz w:val="18"/>
                <w:szCs w:val="18"/>
              </w:rPr>
            </w:pPr>
            <w:r>
              <w:rPr>
                <w:b/>
                <w:color w:val="000000"/>
                <w:sz w:val="18"/>
                <w:szCs w:val="18"/>
              </w:rPr>
              <w:t>14 551 476</w:t>
            </w:r>
          </w:p>
        </w:tc>
      </w:tr>
      <w:tr w:rsidR="0088772F" w:rsidRPr="00D50D34" w:rsidTr="0024761F">
        <w:trPr>
          <w:trHeight w:val="31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3,2</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Total des coûts d’appui ($US)</w:t>
            </w:r>
          </w:p>
        </w:tc>
        <w:tc>
          <w:tcPr>
            <w:tcW w:w="410" w:type="pct"/>
            <w:shd w:val="clear" w:color="auto" w:fill="auto"/>
            <w:hideMark/>
          </w:tcPr>
          <w:p w:rsidR="0088772F" w:rsidRPr="008762F9" w:rsidRDefault="008762F9" w:rsidP="00B027E1">
            <w:pPr>
              <w:jc w:val="right"/>
              <w:rPr>
                <w:b/>
                <w:color w:val="000000"/>
                <w:sz w:val="18"/>
                <w:szCs w:val="18"/>
              </w:rPr>
            </w:pPr>
            <w:r>
              <w:rPr>
                <w:b/>
                <w:color w:val="000000"/>
                <w:sz w:val="18"/>
                <w:szCs w:val="18"/>
              </w:rPr>
              <w:t>26 814</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173 861</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268 120</w:t>
            </w:r>
          </w:p>
        </w:tc>
        <w:tc>
          <w:tcPr>
            <w:tcW w:w="490" w:type="pct"/>
            <w:shd w:val="clear" w:color="auto" w:fill="auto"/>
            <w:hideMark/>
          </w:tcPr>
          <w:p w:rsidR="0088772F" w:rsidRPr="00DE2E52" w:rsidRDefault="0088772F" w:rsidP="00B027E1">
            <w:pPr>
              <w:jc w:val="right"/>
              <w:rPr>
                <w:color w:val="000000"/>
                <w:sz w:val="18"/>
                <w:szCs w:val="18"/>
              </w:rPr>
            </w:pPr>
            <w:r>
              <w:rPr>
                <w:color w:val="000000"/>
                <w:sz w:val="18"/>
                <w:szCs w:val="18"/>
              </w:rPr>
              <w:t>307 542</w:t>
            </w:r>
          </w:p>
        </w:tc>
        <w:tc>
          <w:tcPr>
            <w:tcW w:w="578" w:type="pct"/>
            <w:shd w:val="clear" w:color="auto" w:fill="auto"/>
            <w:hideMark/>
          </w:tcPr>
          <w:p w:rsidR="0088772F" w:rsidRPr="00DE2E52" w:rsidRDefault="0088772F" w:rsidP="00B027E1">
            <w:pPr>
              <w:jc w:val="right"/>
              <w:rPr>
                <w:color w:val="000000"/>
                <w:sz w:val="18"/>
                <w:szCs w:val="18"/>
              </w:rPr>
            </w:pPr>
            <w:r>
              <w:rPr>
                <w:color w:val="000000"/>
                <w:sz w:val="18"/>
                <w:szCs w:val="18"/>
              </w:rPr>
              <w:t>205 028</w:t>
            </w:r>
          </w:p>
        </w:tc>
        <w:tc>
          <w:tcPr>
            <w:tcW w:w="438" w:type="pct"/>
            <w:shd w:val="clear" w:color="auto" w:fill="auto"/>
            <w:hideMark/>
          </w:tcPr>
          <w:p w:rsidR="0088772F" w:rsidRPr="00DE2E52" w:rsidRDefault="0088772F" w:rsidP="00B027E1">
            <w:pPr>
              <w:jc w:val="right"/>
              <w:rPr>
                <w:color w:val="000000"/>
                <w:sz w:val="18"/>
                <w:szCs w:val="18"/>
              </w:rPr>
            </w:pPr>
            <w:r>
              <w:rPr>
                <w:color w:val="000000"/>
                <w:sz w:val="18"/>
                <w:szCs w:val="18"/>
              </w:rPr>
              <w:t>51 257</w:t>
            </w:r>
          </w:p>
        </w:tc>
        <w:tc>
          <w:tcPr>
            <w:tcW w:w="525" w:type="pct"/>
            <w:shd w:val="clear" w:color="auto" w:fill="auto"/>
            <w:hideMark/>
          </w:tcPr>
          <w:p w:rsidR="0088772F" w:rsidRPr="00DE2E52" w:rsidRDefault="0088772F" w:rsidP="00B027E1">
            <w:pPr>
              <w:jc w:val="right"/>
              <w:rPr>
                <w:b/>
                <w:color w:val="000000"/>
                <w:sz w:val="18"/>
                <w:szCs w:val="18"/>
              </w:rPr>
            </w:pPr>
            <w:r>
              <w:rPr>
                <w:b/>
                <w:color w:val="000000"/>
                <w:sz w:val="18"/>
                <w:szCs w:val="18"/>
              </w:rPr>
              <w:t>1 032 621</w:t>
            </w:r>
          </w:p>
        </w:tc>
      </w:tr>
      <w:tr w:rsidR="0088772F" w:rsidRPr="00D50D34" w:rsidTr="0024761F">
        <w:trPr>
          <w:trHeight w:val="241"/>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3,3</w:t>
            </w:r>
          </w:p>
        </w:tc>
        <w:tc>
          <w:tcPr>
            <w:tcW w:w="1144" w:type="pct"/>
            <w:shd w:val="clear" w:color="auto" w:fill="auto"/>
            <w:hideMark/>
          </w:tcPr>
          <w:p w:rsidR="0088772F" w:rsidRPr="00D50D34" w:rsidRDefault="0088772F" w:rsidP="00B027E1">
            <w:pPr>
              <w:jc w:val="left"/>
              <w:rPr>
                <w:color w:val="000000"/>
                <w:sz w:val="18"/>
                <w:szCs w:val="18"/>
              </w:rPr>
            </w:pPr>
            <w:r>
              <w:rPr>
                <w:color w:val="000000"/>
                <w:sz w:val="18"/>
                <w:szCs w:val="18"/>
              </w:rPr>
              <w:t>Total des coûts convenus ($US)</w:t>
            </w:r>
          </w:p>
        </w:tc>
        <w:tc>
          <w:tcPr>
            <w:tcW w:w="410" w:type="pct"/>
            <w:shd w:val="clear" w:color="auto" w:fill="auto"/>
            <w:hideMark/>
          </w:tcPr>
          <w:p w:rsidR="0088772F" w:rsidRPr="008762F9" w:rsidRDefault="008762F9" w:rsidP="00B027E1">
            <w:pPr>
              <w:jc w:val="left"/>
              <w:rPr>
                <w:b/>
                <w:color w:val="000000"/>
                <w:sz w:val="18"/>
                <w:szCs w:val="18"/>
              </w:rPr>
            </w:pPr>
            <w:r>
              <w:rPr>
                <w:b/>
                <w:color w:val="000000"/>
                <w:sz w:val="18"/>
                <w:szCs w:val="18"/>
              </w:rPr>
              <w:t>372 801</w:t>
            </w:r>
          </w:p>
        </w:tc>
        <w:tc>
          <w:tcPr>
            <w:tcW w:w="490" w:type="pct"/>
            <w:shd w:val="clear" w:color="auto" w:fill="auto"/>
            <w:hideMark/>
          </w:tcPr>
          <w:p w:rsidR="0088772F" w:rsidRPr="00DE2E52" w:rsidRDefault="0088772F" w:rsidP="00B027E1">
            <w:pPr>
              <w:jc w:val="left"/>
              <w:rPr>
                <w:color w:val="000000"/>
                <w:sz w:val="18"/>
                <w:szCs w:val="18"/>
              </w:rPr>
            </w:pPr>
            <w:r>
              <w:rPr>
                <w:color w:val="000000"/>
                <w:sz w:val="18"/>
                <w:szCs w:val="18"/>
              </w:rPr>
              <w:t>2 517 034</w:t>
            </w:r>
          </w:p>
        </w:tc>
        <w:tc>
          <w:tcPr>
            <w:tcW w:w="490" w:type="pct"/>
            <w:shd w:val="clear" w:color="auto" w:fill="auto"/>
            <w:hideMark/>
          </w:tcPr>
          <w:p w:rsidR="0088772F" w:rsidRPr="00DE2E52" w:rsidRDefault="0088772F" w:rsidP="00B027E1">
            <w:pPr>
              <w:jc w:val="left"/>
              <w:rPr>
                <w:color w:val="000000"/>
                <w:sz w:val="18"/>
                <w:szCs w:val="18"/>
              </w:rPr>
            </w:pPr>
            <w:r>
              <w:rPr>
                <w:color w:val="000000"/>
                <w:sz w:val="18"/>
                <w:szCs w:val="18"/>
              </w:rPr>
              <w:t>4 075 777</w:t>
            </w:r>
          </w:p>
        </w:tc>
        <w:tc>
          <w:tcPr>
            <w:tcW w:w="490" w:type="pct"/>
            <w:shd w:val="clear" w:color="auto" w:fill="auto"/>
            <w:hideMark/>
          </w:tcPr>
          <w:p w:rsidR="0088772F" w:rsidRPr="00DE2E52" w:rsidRDefault="0088772F" w:rsidP="00B027E1">
            <w:pPr>
              <w:jc w:val="left"/>
              <w:rPr>
                <w:color w:val="000000"/>
                <w:sz w:val="18"/>
                <w:szCs w:val="18"/>
              </w:rPr>
            </w:pPr>
            <w:r>
              <w:rPr>
                <w:color w:val="000000"/>
                <w:sz w:val="18"/>
                <w:szCs w:val="18"/>
              </w:rPr>
              <w:t>4 700 992</w:t>
            </w:r>
          </w:p>
        </w:tc>
        <w:tc>
          <w:tcPr>
            <w:tcW w:w="578" w:type="pct"/>
            <w:shd w:val="clear" w:color="auto" w:fill="auto"/>
            <w:hideMark/>
          </w:tcPr>
          <w:p w:rsidR="0088772F" w:rsidRPr="00DE2E52" w:rsidRDefault="0088772F" w:rsidP="00B027E1">
            <w:pPr>
              <w:jc w:val="left"/>
              <w:rPr>
                <w:color w:val="000000"/>
                <w:sz w:val="18"/>
                <w:szCs w:val="18"/>
              </w:rPr>
            </w:pPr>
            <w:r>
              <w:rPr>
                <w:color w:val="000000"/>
                <w:sz w:val="18"/>
                <w:szCs w:val="18"/>
              </w:rPr>
              <w:t>3 133 994</w:t>
            </w:r>
          </w:p>
        </w:tc>
        <w:tc>
          <w:tcPr>
            <w:tcW w:w="438" w:type="pct"/>
            <w:shd w:val="clear" w:color="auto" w:fill="auto"/>
            <w:hideMark/>
          </w:tcPr>
          <w:p w:rsidR="0088772F" w:rsidRPr="00DE2E52" w:rsidRDefault="0088772F" w:rsidP="00B027E1">
            <w:pPr>
              <w:jc w:val="left"/>
              <w:rPr>
                <w:color w:val="000000"/>
                <w:sz w:val="18"/>
                <w:szCs w:val="18"/>
              </w:rPr>
            </w:pPr>
            <w:r>
              <w:rPr>
                <w:color w:val="000000"/>
                <w:sz w:val="18"/>
                <w:szCs w:val="18"/>
              </w:rPr>
              <w:t>783 499</w:t>
            </w:r>
          </w:p>
        </w:tc>
        <w:tc>
          <w:tcPr>
            <w:tcW w:w="525" w:type="pct"/>
            <w:shd w:val="clear" w:color="auto" w:fill="auto"/>
            <w:hideMark/>
          </w:tcPr>
          <w:p w:rsidR="0088772F" w:rsidRPr="00DE2E52" w:rsidRDefault="00DE2E52" w:rsidP="00B027E1">
            <w:pPr>
              <w:jc w:val="right"/>
              <w:rPr>
                <w:b/>
                <w:color w:val="000000"/>
                <w:sz w:val="18"/>
                <w:szCs w:val="18"/>
              </w:rPr>
            </w:pPr>
            <w:r>
              <w:rPr>
                <w:b/>
                <w:color w:val="000000"/>
                <w:sz w:val="18"/>
                <w:szCs w:val="18"/>
              </w:rPr>
              <w:t>15 584 097</w:t>
            </w:r>
          </w:p>
        </w:tc>
      </w:tr>
      <w:tr w:rsidR="0088772F" w:rsidRPr="00D50D34" w:rsidTr="0024761F">
        <w:trPr>
          <w:trHeight w:val="205"/>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4.1.1</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totale de HCFC-22 convenue de réaliser en vertu du présent Accord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55,31</w:t>
            </w:r>
          </w:p>
        </w:tc>
      </w:tr>
      <w:tr w:rsidR="0088772F" w:rsidRPr="00D50D34" w:rsidTr="0024761F">
        <w:trPr>
          <w:trHeight w:val="241"/>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4.1.2</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du HCFC-22 réalisée lors de la phase précédente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w:t>
            </w:r>
          </w:p>
        </w:tc>
      </w:tr>
      <w:tr w:rsidR="0088772F" w:rsidRPr="00D50D34" w:rsidTr="0024761F">
        <w:trPr>
          <w:trHeight w:val="250"/>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4.1.3</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Consommation restante admissible pour le HCFC-22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111,84</w:t>
            </w:r>
          </w:p>
        </w:tc>
      </w:tr>
      <w:tr w:rsidR="0088772F" w:rsidRPr="00D50D34" w:rsidTr="0024761F">
        <w:trPr>
          <w:trHeight w:val="169"/>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4.2.1</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totale de HCFC-123 convenue de réaliser en vertu du présent Accord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w:t>
            </w:r>
          </w:p>
        </w:tc>
      </w:tr>
      <w:tr w:rsidR="0088772F" w:rsidRPr="00D50D34" w:rsidTr="0024761F">
        <w:trPr>
          <w:trHeight w:val="196"/>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4.2.2</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du HCFC-123 réalisée lors de la phase précédente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w:t>
            </w:r>
          </w:p>
        </w:tc>
      </w:tr>
      <w:tr w:rsidR="0088772F" w:rsidRPr="00D50D34" w:rsidTr="0024761F">
        <w:trPr>
          <w:trHeight w:val="232"/>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4.2.3</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Consommation restante admissible pour le HCFC-123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0,16</w:t>
            </w:r>
          </w:p>
        </w:tc>
      </w:tr>
      <w:tr w:rsidR="0088772F" w:rsidRPr="00D50D34" w:rsidTr="0024761F">
        <w:trPr>
          <w:trHeight w:val="160"/>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4.3.1</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totale de HCFC-141b convenue de réaliser en vertu du présent Accord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w:t>
            </w:r>
          </w:p>
        </w:tc>
      </w:tr>
      <w:tr w:rsidR="0088772F" w:rsidRPr="00D50D34" w:rsidTr="0024761F">
        <w:trPr>
          <w:trHeight w:val="97"/>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4.3.2</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du HCFC-141b réalisée lors de la phase précédente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53,90</w:t>
            </w:r>
          </w:p>
        </w:tc>
      </w:tr>
      <w:tr w:rsidR="0088772F" w:rsidRPr="00D50D34" w:rsidTr="0024761F">
        <w:trPr>
          <w:trHeight w:val="133"/>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4.3.3</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Consommation restante admissible de HCFC-141b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w:t>
            </w:r>
          </w:p>
        </w:tc>
      </w:tr>
      <w:tr w:rsidR="0088772F" w:rsidRPr="00D50D34" w:rsidTr="0024761F">
        <w:trPr>
          <w:trHeight w:val="421"/>
        </w:trPr>
        <w:tc>
          <w:tcPr>
            <w:tcW w:w="436" w:type="pct"/>
            <w:shd w:val="clear" w:color="auto" w:fill="auto"/>
            <w:hideMark/>
          </w:tcPr>
          <w:p w:rsidR="0088772F" w:rsidRPr="00D50D34" w:rsidRDefault="0088772F" w:rsidP="00AC66DF">
            <w:pPr>
              <w:keepNext/>
              <w:keepLines/>
              <w:widowControl w:val="0"/>
              <w:jc w:val="left"/>
              <w:rPr>
                <w:color w:val="000000"/>
                <w:sz w:val="18"/>
                <w:szCs w:val="18"/>
              </w:rPr>
            </w:pPr>
            <w:r>
              <w:rPr>
                <w:color w:val="000000"/>
                <w:sz w:val="18"/>
                <w:szCs w:val="18"/>
              </w:rPr>
              <w:t>4.4.1</w:t>
            </w:r>
          </w:p>
        </w:tc>
        <w:tc>
          <w:tcPr>
            <w:tcW w:w="4039" w:type="pct"/>
            <w:gridSpan w:val="7"/>
            <w:shd w:val="clear" w:color="auto" w:fill="auto"/>
            <w:hideMark/>
          </w:tcPr>
          <w:p w:rsidR="0088772F" w:rsidRPr="00D50D34" w:rsidRDefault="0088772F" w:rsidP="00AC66DF">
            <w:pPr>
              <w:keepNext/>
              <w:keepLines/>
              <w:widowControl w:val="0"/>
              <w:jc w:val="left"/>
              <w:rPr>
                <w:color w:val="000000"/>
                <w:sz w:val="18"/>
                <w:szCs w:val="18"/>
              </w:rPr>
            </w:pPr>
            <w:r>
              <w:rPr>
                <w:color w:val="000000"/>
                <w:sz w:val="18"/>
                <w:szCs w:val="18"/>
              </w:rPr>
              <w:t>Élimination totale du HCFC-141b contenu dans les polyols prémélangés importés convenue de réaliser en vertu du présent Accord (tonnes PAO)</w:t>
            </w:r>
          </w:p>
        </w:tc>
        <w:tc>
          <w:tcPr>
            <w:tcW w:w="525" w:type="pct"/>
            <w:shd w:val="clear" w:color="auto" w:fill="auto"/>
            <w:hideMark/>
          </w:tcPr>
          <w:p w:rsidR="0088772F" w:rsidRPr="00D50D34" w:rsidRDefault="0088772F" w:rsidP="00AC66DF">
            <w:pPr>
              <w:keepNext/>
              <w:keepLines/>
              <w:widowControl w:val="0"/>
              <w:jc w:val="right"/>
              <w:rPr>
                <w:color w:val="000000"/>
                <w:sz w:val="18"/>
                <w:szCs w:val="18"/>
              </w:rPr>
            </w:pPr>
            <w:r>
              <w:rPr>
                <w:color w:val="000000"/>
                <w:sz w:val="18"/>
                <w:szCs w:val="18"/>
              </w:rPr>
              <w:t>75,26</w:t>
            </w:r>
          </w:p>
        </w:tc>
      </w:tr>
      <w:tr w:rsidR="0088772F" w:rsidRPr="00D50D34" w:rsidTr="0024761F">
        <w:trPr>
          <w:trHeight w:val="376"/>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4.4.2</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Élimination du HCFC-141b contenu dans les polyols prémélangés importés réalisée lors de la phase précédente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89,30</w:t>
            </w:r>
          </w:p>
        </w:tc>
      </w:tr>
      <w:tr w:rsidR="0088772F" w:rsidRPr="00D50D34" w:rsidTr="0024761F">
        <w:trPr>
          <w:trHeight w:val="232"/>
        </w:trPr>
        <w:tc>
          <w:tcPr>
            <w:tcW w:w="436" w:type="pct"/>
            <w:shd w:val="clear" w:color="auto" w:fill="auto"/>
            <w:hideMark/>
          </w:tcPr>
          <w:p w:rsidR="0088772F" w:rsidRPr="00D50D34" w:rsidRDefault="0088772F" w:rsidP="00B027E1">
            <w:pPr>
              <w:jc w:val="left"/>
              <w:rPr>
                <w:color w:val="000000"/>
                <w:sz w:val="18"/>
                <w:szCs w:val="18"/>
              </w:rPr>
            </w:pPr>
            <w:r>
              <w:rPr>
                <w:color w:val="000000"/>
                <w:sz w:val="18"/>
                <w:szCs w:val="18"/>
              </w:rPr>
              <w:t>4.4.3</w:t>
            </w:r>
          </w:p>
        </w:tc>
        <w:tc>
          <w:tcPr>
            <w:tcW w:w="4039" w:type="pct"/>
            <w:gridSpan w:val="7"/>
            <w:shd w:val="clear" w:color="auto" w:fill="auto"/>
            <w:hideMark/>
          </w:tcPr>
          <w:p w:rsidR="0088772F" w:rsidRPr="00D50D34" w:rsidRDefault="0088772F" w:rsidP="00B027E1">
            <w:pPr>
              <w:jc w:val="left"/>
              <w:rPr>
                <w:color w:val="000000"/>
                <w:sz w:val="18"/>
                <w:szCs w:val="18"/>
              </w:rPr>
            </w:pPr>
            <w:r>
              <w:rPr>
                <w:color w:val="000000"/>
                <w:sz w:val="18"/>
                <w:szCs w:val="18"/>
              </w:rPr>
              <w:t>Consommation restante admissible de HCFC-141b contenu dans les polyols prémélangés importés (tonnes PAO)</w:t>
            </w:r>
          </w:p>
        </w:tc>
        <w:tc>
          <w:tcPr>
            <w:tcW w:w="525" w:type="pct"/>
            <w:shd w:val="clear" w:color="auto" w:fill="auto"/>
            <w:hideMark/>
          </w:tcPr>
          <w:p w:rsidR="0088772F" w:rsidRPr="00D50D34" w:rsidRDefault="0088772F" w:rsidP="00B027E1">
            <w:pPr>
              <w:jc w:val="right"/>
              <w:rPr>
                <w:color w:val="000000"/>
                <w:sz w:val="18"/>
                <w:szCs w:val="18"/>
              </w:rPr>
            </w:pPr>
            <w:r>
              <w:rPr>
                <w:color w:val="000000"/>
                <w:sz w:val="18"/>
                <w:szCs w:val="18"/>
              </w:rPr>
              <w:t>0</w:t>
            </w:r>
          </w:p>
        </w:tc>
      </w:tr>
    </w:tbl>
    <w:p w:rsidR="0088772F" w:rsidRDefault="0088772F" w:rsidP="00B027E1">
      <w:pPr>
        <w:pStyle w:val="0Heading0"/>
        <w:rPr>
          <w:sz w:val="16"/>
          <w:szCs w:val="16"/>
        </w:rPr>
      </w:pPr>
      <w:r>
        <w:rPr>
          <w:sz w:val="16"/>
          <w:szCs w:val="16"/>
        </w:rPr>
        <w:t>*Date d’achèvement de la phase I selon l’accord pour la phase I : 1er juin 2017.</w:t>
      </w:r>
    </w:p>
    <w:p w:rsidR="008762F9" w:rsidRPr="00D50D34" w:rsidRDefault="008762F9" w:rsidP="00B027E1">
      <w:pPr>
        <w:pStyle w:val="0Heading0"/>
        <w:rPr>
          <w:sz w:val="16"/>
          <w:szCs w:val="16"/>
        </w:rPr>
      </w:pPr>
      <w:r>
        <w:rPr>
          <w:sz w:val="16"/>
          <w:szCs w:val="16"/>
        </w:rPr>
        <w:t>* Financement actualisé pour tenir compte de la restitution de 93 358 $US, plus les coûts d’appui d’agence de 6 535 $US en raison d’un changement de technologie à Midea Consumer Electric (Viet Nam) pour passer du R-290 au HFC-</w:t>
      </w:r>
      <w:r w:rsidR="00436081">
        <w:rPr>
          <w:sz w:val="16"/>
          <w:szCs w:val="16"/>
        </w:rPr>
        <w:t>32 (</w:t>
      </w:r>
      <w:r>
        <w:rPr>
          <w:sz w:val="16"/>
          <w:szCs w:val="16"/>
        </w:rPr>
        <w:t>décision 82/37(b)).</w:t>
      </w:r>
    </w:p>
    <w:p w:rsidR="00FF3846" w:rsidRDefault="00FF3846" w:rsidP="00B027E1">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3846" w:rsidRPr="00D50D34" w:rsidTr="00FF3846">
        <w:tc>
          <w:tcPr>
            <w:tcW w:w="1871" w:type="dxa"/>
          </w:tcPr>
          <w:p w:rsidR="00FF3846" w:rsidRPr="00436081" w:rsidRDefault="00FF3846" w:rsidP="00B027E1">
            <w:bookmarkStart w:id="0" w:name="_GoBack"/>
            <w:bookmarkEnd w:id="0"/>
          </w:p>
        </w:tc>
        <w:tc>
          <w:tcPr>
            <w:tcW w:w="1872" w:type="dxa"/>
          </w:tcPr>
          <w:p w:rsidR="00FF3846" w:rsidRPr="00436081" w:rsidRDefault="00FF3846" w:rsidP="00B027E1"/>
        </w:tc>
        <w:tc>
          <w:tcPr>
            <w:tcW w:w="1872" w:type="dxa"/>
            <w:tcBorders>
              <w:bottom w:val="single" w:sz="4" w:space="0" w:color="auto"/>
            </w:tcBorders>
          </w:tcPr>
          <w:p w:rsidR="00FF3846" w:rsidRPr="00436081" w:rsidRDefault="00FF3846" w:rsidP="00B027E1"/>
        </w:tc>
        <w:tc>
          <w:tcPr>
            <w:tcW w:w="1872" w:type="dxa"/>
          </w:tcPr>
          <w:p w:rsidR="00FF3846" w:rsidRPr="00436081" w:rsidRDefault="00FF3846" w:rsidP="00B027E1"/>
        </w:tc>
        <w:tc>
          <w:tcPr>
            <w:tcW w:w="1873" w:type="dxa"/>
          </w:tcPr>
          <w:p w:rsidR="00FF3846" w:rsidRPr="00436081" w:rsidRDefault="00FF3846" w:rsidP="00B027E1"/>
        </w:tc>
      </w:tr>
    </w:tbl>
    <w:p w:rsidR="00FF3846" w:rsidRPr="00436081" w:rsidRDefault="00FF3846" w:rsidP="00B027E1"/>
    <w:p w:rsidR="00052C5C" w:rsidRPr="00436081" w:rsidRDefault="00052C5C" w:rsidP="00B027E1">
      <w:pPr>
        <w:tabs>
          <w:tab w:val="left" w:pos="8280"/>
        </w:tabs>
      </w:pPr>
    </w:p>
    <w:p w:rsidR="00B027E1" w:rsidRPr="00436081" w:rsidRDefault="00B027E1">
      <w:pPr>
        <w:tabs>
          <w:tab w:val="left" w:pos="8280"/>
        </w:tabs>
      </w:pPr>
    </w:p>
    <w:sectPr w:rsidR="00B027E1" w:rsidRPr="00436081" w:rsidSect="0088772F">
      <w:headerReference w:type="even" r:id="rId15"/>
      <w:headerReference w:type="default" r:id="rId16"/>
      <w:head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490" w:rsidRDefault="00205490" w:rsidP="004A504B">
      <w:r>
        <w:separator/>
      </w:r>
    </w:p>
  </w:endnote>
  <w:endnote w:type="continuationSeparator" w:id="0">
    <w:p w:rsidR="00205490" w:rsidRDefault="0020549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Pr="0033525D" w:rsidRDefault="00205490">
    <w:pPr>
      <w:jc w:val="center"/>
    </w:pPr>
    <w:r>
      <w:fldChar w:fldCharType="begin"/>
    </w:r>
    <w:r>
      <w:instrText xml:space="preserve"> PAGE </w:instrText>
    </w:r>
    <w:r>
      <w:fldChar w:fldCharType="separate"/>
    </w:r>
    <w:r w:rsidR="0024761F">
      <w:rPr>
        <w:noProof/>
      </w:rPr>
      <w:t>2</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Pr="0033525D" w:rsidRDefault="00205490">
    <w:pPr>
      <w:jc w:val="center"/>
    </w:pPr>
    <w:r>
      <w:fldChar w:fldCharType="begin"/>
    </w:r>
    <w:r>
      <w:instrText xml:space="preserve"> PAGE </w:instrText>
    </w:r>
    <w:r>
      <w:fldChar w:fldCharType="separate"/>
    </w:r>
    <w:r w:rsidR="0024761F">
      <w:rPr>
        <w:noProof/>
      </w:rPr>
      <w:t>3</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Default="00205490"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rsidR="00205490" w:rsidRDefault="0020549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490" w:rsidRDefault="00205490" w:rsidP="004A504B">
      <w:r>
        <w:separator/>
      </w:r>
    </w:p>
  </w:footnote>
  <w:footnote w:type="continuationSeparator" w:id="0">
    <w:p w:rsidR="00205490" w:rsidRDefault="00205490" w:rsidP="004A504B">
      <w:r>
        <w:continuationSeparator/>
      </w:r>
    </w:p>
  </w:footnote>
  <w:footnote w:id="1">
    <w:p w:rsidR="00205490" w:rsidRPr="007535E4" w:rsidRDefault="00205490" w:rsidP="00FD4D02">
      <w:pPr>
        <w:pStyle w:val="FootnoteText"/>
      </w:pPr>
      <w:r>
        <w:rPr>
          <w:rStyle w:val="FootnoteReference"/>
        </w:rPr>
        <w:footnoteRef/>
      </w:r>
      <w:r>
        <w:t xml:space="preserve"> Conformément à la lettre du 7 octobre 2019 adressée à la Banque mondiale par le Ministère des ressources naturelles et de l’environnement (MONRE) du Viet Nam.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Pr="0033525D" w:rsidRDefault="00205490">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205490" w:rsidRPr="0033525D" w:rsidRDefault="00205490"/>
  <w:p w:rsidR="00205490" w:rsidRPr="0033525D" w:rsidRDefault="0020549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Pr="0033525D" w:rsidRDefault="0020549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/84/62</w:t>
    </w:r>
    <w:r>
      <w:fldChar w:fldCharType="end"/>
    </w:r>
  </w:p>
  <w:p w:rsidR="00205490" w:rsidRPr="0033525D" w:rsidRDefault="00205490"/>
  <w:p w:rsidR="00205490" w:rsidRPr="0033525D" w:rsidRDefault="0020549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6DF" w:rsidRPr="00AC66DF" w:rsidRDefault="00AC66DF">
    <w:pPr>
      <w:rPr>
        <w:lang w:val="en-CA"/>
      </w:rPr>
    </w:pPr>
    <w:r>
      <w:fldChar w:fldCharType="begin"/>
    </w:r>
    <w:r w:rsidRPr="00AC66DF">
      <w:rPr>
        <w:lang w:val="en-CA"/>
      </w:rPr>
      <w:instrText xml:space="preserve"> DOCPROPERTY "Document number"  \* MERGEFORMAT </w:instrText>
    </w:r>
    <w:r>
      <w:fldChar w:fldCharType="separate"/>
    </w:r>
    <w:r w:rsidRPr="00AC66DF">
      <w:rPr>
        <w:lang w:val="en-CA"/>
      </w:rPr>
      <w:t>UNEP/</w:t>
    </w:r>
    <w:proofErr w:type="spellStart"/>
    <w:r w:rsidRPr="00AC66DF">
      <w:rPr>
        <w:lang w:val="en-CA"/>
      </w:rPr>
      <w:t>OzL.Pro</w:t>
    </w:r>
    <w:proofErr w:type="spellEnd"/>
    <w:r w:rsidRPr="00AC66DF">
      <w:rPr>
        <w:lang w:val="en-CA"/>
      </w:rPr>
      <w:t>/</w:t>
    </w:r>
    <w:proofErr w:type="spellStart"/>
    <w:r w:rsidRPr="00AC66DF">
      <w:rPr>
        <w:lang w:val="en-CA"/>
      </w:rPr>
      <w:t>ExCom</w:t>
    </w:r>
    <w:proofErr w:type="spellEnd"/>
    <w:r w:rsidRPr="00AC66DF">
      <w:rPr>
        <w:lang w:val="en-CA"/>
      </w:rPr>
      <w:t>/84/62</w:t>
    </w:r>
    <w:r>
      <w:fldChar w:fldCharType="end"/>
    </w:r>
  </w:p>
  <w:p w:rsidR="00AC66DF" w:rsidRPr="00AC66DF" w:rsidRDefault="00AC66DF">
    <w:pPr>
      <w:rPr>
        <w:lang w:val="en-CA"/>
      </w:rPr>
    </w:pPr>
    <w:r w:rsidRPr="00AC66DF">
      <w:rPr>
        <w:lang w:val="en-CA"/>
      </w:rPr>
      <w:t>Annexe I</w:t>
    </w:r>
  </w:p>
  <w:p w:rsidR="00AC66DF" w:rsidRPr="00AC66DF" w:rsidRDefault="00AC66DF">
    <w:pPr>
      <w:rPr>
        <w:lang w:val="en-CA"/>
      </w:rPr>
    </w:pPr>
  </w:p>
  <w:p w:rsidR="00AC66DF" w:rsidRPr="00AC66DF" w:rsidRDefault="00AC66DF">
    <w:pPr>
      <w:rPr>
        <w:lang w:val="en-CA"/>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Pr="00436081" w:rsidRDefault="00205490">
    <w:pPr>
      <w:jc w:val="right"/>
      <w:rPr>
        <w:lang w:val="en-GB"/>
      </w:rPr>
    </w:pPr>
    <w:r>
      <w:fldChar w:fldCharType="begin"/>
    </w:r>
    <w:r w:rsidRPr="00436081">
      <w:rPr>
        <w:lang w:val="en-GB"/>
      </w:rPr>
      <w:instrText xml:space="preserve"> DOCPROPERTY "Document number"  \* MERGEFORMAT </w:instrText>
    </w:r>
    <w:r>
      <w:fldChar w:fldCharType="separate"/>
    </w:r>
    <w:r w:rsidRPr="00436081">
      <w:rPr>
        <w:lang w:val="en-GB"/>
      </w:rPr>
      <w:t>UNEP/</w:t>
    </w:r>
    <w:proofErr w:type="spellStart"/>
    <w:r w:rsidRPr="00436081">
      <w:rPr>
        <w:lang w:val="en-GB"/>
      </w:rPr>
      <w:t>OzL.Pro</w:t>
    </w:r>
    <w:proofErr w:type="spellEnd"/>
    <w:r w:rsidRPr="00436081">
      <w:rPr>
        <w:lang w:val="en-GB"/>
      </w:rPr>
      <w:t>/</w:t>
    </w:r>
    <w:proofErr w:type="spellStart"/>
    <w:r w:rsidRPr="00436081">
      <w:rPr>
        <w:lang w:val="en-GB"/>
      </w:rPr>
      <w:t>ExCom</w:t>
    </w:r>
    <w:proofErr w:type="spellEnd"/>
    <w:r w:rsidRPr="00436081">
      <w:rPr>
        <w:lang w:val="en-GB"/>
      </w:rPr>
      <w:t>/84/62</w:t>
    </w:r>
    <w:r>
      <w:fldChar w:fldCharType="end"/>
    </w:r>
  </w:p>
  <w:p w:rsidR="00205490" w:rsidRPr="00436081" w:rsidRDefault="00205490" w:rsidP="0088772F">
    <w:pPr>
      <w:jc w:val="right"/>
      <w:rPr>
        <w:lang w:val="en-GB"/>
      </w:rPr>
    </w:pPr>
    <w:r w:rsidRPr="00436081">
      <w:rPr>
        <w:lang w:val="en-GB"/>
      </w:rPr>
      <w:t>Annexe I</w:t>
    </w:r>
  </w:p>
  <w:p w:rsidR="00205490" w:rsidRPr="00436081" w:rsidRDefault="00205490">
    <w:pPr>
      <w:pStyle w:val="Header"/>
      <w:rPr>
        <w:lang w:val="en-GB"/>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490" w:rsidRDefault="002054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1A237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EDC"/>
    <w:rsid w:val="00000FED"/>
    <w:rsid w:val="0000434E"/>
    <w:rsid w:val="00017C3F"/>
    <w:rsid w:val="000211A9"/>
    <w:rsid w:val="00031260"/>
    <w:rsid w:val="0003681A"/>
    <w:rsid w:val="00046793"/>
    <w:rsid w:val="00046B4A"/>
    <w:rsid w:val="0005105C"/>
    <w:rsid w:val="00052C5C"/>
    <w:rsid w:val="00053169"/>
    <w:rsid w:val="00061EC2"/>
    <w:rsid w:val="00080ED0"/>
    <w:rsid w:val="00085B8F"/>
    <w:rsid w:val="00090481"/>
    <w:rsid w:val="00092009"/>
    <w:rsid w:val="000957FD"/>
    <w:rsid w:val="000A6C26"/>
    <w:rsid w:val="000B1BD1"/>
    <w:rsid w:val="000D52A4"/>
    <w:rsid w:val="000D6B9E"/>
    <w:rsid w:val="000E07BC"/>
    <w:rsid w:val="000E59CB"/>
    <w:rsid w:val="000F1CD4"/>
    <w:rsid w:val="000F4103"/>
    <w:rsid w:val="000F70A7"/>
    <w:rsid w:val="001108B9"/>
    <w:rsid w:val="00113CCA"/>
    <w:rsid w:val="00122F25"/>
    <w:rsid w:val="00127735"/>
    <w:rsid w:val="00133D55"/>
    <w:rsid w:val="00135980"/>
    <w:rsid w:val="001466E0"/>
    <w:rsid w:val="00160874"/>
    <w:rsid w:val="00164719"/>
    <w:rsid w:val="00166FC4"/>
    <w:rsid w:val="001677AC"/>
    <w:rsid w:val="00177530"/>
    <w:rsid w:val="00177EEE"/>
    <w:rsid w:val="001804EA"/>
    <w:rsid w:val="00190A61"/>
    <w:rsid w:val="001A3342"/>
    <w:rsid w:val="001A3E3D"/>
    <w:rsid w:val="001A7049"/>
    <w:rsid w:val="001B1D88"/>
    <w:rsid w:val="001B1E40"/>
    <w:rsid w:val="001B52C1"/>
    <w:rsid w:val="001B6487"/>
    <w:rsid w:val="001B7A34"/>
    <w:rsid w:val="001C0DDA"/>
    <w:rsid w:val="001C25FC"/>
    <w:rsid w:val="001C3C80"/>
    <w:rsid w:val="001C3E42"/>
    <w:rsid w:val="001C438C"/>
    <w:rsid w:val="001C764E"/>
    <w:rsid w:val="001E1052"/>
    <w:rsid w:val="001E21B1"/>
    <w:rsid w:val="001E2F93"/>
    <w:rsid w:val="001E61E5"/>
    <w:rsid w:val="001F2159"/>
    <w:rsid w:val="00205490"/>
    <w:rsid w:val="002119A3"/>
    <w:rsid w:val="00213B82"/>
    <w:rsid w:val="00214863"/>
    <w:rsid w:val="002156B4"/>
    <w:rsid w:val="00233EF1"/>
    <w:rsid w:val="00246C77"/>
    <w:rsid w:val="0024761F"/>
    <w:rsid w:val="0025230E"/>
    <w:rsid w:val="00253222"/>
    <w:rsid w:val="00255CDE"/>
    <w:rsid w:val="00262847"/>
    <w:rsid w:val="00264ACF"/>
    <w:rsid w:val="002763C4"/>
    <w:rsid w:val="002802E6"/>
    <w:rsid w:val="00281BB2"/>
    <w:rsid w:val="00285344"/>
    <w:rsid w:val="002B08D9"/>
    <w:rsid w:val="002B1D8F"/>
    <w:rsid w:val="002B72E9"/>
    <w:rsid w:val="002C08F9"/>
    <w:rsid w:val="002C46D8"/>
    <w:rsid w:val="002C7998"/>
    <w:rsid w:val="002D5643"/>
    <w:rsid w:val="002E2BE2"/>
    <w:rsid w:val="002F1E53"/>
    <w:rsid w:val="002F263D"/>
    <w:rsid w:val="002F2CAA"/>
    <w:rsid w:val="002F3B82"/>
    <w:rsid w:val="002F7BDF"/>
    <w:rsid w:val="0030052C"/>
    <w:rsid w:val="003306E1"/>
    <w:rsid w:val="00331BC7"/>
    <w:rsid w:val="003320E4"/>
    <w:rsid w:val="0033525D"/>
    <w:rsid w:val="003414F3"/>
    <w:rsid w:val="00346674"/>
    <w:rsid w:val="003512CB"/>
    <w:rsid w:val="0035613E"/>
    <w:rsid w:val="00363EE9"/>
    <w:rsid w:val="0036427C"/>
    <w:rsid w:val="00366505"/>
    <w:rsid w:val="00367B65"/>
    <w:rsid w:val="00370F9D"/>
    <w:rsid w:val="00376128"/>
    <w:rsid w:val="0037742E"/>
    <w:rsid w:val="00377D56"/>
    <w:rsid w:val="0038245A"/>
    <w:rsid w:val="003840E6"/>
    <w:rsid w:val="00385613"/>
    <w:rsid w:val="00385CFC"/>
    <w:rsid w:val="003919B9"/>
    <w:rsid w:val="0039337A"/>
    <w:rsid w:val="003A3189"/>
    <w:rsid w:val="003A3CA7"/>
    <w:rsid w:val="003A78D5"/>
    <w:rsid w:val="003B33BD"/>
    <w:rsid w:val="003B569D"/>
    <w:rsid w:val="003B5BC6"/>
    <w:rsid w:val="003C061F"/>
    <w:rsid w:val="003C0C29"/>
    <w:rsid w:val="003C3C0E"/>
    <w:rsid w:val="003C3E26"/>
    <w:rsid w:val="003D10C9"/>
    <w:rsid w:val="003D4FAC"/>
    <w:rsid w:val="003E7906"/>
    <w:rsid w:val="003F3C50"/>
    <w:rsid w:val="003F55EA"/>
    <w:rsid w:val="003F5FBE"/>
    <w:rsid w:val="00400A34"/>
    <w:rsid w:val="00404AC6"/>
    <w:rsid w:val="00406A6A"/>
    <w:rsid w:val="00406B22"/>
    <w:rsid w:val="0041373A"/>
    <w:rsid w:val="00413BCE"/>
    <w:rsid w:val="004174B4"/>
    <w:rsid w:val="004328A7"/>
    <w:rsid w:val="00434C74"/>
    <w:rsid w:val="00436081"/>
    <w:rsid w:val="00456EB4"/>
    <w:rsid w:val="004718F3"/>
    <w:rsid w:val="004731B8"/>
    <w:rsid w:val="00475040"/>
    <w:rsid w:val="00477DF9"/>
    <w:rsid w:val="004827F1"/>
    <w:rsid w:val="004876C6"/>
    <w:rsid w:val="00493D40"/>
    <w:rsid w:val="004967B6"/>
    <w:rsid w:val="004A504B"/>
    <w:rsid w:val="004A6911"/>
    <w:rsid w:val="004B54E0"/>
    <w:rsid w:val="004B6162"/>
    <w:rsid w:val="004B7384"/>
    <w:rsid w:val="004C4269"/>
    <w:rsid w:val="004D17B0"/>
    <w:rsid w:val="004D6236"/>
    <w:rsid w:val="004D7F90"/>
    <w:rsid w:val="004E1521"/>
    <w:rsid w:val="004E4DBB"/>
    <w:rsid w:val="004E4E41"/>
    <w:rsid w:val="004E51B4"/>
    <w:rsid w:val="004E7F9C"/>
    <w:rsid w:val="004F18A7"/>
    <w:rsid w:val="004F3493"/>
    <w:rsid w:val="004F5143"/>
    <w:rsid w:val="005060B3"/>
    <w:rsid w:val="00512B09"/>
    <w:rsid w:val="00515B2F"/>
    <w:rsid w:val="00533796"/>
    <w:rsid w:val="00554337"/>
    <w:rsid w:val="00554AE9"/>
    <w:rsid w:val="00555D75"/>
    <w:rsid w:val="00560DF0"/>
    <w:rsid w:val="0056759C"/>
    <w:rsid w:val="0059513E"/>
    <w:rsid w:val="005A4390"/>
    <w:rsid w:val="005B34FE"/>
    <w:rsid w:val="005B3BDD"/>
    <w:rsid w:val="005B48FF"/>
    <w:rsid w:val="005B5F17"/>
    <w:rsid w:val="005E2CB2"/>
    <w:rsid w:val="005E6A7F"/>
    <w:rsid w:val="005F7C83"/>
    <w:rsid w:val="00600A59"/>
    <w:rsid w:val="00604C15"/>
    <w:rsid w:val="00614BE0"/>
    <w:rsid w:val="006158D5"/>
    <w:rsid w:val="00625D83"/>
    <w:rsid w:val="006315E1"/>
    <w:rsid w:val="00636C7D"/>
    <w:rsid w:val="006623E7"/>
    <w:rsid w:val="00662B80"/>
    <w:rsid w:val="00670F6C"/>
    <w:rsid w:val="00671DF9"/>
    <w:rsid w:val="00675795"/>
    <w:rsid w:val="0067598E"/>
    <w:rsid w:val="00675CFE"/>
    <w:rsid w:val="00684CF5"/>
    <w:rsid w:val="006852C7"/>
    <w:rsid w:val="006852CE"/>
    <w:rsid w:val="006969D2"/>
    <w:rsid w:val="006B2139"/>
    <w:rsid w:val="006C1727"/>
    <w:rsid w:val="006C32FD"/>
    <w:rsid w:val="006C36E9"/>
    <w:rsid w:val="006C39CE"/>
    <w:rsid w:val="006C7666"/>
    <w:rsid w:val="006D0FCC"/>
    <w:rsid w:val="006D1D2D"/>
    <w:rsid w:val="006D2274"/>
    <w:rsid w:val="006D4128"/>
    <w:rsid w:val="006D54FC"/>
    <w:rsid w:val="006E1FC3"/>
    <w:rsid w:val="006F3F31"/>
    <w:rsid w:val="0070259A"/>
    <w:rsid w:val="0070581A"/>
    <w:rsid w:val="0070616B"/>
    <w:rsid w:val="00706FDA"/>
    <w:rsid w:val="00711F9A"/>
    <w:rsid w:val="00713810"/>
    <w:rsid w:val="00715636"/>
    <w:rsid w:val="00724BB3"/>
    <w:rsid w:val="007303A5"/>
    <w:rsid w:val="00730B3E"/>
    <w:rsid w:val="0073420B"/>
    <w:rsid w:val="0073572D"/>
    <w:rsid w:val="0074760E"/>
    <w:rsid w:val="00754ABA"/>
    <w:rsid w:val="007578C7"/>
    <w:rsid w:val="0077341D"/>
    <w:rsid w:val="00783700"/>
    <w:rsid w:val="007A1546"/>
    <w:rsid w:val="007A228C"/>
    <w:rsid w:val="007A368E"/>
    <w:rsid w:val="007A5868"/>
    <w:rsid w:val="007B04CE"/>
    <w:rsid w:val="007B443C"/>
    <w:rsid w:val="007B6871"/>
    <w:rsid w:val="007B7A2F"/>
    <w:rsid w:val="007C227C"/>
    <w:rsid w:val="007C3D33"/>
    <w:rsid w:val="007C72D4"/>
    <w:rsid w:val="007D1824"/>
    <w:rsid w:val="007D294A"/>
    <w:rsid w:val="007D47D2"/>
    <w:rsid w:val="007D4B5E"/>
    <w:rsid w:val="007D6045"/>
    <w:rsid w:val="007D6EC0"/>
    <w:rsid w:val="007D7E1D"/>
    <w:rsid w:val="007E13C2"/>
    <w:rsid w:val="007E5795"/>
    <w:rsid w:val="0080235F"/>
    <w:rsid w:val="00823937"/>
    <w:rsid w:val="00824579"/>
    <w:rsid w:val="00824F5B"/>
    <w:rsid w:val="00831979"/>
    <w:rsid w:val="00851352"/>
    <w:rsid w:val="00863230"/>
    <w:rsid w:val="008703C3"/>
    <w:rsid w:val="008717D8"/>
    <w:rsid w:val="0087215C"/>
    <w:rsid w:val="008762F9"/>
    <w:rsid w:val="00880CC2"/>
    <w:rsid w:val="00880E35"/>
    <w:rsid w:val="008875FE"/>
    <w:rsid w:val="0088772F"/>
    <w:rsid w:val="00887F8E"/>
    <w:rsid w:val="00896234"/>
    <w:rsid w:val="00897E43"/>
    <w:rsid w:val="008B6366"/>
    <w:rsid w:val="008C5738"/>
    <w:rsid w:val="008C7EAD"/>
    <w:rsid w:val="008D0CFE"/>
    <w:rsid w:val="008D3375"/>
    <w:rsid w:val="008D54C2"/>
    <w:rsid w:val="008D6152"/>
    <w:rsid w:val="008F0F81"/>
    <w:rsid w:val="008F27BF"/>
    <w:rsid w:val="009142EC"/>
    <w:rsid w:val="009154C3"/>
    <w:rsid w:val="00923540"/>
    <w:rsid w:val="00926767"/>
    <w:rsid w:val="009361D5"/>
    <w:rsid w:val="009428A4"/>
    <w:rsid w:val="00944E23"/>
    <w:rsid w:val="009659F4"/>
    <w:rsid w:val="009709B0"/>
    <w:rsid w:val="00970D60"/>
    <w:rsid w:val="0099102D"/>
    <w:rsid w:val="00993177"/>
    <w:rsid w:val="009960E5"/>
    <w:rsid w:val="009A0621"/>
    <w:rsid w:val="009A7ADC"/>
    <w:rsid w:val="009B24E7"/>
    <w:rsid w:val="009C19B7"/>
    <w:rsid w:val="009C50CA"/>
    <w:rsid w:val="009D4B3D"/>
    <w:rsid w:val="009D7C51"/>
    <w:rsid w:val="009E196C"/>
    <w:rsid w:val="009E5895"/>
    <w:rsid w:val="009F36BF"/>
    <w:rsid w:val="009F6661"/>
    <w:rsid w:val="00A111B6"/>
    <w:rsid w:val="00A12030"/>
    <w:rsid w:val="00A227A5"/>
    <w:rsid w:val="00A2547B"/>
    <w:rsid w:val="00A26D27"/>
    <w:rsid w:val="00A376EE"/>
    <w:rsid w:val="00A42A99"/>
    <w:rsid w:val="00A5151A"/>
    <w:rsid w:val="00A56465"/>
    <w:rsid w:val="00A57E0A"/>
    <w:rsid w:val="00A823F6"/>
    <w:rsid w:val="00A91F40"/>
    <w:rsid w:val="00A93BBA"/>
    <w:rsid w:val="00AA0A89"/>
    <w:rsid w:val="00AA3DAB"/>
    <w:rsid w:val="00AA41B2"/>
    <w:rsid w:val="00AA6429"/>
    <w:rsid w:val="00AB13D5"/>
    <w:rsid w:val="00AC01AA"/>
    <w:rsid w:val="00AC436C"/>
    <w:rsid w:val="00AC47EF"/>
    <w:rsid w:val="00AC4F72"/>
    <w:rsid w:val="00AC66DF"/>
    <w:rsid w:val="00AD347E"/>
    <w:rsid w:val="00AE77AA"/>
    <w:rsid w:val="00AF741A"/>
    <w:rsid w:val="00AF74AC"/>
    <w:rsid w:val="00B0005B"/>
    <w:rsid w:val="00B00B83"/>
    <w:rsid w:val="00B01ADB"/>
    <w:rsid w:val="00B027E1"/>
    <w:rsid w:val="00B04161"/>
    <w:rsid w:val="00B0497B"/>
    <w:rsid w:val="00B056F9"/>
    <w:rsid w:val="00B11E3D"/>
    <w:rsid w:val="00B162A7"/>
    <w:rsid w:val="00B17E82"/>
    <w:rsid w:val="00B350F2"/>
    <w:rsid w:val="00B4575A"/>
    <w:rsid w:val="00B5701D"/>
    <w:rsid w:val="00B575BA"/>
    <w:rsid w:val="00B60460"/>
    <w:rsid w:val="00B76429"/>
    <w:rsid w:val="00B778FF"/>
    <w:rsid w:val="00B909F9"/>
    <w:rsid w:val="00B93BB9"/>
    <w:rsid w:val="00B956D4"/>
    <w:rsid w:val="00B97446"/>
    <w:rsid w:val="00BA7432"/>
    <w:rsid w:val="00BC1AA0"/>
    <w:rsid w:val="00BC2495"/>
    <w:rsid w:val="00BC7EB9"/>
    <w:rsid w:val="00BD2515"/>
    <w:rsid w:val="00BD2643"/>
    <w:rsid w:val="00BD427D"/>
    <w:rsid w:val="00BD56B1"/>
    <w:rsid w:val="00BD6558"/>
    <w:rsid w:val="00BF29CA"/>
    <w:rsid w:val="00BF3022"/>
    <w:rsid w:val="00BF3214"/>
    <w:rsid w:val="00BF38B4"/>
    <w:rsid w:val="00BF5573"/>
    <w:rsid w:val="00C01044"/>
    <w:rsid w:val="00C104A8"/>
    <w:rsid w:val="00C15867"/>
    <w:rsid w:val="00C223E4"/>
    <w:rsid w:val="00C2296D"/>
    <w:rsid w:val="00C23091"/>
    <w:rsid w:val="00C23155"/>
    <w:rsid w:val="00C40C41"/>
    <w:rsid w:val="00C45885"/>
    <w:rsid w:val="00C50F22"/>
    <w:rsid w:val="00C55303"/>
    <w:rsid w:val="00C57971"/>
    <w:rsid w:val="00C65BD7"/>
    <w:rsid w:val="00C706D0"/>
    <w:rsid w:val="00C73430"/>
    <w:rsid w:val="00C76BA4"/>
    <w:rsid w:val="00C83A48"/>
    <w:rsid w:val="00C85865"/>
    <w:rsid w:val="00C85E85"/>
    <w:rsid w:val="00CA10DD"/>
    <w:rsid w:val="00CA2EAE"/>
    <w:rsid w:val="00CA4AC1"/>
    <w:rsid w:val="00CB0316"/>
    <w:rsid w:val="00CB0B11"/>
    <w:rsid w:val="00CB45AC"/>
    <w:rsid w:val="00CB5354"/>
    <w:rsid w:val="00CB71CB"/>
    <w:rsid w:val="00CC299E"/>
    <w:rsid w:val="00CC6236"/>
    <w:rsid w:val="00CC6A14"/>
    <w:rsid w:val="00CC70A3"/>
    <w:rsid w:val="00CD4442"/>
    <w:rsid w:val="00CD5262"/>
    <w:rsid w:val="00CD53C3"/>
    <w:rsid w:val="00CD574E"/>
    <w:rsid w:val="00CE4C22"/>
    <w:rsid w:val="00CF41EC"/>
    <w:rsid w:val="00CF5D04"/>
    <w:rsid w:val="00D04B9B"/>
    <w:rsid w:val="00D04DE4"/>
    <w:rsid w:val="00D0546C"/>
    <w:rsid w:val="00D063F1"/>
    <w:rsid w:val="00D13CD0"/>
    <w:rsid w:val="00D140F0"/>
    <w:rsid w:val="00D14F22"/>
    <w:rsid w:val="00D20299"/>
    <w:rsid w:val="00D22563"/>
    <w:rsid w:val="00D40F9B"/>
    <w:rsid w:val="00D4741C"/>
    <w:rsid w:val="00D50D34"/>
    <w:rsid w:val="00D51B89"/>
    <w:rsid w:val="00D55623"/>
    <w:rsid w:val="00D57918"/>
    <w:rsid w:val="00D62899"/>
    <w:rsid w:val="00D66982"/>
    <w:rsid w:val="00D73DC6"/>
    <w:rsid w:val="00D74C1A"/>
    <w:rsid w:val="00D754C1"/>
    <w:rsid w:val="00D7568D"/>
    <w:rsid w:val="00D77393"/>
    <w:rsid w:val="00D77A35"/>
    <w:rsid w:val="00D81B3E"/>
    <w:rsid w:val="00D90529"/>
    <w:rsid w:val="00D90C70"/>
    <w:rsid w:val="00D90E49"/>
    <w:rsid w:val="00D91090"/>
    <w:rsid w:val="00D96ADE"/>
    <w:rsid w:val="00D9716E"/>
    <w:rsid w:val="00DA0CE2"/>
    <w:rsid w:val="00DA54FC"/>
    <w:rsid w:val="00DB7552"/>
    <w:rsid w:val="00DC6A10"/>
    <w:rsid w:val="00DC7671"/>
    <w:rsid w:val="00DD1887"/>
    <w:rsid w:val="00DE2E52"/>
    <w:rsid w:val="00DE657E"/>
    <w:rsid w:val="00DF2B5C"/>
    <w:rsid w:val="00DF4704"/>
    <w:rsid w:val="00E01C0F"/>
    <w:rsid w:val="00E024AA"/>
    <w:rsid w:val="00E12D99"/>
    <w:rsid w:val="00E250F1"/>
    <w:rsid w:val="00E27D1A"/>
    <w:rsid w:val="00E3550D"/>
    <w:rsid w:val="00E41335"/>
    <w:rsid w:val="00E4260A"/>
    <w:rsid w:val="00E614E0"/>
    <w:rsid w:val="00E65096"/>
    <w:rsid w:val="00E73F7F"/>
    <w:rsid w:val="00E8264C"/>
    <w:rsid w:val="00E85409"/>
    <w:rsid w:val="00E90CC7"/>
    <w:rsid w:val="00E92AED"/>
    <w:rsid w:val="00E93F1B"/>
    <w:rsid w:val="00EA2414"/>
    <w:rsid w:val="00EA429F"/>
    <w:rsid w:val="00EA4F9E"/>
    <w:rsid w:val="00EA63CA"/>
    <w:rsid w:val="00EA6D3B"/>
    <w:rsid w:val="00EB00AD"/>
    <w:rsid w:val="00EB01E4"/>
    <w:rsid w:val="00EB136C"/>
    <w:rsid w:val="00EB480E"/>
    <w:rsid w:val="00EB5EC6"/>
    <w:rsid w:val="00EB7FC9"/>
    <w:rsid w:val="00EC1FA9"/>
    <w:rsid w:val="00ED27E8"/>
    <w:rsid w:val="00ED5A72"/>
    <w:rsid w:val="00ED7137"/>
    <w:rsid w:val="00EE2EC2"/>
    <w:rsid w:val="00EE66BA"/>
    <w:rsid w:val="00F0533A"/>
    <w:rsid w:val="00F07A58"/>
    <w:rsid w:val="00F21088"/>
    <w:rsid w:val="00F21119"/>
    <w:rsid w:val="00F216DC"/>
    <w:rsid w:val="00F268BE"/>
    <w:rsid w:val="00F26E2B"/>
    <w:rsid w:val="00F2730A"/>
    <w:rsid w:val="00F327E7"/>
    <w:rsid w:val="00F35746"/>
    <w:rsid w:val="00F447C7"/>
    <w:rsid w:val="00F5211B"/>
    <w:rsid w:val="00F554A9"/>
    <w:rsid w:val="00F6014B"/>
    <w:rsid w:val="00F716FD"/>
    <w:rsid w:val="00F80355"/>
    <w:rsid w:val="00F81D8B"/>
    <w:rsid w:val="00F87C43"/>
    <w:rsid w:val="00F935CB"/>
    <w:rsid w:val="00FA0CDB"/>
    <w:rsid w:val="00FB0C11"/>
    <w:rsid w:val="00FB0C81"/>
    <w:rsid w:val="00FC2200"/>
    <w:rsid w:val="00FC2540"/>
    <w:rsid w:val="00FD4D02"/>
    <w:rsid w:val="00FF0204"/>
    <w:rsid w:val="00FF3846"/>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6242A"/>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aliases w:val="Char1,Char1 Char Char, Char1, Char1 Char Char,Fußnotentextf"/>
    <w:basedOn w:val="Normal"/>
    <w:link w:val="FootnoteTextChar"/>
    <w:uiPriority w:val="99"/>
    <w:unhideWhenUsed/>
    <w:qFormat/>
    <w:rsid w:val="00255CDE"/>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55CDE"/>
    <w:rPr>
      <w:lang w:val="fr-FR"/>
    </w:rPr>
  </w:style>
  <w:style w:type="character" w:styleId="FootnoteReference">
    <w:name w:val="footnote reference"/>
    <w:aliases w:val="Footnote text"/>
    <w:basedOn w:val="DefaultParagraphFont"/>
    <w:uiPriority w:val="99"/>
    <w:unhideWhenUsed/>
    <w:rsid w:val="00255CD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4D02"/>
    <w:rPr>
      <w:sz w:val="22"/>
      <w:szCs w:val="22"/>
      <w:lang w:val="fr-FR"/>
    </w:rPr>
  </w:style>
  <w:style w:type="paragraph" w:styleId="EndnoteText">
    <w:name w:val="endnote text"/>
    <w:basedOn w:val="Normal"/>
    <w:link w:val="EndnoteTextChar"/>
    <w:uiPriority w:val="99"/>
    <w:semiHidden/>
    <w:unhideWhenUsed/>
    <w:rsid w:val="002802E6"/>
    <w:rPr>
      <w:sz w:val="20"/>
      <w:szCs w:val="20"/>
    </w:rPr>
  </w:style>
  <w:style w:type="character" w:customStyle="1" w:styleId="EndnoteTextChar">
    <w:name w:val="Endnote Text Char"/>
    <w:basedOn w:val="DefaultParagraphFont"/>
    <w:link w:val="EndnoteText"/>
    <w:uiPriority w:val="99"/>
    <w:semiHidden/>
    <w:rsid w:val="002802E6"/>
    <w:rPr>
      <w:lang w:val="fr-FR"/>
    </w:rPr>
  </w:style>
  <w:style w:type="character" w:styleId="EndnoteReference">
    <w:name w:val="endnote reference"/>
    <w:basedOn w:val="DefaultParagraphFont"/>
    <w:uiPriority w:val="99"/>
    <w:semiHidden/>
    <w:unhideWhenUsed/>
    <w:rsid w:val="002802E6"/>
    <w:rPr>
      <w:vertAlign w:val="superscript"/>
    </w:rPr>
  </w:style>
  <w:style w:type="paragraph" w:styleId="ListBullet">
    <w:name w:val="List Bullet"/>
    <w:basedOn w:val="Normal"/>
    <w:autoRedefine/>
    <w:semiHidden/>
    <w:rsid w:val="00C23091"/>
    <w:pPr>
      <w:tabs>
        <w:tab w:val="num" w:pos="360"/>
      </w:tabs>
      <w:ind w:left="360" w:hanging="360"/>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rsid w:val="0020549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719772">
      <w:bodyDiv w:val="1"/>
      <w:marLeft w:val="0"/>
      <w:marRight w:val="0"/>
      <w:marTop w:val="0"/>
      <w:marBottom w:val="0"/>
      <w:divBdr>
        <w:top w:val="none" w:sz="0" w:space="0" w:color="auto"/>
        <w:left w:val="none" w:sz="0" w:space="0" w:color="auto"/>
        <w:bottom w:val="none" w:sz="0" w:space="0" w:color="auto"/>
        <w:right w:val="none" w:sz="0" w:space="0" w:color="auto"/>
      </w:divBdr>
    </w:div>
    <w:div w:id="16104327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UNEP/OzL.Pro/ExCom/84/62</Document_x0020_Number>
  </documentManagement>
</p:properties>
</file>

<file path=customXml/itemProps1.xml><?xml version="1.0" encoding="utf-8"?>
<ds:datastoreItem xmlns:ds="http://schemas.openxmlformats.org/officeDocument/2006/customXml" ds:itemID="{69EA77EA-E978-4661-A6F1-AED1086FFF9B}"/>
</file>

<file path=customXml/itemProps2.xml><?xml version="1.0" encoding="utf-8"?>
<ds:datastoreItem xmlns:ds="http://schemas.openxmlformats.org/officeDocument/2006/customXml" ds:itemID="{9E13551B-4D33-44D7-8BED-73746F10C870}"/>
</file>

<file path=customXml/itemProps3.xml><?xml version="1.0" encoding="utf-8"?>
<ds:datastoreItem xmlns:ds="http://schemas.openxmlformats.org/officeDocument/2006/customXml" ds:itemID="{92F50E4E-2810-4C6E-A7D7-8BEDB393A72D}"/>
</file>

<file path=customXml/itemProps4.xml><?xml version="1.0" encoding="utf-8"?>
<ds:datastoreItem xmlns:ds="http://schemas.openxmlformats.org/officeDocument/2006/customXml" ds:itemID="{26F8BEA8-E68F-4C66-B447-7FFE5A195126}"/>
</file>

<file path=docProps/app.xml><?xml version="1.0" encoding="utf-8"?>
<Properties xmlns="http://schemas.openxmlformats.org/officeDocument/2006/extended-properties" xmlns:vt="http://schemas.openxmlformats.org/officeDocument/2006/docPropsVTypes">
  <Template>Eec84G</Template>
  <TotalTime>19</TotalTime>
  <Pages>10</Pages>
  <Words>4030</Words>
  <Characters>20615</Characters>
  <Application>Microsoft Office Word</Application>
  <DocSecurity>0</DocSecurity>
  <Lines>171</Lines>
  <Paragraphs>49</Paragraphs>
  <ScaleCrop>false</ScaleCrop>
  <HeadingPairs>
    <vt:vector size="2" baseType="variant">
      <vt:variant>
        <vt:lpstr>Title</vt:lpstr>
      </vt:variant>
      <vt:variant>
        <vt:i4>1</vt:i4>
      </vt:variant>
    </vt:vector>
  </HeadingPairs>
  <TitlesOfParts>
    <vt:vector size="1" baseType="lpstr">
      <vt:lpstr>Proposition de projet: Viet Nam</vt:lpstr>
    </vt:vector>
  </TitlesOfParts>
  <Company>UNMFS</Company>
  <LinksUpToDate>false</LinksUpToDate>
  <CharactersWithSpaces>24596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Viet Nam</dc:title>
  <dc:subject>84th</dc:subject>
  <dc:creator>Nanette Guerin</dc:creator>
  <dc:description>FSM</dc:description>
  <cp:lastModifiedBy>HBE</cp:lastModifiedBy>
  <cp:revision>6</cp:revision>
  <cp:lastPrinted>2001-05-26T16:40:00Z</cp:lastPrinted>
  <dcterms:created xsi:type="dcterms:W3CDTF">2019-11-28T08:19:00Z</dcterms:created>
  <dcterms:modified xsi:type="dcterms:W3CDTF">2019-12-07T19:57:00Z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UNEP/OzL.Pro/ExCom/84/62</vt:lpwstr>
  </property>
  <property fmtid="{D5CDD505-2E9C-101B-9397-08002B2CF9AE}" pid="3" name="Revision date">
    <vt:lpwstr>11/22/2019</vt:lpwstr>
  </property>
  <property fmtid="{D5CDD505-2E9C-101B-9397-08002B2CF9AE}" pid="4" name="ContentTypeId">
    <vt:lpwstr>0x010100109683CADC4F284EA5F0B82357B5BF3A</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