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6805645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0E9DA6A6" w:rsidR="00C15867" w:rsidRPr="009B0D30" w:rsidRDefault="007548C4" w:rsidP="009C59F7">
            <w:r>
              <w:fldChar w:fldCharType="begin"/>
            </w:r>
            <w:r>
              <w:instrText xml:space="preserve"> DOCPROPERTY "Document number"  \* MERGEFORMAT </w:instrText>
            </w:r>
            <w:r>
              <w:fldChar w:fldCharType="separate"/>
            </w:r>
            <w:r w:rsidR="00661140">
              <w:t>UNEP/</w:t>
            </w:r>
            <w:proofErr w:type="spellStart"/>
            <w:r w:rsidR="00661140">
              <w:t>OzL.Pro</w:t>
            </w:r>
            <w:proofErr w:type="spellEnd"/>
            <w:r w:rsidR="00661140">
              <w:t>/ExCom/97/18</w:t>
            </w:r>
            <w:r>
              <w:fldChar w:fldCharType="end"/>
            </w:r>
          </w:p>
          <w:p w14:paraId="3E065622" w14:textId="6DCAA36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61140">
              <w:t>19 November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0111031F"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58DD64F8" w14:textId="0C975DF5"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5A0B6E41" w14:textId="3E4904FD" w:rsidR="0079781A" w:rsidRDefault="0079781A" w:rsidP="0079781A">
      <w:pPr>
        <w:jc w:val="left"/>
      </w:pPr>
      <w:r>
        <w:t xml:space="preserve">Item </w:t>
      </w:r>
      <w:r w:rsidR="00294D79">
        <w:t>7(b)(ii)</w:t>
      </w:r>
      <w:r>
        <w:t xml:space="preserve"> </w:t>
      </w:r>
      <w:r w:rsidRPr="00512BEF">
        <w:t>of the provisional agenda</w:t>
      </w:r>
      <w:r w:rsidRPr="00512BEF">
        <w:rPr>
          <w:rStyle w:val="FootnoteReference"/>
        </w:rPr>
        <w:footnoteReference w:id="1"/>
      </w:r>
    </w:p>
    <w:p w14:paraId="242EA379" w14:textId="40775D2E" w:rsidR="00C15867" w:rsidRPr="009B0D30" w:rsidRDefault="00C15867" w:rsidP="00CA59FB">
      <w:pPr>
        <w:jc w:val="left"/>
      </w:pPr>
    </w:p>
    <w:p w14:paraId="6B9FF9A5" w14:textId="77777777" w:rsidR="004E7F9C" w:rsidRPr="005C670D" w:rsidRDefault="004E7F9C" w:rsidP="005C670D">
      <w:pPr>
        <w:pStyle w:val="Title1"/>
        <w:jc w:val="right"/>
        <w:rPr>
          <w:b w:val="0"/>
          <w:lang w:val="en-CA"/>
        </w:rPr>
      </w:pPr>
    </w:p>
    <w:p w14:paraId="2E796EC9" w14:textId="77777777" w:rsidR="00697003" w:rsidRPr="00B730FA" w:rsidRDefault="00697003" w:rsidP="00697003">
      <w:pPr>
        <w:pStyle w:val="paragraph"/>
        <w:spacing w:before="0" w:beforeAutospacing="0" w:after="0" w:afterAutospacing="0"/>
        <w:jc w:val="center"/>
        <w:textAlignment w:val="baseline"/>
        <w:rPr>
          <w:sz w:val="22"/>
          <w:szCs w:val="22"/>
        </w:rPr>
      </w:pPr>
      <w:r w:rsidRPr="00B730FA">
        <w:rPr>
          <w:rStyle w:val="normaltextrun"/>
          <w:b/>
          <w:bCs/>
          <w:sz w:val="22"/>
          <w:szCs w:val="22"/>
        </w:rPr>
        <w:t>REPORT</w:t>
      </w:r>
      <w:r>
        <w:rPr>
          <w:rStyle w:val="normaltextrun"/>
          <w:b/>
          <w:bCs/>
          <w:sz w:val="22"/>
          <w:szCs w:val="22"/>
        </w:rPr>
        <w:t>S</w:t>
      </w:r>
      <w:r w:rsidRPr="00B730FA">
        <w:rPr>
          <w:rStyle w:val="normaltextrun"/>
          <w:b/>
          <w:bCs/>
          <w:sz w:val="22"/>
          <w:szCs w:val="22"/>
        </w:rPr>
        <w:t xml:space="preserve"> ON PROJECTS WITH SPECIFIC REPORTING REQUIREMENTS</w:t>
      </w:r>
      <w:r w:rsidRPr="00B730FA">
        <w:rPr>
          <w:rStyle w:val="eop"/>
          <w:sz w:val="22"/>
          <w:szCs w:val="22"/>
        </w:rPr>
        <w:t> </w:t>
      </w:r>
    </w:p>
    <w:p w14:paraId="039BEB0B" w14:textId="77777777" w:rsidR="00697003" w:rsidRPr="00B730FA" w:rsidRDefault="00697003" w:rsidP="00697003">
      <w:pPr>
        <w:pStyle w:val="paragraph"/>
        <w:spacing w:before="0" w:beforeAutospacing="0" w:after="0" w:afterAutospacing="0"/>
        <w:jc w:val="center"/>
        <w:textAlignment w:val="baseline"/>
        <w:rPr>
          <w:sz w:val="22"/>
          <w:szCs w:val="22"/>
        </w:rPr>
      </w:pPr>
      <w:r w:rsidRPr="00B730FA">
        <w:rPr>
          <w:rStyle w:val="normaltextrun"/>
          <w:b/>
          <w:bCs/>
          <w:sz w:val="22"/>
          <w:szCs w:val="22"/>
        </w:rPr>
        <w:t>WITH OUTSTANDING ISSUES FOR INDIVIDUAL CONSIDERATION</w:t>
      </w:r>
      <w:r w:rsidRPr="00B730FA">
        <w:rPr>
          <w:rStyle w:val="eop"/>
          <w:sz w:val="22"/>
          <w:szCs w:val="22"/>
        </w:rPr>
        <w:t> </w:t>
      </w:r>
    </w:p>
    <w:p w14:paraId="0F94A631" w14:textId="77777777" w:rsidR="00697003" w:rsidRDefault="00697003" w:rsidP="00697003">
      <w:pPr>
        <w:pStyle w:val="paragraph"/>
        <w:spacing w:before="0" w:beforeAutospacing="0" w:after="0" w:afterAutospacing="0"/>
        <w:jc w:val="both"/>
        <w:textAlignment w:val="baseline"/>
        <w:rPr>
          <w:rStyle w:val="eop"/>
          <w:sz w:val="22"/>
          <w:szCs w:val="22"/>
        </w:rPr>
      </w:pPr>
      <w:r w:rsidRPr="00B730FA">
        <w:rPr>
          <w:rStyle w:val="eop"/>
          <w:sz w:val="22"/>
          <w:szCs w:val="22"/>
        </w:rPr>
        <w:t> </w:t>
      </w:r>
    </w:p>
    <w:p w14:paraId="5AFAD60B" w14:textId="77777777" w:rsidR="0095321B" w:rsidRPr="00B730FA" w:rsidRDefault="0095321B" w:rsidP="00697003">
      <w:pPr>
        <w:pStyle w:val="paragraph"/>
        <w:spacing w:before="0" w:beforeAutospacing="0" w:after="0" w:afterAutospacing="0"/>
        <w:jc w:val="both"/>
        <w:textAlignment w:val="baseline"/>
        <w:rPr>
          <w:sz w:val="22"/>
          <w:szCs w:val="22"/>
        </w:rPr>
      </w:pPr>
    </w:p>
    <w:p w14:paraId="54B86B2F" w14:textId="77777777" w:rsidR="00697003" w:rsidRPr="008B0D38" w:rsidRDefault="00697003" w:rsidP="00697003">
      <w:pPr>
        <w:ind w:left="720" w:hanging="720"/>
        <w:rPr>
          <w:b/>
          <w:sz w:val="24"/>
          <w:szCs w:val="24"/>
        </w:rPr>
      </w:pPr>
      <w:r w:rsidRPr="008B0D38">
        <w:rPr>
          <w:b/>
          <w:sz w:val="24"/>
          <w:szCs w:val="24"/>
        </w:rPr>
        <w:t>An overview</w:t>
      </w:r>
    </w:p>
    <w:p w14:paraId="41F4CB8E" w14:textId="77777777" w:rsidR="00697003" w:rsidRPr="006E74C0" w:rsidRDefault="00697003" w:rsidP="00697003">
      <w:pPr>
        <w:ind w:left="720" w:hanging="720"/>
      </w:pPr>
    </w:p>
    <w:p w14:paraId="60692548" w14:textId="4E457DC0" w:rsidR="00DB21C1" w:rsidRPr="00DB21C1" w:rsidRDefault="00DB21C1" w:rsidP="00DB21C1">
      <w:pPr>
        <w:numPr>
          <w:ilvl w:val="0"/>
          <w:numId w:val="24"/>
        </w:numPr>
        <w:spacing w:after="240"/>
        <w:outlineLvl w:val="0"/>
      </w:pPr>
      <w:r w:rsidRPr="00DB21C1">
        <w:t>Table 1 lists t</w:t>
      </w:r>
      <w:r w:rsidR="0020123C">
        <w:t>wo</w:t>
      </w:r>
      <w:r w:rsidRPr="00DB21C1">
        <w:t xml:space="preserve"> reports with specific reporting requirements submitted to the 9</w:t>
      </w:r>
      <w:r>
        <w:t>7</w:t>
      </w:r>
      <w:r w:rsidRPr="00DB21C1">
        <w:rPr>
          <w:vertAlign w:val="superscript"/>
        </w:rPr>
        <w:t>th</w:t>
      </w:r>
      <w:r w:rsidRPr="00DB21C1">
        <w:t> meeting which, after the Secretariat’s review, present outstanding issues and require the Executive Committee to consider them individually.</w:t>
      </w:r>
    </w:p>
    <w:p w14:paraId="3CC82DDF" w14:textId="77777777" w:rsidR="00DB21C1" w:rsidRPr="00C90672" w:rsidRDefault="00DB21C1" w:rsidP="00DB21C1">
      <w:pPr>
        <w:rPr>
          <w:b/>
        </w:rPr>
      </w:pPr>
      <w:r w:rsidRPr="00C90672">
        <w:rPr>
          <w:b/>
        </w:rPr>
        <w:t>Table 1. Reports on projects with specific reporting requirements with outstanding issues</w:t>
      </w:r>
    </w:p>
    <w:tbl>
      <w:tblPr>
        <w:tblStyle w:val="TableGrid"/>
        <w:tblW w:w="0" w:type="auto"/>
        <w:tblLook w:val="04A0" w:firstRow="1" w:lastRow="0" w:firstColumn="1" w:lastColumn="0" w:noHBand="0" w:noVBand="1"/>
      </w:tblPr>
      <w:tblGrid>
        <w:gridCol w:w="1413"/>
        <w:gridCol w:w="3969"/>
        <w:gridCol w:w="2551"/>
        <w:gridCol w:w="1417"/>
      </w:tblGrid>
      <w:tr w:rsidR="00DB21C1" w:rsidRPr="00DB21C1" w14:paraId="7AF36E04" w14:textId="77777777" w:rsidTr="00C90672">
        <w:trPr>
          <w:tblHeader/>
        </w:trPr>
        <w:tc>
          <w:tcPr>
            <w:tcW w:w="1413" w:type="dxa"/>
            <w:tcBorders>
              <w:top w:val="single" w:sz="4" w:space="0" w:color="auto"/>
              <w:left w:val="single" w:sz="4" w:space="0" w:color="auto"/>
              <w:bottom w:val="single" w:sz="4" w:space="0" w:color="auto"/>
              <w:right w:val="single" w:sz="4" w:space="0" w:color="auto"/>
            </w:tcBorders>
            <w:hideMark/>
          </w:tcPr>
          <w:p w14:paraId="6694A15F" w14:textId="77777777" w:rsidR="00DB21C1" w:rsidRPr="00DB21C1" w:rsidRDefault="00DB21C1" w:rsidP="00DB21C1">
            <w:pPr>
              <w:jc w:val="center"/>
              <w:rPr>
                <w:b/>
                <w:sz w:val="20"/>
                <w:szCs w:val="20"/>
              </w:rPr>
            </w:pPr>
            <w:r w:rsidRPr="00DB21C1">
              <w:rPr>
                <w:b/>
                <w:sz w:val="20"/>
                <w:szCs w:val="20"/>
              </w:rPr>
              <w:t>Country</w:t>
            </w:r>
          </w:p>
        </w:tc>
        <w:tc>
          <w:tcPr>
            <w:tcW w:w="3969" w:type="dxa"/>
            <w:tcBorders>
              <w:top w:val="single" w:sz="4" w:space="0" w:color="auto"/>
              <w:left w:val="single" w:sz="4" w:space="0" w:color="auto"/>
              <w:bottom w:val="single" w:sz="4" w:space="0" w:color="auto"/>
              <w:right w:val="single" w:sz="4" w:space="0" w:color="auto"/>
            </w:tcBorders>
            <w:hideMark/>
          </w:tcPr>
          <w:p w14:paraId="6EFF9FC9" w14:textId="77777777" w:rsidR="00DB21C1" w:rsidRPr="00DB21C1" w:rsidRDefault="00DB21C1" w:rsidP="00DB21C1">
            <w:pPr>
              <w:jc w:val="center"/>
              <w:rPr>
                <w:b/>
                <w:sz w:val="20"/>
                <w:szCs w:val="20"/>
              </w:rPr>
            </w:pPr>
            <w:r w:rsidRPr="00DB21C1">
              <w:rPr>
                <w:b/>
                <w:sz w:val="20"/>
                <w:szCs w:val="20"/>
              </w:rPr>
              <w:t>Project title</w:t>
            </w:r>
          </w:p>
        </w:tc>
        <w:tc>
          <w:tcPr>
            <w:tcW w:w="2551" w:type="dxa"/>
            <w:tcBorders>
              <w:top w:val="single" w:sz="4" w:space="0" w:color="auto"/>
              <w:left w:val="single" w:sz="4" w:space="0" w:color="auto"/>
              <w:bottom w:val="single" w:sz="4" w:space="0" w:color="auto"/>
              <w:right w:val="single" w:sz="4" w:space="0" w:color="auto"/>
            </w:tcBorders>
            <w:hideMark/>
          </w:tcPr>
          <w:p w14:paraId="5FA1DFE6" w14:textId="77777777" w:rsidR="00DB21C1" w:rsidRPr="00DB21C1" w:rsidRDefault="00DB21C1" w:rsidP="00DB21C1">
            <w:pPr>
              <w:jc w:val="center"/>
              <w:rPr>
                <w:b/>
                <w:sz w:val="20"/>
                <w:szCs w:val="20"/>
              </w:rPr>
            </w:pPr>
            <w:r w:rsidRPr="00DB21C1">
              <w:rPr>
                <w:b/>
                <w:sz w:val="20"/>
                <w:szCs w:val="20"/>
              </w:rPr>
              <w:t>Issue</w:t>
            </w:r>
          </w:p>
        </w:tc>
        <w:tc>
          <w:tcPr>
            <w:tcW w:w="1417" w:type="dxa"/>
            <w:tcBorders>
              <w:top w:val="single" w:sz="4" w:space="0" w:color="auto"/>
              <w:left w:val="single" w:sz="4" w:space="0" w:color="auto"/>
              <w:bottom w:val="single" w:sz="4" w:space="0" w:color="auto"/>
              <w:right w:val="single" w:sz="4" w:space="0" w:color="auto"/>
            </w:tcBorders>
            <w:hideMark/>
          </w:tcPr>
          <w:p w14:paraId="60175A63" w14:textId="77777777" w:rsidR="00DB21C1" w:rsidRPr="00DB21C1" w:rsidRDefault="00DB21C1" w:rsidP="00DB21C1">
            <w:pPr>
              <w:jc w:val="center"/>
              <w:rPr>
                <w:b/>
                <w:sz w:val="20"/>
                <w:szCs w:val="20"/>
              </w:rPr>
            </w:pPr>
            <w:r w:rsidRPr="00DB21C1">
              <w:rPr>
                <w:b/>
                <w:sz w:val="20"/>
                <w:szCs w:val="20"/>
              </w:rPr>
              <w:t>Paragraphs</w:t>
            </w:r>
          </w:p>
        </w:tc>
      </w:tr>
      <w:tr w:rsidR="00DB21C1" w:rsidRPr="00DB21C1" w14:paraId="43A8D9DE" w14:textId="77777777" w:rsidTr="00C1059F">
        <w:tc>
          <w:tcPr>
            <w:tcW w:w="9350" w:type="dxa"/>
            <w:gridSpan w:val="4"/>
            <w:tcBorders>
              <w:top w:val="single" w:sz="4" w:space="0" w:color="auto"/>
              <w:left w:val="single" w:sz="4" w:space="0" w:color="auto"/>
              <w:bottom w:val="single" w:sz="4" w:space="0" w:color="auto"/>
              <w:right w:val="single" w:sz="4" w:space="0" w:color="auto"/>
            </w:tcBorders>
            <w:hideMark/>
          </w:tcPr>
          <w:p w14:paraId="67D0786D" w14:textId="3F2BB94A" w:rsidR="00DB21C1" w:rsidRPr="00DB21C1" w:rsidRDefault="00DB21C1" w:rsidP="00DE0733">
            <w:pPr>
              <w:contextualSpacing/>
              <w:rPr>
                <w:sz w:val="20"/>
                <w:szCs w:val="20"/>
              </w:rPr>
            </w:pPr>
            <w:bookmarkStart w:id="0" w:name="_Hlk214463089"/>
            <w:r w:rsidRPr="00DB21C1">
              <w:rPr>
                <w:b/>
                <w:sz w:val="20"/>
                <w:szCs w:val="20"/>
              </w:rPr>
              <w:t>Report</w:t>
            </w:r>
            <w:r w:rsidR="00D316F6">
              <w:rPr>
                <w:b/>
                <w:sz w:val="20"/>
                <w:szCs w:val="20"/>
              </w:rPr>
              <w:t>s</w:t>
            </w:r>
            <w:r w:rsidRPr="00DB21C1">
              <w:rPr>
                <w:b/>
                <w:sz w:val="20"/>
                <w:szCs w:val="20"/>
              </w:rPr>
              <w:t xml:space="preserve"> related to </w:t>
            </w:r>
            <w:r w:rsidR="00F40678">
              <w:rPr>
                <w:b/>
                <w:sz w:val="20"/>
                <w:szCs w:val="20"/>
              </w:rPr>
              <w:t>HCFC phase-out management plan</w:t>
            </w:r>
            <w:r w:rsidR="00D316F6">
              <w:rPr>
                <w:b/>
                <w:sz w:val="20"/>
                <w:szCs w:val="20"/>
              </w:rPr>
              <w:t>s</w:t>
            </w:r>
          </w:p>
        </w:tc>
      </w:tr>
      <w:bookmarkEnd w:id="0"/>
      <w:tr w:rsidR="00DB21C1" w:rsidRPr="00DB21C1" w14:paraId="0C7A282F" w14:textId="77777777" w:rsidTr="00C90672">
        <w:tc>
          <w:tcPr>
            <w:tcW w:w="1413" w:type="dxa"/>
            <w:tcBorders>
              <w:top w:val="single" w:sz="4" w:space="0" w:color="auto"/>
              <w:left w:val="single" w:sz="4" w:space="0" w:color="auto"/>
              <w:bottom w:val="single" w:sz="4" w:space="0" w:color="auto"/>
              <w:right w:val="single" w:sz="4" w:space="0" w:color="auto"/>
            </w:tcBorders>
          </w:tcPr>
          <w:p w14:paraId="3FBB058C" w14:textId="067EE883" w:rsidR="00DB21C1" w:rsidRPr="00DB21C1" w:rsidRDefault="00C40A37" w:rsidP="00C40A37">
            <w:pPr>
              <w:spacing w:after="240"/>
              <w:jc w:val="left"/>
              <w:rPr>
                <w:sz w:val="20"/>
                <w:szCs w:val="20"/>
              </w:rPr>
            </w:pPr>
            <w:r w:rsidRPr="00C40A37">
              <w:rPr>
                <w:sz w:val="20"/>
                <w:szCs w:val="20"/>
              </w:rPr>
              <w:t>Islamic Republic of Iran</w:t>
            </w:r>
          </w:p>
        </w:tc>
        <w:tc>
          <w:tcPr>
            <w:tcW w:w="3969" w:type="dxa"/>
            <w:tcBorders>
              <w:top w:val="single" w:sz="4" w:space="0" w:color="auto"/>
              <w:left w:val="single" w:sz="4" w:space="0" w:color="auto"/>
              <w:bottom w:val="single" w:sz="4" w:space="0" w:color="auto"/>
              <w:right w:val="single" w:sz="4" w:space="0" w:color="auto"/>
            </w:tcBorders>
          </w:tcPr>
          <w:p w14:paraId="50EDB2AB" w14:textId="631C45B1" w:rsidR="00DB21C1" w:rsidRPr="00DB21C1" w:rsidRDefault="00553DDE" w:rsidP="007117F0">
            <w:pPr>
              <w:widowControl w:val="0"/>
              <w:spacing w:after="240"/>
              <w:jc w:val="left"/>
              <w:outlineLvl w:val="1"/>
              <w:rPr>
                <w:sz w:val="20"/>
                <w:szCs w:val="20"/>
                <w:lang w:val="en-GB"/>
              </w:rPr>
            </w:pPr>
            <w:r w:rsidRPr="00553DDE">
              <w:rPr>
                <w:sz w:val="20"/>
                <w:szCs w:val="20"/>
              </w:rPr>
              <w:t>HCFC phase-out management plan (stage II – progress report on the implementation of the work programme associated with the fifth and final tranche)</w:t>
            </w:r>
          </w:p>
        </w:tc>
        <w:tc>
          <w:tcPr>
            <w:tcW w:w="2551" w:type="dxa"/>
            <w:tcBorders>
              <w:top w:val="single" w:sz="4" w:space="0" w:color="auto"/>
              <w:left w:val="single" w:sz="4" w:space="0" w:color="auto"/>
              <w:bottom w:val="single" w:sz="4" w:space="0" w:color="auto"/>
              <w:right w:val="single" w:sz="4" w:space="0" w:color="auto"/>
            </w:tcBorders>
          </w:tcPr>
          <w:p w14:paraId="49EC25E8" w14:textId="0C5C8EA2" w:rsidR="00DB21C1" w:rsidRPr="00DB21C1" w:rsidRDefault="00195F4B" w:rsidP="007117F0">
            <w:pPr>
              <w:spacing w:after="240"/>
              <w:jc w:val="left"/>
              <w:rPr>
                <w:sz w:val="20"/>
                <w:szCs w:val="20"/>
                <w:highlight w:val="yellow"/>
              </w:rPr>
            </w:pPr>
            <w:r w:rsidRPr="00195F4B">
              <w:rPr>
                <w:sz w:val="20"/>
                <w:szCs w:val="20"/>
              </w:rPr>
              <w:t>Request for extension of stage</w:t>
            </w:r>
            <w:r w:rsidR="00C90672">
              <w:rPr>
                <w:sz w:val="20"/>
                <w:szCs w:val="20"/>
              </w:rPr>
              <w:t> </w:t>
            </w:r>
            <w:r w:rsidRPr="00195F4B">
              <w:rPr>
                <w:sz w:val="20"/>
                <w:szCs w:val="20"/>
              </w:rPr>
              <w:t>II to 31</w:t>
            </w:r>
            <w:r w:rsidR="00C90672">
              <w:rPr>
                <w:sz w:val="20"/>
                <w:szCs w:val="20"/>
              </w:rPr>
              <w:t> </w:t>
            </w:r>
            <w:r w:rsidRPr="00195F4B">
              <w:rPr>
                <w:sz w:val="20"/>
                <w:szCs w:val="20"/>
              </w:rPr>
              <w:t>December</w:t>
            </w:r>
            <w:r w:rsidR="00C90672">
              <w:rPr>
                <w:sz w:val="20"/>
                <w:szCs w:val="20"/>
              </w:rPr>
              <w:t> </w:t>
            </w:r>
            <w:r w:rsidRPr="00195F4B">
              <w:rPr>
                <w:sz w:val="20"/>
                <w:szCs w:val="20"/>
              </w:rPr>
              <w:t>2026</w:t>
            </w:r>
          </w:p>
        </w:tc>
        <w:tc>
          <w:tcPr>
            <w:tcW w:w="1417" w:type="dxa"/>
            <w:tcBorders>
              <w:top w:val="single" w:sz="4" w:space="0" w:color="auto"/>
              <w:left w:val="single" w:sz="4" w:space="0" w:color="auto"/>
              <w:bottom w:val="single" w:sz="4" w:space="0" w:color="auto"/>
              <w:right w:val="single" w:sz="4" w:space="0" w:color="auto"/>
            </w:tcBorders>
          </w:tcPr>
          <w:p w14:paraId="037722AE" w14:textId="5BD55DDF" w:rsidR="00DB21C1" w:rsidRPr="00DB21C1" w:rsidRDefault="00C42624" w:rsidP="007117F0">
            <w:pPr>
              <w:spacing w:after="240"/>
              <w:jc w:val="center"/>
              <w:rPr>
                <w:sz w:val="20"/>
                <w:szCs w:val="20"/>
              </w:rPr>
            </w:pPr>
            <w:r>
              <w:rPr>
                <w:sz w:val="20"/>
                <w:szCs w:val="20"/>
              </w:rPr>
              <w:t>2</w:t>
            </w:r>
            <w:r w:rsidR="00D024AF">
              <w:rPr>
                <w:sz w:val="20"/>
                <w:szCs w:val="20"/>
              </w:rPr>
              <w:t>-</w:t>
            </w:r>
            <w:r w:rsidR="00AE3780">
              <w:rPr>
                <w:sz w:val="20"/>
                <w:szCs w:val="20"/>
              </w:rPr>
              <w:t>21</w:t>
            </w:r>
          </w:p>
        </w:tc>
      </w:tr>
      <w:tr w:rsidR="00195F4B" w:rsidRPr="00DB21C1" w14:paraId="3C6511DB" w14:textId="77777777" w:rsidTr="00C90672">
        <w:tc>
          <w:tcPr>
            <w:tcW w:w="1413" w:type="dxa"/>
            <w:tcBorders>
              <w:top w:val="single" w:sz="4" w:space="0" w:color="auto"/>
              <w:left w:val="single" w:sz="4" w:space="0" w:color="auto"/>
              <w:bottom w:val="single" w:sz="4" w:space="0" w:color="auto"/>
              <w:right w:val="single" w:sz="4" w:space="0" w:color="auto"/>
            </w:tcBorders>
          </w:tcPr>
          <w:p w14:paraId="5548AEDB" w14:textId="52EA2D6D" w:rsidR="00195F4B" w:rsidRDefault="00195F4B" w:rsidP="007117F0">
            <w:pPr>
              <w:spacing w:after="240"/>
              <w:rPr>
                <w:sz w:val="20"/>
                <w:szCs w:val="20"/>
              </w:rPr>
            </w:pPr>
            <w:r>
              <w:rPr>
                <w:sz w:val="20"/>
                <w:szCs w:val="20"/>
              </w:rPr>
              <w:t>Qatar</w:t>
            </w:r>
          </w:p>
        </w:tc>
        <w:tc>
          <w:tcPr>
            <w:tcW w:w="3969" w:type="dxa"/>
            <w:tcBorders>
              <w:top w:val="single" w:sz="4" w:space="0" w:color="auto"/>
              <w:left w:val="single" w:sz="4" w:space="0" w:color="auto"/>
              <w:bottom w:val="single" w:sz="4" w:space="0" w:color="auto"/>
              <w:right w:val="single" w:sz="4" w:space="0" w:color="auto"/>
            </w:tcBorders>
          </w:tcPr>
          <w:p w14:paraId="6068F8C6" w14:textId="5EB2EA3F" w:rsidR="00195F4B" w:rsidRPr="00DB1C70" w:rsidRDefault="00195F4B" w:rsidP="007117F0">
            <w:pPr>
              <w:widowControl w:val="0"/>
              <w:spacing w:after="240"/>
              <w:jc w:val="left"/>
              <w:outlineLvl w:val="1"/>
              <w:rPr>
                <w:sz w:val="20"/>
                <w:szCs w:val="20"/>
              </w:rPr>
            </w:pPr>
            <w:r w:rsidRPr="00DB1C70">
              <w:rPr>
                <w:sz w:val="20"/>
                <w:szCs w:val="20"/>
              </w:rPr>
              <w:t>HCFC phase-out management plan (stage II – progress report on the implementation of the commitments listed in decision 88/54(e)(</w:t>
            </w:r>
            <w:proofErr w:type="spellStart"/>
            <w:r w:rsidRPr="00DB1C70">
              <w:rPr>
                <w:sz w:val="20"/>
                <w:szCs w:val="20"/>
              </w:rPr>
              <w:t>i</w:t>
            </w:r>
            <w:proofErr w:type="spellEnd"/>
            <w:r w:rsidRPr="00DB1C70">
              <w:rPr>
                <w:sz w:val="20"/>
                <w:szCs w:val="20"/>
              </w:rPr>
              <w:t>), (ii), and (iii) (decision 93/36))</w:t>
            </w:r>
          </w:p>
        </w:tc>
        <w:tc>
          <w:tcPr>
            <w:tcW w:w="2551" w:type="dxa"/>
            <w:tcBorders>
              <w:top w:val="single" w:sz="4" w:space="0" w:color="auto"/>
              <w:left w:val="single" w:sz="4" w:space="0" w:color="auto"/>
              <w:bottom w:val="single" w:sz="4" w:space="0" w:color="auto"/>
              <w:right w:val="single" w:sz="4" w:space="0" w:color="auto"/>
            </w:tcBorders>
          </w:tcPr>
          <w:p w14:paraId="361CAF61" w14:textId="0A6766E4" w:rsidR="00195F4B" w:rsidRPr="00EF65D0" w:rsidRDefault="00195F4B" w:rsidP="007117F0">
            <w:pPr>
              <w:spacing w:after="240"/>
              <w:jc w:val="left"/>
              <w:rPr>
                <w:sz w:val="20"/>
                <w:szCs w:val="20"/>
              </w:rPr>
            </w:pPr>
            <w:r w:rsidRPr="00EF65D0">
              <w:rPr>
                <w:sz w:val="20"/>
                <w:szCs w:val="20"/>
              </w:rPr>
              <w:t>Conditions specified in decision 88/54(e)(</w:t>
            </w:r>
            <w:proofErr w:type="spellStart"/>
            <w:r w:rsidRPr="00EF65D0">
              <w:rPr>
                <w:sz w:val="20"/>
                <w:szCs w:val="20"/>
              </w:rPr>
              <w:t>i</w:t>
            </w:r>
            <w:proofErr w:type="spellEnd"/>
            <w:r w:rsidRPr="00EF65D0">
              <w:rPr>
                <w:sz w:val="20"/>
                <w:szCs w:val="20"/>
              </w:rPr>
              <w:t>), (ii), and (iii) had not been met</w:t>
            </w:r>
          </w:p>
        </w:tc>
        <w:tc>
          <w:tcPr>
            <w:tcW w:w="1417" w:type="dxa"/>
            <w:tcBorders>
              <w:top w:val="single" w:sz="4" w:space="0" w:color="auto"/>
              <w:left w:val="single" w:sz="4" w:space="0" w:color="auto"/>
              <w:bottom w:val="single" w:sz="4" w:space="0" w:color="auto"/>
              <w:right w:val="single" w:sz="4" w:space="0" w:color="auto"/>
            </w:tcBorders>
          </w:tcPr>
          <w:p w14:paraId="0580E1DA" w14:textId="41D1FF2A" w:rsidR="00195F4B" w:rsidRDefault="00AE3780" w:rsidP="007117F0">
            <w:pPr>
              <w:spacing w:after="240"/>
              <w:jc w:val="center"/>
              <w:rPr>
                <w:sz w:val="20"/>
                <w:szCs w:val="20"/>
              </w:rPr>
            </w:pPr>
            <w:r>
              <w:rPr>
                <w:sz w:val="20"/>
                <w:szCs w:val="20"/>
              </w:rPr>
              <w:t>22-34</w:t>
            </w:r>
          </w:p>
        </w:tc>
      </w:tr>
    </w:tbl>
    <w:p w14:paraId="2A1751AD" w14:textId="6780B00A" w:rsidR="00131FE9" w:rsidRPr="00DE0733" w:rsidRDefault="00D873D8" w:rsidP="00E60C19">
      <w:pPr>
        <w:pStyle w:val="StyleHeader4Para4Left0Firstline0"/>
        <w:keepNext/>
        <w:widowControl/>
        <w:numPr>
          <w:ilvl w:val="0"/>
          <w:numId w:val="0"/>
        </w:numPr>
        <w:tabs>
          <w:tab w:val="clear" w:pos="2880"/>
          <w:tab w:val="clear" w:pos="5760"/>
          <w:tab w:val="left" w:pos="0"/>
        </w:tabs>
        <w:spacing w:before="240"/>
        <w:jc w:val="left"/>
        <w:rPr>
          <w:b/>
          <w:sz w:val="24"/>
          <w:szCs w:val="24"/>
        </w:rPr>
      </w:pPr>
      <w:r w:rsidRPr="00DE0733">
        <w:rPr>
          <w:b/>
          <w:sz w:val="24"/>
          <w:szCs w:val="24"/>
        </w:rPr>
        <w:lastRenderedPageBreak/>
        <w:t>Report</w:t>
      </w:r>
      <w:r w:rsidR="00D316F6" w:rsidRPr="00DE0733">
        <w:rPr>
          <w:b/>
          <w:sz w:val="24"/>
          <w:szCs w:val="24"/>
        </w:rPr>
        <w:t>s</w:t>
      </w:r>
      <w:r w:rsidRPr="00DE0733">
        <w:rPr>
          <w:b/>
          <w:sz w:val="24"/>
          <w:szCs w:val="24"/>
        </w:rPr>
        <w:t xml:space="preserve"> related to HCFC phase-out management plan</w:t>
      </w:r>
      <w:r w:rsidR="00D316F6" w:rsidRPr="00DE0733">
        <w:rPr>
          <w:b/>
          <w:sz w:val="24"/>
          <w:szCs w:val="24"/>
        </w:rPr>
        <w:t>s</w:t>
      </w:r>
    </w:p>
    <w:p w14:paraId="27E797FB" w14:textId="77777777" w:rsidR="00C42624" w:rsidRPr="00C42624" w:rsidRDefault="00C42624" w:rsidP="00DE0733">
      <w:pPr>
        <w:keepNext/>
        <w:spacing w:after="240"/>
        <w:ind w:left="720"/>
        <w:rPr>
          <w:b/>
          <w:bCs/>
          <w:u w:val="single"/>
        </w:rPr>
      </w:pPr>
      <w:r w:rsidRPr="00C42624">
        <w:rPr>
          <w:b/>
          <w:bCs/>
          <w:u w:val="single"/>
        </w:rPr>
        <w:t>Islamic Republic of Iran: HCFC phase-out management plan (stage II – progress report on the implementation of the work programme associated with the fifth and final tranche)</w:t>
      </w:r>
      <w:r w:rsidRPr="00C42624">
        <w:rPr>
          <w:b/>
          <w:bCs/>
        </w:rPr>
        <w:t xml:space="preserve"> (UNDP, UNEP, UNIDO, and the Government of Italy)</w:t>
      </w:r>
    </w:p>
    <w:p w14:paraId="7ABE34F2" w14:textId="77777777" w:rsidR="00C42624" w:rsidRPr="007510A3" w:rsidRDefault="00C42624" w:rsidP="005C23A8">
      <w:pPr>
        <w:keepNext/>
        <w:spacing w:after="240"/>
        <w:rPr>
          <w:b/>
        </w:rPr>
      </w:pPr>
      <w:r w:rsidRPr="007510A3">
        <w:rPr>
          <w:b/>
        </w:rPr>
        <w:t>Background</w:t>
      </w:r>
    </w:p>
    <w:p w14:paraId="6E023407" w14:textId="1E74BB26" w:rsidR="00C42624" w:rsidRDefault="00C42624" w:rsidP="00C42624">
      <w:pPr>
        <w:pStyle w:val="Heading1"/>
        <w:numPr>
          <w:ilvl w:val="0"/>
          <w:numId w:val="24"/>
        </w:numPr>
        <w:rPr>
          <w:lang w:val="en-US"/>
        </w:rPr>
      </w:pPr>
      <w:r w:rsidRPr="00D1470A">
        <w:rPr>
          <w:lang w:val="en-US"/>
        </w:rPr>
        <w:t>At the 77</w:t>
      </w:r>
      <w:r w:rsidRPr="00D1470A">
        <w:rPr>
          <w:vertAlign w:val="superscript"/>
          <w:lang w:val="en-US"/>
        </w:rPr>
        <w:t>th</w:t>
      </w:r>
      <w:r w:rsidRPr="00D1470A">
        <w:rPr>
          <w:lang w:val="en-US"/>
        </w:rPr>
        <w:t xml:space="preserve"> meeting, the Executive Committee approved stage II of the </w:t>
      </w:r>
      <w:r>
        <w:rPr>
          <w:lang w:val="en-US"/>
        </w:rPr>
        <w:t>HCFC phase-out management plan (</w:t>
      </w:r>
      <w:r w:rsidRPr="00D1470A">
        <w:rPr>
          <w:lang w:val="en-US"/>
        </w:rPr>
        <w:t>HPMP</w:t>
      </w:r>
      <w:r>
        <w:rPr>
          <w:lang w:val="en-US"/>
        </w:rPr>
        <w:t>)</w:t>
      </w:r>
      <w:r w:rsidRPr="00D1470A">
        <w:rPr>
          <w:lang w:val="en-US"/>
        </w:rPr>
        <w:t xml:space="preserve"> for the Islamic Republic of Iran</w:t>
      </w:r>
      <w:r>
        <w:rPr>
          <w:lang w:val="en-US"/>
        </w:rPr>
        <w:t xml:space="preserve"> t</w:t>
      </w:r>
      <w:r w:rsidRPr="00D1470A">
        <w:rPr>
          <w:lang w:val="en-US"/>
        </w:rPr>
        <w:t>o reduce HCFC consumption by 75 per cent of the baseline</w:t>
      </w:r>
      <w:r>
        <w:rPr>
          <w:lang w:val="en-US"/>
        </w:rPr>
        <w:t xml:space="preserve"> by 2023, with a date of completion of 31 December 2024, as established in the Agreement between the Government and the Executive Committee.</w:t>
      </w:r>
    </w:p>
    <w:p w14:paraId="6592E428" w14:textId="77777777" w:rsidR="00C42624" w:rsidRPr="00D1470A" w:rsidRDefault="00C42624" w:rsidP="00C42624">
      <w:pPr>
        <w:pStyle w:val="Heading1"/>
        <w:numPr>
          <w:ilvl w:val="0"/>
          <w:numId w:val="24"/>
        </w:numPr>
        <w:rPr>
          <w:lang w:val="en-US"/>
        </w:rPr>
      </w:pPr>
      <w:r w:rsidRPr="00D1470A">
        <w:rPr>
          <w:lang w:val="en-US"/>
        </w:rPr>
        <w:t>At the 90</w:t>
      </w:r>
      <w:r w:rsidRPr="00D1470A">
        <w:rPr>
          <w:vertAlign w:val="superscript"/>
          <w:lang w:val="en-US"/>
        </w:rPr>
        <w:t>th</w:t>
      </w:r>
      <w:r w:rsidRPr="00D1470A">
        <w:rPr>
          <w:lang w:val="en-US"/>
        </w:rPr>
        <w:t xml:space="preserve"> meeting, the Executive Committee approved, on an exceptional basis, the extension of the duration of stage II of the HPMP for the Islamic Republic of Iran to 31 December 2025, given the implementation delays caused by the coronavirus disease pandemic, on the understanding that no further extension would be requested (decision</w:t>
      </w:r>
      <w:r>
        <w:rPr>
          <w:lang w:val="en-US"/>
        </w:rPr>
        <w:t> </w:t>
      </w:r>
      <w:r w:rsidRPr="00D1470A">
        <w:rPr>
          <w:lang w:val="en-US"/>
        </w:rPr>
        <w:t>90/45).</w:t>
      </w:r>
    </w:p>
    <w:p w14:paraId="4F47B6DC" w14:textId="77777777" w:rsidR="00C42624" w:rsidRDefault="00C42624" w:rsidP="00C42624">
      <w:pPr>
        <w:pStyle w:val="Heading1"/>
        <w:numPr>
          <w:ilvl w:val="0"/>
          <w:numId w:val="24"/>
        </w:numPr>
        <w:rPr>
          <w:lang w:val="en-US"/>
        </w:rPr>
      </w:pPr>
      <w:r>
        <w:rPr>
          <w:lang w:val="en-US"/>
        </w:rPr>
        <w:t>At the 94</w:t>
      </w:r>
      <w:r w:rsidRPr="00272124">
        <w:rPr>
          <w:vertAlign w:val="superscript"/>
          <w:lang w:val="en-US"/>
        </w:rPr>
        <w:t>th</w:t>
      </w:r>
      <w:r>
        <w:rPr>
          <w:lang w:val="en-US"/>
        </w:rPr>
        <w:t xml:space="preserve"> meeting, UNDP submitted the fifth and final tranche of stage II of the HPMP and</w:t>
      </w:r>
      <w:r w:rsidRPr="001B443B">
        <w:rPr>
          <w:lang w:val="en-US"/>
        </w:rPr>
        <w:t xml:space="preserve"> </w:t>
      </w:r>
      <w:r>
        <w:rPr>
          <w:lang w:val="en-US"/>
        </w:rPr>
        <w:t xml:space="preserve">confirmed </w:t>
      </w:r>
      <w:r w:rsidRPr="001B443B">
        <w:rPr>
          <w:lang w:val="en-US"/>
        </w:rPr>
        <w:t xml:space="preserve">that </w:t>
      </w:r>
      <w:r>
        <w:rPr>
          <w:lang w:val="en-US"/>
        </w:rPr>
        <w:t xml:space="preserve">all ongoing </w:t>
      </w:r>
      <w:r w:rsidRPr="001B443B">
        <w:rPr>
          <w:lang w:val="en-US"/>
        </w:rPr>
        <w:t>activities would be completed by December 2025</w:t>
      </w:r>
      <w:r>
        <w:rPr>
          <w:lang w:val="en-US"/>
        </w:rPr>
        <w:t>, and that n</w:t>
      </w:r>
      <w:r w:rsidRPr="001B443B">
        <w:rPr>
          <w:lang w:val="en-US"/>
        </w:rPr>
        <w:t xml:space="preserve">o further extension for stage II of the HPMP </w:t>
      </w:r>
      <w:r>
        <w:rPr>
          <w:lang w:val="en-US"/>
        </w:rPr>
        <w:t>wa</w:t>
      </w:r>
      <w:r w:rsidRPr="001B443B">
        <w:rPr>
          <w:lang w:val="en-US"/>
        </w:rPr>
        <w:t xml:space="preserve">s required. </w:t>
      </w:r>
      <w:r>
        <w:rPr>
          <w:lang w:val="en-US"/>
        </w:rPr>
        <w:t>Accordingly, the Executive Committee approved the tranche and requested the relevant agencies to submit prog</w:t>
      </w:r>
      <w:r w:rsidRPr="001B443B">
        <w:rPr>
          <w:lang w:val="en-US"/>
        </w:rPr>
        <w:t>ress report</w:t>
      </w:r>
      <w:r>
        <w:rPr>
          <w:lang w:val="en-US"/>
        </w:rPr>
        <w:t>s</w:t>
      </w:r>
      <w:r w:rsidRPr="001B443B">
        <w:rPr>
          <w:lang w:val="en-US"/>
        </w:rPr>
        <w:t xml:space="preserve"> on the implementation of work programmes associated with the final tranche to the 97</w:t>
      </w:r>
      <w:r w:rsidRPr="001B443B">
        <w:rPr>
          <w:vertAlign w:val="superscript"/>
          <w:lang w:val="en-US"/>
        </w:rPr>
        <w:t>th</w:t>
      </w:r>
      <w:r>
        <w:rPr>
          <w:lang w:val="en-US"/>
        </w:rPr>
        <w:t xml:space="preserve"> </w:t>
      </w:r>
      <w:r w:rsidRPr="001B443B">
        <w:rPr>
          <w:lang w:val="en-US"/>
        </w:rPr>
        <w:t>meeting</w:t>
      </w:r>
      <w:r>
        <w:rPr>
          <w:lang w:val="en-US"/>
        </w:rPr>
        <w:t>,</w:t>
      </w:r>
      <w:r w:rsidRPr="001B443B">
        <w:rPr>
          <w:lang w:val="en-US"/>
        </w:rPr>
        <w:t xml:space="preserve"> and project completion reports to the second meeting of the Executive Committee in</w:t>
      </w:r>
      <w:r>
        <w:rPr>
          <w:lang w:val="en-US"/>
        </w:rPr>
        <w:t xml:space="preserve"> </w:t>
      </w:r>
      <w:r w:rsidRPr="001B443B">
        <w:rPr>
          <w:lang w:val="en-US"/>
        </w:rPr>
        <w:t>2026</w:t>
      </w:r>
      <w:r>
        <w:rPr>
          <w:lang w:val="en-US"/>
        </w:rPr>
        <w:t xml:space="preserve"> (decision 94/36).</w:t>
      </w:r>
    </w:p>
    <w:p w14:paraId="0D3EF815" w14:textId="77777777" w:rsidR="00C42624" w:rsidRPr="0030223F" w:rsidRDefault="00C42624" w:rsidP="00C42624">
      <w:pPr>
        <w:spacing w:after="240"/>
        <w:rPr>
          <w:b/>
          <w:bCs/>
          <w:lang w:val="en-US"/>
        </w:rPr>
      </w:pPr>
      <w:r w:rsidRPr="0030223F">
        <w:rPr>
          <w:b/>
          <w:bCs/>
          <w:lang w:val="en-US"/>
        </w:rPr>
        <w:t>Progress report</w:t>
      </w:r>
    </w:p>
    <w:p w14:paraId="43BFEF28" w14:textId="77777777" w:rsidR="00C42624" w:rsidRPr="0030223F" w:rsidRDefault="00C42624" w:rsidP="00C42624">
      <w:pPr>
        <w:pStyle w:val="Heading1"/>
        <w:numPr>
          <w:ilvl w:val="0"/>
          <w:numId w:val="24"/>
        </w:numPr>
      </w:pPr>
      <w:r w:rsidRPr="0030223F">
        <w:t>At the 97</w:t>
      </w:r>
      <w:r w:rsidRPr="00C241BC">
        <w:rPr>
          <w:vertAlign w:val="superscript"/>
        </w:rPr>
        <w:t>th</w:t>
      </w:r>
      <w:r w:rsidRPr="0030223F">
        <w:t xml:space="preserve"> meeting, on behalf of the Government of the Islamic Republic of Iran, UNDP as the lead implementing agency submitted </w:t>
      </w:r>
      <w:bookmarkStart w:id="1" w:name="_Hlk214465441"/>
      <w:r w:rsidRPr="0030223F">
        <w:t>a progress report on the implementation of the work programmes associated with the fifth and final tranche of stage II of the HPMP, in line with decision 94/36</w:t>
      </w:r>
      <w:bookmarkEnd w:id="1"/>
      <w:r w:rsidRPr="0030223F">
        <w:t>.</w:t>
      </w:r>
    </w:p>
    <w:p w14:paraId="3546ADD8" w14:textId="77777777" w:rsidR="00C42624" w:rsidRPr="00ED155E" w:rsidRDefault="00C42624" w:rsidP="00C42624">
      <w:pPr>
        <w:pStyle w:val="Heading1"/>
        <w:numPr>
          <w:ilvl w:val="0"/>
          <w:numId w:val="24"/>
        </w:numPr>
        <w:spacing w:before="240"/>
        <w:rPr>
          <w:lang w:val="en-US"/>
        </w:rPr>
      </w:pPr>
      <w:r>
        <w:rPr>
          <w:lang w:val="en-US"/>
        </w:rPr>
        <w:t xml:space="preserve">The Islamic Republic of Iran </w:t>
      </w:r>
      <w:r w:rsidRPr="00307367">
        <w:rPr>
          <w:lang w:val="en-US"/>
        </w:rPr>
        <w:t>report</w:t>
      </w:r>
      <w:r>
        <w:rPr>
          <w:lang w:val="en-US"/>
        </w:rPr>
        <w:t>ed</w:t>
      </w:r>
      <w:r w:rsidRPr="00307367">
        <w:rPr>
          <w:lang w:val="en-US"/>
        </w:rPr>
        <w:t xml:space="preserve"> a consumption of </w:t>
      </w:r>
      <w:r>
        <w:rPr>
          <w:lang w:val="en-US"/>
        </w:rPr>
        <w:t>54.18 </w:t>
      </w:r>
      <w:r w:rsidRPr="00307367">
        <w:rPr>
          <w:lang w:val="en-US"/>
        </w:rPr>
        <w:t>ODP</w:t>
      </w:r>
      <w:r>
        <w:rPr>
          <w:lang w:val="en-US"/>
        </w:rPr>
        <w:t> </w:t>
      </w:r>
      <w:proofErr w:type="spellStart"/>
      <w:r w:rsidRPr="00307367">
        <w:rPr>
          <w:lang w:val="en-US"/>
        </w:rPr>
        <w:t>tonnes</w:t>
      </w:r>
      <w:proofErr w:type="spellEnd"/>
      <w:r w:rsidRPr="00307367">
        <w:rPr>
          <w:lang w:val="en-US"/>
        </w:rPr>
        <w:t xml:space="preserve"> of HCFC</w:t>
      </w:r>
      <w:r>
        <w:rPr>
          <w:lang w:val="en-US"/>
        </w:rPr>
        <w:t>s</w:t>
      </w:r>
      <w:r w:rsidRPr="00307367">
        <w:rPr>
          <w:lang w:val="en-US"/>
        </w:rPr>
        <w:t xml:space="preserve"> in 202</w:t>
      </w:r>
      <w:r>
        <w:rPr>
          <w:lang w:val="en-US"/>
        </w:rPr>
        <w:t>4</w:t>
      </w:r>
      <w:r w:rsidRPr="00307367">
        <w:rPr>
          <w:lang w:val="en-US"/>
        </w:rPr>
        <w:t xml:space="preserve">, which is </w:t>
      </w:r>
      <w:r>
        <w:rPr>
          <w:lang w:val="en-US"/>
        </w:rPr>
        <w:t>86 </w:t>
      </w:r>
      <w:r w:rsidRPr="00307367">
        <w:rPr>
          <w:lang w:val="en-US"/>
        </w:rPr>
        <w:t>per</w:t>
      </w:r>
      <w:r>
        <w:rPr>
          <w:lang w:val="en-US"/>
        </w:rPr>
        <w:t> </w:t>
      </w:r>
      <w:r w:rsidRPr="00307367">
        <w:rPr>
          <w:lang w:val="en-US"/>
        </w:rPr>
        <w:t xml:space="preserve">cent below </w:t>
      </w:r>
      <w:r>
        <w:rPr>
          <w:lang w:val="en-US"/>
        </w:rPr>
        <w:t xml:space="preserve">its </w:t>
      </w:r>
      <w:r w:rsidRPr="00307367">
        <w:rPr>
          <w:lang w:val="en-US"/>
        </w:rPr>
        <w:t xml:space="preserve">HCFC baseline for compliance and </w:t>
      </w:r>
      <w:r>
        <w:rPr>
          <w:lang w:val="en-US"/>
        </w:rPr>
        <w:t>43 </w:t>
      </w:r>
      <w:r w:rsidRPr="00307367">
        <w:rPr>
          <w:lang w:val="en-US"/>
        </w:rPr>
        <w:t>per</w:t>
      </w:r>
      <w:r>
        <w:rPr>
          <w:lang w:val="en-US"/>
        </w:rPr>
        <w:t> </w:t>
      </w:r>
      <w:r w:rsidRPr="00307367">
        <w:rPr>
          <w:lang w:val="en-US"/>
        </w:rPr>
        <w:t>cent below the maximum allowable consumption in the Agreement for the same year.</w:t>
      </w:r>
    </w:p>
    <w:p w14:paraId="738808EA" w14:textId="77777777" w:rsidR="00C42624" w:rsidRPr="003E167A" w:rsidRDefault="00C42624" w:rsidP="00C42624">
      <w:pPr>
        <w:pStyle w:val="Heading1"/>
        <w:numPr>
          <w:ilvl w:val="0"/>
          <w:numId w:val="0"/>
        </w:numPr>
        <w:rPr>
          <w:u w:val="single"/>
          <w:lang w:val="en-US"/>
        </w:rPr>
      </w:pPr>
      <w:r w:rsidRPr="003E167A">
        <w:rPr>
          <w:u w:val="single"/>
          <w:lang w:val="en-US"/>
        </w:rPr>
        <w:t>Legal framework</w:t>
      </w:r>
    </w:p>
    <w:p w14:paraId="44CAE3DB" w14:textId="77777777" w:rsidR="00C42624" w:rsidRDefault="00C42624" w:rsidP="00C42624">
      <w:pPr>
        <w:pStyle w:val="Heading1"/>
        <w:numPr>
          <w:ilvl w:val="0"/>
          <w:numId w:val="24"/>
        </w:numPr>
        <w:rPr>
          <w:lang w:val="en-US"/>
        </w:rPr>
      </w:pPr>
      <w:r w:rsidRPr="00734A41">
        <w:rPr>
          <w:lang w:val="en-US"/>
        </w:rPr>
        <w:t>The ban on the import and use of HCFC-141b pure or contained in pre-blended polyols</w:t>
      </w:r>
      <w:r>
        <w:rPr>
          <w:lang w:val="en-US"/>
        </w:rPr>
        <w:t xml:space="preserve"> entered </w:t>
      </w:r>
      <w:r w:rsidRPr="00734A41">
        <w:rPr>
          <w:lang w:val="en-US"/>
        </w:rPr>
        <w:t xml:space="preserve">into force </w:t>
      </w:r>
      <w:r>
        <w:rPr>
          <w:lang w:val="en-US"/>
        </w:rPr>
        <w:t>on</w:t>
      </w:r>
      <w:r w:rsidRPr="00734A41">
        <w:rPr>
          <w:lang w:val="en-US"/>
        </w:rPr>
        <w:t xml:space="preserve"> 1</w:t>
      </w:r>
      <w:r>
        <w:rPr>
          <w:lang w:val="en-US"/>
        </w:rPr>
        <w:t> </w:t>
      </w:r>
      <w:r w:rsidRPr="00734A41">
        <w:rPr>
          <w:lang w:val="en-US"/>
        </w:rPr>
        <w:t>July</w:t>
      </w:r>
      <w:r>
        <w:rPr>
          <w:lang w:val="en-US"/>
        </w:rPr>
        <w:t> </w:t>
      </w:r>
      <w:r w:rsidRPr="00734A41">
        <w:rPr>
          <w:lang w:val="en-US"/>
        </w:rPr>
        <w:t>2024</w:t>
      </w:r>
      <w:r>
        <w:rPr>
          <w:lang w:val="en-US"/>
        </w:rPr>
        <w:t>, and the</w:t>
      </w:r>
      <w:r w:rsidRPr="00521B3B">
        <w:rPr>
          <w:lang w:val="en-US"/>
        </w:rPr>
        <w:t xml:space="preserve"> ban on the use of HCFC</w:t>
      </w:r>
      <w:r>
        <w:rPr>
          <w:lang w:val="en-US"/>
        </w:rPr>
        <w:t>-</w:t>
      </w:r>
      <w:r w:rsidRPr="00521B3B">
        <w:rPr>
          <w:lang w:val="en-US"/>
        </w:rPr>
        <w:t>22 in the manufacturing of refrigeration and air</w:t>
      </w:r>
      <w:r>
        <w:rPr>
          <w:lang w:val="en-US"/>
        </w:rPr>
        <w:noBreakHyphen/>
      </w:r>
      <w:r w:rsidRPr="00521B3B">
        <w:rPr>
          <w:lang w:val="en-US"/>
        </w:rPr>
        <w:t>conditioning (RAC) equipment</w:t>
      </w:r>
      <w:r>
        <w:rPr>
          <w:lang w:val="en-US"/>
        </w:rPr>
        <w:t xml:space="preserve"> is scheduled to enter into force on </w:t>
      </w:r>
      <w:r w:rsidRPr="00521B3B">
        <w:rPr>
          <w:lang w:val="en-US"/>
        </w:rPr>
        <w:t>1 January 202</w:t>
      </w:r>
      <w:r>
        <w:rPr>
          <w:lang w:val="en-US"/>
        </w:rPr>
        <w:t>6. A total of 125 customs officers received training on Montreal Protocol implementation, licensing and quota system, and illegal import prevention.</w:t>
      </w:r>
      <w:r w:rsidRPr="00E8414A">
        <w:t xml:space="preserve"> </w:t>
      </w:r>
      <w:r>
        <w:t>A t</w:t>
      </w:r>
      <w:r w:rsidRPr="00E8414A">
        <w:rPr>
          <w:lang w:val="en-US"/>
        </w:rPr>
        <w:t xml:space="preserve">raining </w:t>
      </w:r>
      <w:r>
        <w:rPr>
          <w:lang w:val="en-US"/>
        </w:rPr>
        <w:t>m</w:t>
      </w:r>
      <w:r w:rsidRPr="00E8414A">
        <w:rPr>
          <w:lang w:val="en-US"/>
        </w:rPr>
        <w:t xml:space="preserve">anual for </w:t>
      </w:r>
      <w:r>
        <w:rPr>
          <w:lang w:val="en-US"/>
        </w:rPr>
        <w:t>c</w:t>
      </w:r>
      <w:r w:rsidRPr="00E8414A">
        <w:rPr>
          <w:lang w:val="en-US"/>
        </w:rPr>
        <w:t xml:space="preserve">ustoms </w:t>
      </w:r>
      <w:r>
        <w:rPr>
          <w:lang w:val="en-US"/>
        </w:rPr>
        <w:t>o</w:t>
      </w:r>
      <w:r w:rsidRPr="00E8414A">
        <w:rPr>
          <w:lang w:val="en-US"/>
        </w:rPr>
        <w:t>fficers</w:t>
      </w:r>
      <w:r>
        <w:rPr>
          <w:lang w:val="en-US"/>
        </w:rPr>
        <w:t xml:space="preserve"> and a g</w:t>
      </w:r>
      <w:r w:rsidRPr="00E8414A">
        <w:rPr>
          <w:lang w:val="en-US"/>
        </w:rPr>
        <w:t xml:space="preserve">reen </w:t>
      </w:r>
      <w:r>
        <w:rPr>
          <w:lang w:val="en-US"/>
        </w:rPr>
        <w:t>c</w:t>
      </w:r>
      <w:r w:rsidRPr="00E8414A">
        <w:rPr>
          <w:lang w:val="en-US"/>
        </w:rPr>
        <w:t xml:space="preserve">ustoms </w:t>
      </w:r>
      <w:r>
        <w:rPr>
          <w:lang w:val="en-US"/>
        </w:rPr>
        <w:t>g</w:t>
      </w:r>
      <w:r w:rsidRPr="00E8414A">
        <w:rPr>
          <w:lang w:val="en-US"/>
        </w:rPr>
        <w:t>uide were translated</w:t>
      </w:r>
      <w:r>
        <w:rPr>
          <w:lang w:val="en-US"/>
        </w:rPr>
        <w:t xml:space="preserve">, </w:t>
      </w:r>
      <w:r w:rsidRPr="00E8414A">
        <w:rPr>
          <w:lang w:val="en-US"/>
        </w:rPr>
        <w:t>printed</w:t>
      </w:r>
      <w:r>
        <w:rPr>
          <w:lang w:val="en-US"/>
        </w:rPr>
        <w:t xml:space="preserve"> and </w:t>
      </w:r>
      <w:r w:rsidRPr="00E8414A">
        <w:rPr>
          <w:lang w:val="en-US"/>
        </w:rPr>
        <w:t>distributed.</w:t>
      </w:r>
    </w:p>
    <w:p w14:paraId="3694234C" w14:textId="77777777" w:rsidR="00C42624" w:rsidRDefault="00C42624" w:rsidP="00C42624">
      <w:pPr>
        <w:keepNext/>
        <w:spacing w:after="240"/>
        <w:rPr>
          <w:iCs/>
          <w:u w:val="single"/>
        </w:rPr>
      </w:pPr>
      <w:r w:rsidRPr="003E167A">
        <w:rPr>
          <w:iCs/>
          <w:u w:val="single"/>
        </w:rPr>
        <w:t>Polyurethane foam manufacturing sector (UNDP, UNIDO, and the Government of Italy)</w:t>
      </w:r>
    </w:p>
    <w:p w14:paraId="6C1AF32C" w14:textId="75CE0EBE" w:rsidR="00C42624" w:rsidRPr="003E167A" w:rsidRDefault="00C42624" w:rsidP="00C42624">
      <w:pPr>
        <w:pStyle w:val="Heading1"/>
        <w:numPr>
          <w:ilvl w:val="0"/>
          <w:numId w:val="24"/>
        </w:numPr>
      </w:pPr>
      <w:r w:rsidRPr="00C42624">
        <w:rPr>
          <w:lang w:val="en-US"/>
        </w:rPr>
        <w:t>Table 2</w:t>
      </w:r>
      <w:r w:rsidRPr="00C42624">
        <w:t xml:space="preserve"> presents</w:t>
      </w:r>
      <w:r>
        <w:t xml:space="preserve"> project implementation status in the polyurethane (PU) foam manufacturing sector.</w:t>
      </w:r>
    </w:p>
    <w:p w14:paraId="60EFD3A5" w14:textId="2EDD1C9E" w:rsidR="00C42624" w:rsidRPr="00C90672" w:rsidRDefault="00C42624" w:rsidP="00DE0733">
      <w:pPr>
        <w:keepNext/>
        <w:shd w:val="clear" w:color="auto" w:fill="FFFFFF" w:themeFill="background1"/>
        <w:outlineLvl w:val="0"/>
        <w:rPr>
          <w:b/>
        </w:rPr>
      </w:pPr>
      <w:r w:rsidRPr="00C90672">
        <w:rPr>
          <w:b/>
          <w:bCs/>
          <w:lang w:val="en-US"/>
        </w:rPr>
        <w:lastRenderedPageBreak/>
        <w:t>Table 2</w:t>
      </w:r>
      <w:r w:rsidRPr="00C90672">
        <w:rPr>
          <w:b/>
        </w:rPr>
        <w:t>. Implementation status of projects in the PU foam sector*</w:t>
      </w:r>
    </w:p>
    <w:tbl>
      <w:tblPr>
        <w:tblStyle w:val="TableGrid"/>
        <w:tblW w:w="9380" w:type="dxa"/>
        <w:tblLook w:val="04A0" w:firstRow="1" w:lastRow="0" w:firstColumn="1" w:lastColumn="0" w:noHBand="0" w:noVBand="1"/>
      </w:tblPr>
      <w:tblGrid>
        <w:gridCol w:w="2338"/>
        <w:gridCol w:w="1370"/>
        <w:gridCol w:w="5672"/>
      </w:tblGrid>
      <w:tr w:rsidR="00C42624" w14:paraId="4B809643" w14:textId="77777777" w:rsidTr="00C1059F">
        <w:trPr>
          <w:trHeight w:val="59"/>
          <w:tblHeader/>
        </w:trPr>
        <w:tc>
          <w:tcPr>
            <w:tcW w:w="2407"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6B975A19" w14:textId="77777777" w:rsidR="00C42624" w:rsidRDefault="00C42624" w:rsidP="00DE0733">
            <w:pPr>
              <w:keepNext/>
              <w:shd w:val="clear" w:color="auto" w:fill="FFFFFF" w:themeFill="background1"/>
              <w:spacing w:before="20" w:after="20"/>
              <w:jc w:val="center"/>
              <w:rPr>
                <w:b/>
                <w:sz w:val="20"/>
                <w:szCs w:val="20"/>
                <w:lang w:val="en-US"/>
              </w:rPr>
            </w:pPr>
            <w:r>
              <w:rPr>
                <w:b/>
                <w:sz w:val="20"/>
                <w:szCs w:val="20"/>
                <w:lang w:val="en-US"/>
              </w:rPr>
              <w:t>Alternative technology selected</w:t>
            </w:r>
          </w:p>
        </w:tc>
        <w:tc>
          <w:tcPr>
            <w:tcW w:w="992"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28686646" w14:textId="77777777" w:rsidR="00C42624" w:rsidRDefault="00C42624" w:rsidP="00DE0733">
            <w:pPr>
              <w:keepNext/>
              <w:shd w:val="clear" w:color="auto" w:fill="FFFFFF" w:themeFill="background1"/>
              <w:spacing w:before="20" w:after="20"/>
              <w:jc w:val="center"/>
              <w:rPr>
                <w:b/>
                <w:sz w:val="20"/>
                <w:szCs w:val="20"/>
                <w:lang w:val="en-US"/>
              </w:rPr>
            </w:pPr>
            <w:r>
              <w:rPr>
                <w:b/>
                <w:sz w:val="20"/>
                <w:szCs w:val="20"/>
                <w:lang w:val="en-US"/>
              </w:rPr>
              <w:t>Implementing agency</w:t>
            </w:r>
          </w:p>
        </w:tc>
        <w:tc>
          <w:tcPr>
            <w:tcW w:w="5981"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48284234" w14:textId="77777777" w:rsidR="00C42624" w:rsidRDefault="00C42624" w:rsidP="00DE0733">
            <w:pPr>
              <w:keepNext/>
              <w:shd w:val="clear" w:color="auto" w:fill="FFFFFF" w:themeFill="background1"/>
              <w:spacing w:before="20" w:after="20"/>
              <w:jc w:val="center"/>
              <w:rPr>
                <w:b/>
                <w:sz w:val="20"/>
                <w:szCs w:val="20"/>
                <w:lang w:val="en-US"/>
              </w:rPr>
            </w:pPr>
            <w:r>
              <w:rPr>
                <w:b/>
                <w:sz w:val="20"/>
                <w:szCs w:val="20"/>
                <w:lang w:val="en-US"/>
              </w:rPr>
              <w:t>Progress achieved</w:t>
            </w:r>
          </w:p>
        </w:tc>
      </w:tr>
      <w:tr w:rsidR="00C42624" w14:paraId="7A717F0D" w14:textId="77777777" w:rsidTr="00C1059F">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F116C39" w14:textId="77777777" w:rsidR="00C42624" w:rsidRDefault="00C42624" w:rsidP="00DE0733">
            <w:pPr>
              <w:keepNext/>
              <w:shd w:val="clear" w:color="auto" w:fill="FFFFFF" w:themeFill="background1"/>
              <w:spacing w:before="20" w:after="20"/>
              <w:jc w:val="left"/>
              <w:rPr>
                <w:i/>
                <w:sz w:val="20"/>
                <w:szCs w:val="20"/>
                <w:lang w:val="en-US"/>
              </w:rPr>
            </w:pPr>
            <w:r>
              <w:rPr>
                <w:i/>
                <w:sz w:val="20"/>
                <w:szCs w:val="20"/>
                <w:lang w:val="en-US"/>
              </w:rPr>
              <w:t>Individual conversions of five enterprises manufacturing domestic refrigeration and discontinuous panels and a group sub</w:t>
            </w:r>
            <w:r>
              <w:rPr>
                <w:i/>
                <w:sz w:val="20"/>
                <w:szCs w:val="20"/>
                <w:lang w:val="en-US"/>
              </w:rPr>
              <w:noBreakHyphen/>
              <w:t xml:space="preserve">project for the conversion of 42 </w:t>
            </w:r>
            <w:r>
              <w:rPr>
                <w:i/>
                <w:sz w:val="20"/>
                <w:szCs w:val="20"/>
                <w:lang w:val="en-GB"/>
              </w:rPr>
              <w:t>small and medium-sized enterprises (</w:t>
            </w:r>
            <w:r>
              <w:rPr>
                <w:i/>
                <w:sz w:val="20"/>
                <w:lang w:val="en-GB"/>
              </w:rPr>
              <w:t>SMEs</w:t>
            </w:r>
            <w:r>
              <w:rPr>
                <w:i/>
                <w:sz w:val="20"/>
                <w:szCs w:val="20"/>
                <w:lang w:val="en-GB"/>
              </w:rPr>
              <w:t>)</w:t>
            </w:r>
            <w:r>
              <w:rPr>
                <w:i/>
                <w:sz w:val="20"/>
                <w:lang w:val="en-GB"/>
              </w:rPr>
              <w:t xml:space="preserve"> </w:t>
            </w:r>
            <w:r>
              <w:rPr>
                <w:i/>
                <w:sz w:val="20"/>
                <w:szCs w:val="20"/>
                <w:lang w:val="en-US"/>
              </w:rPr>
              <w:t>in several applications</w:t>
            </w:r>
          </w:p>
        </w:tc>
      </w:tr>
      <w:tr w:rsidR="00C42624" w14:paraId="21A1F0D1" w14:textId="77777777" w:rsidTr="00C1059F">
        <w:trPr>
          <w:trHeight w:val="116"/>
        </w:trPr>
        <w:tc>
          <w:tcPr>
            <w:tcW w:w="240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6F240656" w14:textId="77777777" w:rsidR="00C42624" w:rsidRDefault="00C42624" w:rsidP="00C1059F">
            <w:pPr>
              <w:widowControl w:val="0"/>
              <w:shd w:val="clear" w:color="auto" w:fill="FFFFFF" w:themeFill="background1"/>
              <w:spacing w:before="20" w:after="20"/>
              <w:jc w:val="left"/>
              <w:rPr>
                <w:sz w:val="20"/>
                <w:szCs w:val="20"/>
                <w:lang w:val="en-US"/>
              </w:rPr>
            </w:pPr>
            <w:r>
              <w:rPr>
                <w:sz w:val="20"/>
                <w:szCs w:val="20"/>
                <w:lang w:val="en-US"/>
              </w:rPr>
              <w:t>Cyclopentane, pre</w:t>
            </w:r>
            <w:r>
              <w:rPr>
                <w:sz w:val="20"/>
                <w:szCs w:val="20"/>
                <w:lang w:val="en-US"/>
              </w:rPr>
              <w:noBreakHyphen/>
              <w:t>blended hydrocarbon (HC), carbon dioxide (CO</w:t>
            </w:r>
            <w:r>
              <w:rPr>
                <w:sz w:val="20"/>
                <w:szCs w:val="20"/>
                <w:vertAlign w:val="subscript"/>
                <w:lang w:val="en-US"/>
              </w:rPr>
              <w:t>2</w:t>
            </w:r>
            <w:r>
              <w:rPr>
                <w:sz w:val="20"/>
                <w:szCs w:val="20"/>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541411BE" w14:textId="77777777" w:rsidR="00C42624" w:rsidRDefault="00C42624" w:rsidP="00C1059F">
            <w:pPr>
              <w:widowControl w:val="0"/>
              <w:shd w:val="clear" w:color="auto" w:fill="FFFFFF" w:themeFill="background1"/>
              <w:spacing w:before="20" w:after="20"/>
              <w:jc w:val="center"/>
              <w:rPr>
                <w:sz w:val="20"/>
                <w:szCs w:val="20"/>
                <w:lang w:val="en-US"/>
              </w:rPr>
            </w:pPr>
            <w:r>
              <w:rPr>
                <w:sz w:val="20"/>
                <w:szCs w:val="20"/>
                <w:lang w:val="en-US"/>
              </w:rPr>
              <w:t>UNIDO and Italy</w:t>
            </w:r>
          </w:p>
        </w:tc>
        <w:tc>
          <w:tcPr>
            <w:tcW w:w="59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20F993A5" w14:textId="77777777" w:rsidR="00C42624" w:rsidRDefault="00C42624" w:rsidP="00C1059F">
            <w:pPr>
              <w:widowControl w:val="0"/>
              <w:spacing w:before="20" w:after="20"/>
              <w:jc w:val="left"/>
              <w:rPr>
                <w:sz w:val="20"/>
                <w:szCs w:val="20"/>
                <w:lang w:val="en-US"/>
              </w:rPr>
            </w:pPr>
            <w:r>
              <w:rPr>
                <w:sz w:val="20"/>
                <w:szCs w:val="20"/>
                <w:lang w:val="en-US" w:eastAsia="zh-CN"/>
              </w:rPr>
              <w:t>Out of the 19 eligible enterprises included in the project, 18 received equipment, 12 completed installation and training, and all remaining activities are scheduled for completion by the end of 2026</w:t>
            </w:r>
            <w:r>
              <w:rPr>
                <w:rFonts w:eastAsia="SimSun"/>
                <w:sz w:val="20"/>
                <w:szCs w:val="20"/>
                <w:lang w:val="en-US" w:eastAsia="zh-CN"/>
              </w:rPr>
              <w:t>.</w:t>
            </w:r>
          </w:p>
        </w:tc>
      </w:tr>
      <w:tr w:rsidR="00C42624" w14:paraId="0CCB1873" w14:textId="77777777" w:rsidTr="00C1059F">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5CA04D87" w14:textId="77777777" w:rsidR="00C42624" w:rsidRDefault="00C42624" w:rsidP="00C1059F">
            <w:pPr>
              <w:widowControl w:val="0"/>
              <w:shd w:val="clear" w:color="auto" w:fill="FFFFFF" w:themeFill="background1"/>
              <w:spacing w:before="20" w:after="20"/>
              <w:rPr>
                <w:i/>
                <w:sz w:val="20"/>
                <w:szCs w:val="20"/>
                <w:lang w:val="en-US"/>
              </w:rPr>
            </w:pPr>
            <w:r>
              <w:rPr>
                <w:i/>
                <w:sz w:val="20"/>
                <w:szCs w:val="20"/>
                <w:lang w:val="en-US"/>
              </w:rPr>
              <w:t>Individual conversions of three enterprises manufacturing panels for commercial refrigeration equipment</w:t>
            </w:r>
          </w:p>
        </w:tc>
      </w:tr>
      <w:tr w:rsidR="00C42624" w14:paraId="4887313C" w14:textId="77777777" w:rsidTr="00C1059F">
        <w:tc>
          <w:tcPr>
            <w:tcW w:w="240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6675B689" w14:textId="77777777" w:rsidR="00C42624" w:rsidRDefault="00C42624" w:rsidP="00C1059F">
            <w:pPr>
              <w:widowControl w:val="0"/>
              <w:shd w:val="clear" w:color="auto" w:fill="FFFFFF" w:themeFill="background1"/>
              <w:spacing w:before="20" w:after="20"/>
              <w:rPr>
                <w:sz w:val="20"/>
                <w:szCs w:val="20"/>
                <w:lang w:val="en-US"/>
              </w:rPr>
            </w:pPr>
            <w:r>
              <w:rPr>
                <w:sz w:val="20"/>
                <w:szCs w:val="20"/>
                <w:lang w:val="en-US"/>
              </w:rPr>
              <w:t>Cyclopentane</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4CE89FE7" w14:textId="77777777" w:rsidR="00C42624" w:rsidRDefault="00C42624" w:rsidP="00C1059F">
            <w:pPr>
              <w:widowControl w:val="0"/>
              <w:shd w:val="clear" w:color="auto" w:fill="FFFFFF" w:themeFill="background1"/>
              <w:spacing w:before="20" w:after="20"/>
              <w:jc w:val="center"/>
              <w:rPr>
                <w:sz w:val="20"/>
                <w:szCs w:val="20"/>
                <w:lang w:val="en-US"/>
              </w:rPr>
            </w:pPr>
            <w:r>
              <w:rPr>
                <w:sz w:val="20"/>
                <w:szCs w:val="20"/>
                <w:lang w:val="en-US"/>
              </w:rPr>
              <w:t>UNDP</w:t>
            </w:r>
          </w:p>
        </w:tc>
        <w:tc>
          <w:tcPr>
            <w:tcW w:w="59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34B3D9B" w14:textId="77777777" w:rsidR="00C42624" w:rsidRDefault="00C42624" w:rsidP="00C1059F">
            <w:pPr>
              <w:widowControl w:val="0"/>
              <w:spacing w:before="20" w:after="20"/>
              <w:jc w:val="left"/>
              <w:rPr>
                <w:sz w:val="20"/>
                <w:szCs w:val="20"/>
                <w:lang w:val="en-US"/>
              </w:rPr>
            </w:pPr>
            <w:r>
              <w:rPr>
                <w:sz w:val="20"/>
                <w:szCs w:val="20"/>
                <w:lang w:val="en-US"/>
              </w:rPr>
              <w:t>Completed.</w:t>
            </w:r>
          </w:p>
        </w:tc>
      </w:tr>
      <w:tr w:rsidR="00C42624" w14:paraId="7FC6D917" w14:textId="77777777" w:rsidTr="00C1059F">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0578A10B" w14:textId="77777777" w:rsidR="00C42624" w:rsidRDefault="00C42624" w:rsidP="00C1059F">
            <w:pPr>
              <w:widowControl w:val="0"/>
              <w:shd w:val="clear" w:color="auto" w:fill="FFFFFF" w:themeFill="background1"/>
              <w:spacing w:before="20" w:after="20"/>
              <w:rPr>
                <w:i/>
                <w:sz w:val="20"/>
                <w:szCs w:val="20"/>
                <w:lang w:val="en-US"/>
              </w:rPr>
            </w:pPr>
            <w:r>
              <w:rPr>
                <w:i/>
                <w:sz w:val="20"/>
                <w:szCs w:val="20"/>
                <w:lang w:val="en-US"/>
              </w:rPr>
              <w:t>Group conversion of 40 enterprises manufacturing panels for commercial refrigeration equipment</w:t>
            </w:r>
          </w:p>
        </w:tc>
      </w:tr>
      <w:tr w:rsidR="00C42624" w14:paraId="2BD7F24A" w14:textId="77777777" w:rsidTr="00C1059F">
        <w:tc>
          <w:tcPr>
            <w:tcW w:w="240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0A834D1B" w14:textId="77777777" w:rsidR="00C42624" w:rsidRDefault="00C42624" w:rsidP="00C1059F">
            <w:pPr>
              <w:widowControl w:val="0"/>
              <w:shd w:val="clear" w:color="auto" w:fill="FFFFFF" w:themeFill="background1"/>
              <w:spacing w:before="20" w:after="20"/>
              <w:rPr>
                <w:sz w:val="20"/>
                <w:szCs w:val="20"/>
                <w:lang w:val="en-US"/>
              </w:rPr>
            </w:pPr>
            <w:r>
              <w:rPr>
                <w:sz w:val="20"/>
                <w:szCs w:val="20"/>
                <w:lang w:val="en-US"/>
              </w:rPr>
              <w:t>CO</w:t>
            </w:r>
            <w:r>
              <w:rPr>
                <w:sz w:val="20"/>
                <w:szCs w:val="20"/>
                <w:vertAlign w:val="subscript"/>
                <w:lang w:val="en-US"/>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6A31C120" w14:textId="77777777" w:rsidR="00C42624" w:rsidRDefault="00C42624" w:rsidP="00C1059F">
            <w:pPr>
              <w:widowControl w:val="0"/>
              <w:shd w:val="clear" w:color="auto" w:fill="FFFFFF" w:themeFill="background1"/>
              <w:spacing w:before="20" w:after="20"/>
              <w:jc w:val="center"/>
              <w:rPr>
                <w:sz w:val="20"/>
                <w:szCs w:val="20"/>
                <w:lang w:val="en-US"/>
              </w:rPr>
            </w:pPr>
            <w:r>
              <w:rPr>
                <w:sz w:val="20"/>
                <w:szCs w:val="20"/>
                <w:lang w:val="en-US"/>
              </w:rPr>
              <w:t>UNDP</w:t>
            </w:r>
          </w:p>
        </w:tc>
        <w:tc>
          <w:tcPr>
            <w:tcW w:w="59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1CACAEF" w14:textId="77777777" w:rsidR="00C42624" w:rsidRDefault="00C42624" w:rsidP="00C1059F">
            <w:pPr>
              <w:widowControl w:val="0"/>
              <w:spacing w:before="20" w:after="20"/>
              <w:jc w:val="left"/>
              <w:rPr>
                <w:sz w:val="20"/>
                <w:szCs w:val="20"/>
                <w:lang w:val="en-US"/>
              </w:rPr>
            </w:pPr>
            <w:r>
              <w:rPr>
                <w:sz w:val="20"/>
                <w:szCs w:val="20"/>
                <w:lang w:val="en-US"/>
              </w:rPr>
              <w:t xml:space="preserve">Thirty-five enterprises received raw material and equipment and completed conversions </w:t>
            </w:r>
            <w:proofErr w:type="gramStart"/>
            <w:r>
              <w:rPr>
                <w:sz w:val="20"/>
                <w:szCs w:val="20"/>
                <w:lang w:val="en-US"/>
              </w:rPr>
              <w:t>to</w:t>
            </w:r>
            <w:proofErr w:type="gramEnd"/>
            <w:r>
              <w:rPr>
                <w:sz w:val="20"/>
                <w:szCs w:val="20"/>
                <w:lang w:val="en-US"/>
              </w:rPr>
              <w:t xml:space="preserve"> water-blown technology. The remaining five enterprises are awaiting delivery of materials.</w:t>
            </w:r>
          </w:p>
        </w:tc>
      </w:tr>
      <w:tr w:rsidR="00C42624" w14:paraId="67D466D6" w14:textId="77777777" w:rsidTr="00C1059F">
        <w:tc>
          <w:tcPr>
            <w:tcW w:w="9380" w:type="dxa"/>
            <w:gridSpan w:val="3"/>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676D4F5" w14:textId="77777777" w:rsidR="00C42624" w:rsidRDefault="00C42624" w:rsidP="00C1059F">
            <w:pPr>
              <w:widowControl w:val="0"/>
              <w:shd w:val="clear" w:color="auto" w:fill="FFFFFF" w:themeFill="background1"/>
              <w:spacing w:before="20" w:after="20"/>
              <w:jc w:val="left"/>
              <w:rPr>
                <w:i/>
                <w:sz w:val="20"/>
                <w:szCs w:val="20"/>
                <w:lang w:val="en-US"/>
              </w:rPr>
            </w:pPr>
            <w:r>
              <w:rPr>
                <w:i/>
                <w:color w:val="000000"/>
                <w:sz w:val="20"/>
                <w:szCs w:val="20"/>
                <w:lang w:val="en-US" w:eastAsia="en-CA"/>
              </w:rPr>
              <w:t>Conversions of two enterprises manufacturing integral skin foam</w:t>
            </w:r>
          </w:p>
        </w:tc>
      </w:tr>
      <w:tr w:rsidR="00C42624" w14:paraId="4E002E7A" w14:textId="77777777" w:rsidTr="00C1059F">
        <w:trPr>
          <w:trHeight w:val="286"/>
        </w:trPr>
        <w:tc>
          <w:tcPr>
            <w:tcW w:w="2407" w:type="dxa"/>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5A7A038C" w14:textId="77777777" w:rsidR="00C42624" w:rsidRDefault="00C42624" w:rsidP="00C1059F">
            <w:pPr>
              <w:widowControl w:val="0"/>
              <w:shd w:val="clear" w:color="auto" w:fill="FFFFFF" w:themeFill="background1"/>
              <w:spacing w:before="20" w:after="20"/>
              <w:rPr>
                <w:sz w:val="20"/>
                <w:szCs w:val="20"/>
                <w:lang w:val="en-US"/>
              </w:rPr>
            </w:pPr>
            <w:r>
              <w:rPr>
                <w:sz w:val="20"/>
                <w:szCs w:val="20"/>
                <w:lang w:val="en-US"/>
              </w:rPr>
              <w:t>CO</w:t>
            </w:r>
            <w:r>
              <w:rPr>
                <w:sz w:val="20"/>
                <w:szCs w:val="20"/>
                <w:vertAlign w:val="subscript"/>
                <w:lang w:val="en-US"/>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5E6E99A" w14:textId="77777777" w:rsidR="00C42624" w:rsidRDefault="00C42624" w:rsidP="00C1059F">
            <w:pPr>
              <w:widowControl w:val="0"/>
              <w:shd w:val="clear" w:color="auto" w:fill="FFFFFF" w:themeFill="background1"/>
              <w:spacing w:before="20" w:after="20"/>
              <w:jc w:val="center"/>
              <w:rPr>
                <w:sz w:val="20"/>
                <w:szCs w:val="20"/>
                <w:lang w:val="en-US"/>
              </w:rPr>
            </w:pPr>
            <w:r>
              <w:rPr>
                <w:sz w:val="20"/>
                <w:szCs w:val="20"/>
                <w:lang w:val="en-US"/>
              </w:rPr>
              <w:t>UNDP</w:t>
            </w:r>
          </w:p>
        </w:tc>
        <w:tc>
          <w:tcPr>
            <w:tcW w:w="598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69C8752" w14:textId="77777777" w:rsidR="00C42624" w:rsidRDefault="00C42624" w:rsidP="00C1059F">
            <w:pPr>
              <w:widowControl w:val="0"/>
              <w:spacing w:before="20" w:after="20"/>
              <w:jc w:val="left"/>
              <w:rPr>
                <w:sz w:val="20"/>
                <w:szCs w:val="20"/>
                <w:lang w:val="en-US"/>
              </w:rPr>
            </w:pPr>
            <w:r>
              <w:rPr>
                <w:color w:val="000000"/>
                <w:sz w:val="20"/>
                <w:szCs w:val="20"/>
                <w:lang w:val="en-US" w:eastAsia="zh-CN"/>
              </w:rPr>
              <w:t>One enterprise converted and the second completed tests.</w:t>
            </w:r>
          </w:p>
        </w:tc>
      </w:tr>
      <w:tr w:rsidR="00C42624" w14:paraId="48F83281" w14:textId="77777777" w:rsidTr="00C1059F">
        <w:tc>
          <w:tcPr>
            <w:tcW w:w="9380" w:type="dxa"/>
            <w:gridSpan w:val="3"/>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7803E86A" w14:textId="77777777" w:rsidR="00C42624" w:rsidRDefault="00C42624" w:rsidP="00C1059F">
            <w:pPr>
              <w:widowControl w:val="0"/>
              <w:shd w:val="clear" w:color="auto" w:fill="FFFFFF" w:themeFill="background1"/>
              <w:spacing w:before="20" w:after="20"/>
              <w:rPr>
                <w:i/>
                <w:sz w:val="20"/>
                <w:szCs w:val="20"/>
                <w:lang w:val="en-US"/>
              </w:rPr>
            </w:pPr>
            <w:r>
              <w:rPr>
                <w:i/>
                <w:sz w:val="20"/>
                <w:szCs w:val="20"/>
                <w:lang w:val="en-US"/>
              </w:rPr>
              <w:t xml:space="preserve">Technical assistance for the development of cyclopentane and water-blown systems at one systems house and </w:t>
            </w:r>
            <w:r>
              <w:rPr>
                <w:i/>
                <w:sz w:val="20"/>
                <w:lang w:val="en-US"/>
              </w:rPr>
              <w:t>technical assistance to 95 SMEs</w:t>
            </w:r>
          </w:p>
        </w:tc>
      </w:tr>
      <w:tr w:rsidR="00C42624" w14:paraId="0287F59C" w14:textId="77777777" w:rsidTr="00C1059F">
        <w:tc>
          <w:tcPr>
            <w:tcW w:w="2407" w:type="dxa"/>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74B64C69" w14:textId="77777777" w:rsidR="00C42624" w:rsidRDefault="00C42624" w:rsidP="00C1059F">
            <w:pPr>
              <w:widowControl w:val="0"/>
              <w:shd w:val="clear" w:color="auto" w:fill="FFFFFF" w:themeFill="background1"/>
              <w:spacing w:before="20" w:after="20"/>
              <w:rPr>
                <w:sz w:val="20"/>
                <w:szCs w:val="20"/>
                <w:lang w:val="en-US"/>
              </w:rPr>
            </w:pPr>
            <w:r>
              <w:rPr>
                <w:sz w:val="20"/>
                <w:szCs w:val="20"/>
                <w:lang w:val="en-US"/>
              </w:rPr>
              <w:t>Cyclopentane and CO</w:t>
            </w:r>
            <w:r w:rsidRPr="0064547E">
              <w:rPr>
                <w:sz w:val="20"/>
                <w:szCs w:val="20"/>
                <w:vertAlign w:val="subscript"/>
                <w:lang w:val="en-US"/>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09E5846" w14:textId="77777777" w:rsidR="00C42624" w:rsidRDefault="00C42624" w:rsidP="00C1059F">
            <w:pPr>
              <w:widowControl w:val="0"/>
              <w:shd w:val="clear" w:color="auto" w:fill="FFFFFF" w:themeFill="background1"/>
              <w:spacing w:before="20" w:after="20"/>
              <w:jc w:val="center"/>
              <w:rPr>
                <w:sz w:val="20"/>
                <w:szCs w:val="20"/>
                <w:lang w:val="en-US"/>
              </w:rPr>
            </w:pPr>
            <w:r>
              <w:rPr>
                <w:sz w:val="20"/>
                <w:szCs w:val="20"/>
                <w:lang w:val="en-US"/>
              </w:rPr>
              <w:t>UNDP</w:t>
            </w:r>
          </w:p>
        </w:tc>
        <w:tc>
          <w:tcPr>
            <w:tcW w:w="59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25AD4049" w14:textId="77777777" w:rsidR="00C42624" w:rsidRDefault="00C42624" w:rsidP="00C1059F">
            <w:pPr>
              <w:widowControl w:val="0"/>
              <w:spacing w:before="20" w:after="20"/>
              <w:jc w:val="left"/>
              <w:rPr>
                <w:sz w:val="20"/>
                <w:szCs w:val="20"/>
                <w:lang w:val="en-US"/>
              </w:rPr>
            </w:pPr>
            <w:r>
              <w:rPr>
                <w:sz w:val="20"/>
                <w:szCs w:val="20"/>
                <w:lang w:val="en-US"/>
              </w:rPr>
              <w:t>Completed.</w:t>
            </w:r>
          </w:p>
        </w:tc>
      </w:tr>
    </w:tbl>
    <w:p w14:paraId="34E600EB" w14:textId="77777777" w:rsidR="00C42624" w:rsidRDefault="00C42624" w:rsidP="00C42624">
      <w:pPr>
        <w:spacing w:after="240"/>
        <w:rPr>
          <w:sz w:val="18"/>
          <w:szCs w:val="18"/>
        </w:rPr>
      </w:pPr>
      <w:r>
        <w:rPr>
          <w:sz w:val="18"/>
          <w:szCs w:val="18"/>
        </w:rPr>
        <w:t>* Number of assisted enterprises taking into consideration adjustments made in decision 84/74(a) and (b).</w:t>
      </w:r>
    </w:p>
    <w:p w14:paraId="76BE0765" w14:textId="77777777" w:rsidR="00C42624" w:rsidRPr="003E167A" w:rsidRDefault="00C42624" w:rsidP="00C42624">
      <w:pPr>
        <w:widowControl w:val="0"/>
        <w:shd w:val="clear" w:color="auto" w:fill="FFFFFF" w:themeFill="background1"/>
        <w:tabs>
          <w:tab w:val="num" w:pos="0"/>
        </w:tabs>
        <w:spacing w:before="240" w:after="240"/>
        <w:rPr>
          <w:u w:val="single"/>
          <w:lang w:val="en-GB"/>
        </w:rPr>
      </w:pPr>
      <w:r w:rsidRPr="003E167A">
        <w:rPr>
          <w:u w:val="single"/>
          <w:lang w:val="en-GB"/>
        </w:rPr>
        <w:t>Commercial refrigeration manufacturing sector (48 enterprises) (UNDP)</w:t>
      </w:r>
    </w:p>
    <w:p w14:paraId="732E9E3B" w14:textId="77777777" w:rsidR="00C42624" w:rsidRPr="0083372D" w:rsidRDefault="00C42624" w:rsidP="00C42624">
      <w:pPr>
        <w:pStyle w:val="Heading1"/>
        <w:numPr>
          <w:ilvl w:val="0"/>
          <w:numId w:val="24"/>
        </w:numPr>
        <w:rPr>
          <w:lang w:val="en-GB"/>
        </w:rPr>
      </w:pPr>
      <w:r>
        <w:rPr>
          <w:lang w:val="en-GB"/>
        </w:rPr>
        <w:t>Thirty-two enterprises</w:t>
      </w:r>
      <w:r w:rsidRPr="00011D8F">
        <w:rPr>
          <w:lang w:val="en-GB"/>
        </w:rPr>
        <w:t xml:space="preserve"> completed conversion to R-290 and </w:t>
      </w:r>
      <w:r>
        <w:rPr>
          <w:lang w:val="en-GB"/>
        </w:rPr>
        <w:t xml:space="preserve">started commercial-scale </w:t>
      </w:r>
      <w:r w:rsidRPr="00011D8F">
        <w:rPr>
          <w:lang w:val="en-GB"/>
        </w:rPr>
        <w:t>manufacturing.</w:t>
      </w:r>
      <w:r>
        <w:rPr>
          <w:lang w:val="en-GB"/>
        </w:rPr>
        <w:t xml:space="preserve"> Twelve</w:t>
      </w:r>
      <w:r w:rsidRPr="00011D8F">
        <w:rPr>
          <w:lang w:val="en-GB"/>
        </w:rPr>
        <w:t xml:space="preserve"> enterprises are </w:t>
      </w:r>
      <w:r>
        <w:rPr>
          <w:lang w:val="en-GB"/>
        </w:rPr>
        <w:t xml:space="preserve">awaiting </w:t>
      </w:r>
      <w:r w:rsidRPr="00011D8F">
        <w:rPr>
          <w:lang w:val="en-GB"/>
        </w:rPr>
        <w:t xml:space="preserve">the distribution </w:t>
      </w:r>
      <w:r>
        <w:rPr>
          <w:lang w:val="en-GB"/>
        </w:rPr>
        <w:t xml:space="preserve">of </w:t>
      </w:r>
      <w:r w:rsidRPr="00011D8F">
        <w:rPr>
          <w:lang w:val="en-GB"/>
        </w:rPr>
        <w:t>refrigeration tool</w:t>
      </w:r>
      <w:r>
        <w:rPr>
          <w:lang w:val="en-GB"/>
        </w:rPr>
        <w:t xml:space="preserve"> </w:t>
      </w:r>
      <w:r w:rsidRPr="00011D8F">
        <w:rPr>
          <w:lang w:val="en-GB"/>
        </w:rPr>
        <w:t>kits</w:t>
      </w:r>
      <w:r>
        <w:rPr>
          <w:lang w:val="en-GB"/>
        </w:rPr>
        <w:t>.</w:t>
      </w:r>
      <w:r w:rsidRPr="00011D8F">
        <w:rPr>
          <w:lang w:val="en-GB"/>
        </w:rPr>
        <w:t xml:space="preserve"> The procurement of refrigeration tool</w:t>
      </w:r>
      <w:r>
        <w:rPr>
          <w:lang w:val="en-GB"/>
        </w:rPr>
        <w:t xml:space="preserve"> </w:t>
      </w:r>
      <w:r w:rsidRPr="00011D8F">
        <w:rPr>
          <w:lang w:val="en-GB"/>
        </w:rPr>
        <w:t>kit</w:t>
      </w:r>
      <w:r>
        <w:rPr>
          <w:lang w:val="en-GB"/>
        </w:rPr>
        <w:t>s</w:t>
      </w:r>
      <w:r w:rsidRPr="00011D8F">
        <w:rPr>
          <w:lang w:val="en-GB"/>
        </w:rPr>
        <w:t xml:space="preserve"> for the remaining four </w:t>
      </w:r>
      <w:r>
        <w:rPr>
          <w:lang w:val="en-GB"/>
        </w:rPr>
        <w:t>enterprises</w:t>
      </w:r>
      <w:r w:rsidRPr="00011D8F">
        <w:rPr>
          <w:lang w:val="en-GB"/>
        </w:rPr>
        <w:t xml:space="preserve"> is ongoing, with delivery expected by </w:t>
      </w:r>
      <w:r>
        <w:rPr>
          <w:lang w:val="en-GB"/>
        </w:rPr>
        <w:t xml:space="preserve">the </w:t>
      </w:r>
      <w:r w:rsidRPr="00011D8F">
        <w:rPr>
          <w:lang w:val="en-GB"/>
        </w:rPr>
        <w:t>end</w:t>
      </w:r>
      <w:r>
        <w:rPr>
          <w:lang w:val="en-GB"/>
        </w:rPr>
        <w:t xml:space="preserve"> of </w:t>
      </w:r>
      <w:r w:rsidRPr="00011D8F">
        <w:rPr>
          <w:lang w:val="en-GB"/>
        </w:rPr>
        <w:t>2025.</w:t>
      </w:r>
    </w:p>
    <w:p w14:paraId="5E79370A" w14:textId="77777777" w:rsidR="00C42624" w:rsidRPr="003E167A" w:rsidRDefault="00C42624" w:rsidP="00C42624">
      <w:pPr>
        <w:keepNext/>
        <w:spacing w:before="240" w:after="240"/>
        <w:outlineLvl w:val="0"/>
        <w:rPr>
          <w:iCs/>
          <w:u w:val="single"/>
        </w:rPr>
      </w:pPr>
      <w:r w:rsidRPr="003E167A">
        <w:rPr>
          <w:iCs/>
          <w:u w:val="single"/>
        </w:rPr>
        <w:t>Refrigeration servicing sector (UNDP, UNEP and UNIDO)</w:t>
      </w:r>
    </w:p>
    <w:p w14:paraId="6B417357" w14:textId="77777777" w:rsidR="00C42624" w:rsidRDefault="00C42624" w:rsidP="00C42624">
      <w:pPr>
        <w:pStyle w:val="Heading1"/>
        <w:numPr>
          <w:ilvl w:val="0"/>
          <w:numId w:val="24"/>
        </w:numPr>
      </w:pPr>
      <w:r w:rsidRPr="00647C65">
        <w:t>The</w:t>
      </w:r>
      <w:r w:rsidRPr="00CF78CD">
        <w:t xml:space="preserve"> Technical and Vocational Training Organization</w:t>
      </w:r>
      <w:r w:rsidRPr="00647C65">
        <w:t xml:space="preserve"> </w:t>
      </w:r>
      <w:r>
        <w:t>(</w:t>
      </w:r>
      <w:r w:rsidRPr="00647C65">
        <w:t>TVTO</w:t>
      </w:r>
      <w:r>
        <w:t>)</w:t>
      </w:r>
      <w:r w:rsidRPr="00647C65">
        <w:t xml:space="preserve"> curriculum was updated with six revised training standards, six updated modules, and 13 new or translated teaching materials. A total of 987</w:t>
      </w:r>
      <w:r>
        <w:t> </w:t>
      </w:r>
      <w:r w:rsidRPr="00647C65">
        <w:t>technicians and trainers across the country received training. A study on competency-based certification was carried out with the TVTO Instructor Training and Research Centr</w:t>
      </w:r>
      <w:r>
        <w:t>e</w:t>
      </w:r>
      <w:r w:rsidRPr="00647C65">
        <w:t xml:space="preserve">, and the </w:t>
      </w:r>
      <w:r>
        <w:t>national ozone unit (</w:t>
      </w:r>
      <w:r w:rsidRPr="00647C65">
        <w:t>NOU</w:t>
      </w:r>
      <w:r>
        <w:t>)</w:t>
      </w:r>
      <w:r w:rsidRPr="00647C65">
        <w:t xml:space="preserve"> held six meetings with the RAC Association to gather data on technicians. Manuals and guides, including one on </w:t>
      </w:r>
      <w:r>
        <w:t xml:space="preserve">the </w:t>
      </w:r>
      <w:r w:rsidRPr="00647C65">
        <w:t xml:space="preserve">safe </w:t>
      </w:r>
      <w:r>
        <w:t>handling</w:t>
      </w:r>
      <w:r w:rsidRPr="00647C65">
        <w:t xml:space="preserve"> of flammable refrigerants, were translated into Farsi and distributed, and a training video based on UNEP’s good practices was produced. Two workshops on green procurement and green building</w:t>
      </w:r>
      <w:r>
        <w:t>s</w:t>
      </w:r>
      <w:r w:rsidRPr="00647C65">
        <w:t xml:space="preserve"> were organized. </w:t>
      </w:r>
      <w:r>
        <w:t xml:space="preserve">Standard </w:t>
      </w:r>
      <w:r w:rsidRPr="00647C65">
        <w:t xml:space="preserve">ISO 5149/1-4 was adopted as </w:t>
      </w:r>
      <w:r>
        <w:t>a</w:t>
      </w:r>
      <w:r w:rsidRPr="00647C65">
        <w:t xml:space="preserve"> national standard, and a new occupational health and safety standard for servicing workers handling flammable refrigerants was developed with the Iranian </w:t>
      </w:r>
      <w:r>
        <w:t>S</w:t>
      </w:r>
      <w:r w:rsidRPr="00647C65">
        <w:t xml:space="preserve">tandards </w:t>
      </w:r>
      <w:r>
        <w:t>O</w:t>
      </w:r>
      <w:r w:rsidRPr="00647C65">
        <w:t>rganization.</w:t>
      </w:r>
    </w:p>
    <w:p w14:paraId="48F2C259" w14:textId="77777777" w:rsidR="00C42624" w:rsidRPr="00BE2F22" w:rsidRDefault="00C42624" w:rsidP="00C42624">
      <w:pPr>
        <w:spacing w:after="240"/>
        <w:rPr>
          <w:u w:val="single"/>
        </w:rPr>
      </w:pPr>
      <w:r w:rsidRPr="00BE2F22">
        <w:rPr>
          <w:u w:val="single"/>
        </w:rPr>
        <w:t>Fund disbursement</w:t>
      </w:r>
    </w:p>
    <w:p w14:paraId="24169FFC" w14:textId="4D36A4AA" w:rsidR="00C42624" w:rsidRPr="00D1470A" w:rsidRDefault="00C42624" w:rsidP="00C42624">
      <w:pPr>
        <w:pStyle w:val="Heading1"/>
        <w:numPr>
          <w:ilvl w:val="0"/>
          <w:numId w:val="24"/>
        </w:numPr>
        <w:rPr>
          <w:lang w:val="en-US"/>
        </w:rPr>
      </w:pPr>
      <w:r w:rsidRPr="00D1470A">
        <w:rPr>
          <w:lang w:val="en-US"/>
        </w:rPr>
        <w:t xml:space="preserve">As of </w:t>
      </w:r>
      <w:r>
        <w:rPr>
          <w:lang w:val="en-US"/>
        </w:rPr>
        <w:t>July</w:t>
      </w:r>
      <w:r w:rsidRPr="00D1470A">
        <w:rPr>
          <w:lang w:val="en-US"/>
        </w:rPr>
        <w:t xml:space="preserve"> 202</w:t>
      </w:r>
      <w:r>
        <w:rPr>
          <w:lang w:val="en-US"/>
        </w:rPr>
        <w:t>5</w:t>
      </w:r>
      <w:r w:rsidRPr="00D1470A">
        <w:rPr>
          <w:lang w:val="en-US"/>
        </w:rPr>
        <w:t>, of the US</w:t>
      </w:r>
      <w:r>
        <w:rPr>
          <w:lang w:val="en-US"/>
        </w:rPr>
        <w:t> </w:t>
      </w:r>
      <w:r w:rsidRPr="00D1470A">
        <w:rPr>
          <w:lang w:val="en-US"/>
        </w:rPr>
        <w:t>$</w:t>
      </w:r>
      <w:r>
        <w:rPr>
          <w:lang w:val="en-US"/>
        </w:rPr>
        <w:t>10,248,862</w:t>
      </w:r>
      <w:r w:rsidRPr="00D1470A">
        <w:rPr>
          <w:lang w:val="en-US"/>
        </w:rPr>
        <w:t xml:space="preserve"> approved (taking into account the deductions</w:t>
      </w:r>
      <w:r>
        <w:rPr>
          <w:lang w:val="en-US"/>
        </w:rPr>
        <w:t xml:space="preserve">, returns </w:t>
      </w:r>
      <w:r w:rsidRPr="00D1470A">
        <w:rPr>
          <w:lang w:val="en-US"/>
        </w:rPr>
        <w:t>and transfers approved by decisions 80/21(c), 84/74(a)(iv) and 92/3(b)(v)), US</w:t>
      </w:r>
      <w:r>
        <w:rPr>
          <w:lang w:val="en-US"/>
        </w:rPr>
        <w:t> </w:t>
      </w:r>
      <w:r w:rsidRPr="00D1470A">
        <w:rPr>
          <w:lang w:val="en-US"/>
        </w:rPr>
        <w:t>$</w:t>
      </w:r>
      <w:r>
        <w:rPr>
          <w:lang w:val="en-US"/>
        </w:rPr>
        <w:t>9,101,688</w:t>
      </w:r>
      <w:r w:rsidRPr="00D1470A">
        <w:rPr>
          <w:lang w:val="en-US"/>
        </w:rPr>
        <w:t xml:space="preserve"> had been disbursed (US</w:t>
      </w:r>
      <w:r>
        <w:rPr>
          <w:lang w:val="en-US"/>
        </w:rPr>
        <w:t> </w:t>
      </w:r>
      <w:r w:rsidRPr="00D1470A">
        <w:rPr>
          <w:lang w:val="en-US"/>
        </w:rPr>
        <w:t>$</w:t>
      </w:r>
      <w:r>
        <w:rPr>
          <w:lang w:val="en-US"/>
        </w:rPr>
        <w:t>4,903,882</w:t>
      </w:r>
      <w:r w:rsidRPr="00D1470A">
        <w:rPr>
          <w:lang w:val="en-US"/>
        </w:rPr>
        <w:t xml:space="preserve"> for UNDP, US</w:t>
      </w:r>
      <w:r>
        <w:rPr>
          <w:lang w:val="en-US"/>
        </w:rPr>
        <w:t> </w:t>
      </w:r>
      <w:r w:rsidRPr="00D1470A">
        <w:rPr>
          <w:lang w:val="en-US"/>
        </w:rPr>
        <w:t>$</w:t>
      </w:r>
      <w:r>
        <w:rPr>
          <w:lang w:val="en-US"/>
        </w:rPr>
        <w:t>1,194,686</w:t>
      </w:r>
      <w:r w:rsidRPr="00D1470A">
        <w:rPr>
          <w:lang w:val="en-US"/>
        </w:rPr>
        <w:t xml:space="preserve"> for UNIDO, US</w:t>
      </w:r>
      <w:r>
        <w:rPr>
          <w:lang w:val="en-US"/>
        </w:rPr>
        <w:t> </w:t>
      </w:r>
      <w:r w:rsidRPr="00D1470A">
        <w:rPr>
          <w:lang w:val="en-US"/>
        </w:rPr>
        <w:t>$</w:t>
      </w:r>
      <w:r>
        <w:rPr>
          <w:lang w:val="en-US"/>
        </w:rPr>
        <w:t>452</w:t>
      </w:r>
      <w:r w:rsidRPr="00D1470A">
        <w:rPr>
          <w:lang w:val="en-US"/>
        </w:rPr>
        <w:t>,</w:t>
      </w:r>
      <w:r>
        <w:rPr>
          <w:lang w:val="en-US"/>
        </w:rPr>
        <w:t>555</w:t>
      </w:r>
      <w:r w:rsidRPr="00D1470A">
        <w:rPr>
          <w:lang w:val="en-US"/>
        </w:rPr>
        <w:t xml:space="preserve"> for UNEP, US</w:t>
      </w:r>
      <w:r>
        <w:rPr>
          <w:lang w:val="en-US"/>
        </w:rPr>
        <w:t> </w:t>
      </w:r>
      <w:r w:rsidRPr="00D1470A">
        <w:rPr>
          <w:lang w:val="en-US"/>
        </w:rPr>
        <w:t>$1,645,127 for Germany and US</w:t>
      </w:r>
      <w:r>
        <w:rPr>
          <w:lang w:val="en-US"/>
        </w:rPr>
        <w:t> </w:t>
      </w:r>
      <w:r w:rsidRPr="00D1470A">
        <w:rPr>
          <w:lang w:val="en-US"/>
        </w:rPr>
        <w:t>$</w:t>
      </w:r>
      <w:r>
        <w:rPr>
          <w:lang w:val="en-US"/>
        </w:rPr>
        <w:t xml:space="preserve">905,438 </w:t>
      </w:r>
      <w:r w:rsidRPr="00D1470A">
        <w:rPr>
          <w:lang w:val="en-US"/>
        </w:rPr>
        <w:t xml:space="preserve">for Italy), as shown </w:t>
      </w:r>
      <w:r w:rsidRPr="00C42624">
        <w:rPr>
          <w:lang w:val="en-US"/>
        </w:rPr>
        <w:t xml:space="preserve">in </w:t>
      </w:r>
      <w:r w:rsidRPr="00C42624">
        <w:rPr>
          <w:shd w:val="clear" w:color="auto" w:fill="FFFFFF" w:themeFill="background1"/>
          <w:lang w:val="en-US"/>
        </w:rPr>
        <w:t>table 3.</w:t>
      </w:r>
      <w:r w:rsidRPr="00D1470A">
        <w:rPr>
          <w:lang w:val="en-US"/>
        </w:rPr>
        <w:t xml:space="preserve"> The balance of US</w:t>
      </w:r>
      <w:r>
        <w:rPr>
          <w:lang w:val="en-US"/>
        </w:rPr>
        <w:t> </w:t>
      </w:r>
      <w:r w:rsidRPr="00D1470A">
        <w:rPr>
          <w:lang w:val="en-US"/>
        </w:rPr>
        <w:t>$</w:t>
      </w:r>
      <w:r>
        <w:rPr>
          <w:lang w:val="en-US"/>
        </w:rPr>
        <w:t>1,147,174</w:t>
      </w:r>
      <w:r w:rsidRPr="00D1470A">
        <w:rPr>
          <w:lang w:val="en-US"/>
        </w:rPr>
        <w:t xml:space="preserve"> will be disbursed in 202</w:t>
      </w:r>
      <w:r>
        <w:rPr>
          <w:lang w:val="en-US"/>
        </w:rPr>
        <w:t>6–</w:t>
      </w:r>
      <w:r w:rsidRPr="00D1470A">
        <w:rPr>
          <w:lang w:val="en-US"/>
        </w:rPr>
        <w:t>202</w:t>
      </w:r>
      <w:r>
        <w:rPr>
          <w:lang w:val="en-US"/>
        </w:rPr>
        <w:t>7</w:t>
      </w:r>
      <w:r w:rsidRPr="00D1470A">
        <w:rPr>
          <w:lang w:val="en-US"/>
        </w:rPr>
        <w:t>.</w:t>
      </w:r>
    </w:p>
    <w:p w14:paraId="13043D3F" w14:textId="7BCFA514" w:rsidR="00C42624" w:rsidRPr="00C90672" w:rsidRDefault="00C42624" w:rsidP="00C42624">
      <w:pPr>
        <w:keepNext/>
        <w:rPr>
          <w:b/>
          <w:lang w:val="en-US"/>
        </w:rPr>
      </w:pPr>
      <w:r w:rsidRPr="00C90672">
        <w:rPr>
          <w:b/>
          <w:bCs/>
          <w:lang w:val="en-US"/>
        </w:rPr>
        <w:lastRenderedPageBreak/>
        <w:t>Table 3. Disbursement of funds approved under stage II of the HPMP for Iran (US $)</w:t>
      </w:r>
    </w:p>
    <w:tbl>
      <w:tblPr>
        <w:tblW w:w="5000" w:type="pct"/>
        <w:tblLayout w:type="fixed"/>
        <w:tblLook w:val="04A0" w:firstRow="1" w:lastRow="0" w:firstColumn="1" w:lastColumn="0" w:noHBand="0" w:noVBand="1"/>
      </w:tblPr>
      <w:tblGrid>
        <w:gridCol w:w="1010"/>
        <w:gridCol w:w="1115"/>
        <w:gridCol w:w="1133"/>
        <w:gridCol w:w="991"/>
        <w:gridCol w:w="995"/>
        <w:gridCol w:w="1131"/>
        <w:gridCol w:w="991"/>
        <w:gridCol w:w="1193"/>
        <w:gridCol w:w="791"/>
      </w:tblGrid>
      <w:tr w:rsidR="00C42624" w:rsidRPr="00941AA7" w14:paraId="584F920C" w14:textId="77777777" w:rsidTr="00C1059F">
        <w:trPr>
          <w:trHeight w:val="436"/>
          <w:tblHeader/>
        </w:trPr>
        <w:tc>
          <w:tcPr>
            <w:tcW w:w="1136" w:type="pct"/>
            <w:gridSpan w:val="2"/>
            <w:tcBorders>
              <w:top w:val="single" w:sz="4" w:space="0" w:color="auto"/>
              <w:left w:val="single" w:sz="4" w:space="0" w:color="auto"/>
              <w:bottom w:val="single" w:sz="4" w:space="0" w:color="auto"/>
              <w:right w:val="single" w:sz="4" w:space="0" w:color="auto"/>
            </w:tcBorders>
            <w:noWrap/>
            <w:vAlign w:val="center"/>
            <w:hideMark/>
          </w:tcPr>
          <w:p w14:paraId="24AE644B" w14:textId="77777777" w:rsidR="00C42624" w:rsidRPr="00941AA7" w:rsidRDefault="00C42624" w:rsidP="00C1059F">
            <w:pPr>
              <w:jc w:val="center"/>
              <w:rPr>
                <w:b/>
                <w:bCs/>
                <w:sz w:val="20"/>
                <w:szCs w:val="20"/>
                <w:lang w:eastAsia="en-CA"/>
              </w:rPr>
            </w:pPr>
            <w:r w:rsidRPr="00941AA7">
              <w:rPr>
                <w:b/>
                <w:bCs/>
                <w:sz w:val="20"/>
                <w:szCs w:val="20"/>
                <w:lang w:eastAsia="en-CA"/>
              </w:rPr>
              <w:t>Tranche</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14A52E2" w14:textId="77777777" w:rsidR="00C42624" w:rsidRPr="00941AA7" w:rsidRDefault="00C42624" w:rsidP="00C1059F">
            <w:pPr>
              <w:jc w:val="center"/>
              <w:rPr>
                <w:b/>
                <w:bCs/>
                <w:sz w:val="20"/>
                <w:szCs w:val="20"/>
                <w:lang w:eastAsia="en-CA"/>
              </w:rPr>
            </w:pPr>
            <w:r w:rsidRPr="00941AA7">
              <w:rPr>
                <w:b/>
                <w:bCs/>
                <w:sz w:val="20"/>
                <w:szCs w:val="20"/>
                <w:lang w:eastAsia="en-CA"/>
              </w:rPr>
              <w:t>UNDP</w:t>
            </w:r>
          </w:p>
        </w:tc>
        <w:tc>
          <w:tcPr>
            <w:tcW w:w="530" w:type="pct"/>
            <w:tcBorders>
              <w:top w:val="single" w:sz="4" w:space="0" w:color="auto"/>
              <w:left w:val="single" w:sz="4" w:space="0" w:color="auto"/>
              <w:bottom w:val="single" w:sz="4" w:space="0" w:color="auto"/>
              <w:right w:val="single" w:sz="4" w:space="0" w:color="auto"/>
            </w:tcBorders>
            <w:vAlign w:val="center"/>
            <w:hideMark/>
          </w:tcPr>
          <w:p w14:paraId="2B5A8670" w14:textId="77777777" w:rsidR="00C42624" w:rsidRPr="00941AA7" w:rsidRDefault="00C42624" w:rsidP="00C1059F">
            <w:pPr>
              <w:jc w:val="center"/>
              <w:rPr>
                <w:b/>
                <w:bCs/>
                <w:sz w:val="20"/>
                <w:szCs w:val="20"/>
                <w:lang w:eastAsia="en-CA"/>
              </w:rPr>
            </w:pPr>
            <w:r w:rsidRPr="00941AA7">
              <w:rPr>
                <w:b/>
                <w:bCs/>
                <w:sz w:val="20"/>
                <w:szCs w:val="20"/>
                <w:lang w:eastAsia="en-CA"/>
              </w:rPr>
              <w:t>UNIDO</w:t>
            </w:r>
          </w:p>
        </w:tc>
        <w:tc>
          <w:tcPr>
            <w:tcW w:w="532" w:type="pct"/>
            <w:tcBorders>
              <w:top w:val="single" w:sz="4" w:space="0" w:color="auto"/>
              <w:left w:val="single" w:sz="4" w:space="0" w:color="auto"/>
              <w:bottom w:val="single" w:sz="4" w:space="0" w:color="auto"/>
              <w:right w:val="single" w:sz="4" w:space="0" w:color="auto"/>
            </w:tcBorders>
            <w:vAlign w:val="center"/>
            <w:hideMark/>
          </w:tcPr>
          <w:p w14:paraId="4AE44476" w14:textId="77777777" w:rsidR="00C42624" w:rsidRPr="00941AA7" w:rsidRDefault="00C42624" w:rsidP="00C1059F">
            <w:pPr>
              <w:jc w:val="center"/>
              <w:rPr>
                <w:b/>
                <w:bCs/>
                <w:sz w:val="20"/>
                <w:szCs w:val="20"/>
                <w:lang w:eastAsia="en-CA"/>
              </w:rPr>
            </w:pPr>
            <w:r w:rsidRPr="00941AA7">
              <w:rPr>
                <w:b/>
                <w:bCs/>
                <w:sz w:val="20"/>
                <w:szCs w:val="20"/>
                <w:lang w:eastAsia="en-CA"/>
              </w:rPr>
              <w:t>UNEP</w:t>
            </w:r>
          </w:p>
        </w:tc>
        <w:tc>
          <w:tcPr>
            <w:tcW w:w="605" w:type="pct"/>
            <w:tcBorders>
              <w:top w:val="single" w:sz="4" w:space="0" w:color="auto"/>
              <w:left w:val="single" w:sz="4" w:space="0" w:color="auto"/>
              <w:bottom w:val="single" w:sz="4" w:space="0" w:color="auto"/>
              <w:right w:val="single" w:sz="4" w:space="0" w:color="auto"/>
            </w:tcBorders>
            <w:vAlign w:val="center"/>
            <w:hideMark/>
          </w:tcPr>
          <w:p w14:paraId="3223518A" w14:textId="77777777" w:rsidR="00C42624" w:rsidRPr="00941AA7" w:rsidRDefault="00C42624" w:rsidP="00C1059F">
            <w:pPr>
              <w:jc w:val="center"/>
              <w:rPr>
                <w:b/>
                <w:bCs/>
                <w:sz w:val="20"/>
                <w:szCs w:val="20"/>
                <w:lang w:eastAsia="en-CA"/>
              </w:rPr>
            </w:pPr>
            <w:r w:rsidRPr="00941AA7">
              <w:rPr>
                <w:b/>
                <w:bCs/>
                <w:sz w:val="20"/>
                <w:szCs w:val="20"/>
                <w:lang w:eastAsia="en-CA"/>
              </w:rPr>
              <w:t>Germany</w:t>
            </w:r>
          </w:p>
        </w:tc>
        <w:tc>
          <w:tcPr>
            <w:tcW w:w="530" w:type="pct"/>
            <w:tcBorders>
              <w:top w:val="single" w:sz="4" w:space="0" w:color="auto"/>
              <w:left w:val="single" w:sz="4" w:space="0" w:color="auto"/>
              <w:bottom w:val="single" w:sz="4" w:space="0" w:color="auto"/>
              <w:right w:val="single" w:sz="4" w:space="0" w:color="auto"/>
            </w:tcBorders>
            <w:vAlign w:val="center"/>
            <w:hideMark/>
          </w:tcPr>
          <w:p w14:paraId="0FFBD97A" w14:textId="77777777" w:rsidR="00C42624" w:rsidRPr="00941AA7" w:rsidRDefault="00C42624" w:rsidP="00C1059F">
            <w:pPr>
              <w:jc w:val="center"/>
              <w:rPr>
                <w:b/>
                <w:bCs/>
                <w:sz w:val="20"/>
                <w:szCs w:val="20"/>
                <w:lang w:eastAsia="en-CA"/>
              </w:rPr>
            </w:pPr>
            <w:r w:rsidRPr="00941AA7">
              <w:rPr>
                <w:b/>
                <w:bCs/>
                <w:sz w:val="20"/>
                <w:szCs w:val="20"/>
                <w:lang w:eastAsia="en-CA"/>
              </w:rPr>
              <w:t>Italy</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BD2D597" w14:textId="77777777" w:rsidR="00C42624" w:rsidRPr="00941AA7" w:rsidRDefault="00C42624" w:rsidP="00C1059F">
            <w:pPr>
              <w:jc w:val="center"/>
              <w:rPr>
                <w:b/>
                <w:bCs/>
                <w:sz w:val="20"/>
                <w:szCs w:val="20"/>
                <w:lang w:eastAsia="en-CA"/>
              </w:rPr>
            </w:pPr>
            <w:r w:rsidRPr="00941AA7">
              <w:rPr>
                <w:b/>
                <w:bCs/>
                <w:sz w:val="20"/>
                <w:szCs w:val="20"/>
                <w:lang w:eastAsia="en-CA"/>
              </w:rPr>
              <w:t>Total</w:t>
            </w:r>
          </w:p>
        </w:tc>
        <w:tc>
          <w:tcPr>
            <w:tcW w:w="423" w:type="pct"/>
            <w:tcBorders>
              <w:top w:val="single" w:sz="4" w:space="0" w:color="auto"/>
              <w:left w:val="nil"/>
              <w:bottom w:val="single" w:sz="4" w:space="0" w:color="auto"/>
              <w:right w:val="single" w:sz="4" w:space="0" w:color="auto"/>
            </w:tcBorders>
            <w:noWrap/>
            <w:vAlign w:val="center"/>
            <w:hideMark/>
          </w:tcPr>
          <w:p w14:paraId="7258EB80" w14:textId="77777777" w:rsidR="00C42624" w:rsidRPr="00941AA7" w:rsidRDefault="00C42624" w:rsidP="00C1059F">
            <w:pPr>
              <w:ind w:left="-43" w:right="-108"/>
              <w:jc w:val="center"/>
              <w:rPr>
                <w:b/>
                <w:bCs/>
                <w:sz w:val="20"/>
                <w:szCs w:val="20"/>
                <w:lang w:eastAsia="en-CA"/>
              </w:rPr>
            </w:pPr>
            <w:proofErr w:type="spellStart"/>
            <w:r w:rsidRPr="00941AA7">
              <w:rPr>
                <w:b/>
                <w:bCs/>
                <w:sz w:val="20"/>
                <w:szCs w:val="20"/>
                <w:lang w:eastAsia="en-CA"/>
              </w:rPr>
              <w:t>Disb</w:t>
            </w:r>
            <w:proofErr w:type="spellEnd"/>
            <w:r w:rsidRPr="00941AA7">
              <w:rPr>
                <w:b/>
                <w:bCs/>
                <w:sz w:val="20"/>
                <w:szCs w:val="20"/>
                <w:lang w:eastAsia="en-CA"/>
              </w:rPr>
              <w:t>.</w:t>
            </w:r>
            <w:r w:rsidRPr="00941AA7">
              <w:rPr>
                <w:b/>
                <w:bCs/>
                <w:sz w:val="20"/>
                <w:szCs w:val="20"/>
                <w:lang w:eastAsia="en-CA"/>
              </w:rPr>
              <w:br/>
              <w:t>rate (%)</w:t>
            </w:r>
          </w:p>
        </w:tc>
      </w:tr>
      <w:tr w:rsidR="00C42624" w:rsidRPr="00941AA7" w14:paraId="6D243C92" w14:textId="77777777" w:rsidTr="00C1059F">
        <w:trPr>
          <w:trHeight w:val="300"/>
        </w:trPr>
        <w:tc>
          <w:tcPr>
            <w:tcW w:w="540" w:type="pct"/>
            <w:vMerge w:val="restart"/>
            <w:tcBorders>
              <w:top w:val="nil"/>
              <w:left w:val="single" w:sz="4" w:space="0" w:color="auto"/>
              <w:bottom w:val="single" w:sz="4" w:space="0" w:color="auto"/>
              <w:right w:val="single" w:sz="4" w:space="0" w:color="auto"/>
            </w:tcBorders>
            <w:noWrap/>
            <w:vAlign w:val="center"/>
            <w:hideMark/>
          </w:tcPr>
          <w:p w14:paraId="7FA2BCA2" w14:textId="77777777" w:rsidR="00C42624" w:rsidRPr="00941AA7" w:rsidRDefault="00C42624" w:rsidP="00C1059F">
            <w:pPr>
              <w:jc w:val="left"/>
              <w:rPr>
                <w:sz w:val="20"/>
                <w:szCs w:val="20"/>
                <w:lang w:eastAsia="en-CA"/>
              </w:rPr>
            </w:pPr>
            <w:r w:rsidRPr="00941AA7">
              <w:rPr>
                <w:bCs/>
                <w:sz w:val="20"/>
                <w:szCs w:val="20"/>
                <w:lang w:eastAsia="en-CA"/>
              </w:rPr>
              <w:t>First</w:t>
            </w:r>
          </w:p>
        </w:tc>
        <w:tc>
          <w:tcPr>
            <w:tcW w:w="596" w:type="pct"/>
            <w:tcBorders>
              <w:top w:val="nil"/>
              <w:left w:val="nil"/>
              <w:bottom w:val="single" w:sz="4" w:space="0" w:color="auto"/>
              <w:right w:val="single" w:sz="4" w:space="0" w:color="auto"/>
            </w:tcBorders>
            <w:noWrap/>
            <w:vAlign w:val="center"/>
            <w:hideMark/>
          </w:tcPr>
          <w:p w14:paraId="212B90BC" w14:textId="77777777" w:rsidR="00C42624" w:rsidRPr="00941AA7" w:rsidRDefault="00C42624" w:rsidP="00C1059F">
            <w:pPr>
              <w:rPr>
                <w:sz w:val="20"/>
                <w:szCs w:val="20"/>
                <w:lang w:eastAsia="en-CA"/>
              </w:rPr>
            </w:pPr>
            <w:r w:rsidRPr="00941AA7">
              <w:rPr>
                <w:bCs/>
                <w:sz w:val="20"/>
                <w:szCs w:val="20"/>
                <w:lang w:eastAsia="en-CA"/>
              </w:rPr>
              <w:t>Approved</w:t>
            </w:r>
          </w:p>
        </w:tc>
        <w:tc>
          <w:tcPr>
            <w:tcW w:w="606" w:type="pct"/>
            <w:tcBorders>
              <w:top w:val="nil"/>
              <w:left w:val="nil"/>
              <w:bottom w:val="single" w:sz="4" w:space="0" w:color="auto"/>
              <w:right w:val="single" w:sz="4" w:space="0" w:color="auto"/>
            </w:tcBorders>
            <w:noWrap/>
            <w:vAlign w:val="center"/>
            <w:hideMark/>
          </w:tcPr>
          <w:p w14:paraId="1F5C35C5" w14:textId="77777777" w:rsidR="00C42624" w:rsidRPr="00941AA7" w:rsidRDefault="00C42624" w:rsidP="00C1059F">
            <w:pPr>
              <w:jc w:val="right"/>
              <w:rPr>
                <w:sz w:val="20"/>
                <w:szCs w:val="20"/>
                <w:lang w:eastAsia="en-CA"/>
              </w:rPr>
            </w:pPr>
            <w:r w:rsidRPr="00941AA7">
              <w:rPr>
                <w:sz w:val="20"/>
                <w:szCs w:val="20"/>
                <w:lang w:val="en-US" w:eastAsia="zh-CN"/>
              </w:rPr>
              <w:t>1,298,170</w:t>
            </w:r>
          </w:p>
        </w:tc>
        <w:tc>
          <w:tcPr>
            <w:tcW w:w="530" w:type="pct"/>
            <w:tcBorders>
              <w:top w:val="nil"/>
              <w:left w:val="nil"/>
              <w:bottom w:val="single" w:sz="4" w:space="0" w:color="auto"/>
              <w:right w:val="single" w:sz="4" w:space="0" w:color="auto"/>
            </w:tcBorders>
            <w:vAlign w:val="center"/>
            <w:hideMark/>
          </w:tcPr>
          <w:p w14:paraId="2F878642" w14:textId="77777777" w:rsidR="00C42624" w:rsidRPr="00941AA7" w:rsidRDefault="00C42624" w:rsidP="00C1059F">
            <w:pPr>
              <w:jc w:val="right"/>
              <w:rPr>
                <w:sz w:val="20"/>
                <w:szCs w:val="20"/>
                <w:lang w:eastAsia="en-CA"/>
              </w:rPr>
            </w:pPr>
            <w:r w:rsidRPr="00941AA7">
              <w:rPr>
                <w:sz w:val="20"/>
                <w:szCs w:val="20"/>
                <w:lang w:val="en-US" w:eastAsia="en-CA"/>
              </w:rPr>
              <w:t>473,567</w:t>
            </w:r>
          </w:p>
        </w:tc>
        <w:tc>
          <w:tcPr>
            <w:tcW w:w="532" w:type="pct"/>
            <w:tcBorders>
              <w:top w:val="nil"/>
              <w:left w:val="nil"/>
              <w:bottom w:val="single" w:sz="4" w:space="0" w:color="auto"/>
              <w:right w:val="single" w:sz="4" w:space="0" w:color="auto"/>
            </w:tcBorders>
            <w:vAlign w:val="center"/>
            <w:hideMark/>
          </w:tcPr>
          <w:p w14:paraId="7D365496" w14:textId="77777777" w:rsidR="00C42624" w:rsidRPr="00941AA7" w:rsidRDefault="00C42624" w:rsidP="00C1059F">
            <w:pPr>
              <w:ind w:left="-72"/>
              <w:jc w:val="right"/>
              <w:rPr>
                <w:sz w:val="20"/>
                <w:szCs w:val="20"/>
                <w:lang w:eastAsia="en-CA"/>
              </w:rPr>
            </w:pPr>
            <w:r w:rsidRPr="000F3DF0">
              <w:rPr>
                <w:sz w:val="20"/>
                <w:szCs w:val="20"/>
                <w:vertAlign w:val="superscript"/>
                <w:lang w:val="en-US" w:eastAsia="en-CA"/>
              </w:rPr>
              <w:t>[1]</w:t>
            </w:r>
            <w:r>
              <w:rPr>
                <w:sz w:val="20"/>
                <w:szCs w:val="20"/>
                <w:lang w:val="en-US" w:eastAsia="en-CA"/>
              </w:rPr>
              <w:t>184,569</w:t>
            </w:r>
          </w:p>
        </w:tc>
        <w:tc>
          <w:tcPr>
            <w:tcW w:w="605" w:type="pct"/>
            <w:tcBorders>
              <w:top w:val="nil"/>
              <w:left w:val="nil"/>
              <w:bottom w:val="single" w:sz="4" w:space="0" w:color="auto"/>
              <w:right w:val="single" w:sz="4" w:space="0" w:color="auto"/>
            </w:tcBorders>
            <w:vAlign w:val="center"/>
            <w:hideMark/>
          </w:tcPr>
          <w:p w14:paraId="2857EAB1" w14:textId="77777777" w:rsidR="00C42624" w:rsidRPr="00941AA7" w:rsidRDefault="00C42624" w:rsidP="00C1059F">
            <w:pPr>
              <w:jc w:val="right"/>
              <w:rPr>
                <w:sz w:val="20"/>
                <w:szCs w:val="20"/>
                <w:lang w:eastAsia="en-CA"/>
              </w:rPr>
            </w:pPr>
            <w:r w:rsidRPr="00941AA7">
              <w:rPr>
                <w:sz w:val="20"/>
                <w:szCs w:val="20"/>
                <w:lang w:val="en-US" w:eastAsia="zh-CN"/>
              </w:rPr>
              <w:t>645,500</w:t>
            </w:r>
          </w:p>
        </w:tc>
        <w:tc>
          <w:tcPr>
            <w:tcW w:w="530" w:type="pct"/>
            <w:tcBorders>
              <w:top w:val="nil"/>
              <w:left w:val="nil"/>
              <w:bottom w:val="single" w:sz="4" w:space="0" w:color="auto"/>
              <w:right w:val="single" w:sz="4" w:space="0" w:color="auto"/>
            </w:tcBorders>
            <w:vAlign w:val="center"/>
            <w:hideMark/>
          </w:tcPr>
          <w:p w14:paraId="4FD346DE" w14:textId="77777777" w:rsidR="00C42624" w:rsidRPr="00941AA7" w:rsidRDefault="00C42624" w:rsidP="00C1059F">
            <w:pPr>
              <w:jc w:val="right"/>
              <w:rPr>
                <w:sz w:val="20"/>
                <w:szCs w:val="20"/>
                <w:lang w:eastAsia="en-CA"/>
              </w:rPr>
            </w:pPr>
            <w:r w:rsidRPr="00941AA7">
              <w:rPr>
                <w:sz w:val="20"/>
                <w:szCs w:val="20"/>
                <w:lang w:val="en-US" w:eastAsia="zh-CN"/>
              </w:rPr>
              <w:t>403,203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7527FD2" w14:textId="77777777" w:rsidR="00C42624" w:rsidRPr="00941AA7" w:rsidRDefault="00C42624" w:rsidP="00C1059F">
            <w:pPr>
              <w:jc w:val="right"/>
              <w:rPr>
                <w:sz w:val="20"/>
                <w:szCs w:val="20"/>
                <w:lang w:eastAsia="en-CA"/>
              </w:rPr>
            </w:pPr>
            <w:r>
              <w:rPr>
                <w:color w:val="000000"/>
                <w:sz w:val="20"/>
                <w:szCs w:val="20"/>
                <w:lang w:val="en-US"/>
              </w:rPr>
              <w:t>3,005,009</w:t>
            </w:r>
          </w:p>
        </w:tc>
        <w:tc>
          <w:tcPr>
            <w:tcW w:w="423" w:type="pct"/>
            <w:vMerge w:val="restart"/>
            <w:tcBorders>
              <w:top w:val="single" w:sz="4" w:space="0" w:color="auto"/>
              <w:left w:val="single" w:sz="4" w:space="0" w:color="auto"/>
              <w:bottom w:val="single" w:sz="4" w:space="0" w:color="auto"/>
              <w:right w:val="single" w:sz="4" w:space="0" w:color="auto"/>
            </w:tcBorders>
            <w:noWrap/>
            <w:vAlign w:val="center"/>
            <w:hideMark/>
          </w:tcPr>
          <w:p w14:paraId="32FE9EF0" w14:textId="77777777" w:rsidR="00C42624" w:rsidRPr="00941AA7" w:rsidRDefault="00C42624" w:rsidP="00C1059F">
            <w:pPr>
              <w:jc w:val="center"/>
              <w:rPr>
                <w:sz w:val="20"/>
                <w:szCs w:val="20"/>
                <w:lang w:eastAsia="en-CA"/>
              </w:rPr>
            </w:pPr>
            <w:r>
              <w:rPr>
                <w:sz w:val="20"/>
                <w:szCs w:val="20"/>
                <w:lang w:eastAsia="en-CA"/>
              </w:rPr>
              <w:t>100</w:t>
            </w:r>
          </w:p>
        </w:tc>
      </w:tr>
      <w:tr w:rsidR="00C42624" w:rsidRPr="00941AA7" w14:paraId="5F460FF1" w14:textId="77777777" w:rsidTr="00C1059F">
        <w:trPr>
          <w:trHeight w:val="300"/>
        </w:trPr>
        <w:tc>
          <w:tcPr>
            <w:tcW w:w="540" w:type="pct"/>
            <w:vMerge/>
            <w:tcBorders>
              <w:top w:val="nil"/>
              <w:left w:val="single" w:sz="4" w:space="0" w:color="auto"/>
              <w:bottom w:val="single" w:sz="4" w:space="0" w:color="auto"/>
              <w:right w:val="single" w:sz="4" w:space="0" w:color="auto"/>
            </w:tcBorders>
            <w:vAlign w:val="center"/>
            <w:hideMark/>
          </w:tcPr>
          <w:p w14:paraId="22348FA6" w14:textId="77777777" w:rsidR="00C42624" w:rsidRPr="00941AA7" w:rsidRDefault="00C42624" w:rsidP="00C1059F">
            <w:pPr>
              <w:jc w:val="left"/>
              <w:rPr>
                <w:sz w:val="20"/>
                <w:szCs w:val="20"/>
                <w:lang w:eastAsia="en-CA"/>
              </w:rPr>
            </w:pPr>
          </w:p>
        </w:tc>
        <w:tc>
          <w:tcPr>
            <w:tcW w:w="596" w:type="pct"/>
            <w:tcBorders>
              <w:top w:val="nil"/>
              <w:left w:val="nil"/>
              <w:bottom w:val="single" w:sz="4" w:space="0" w:color="auto"/>
              <w:right w:val="single" w:sz="4" w:space="0" w:color="auto"/>
            </w:tcBorders>
            <w:noWrap/>
            <w:vAlign w:val="center"/>
            <w:hideMark/>
          </w:tcPr>
          <w:p w14:paraId="55778847" w14:textId="77777777" w:rsidR="00C42624" w:rsidRPr="00941AA7" w:rsidRDefault="00C42624" w:rsidP="00C1059F">
            <w:pPr>
              <w:rPr>
                <w:sz w:val="20"/>
                <w:szCs w:val="20"/>
                <w:lang w:eastAsia="en-CA"/>
              </w:rPr>
            </w:pPr>
            <w:r w:rsidRPr="00941AA7">
              <w:rPr>
                <w:bCs/>
                <w:sz w:val="20"/>
                <w:szCs w:val="20"/>
                <w:lang w:eastAsia="en-CA"/>
              </w:rPr>
              <w:t>Disbursed</w:t>
            </w:r>
          </w:p>
        </w:tc>
        <w:tc>
          <w:tcPr>
            <w:tcW w:w="606" w:type="pct"/>
            <w:tcBorders>
              <w:top w:val="nil"/>
              <w:left w:val="nil"/>
              <w:bottom w:val="single" w:sz="4" w:space="0" w:color="auto"/>
              <w:right w:val="single" w:sz="4" w:space="0" w:color="auto"/>
            </w:tcBorders>
            <w:noWrap/>
            <w:vAlign w:val="center"/>
            <w:hideMark/>
          </w:tcPr>
          <w:p w14:paraId="65B3F5BD" w14:textId="77777777" w:rsidR="00C42624" w:rsidRPr="00941AA7" w:rsidRDefault="00C42624" w:rsidP="00C1059F">
            <w:pPr>
              <w:jc w:val="right"/>
              <w:rPr>
                <w:sz w:val="20"/>
                <w:szCs w:val="20"/>
                <w:lang w:eastAsia="en-CA"/>
              </w:rPr>
            </w:pPr>
            <w:r w:rsidRPr="00941AA7">
              <w:rPr>
                <w:sz w:val="20"/>
                <w:szCs w:val="20"/>
                <w:lang w:val="en-US" w:eastAsia="zh-CN"/>
              </w:rPr>
              <w:t>1,29</w:t>
            </w:r>
            <w:r>
              <w:rPr>
                <w:sz w:val="20"/>
                <w:szCs w:val="20"/>
                <w:lang w:val="en-US" w:eastAsia="zh-CN"/>
              </w:rPr>
              <w:t>4</w:t>
            </w:r>
            <w:r w:rsidRPr="00941AA7">
              <w:rPr>
                <w:sz w:val="20"/>
                <w:szCs w:val="20"/>
                <w:lang w:val="en-US" w:eastAsia="zh-CN"/>
              </w:rPr>
              <w:t>,</w:t>
            </w:r>
            <w:r>
              <w:rPr>
                <w:sz w:val="20"/>
                <w:szCs w:val="20"/>
                <w:lang w:val="en-US" w:eastAsia="zh-CN"/>
              </w:rPr>
              <w:t>326</w:t>
            </w:r>
          </w:p>
        </w:tc>
        <w:tc>
          <w:tcPr>
            <w:tcW w:w="530" w:type="pct"/>
            <w:tcBorders>
              <w:top w:val="nil"/>
              <w:left w:val="nil"/>
              <w:bottom w:val="single" w:sz="4" w:space="0" w:color="auto"/>
              <w:right w:val="single" w:sz="4" w:space="0" w:color="auto"/>
            </w:tcBorders>
            <w:vAlign w:val="center"/>
            <w:hideMark/>
          </w:tcPr>
          <w:p w14:paraId="43E74DB8" w14:textId="77777777" w:rsidR="00C42624" w:rsidRPr="00941AA7" w:rsidRDefault="00C42624" w:rsidP="00C1059F">
            <w:pPr>
              <w:jc w:val="right"/>
              <w:rPr>
                <w:sz w:val="20"/>
                <w:szCs w:val="20"/>
                <w:lang w:eastAsia="en-CA"/>
              </w:rPr>
            </w:pPr>
            <w:r>
              <w:rPr>
                <w:sz w:val="20"/>
                <w:szCs w:val="20"/>
                <w:lang w:val="en-US" w:eastAsia="zh-CN"/>
              </w:rPr>
              <w:t>473,567</w:t>
            </w:r>
          </w:p>
        </w:tc>
        <w:tc>
          <w:tcPr>
            <w:tcW w:w="532" w:type="pct"/>
            <w:tcBorders>
              <w:top w:val="nil"/>
              <w:left w:val="nil"/>
              <w:bottom w:val="single" w:sz="4" w:space="0" w:color="auto"/>
              <w:right w:val="single" w:sz="4" w:space="0" w:color="auto"/>
            </w:tcBorders>
            <w:vAlign w:val="center"/>
            <w:hideMark/>
          </w:tcPr>
          <w:p w14:paraId="1B9D6190" w14:textId="77777777" w:rsidR="00C42624" w:rsidRPr="00941AA7" w:rsidRDefault="00C42624" w:rsidP="00C1059F">
            <w:pPr>
              <w:ind w:left="-149"/>
              <w:jc w:val="right"/>
              <w:rPr>
                <w:sz w:val="20"/>
                <w:szCs w:val="20"/>
                <w:lang w:eastAsia="en-CA"/>
              </w:rPr>
            </w:pPr>
            <w:r w:rsidRPr="00941AA7">
              <w:rPr>
                <w:sz w:val="20"/>
                <w:szCs w:val="20"/>
                <w:lang w:val="en-US" w:eastAsia="zh-CN"/>
              </w:rPr>
              <w:t>184,569</w:t>
            </w:r>
          </w:p>
        </w:tc>
        <w:tc>
          <w:tcPr>
            <w:tcW w:w="605" w:type="pct"/>
            <w:tcBorders>
              <w:top w:val="nil"/>
              <w:left w:val="nil"/>
              <w:bottom w:val="single" w:sz="4" w:space="0" w:color="auto"/>
              <w:right w:val="single" w:sz="4" w:space="0" w:color="auto"/>
            </w:tcBorders>
            <w:vAlign w:val="center"/>
            <w:hideMark/>
          </w:tcPr>
          <w:p w14:paraId="7FB4A35B" w14:textId="77777777" w:rsidR="00C42624" w:rsidRPr="00941AA7" w:rsidRDefault="00C42624" w:rsidP="00C1059F">
            <w:pPr>
              <w:jc w:val="right"/>
              <w:rPr>
                <w:sz w:val="20"/>
                <w:szCs w:val="20"/>
                <w:lang w:eastAsia="en-CA"/>
              </w:rPr>
            </w:pPr>
            <w:r w:rsidRPr="00941AA7">
              <w:rPr>
                <w:sz w:val="20"/>
                <w:szCs w:val="20"/>
                <w:lang w:val="en-US" w:eastAsia="zh-CN"/>
              </w:rPr>
              <w:t>645,500</w:t>
            </w:r>
          </w:p>
        </w:tc>
        <w:tc>
          <w:tcPr>
            <w:tcW w:w="530" w:type="pct"/>
            <w:tcBorders>
              <w:top w:val="nil"/>
              <w:left w:val="nil"/>
              <w:bottom w:val="single" w:sz="4" w:space="0" w:color="auto"/>
              <w:right w:val="single" w:sz="4" w:space="0" w:color="auto"/>
            </w:tcBorders>
            <w:vAlign w:val="center"/>
            <w:hideMark/>
          </w:tcPr>
          <w:p w14:paraId="4FEBD64A" w14:textId="77777777" w:rsidR="00C42624" w:rsidRPr="00941AA7" w:rsidRDefault="00C42624" w:rsidP="00C1059F">
            <w:pPr>
              <w:jc w:val="right"/>
              <w:rPr>
                <w:sz w:val="20"/>
                <w:szCs w:val="20"/>
                <w:lang w:eastAsia="en-CA"/>
              </w:rPr>
            </w:pPr>
            <w:r w:rsidRPr="00D1470A">
              <w:rPr>
                <w:sz w:val="20"/>
                <w:szCs w:val="20"/>
                <w:lang w:val="en-US" w:eastAsia="zh-CN"/>
              </w:rPr>
              <w:t>403,203</w:t>
            </w:r>
          </w:p>
        </w:tc>
        <w:tc>
          <w:tcPr>
            <w:tcW w:w="638" w:type="pct"/>
            <w:tcBorders>
              <w:top w:val="nil"/>
              <w:left w:val="single" w:sz="4" w:space="0" w:color="auto"/>
              <w:bottom w:val="single" w:sz="4" w:space="0" w:color="auto"/>
              <w:right w:val="single" w:sz="4" w:space="0" w:color="auto"/>
            </w:tcBorders>
            <w:noWrap/>
            <w:vAlign w:val="center"/>
            <w:hideMark/>
          </w:tcPr>
          <w:p w14:paraId="2588B505" w14:textId="77777777" w:rsidR="00C42624" w:rsidRPr="00941AA7" w:rsidRDefault="00C42624" w:rsidP="00C1059F">
            <w:pPr>
              <w:ind w:left="-50"/>
              <w:jc w:val="right"/>
              <w:rPr>
                <w:sz w:val="20"/>
                <w:szCs w:val="20"/>
                <w:lang w:eastAsia="en-CA"/>
              </w:rPr>
            </w:pPr>
            <w:r>
              <w:rPr>
                <w:color w:val="000000"/>
                <w:sz w:val="20"/>
                <w:szCs w:val="20"/>
                <w:lang w:val="en-US"/>
              </w:rPr>
              <w:t>3,001,165</w:t>
            </w:r>
          </w:p>
        </w:tc>
        <w:tc>
          <w:tcPr>
            <w:tcW w:w="423" w:type="pct"/>
            <w:vMerge/>
            <w:tcBorders>
              <w:top w:val="single" w:sz="4" w:space="0" w:color="auto"/>
              <w:left w:val="single" w:sz="4" w:space="0" w:color="auto"/>
              <w:bottom w:val="single" w:sz="4" w:space="0" w:color="auto"/>
              <w:right w:val="single" w:sz="4" w:space="0" w:color="auto"/>
            </w:tcBorders>
            <w:vAlign w:val="center"/>
            <w:hideMark/>
          </w:tcPr>
          <w:p w14:paraId="08953605" w14:textId="77777777" w:rsidR="00C42624" w:rsidRPr="00941AA7" w:rsidRDefault="00C42624" w:rsidP="00C1059F">
            <w:pPr>
              <w:jc w:val="left"/>
              <w:rPr>
                <w:sz w:val="20"/>
                <w:szCs w:val="20"/>
                <w:lang w:eastAsia="en-CA"/>
              </w:rPr>
            </w:pPr>
          </w:p>
        </w:tc>
      </w:tr>
      <w:tr w:rsidR="00C42624" w:rsidRPr="00941AA7" w14:paraId="57E6EC12" w14:textId="77777777" w:rsidTr="00C1059F">
        <w:trPr>
          <w:trHeight w:val="300"/>
        </w:trPr>
        <w:tc>
          <w:tcPr>
            <w:tcW w:w="540" w:type="pct"/>
            <w:vMerge w:val="restart"/>
            <w:tcBorders>
              <w:top w:val="nil"/>
              <w:left w:val="single" w:sz="4" w:space="0" w:color="auto"/>
              <w:bottom w:val="single" w:sz="4" w:space="0" w:color="auto"/>
              <w:right w:val="single" w:sz="4" w:space="0" w:color="auto"/>
            </w:tcBorders>
            <w:noWrap/>
            <w:vAlign w:val="center"/>
            <w:hideMark/>
          </w:tcPr>
          <w:p w14:paraId="1DDE7E40" w14:textId="77777777" w:rsidR="00C42624" w:rsidRPr="00941AA7" w:rsidRDefault="00C42624" w:rsidP="00C1059F">
            <w:pPr>
              <w:jc w:val="left"/>
              <w:rPr>
                <w:sz w:val="20"/>
                <w:szCs w:val="20"/>
                <w:lang w:eastAsia="en-CA"/>
              </w:rPr>
            </w:pPr>
            <w:r w:rsidRPr="00941AA7">
              <w:rPr>
                <w:bCs/>
                <w:sz w:val="20"/>
                <w:szCs w:val="20"/>
                <w:lang w:eastAsia="en-CA"/>
              </w:rPr>
              <w:t>Second</w:t>
            </w:r>
          </w:p>
        </w:tc>
        <w:tc>
          <w:tcPr>
            <w:tcW w:w="596" w:type="pct"/>
            <w:tcBorders>
              <w:top w:val="nil"/>
              <w:left w:val="nil"/>
              <w:bottom w:val="single" w:sz="4" w:space="0" w:color="auto"/>
              <w:right w:val="single" w:sz="4" w:space="0" w:color="auto"/>
            </w:tcBorders>
            <w:noWrap/>
            <w:vAlign w:val="center"/>
            <w:hideMark/>
          </w:tcPr>
          <w:p w14:paraId="7B9E0DBA" w14:textId="77777777" w:rsidR="00C42624" w:rsidRPr="00941AA7" w:rsidRDefault="00C42624" w:rsidP="00C1059F">
            <w:pPr>
              <w:rPr>
                <w:sz w:val="20"/>
                <w:szCs w:val="20"/>
                <w:lang w:eastAsia="en-CA"/>
              </w:rPr>
            </w:pPr>
            <w:r w:rsidRPr="00941AA7">
              <w:rPr>
                <w:bCs/>
                <w:sz w:val="20"/>
                <w:szCs w:val="20"/>
                <w:lang w:eastAsia="en-CA"/>
              </w:rPr>
              <w:t>Approved</w:t>
            </w:r>
          </w:p>
        </w:tc>
        <w:tc>
          <w:tcPr>
            <w:tcW w:w="606" w:type="pct"/>
            <w:tcBorders>
              <w:top w:val="nil"/>
              <w:left w:val="nil"/>
              <w:bottom w:val="single" w:sz="4" w:space="0" w:color="auto"/>
              <w:right w:val="single" w:sz="4" w:space="0" w:color="auto"/>
            </w:tcBorders>
            <w:noWrap/>
            <w:vAlign w:val="center"/>
            <w:hideMark/>
          </w:tcPr>
          <w:p w14:paraId="79818669" w14:textId="77777777" w:rsidR="00C42624" w:rsidRPr="00941AA7" w:rsidRDefault="00C42624" w:rsidP="00C1059F">
            <w:pPr>
              <w:jc w:val="right"/>
              <w:rPr>
                <w:sz w:val="20"/>
                <w:szCs w:val="20"/>
                <w:lang w:eastAsia="en-CA"/>
              </w:rPr>
            </w:pPr>
            <w:r w:rsidRPr="00941AA7">
              <w:rPr>
                <w:sz w:val="20"/>
                <w:szCs w:val="20"/>
                <w:lang w:val="en-US" w:eastAsia="zh-CN"/>
              </w:rPr>
              <w:t>1,593,980</w:t>
            </w:r>
          </w:p>
        </w:tc>
        <w:tc>
          <w:tcPr>
            <w:tcW w:w="530" w:type="pct"/>
            <w:tcBorders>
              <w:top w:val="nil"/>
              <w:left w:val="nil"/>
              <w:bottom w:val="single" w:sz="4" w:space="0" w:color="auto"/>
              <w:right w:val="single" w:sz="4" w:space="0" w:color="auto"/>
            </w:tcBorders>
            <w:vAlign w:val="center"/>
            <w:hideMark/>
          </w:tcPr>
          <w:p w14:paraId="790E756F" w14:textId="77777777" w:rsidR="00C42624" w:rsidRPr="00941AA7" w:rsidRDefault="00C42624" w:rsidP="00C1059F">
            <w:pPr>
              <w:ind w:right="-2"/>
              <w:jc w:val="right"/>
              <w:rPr>
                <w:sz w:val="20"/>
                <w:szCs w:val="20"/>
                <w:lang w:eastAsia="en-CA"/>
              </w:rPr>
            </w:pPr>
            <w:r w:rsidRPr="00941AA7">
              <w:rPr>
                <w:sz w:val="20"/>
                <w:szCs w:val="20"/>
                <w:lang w:val="en-US" w:eastAsia="zh-CN"/>
              </w:rPr>
              <w:t>584,000</w:t>
            </w:r>
          </w:p>
        </w:tc>
        <w:tc>
          <w:tcPr>
            <w:tcW w:w="532" w:type="pct"/>
            <w:tcBorders>
              <w:top w:val="nil"/>
              <w:left w:val="nil"/>
              <w:bottom w:val="single" w:sz="4" w:space="0" w:color="auto"/>
              <w:right w:val="single" w:sz="4" w:space="0" w:color="auto"/>
            </w:tcBorders>
            <w:vAlign w:val="center"/>
            <w:hideMark/>
          </w:tcPr>
          <w:p w14:paraId="3ABC16F0" w14:textId="77777777" w:rsidR="00C42624" w:rsidRPr="00941AA7" w:rsidRDefault="00C42624" w:rsidP="00C1059F">
            <w:pPr>
              <w:ind w:left="-149"/>
              <w:jc w:val="right"/>
              <w:rPr>
                <w:sz w:val="20"/>
                <w:szCs w:val="20"/>
                <w:lang w:eastAsia="en-CA"/>
              </w:rPr>
            </w:pPr>
            <w:r w:rsidRPr="00941AA7">
              <w:rPr>
                <w:sz w:val="20"/>
                <w:szCs w:val="20"/>
                <w:lang w:val="en-US" w:eastAsia="zh-CN"/>
              </w:rPr>
              <w:t>190,000</w:t>
            </w:r>
          </w:p>
        </w:tc>
        <w:tc>
          <w:tcPr>
            <w:tcW w:w="605" w:type="pct"/>
            <w:tcBorders>
              <w:top w:val="nil"/>
              <w:left w:val="nil"/>
              <w:bottom w:val="single" w:sz="4" w:space="0" w:color="auto"/>
              <w:right w:val="single" w:sz="4" w:space="0" w:color="auto"/>
            </w:tcBorders>
            <w:vAlign w:val="center"/>
            <w:hideMark/>
          </w:tcPr>
          <w:p w14:paraId="5CC8D984" w14:textId="77777777" w:rsidR="00C42624" w:rsidRPr="00941AA7" w:rsidRDefault="00C42624" w:rsidP="00C1059F">
            <w:pPr>
              <w:jc w:val="right"/>
              <w:rPr>
                <w:sz w:val="20"/>
                <w:szCs w:val="20"/>
                <w:lang w:eastAsia="en-CA"/>
              </w:rPr>
            </w:pPr>
            <w:r w:rsidRPr="000F3DF0">
              <w:rPr>
                <w:sz w:val="20"/>
                <w:szCs w:val="20"/>
                <w:vertAlign w:val="superscript"/>
                <w:lang w:eastAsia="en-CA"/>
              </w:rPr>
              <w:t>[2]</w:t>
            </w:r>
            <w:r w:rsidRPr="00941AA7">
              <w:rPr>
                <w:sz w:val="20"/>
                <w:szCs w:val="20"/>
                <w:lang w:eastAsia="en-CA"/>
              </w:rPr>
              <w:t>827,473</w:t>
            </w:r>
          </w:p>
        </w:tc>
        <w:tc>
          <w:tcPr>
            <w:tcW w:w="530" w:type="pct"/>
            <w:tcBorders>
              <w:top w:val="nil"/>
              <w:left w:val="nil"/>
              <w:bottom w:val="single" w:sz="4" w:space="0" w:color="auto"/>
              <w:right w:val="single" w:sz="4" w:space="0" w:color="auto"/>
            </w:tcBorders>
            <w:vAlign w:val="center"/>
            <w:hideMark/>
          </w:tcPr>
          <w:p w14:paraId="204D7F1D" w14:textId="77777777" w:rsidR="00C42624" w:rsidRPr="00941AA7" w:rsidRDefault="00C42624" w:rsidP="00C1059F">
            <w:pPr>
              <w:jc w:val="right"/>
              <w:rPr>
                <w:sz w:val="20"/>
                <w:szCs w:val="20"/>
                <w:lang w:eastAsia="en-CA"/>
              </w:rPr>
            </w:pPr>
            <w:r w:rsidRPr="00941AA7">
              <w:rPr>
                <w:sz w:val="20"/>
                <w:szCs w:val="20"/>
                <w:lang w:val="en-US" w:eastAsia="zh-CN"/>
              </w:rPr>
              <w:t>504,004</w:t>
            </w:r>
          </w:p>
        </w:tc>
        <w:tc>
          <w:tcPr>
            <w:tcW w:w="638" w:type="pct"/>
            <w:tcBorders>
              <w:top w:val="nil"/>
              <w:left w:val="single" w:sz="4" w:space="0" w:color="auto"/>
              <w:bottom w:val="single" w:sz="4" w:space="0" w:color="auto"/>
              <w:right w:val="single" w:sz="4" w:space="0" w:color="auto"/>
            </w:tcBorders>
            <w:noWrap/>
            <w:vAlign w:val="center"/>
            <w:hideMark/>
          </w:tcPr>
          <w:p w14:paraId="58122D10" w14:textId="77777777" w:rsidR="00C42624" w:rsidRPr="00941AA7" w:rsidRDefault="00C42624" w:rsidP="00C1059F">
            <w:pPr>
              <w:jc w:val="right"/>
              <w:rPr>
                <w:sz w:val="20"/>
                <w:szCs w:val="20"/>
                <w:lang w:eastAsia="en-CA"/>
              </w:rPr>
            </w:pPr>
            <w:r>
              <w:rPr>
                <w:color w:val="000000"/>
                <w:sz w:val="20"/>
                <w:szCs w:val="20"/>
                <w:lang w:val="en-US"/>
              </w:rPr>
              <w:t>3,699,457</w:t>
            </w:r>
          </w:p>
        </w:tc>
        <w:tc>
          <w:tcPr>
            <w:tcW w:w="423" w:type="pct"/>
            <w:vMerge w:val="restart"/>
            <w:tcBorders>
              <w:top w:val="nil"/>
              <w:left w:val="single" w:sz="4" w:space="0" w:color="auto"/>
              <w:bottom w:val="single" w:sz="4" w:space="0" w:color="auto"/>
              <w:right w:val="single" w:sz="4" w:space="0" w:color="auto"/>
            </w:tcBorders>
            <w:noWrap/>
            <w:vAlign w:val="center"/>
            <w:hideMark/>
          </w:tcPr>
          <w:p w14:paraId="4C579B20" w14:textId="77777777" w:rsidR="00C42624" w:rsidRPr="00941AA7" w:rsidRDefault="00C42624" w:rsidP="00C1059F">
            <w:pPr>
              <w:jc w:val="center"/>
              <w:rPr>
                <w:sz w:val="20"/>
                <w:szCs w:val="20"/>
                <w:lang w:eastAsia="en-CA"/>
              </w:rPr>
            </w:pPr>
            <w:r>
              <w:rPr>
                <w:sz w:val="20"/>
                <w:szCs w:val="20"/>
                <w:lang w:eastAsia="en-CA"/>
              </w:rPr>
              <w:t>98</w:t>
            </w:r>
          </w:p>
        </w:tc>
      </w:tr>
      <w:tr w:rsidR="00C42624" w:rsidRPr="00941AA7" w14:paraId="359B93F5" w14:textId="77777777" w:rsidTr="00C1059F">
        <w:trPr>
          <w:trHeight w:val="300"/>
        </w:trPr>
        <w:tc>
          <w:tcPr>
            <w:tcW w:w="540" w:type="pct"/>
            <w:vMerge/>
            <w:tcBorders>
              <w:top w:val="nil"/>
              <w:left w:val="single" w:sz="4" w:space="0" w:color="auto"/>
              <w:bottom w:val="single" w:sz="4" w:space="0" w:color="auto"/>
              <w:right w:val="single" w:sz="4" w:space="0" w:color="auto"/>
            </w:tcBorders>
            <w:vAlign w:val="center"/>
            <w:hideMark/>
          </w:tcPr>
          <w:p w14:paraId="50FB5963" w14:textId="77777777" w:rsidR="00C42624" w:rsidRPr="00941AA7" w:rsidRDefault="00C42624" w:rsidP="00C1059F">
            <w:pPr>
              <w:jc w:val="left"/>
              <w:rPr>
                <w:sz w:val="20"/>
                <w:szCs w:val="20"/>
                <w:lang w:eastAsia="en-CA"/>
              </w:rPr>
            </w:pPr>
          </w:p>
        </w:tc>
        <w:tc>
          <w:tcPr>
            <w:tcW w:w="596" w:type="pct"/>
            <w:tcBorders>
              <w:top w:val="nil"/>
              <w:left w:val="nil"/>
              <w:bottom w:val="single" w:sz="4" w:space="0" w:color="auto"/>
              <w:right w:val="single" w:sz="4" w:space="0" w:color="auto"/>
            </w:tcBorders>
            <w:noWrap/>
            <w:vAlign w:val="center"/>
            <w:hideMark/>
          </w:tcPr>
          <w:p w14:paraId="55A1058D" w14:textId="77777777" w:rsidR="00C42624" w:rsidRPr="00941AA7" w:rsidRDefault="00C42624" w:rsidP="00C1059F">
            <w:pPr>
              <w:rPr>
                <w:sz w:val="20"/>
                <w:szCs w:val="20"/>
                <w:lang w:eastAsia="en-CA"/>
              </w:rPr>
            </w:pPr>
            <w:r w:rsidRPr="00941AA7">
              <w:rPr>
                <w:bCs/>
                <w:sz w:val="20"/>
                <w:szCs w:val="20"/>
                <w:lang w:eastAsia="en-CA"/>
              </w:rPr>
              <w:t>Disbursed</w:t>
            </w:r>
          </w:p>
        </w:tc>
        <w:tc>
          <w:tcPr>
            <w:tcW w:w="606" w:type="pct"/>
            <w:tcBorders>
              <w:top w:val="nil"/>
              <w:left w:val="nil"/>
              <w:bottom w:val="single" w:sz="4" w:space="0" w:color="auto"/>
              <w:right w:val="single" w:sz="4" w:space="0" w:color="auto"/>
            </w:tcBorders>
            <w:noWrap/>
            <w:hideMark/>
          </w:tcPr>
          <w:p w14:paraId="1D5EE338" w14:textId="77777777" w:rsidR="00C42624" w:rsidRPr="00941AA7" w:rsidRDefault="00C42624" w:rsidP="00C1059F">
            <w:pPr>
              <w:jc w:val="right"/>
              <w:rPr>
                <w:sz w:val="20"/>
                <w:szCs w:val="20"/>
                <w:lang w:eastAsia="en-CA"/>
              </w:rPr>
            </w:pPr>
            <w:r w:rsidRPr="00D1470A">
              <w:rPr>
                <w:sz w:val="20"/>
                <w:szCs w:val="20"/>
              </w:rPr>
              <w:t xml:space="preserve">1,557,009 </w:t>
            </w:r>
          </w:p>
        </w:tc>
        <w:tc>
          <w:tcPr>
            <w:tcW w:w="530" w:type="pct"/>
            <w:tcBorders>
              <w:top w:val="nil"/>
              <w:left w:val="nil"/>
              <w:bottom w:val="single" w:sz="4" w:space="0" w:color="auto"/>
              <w:right w:val="single" w:sz="4" w:space="0" w:color="auto"/>
            </w:tcBorders>
            <w:hideMark/>
          </w:tcPr>
          <w:p w14:paraId="5C3F8B85" w14:textId="77777777" w:rsidR="00C42624" w:rsidRPr="00941AA7" w:rsidRDefault="00C42624" w:rsidP="00C1059F">
            <w:pPr>
              <w:jc w:val="right"/>
              <w:rPr>
                <w:sz w:val="20"/>
                <w:szCs w:val="20"/>
                <w:lang w:eastAsia="en-CA"/>
              </w:rPr>
            </w:pPr>
            <w:r>
              <w:rPr>
                <w:sz w:val="20"/>
                <w:szCs w:val="20"/>
              </w:rPr>
              <w:t>584,000</w:t>
            </w:r>
            <w:r w:rsidRPr="00D1470A">
              <w:rPr>
                <w:sz w:val="20"/>
                <w:szCs w:val="20"/>
              </w:rPr>
              <w:t xml:space="preserve"> </w:t>
            </w:r>
          </w:p>
        </w:tc>
        <w:tc>
          <w:tcPr>
            <w:tcW w:w="532" w:type="pct"/>
            <w:tcBorders>
              <w:top w:val="nil"/>
              <w:left w:val="nil"/>
              <w:bottom w:val="single" w:sz="4" w:space="0" w:color="auto"/>
              <w:right w:val="single" w:sz="4" w:space="0" w:color="auto"/>
            </w:tcBorders>
            <w:hideMark/>
          </w:tcPr>
          <w:p w14:paraId="0CD865A8" w14:textId="77777777" w:rsidR="00C42624" w:rsidRPr="00941AA7" w:rsidRDefault="00C42624" w:rsidP="00C1059F">
            <w:pPr>
              <w:ind w:left="-149"/>
              <w:jc w:val="right"/>
              <w:rPr>
                <w:sz w:val="20"/>
                <w:szCs w:val="20"/>
                <w:lang w:eastAsia="en-CA"/>
              </w:rPr>
            </w:pPr>
            <w:r w:rsidRPr="00D1470A">
              <w:rPr>
                <w:sz w:val="20"/>
                <w:szCs w:val="20"/>
              </w:rPr>
              <w:t>150,396</w:t>
            </w:r>
          </w:p>
        </w:tc>
        <w:tc>
          <w:tcPr>
            <w:tcW w:w="605" w:type="pct"/>
            <w:tcBorders>
              <w:top w:val="nil"/>
              <w:left w:val="nil"/>
              <w:bottom w:val="single" w:sz="4" w:space="0" w:color="auto"/>
              <w:right w:val="single" w:sz="4" w:space="0" w:color="auto"/>
            </w:tcBorders>
            <w:hideMark/>
          </w:tcPr>
          <w:p w14:paraId="64C08691" w14:textId="77777777" w:rsidR="00C42624" w:rsidRPr="00941AA7" w:rsidRDefault="00C42624" w:rsidP="00C1059F">
            <w:pPr>
              <w:jc w:val="right"/>
              <w:rPr>
                <w:sz w:val="20"/>
                <w:szCs w:val="20"/>
                <w:lang w:eastAsia="en-CA"/>
              </w:rPr>
            </w:pPr>
            <w:r>
              <w:rPr>
                <w:sz w:val="20"/>
                <w:szCs w:val="20"/>
              </w:rPr>
              <w:t>827,473</w:t>
            </w:r>
          </w:p>
        </w:tc>
        <w:tc>
          <w:tcPr>
            <w:tcW w:w="530" w:type="pct"/>
            <w:tcBorders>
              <w:top w:val="nil"/>
              <w:left w:val="nil"/>
              <w:bottom w:val="single" w:sz="4" w:space="0" w:color="auto"/>
              <w:right w:val="single" w:sz="4" w:space="0" w:color="auto"/>
            </w:tcBorders>
            <w:hideMark/>
          </w:tcPr>
          <w:p w14:paraId="48F74CC8" w14:textId="77777777" w:rsidR="00C42624" w:rsidRPr="00941AA7" w:rsidRDefault="00C42624" w:rsidP="00C1059F">
            <w:pPr>
              <w:jc w:val="right"/>
              <w:rPr>
                <w:sz w:val="20"/>
                <w:szCs w:val="20"/>
                <w:lang w:eastAsia="en-CA"/>
              </w:rPr>
            </w:pPr>
            <w:r w:rsidRPr="00D1470A">
              <w:rPr>
                <w:sz w:val="20"/>
                <w:szCs w:val="20"/>
              </w:rPr>
              <w:t>502,235</w:t>
            </w:r>
          </w:p>
        </w:tc>
        <w:tc>
          <w:tcPr>
            <w:tcW w:w="638" w:type="pct"/>
            <w:tcBorders>
              <w:top w:val="nil"/>
              <w:left w:val="single" w:sz="4" w:space="0" w:color="auto"/>
              <w:bottom w:val="single" w:sz="4" w:space="0" w:color="auto"/>
              <w:right w:val="single" w:sz="4" w:space="0" w:color="auto"/>
            </w:tcBorders>
            <w:noWrap/>
            <w:vAlign w:val="center"/>
            <w:hideMark/>
          </w:tcPr>
          <w:p w14:paraId="524961E8" w14:textId="77777777" w:rsidR="00C42624" w:rsidRPr="00941AA7" w:rsidRDefault="00C42624" w:rsidP="00C1059F">
            <w:pPr>
              <w:jc w:val="right"/>
              <w:rPr>
                <w:sz w:val="20"/>
                <w:szCs w:val="20"/>
                <w:lang w:eastAsia="en-CA"/>
              </w:rPr>
            </w:pPr>
            <w:r>
              <w:rPr>
                <w:color w:val="000000"/>
                <w:sz w:val="20"/>
                <w:szCs w:val="20"/>
              </w:rPr>
              <w:t>3,621,113</w:t>
            </w:r>
          </w:p>
        </w:tc>
        <w:tc>
          <w:tcPr>
            <w:tcW w:w="423" w:type="pct"/>
            <w:vMerge/>
            <w:tcBorders>
              <w:top w:val="nil"/>
              <w:left w:val="single" w:sz="4" w:space="0" w:color="auto"/>
              <w:bottom w:val="single" w:sz="4" w:space="0" w:color="auto"/>
              <w:right w:val="single" w:sz="4" w:space="0" w:color="auto"/>
            </w:tcBorders>
            <w:vAlign w:val="center"/>
            <w:hideMark/>
          </w:tcPr>
          <w:p w14:paraId="643DE589" w14:textId="77777777" w:rsidR="00C42624" w:rsidRPr="00941AA7" w:rsidRDefault="00C42624" w:rsidP="00C1059F">
            <w:pPr>
              <w:jc w:val="left"/>
              <w:rPr>
                <w:sz w:val="20"/>
                <w:szCs w:val="20"/>
                <w:lang w:eastAsia="en-CA"/>
              </w:rPr>
            </w:pPr>
          </w:p>
        </w:tc>
      </w:tr>
      <w:tr w:rsidR="00C42624" w:rsidRPr="00941AA7" w14:paraId="4E02433D" w14:textId="77777777" w:rsidTr="00C1059F">
        <w:trPr>
          <w:trHeight w:val="300"/>
        </w:trPr>
        <w:tc>
          <w:tcPr>
            <w:tcW w:w="540" w:type="pct"/>
            <w:vMerge w:val="restart"/>
            <w:tcBorders>
              <w:top w:val="nil"/>
              <w:left w:val="single" w:sz="4" w:space="0" w:color="auto"/>
              <w:bottom w:val="single" w:sz="4" w:space="0" w:color="auto"/>
              <w:right w:val="single" w:sz="4" w:space="0" w:color="auto"/>
            </w:tcBorders>
            <w:noWrap/>
            <w:vAlign w:val="center"/>
            <w:hideMark/>
          </w:tcPr>
          <w:p w14:paraId="2C87FA04" w14:textId="77777777" w:rsidR="00C42624" w:rsidRPr="00941AA7" w:rsidRDefault="00C42624" w:rsidP="00C1059F">
            <w:pPr>
              <w:jc w:val="left"/>
              <w:rPr>
                <w:sz w:val="20"/>
                <w:szCs w:val="20"/>
                <w:lang w:eastAsia="en-CA"/>
              </w:rPr>
            </w:pPr>
            <w:r w:rsidRPr="00941AA7">
              <w:rPr>
                <w:bCs/>
                <w:sz w:val="20"/>
                <w:szCs w:val="20"/>
                <w:lang w:eastAsia="en-CA"/>
              </w:rPr>
              <w:t>Third</w:t>
            </w:r>
          </w:p>
        </w:tc>
        <w:tc>
          <w:tcPr>
            <w:tcW w:w="596" w:type="pct"/>
            <w:tcBorders>
              <w:top w:val="nil"/>
              <w:left w:val="nil"/>
              <w:bottom w:val="single" w:sz="4" w:space="0" w:color="auto"/>
              <w:right w:val="single" w:sz="4" w:space="0" w:color="auto"/>
            </w:tcBorders>
            <w:noWrap/>
            <w:vAlign w:val="center"/>
            <w:hideMark/>
          </w:tcPr>
          <w:p w14:paraId="778F4763" w14:textId="77777777" w:rsidR="00C42624" w:rsidRPr="00941AA7" w:rsidRDefault="00C42624" w:rsidP="00C1059F">
            <w:pPr>
              <w:rPr>
                <w:sz w:val="20"/>
                <w:szCs w:val="20"/>
                <w:lang w:eastAsia="en-CA"/>
              </w:rPr>
            </w:pPr>
            <w:r w:rsidRPr="00941AA7">
              <w:rPr>
                <w:bCs/>
                <w:sz w:val="20"/>
                <w:szCs w:val="20"/>
                <w:lang w:eastAsia="en-CA"/>
              </w:rPr>
              <w:t>Approved</w:t>
            </w:r>
          </w:p>
        </w:tc>
        <w:tc>
          <w:tcPr>
            <w:tcW w:w="606" w:type="pct"/>
            <w:tcBorders>
              <w:top w:val="nil"/>
              <w:left w:val="nil"/>
              <w:bottom w:val="single" w:sz="4" w:space="0" w:color="auto"/>
              <w:right w:val="single" w:sz="4" w:space="0" w:color="auto"/>
            </w:tcBorders>
            <w:noWrap/>
            <w:vAlign w:val="center"/>
            <w:hideMark/>
          </w:tcPr>
          <w:p w14:paraId="4EB29C4C" w14:textId="77777777" w:rsidR="00C42624" w:rsidRPr="00941AA7" w:rsidRDefault="00C42624" w:rsidP="00C1059F">
            <w:pPr>
              <w:jc w:val="right"/>
              <w:rPr>
                <w:sz w:val="20"/>
                <w:szCs w:val="20"/>
                <w:lang w:eastAsia="en-CA"/>
              </w:rPr>
            </w:pPr>
            <w:r w:rsidRPr="00941AA7">
              <w:rPr>
                <w:sz w:val="20"/>
                <w:szCs w:val="20"/>
                <w:lang w:val="en-US" w:eastAsia="zh-CN"/>
              </w:rPr>
              <w:t>1,307,980</w:t>
            </w:r>
          </w:p>
        </w:tc>
        <w:tc>
          <w:tcPr>
            <w:tcW w:w="530" w:type="pct"/>
            <w:tcBorders>
              <w:top w:val="nil"/>
              <w:left w:val="nil"/>
              <w:bottom w:val="single" w:sz="4" w:space="0" w:color="auto"/>
              <w:right w:val="single" w:sz="4" w:space="0" w:color="auto"/>
            </w:tcBorders>
            <w:vAlign w:val="center"/>
            <w:hideMark/>
          </w:tcPr>
          <w:p w14:paraId="3522E8DA" w14:textId="77777777" w:rsidR="00C42624" w:rsidRPr="00941AA7" w:rsidRDefault="00C42624" w:rsidP="00C1059F">
            <w:pPr>
              <w:ind w:left="-112"/>
              <w:jc w:val="right"/>
              <w:rPr>
                <w:sz w:val="20"/>
                <w:szCs w:val="20"/>
                <w:lang w:eastAsia="en-CA"/>
              </w:rPr>
            </w:pPr>
            <w:r w:rsidRPr="000F3DF0">
              <w:rPr>
                <w:sz w:val="20"/>
                <w:szCs w:val="20"/>
                <w:vertAlign w:val="superscript"/>
              </w:rPr>
              <w:t>[3]</w:t>
            </w:r>
            <w:r w:rsidRPr="00941AA7">
              <w:rPr>
                <w:sz w:val="20"/>
                <w:szCs w:val="20"/>
                <w:lang w:eastAsia="en-CA"/>
              </w:rPr>
              <w:t>148,299</w:t>
            </w:r>
          </w:p>
        </w:tc>
        <w:tc>
          <w:tcPr>
            <w:tcW w:w="532" w:type="pct"/>
            <w:tcBorders>
              <w:top w:val="nil"/>
              <w:left w:val="nil"/>
              <w:bottom w:val="single" w:sz="4" w:space="0" w:color="auto"/>
              <w:right w:val="single" w:sz="4" w:space="0" w:color="auto"/>
            </w:tcBorders>
            <w:vAlign w:val="center"/>
            <w:hideMark/>
          </w:tcPr>
          <w:p w14:paraId="174BB37D" w14:textId="77777777" w:rsidR="00C42624" w:rsidRPr="00941AA7" w:rsidRDefault="00C42624" w:rsidP="00C1059F">
            <w:pPr>
              <w:ind w:left="-149"/>
              <w:jc w:val="right"/>
              <w:rPr>
                <w:sz w:val="20"/>
                <w:szCs w:val="20"/>
                <w:lang w:eastAsia="en-CA"/>
              </w:rPr>
            </w:pPr>
            <w:r w:rsidRPr="00941AA7">
              <w:rPr>
                <w:sz w:val="20"/>
                <w:szCs w:val="20"/>
                <w:lang w:val="en-US" w:eastAsia="zh-CN"/>
              </w:rPr>
              <w:t>170,000</w:t>
            </w:r>
          </w:p>
        </w:tc>
        <w:tc>
          <w:tcPr>
            <w:tcW w:w="605" w:type="pct"/>
            <w:tcBorders>
              <w:top w:val="nil"/>
              <w:left w:val="nil"/>
              <w:bottom w:val="single" w:sz="4" w:space="0" w:color="auto"/>
              <w:right w:val="single" w:sz="4" w:space="0" w:color="auto"/>
            </w:tcBorders>
            <w:vAlign w:val="center"/>
            <w:hideMark/>
          </w:tcPr>
          <w:p w14:paraId="4E31700A" w14:textId="77777777" w:rsidR="00C42624" w:rsidRPr="00941AA7" w:rsidRDefault="00C42624" w:rsidP="00C1059F">
            <w:pPr>
              <w:jc w:val="right"/>
              <w:rPr>
                <w:sz w:val="20"/>
                <w:szCs w:val="20"/>
                <w:lang w:eastAsia="en-CA"/>
              </w:rPr>
            </w:pPr>
            <w:r w:rsidRPr="00941AA7">
              <w:rPr>
                <w:sz w:val="20"/>
                <w:szCs w:val="20"/>
                <w:lang w:eastAsia="en-CA"/>
              </w:rPr>
              <w:t>139,754</w:t>
            </w:r>
          </w:p>
        </w:tc>
        <w:tc>
          <w:tcPr>
            <w:tcW w:w="530" w:type="pct"/>
            <w:tcBorders>
              <w:top w:val="nil"/>
              <w:left w:val="nil"/>
              <w:bottom w:val="single" w:sz="4" w:space="0" w:color="auto"/>
              <w:right w:val="single" w:sz="4" w:space="0" w:color="auto"/>
            </w:tcBorders>
            <w:vAlign w:val="center"/>
            <w:hideMark/>
          </w:tcPr>
          <w:p w14:paraId="59A42139" w14:textId="77777777" w:rsidR="00C42624" w:rsidRPr="00941AA7" w:rsidRDefault="00C42624" w:rsidP="00C1059F">
            <w:pPr>
              <w:jc w:val="right"/>
              <w:rPr>
                <w:sz w:val="20"/>
                <w:szCs w:val="20"/>
                <w:lang w:eastAsia="en-CA"/>
              </w:rPr>
            </w:pPr>
            <w:r w:rsidRPr="00941AA7">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tcPr>
          <w:p w14:paraId="089B6FA3" w14:textId="77777777" w:rsidR="00C42624" w:rsidRPr="00941AA7" w:rsidRDefault="00C42624" w:rsidP="00C1059F">
            <w:pPr>
              <w:jc w:val="right"/>
              <w:rPr>
                <w:sz w:val="20"/>
                <w:szCs w:val="20"/>
                <w:lang w:eastAsia="en-CA"/>
              </w:rPr>
            </w:pPr>
            <w:r>
              <w:rPr>
                <w:sz w:val="20"/>
                <w:szCs w:val="20"/>
                <w:lang w:eastAsia="en-CA"/>
              </w:rPr>
              <w:t>1,766,033</w:t>
            </w:r>
          </w:p>
        </w:tc>
        <w:tc>
          <w:tcPr>
            <w:tcW w:w="423" w:type="pct"/>
            <w:vMerge w:val="restart"/>
            <w:tcBorders>
              <w:top w:val="nil"/>
              <w:left w:val="single" w:sz="4" w:space="0" w:color="auto"/>
              <w:bottom w:val="single" w:sz="4" w:space="0" w:color="auto"/>
              <w:right w:val="single" w:sz="4" w:space="0" w:color="auto"/>
            </w:tcBorders>
            <w:noWrap/>
            <w:vAlign w:val="center"/>
            <w:hideMark/>
          </w:tcPr>
          <w:p w14:paraId="4E167138" w14:textId="77777777" w:rsidR="00C42624" w:rsidRPr="00941AA7" w:rsidRDefault="00C42624" w:rsidP="00C1059F">
            <w:pPr>
              <w:jc w:val="center"/>
              <w:rPr>
                <w:sz w:val="20"/>
                <w:szCs w:val="20"/>
                <w:lang w:eastAsia="en-CA"/>
              </w:rPr>
            </w:pPr>
            <w:r>
              <w:rPr>
                <w:sz w:val="20"/>
                <w:szCs w:val="20"/>
                <w:lang w:eastAsia="en-CA"/>
              </w:rPr>
              <w:t>96</w:t>
            </w:r>
          </w:p>
        </w:tc>
      </w:tr>
      <w:tr w:rsidR="00C42624" w:rsidRPr="00941AA7" w14:paraId="5302E61C" w14:textId="77777777" w:rsidTr="00C1059F">
        <w:trPr>
          <w:trHeight w:val="300"/>
        </w:trPr>
        <w:tc>
          <w:tcPr>
            <w:tcW w:w="540" w:type="pct"/>
            <w:vMerge/>
            <w:tcBorders>
              <w:top w:val="nil"/>
              <w:left w:val="single" w:sz="4" w:space="0" w:color="auto"/>
              <w:bottom w:val="single" w:sz="4" w:space="0" w:color="auto"/>
              <w:right w:val="single" w:sz="4" w:space="0" w:color="auto"/>
            </w:tcBorders>
            <w:vAlign w:val="center"/>
            <w:hideMark/>
          </w:tcPr>
          <w:p w14:paraId="47DA6974" w14:textId="77777777" w:rsidR="00C42624" w:rsidRPr="00941AA7" w:rsidRDefault="00C42624" w:rsidP="00C1059F">
            <w:pPr>
              <w:jc w:val="left"/>
              <w:rPr>
                <w:sz w:val="20"/>
                <w:szCs w:val="20"/>
                <w:lang w:eastAsia="en-CA"/>
              </w:rPr>
            </w:pPr>
          </w:p>
        </w:tc>
        <w:tc>
          <w:tcPr>
            <w:tcW w:w="596" w:type="pct"/>
            <w:tcBorders>
              <w:top w:val="nil"/>
              <w:left w:val="nil"/>
              <w:bottom w:val="single" w:sz="4" w:space="0" w:color="auto"/>
              <w:right w:val="single" w:sz="4" w:space="0" w:color="auto"/>
            </w:tcBorders>
            <w:noWrap/>
            <w:vAlign w:val="center"/>
            <w:hideMark/>
          </w:tcPr>
          <w:p w14:paraId="210C6F5E" w14:textId="77777777" w:rsidR="00C42624" w:rsidRPr="00941AA7" w:rsidRDefault="00C42624" w:rsidP="00C1059F">
            <w:pPr>
              <w:rPr>
                <w:sz w:val="20"/>
                <w:szCs w:val="20"/>
                <w:lang w:eastAsia="en-CA"/>
              </w:rPr>
            </w:pPr>
            <w:r w:rsidRPr="00941AA7">
              <w:rPr>
                <w:bCs/>
                <w:sz w:val="20"/>
                <w:szCs w:val="20"/>
                <w:lang w:eastAsia="en-CA"/>
              </w:rPr>
              <w:t>Disbursed</w:t>
            </w:r>
          </w:p>
        </w:tc>
        <w:tc>
          <w:tcPr>
            <w:tcW w:w="606" w:type="pct"/>
            <w:tcBorders>
              <w:top w:val="nil"/>
              <w:left w:val="nil"/>
              <w:bottom w:val="single" w:sz="4" w:space="0" w:color="auto"/>
              <w:right w:val="single" w:sz="4" w:space="0" w:color="auto"/>
            </w:tcBorders>
            <w:noWrap/>
            <w:hideMark/>
          </w:tcPr>
          <w:p w14:paraId="75193606" w14:textId="77777777" w:rsidR="00C42624" w:rsidRPr="00941AA7" w:rsidRDefault="00C42624" w:rsidP="00C1059F">
            <w:pPr>
              <w:jc w:val="right"/>
              <w:rPr>
                <w:sz w:val="20"/>
                <w:szCs w:val="20"/>
                <w:lang w:eastAsia="en-CA"/>
              </w:rPr>
            </w:pPr>
            <w:r w:rsidRPr="00D1470A">
              <w:rPr>
                <w:sz w:val="20"/>
                <w:szCs w:val="20"/>
              </w:rPr>
              <w:t>1,</w:t>
            </w:r>
            <w:r>
              <w:rPr>
                <w:sz w:val="20"/>
                <w:szCs w:val="20"/>
              </w:rPr>
              <w:t>307,980</w:t>
            </w:r>
          </w:p>
        </w:tc>
        <w:tc>
          <w:tcPr>
            <w:tcW w:w="530" w:type="pct"/>
            <w:tcBorders>
              <w:top w:val="nil"/>
              <w:left w:val="nil"/>
              <w:bottom w:val="single" w:sz="4" w:space="0" w:color="auto"/>
              <w:right w:val="single" w:sz="4" w:space="0" w:color="auto"/>
            </w:tcBorders>
            <w:hideMark/>
          </w:tcPr>
          <w:p w14:paraId="633A6BF4" w14:textId="77777777" w:rsidR="00C42624" w:rsidRPr="00941AA7" w:rsidRDefault="00C42624" w:rsidP="00C1059F">
            <w:pPr>
              <w:jc w:val="right"/>
              <w:rPr>
                <w:sz w:val="20"/>
                <w:szCs w:val="20"/>
                <w:lang w:eastAsia="en-CA"/>
              </w:rPr>
            </w:pPr>
            <w:r>
              <w:rPr>
                <w:sz w:val="20"/>
                <w:szCs w:val="20"/>
                <w:lang w:eastAsia="en-CA"/>
              </w:rPr>
              <w:t>137,119</w:t>
            </w:r>
          </w:p>
        </w:tc>
        <w:tc>
          <w:tcPr>
            <w:tcW w:w="532" w:type="pct"/>
            <w:tcBorders>
              <w:top w:val="nil"/>
              <w:left w:val="nil"/>
              <w:bottom w:val="single" w:sz="4" w:space="0" w:color="auto"/>
              <w:right w:val="single" w:sz="4" w:space="0" w:color="auto"/>
            </w:tcBorders>
            <w:hideMark/>
          </w:tcPr>
          <w:p w14:paraId="534C5F82" w14:textId="77777777" w:rsidR="00C42624" w:rsidRPr="00941AA7" w:rsidRDefault="00C42624" w:rsidP="00C1059F">
            <w:pPr>
              <w:jc w:val="right"/>
              <w:rPr>
                <w:sz w:val="20"/>
                <w:szCs w:val="20"/>
                <w:lang w:eastAsia="en-CA"/>
              </w:rPr>
            </w:pPr>
            <w:r w:rsidRPr="00D1470A">
              <w:rPr>
                <w:sz w:val="20"/>
                <w:szCs w:val="20"/>
              </w:rPr>
              <w:t>117,590</w:t>
            </w:r>
          </w:p>
        </w:tc>
        <w:tc>
          <w:tcPr>
            <w:tcW w:w="605" w:type="pct"/>
            <w:tcBorders>
              <w:top w:val="nil"/>
              <w:left w:val="nil"/>
              <w:bottom w:val="single" w:sz="4" w:space="0" w:color="auto"/>
              <w:right w:val="single" w:sz="4" w:space="0" w:color="auto"/>
            </w:tcBorders>
            <w:hideMark/>
          </w:tcPr>
          <w:p w14:paraId="33F8DF56" w14:textId="77777777" w:rsidR="00C42624" w:rsidRPr="00941AA7" w:rsidRDefault="00C42624" w:rsidP="00C1059F">
            <w:pPr>
              <w:jc w:val="right"/>
              <w:rPr>
                <w:sz w:val="20"/>
                <w:szCs w:val="20"/>
                <w:lang w:eastAsia="en-CA"/>
              </w:rPr>
            </w:pPr>
            <w:r w:rsidRPr="00D1470A">
              <w:rPr>
                <w:sz w:val="20"/>
                <w:szCs w:val="20"/>
              </w:rPr>
              <w:t>139,754</w:t>
            </w:r>
          </w:p>
        </w:tc>
        <w:tc>
          <w:tcPr>
            <w:tcW w:w="530" w:type="pct"/>
            <w:tcBorders>
              <w:top w:val="nil"/>
              <w:left w:val="nil"/>
              <w:bottom w:val="single" w:sz="4" w:space="0" w:color="auto"/>
              <w:right w:val="single" w:sz="4" w:space="0" w:color="auto"/>
            </w:tcBorders>
            <w:hideMark/>
          </w:tcPr>
          <w:p w14:paraId="6D9CA94D" w14:textId="77777777" w:rsidR="00C42624" w:rsidRPr="00941AA7" w:rsidRDefault="00C42624" w:rsidP="00C1059F">
            <w:pPr>
              <w:jc w:val="right"/>
              <w:rPr>
                <w:sz w:val="20"/>
                <w:szCs w:val="20"/>
                <w:lang w:eastAsia="en-CA"/>
              </w:rPr>
            </w:pPr>
            <w:r w:rsidRPr="00D1470A">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tcPr>
          <w:p w14:paraId="2E17DE9E" w14:textId="77777777" w:rsidR="00C42624" w:rsidRPr="00941AA7" w:rsidRDefault="00C42624" w:rsidP="00C1059F">
            <w:pPr>
              <w:jc w:val="right"/>
              <w:rPr>
                <w:sz w:val="20"/>
                <w:szCs w:val="20"/>
                <w:lang w:eastAsia="en-CA"/>
              </w:rPr>
            </w:pPr>
            <w:r>
              <w:rPr>
                <w:sz w:val="20"/>
                <w:szCs w:val="20"/>
                <w:lang w:eastAsia="en-CA"/>
              </w:rPr>
              <w:t>1,702,443</w:t>
            </w:r>
          </w:p>
        </w:tc>
        <w:tc>
          <w:tcPr>
            <w:tcW w:w="423" w:type="pct"/>
            <w:vMerge/>
            <w:tcBorders>
              <w:top w:val="nil"/>
              <w:left w:val="single" w:sz="4" w:space="0" w:color="auto"/>
              <w:bottom w:val="single" w:sz="4" w:space="0" w:color="auto"/>
              <w:right w:val="single" w:sz="4" w:space="0" w:color="auto"/>
            </w:tcBorders>
            <w:vAlign w:val="center"/>
            <w:hideMark/>
          </w:tcPr>
          <w:p w14:paraId="64C41FC0" w14:textId="77777777" w:rsidR="00C42624" w:rsidRPr="00941AA7" w:rsidRDefault="00C42624" w:rsidP="00C1059F">
            <w:pPr>
              <w:jc w:val="left"/>
              <w:rPr>
                <w:sz w:val="20"/>
                <w:szCs w:val="20"/>
                <w:lang w:eastAsia="en-CA"/>
              </w:rPr>
            </w:pPr>
          </w:p>
        </w:tc>
      </w:tr>
      <w:tr w:rsidR="00C42624" w:rsidRPr="00941AA7" w14:paraId="52FCE70F" w14:textId="77777777" w:rsidTr="00C1059F">
        <w:trPr>
          <w:trHeight w:val="300"/>
        </w:trPr>
        <w:tc>
          <w:tcPr>
            <w:tcW w:w="540" w:type="pct"/>
            <w:vMerge w:val="restart"/>
            <w:tcBorders>
              <w:top w:val="nil"/>
              <w:left w:val="single" w:sz="4" w:space="0" w:color="auto"/>
              <w:bottom w:val="single" w:sz="4" w:space="0" w:color="auto"/>
              <w:right w:val="single" w:sz="4" w:space="0" w:color="auto"/>
            </w:tcBorders>
            <w:noWrap/>
            <w:vAlign w:val="center"/>
            <w:hideMark/>
          </w:tcPr>
          <w:p w14:paraId="3142A673" w14:textId="77777777" w:rsidR="00C42624" w:rsidRPr="00941AA7" w:rsidRDefault="00C42624" w:rsidP="00BB3C80">
            <w:pPr>
              <w:keepNext/>
              <w:jc w:val="left"/>
              <w:rPr>
                <w:sz w:val="20"/>
                <w:szCs w:val="20"/>
                <w:lang w:eastAsia="en-CA"/>
              </w:rPr>
            </w:pPr>
            <w:r w:rsidRPr="00941AA7">
              <w:rPr>
                <w:bCs/>
                <w:sz w:val="20"/>
                <w:szCs w:val="20"/>
                <w:lang w:eastAsia="en-CA"/>
              </w:rPr>
              <w:t>Fourth</w:t>
            </w:r>
          </w:p>
        </w:tc>
        <w:tc>
          <w:tcPr>
            <w:tcW w:w="596" w:type="pct"/>
            <w:tcBorders>
              <w:top w:val="nil"/>
              <w:left w:val="nil"/>
              <w:bottom w:val="single" w:sz="4" w:space="0" w:color="auto"/>
              <w:right w:val="single" w:sz="4" w:space="0" w:color="auto"/>
            </w:tcBorders>
            <w:noWrap/>
            <w:vAlign w:val="center"/>
            <w:hideMark/>
          </w:tcPr>
          <w:p w14:paraId="64F8614B" w14:textId="77777777" w:rsidR="00C42624" w:rsidRPr="00941AA7" w:rsidRDefault="00C42624" w:rsidP="00BB3C80">
            <w:pPr>
              <w:keepNext/>
              <w:rPr>
                <w:sz w:val="20"/>
                <w:szCs w:val="20"/>
                <w:lang w:eastAsia="en-CA"/>
              </w:rPr>
            </w:pPr>
            <w:r w:rsidRPr="00941AA7">
              <w:rPr>
                <w:bCs/>
                <w:sz w:val="20"/>
                <w:szCs w:val="20"/>
                <w:lang w:eastAsia="en-CA"/>
              </w:rPr>
              <w:t>Approved</w:t>
            </w:r>
          </w:p>
        </w:tc>
        <w:tc>
          <w:tcPr>
            <w:tcW w:w="606" w:type="pct"/>
            <w:tcBorders>
              <w:top w:val="nil"/>
              <w:left w:val="nil"/>
              <w:bottom w:val="single" w:sz="4" w:space="0" w:color="auto"/>
              <w:right w:val="single" w:sz="4" w:space="0" w:color="auto"/>
            </w:tcBorders>
            <w:noWrap/>
            <w:vAlign w:val="center"/>
            <w:hideMark/>
          </w:tcPr>
          <w:p w14:paraId="27B95A15" w14:textId="77777777" w:rsidR="00C42624" w:rsidRPr="00941AA7" w:rsidRDefault="00C42624" w:rsidP="00BB3C80">
            <w:pPr>
              <w:keepNext/>
              <w:ind w:left="-155"/>
              <w:jc w:val="right"/>
              <w:rPr>
                <w:sz w:val="20"/>
                <w:szCs w:val="20"/>
                <w:lang w:eastAsia="en-CA"/>
              </w:rPr>
            </w:pPr>
            <w:r w:rsidRPr="000F3DF0">
              <w:rPr>
                <w:sz w:val="20"/>
                <w:szCs w:val="20"/>
                <w:vertAlign w:val="superscript"/>
              </w:rPr>
              <w:t>[</w:t>
            </w:r>
            <w:r>
              <w:rPr>
                <w:sz w:val="20"/>
                <w:szCs w:val="20"/>
                <w:vertAlign w:val="superscript"/>
              </w:rPr>
              <w:t>4</w:t>
            </w:r>
            <w:r w:rsidRPr="000F3DF0">
              <w:rPr>
                <w:sz w:val="20"/>
                <w:szCs w:val="20"/>
                <w:vertAlign w:val="superscript"/>
              </w:rPr>
              <w:t>]</w:t>
            </w:r>
            <w:r w:rsidRPr="00941AA7">
              <w:rPr>
                <w:sz w:val="20"/>
                <w:szCs w:val="20"/>
                <w:lang w:eastAsia="en-CA"/>
              </w:rPr>
              <w:t>1,268,103</w:t>
            </w:r>
          </w:p>
        </w:tc>
        <w:tc>
          <w:tcPr>
            <w:tcW w:w="530" w:type="pct"/>
            <w:tcBorders>
              <w:top w:val="nil"/>
              <w:left w:val="nil"/>
              <w:bottom w:val="single" w:sz="4" w:space="0" w:color="auto"/>
              <w:right w:val="single" w:sz="4" w:space="0" w:color="auto"/>
            </w:tcBorders>
            <w:vAlign w:val="center"/>
            <w:hideMark/>
          </w:tcPr>
          <w:p w14:paraId="0CC19752" w14:textId="77777777" w:rsidR="00C42624" w:rsidRPr="00941AA7" w:rsidRDefault="00C42624" w:rsidP="00BB3C80">
            <w:pPr>
              <w:keepNext/>
              <w:jc w:val="right"/>
              <w:rPr>
                <w:sz w:val="20"/>
                <w:szCs w:val="20"/>
                <w:lang w:eastAsia="en-CA"/>
              </w:rPr>
            </w:pPr>
            <w:r w:rsidRPr="00941AA7">
              <w:rPr>
                <w:sz w:val="20"/>
                <w:szCs w:val="20"/>
                <w:lang w:eastAsia="en-CA"/>
              </w:rPr>
              <w:t>0</w:t>
            </w:r>
          </w:p>
        </w:tc>
        <w:tc>
          <w:tcPr>
            <w:tcW w:w="532" w:type="pct"/>
            <w:tcBorders>
              <w:top w:val="nil"/>
              <w:left w:val="nil"/>
              <w:bottom w:val="single" w:sz="4" w:space="0" w:color="auto"/>
              <w:right w:val="single" w:sz="4" w:space="0" w:color="auto"/>
            </w:tcBorders>
            <w:vAlign w:val="center"/>
            <w:hideMark/>
          </w:tcPr>
          <w:p w14:paraId="79D6E766" w14:textId="77777777" w:rsidR="00C42624" w:rsidRPr="00941AA7" w:rsidRDefault="00C42624" w:rsidP="00BB3C80">
            <w:pPr>
              <w:keepNext/>
              <w:jc w:val="right"/>
              <w:rPr>
                <w:sz w:val="20"/>
                <w:szCs w:val="20"/>
                <w:lang w:eastAsia="en-CA"/>
              </w:rPr>
            </w:pPr>
            <w:r w:rsidRPr="00941AA7">
              <w:rPr>
                <w:sz w:val="20"/>
                <w:szCs w:val="20"/>
                <w:lang w:eastAsia="en-CA"/>
              </w:rPr>
              <w:t>0</w:t>
            </w:r>
          </w:p>
        </w:tc>
        <w:tc>
          <w:tcPr>
            <w:tcW w:w="605" w:type="pct"/>
            <w:tcBorders>
              <w:top w:val="nil"/>
              <w:left w:val="nil"/>
              <w:bottom w:val="single" w:sz="4" w:space="0" w:color="auto"/>
              <w:right w:val="single" w:sz="4" w:space="0" w:color="auto"/>
            </w:tcBorders>
            <w:vAlign w:val="center"/>
            <w:hideMark/>
          </w:tcPr>
          <w:p w14:paraId="44782040" w14:textId="77777777" w:rsidR="00C42624" w:rsidRPr="00941AA7" w:rsidRDefault="00C42624" w:rsidP="00BB3C80">
            <w:pPr>
              <w:keepNext/>
              <w:jc w:val="right"/>
              <w:rPr>
                <w:sz w:val="20"/>
                <w:szCs w:val="20"/>
                <w:lang w:eastAsia="en-CA"/>
              </w:rPr>
            </w:pPr>
            <w:r w:rsidRPr="00941AA7">
              <w:rPr>
                <w:sz w:val="20"/>
                <w:szCs w:val="20"/>
                <w:lang w:eastAsia="en-CA"/>
              </w:rPr>
              <w:t>32,400</w:t>
            </w:r>
          </w:p>
        </w:tc>
        <w:tc>
          <w:tcPr>
            <w:tcW w:w="530" w:type="pct"/>
            <w:tcBorders>
              <w:top w:val="nil"/>
              <w:left w:val="nil"/>
              <w:bottom w:val="single" w:sz="4" w:space="0" w:color="auto"/>
              <w:right w:val="single" w:sz="4" w:space="0" w:color="auto"/>
            </w:tcBorders>
            <w:vAlign w:val="center"/>
            <w:hideMark/>
          </w:tcPr>
          <w:p w14:paraId="4F7A1C2E" w14:textId="77777777" w:rsidR="00C42624" w:rsidRPr="00941AA7" w:rsidRDefault="00C42624" w:rsidP="00BB3C80">
            <w:pPr>
              <w:keepNext/>
              <w:jc w:val="right"/>
              <w:rPr>
                <w:sz w:val="20"/>
                <w:szCs w:val="20"/>
                <w:lang w:eastAsia="en-CA"/>
              </w:rPr>
            </w:pPr>
            <w:r w:rsidRPr="00941AA7">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hideMark/>
          </w:tcPr>
          <w:p w14:paraId="1A97DDE4" w14:textId="77777777" w:rsidR="00C42624" w:rsidRPr="00941AA7" w:rsidRDefault="00C42624" w:rsidP="00BB3C80">
            <w:pPr>
              <w:keepNext/>
              <w:jc w:val="right"/>
              <w:rPr>
                <w:sz w:val="20"/>
                <w:szCs w:val="20"/>
                <w:lang w:eastAsia="en-CA"/>
              </w:rPr>
            </w:pPr>
            <w:r>
              <w:rPr>
                <w:color w:val="000000"/>
                <w:sz w:val="20"/>
                <w:szCs w:val="20"/>
              </w:rPr>
              <w:t>1,300,503</w:t>
            </w:r>
          </w:p>
        </w:tc>
        <w:tc>
          <w:tcPr>
            <w:tcW w:w="423" w:type="pct"/>
            <w:vMerge w:val="restart"/>
            <w:tcBorders>
              <w:top w:val="nil"/>
              <w:left w:val="single" w:sz="4" w:space="0" w:color="auto"/>
              <w:bottom w:val="single" w:sz="4" w:space="0" w:color="auto"/>
              <w:right w:val="single" w:sz="4" w:space="0" w:color="auto"/>
            </w:tcBorders>
            <w:noWrap/>
            <w:vAlign w:val="center"/>
            <w:hideMark/>
          </w:tcPr>
          <w:p w14:paraId="4F282AC0" w14:textId="77777777" w:rsidR="00C42624" w:rsidRPr="00941AA7" w:rsidRDefault="00C42624" w:rsidP="00BB3C80">
            <w:pPr>
              <w:keepNext/>
              <w:jc w:val="center"/>
              <w:rPr>
                <w:sz w:val="20"/>
                <w:szCs w:val="20"/>
                <w:lang w:eastAsia="en-CA"/>
              </w:rPr>
            </w:pPr>
            <w:r>
              <w:rPr>
                <w:sz w:val="20"/>
                <w:szCs w:val="20"/>
                <w:lang w:eastAsia="en-CA"/>
              </w:rPr>
              <w:t>43</w:t>
            </w:r>
          </w:p>
        </w:tc>
      </w:tr>
      <w:tr w:rsidR="00C42624" w:rsidRPr="00941AA7" w14:paraId="00CA8839" w14:textId="77777777" w:rsidTr="00C1059F">
        <w:trPr>
          <w:trHeight w:val="300"/>
        </w:trPr>
        <w:tc>
          <w:tcPr>
            <w:tcW w:w="540" w:type="pct"/>
            <w:vMerge/>
            <w:tcBorders>
              <w:top w:val="nil"/>
              <w:left w:val="single" w:sz="4" w:space="0" w:color="auto"/>
              <w:bottom w:val="single" w:sz="4" w:space="0" w:color="auto"/>
              <w:right w:val="single" w:sz="4" w:space="0" w:color="auto"/>
            </w:tcBorders>
            <w:vAlign w:val="center"/>
            <w:hideMark/>
          </w:tcPr>
          <w:p w14:paraId="4B390616" w14:textId="77777777" w:rsidR="00C42624" w:rsidRPr="00941AA7" w:rsidRDefault="00C42624" w:rsidP="00C1059F">
            <w:pPr>
              <w:jc w:val="left"/>
              <w:rPr>
                <w:sz w:val="20"/>
                <w:szCs w:val="20"/>
                <w:lang w:eastAsia="en-CA"/>
              </w:rPr>
            </w:pPr>
          </w:p>
        </w:tc>
        <w:tc>
          <w:tcPr>
            <w:tcW w:w="596" w:type="pct"/>
            <w:tcBorders>
              <w:top w:val="nil"/>
              <w:left w:val="nil"/>
              <w:bottom w:val="single" w:sz="4" w:space="0" w:color="auto"/>
              <w:right w:val="single" w:sz="4" w:space="0" w:color="auto"/>
            </w:tcBorders>
            <w:noWrap/>
            <w:vAlign w:val="center"/>
            <w:hideMark/>
          </w:tcPr>
          <w:p w14:paraId="65AB5973" w14:textId="77777777" w:rsidR="00C42624" w:rsidRPr="00941AA7" w:rsidRDefault="00C42624" w:rsidP="00C1059F">
            <w:pPr>
              <w:rPr>
                <w:sz w:val="20"/>
                <w:szCs w:val="20"/>
                <w:lang w:eastAsia="en-CA"/>
              </w:rPr>
            </w:pPr>
            <w:r w:rsidRPr="00941AA7">
              <w:rPr>
                <w:bCs/>
                <w:sz w:val="20"/>
                <w:szCs w:val="20"/>
                <w:lang w:eastAsia="en-CA"/>
              </w:rPr>
              <w:t>Disbursed</w:t>
            </w:r>
          </w:p>
        </w:tc>
        <w:tc>
          <w:tcPr>
            <w:tcW w:w="606" w:type="pct"/>
            <w:tcBorders>
              <w:top w:val="nil"/>
              <w:left w:val="nil"/>
              <w:bottom w:val="single" w:sz="4" w:space="0" w:color="auto"/>
              <w:right w:val="single" w:sz="4" w:space="0" w:color="auto"/>
            </w:tcBorders>
            <w:noWrap/>
            <w:vAlign w:val="center"/>
            <w:hideMark/>
          </w:tcPr>
          <w:p w14:paraId="79937A59" w14:textId="77777777" w:rsidR="00C42624" w:rsidRPr="00941AA7" w:rsidRDefault="00C42624" w:rsidP="00C1059F">
            <w:pPr>
              <w:jc w:val="right"/>
              <w:rPr>
                <w:sz w:val="20"/>
                <w:szCs w:val="20"/>
                <w:lang w:eastAsia="en-CA"/>
              </w:rPr>
            </w:pPr>
            <w:r>
              <w:rPr>
                <w:sz w:val="20"/>
                <w:szCs w:val="20"/>
                <w:lang w:val="en-US" w:eastAsia="zh-CN"/>
              </w:rPr>
              <w:t>523,376</w:t>
            </w:r>
          </w:p>
        </w:tc>
        <w:tc>
          <w:tcPr>
            <w:tcW w:w="530" w:type="pct"/>
            <w:tcBorders>
              <w:top w:val="nil"/>
              <w:left w:val="nil"/>
              <w:bottom w:val="single" w:sz="4" w:space="0" w:color="auto"/>
              <w:right w:val="single" w:sz="4" w:space="0" w:color="auto"/>
            </w:tcBorders>
            <w:vAlign w:val="center"/>
            <w:hideMark/>
          </w:tcPr>
          <w:p w14:paraId="29C9A5EA" w14:textId="77777777" w:rsidR="00C42624" w:rsidRPr="00941AA7" w:rsidRDefault="00C42624" w:rsidP="00C1059F">
            <w:pPr>
              <w:jc w:val="right"/>
              <w:rPr>
                <w:sz w:val="20"/>
                <w:szCs w:val="20"/>
                <w:lang w:eastAsia="en-CA"/>
              </w:rPr>
            </w:pPr>
            <w:r w:rsidRPr="00941AA7">
              <w:rPr>
                <w:sz w:val="20"/>
                <w:szCs w:val="20"/>
                <w:lang w:eastAsia="en-CA"/>
              </w:rPr>
              <w:t>0</w:t>
            </w:r>
          </w:p>
        </w:tc>
        <w:tc>
          <w:tcPr>
            <w:tcW w:w="532" w:type="pct"/>
            <w:tcBorders>
              <w:top w:val="nil"/>
              <w:left w:val="nil"/>
              <w:bottom w:val="single" w:sz="4" w:space="0" w:color="auto"/>
              <w:right w:val="single" w:sz="4" w:space="0" w:color="auto"/>
            </w:tcBorders>
            <w:vAlign w:val="center"/>
            <w:hideMark/>
          </w:tcPr>
          <w:p w14:paraId="37EEC5F8" w14:textId="77777777" w:rsidR="00C42624" w:rsidRPr="00941AA7" w:rsidRDefault="00C42624" w:rsidP="00C1059F">
            <w:pPr>
              <w:jc w:val="right"/>
              <w:rPr>
                <w:sz w:val="20"/>
                <w:szCs w:val="20"/>
                <w:lang w:eastAsia="en-CA"/>
              </w:rPr>
            </w:pPr>
            <w:r w:rsidRPr="00941AA7">
              <w:rPr>
                <w:sz w:val="20"/>
                <w:szCs w:val="20"/>
                <w:lang w:eastAsia="en-CA"/>
              </w:rPr>
              <w:t>0</w:t>
            </w:r>
          </w:p>
        </w:tc>
        <w:tc>
          <w:tcPr>
            <w:tcW w:w="605" w:type="pct"/>
            <w:tcBorders>
              <w:top w:val="nil"/>
              <w:left w:val="nil"/>
              <w:bottom w:val="single" w:sz="4" w:space="0" w:color="auto"/>
              <w:right w:val="single" w:sz="4" w:space="0" w:color="auto"/>
            </w:tcBorders>
            <w:vAlign w:val="center"/>
            <w:hideMark/>
          </w:tcPr>
          <w:p w14:paraId="5E2D8B44" w14:textId="77777777" w:rsidR="00C42624" w:rsidRPr="00941AA7" w:rsidRDefault="00C42624" w:rsidP="00C1059F">
            <w:pPr>
              <w:jc w:val="right"/>
              <w:rPr>
                <w:sz w:val="20"/>
                <w:szCs w:val="20"/>
                <w:lang w:eastAsia="en-CA"/>
              </w:rPr>
            </w:pPr>
            <w:r w:rsidRPr="00941AA7">
              <w:rPr>
                <w:sz w:val="20"/>
                <w:szCs w:val="20"/>
                <w:lang w:eastAsia="en-CA"/>
              </w:rPr>
              <w:t>32,400</w:t>
            </w:r>
          </w:p>
        </w:tc>
        <w:tc>
          <w:tcPr>
            <w:tcW w:w="530" w:type="pct"/>
            <w:tcBorders>
              <w:top w:val="nil"/>
              <w:left w:val="nil"/>
              <w:bottom w:val="single" w:sz="4" w:space="0" w:color="auto"/>
              <w:right w:val="single" w:sz="4" w:space="0" w:color="auto"/>
            </w:tcBorders>
            <w:vAlign w:val="center"/>
            <w:hideMark/>
          </w:tcPr>
          <w:p w14:paraId="1444972F" w14:textId="77777777" w:rsidR="00C42624" w:rsidRPr="00941AA7" w:rsidRDefault="00C42624" w:rsidP="00C1059F">
            <w:pPr>
              <w:jc w:val="right"/>
              <w:rPr>
                <w:sz w:val="20"/>
                <w:szCs w:val="20"/>
                <w:lang w:eastAsia="en-CA"/>
              </w:rPr>
            </w:pPr>
            <w:r w:rsidRPr="00941AA7">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hideMark/>
          </w:tcPr>
          <w:p w14:paraId="266893A2" w14:textId="77777777" w:rsidR="00C42624" w:rsidRPr="00941AA7" w:rsidRDefault="00C42624" w:rsidP="00C1059F">
            <w:pPr>
              <w:jc w:val="right"/>
              <w:rPr>
                <w:sz w:val="20"/>
                <w:szCs w:val="20"/>
                <w:lang w:eastAsia="en-CA"/>
              </w:rPr>
            </w:pPr>
            <w:r>
              <w:rPr>
                <w:color w:val="000000"/>
                <w:sz w:val="20"/>
                <w:szCs w:val="20"/>
              </w:rPr>
              <w:t>555,776</w:t>
            </w:r>
          </w:p>
        </w:tc>
        <w:tc>
          <w:tcPr>
            <w:tcW w:w="423" w:type="pct"/>
            <w:vMerge/>
            <w:tcBorders>
              <w:top w:val="nil"/>
              <w:left w:val="single" w:sz="4" w:space="0" w:color="auto"/>
              <w:bottom w:val="single" w:sz="4" w:space="0" w:color="auto"/>
              <w:right w:val="single" w:sz="4" w:space="0" w:color="auto"/>
            </w:tcBorders>
            <w:vAlign w:val="center"/>
            <w:hideMark/>
          </w:tcPr>
          <w:p w14:paraId="14F4721D" w14:textId="77777777" w:rsidR="00C42624" w:rsidRPr="00941AA7" w:rsidRDefault="00C42624" w:rsidP="00C1059F">
            <w:pPr>
              <w:jc w:val="left"/>
              <w:rPr>
                <w:sz w:val="20"/>
                <w:szCs w:val="20"/>
                <w:lang w:eastAsia="en-CA"/>
              </w:rPr>
            </w:pPr>
          </w:p>
        </w:tc>
      </w:tr>
      <w:tr w:rsidR="00C42624" w:rsidRPr="00D1470A" w14:paraId="71A60DB7" w14:textId="77777777" w:rsidTr="00C1059F">
        <w:trPr>
          <w:trHeight w:val="300"/>
        </w:trPr>
        <w:tc>
          <w:tcPr>
            <w:tcW w:w="540" w:type="pct"/>
            <w:vMerge w:val="restart"/>
            <w:tcBorders>
              <w:top w:val="nil"/>
              <w:left w:val="single" w:sz="4" w:space="0" w:color="auto"/>
              <w:right w:val="single" w:sz="4" w:space="0" w:color="auto"/>
            </w:tcBorders>
            <w:vAlign w:val="center"/>
          </w:tcPr>
          <w:p w14:paraId="74D8A355" w14:textId="77777777" w:rsidR="00C42624" w:rsidRPr="00D1470A" w:rsidRDefault="00C42624" w:rsidP="00C1059F">
            <w:pPr>
              <w:keepNext/>
              <w:jc w:val="left"/>
              <w:rPr>
                <w:sz w:val="20"/>
                <w:szCs w:val="20"/>
                <w:lang w:eastAsia="en-CA"/>
              </w:rPr>
            </w:pPr>
            <w:r w:rsidRPr="00D1470A">
              <w:rPr>
                <w:sz w:val="20"/>
                <w:szCs w:val="20"/>
                <w:lang w:eastAsia="en-CA"/>
              </w:rPr>
              <w:t>Fifth</w:t>
            </w:r>
          </w:p>
        </w:tc>
        <w:tc>
          <w:tcPr>
            <w:tcW w:w="596" w:type="pct"/>
            <w:tcBorders>
              <w:top w:val="nil"/>
              <w:left w:val="nil"/>
              <w:bottom w:val="single" w:sz="4" w:space="0" w:color="auto"/>
              <w:right w:val="single" w:sz="4" w:space="0" w:color="auto"/>
            </w:tcBorders>
            <w:noWrap/>
          </w:tcPr>
          <w:p w14:paraId="35FEEFAA" w14:textId="77777777" w:rsidR="00C42624" w:rsidRPr="00D1470A" w:rsidRDefault="00C42624" w:rsidP="00C1059F">
            <w:pPr>
              <w:keepNext/>
              <w:rPr>
                <w:bCs/>
                <w:sz w:val="20"/>
                <w:szCs w:val="20"/>
                <w:lang w:eastAsia="en-CA"/>
              </w:rPr>
            </w:pPr>
            <w:r w:rsidRPr="00D1470A">
              <w:rPr>
                <w:sz w:val="20"/>
                <w:szCs w:val="20"/>
              </w:rPr>
              <w:t>Approved</w:t>
            </w:r>
          </w:p>
        </w:tc>
        <w:tc>
          <w:tcPr>
            <w:tcW w:w="606" w:type="pct"/>
            <w:tcBorders>
              <w:top w:val="nil"/>
              <w:left w:val="nil"/>
              <w:bottom w:val="single" w:sz="4" w:space="0" w:color="auto"/>
              <w:right w:val="single" w:sz="4" w:space="0" w:color="auto"/>
            </w:tcBorders>
            <w:noWrap/>
          </w:tcPr>
          <w:p w14:paraId="103D0E79" w14:textId="77777777" w:rsidR="00C42624" w:rsidRPr="00D1470A" w:rsidRDefault="00C42624" w:rsidP="00C1059F">
            <w:pPr>
              <w:keepNext/>
              <w:jc w:val="right"/>
              <w:rPr>
                <w:sz w:val="20"/>
                <w:szCs w:val="20"/>
                <w:lang w:val="en-US" w:eastAsia="zh-CN"/>
              </w:rPr>
            </w:pPr>
            <w:r w:rsidRPr="00D1470A">
              <w:rPr>
                <w:sz w:val="20"/>
                <w:szCs w:val="20"/>
              </w:rPr>
              <w:t>337,860</w:t>
            </w:r>
          </w:p>
        </w:tc>
        <w:tc>
          <w:tcPr>
            <w:tcW w:w="530" w:type="pct"/>
            <w:tcBorders>
              <w:top w:val="nil"/>
              <w:left w:val="nil"/>
              <w:bottom w:val="single" w:sz="4" w:space="0" w:color="auto"/>
              <w:right w:val="single" w:sz="4" w:space="0" w:color="auto"/>
            </w:tcBorders>
          </w:tcPr>
          <w:p w14:paraId="1160F6E6" w14:textId="77777777" w:rsidR="00C42624" w:rsidRPr="00D1470A" w:rsidRDefault="00C42624" w:rsidP="00C1059F">
            <w:pPr>
              <w:keepNext/>
              <w:jc w:val="right"/>
              <w:rPr>
                <w:sz w:val="20"/>
                <w:szCs w:val="20"/>
                <w:lang w:eastAsia="en-CA"/>
              </w:rPr>
            </w:pPr>
            <w:r w:rsidRPr="00D1470A">
              <w:rPr>
                <w:sz w:val="20"/>
                <w:szCs w:val="20"/>
                <w:lang w:eastAsia="en-CA"/>
              </w:rPr>
              <w:t>0</w:t>
            </w:r>
          </w:p>
        </w:tc>
        <w:tc>
          <w:tcPr>
            <w:tcW w:w="532" w:type="pct"/>
            <w:tcBorders>
              <w:top w:val="nil"/>
              <w:left w:val="nil"/>
              <w:bottom w:val="single" w:sz="4" w:space="0" w:color="auto"/>
              <w:right w:val="single" w:sz="4" w:space="0" w:color="auto"/>
            </w:tcBorders>
          </w:tcPr>
          <w:p w14:paraId="4FEC9F35" w14:textId="77777777" w:rsidR="00C42624" w:rsidRPr="00D1470A" w:rsidRDefault="00C42624" w:rsidP="00C1059F">
            <w:pPr>
              <w:keepNext/>
              <w:jc w:val="right"/>
              <w:rPr>
                <w:sz w:val="20"/>
                <w:szCs w:val="20"/>
                <w:lang w:eastAsia="en-CA"/>
              </w:rPr>
            </w:pPr>
            <w:r w:rsidRPr="00D1470A">
              <w:rPr>
                <w:sz w:val="20"/>
                <w:szCs w:val="20"/>
              </w:rPr>
              <w:t>140,000</w:t>
            </w:r>
          </w:p>
        </w:tc>
        <w:tc>
          <w:tcPr>
            <w:tcW w:w="605" w:type="pct"/>
            <w:tcBorders>
              <w:top w:val="nil"/>
              <w:left w:val="nil"/>
              <w:bottom w:val="single" w:sz="4" w:space="0" w:color="auto"/>
              <w:right w:val="single" w:sz="4" w:space="0" w:color="auto"/>
            </w:tcBorders>
          </w:tcPr>
          <w:p w14:paraId="43A4A34C" w14:textId="77777777" w:rsidR="00C42624" w:rsidRPr="00D1470A" w:rsidRDefault="00C42624" w:rsidP="00C1059F">
            <w:pPr>
              <w:keepNext/>
              <w:jc w:val="right"/>
              <w:rPr>
                <w:sz w:val="20"/>
                <w:szCs w:val="20"/>
                <w:lang w:eastAsia="en-CA"/>
              </w:rPr>
            </w:pPr>
            <w:r w:rsidRPr="00D1470A">
              <w:rPr>
                <w:sz w:val="20"/>
                <w:szCs w:val="20"/>
              </w:rPr>
              <w:t>0</w:t>
            </w:r>
          </w:p>
        </w:tc>
        <w:tc>
          <w:tcPr>
            <w:tcW w:w="530" w:type="pct"/>
            <w:tcBorders>
              <w:top w:val="nil"/>
              <w:left w:val="nil"/>
              <w:bottom w:val="single" w:sz="4" w:space="0" w:color="auto"/>
              <w:right w:val="single" w:sz="4" w:space="0" w:color="auto"/>
            </w:tcBorders>
          </w:tcPr>
          <w:p w14:paraId="1E197BCB" w14:textId="77777777" w:rsidR="00C42624" w:rsidRPr="00D1470A" w:rsidRDefault="00C42624" w:rsidP="00C1059F">
            <w:pPr>
              <w:keepNext/>
              <w:jc w:val="right"/>
              <w:rPr>
                <w:sz w:val="20"/>
                <w:szCs w:val="20"/>
                <w:lang w:eastAsia="en-CA"/>
              </w:rPr>
            </w:pPr>
            <w:r w:rsidRPr="00D1470A">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tcPr>
          <w:p w14:paraId="52AEE4C6" w14:textId="77777777" w:rsidR="00C42624" w:rsidRPr="00D1470A" w:rsidRDefault="00C42624" w:rsidP="00C1059F">
            <w:pPr>
              <w:keepNext/>
              <w:jc w:val="right"/>
              <w:rPr>
                <w:sz w:val="20"/>
                <w:szCs w:val="20"/>
                <w:lang w:eastAsia="en-CA"/>
              </w:rPr>
            </w:pPr>
            <w:r>
              <w:rPr>
                <w:color w:val="000000"/>
                <w:sz w:val="20"/>
                <w:szCs w:val="20"/>
              </w:rPr>
              <w:t>477,860</w:t>
            </w:r>
          </w:p>
        </w:tc>
        <w:tc>
          <w:tcPr>
            <w:tcW w:w="423" w:type="pct"/>
            <w:vMerge w:val="restart"/>
            <w:tcBorders>
              <w:top w:val="nil"/>
              <w:left w:val="single" w:sz="4" w:space="0" w:color="auto"/>
              <w:right w:val="single" w:sz="4" w:space="0" w:color="auto"/>
            </w:tcBorders>
            <w:vAlign w:val="center"/>
          </w:tcPr>
          <w:p w14:paraId="1A8B6B74" w14:textId="77777777" w:rsidR="00C42624" w:rsidRPr="00D1470A" w:rsidRDefault="00C42624" w:rsidP="00C1059F">
            <w:pPr>
              <w:keepNext/>
              <w:jc w:val="center"/>
              <w:rPr>
                <w:sz w:val="20"/>
                <w:szCs w:val="20"/>
                <w:lang w:eastAsia="en-CA"/>
              </w:rPr>
            </w:pPr>
            <w:r>
              <w:rPr>
                <w:sz w:val="20"/>
                <w:szCs w:val="20"/>
                <w:lang w:eastAsia="en-CA"/>
              </w:rPr>
              <w:t>46</w:t>
            </w:r>
          </w:p>
        </w:tc>
      </w:tr>
      <w:tr w:rsidR="00C42624" w:rsidRPr="00D1470A" w14:paraId="2286BE3D" w14:textId="77777777" w:rsidTr="00C1059F">
        <w:trPr>
          <w:trHeight w:val="300"/>
        </w:trPr>
        <w:tc>
          <w:tcPr>
            <w:tcW w:w="540" w:type="pct"/>
            <w:vMerge/>
            <w:tcBorders>
              <w:left w:val="single" w:sz="4" w:space="0" w:color="auto"/>
              <w:bottom w:val="single" w:sz="4" w:space="0" w:color="auto"/>
              <w:right w:val="single" w:sz="4" w:space="0" w:color="auto"/>
            </w:tcBorders>
            <w:vAlign w:val="center"/>
          </w:tcPr>
          <w:p w14:paraId="0A6917C0" w14:textId="77777777" w:rsidR="00C42624" w:rsidRPr="00D1470A" w:rsidRDefault="00C42624" w:rsidP="00C1059F">
            <w:pPr>
              <w:keepNext/>
              <w:jc w:val="left"/>
              <w:rPr>
                <w:sz w:val="20"/>
                <w:szCs w:val="20"/>
                <w:lang w:eastAsia="en-CA"/>
              </w:rPr>
            </w:pPr>
          </w:p>
        </w:tc>
        <w:tc>
          <w:tcPr>
            <w:tcW w:w="596" w:type="pct"/>
            <w:tcBorders>
              <w:top w:val="nil"/>
              <w:left w:val="nil"/>
              <w:bottom w:val="single" w:sz="4" w:space="0" w:color="auto"/>
              <w:right w:val="single" w:sz="4" w:space="0" w:color="auto"/>
            </w:tcBorders>
            <w:noWrap/>
          </w:tcPr>
          <w:p w14:paraId="7CC0D45F" w14:textId="77777777" w:rsidR="00C42624" w:rsidRPr="00D1470A" w:rsidRDefault="00C42624" w:rsidP="00C1059F">
            <w:pPr>
              <w:keepNext/>
              <w:rPr>
                <w:bCs/>
                <w:sz w:val="20"/>
                <w:szCs w:val="20"/>
                <w:lang w:eastAsia="en-CA"/>
              </w:rPr>
            </w:pPr>
            <w:r w:rsidRPr="00D1470A">
              <w:rPr>
                <w:sz w:val="20"/>
                <w:szCs w:val="20"/>
              </w:rPr>
              <w:t>Disbursed</w:t>
            </w:r>
          </w:p>
        </w:tc>
        <w:tc>
          <w:tcPr>
            <w:tcW w:w="606" w:type="pct"/>
            <w:tcBorders>
              <w:top w:val="nil"/>
              <w:left w:val="nil"/>
              <w:bottom w:val="single" w:sz="4" w:space="0" w:color="auto"/>
              <w:right w:val="single" w:sz="4" w:space="0" w:color="auto"/>
            </w:tcBorders>
            <w:noWrap/>
          </w:tcPr>
          <w:p w14:paraId="0CA0467D" w14:textId="77777777" w:rsidR="00C42624" w:rsidRPr="00D1470A" w:rsidRDefault="00C42624" w:rsidP="00C1059F">
            <w:pPr>
              <w:keepNext/>
              <w:jc w:val="right"/>
              <w:rPr>
                <w:sz w:val="20"/>
                <w:szCs w:val="20"/>
                <w:lang w:val="en-US" w:eastAsia="zh-CN"/>
              </w:rPr>
            </w:pPr>
            <w:r>
              <w:rPr>
                <w:sz w:val="20"/>
                <w:szCs w:val="20"/>
              </w:rPr>
              <w:t>221</w:t>
            </w:r>
            <w:r w:rsidRPr="00D1470A">
              <w:rPr>
                <w:sz w:val="20"/>
                <w:szCs w:val="20"/>
              </w:rPr>
              <w:t>,</w:t>
            </w:r>
            <w:r>
              <w:rPr>
                <w:sz w:val="20"/>
                <w:szCs w:val="20"/>
              </w:rPr>
              <w:t>191</w:t>
            </w:r>
          </w:p>
        </w:tc>
        <w:tc>
          <w:tcPr>
            <w:tcW w:w="530" w:type="pct"/>
            <w:tcBorders>
              <w:top w:val="nil"/>
              <w:left w:val="nil"/>
              <w:bottom w:val="single" w:sz="4" w:space="0" w:color="auto"/>
              <w:right w:val="single" w:sz="4" w:space="0" w:color="auto"/>
            </w:tcBorders>
          </w:tcPr>
          <w:p w14:paraId="7BBCD431" w14:textId="77777777" w:rsidR="00C42624" w:rsidRPr="00D1470A" w:rsidRDefault="00C42624" w:rsidP="00C1059F">
            <w:pPr>
              <w:keepNext/>
              <w:jc w:val="right"/>
              <w:rPr>
                <w:sz w:val="20"/>
                <w:szCs w:val="20"/>
                <w:lang w:eastAsia="en-CA"/>
              </w:rPr>
            </w:pPr>
            <w:r w:rsidRPr="00D1470A">
              <w:rPr>
                <w:sz w:val="20"/>
                <w:szCs w:val="20"/>
                <w:lang w:eastAsia="en-CA"/>
              </w:rPr>
              <w:t>0</w:t>
            </w:r>
          </w:p>
        </w:tc>
        <w:tc>
          <w:tcPr>
            <w:tcW w:w="532" w:type="pct"/>
            <w:tcBorders>
              <w:top w:val="nil"/>
              <w:left w:val="nil"/>
              <w:bottom w:val="single" w:sz="4" w:space="0" w:color="auto"/>
              <w:right w:val="single" w:sz="4" w:space="0" w:color="auto"/>
            </w:tcBorders>
          </w:tcPr>
          <w:p w14:paraId="16255124" w14:textId="77777777" w:rsidR="00C42624" w:rsidRPr="00D1470A" w:rsidRDefault="00C42624" w:rsidP="00C1059F">
            <w:pPr>
              <w:keepNext/>
              <w:jc w:val="right"/>
              <w:rPr>
                <w:sz w:val="20"/>
                <w:szCs w:val="20"/>
                <w:lang w:eastAsia="en-CA"/>
              </w:rPr>
            </w:pPr>
            <w:r w:rsidRPr="00D1470A">
              <w:rPr>
                <w:sz w:val="20"/>
                <w:szCs w:val="20"/>
                <w:lang w:eastAsia="en-CA"/>
              </w:rPr>
              <w:t>0</w:t>
            </w:r>
          </w:p>
        </w:tc>
        <w:tc>
          <w:tcPr>
            <w:tcW w:w="605" w:type="pct"/>
            <w:tcBorders>
              <w:top w:val="nil"/>
              <w:left w:val="nil"/>
              <w:bottom w:val="single" w:sz="4" w:space="0" w:color="auto"/>
              <w:right w:val="single" w:sz="4" w:space="0" w:color="auto"/>
            </w:tcBorders>
          </w:tcPr>
          <w:p w14:paraId="30A696F0" w14:textId="77777777" w:rsidR="00C42624" w:rsidRPr="00D1470A" w:rsidRDefault="00C42624" w:rsidP="00C1059F">
            <w:pPr>
              <w:keepNext/>
              <w:jc w:val="right"/>
              <w:rPr>
                <w:sz w:val="20"/>
                <w:szCs w:val="20"/>
                <w:lang w:eastAsia="en-CA"/>
              </w:rPr>
            </w:pPr>
            <w:r w:rsidRPr="00D1470A">
              <w:rPr>
                <w:sz w:val="20"/>
                <w:szCs w:val="20"/>
                <w:lang w:eastAsia="en-CA"/>
              </w:rPr>
              <w:t>0</w:t>
            </w:r>
          </w:p>
        </w:tc>
        <w:tc>
          <w:tcPr>
            <w:tcW w:w="530" w:type="pct"/>
            <w:tcBorders>
              <w:top w:val="nil"/>
              <w:left w:val="nil"/>
              <w:bottom w:val="single" w:sz="4" w:space="0" w:color="auto"/>
              <w:right w:val="single" w:sz="4" w:space="0" w:color="auto"/>
            </w:tcBorders>
          </w:tcPr>
          <w:p w14:paraId="01F94C42" w14:textId="77777777" w:rsidR="00C42624" w:rsidRPr="00D1470A" w:rsidRDefault="00C42624" w:rsidP="00C1059F">
            <w:pPr>
              <w:keepNext/>
              <w:jc w:val="right"/>
              <w:rPr>
                <w:sz w:val="20"/>
                <w:szCs w:val="20"/>
                <w:lang w:eastAsia="en-CA"/>
              </w:rPr>
            </w:pPr>
            <w:r w:rsidRPr="00D1470A">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tcPr>
          <w:p w14:paraId="53EF3600" w14:textId="77777777" w:rsidR="00C42624" w:rsidRPr="00D1470A" w:rsidRDefault="00C42624" w:rsidP="00C1059F">
            <w:pPr>
              <w:keepNext/>
              <w:jc w:val="right"/>
              <w:rPr>
                <w:sz w:val="20"/>
                <w:szCs w:val="20"/>
                <w:lang w:eastAsia="en-CA"/>
              </w:rPr>
            </w:pPr>
            <w:r>
              <w:rPr>
                <w:color w:val="000000"/>
                <w:sz w:val="20"/>
                <w:szCs w:val="20"/>
              </w:rPr>
              <w:t>221,191</w:t>
            </w:r>
          </w:p>
        </w:tc>
        <w:tc>
          <w:tcPr>
            <w:tcW w:w="423" w:type="pct"/>
            <w:vMerge/>
            <w:tcBorders>
              <w:left w:val="single" w:sz="4" w:space="0" w:color="auto"/>
              <w:bottom w:val="single" w:sz="4" w:space="0" w:color="auto"/>
              <w:right w:val="single" w:sz="4" w:space="0" w:color="auto"/>
            </w:tcBorders>
            <w:vAlign w:val="center"/>
          </w:tcPr>
          <w:p w14:paraId="1AF7766C" w14:textId="77777777" w:rsidR="00C42624" w:rsidRPr="00D1470A" w:rsidRDefault="00C42624" w:rsidP="00C1059F">
            <w:pPr>
              <w:keepNext/>
              <w:jc w:val="left"/>
              <w:rPr>
                <w:sz w:val="20"/>
                <w:szCs w:val="20"/>
                <w:lang w:eastAsia="en-CA"/>
              </w:rPr>
            </w:pPr>
          </w:p>
        </w:tc>
      </w:tr>
      <w:tr w:rsidR="00C42624" w:rsidRPr="00941AA7" w14:paraId="67469E48" w14:textId="77777777" w:rsidTr="00C1059F">
        <w:trPr>
          <w:trHeight w:val="300"/>
        </w:trPr>
        <w:tc>
          <w:tcPr>
            <w:tcW w:w="540" w:type="pct"/>
            <w:vMerge w:val="restart"/>
            <w:tcBorders>
              <w:top w:val="nil"/>
              <w:left w:val="single" w:sz="4" w:space="0" w:color="auto"/>
              <w:bottom w:val="single" w:sz="4" w:space="0" w:color="auto"/>
              <w:right w:val="single" w:sz="4" w:space="0" w:color="auto"/>
            </w:tcBorders>
            <w:vAlign w:val="center"/>
            <w:hideMark/>
          </w:tcPr>
          <w:p w14:paraId="263CFC0F" w14:textId="77777777" w:rsidR="00C42624" w:rsidRPr="00941AA7" w:rsidRDefault="00C42624" w:rsidP="00C1059F">
            <w:pPr>
              <w:keepNext/>
              <w:jc w:val="left"/>
              <w:rPr>
                <w:b/>
                <w:bCs/>
                <w:sz w:val="20"/>
                <w:szCs w:val="20"/>
                <w:lang w:eastAsia="en-CA"/>
              </w:rPr>
            </w:pPr>
            <w:r w:rsidRPr="00941AA7">
              <w:rPr>
                <w:b/>
                <w:bCs/>
                <w:sz w:val="20"/>
                <w:szCs w:val="20"/>
                <w:lang w:eastAsia="en-CA"/>
              </w:rPr>
              <w:t>Total</w:t>
            </w:r>
          </w:p>
        </w:tc>
        <w:tc>
          <w:tcPr>
            <w:tcW w:w="596" w:type="pct"/>
            <w:tcBorders>
              <w:top w:val="nil"/>
              <w:left w:val="nil"/>
              <w:bottom w:val="single" w:sz="4" w:space="0" w:color="auto"/>
              <w:right w:val="single" w:sz="4" w:space="0" w:color="auto"/>
            </w:tcBorders>
            <w:vAlign w:val="center"/>
            <w:hideMark/>
          </w:tcPr>
          <w:p w14:paraId="0C9E9362" w14:textId="77777777" w:rsidR="00C42624" w:rsidRPr="00941AA7" w:rsidRDefault="00C42624" w:rsidP="00C1059F">
            <w:pPr>
              <w:keepNext/>
              <w:ind w:right="-225"/>
              <w:rPr>
                <w:b/>
                <w:bCs/>
                <w:sz w:val="20"/>
                <w:szCs w:val="20"/>
                <w:lang w:eastAsia="en-CA"/>
              </w:rPr>
            </w:pPr>
            <w:r w:rsidRPr="00941AA7">
              <w:rPr>
                <w:b/>
                <w:bCs/>
                <w:sz w:val="20"/>
                <w:szCs w:val="20"/>
                <w:lang w:eastAsia="en-CA"/>
              </w:rPr>
              <w:t>Approved</w:t>
            </w:r>
          </w:p>
        </w:tc>
        <w:tc>
          <w:tcPr>
            <w:tcW w:w="606" w:type="pct"/>
            <w:tcBorders>
              <w:top w:val="single" w:sz="4" w:space="0" w:color="auto"/>
              <w:left w:val="single" w:sz="4" w:space="0" w:color="auto"/>
              <w:bottom w:val="single" w:sz="4" w:space="0" w:color="auto"/>
              <w:right w:val="single" w:sz="4" w:space="0" w:color="auto"/>
            </w:tcBorders>
            <w:vAlign w:val="center"/>
            <w:hideMark/>
          </w:tcPr>
          <w:p w14:paraId="3A88D877" w14:textId="77777777" w:rsidR="00C42624" w:rsidRPr="00941AA7" w:rsidRDefault="00C42624" w:rsidP="00C1059F">
            <w:pPr>
              <w:keepNext/>
              <w:jc w:val="right"/>
              <w:rPr>
                <w:b/>
                <w:bCs/>
                <w:sz w:val="20"/>
                <w:szCs w:val="20"/>
                <w:lang w:eastAsia="en-CA"/>
              </w:rPr>
            </w:pPr>
            <w:r>
              <w:rPr>
                <w:b/>
                <w:bCs/>
                <w:color w:val="000000"/>
                <w:sz w:val="20"/>
                <w:szCs w:val="20"/>
              </w:rPr>
              <w:t>5,806,093</w:t>
            </w:r>
          </w:p>
        </w:tc>
        <w:tc>
          <w:tcPr>
            <w:tcW w:w="530" w:type="pct"/>
            <w:tcBorders>
              <w:top w:val="single" w:sz="4" w:space="0" w:color="auto"/>
              <w:left w:val="nil"/>
              <w:bottom w:val="single" w:sz="4" w:space="0" w:color="auto"/>
              <w:right w:val="single" w:sz="4" w:space="0" w:color="auto"/>
            </w:tcBorders>
            <w:vAlign w:val="center"/>
            <w:hideMark/>
          </w:tcPr>
          <w:p w14:paraId="2EE51A1C" w14:textId="77777777" w:rsidR="00C42624" w:rsidRPr="000F3DF0" w:rsidRDefault="00C42624" w:rsidP="00C1059F">
            <w:pPr>
              <w:keepNext/>
              <w:ind w:left="-112"/>
              <w:jc w:val="right"/>
              <w:rPr>
                <w:b/>
                <w:bCs/>
                <w:sz w:val="20"/>
                <w:szCs w:val="20"/>
                <w:lang w:eastAsia="en-CA"/>
              </w:rPr>
            </w:pPr>
            <w:r w:rsidRPr="000F3DF0">
              <w:rPr>
                <w:b/>
                <w:bCs/>
                <w:color w:val="000000"/>
                <w:sz w:val="20"/>
                <w:szCs w:val="20"/>
              </w:rPr>
              <w:t>1,205,866</w:t>
            </w:r>
          </w:p>
        </w:tc>
        <w:tc>
          <w:tcPr>
            <w:tcW w:w="532" w:type="pct"/>
            <w:tcBorders>
              <w:top w:val="single" w:sz="4" w:space="0" w:color="auto"/>
              <w:left w:val="nil"/>
              <w:bottom w:val="single" w:sz="4" w:space="0" w:color="auto"/>
              <w:right w:val="single" w:sz="4" w:space="0" w:color="auto"/>
            </w:tcBorders>
            <w:vAlign w:val="center"/>
            <w:hideMark/>
          </w:tcPr>
          <w:p w14:paraId="26276596" w14:textId="77777777" w:rsidR="00C42624" w:rsidRPr="000F3DF0" w:rsidRDefault="00C42624" w:rsidP="00C1059F">
            <w:pPr>
              <w:keepNext/>
              <w:ind w:left="-149"/>
              <w:jc w:val="right"/>
              <w:rPr>
                <w:b/>
                <w:bCs/>
                <w:sz w:val="20"/>
                <w:szCs w:val="20"/>
                <w:lang w:eastAsia="en-CA"/>
              </w:rPr>
            </w:pPr>
            <w:r w:rsidRPr="000F3DF0">
              <w:rPr>
                <w:b/>
                <w:bCs/>
                <w:color w:val="000000"/>
                <w:sz w:val="20"/>
                <w:szCs w:val="20"/>
              </w:rPr>
              <w:t>684,569</w:t>
            </w:r>
          </w:p>
        </w:tc>
        <w:tc>
          <w:tcPr>
            <w:tcW w:w="605" w:type="pct"/>
            <w:tcBorders>
              <w:top w:val="single" w:sz="4" w:space="0" w:color="auto"/>
              <w:left w:val="nil"/>
              <w:bottom w:val="single" w:sz="4" w:space="0" w:color="auto"/>
              <w:right w:val="single" w:sz="4" w:space="0" w:color="auto"/>
            </w:tcBorders>
            <w:vAlign w:val="center"/>
            <w:hideMark/>
          </w:tcPr>
          <w:p w14:paraId="5070F4EC" w14:textId="77777777" w:rsidR="00C42624" w:rsidRPr="00941AA7" w:rsidRDefault="00C42624" w:rsidP="00C1059F">
            <w:pPr>
              <w:keepNext/>
              <w:jc w:val="right"/>
              <w:rPr>
                <w:b/>
                <w:bCs/>
                <w:sz w:val="20"/>
                <w:szCs w:val="20"/>
                <w:lang w:eastAsia="en-CA"/>
              </w:rPr>
            </w:pPr>
            <w:r>
              <w:rPr>
                <w:b/>
                <w:bCs/>
                <w:color w:val="000000"/>
                <w:sz w:val="20"/>
                <w:szCs w:val="20"/>
              </w:rPr>
              <w:t>1,645,127</w:t>
            </w:r>
          </w:p>
        </w:tc>
        <w:tc>
          <w:tcPr>
            <w:tcW w:w="530" w:type="pct"/>
            <w:tcBorders>
              <w:top w:val="single" w:sz="4" w:space="0" w:color="auto"/>
              <w:left w:val="nil"/>
              <w:bottom w:val="single" w:sz="4" w:space="0" w:color="auto"/>
              <w:right w:val="single" w:sz="4" w:space="0" w:color="auto"/>
            </w:tcBorders>
            <w:vAlign w:val="center"/>
            <w:hideMark/>
          </w:tcPr>
          <w:p w14:paraId="1870DBE0" w14:textId="77777777" w:rsidR="00C42624" w:rsidRPr="00941AA7" w:rsidRDefault="00C42624" w:rsidP="00C1059F">
            <w:pPr>
              <w:keepNext/>
              <w:ind w:left="-121" w:right="-15"/>
              <w:jc w:val="right"/>
              <w:rPr>
                <w:b/>
                <w:bCs/>
                <w:sz w:val="20"/>
                <w:szCs w:val="20"/>
                <w:lang w:eastAsia="en-CA"/>
              </w:rPr>
            </w:pPr>
            <w:r>
              <w:rPr>
                <w:b/>
                <w:bCs/>
                <w:color w:val="000000"/>
                <w:sz w:val="20"/>
                <w:szCs w:val="20"/>
              </w:rPr>
              <w:t>907,207</w:t>
            </w:r>
          </w:p>
        </w:tc>
        <w:tc>
          <w:tcPr>
            <w:tcW w:w="638" w:type="pct"/>
            <w:tcBorders>
              <w:top w:val="single" w:sz="4" w:space="0" w:color="auto"/>
              <w:left w:val="nil"/>
              <w:bottom w:val="single" w:sz="4" w:space="0" w:color="auto"/>
              <w:right w:val="single" w:sz="4" w:space="0" w:color="auto"/>
            </w:tcBorders>
            <w:noWrap/>
            <w:vAlign w:val="center"/>
            <w:hideMark/>
          </w:tcPr>
          <w:p w14:paraId="3CAFE78F" w14:textId="77777777" w:rsidR="00C42624" w:rsidRPr="00941AA7" w:rsidRDefault="00C42624" w:rsidP="00C1059F">
            <w:pPr>
              <w:keepNext/>
              <w:ind w:left="-175"/>
              <w:jc w:val="right"/>
              <w:rPr>
                <w:b/>
                <w:bCs/>
                <w:sz w:val="20"/>
                <w:szCs w:val="20"/>
                <w:lang w:eastAsia="en-CA"/>
              </w:rPr>
            </w:pPr>
            <w:r>
              <w:rPr>
                <w:b/>
                <w:bCs/>
                <w:color w:val="000000"/>
                <w:sz w:val="20"/>
                <w:szCs w:val="20"/>
              </w:rPr>
              <w:t>10,248,862</w:t>
            </w:r>
          </w:p>
        </w:tc>
        <w:tc>
          <w:tcPr>
            <w:tcW w:w="423" w:type="pct"/>
            <w:vMerge w:val="restart"/>
            <w:tcBorders>
              <w:top w:val="nil"/>
              <w:left w:val="single" w:sz="4" w:space="0" w:color="auto"/>
              <w:bottom w:val="single" w:sz="4" w:space="0" w:color="auto"/>
              <w:right w:val="single" w:sz="4" w:space="0" w:color="auto"/>
            </w:tcBorders>
            <w:vAlign w:val="center"/>
            <w:hideMark/>
          </w:tcPr>
          <w:p w14:paraId="435321DB" w14:textId="77777777" w:rsidR="00C42624" w:rsidRPr="00941AA7" w:rsidRDefault="00C42624" w:rsidP="00C1059F">
            <w:pPr>
              <w:keepNext/>
              <w:jc w:val="center"/>
              <w:rPr>
                <w:b/>
                <w:bCs/>
                <w:sz w:val="20"/>
                <w:szCs w:val="20"/>
                <w:lang w:eastAsia="en-CA"/>
              </w:rPr>
            </w:pPr>
            <w:r>
              <w:rPr>
                <w:b/>
                <w:bCs/>
                <w:sz w:val="20"/>
                <w:szCs w:val="20"/>
                <w:lang w:eastAsia="en-CA"/>
              </w:rPr>
              <w:t>89</w:t>
            </w:r>
          </w:p>
        </w:tc>
      </w:tr>
      <w:tr w:rsidR="00C42624" w:rsidRPr="00941AA7" w14:paraId="04F33ED9" w14:textId="77777777" w:rsidTr="00C1059F">
        <w:trPr>
          <w:trHeight w:val="300"/>
        </w:trPr>
        <w:tc>
          <w:tcPr>
            <w:tcW w:w="540" w:type="pct"/>
            <w:vMerge/>
            <w:tcBorders>
              <w:top w:val="nil"/>
              <w:left w:val="single" w:sz="4" w:space="0" w:color="auto"/>
              <w:bottom w:val="single" w:sz="4" w:space="0" w:color="auto"/>
              <w:right w:val="single" w:sz="4" w:space="0" w:color="auto"/>
            </w:tcBorders>
            <w:vAlign w:val="center"/>
            <w:hideMark/>
          </w:tcPr>
          <w:p w14:paraId="1B331430" w14:textId="77777777" w:rsidR="00C42624" w:rsidRPr="00941AA7" w:rsidRDefault="00C42624" w:rsidP="00C1059F">
            <w:pPr>
              <w:keepNext/>
              <w:jc w:val="left"/>
              <w:rPr>
                <w:b/>
                <w:bCs/>
                <w:sz w:val="20"/>
                <w:szCs w:val="20"/>
                <w:lang w:eastAsia="en-CA"/>
              </w:rPr>
            </w:pPr>
          </w:p>
        </w:tc>
        <w:tc>
          <w:tcPr>
            <w:tcW w:w="596" w:type="pct"/>
            <w:tcBorders>
              <w:top w:val="nil"/>
              <w:left w:val="nil"/>
              <w:bottom w:val="single" w:sz="4" w:space="0" w:color="auto"/>
              <w:right w:val="single" w:sz="4" w:space="0" w:color="auto"/>
            </w:tcBorders>
            <w:vAlign w:val="center"/>
            <w:hideMark/>
          </w:tcPr>
          <w:p w14:paraId="119A3BB9" w14:textId="77777777" w:rsidR="00C42624" w:rsidRPr="00941AA7" w:rsidRDefault="00C42624" w:rsidP="00C1059F">
            <w:pPr>
              <w:keepNext/>
              <w:ind w:right="-83"/>
              <w:rPr>
                <w:b/>
                <w:bCs/>
                <w:sz w:val="20"/>
                <w:szCs w:val="20"/>
                <w:lang w:eastAsia="en-CA"/>
              </w:rPr>
            </w:pPr>
            <w:r w:rsidRPr="00941AA7">
              <w:rPr>
                <w:b/>
                <w:bCs/>
                <w:sz w:val="20"/>
                <w:szCs w:val="20"/>
                <w:lang w:eastAsia="en-CA"/>
              </w:rPr>
              <w:t>Disbursed</w:t>
            </w:r>
          </w:p>
        </w:tc>
        <w:tc>
          <w:tcPr>
            <w:tcW w:w="606" w:type="pct"/>
            <w:tcBorders>
              <w:top w:val="nil"/>
              <w:left w:val="single" w:sz="4" w:space="0" w:color="auto"/>
              <w:bottom w:val="single" w:sz="4" w:space="0" w:color="auto"/>
              <w:right w:val="single" w:sz="4" w:space="0" w:color="auto"/>
            </w:tcBorders>
            <w:vAlign w:val="center"/>
            <w:hideMark/>
          </w:tcPr>
          <w:p w14:paraId="64F1EA38" w14:textId="77777777" w:rsidR="00C42624" w:rsidRPr="00941AA7" w:rsidRDefault="00C42624" w:rsidP="00C1059F">
            <w:pPr>
              <w:keepNext/>
              <w:jc w:val="right"/>
              <w:rPr>
                <w:b/>
                <w:bCs/>
                <w:sz w:val="20"/>
                <w:szCs w:val="20"/>
                <w:lang w:eastAsia="en-CA"/>
              </w:rPr>
            </w:pPr>
            <w:r>
              <w:rPr>
                <w:b/>
                <w:bCs/>
                <w:color w:val="000000"/>
                <w:sz w:val="20"/>
                <w:szCs w:val="20"/>
              </w:rPr>
              <w:t>4,903,882</w:t>
            </w:r>
          </w:p>
        </w:tc>
        <w:tc>
          <w:tcPr>
            <w:tcW w:w="530" w:type="pct"/>
            <w:tcBorders>
              <w:top w:val="nil"/>
              <w:left w:val="nil"/>
              <w:bottom w:val="single" w:sz="4" w:space="0" w:color="auto"/>
              <w:right w:val="single" w:sz="4" w:space="0" w:color="auto"/>
            </w:tcBorders>
            <w:vAlign w:val="center"/>
            <w:hideMark/>
          </w:tcPr>
          <w:p w14:paraId="2FB34128" w14:textId="77777777" w:rsidR="00C42624" w:rsidRPr="000F3DF0" w:rsidRDefault="00C42624" w:rsidP="00C1059F">
            <w:pPr>
              <w:keepNext/>
              <w:ind w:left="-135"/>
              <w:jc w:val="right"/>
              <w:rPr>
                <w:b/>
                <w:bCs/>
                <w:sz w:val="20"/>
                <w:szCs w:val="20"/>
                <w:lang w:eastAsia="en-CA"/>
              </w:rPr>
            </w:pPr>
            <w:r w:rsidRPr="000F3DF0">
              <w:rPr>
                <w:b/>
                <w:bCs/>
                <w:sz w:val="20"/>
                <w:szCs w:val="20"/>
                <w:lang w:eastAsia="en-CA"/>
              </w:rPr>
              <w:t>1,194,686</w:t>
            </w:r>
          </w:p>
        </w:tc>
        <w:tc>
          <w:tcPr>
            <w:tcW w:w="532" w:type="pct"/>
            <w:tcBorders>
              <w:top w:val="nil"/>
              <w:left w:val="nil"/>
              <w:bottom w:val="single" w:sz="4" w:space="0" w:color="auto"/>
              <w:right w:val="single" w:sz="4" w:space="0" w:color="auto"/>
            </w:tcBorders>
            <w:vAlign w:val="center"/>
            <w:hideMark/>
          </w:tcPr>
          <w:p w14:paraId="0AD77B12" w14:textId="77777777" w:rsidR="00C42624" w:rsidRPr="000F3DF0" w:rsidRDefault="00C42624" w:rsidP="00C1059F">
            <w:pPr>
              <w:keepNext/>
              <w:ind w:left="-149"/>
              <w:jc w:val="right"/>
              <w:rPr>
                <w:b/>
                <w:bCs/>
                <w:sz w:val="20"/>
                <w:szCs w:val="20"/>
                <w:lang w:eastAsia="en-CA"/>
              </w:rPr>
            </w:pPr>
            <w:r w:rsidRPr="000F3DF0">
              <w:rPr>
                <w:b/>
                <w:bCs/>
                <w:color w:val="000000"/>
                <w:sz w:val="20"/>
                <w:szCs w:val="20"/>
              </w:rPr>
              <w:t>452,555</w:t>
            </w:r>
          </w:p>
        </w:tc>
        <w:tc>
          <w:tcPr>
            <w:tcW w:w="605" w:type="pct"/>
            <w:tcBorders>
              <w:top w:val="nil"/>
              <w:left w:val="nil"/>
              <w:bottom w:val="single" w:sz="4" w:space="0" w:color="auto"/>
              <w:right w:val="single" w:sz="4" w:space="0" w:color="auto"/>
            </w:tcBorders>
            <w:vAlign w:val="center"/>
            <w:hideMark/>
          </w:tcPr>
          <w:p w14:paraId="0799055C" w14:textId="77777777" w:rsidR="00C42624" w:rsidRPr="00941AA7" w:rsidRDefault="00C42624" w:rsidP="00C1059F">
            <w:pPr>
              <w:keepNext/>
              <w:jc w:val="right"/>
              <w:rPr>
                <w:b/>
                <w:bCs/>
                <w:sz w:val="20"/>
                <w:szCs w:val="20"/>
                <w:lang w:eastAsia="en-CA"/>
              </w:rPr>
            </w:pPr>
            <w:r>
              <w:rPr>
                <w:b/>
                <w:bCs/>
                <w:color w:val="000000"/>
                <w:sz w:val="20"/>
                <w:szCs w:val="20"/>
              </w:rPr>
              <w:t>1,645,127</w:t>
            </w:r>
          </w:p>
        </w:tc>
        <w:tc>
          <w:tcPr>
            <w:tcW w:w="530" w:type="pct"/>
            <w:tcBorders>
              <w:top w:val="nil"/>
              <w:left w:val="nil"/>
              <w:bottom w:val="single" w:sz="4" w:space="0" w:color="auto"/>
              <w:right w:val="single" w:sz="4" w:space="0" w:color="auto"/>
            </w:tcBorders>
            <w:vAlign w:val="center"/>
            <w:hideMark/>
          </w:tcPr>
          <w:p w14:paraId="146F4728" w14:textId="77777777" w:rsidR="00C42624" w:rsidRPr="00941AA7" w:rsidRDefault="00C42624" w:rsidP="00C1059F">
            <w:pPr>
              <w:keepNext/>
              <w:ind w:left="-121"/>
              <w:jc w:val="right"/>
              <w:rPr>
                <w:b/>
                <w:bCs/>
                <w:sz w:val="20"/>
                <w:szCs w:val="20"/>
                <w:lang w:eastAsia="en-CA"/>
              </w:rPr>
            </w:pPr>
            <w:r>
              <w:rPr>
                <w:b/>
                <w:bCs/>
                <w:color w:val="000000"/>
                <w:sz w:val="20"/>
                <w:szCs w:val="20"/>
              </w:rPr>
              <w:t>905,438</w:t>
            </w:r>
          </w:p>
        </w:tc>
        <w:tc>
          <w:tcPr>
            <w:tcW w:w="638" w:type="pct"/>
            <w:tcBorders>
              <w:top w:val="nil"/>
              <w:left w:val="nil"/>
              <w:bottom w:val="single" w:sz="4" w:space="0" w:color="auto"/>
              <w:right w:val="single" w:sz="4" w:space="0" w:color="auto"/>
            </w:tcBorders>
            <w:noWrap/>
            <w:vAlign w:val="center"/>
            <w:hideMark/>
          </w:tcPr>
          <w:p w14:paraId="0C098DDF" w14:textId="77777777" w:rsidR="00C42624" w:rsidRPr="00941AA7" w:rsidRDefault="00C42624" w:rsidP="00C1059F">
            <w:pPr>
              <w:keepNext/>
              <w:jc w:val="right"/>
              <w:rPr>
                <w:b/>
                <w:bCs/>
                <w:sz w:val="20"/>
                <w:szCs w:val="20"/>
                <w:lang w:eastAsia="en-CA"/>
              </w:rPr>
            </w:pPr>
            <w:r>
              <w:rPr>
                <w:b/>
                <w:bCs/>
                <w:color w:val="000000"/>
                <w:sz w:val="20"/>
                <w:szCs w:val="20"/>
              </w:rPr>
              <w:t>9,101,688</w:t>
            </w:r>
          </w:p>
        </w:tc>
        <w:tc>
          <w:tcPr>
            <w:tcW w:w="423" w:type="pct"/>
            <w:vMerge/>
            <w:tcBorders>
              <w:top w:val="nil"/>
              <w:left w:val="single" w:sz="4" w:space="0" w:color="auto"/>
              <w:bottom w:val="single" w:sz="4" w:space="0" w:color="auto"/>
              <w:right w:val="single" w:sz="4" w:space="0" w:color="auto"/>
            </w:tcBorders>
            <w:vAlign w:val="center"/>
            <w:hideMark/>
          </w:tcPr>
          <w:p w14:paraId="65944A4C" w14:textId="77777777" w:rsidR="00C42624" w:rsidRPr="00941AA7" w:rsidRDefault="00C42624" w:rsidP="00C1059F">
            <w:pPr>
              <w:keepNext/>
              <w:jc w:val="left"/>
              <w:rPr>
                <w:b/>
                <w:bCs/>
                <w:sz w:val="20"/>
                <w:szCs w:val="20"/>
                <w:lang w:eastAsia="en-CA"/>
              </w:rPr>
            </w:pPr>
          </w:p>
        </w:tc>
      </w:tr>
      <w:tr w:rsidR="00C42624" w:rsidRPr="00941AA7" w14:paraId="4F6A76FF" w14:textId="77777777" w:rsidTr="00C1059F">
        <w:trPr>
          <w:trHeight w:val="188"/>
        </w:trPr>
        <w:tc>
          <w:tcPr>
            <w:tcW w:w="540" w:type="pct"/>
            <w:vMerge/>
            <w:tcBorders>
              <w:top w:val="nil"/>
              <w:left w:val="single" w:sz="4" w:space="0" w:color="auto"/>
              <w:bottom w:val="single" w:sz="4" w:space="0" w:color="auto"/>
              <w:right w:val="single" w:sz="4" w:space="0" w:color="auto"/>
            </w:tcBorders>
            <w:vAlign w:val="center"/>
          </w:tcPr>
          <w:p w14:paraId="02BEBA44" w14:textId="77777777" w:rsidR="00C42624" w:rsidRPr="00941AA7" w:rsidRDefault="00C42624" w:rsidP="00C1059F">
            <w:pPr>
              <w:keepNext/>
              <w:jc w:val="left"/>
              <w:rPr>
                <w:b/>
                <w:bCs/>
                <w:sz w:val="20"/>
                <w:szCs w:val="20"/>
                <w:lang w:eastAsia="en-CA"/>
              </w:rPr>
            </w:pPr>
          </w:p>
        </w:tc>
        <w:tc>
          <w:tcPr>
            <w:tcW w:w="596" w:type="pct"/>
            <w:tcBorders>
              <w:top w:val="single" w:sz="4" w:space="0" w:color="auto"/>
              <w:left w:val="nil"/>
              <w:bottom w:val="single" w:sz="2" w:space="0" w:color="auto"/>
              <w:right w:val="single" w:sz="4" w:space="0" w:color="auto"/>
            </w:tcBorders>
            <w:vAlign w:val="center"/>
          </w:tcPr>
          <w:p w14:paraId="69FC755A" w14:textId="77777777" w:rsidR="00C42624" w:rsidRPr="00941AA7" w:rsidRDefault="00C42624" w:rsidP="00C1059F">
            <w:pPr>
              <w:keepNext/>
              <w:rPr>
                <w:b/>
                <w:bCs/>
                <w:sz w:val="20"/>
                <w:szCs w:val="20"/>
                <w:lang w:eastAsia="en-CA"/>
              </w:rPr>
            </w:pPr>
            <w:r w:rsidRPr="00941AA7">
              <w:rPr>
                <w:b/>
                <w:bCs/>
                <w:sz w:val="20"/>
                <w:szCs w:val="20"/>
                <w:lang w:eastAsia="en-CA"/>
              </w:rPr>
              <w:t>Balance</w:t>
            </w:r>
          </w:p>
        </w:tc>
        <w:tc>
          <w:tcPr>
            <w:tcW w:w="606" w:type="pct"/>
            <w:tcBorders>
              <w:top w:val="single" w:sz="4" w:space="0" w:color="auto"/>
              <w:left w:val="single" w:sz="4" w:space="0" w:color="auto"/>
              <w:bottom w:val="single" w:sz="2" w:space="0" w:color="auto"/>
              <w:right w:val="single" w:sz="4" w:space="0" w:color="auto"/>
            </w:tcBorders>
            <w:vAlign w:val="center"/>
          </w:tcPr>
          <w:p w14:paraId="152EF5D0" w14:textId="77777777" w:rsidR="00C42624" w:rsidRDefault="00C42624" w:rsidP="00C1059F">
            <w:pPr>
              <w:keepNext/>
              <w:jc w:val="right"/>
              <w:rPr>
                <w:b/>
                <w:bCs/>
                <w:color w:val="000000"/>
                <w:sz w:val="20"/>
                <w:szCs w:val="20"/>
              </w:rPr>
            </w:pPr>
            <w:r>
              <w:rPr>
                <w:color w:val="000000"/>
                <w:sz w:val="20"/>
                <w:szCs w:val="20"/>
              </w:rPr>
              <w:t>902,211</w:t>
            </w:r>
          </w:p>
        </w:tc>
        <w:tc>
          <w:tcPr>
            <w:tcW w:w="530" w:type="pct"/>
            <w:tcBorders>
              <w:top w:val="single" w:sz="4" w:space="0" w:color="auto"/>
              <w:left w:val="nil"/>
              <w:bottom w:val="single" w:sz="2" w:space="0" w:color="auto"/>
              <w:right w:val="single" w:sz="4" w:space="0" w:color="auto"/>
            </w:tcBorders>
            <w:vAlign w:val="center"/>
          </w:tcPr>
          <w:p w14:paraId="4598D732" w14:textId="77777777" w:rsidR="00C42624" w:rsidRPr="000F3DF0" w:rsidRDefault="00C42624" w:rsidP="00C1059F">
            <w:pPr>
              <w:keepNext/>
              <w:jc w:val="right"/>
              <w:rPr>
                <w:b/>
                <w:bCs/>
                <w:sz w:val="20"/>
                <w:szCs w:val="20"/>
                <w:lang w:eastAsia="en-CA"/>
              </w:rPr>
            </w:pPr>
            <w:r w:rsidRPr="000F3DF0">
              <w:rPr>
                <w:color w:val="000000"/>
                <w:sz w:val="20"/>
                <w:szCs w:val="20"/>
              </w:rPr>
              <w:t>11,180</w:t>
            </w:r>
          </w:p>
        </w:tc>
        <w:tc>
          <w:tcPr>
            <w:tcW w:w="532" w:type="pct"/>
            <w:tcBorders>
              <w:top w:val="single" w:sz="4" w:space="0" w:color="auto"/>
              <w:left w:val="nil"/>
              <w:bottom w:val="single" w:sz="2" w:space="0" w:color="auto"/>
              <w:right w:val="single" w:sz="4" w:space="0" w:color="auto"/>
            </w:tcBorders>
            <w:vAlign w:val="center"/>
          </w:tcPr>
          <w:p w14:paraId="13848091" w14:textId="77777777" w:rsidR="00C42624" w:rsidRPr="000F3DF0" w:rsidRDefault="00C42624" w:rsidP="00C1059F">
            <w:pPr>
              <w:keepNext/>
              <w:ind w:left="-149"/>
              <w:jc w:val="right"/>
              <w:rPr>
                <w:b/>
                <w:bCs/>
                <w:color w:val="000000"/>
                <w:sz w:val="20"/>
                <w:szCs w:val="20"/>
              </w:rPr>
            </w:pPr>
            <w:r w:rsidRPr="000F3DF0">
              <w:rPr>
                <w:color w:val="000000"/>
                <w:sz w:val="20"/>
                <w:szCs w:val="20"/>
              </w:rPr>
              <w:t>232,014</w:t>
            </w:r>
          </w:p>
        </w:tc>
        <w:tc>
          <w:tcPr>
            <w:tcW w:w="605" w:type="pct"/>
            <w:tcBorders>
              <w:top w:val="single" w:sz="4" w:space="0" w:color="auto"/>
              <w:left w:val="nil"/>
              <w:bottom w:val="single" w:sz="2" w:space="0" w:color="auto"/>
              <w:right w:val="single" w:sz="4" w:space="0" w:color="auto"/>
            </w:tcBorders>
            <w:vAlign w:val="center"/>
          </w:tcPr>
          <w:p w14:paraId="5D4507A0" w14:textId="77777777" w:rsidR="00C42624" w:rsidRDefault="00C42624" w:rsidP="00C1059F">
            <w:pPr>
              <w:keepNext/>
              <w:jc w:val="right"/>
              <w:rPr>
                <w:b/>
                <w:bCs/>
                <w:color w:val="000000"/>
                <w:sz w:val="20"/>
                <w:szCs w:val="20"/>
              </w:rPr>
            </w:pPr>
            <w:r>
              <w:rPr>
                <w:color w:val="000000"/>
                <w:sz w:val="20"/>
                <w:szCs w:val="20"/>
              </w:rPr>
              <w:t>0</w:t>
            </w:r>
          </w:p>
        </w:tc>
        <w:tc>
          <w:tcPr>
            <w:tcW w:w="530" w:type="pct"/>
            <w:tcBorders>
              <w:top w:val="single" w:sz="4" w:space="0" w:color="auto"/>
              <w:left w:val="nil"/>
              <w:bottom w:val="single" w:sz="2" w:space="0" w:color="auto"/>
              <w:right w:val="single" w:sz="4" w:space="0" w:color="auto"/>
            </w:tcBorders>
            <w:vAlign w:val="center"/>
          </w:tcPr>
          <w:p w14:paraId="3C4273DF" w14:textId="77777777" w:rsidR="00C42624" w:rsidRDefault="00C42624" w:rsidP="00C1059F">
            <w:pPr>
              <w:keepNext/>
              <w:jc w:val="right"/>
              <w:rPr>
                <w:b/>
                <w:bCs/>
                <w:color w:val="000000"/>
                <w:sz w:val="20"/>
                <w:szCs w:val="20"/>
              </w:rPr>
            </w:pPr>
            <w:r>
              <w:rPr>
                <w:color w:val="000000"/>
                <w:sz w:val="20"/>
                <w:szCs w:val="20"/>
              </w:rPr>
              <w:t>1,769</w:t>
            </w:r>
          </w:p>
        </w:tc>
        <w:tc>
          <w:tcPr>
            <w:tcW w:w="638" w:type="pct"/>
            <w:tcBorders>
              <w:top w:val="single" w:sz="4" w:space="0" w:color="auto"/>
              <w:left w:val="nil"/>
              <w:bottom w:val="single" w:sz="2" w:space="0" w:color="auto"/>
              <w:right w:val="single" w:sz="4" w:space="0" w:color="auto"/>
            </w:tcBorders>
            <w:noWrap/>
            <w:vAlign w:val="center"/>
          </w:tcPr>
          <w:p w14:paraId="5C63F752" w14:textId="77777777" w:rsidR="00C42624" w:rsidRDefault="00C42624" w:rsidP="00C1059F">
            <w:pPr>
              <w:keepNext/>
              <w:ind w:left="-236"/>
              <w:jc w:val="right"/>
              <w:rPr>
                <w:b/>
                <w:bCs/>
                <w:color w:val="000000"/>
                <w:sz w:val="20"/>
                <w:szCs w:val="20"/>
              </w:rPr>
            </w:pPr>
            <w:r>
              <w:rPr>
                <w:color w:val="000000"/>
                <w:sz w:val="20"/>
                <w:szCs w:val="20"/>
              </w:rPr>
              <w:t>1,147,174</w:t>
            </w:r>
          </w:p>
        </w:tc>
        <w:tc>
          <w:tcPr>
            <w:tcW w:w="423" w:type="pct"/>
            <w:vMerge/>
            <w:tcBorders>
              <w:top w:val="single" w:sz="4" w:space="0" w:color="auto"/>
              <w:left w:val="single" w:sz="4" w:space="0" w:color="auto"/>
              <w:bottom w:val="single" w:sz="2" w:space="0" w:color="auto"/>
              <w:right w:val="single" w:sz="4" w:space="0" w:color="auto"/>
            </w:tcBorders>
            <w:vAlign w:val="center"/>
          </w:tcPr>
          <w:p w14:paraId="0213DF4E" w14:textId="77777777" w:rsidR="00C42624" w:rsidRPr="00941AA7" w:rsidRDefault="00C42624" w:rsidP="00C1059F">
            <w:pPr>
              <w:keepNext/>
              <w:jc w:val="left"/>
              <w:rPr>
                <w:b/>
                <w:bCs/>
                <w:sz w:val="20"/>
                <w:szCs w:val="20"/>
                <w:lang w:eastAsia="en-CA"/>
              </w:rPr>
            </w:pPr>
          </w:p>
        </w:tc>
      </w:tr>
    </w:tbl>
    <w:p w14:paraId="4263EF4D" w14:textId="77777777" w:rsidR="00C42624" w:rsidRDefault="00C42624" w:rsidP="00C42624">
      <w:pPr>
        <w:rPr>
          <w:sz w:val="18"/>
          <w:szCs w:val="18"/>
        </w:rPr>
      </w:pPr>
      <w:r w:rsidRPr="00637941">
        <w:rPr>
          <w:sz w:val="18"/>
          <w:szCs w:val="18"/>
          <w:vertAlign w:val="superscript"/>
        </w:rPr>
        <w:t>[1]</w:t>
      </w:r>
      <w:r>
        <w:rPr>
          <w:sz w:val="18"/>
          <w:szCs w:val="18"/>
        </w:rPr>
        <w:t xml:space="preserve"> Including a return of US $15,431.</w:t>
      </w:r>
    </w:p>
    <w:p w14:paraId="0EE04593" w14:textId="77777777" w:rsidR="00C42624" w:rsidRPr="004F3524" w:rsidRDefault="00C42624" w:rsidP="00C42624">
      <w:pPr>
        <w:rPr>
          <w:sz w:val="18"/>
          <w:szCs w:val="18"/>
        </w:rPr>
      </w:pPr>
      <w:r w:rsidRPr="00637941">
        <w:rPr>
          <w:sz w:val="18"/>
          <w:szCs w:val="18"/>
          <w:vertAlign w:val="superscript"/>
        </w:rPr>
        <w:t>[2]</w:t>
      </w:r>
      <w:r w:rsidRPr="004F3524">
        <w:rPr>
          <w:sz w:val="18"/>
          <w:szCs w:val="18"/>
        </w:rPr>
        <w:t xml:space="preserve"> Including a deduction of US $126,545 in line with decision 80/21(c).</w:t>
      </w:r>
    </w:p>
    <w:p w14:paraId="4CD9E1C2" w14:textId="77777777" w:rsidR="00C42624" w:rsidRPr="004F3524" w:rsidRDefault="00C42624" w:rsidP="00C42624">
      <w:pPr>
        <w:rPr>
          <w:sz w:val="18"/>
          <w:szCs w:val="18"/>
        </w:rPr>
      </w:pPr>
      <w:r w:rsidRPr="00637941">
        <w:rPr>
          <w:sz w:val="18"/>
          <w:szCs w:val="18"/>
          <w:vertAlign w:val="superscript"/>
        </w:rPr>
        <w:t>[3]</w:t>
      </w:r>
      <w:r w:rsidRPr="004F3524">
        <w:rPr>
          <w:sz w:val="18"/>
          <w:szCs w:val="18"/>
        </w:rPr>
        <w:t xml:space="preserve"> Including a deduction of US $375,701 in line with decision 84/74(a)(iv).</w:t>
      </w:r>
    </w:p>
    <w:p w14:paraId="5DB6A2A5" w14:textId="77777777" w:rsidR="00C42624" w:rsidRPr="004F3524" w:rsidRDefault="00C42624" w:rsidP="00C42624">
      <w:pPr>
        <w:ind w:left="284" w:hanging="284"/>
        <w:rPr>
          <w:sz w:val="18"/>
          <w:szCs w:val="18"/>
        </w:rPr>
      </w:pPr>
      <w:r w:rsidRPr="00637941">
        <w:rPr>
          <w:sz w:val="18"/>
          <w:szCs w:val="18"/>
          <w:vertAlign w:val="superscript"/>
        </w:rPr>
        <w:t>[4]</w:t>
      </w:r>
      <w:r w:rsidRPr="004F3524">
        <w:rPr>
          <w:sz w:val="18"/>
          <w:szCs w:val="18"/>
        </w:rPr>
        <w:t xml:space="preserve"> Including the addition of funds transferred from the Government Germany as follows: US $93,017 from the second tranche, US $145,255 from the third tranche and US $565,600 from the fourth tranche, in line with decision</w:t>
      </w:r>
      <w:r>
        <w:rPr>
          <w:sz w:val="18"/>
          <w:szCs w:val="18"/>
        </w:rPr>
        <w:t> </w:t>
      </w:r>
      <w:r w:rsidRPr="004F3524">
        <w:rPr>
          <w:sz w:val="18"/>
          <w:szCs w:val="18"/>
        </w:rPr>
        <w:t>92/3(b)(v).</w:t>
      </w:r>
    </w:p>
    <w:p w14:paraId="428A859C" w14:textId="77777777" w:rsidR="00C42624" w:rsidRPr="00862CDB" w:rsidRDefault="00C42624" w:rsidP="00C42624">
      <w:pPr>
        <w:pStyle w:val="Heading1"/>
        <w:numPr>
          <w:ilvl w:val="0"/>
          <w:numId w:val="0"/>
        </w:numPr>
        <w:spacing w:before="240"/>
        <w:rPr>
          <w:u w:val="single"/>
          <w:lang w:val="en-US"/>
        </w:rPr>
      </w:pPr>
      <w:r w:rsidRPr="00862CDB">
        <w:rPr>
          <w:u w:val="single"/>
          <w:lang w:val="en-US"/>
        </w:rPr>
        <w:t>Request for extension of stage II of the H</w:t>
      </w:r>
      <w:r>
        <w:rPr>
          <w:u w:val="single"/>
          <w:lang w:val="en-US"/>
        </w:rPr>
        <w:t>CFC phase-out management plan</w:t>
      </w:r>
    </w:p>
    <w:p w14:paraId="57347A34" w14:textId="77777777" w:rsidR="00C42624" w:rsidRPr="00040A29" w:rsidRDefault="00C42624" w:rsidP="00C42624">
      <w:pPr>
        <w:pStyle w:val="Heading1"/>
        <w:numPr>
          <w:ilvl w:val="0"/>
          <w:numId w:val="24"/>
        </w:numPr>
        <w:rPr>
          <w:lang w:val="en-US"/>
        </w:rPr>
      </w:pPr>
      <w:r w:rsidRPr="00040A29">
        <w:rPr>
          <w:lang w:val="en-US"/>
        </w:rPr>
        <w:t>UNDP, on behalf of the Government o</w:t>
      </w:r>
      <w:r>
        <w:rPr>
          <w:lang w:val="en-US"/>
        </w:rPr>
        <w:t xml:space="preserve">f the </w:t>
      </w:r>
      <w:r w:rsidRPr="00D1470A">
        <w:rPr>
          <w:lang w:val="en-US"/>
        </w:rPr>
        <w:t xml:space="preserve">Islamic Republic of </w:t>
      </w:r>
      <w:r w:rsidRPr="00040A29">
        <w:rPr>
          <w:lang w:val="en-US"/>
        </w:rPr>
        <w:t>Iran</w:t>
      </w:r>
      <w:r>
        <w:rPr>
          <w:lang w:val="en-US"/>
        </w:rPr>
        <w:t>,</w:t>
      </w:r>
      <w:r w:rsidRPr="00040A29">
        <w:rPr>
          <w:lang w:val="en-US"/>
        </w:rPr>
        <w:t xml:space="preserve"> is requesting an extension of stage</w:t>
      </w:r>
      <w:r>
        <w:rPr>
          <w:lang w:val="en-US"/>
        </w:rPr>
        <w:t> </w:t>
      </w:r>
      <w:r w:rsidRPr="00040A29">
        <w:rPr>
          <w:lang w:val="en-US"/>
        </w:rPr>
        <w:t>II of the HPMP from December 2025 to June 2027, as the implementation of activities had been severely delayed by circumstances beyond the NOU’s control. The COVID-19 pandemic had caused cumulative delays</w:t>
      </w:r>
      <w:r>
        <w:rPr>
          <w:lang w:val="en-US"/>
        </w:rPr>
        <w:t>:</w:t>
      </w:r>
      <w:r w:rsidRPr="00040A29">
        <w:rPr>
          <w:lang w:val="en-US"/>
        </w:rPr>
        <w:t xml:space="preserve"> </w:t>
      </w:r>
      <w:r>
        <w:rPr>
          <w:lang w:val="en-US"/>
        </w:rPr>
        <w:t xml:space="preserve">training was postponed due to </w:t>
      </w:r>
      <w:r w:rsidRPr="00040A29">
        <w:rPr>
          <w:lang w:val="en-US"/>
        </w:rPr>
        <w:t>prolonged lockdowns</w:t>
      </w:r>
      <w:r>
        <w:rPr>
          <w:lang w:val="en-US"/>
        </w:rPr>
        <w:t>;</w:t>
      </w:r>
      <w:r w:rsidRPr="00040A29">
        <w:rPr>
          <w:lang w:val="en-US"/>
        </w:rPr>
        <w:t xml:space="preserve"> </w:t>
      </w:r>
      <w:r>
        <w:rPr>
          <w:lang w:val="en-US"/>
        </w:rPr>
        <w:t xml:space="preserve">technical missions could not take place due to </w:t>
      </w:r>
      <w:r w:rsidRPr="00040A29">
        <w:rPr>
          <w:lang w:val="en-US"/>
        </w:rPr>
        <w:t>travel restrictions</w:t>
      </w:r>
      <w:r>
        <w:rPr>
          <w:lang w:val="en-US"/>
        </w:rPr>
        <w:t>;</w:t>
      </w:r>
      <w:r w:rsidRPr="00040A29">
        <w:rPr>
          <w:lang w:val="en-US"/>
        </w:rPr>
        <w:t xml:space="preserve"> and equipment delivery and installation</w:t>
      </w:r>
      <w:r>
        <w:rPr>
          <w:lang w:val="en-US"/>
        </w:rPr>
        <w:t xml:space="preserve"> could not be completed due to </w:t>
      </w:r>
      <w:r w:rsidRPr="00040A29">
        <w:rPr>
          <w:lang w:val="en-US"/>
        </w:rPr>
        <w:t xml:space="preserve">supply chain disruptions. These challenges were compounded by stringent international sanctions that complicated financial transactions, hindered equipment procurement and shipment, and made contracting and technical assistance a protracted process. Domestic implementation was further constrained by travel restrictions within the country and by frequent electricity shortages, which disrupted enterprise activities </w:t>
      </w:r>
      <w:r>
        <w:rPr>
          <w:lang w:val="en-US"/>
        </w:rPr>
        <w:t xml:space="preserve">including manufacturing </w:t>
      </w:r>
      <w:r w:rsidRPr="00040A29">
        <w:rPr>
          <w:lang w:val="en-US"/>
        </w:rPr>
        <w:t xml:space="preserve">conversion. </w:t>
      </w:r>
      <w:r>
        <w:rPr>
          <w:lang w:val="en-US"/>
        </w:rPr>
        <w:t>In 2025,</w:t>
      </w:r>
      <w:r w:rsidRPr="00040A29">
        <w:rPr>
          <w:lang w:val="en-US"/>
        </w:rPr>
        <w:t xml:space="preserve"> the project experienced a slower disbursement rate, reflecting the </w:t>
      </w:r>
      <w:r>
        <w:rPr>
          <w:lang w:val="en-US"/>
        </w:rPr>
        <w:t>additional</w:t>
      </w:r>
      <w:r w:rsidRPr="00040A29">
        <w:rPr>
          <w:lang w:val="en-US"/>
        </w:rPr>
        <w:t xml:space="preserve"> external constraints rather than lack of commitment from </w:t>
      </w:r>
      <w:r>
        <w:rPr>
          <w:lang w:val="en-US"/>
        </w:rPr>
        <w:t xml:space="preserve">the </w:t>
      </w:r>
      <w:r w:rsidRPr="00040A29">
        <w:rPr>
          <w:lang w:val="en-US"/>
        </w:rPr>
        <w:t>NOU, agencies, or enterprises. An extension is required to ensure completion of outstanding stage II activities and use of associated funds.</w:t>
      </w:r>
    </w:p>
    <w:p w14:paraId="1340F024" w14:textId="77777777" w:rsidR="00C42624" w:rsidRPr="00356512" w:rsidRDefault="00C42624" w:rsidP="00C42624">
      <w:pPr>
        <w:spacing w:before="240" w:after="240"/>
        <w:rPr>
          <w:b/>
          <w:bCs/>
          <w:lang w:val="en-US"/>
        </w:rPr>
      </w:pPr>
      <w:r w:rsidRPr="00356512">
        <w:rPr>
          <w:b/>
          <w:bCs/>
          <w:lang w:val="en-US"/>
        </w:rPr>
        <w:t>Secretariat’s comments</w:t>
      </w:r>
    </w:p>
    <w:p w14:paraId="3D4940FD" w14:textId="77777777" w:rsidR="00C42624" w:rsidRDefault="00C42624" w:rsidP="00C42624">
      <w:pPr>
        <w:pStyle w:val="Heading1"/>
        <w:numPr>
          <w:ilvl w:val="0"/>
          <w:numId w:val="24"/>
        </w:numPr>
        <w:rPr>
          <w:lang w:val="en-US"/>
        </w:rPr>
      </w:pPr>
      <w:r>
        <w:rPr>
          <w:lang w:val="en-US"/>
        </w:rPr>
        <w:t>The Secretariat noted the additional progress achieved in the implementation of activities despite the challenges described. In reviewing the request for extension of the stage, the Secretariat noted the following issues, for which clarification or additional information were requested:</w:t>
      </w:r>
    </w:p>
    <w:p w14:paraId="3E4EEE52" w14:textId="77777777" w:rsidR="00C42624" w:rsidRDefault="00C42624" w:rsidP="00C42624">
      <w:pPr>
        <w:pStyle w:val="Heading2"/>
        <w:numPr>
          <w:ilvl w:val="1"/>
          <w:numId w:val="24"/>
        </w:numPr>
        <w:rPr>
          <w:lang w:val="en-US"/>
        </w:rPr>
      </w:pPr>
      <w:r>
        <w:rPr>
          <w:lang w:val="en-US"/>
        </w:rPr>
        <w:t>The previous extension of stage II of the HPMP to 31 December 2025 was approved</w:t>
      </w:r>
      <w:r w:rsidRPr="000C379B">
        <w:rPr>
          <w:lang w:val="en-US"/>
        </w:rPr>
        <w:t xml:space="preserve"> on an exceptional basis, </w:t>
      </w:r>
      <w:r w:rsidRPr="008545EC">
        <w:rPr>
          <w:lang w:val="en-US"/>
        </w:rPr>
        <w:t xml:space="preserve">given the implementation delays caused by </w:t>
      </w:r>
      <w:r>
        <w:rPr>
          <w:lang w:val="en-US"/>
        </w:rPr>
        <w:t>COVID-19</w:t>
      </w:r>
      <w:r w:rsidRPr="008545EC">
        <w:rPr>
          <w:lang w:val="en-US"/>
        </w:rPr>
        <w:t xml:space="preserve">, </w:t>
      </w:r>
      <w:r>
        <w:rPr>
          <w:lang w:val="en-US"/>
        </w:rPr>
        <w:t>and o</w:t>
      </w:r>
      <w:r w:rsidRPr="000C379B">
        <w:rPr>
          <w:lang w:val="en-US"/>
        </w:rPr>
        <w:t>n the understanding that no further extension would be requested (decision 90/45</w:t>
      </w:r>
      <w:r>
        <w:rPr>
          <w:lang w:val="en-US"/>
        </w:rPr>
        <w:t>). In its report, UNDP referred to subsequent international sanctions that further complicated financial transactions and equipment procurement and shipment and slowed down activities; and</w:t>
      </w:r>
    </w:p>
    <w:p w14:paraId="75199368" w14:textId="77777777" w:rsidR="00C42624" w:rsidRDefault="00C42624" w:rsidP="00C42624">
      <w:pPr>
        <w:pStyle w:val="Heading2"/>
        <w:numPr>
          <w:ilvl w:val="1"/>
          <w:numId w:val="24"/>
        </w:numPr>
        <w:rPr>
          <w:lang w:val="en-US"/>
        </w:rPr>
      </w:pPr>
      <w:r>
        <w:rPr>
          <w:lang w:val="en-US"/>
        </w:rPr>
        <w:t xml:space="preserve">The current fund balance of US $1,147,174 is larger than the balance as of February 2025 of US $753,793, reported in the context of the review of submission of stage III of the </w:t>
      </w:r>
      <w:r>
        <w:rPr>
          <w:lang w:val="en-US"/>
        </w:rPr>
        <w:lastRenderedPageBreak/>
        <w:t>HPMP, when the Secretariat received confirmation that al</w:t>
      </w:r>
      <w:r w:rsidRPr="00D13916">
        <w:rPr>
          <w:lang w:val="en-US"/>
        </w:rPr>
        <w:t>l remaining ongoing activities under stage II would be completed no later than 31 December 2025, as per the extension approved at the 90</w:t>
      </w:r>
      <w:r w:rsidRPr="00B80099">
        <w:rPr>
          <w:vertAlign w:val="superscript"/>
          <w:lang w:val="en-US"/>
        </w:rPr>
        <w:t>th</w:t>
      </w:r>
      <w:r>
        <w:rPr>
          <w:lang w:val="en-US"/>
        </w:rPr>
        <w:t> </w:t>
      </w:r>
      <w:r w:rsidRPr="00D13916">
        <w:rPr>
          <w:lang w:val="en-US"/>
        </w:rPr>
        <w:t>meeting</w:t>
      </w:r>
      <w:r>
        <w:rPr>
          <w:lang w:val="en-US"/>
        </w:rPr>
        <w:t>.</w:t>
      </w:r>
      <w:r>
        <w:rPr>
          <w:rStyle w:val="FootnoteReference"/>
          <w:lang w:val="en-US"/>
        </w:rPr>
        <w:footnoteReference w:id="2"/>
      </w:r>
    </w:p>
    <w:p w14:paraId="7138F1E4" w14:textId="77777777" w:rsidR="00C42624" w:rsidRDefault="00C42624" w:rsidP="00C42624">
      <w:pPr>
        <w:pStyle w:val="Heading1"/>
        <w:numPr>
          <w:ilvl w:val="0"/>
          <w:numId w:val="24"/>
        </w:numPr>
        <w:rPr>
          <w:lang w:val="en-US"/>
        </w:rPr>
      </w:pPr>
      <w:r>
        <w:rPr>
          <w:lang w:val="en-US"/>
        </w:rPr>
        <w:t xml:space="preserve">UNDP explained that in 2025, several </w:t>
      </w:r>
      <w:r w:rsidRPr="002C768A">
        <w:rPr>
          <w:lang w:val="en-US"/>
        </w:rPr>
        <w:t xml:space="preserve">countries </w:t>
      </w:r>
      <w:r>
        <w:rPr>
          <w:lang w:val="en-US"/>
        </w:rPr>
        <w:t xml:space="preserve">began imposing sanctions on the country by triggering the United Nations (UN) snapback mechanism </w:t>
      </w:r>
      <w:r w:rsidRPr="002C768A">
        <w:rPr>
          <w:lang w:val="en-US"/>
        </w:rPr>
        <w:t>after concluding significant non-performance</w:t>
      </w:r>
      <w:r>
        <w:rPr>
          <w:lang w:val="en-US"/>
        </w:rPr>
        <w:t xml:space="preserve"> of the Islamic Republic of Iran’s</w:t>
      </w:r>
      <w:r w:rsidRPr="002C768A">
        <w:rPr>
          <w:lang w:val="en-US"/>
        </w:rPr>
        <w:t xml:space="preserve"> obligations under the 2015 nuclear deal.</w:t>
      </w:r>
      <w:r>
        <w:rPr>
          <w:rStyle w:val="FootnoteReference"/>
          <w:lang w:val="en-US"/>
        </w:rPr>
        <w:footnoteReference w:id="3"/>
      </w:r>
      <w:r w:rsidRPr="002C768A">
        <w:rPr>
          <w:lang w:val="en-US"/>
        </w:rPr>
        <w:t xml:space="preserve"> </w:t>
      </w:r>
      <w:r w:rsidRPr="00D029F6">
        <w:rPr>
          <w:lang w:val="en-US"/>
        </w:rPr>
        <w:t>The sanctions are targeting oil, arms</w:t>
      </w:r>
      <w:r>
        <w:rPr>
          <w:lang w:val="en-US"/>
        </w:rPr>
        <w:t xml:space="preserve"> export</w:t>
      </w:r>
      <w:r w:rsidRPr="00D029F6">
        <w:rPr>
          <w:lang w:val="en-US"/>
        </w:rPr>
        <w:t>, and high-tech trade schemes; some banking activities; revoking specific waivers granted from the 2015</w:t>
      </w:r>
      <w:r>
        <w:rPr>
          <w:lang w:val="en-US"/>
        </w:rPr>
        <w:t> </w:t>
      </w:r>
      <w:r w:rsidRPr="00D029F6">
        <w:rPr>
          <w:lang w:val="en-US"/>
        </w:rPr>
        <w:t>UN</w:t>
      </w:r>
      <w:r>
        <w:rPr>
          <w:lang w:val="en-US"/>
        </w:rPr>
        <w:t xml:space="preserve"> </w:t>
      </w:r>
      <w:r w:rsidRPr="00D029F6">
        <w:rPr>
          <w:lang w:val="en-US"/>
        </w:rPr>
        <w:t xml:space="preserve">Deal; assets </w:t>
      </w:r>
      <w:r>
        <w:rPr>
          <w:lang w:val="en-US"/>
        </w:rPr>
        <w:t xml:space="preserve">freezing </w:t>
      </w:r>
      <w:r w:rsidRPr="00D029F6">
        <w:rPr>
          <w:lang w:val="en-US"/>
        </w:rPr>
        <w:t>and travel bans on officials and entities.</w:t>
      </w:r>
    </w:p>
    <w:p w14:paraId="30A4B46F" w14:textId="77777777" w:rsidR="00C42624" w:rsidRPr="00D029F6" w:rsidRDefault="00C42624" w:rsidP="00C42624">
      <w:pPr>
        <w:pStyle w:val="Heading1"/>
        <w:numPr>
          <w:ilvl w:val="0"/>
          <w:numId w:val="24"/>
        </w:numPr>
        <w:rPr>
          <w:lang w:val="en-US"/>
        </w:rPr>
      </w:pPr>
      <w:r>
        <w:rPr>
          <w:lang w:val="en-US"/>
        </w:rPr>
        <w:t xml:space="preserve">The sanctions have had a </w:t>
      </w:r>
      <w:r w:rsidRPr="00D029F6">
        <w:rPr>
          <w:lang w:val="en-US"/>
        </w:rPr>
        <w:t>major spillover effect on civilian economy</w:t>
      </w:r>
      <w:r>
        <w:rPr>
          <w:lang w:val="en-US"/>
        </w:rPr>
        <w:t xml:space="preserve">, causing </w:t>
      </w:r>
      <w:r w:rsidRPr="00D029F6">
        <w:rPr>
          <w:lang w:val="en-US"/>
        </w:rPr>
        <w:t xml:space="preserve">hyperinflation. </w:t>
      </w:r>
      <w:proofErr w:type="gramStart"/>
      <w:r>
        <w:rPr>
          <w:lang w:val="en-US"/>
        </w:rPr>
        <w:t>With regard</w:t>
      </w:r>
      <w:r w:rsidRPr="00D029F6">
        <w:rPr>
          <w:lang w:val="en-US"/>
        </w:rPr>
        <w:t xml:space="preserve"> to</w:t>
      </w:r>
      <w:proofErr w:type="gramEnd"/>
      <w:r w:rsidRPr="00D029F6">
        <w:rPr>
          <w:lang w:val="en-US"/>
        </w:rPr>
        <w:t xml:space="preserve"> </w:t>
      </w:r>
      <w:proofErr w:type="gramStart"/>
      <w:r w:rsidRPr="00D029F6">
        <w:rPr>
          <w:lang w:val="en-US"/>
        </w:rPr>
        <w:t>the HPMP</w:t>
      </w:r>
      <w:proofErr w:type="gramEnd"/>
      <w:r w:rsidRPr="00D029F6">
        <w:rPr>
          <w:lang w:val="en-US"/>
        </w:rPr>
        <w:t>, the sanctions disrupted imports and raised costs for equipment needed to complete the project</w:t>
      </w:r>
      <w:r>
        <w:rPr>
          <w:lang w:val="en-US"/>
        </w:rPr>
        <w:t>,</w:t>
      </w:r>
      <w:r w:rsidRPr="00D029F6">
        <w:rPr>
          <w:lang w:val="en-US"/>
        </w:rPr>
        <w:t xml:space="preserve"> as foreign suppliers decided </w:t>
      </w:r>
      <w:r>
        <w:rPr>
          <w:lang w:val="en-US"/>
        </w:rPr>
        <w:t xml:space="preserve">to </w:t>
      </w:r>
      <w:r w:rsidRPr="00D029F6">
        <w:rPr>
          <w:lang w:val="en-US"/>
        </w:rPr>
        <w:t xml:space="preserve">avoid </w:t>
      </w:r>
      <w:r>
        <w:rPr>
          <w:lang w:val="en-US"/>
        </w:rPr>
        <w:t>business with the country</w:t>
      </w:r>
      <w:r w:rsidRPr="00D029F6">
        <w:rPr>
          <w:lang w:val="en-US"/>
        </w:rPr>
        <w:t xml:space="preserve"> due to fear</w:t>
      </w:r>
      <w:r>
        <w:rPr>
          <w:lang w:val="en-US"/>
        </w:rPr>
        <w:t>s</w:t>
      </w:r>
      <w:r w:rsidRPr="00D029F6">
        <w:rPr>
          <w:lang w:val="en-US"/>
        </w:rPr>
        <w:t xml:space="preserve"> </w:t>
      </w:r>
      <w:r>
        <w:rPr>
          <w:lang w:val="en-US"/>
        </w:rPr>
        <w:t>of</w:t>
      </w:r>
      <w:r w:rsidRPr="002C768A">
        <w:rPr>
          <w:lang w:val="en-US"/>
        </w:rPr>
        <w:t xml:space="preserve"> </w:t>
      </w:r>
      <w:r w:rsidRPr="00D029F6">
        <w:rPr>
          <w:lang w:val="en-US"/>
        </w:rPr>
        <w:t>secondary sanctions</w:t>
      </w:r>
      <w:r>
        <w:rPr>
          <w:lang w:val="en-US"/>
        </w:rPr>
        <w:t>. Specifically, t</w:t>
      </w:r>
      <w:r w:rsidRPr="00D029F6">
        <w:rPr>
          <w:lang w:val="en-US"/>
        </w:rPr>
        <w:t xml:space="preserve">he </w:t>
      </w:r>
      <w:r>
        <w:rPr>
          <w:lang w:val="en-US"/>
        </w:rPr>
        <w:t>reason for the larger</w:t>
      </w:r>
      <w:r w:rsidRPr="00D029F6">
        <w:rPr>
          <w:lang w:val="en-US"/>
        </w:rPr>
        <w:t xml:space="preserve"> </w:t>
      </w:r>
      <w:r>
        <w:rPr>
          <w:lang w:val="en-US"/>
        </w:rPr>
        <w:t xml:space="preserve">fund </w:t>
      </w:r>
      <w:r w:rsidRPr="00D029F6">
        <w:rPr>
          <w:lang w:val="en-US"/>
        </w:rPr>
        <w:t xml:space="preserve">balance at present than in February 2025 </w:t>
      </w:r>
      <w:r>
        <w:rPr>
          <w:lang w:val="en-US"/>
        </w:rPr>
        <w:t>is that a</w:t>
      </w:r>
      <w:r w:rsidRPr="00762A00">
        <w:rPr>
          <w:lang w:val="en-US"/>
        </w:rPr>
        <w:t xml:space="preserve"> </w:t>
      </w:r>
      <w:r w:rsidRPr="00D029F6">
        <w:rPr>
          <w:lang w:val="en-US"/>
        </w:rPr>
        <w:t xml:space="preserve">supplier of </w:t>
      </w:r>
      <w:r>
        <w:rPr>
          <w:lang w:val="en-US"/>
        </w:rPr>
        <w:t>c</w:t>
      </w:r>
      <w:r w:rsidRPr="00D029F6">
        <w:rPr>
          <w:lang w:val="en-US"/>
        </w:rPr>
        <w:t xml:space="preserve">ommercial </w:t>
      </w:r>
      <w:r>
        <w:rPr>
          <w:lang w:val="en-US"/>
        </w:rPr>
        <w:t>r</w:t>
      </w:r>
      <w:r w:rsidRPr="00D029F6">
        <w:rPr>
          <w:lang w:val="en-US"/>
        </w:rPr>
        <w:t xml:space="preserve">efrigeration conversion kits </w:t>
      </w:r>
      <w:r>
        <w:rPr>
          <w:lang w:val="en-US"/>
        </w:rPr>
        <w:t>to</w:t>
      </w:r>
      <w:r w:rsidRPr="00D029F6">
        <w:rPr>
          <w:lang w:val="en-US"/>
        </w:rPr>
        <w:t xml:space="preserve"> 15 manufacturing enterprises requested UNDP to cancel a purchase order and terminate the supplying obligations agreed in early 2025, resulting in the return of US</w:t>
      </w:r>
      <w:r>
        <w:rPr>
          <w:lang w:val="en-US"/>
        </w:rPr>
        <w:t> </w:t>
      </w:r>
      <w:r w:rsidRPr="00D029F6">
        <w:rPr>
          <w:lang w:val="en-US"/>
        </w:rPr>
        <w:t>$425,000 to UNDP and the delay in the completion of such conversions.</w:t>
      </w:r>
    </w:p>
    <w:p w14:paraId="39AAE2DD" w14:textId="77777777" w:rsidR="00C42624" w:rsidRPr="002C768A" w:rsidRDefault="00C42624" w:rsidP="00C42624">
      <w:pPr>
        <w:pStyle w:val="Heading1"/>
        <w:numPr>
          <w:ilvl w:val="0"/>
          <w:numId w:val="24"/>
        </w:numPr>
        <w:rPr>
          <w:lang w:val="en-US"/>
        </w:rPr>
      </w:pPr>
      <w:r w:rsidRPr="002C768A">
        <w:rPr>
          <w:lang w:val="en-US"/>
        </w:rPr>
        <w:t>In addition, regional conflict</w:t>
      </w:r>
      <w:r>
        <w:rPr>
          <w:lang w:val="en-US"/>
        </w:rPr>
        <w:t>s which</w:t>
      </w:r>
      <w:r w:rsidRPr="002C768A">
        <w:rPr>
          <w:lang w:val="en-US"/>
        </w:rPr>
        <w:t xml:space="preserve"> erupted in mid-June 2025 </w:t>
      </w:r>
      <w:r>
        <w:rPr>
          <w:lang w:val="en-US"/>
        </w:rPr>
        <w:t>i</w:t>
      </w:r>
      <w:r w:rsidRPr="002C768A">
        <w:rPr>
          <w:lang w:val="en-US"/>
        </w:rPr>
        <w:t xml:space="preserve">n several sites led to </w:t>
      </w:r>
      <w:r>
        <w:rPr>
          <w:lang w:val="en-US"/>
        </w:rPr>
        <w:t xml:space="preserve">a </w:t>
      </w:r>
      <w:r w:rsidRPr="002C768A">
        <w:rPr>
          <w:lang w:val="en-US"/>
        </w:rPr>
        <w:t xml:space="preserve">mass evacuation of </w:t>
      </w:r>
      <w:r>
        <w:rPr>
          <w:lang w:val="en-US"/>
        </w:rPr>
        <w:t xml:space="preserve">an </w:t>
      </w:r>
      <w:r w:rsidRPr="002C768A">
        <w:rPr>
          <w:lang w:val="en-US"/>
        </w:rPr>
        <w:t xml:space="preserve">estimated seven million people, mainly from Tehran. The gradual return of people and </w:t>
      </w:r>
      <w:r>
        <w:rPr>
          <w:lang w:val="en-US"/>
        </w:rPr>
        <w:t xml:space="preserve">resumption of </w:t>
      </w:r>
      <w:r w:rsidRPr="002C768A">
        <w:rPr>
          <w:lang w:val="en-US"/>
        </w:rPr>
        <w:t xml:space="preserve">business took nearly </w:t>
      </w:r>
      <w:r>
        <w:rPr>
          <w:lang w:val="en-US"/>
        </w:rPr>
        <w:t>three</w:t>
      </w:r>
      <w:r w:rsidRPr="002C768A">
        <w:rPr>
          <w:lang w:val="en-US"/>
        </w:rPr>
        <w:t xml:space="preserve"> months to complete</w:t>
      </w:r>
      <w:r>
        <w:rPr>
          <w:lang w:val="en-US"/>
        </w:rPr>
        <w:t>, after a</w:t>
      </w:r>
      <w:r w:rsidRPr="002C768A">
        <w:rPr>
          <w:lang w:val="en-US"/>
        </w:rPr>
        <w:t xml:space="preserve"> complete </w:t>
      </w:r>
      <w:r>
        <w:rPr>
          <w:lang w:val="en-US"/>
        </w:rPr>
        <w:t>halt</w:t>
      </w:r>
      <w:r w:rsidRPr="002C768A">
        <w:rPr>
          <w:lang w:val="en-US"/>
        </w:rPr>
        <w:t xml:space="preserve"> of the project implementation from June to August 2025.</w:t>
      </w:r>
    </w:p>
    <w:p w14:paraId="6BCDF846" w14:textId="77777777" w:rsidR="00C42624" w:rsidRDefault="00C42624" w:rsidP="00C42624">
      <w:pPr>
        <w:pStyle w:val="Heading1"/>
        <w:numPr>
          <w:ilvl w:val="0"/>
          <w:numId w:val="24"/>
        </w:numPr>
        <w:rPr>
          <w:lang w:val="en-US"/>
        </w:rPr>
      </w:pPr>
      <w:r w:rsidRPr="002C768A">
        <w:rPr>
          <w:lang w:val="en-US"/>
        </w:rPr>
        <w:t>Noting the</w:t>
      </w:r>
      <w:r>
        <w:rPr>
          <w:lang w:val="en-US"/>
        </w:rPr>
        <w:t>se</w:t>
      </w:r>
      <w:r w:rsidRPr="002C768A">
        <w:rPr>
          <w:lang w:val="en-US"/>
        </w:rPr>
        <w:t xml:space="preserve"> challenges, UNDP </w:t>
      </w:r>
      <w:r>
        <w:rPr>
          <w:lang w:val="en-US"/>
        </w:rPr>
        <w:t>informed the Secretariat that the extension of stage II of the HPMP would</w:t>
      </w:r>
      <w:r w:rsidRPr="002C768A">
        <w:rPr>
          <w:lang w:val="en-US"/>
        </w:rPr>
        <w:t xml:space="preserve"> allow the operational completion of the </w:t>
      </w:r>
      <w:r>
        <w:rPr>
          <w:lang w:val="en-US"/>
        </w:rPr>
        <w:t xml:space="preserve">following </w:t>
      </w:r>
      <w:r w:rsidRPr="002C768A">
        <w:rPr>
          <w:lang w:val="en-US"/>
        </w:rPr>
        <w:t>remaining activities</w:t>
      </w:r>
      <w:r>
        <w:rPr>
          <w:lang w:val="en-US"/>
        </w:rPr>
        <w:t xml:space="preserve"> by each agency</w:t>
      </w:r>
      <w:r w:rsidRPr="002C768A">
        <w:rPr>
          <w:lang w:val="en-US"/>
        </w:rPr>
        <w:t>:</w:t>
      </w:r>
    </w:p>
    <w:p w14:paraId="57BA73EA" w14:textId="77777777" w:rsidR="00C42624" w:rsidRDefault="00C42624" w:rsidP="00C42624">
      <w:pPr>
        <w:pStyle w:val="Heading2"/>
        <w:numPr>
          <w:ilvl w:val="1"/>
          <w:numId w:val="24"/>
        </w:numPr>
        <w:rPr>
          <w:lang w:val="en-US"/>
        </w:rPr>
      </w:pPr>
      <w:r w:rsidRPr="0095293E">
        <w:rPr>
          <w:i/>
          <w:iCs/>
          <w:lang w:val="en-US"/>
        </w:rPr>
        <w:t xml:space="preserve">UNDP </w:t>
      </w:r>
      <w:r>
        <w:rPr>
          <w:i/>
          <w:iCs/>
          <w:lang w:val="en-US"/>
        </w:rPr>
        <w:t>–</w:t>
      </w:r>
      <w:r w:rsidRPr="0095293E">
        <w:rPr>
          <w:i/>
          <w:iCs/>
          <w:lang w:val="en-US"/>
        </w:rPr>
        <w:t xml:space="preserve"> PU foam, commercial refrigeration, servicing:</w:t>
      </w:r>
      <w:r>
        <w:rPr>
          <w:lang w:val="en-US"/>
        </w:rPr>
        <w:t xml:space="preserve"> R</w:t>
      </w:r>
      <w:r w:rsidRPr="0011703B">
        <w:rPr>
          <w:lang w:val="en-US"/>
        </w:rPr>
        <w:t>e</w:t>
      </w:r>
      <w:r>
        <w:rPr>
          <w:lang w:val="en-US"/>
        </w:rPr>
        <w:t xml:space="preserve">peated </w:t>
      </w:r>
      <w:r w:rsidRPr="0011703B">
        <w:rPr>
          <w:lang w:val="en-US"/>
        </w:rPr>
        <w:t>procurement process for</w:t>
      </w:r>
      <w:r>
        <w:rPr>
          <w:lang w:val="en-US"/>
        </w:rPr>
        <w:t xml:space="preserve"> the</w:t>
      </w:r>
      <w:r w:rsidRPr="0011703B">
        <w:rPr>
          <w:lang w:val="en-US"/>
        </w:rPr>
        <w:t xml:space="preserve"> remaining RAC kits and equipment </w:t>
      </w:r>
      <w:r>
        <w:rPr>
          <w:lang w:val="en-US"/>
        </w:rPr>
        <w:t xml:space="preserve">for commercial refrigeration enterprises and completion of </w:t>
      </w:r>
      <w:r w:rsidRPr="006B68C2">
        <w:rPr>
          <w:lang w:val="en-US"/>
        </w:rPr>
        <w:t>conversion</w:t>
      </w:r>
      <w:r>
        <w:rPr>
          <w:lang w:val="en-US"/>
        </w:rPr>
        <w:t xml:space="preserve">s; distribution of already procured </w:t>
      </w:r>
      <w:r w:rsidRPr="001C4593">
        <w:rPr>
          <w:lang w:val="en-US"/>
        </w:rPr>
        <w:t>materials</w:t>
      </w:r>
      <w:r>
        <w:rPr>
          <w:lang w:val="en-US"/>
        </w:rPr>
        <w:t xml:space="preserve"> for</w:t>
      </w:r>
      <w:r w:rsidRPr="001C4593">
        <w:rPr>
          <w:lang w:val="en-US"/>
        </w:rPr>
        <w:t xml:space="preserve"> </w:t>
      </w:r>
      <w:r>
        <w:rPr>
          <w:lang w:val="en-US"/>
        </w:rPr>
        <w:t>w</w:t>
      </w:r>
      <w:r w:rsidRPr="0089775B">
        <w:rPr>
          <w:lang w:val="en-US"/>
        </w:rPr>
        <w:t>ater</w:t>
      </w:r>
      <w:r>
        <w:rPr>
          <w:lang w:val="en-US"/>
        </w:rPr>
        <w:noBreakHyphen/>
      </w:r>
      <w:r w:rsidRPr="0089775B">
        <w:rPr>
          <w:lang w:val="en-US"/>
        </w:rPr>
        <w:t>blown alternative systems to SM</w:t>
      </w:r>
      <w:r w:rsidRPr="002F681A">
        <w:rPr>
          <w:lang w:val="en-US"/>
        </w:rPr>
        <w:t xml:space="preserve">Es; </w:t>
      </w:r>
      <w:r w:rsidRPr="002F681A">
        <w:t>comple</w:t>
      </w:r>
      <w:r>
        <w:t>tion of</w:t>
      </w:r>
      <w:r w:rsidRPr="002F681A">
        <w:t xml:space="preserve"> training </w:t>
      </w:r>
      <w:r>
        <w:t>for</w:t>
      </w:r>
      <w:r w:rsidRPr="002F681A">
        <w:t xml:space="preserve"> 1,000 technicians on </w:t>
      </w:r>
      <w:r>
        <w:t xml:space="preserve">the handling of </w:t>
      </w:r>
      <w:r w:rsidRPr="002F681A">
        <w:t xml:space="preserve">flammable refrigerants; </w:t>
      </w:r>
      <w:r w:rsidRPr="002F681A">
        <w:rPr>
          <w:lang w:val="en-US"/>
        </w:rPr>
        <w:t>comple</w:t>
      </w:r>
      <w:r>
        <w:rPr>
          <w:lang w:val="en-US"/>
        </w:rPr>
        <w:t>tion of R-</w:t>
      </w:r>
      <w:r w:rsidRPr="004941F7">
        <w:rPr>
          <w:lang w:val="en-US"/>
        </w:rPr>
        <w:t>290</w:t>
      </w:r>
      <w:r>
        <w:rPr>
          <w:lang w:val="en-US"/>
        </w:rPr>
        <w:t xml:space="preserve"> assessment i</w:t>
      </w:r>
      <w:r w:rsidRPr="004941F7">
        <w:rPr>
          <w:lang w:val="en-US"/>
        </w:rPr>
        <w:t xml:space="preserve">n </w:t>
      </w:r>
      <w:r>
        <w:rPr>
          <w:lang w:val="en-US"/>
        </w:rPr>
        <w:t>c</w:t>
      </w:r>
      <w:r w:rsidRPr="004941F7">
        <w:rPr>
          <w:lang w:val="en-US"/>
        </w:rPr>
        <w:t xml:space="preserve">onverted </w:t>
      </w:r>
      <w:r>
        <w:rPr>
          <w:lang w:val="en-US"/>
        </w:rPr>
        <w:t>enterprises; adoption of the t</w:t>
      </w:r>
      <w:r w:rsidRPr="004941F7">
        <w:rPr>
          <w:lang w:val="en-US"/>
        </w:rPr>
        <w:t xml:space="preserve">ransportation and </w:t>
      </w:r>
      <w:r>
        <w:rPr>
          <w:lang w:val="en-US"/>
        </w:rPr>
        <w:t>s</w:t>
      </w:r>
      <w:r w:rsidRPr="004941F7">
        <w:rPr>
          <w:lang w:val="en-US"/>
        </w:rPr>
        <w:t xml:space="preserve">torage </w:t>
      </w:r>
      <w:r>
        <w:rPr>
          <w:lang w:val="en-US"/>
        </w:rPr>
        <w:t>s</w:t>
      </w:r>
      <w:r w:rsidRPr="004941F7">
        <w:rPr>
          <w:lang w:val="en-US"/>
        </w:rPr>
        <w:t xml:space="preserve">tandards </w:t>
      </w:r>
      <w:r>
        <w:rPr>
          <w:lang w:val="en-US"/>
        </w:rPr>
        <w:t>for</w:t>
      </w:r>
      <w:r w:rsidRPr="004941F7">
        <w:rPr>
          <w:lang w:val="en-US"/>
        </w:rPr>
        <w:t xml:space="preserve"> </w:t>
      </w:r>
      <w:r>
        <w:rPr>
          <w:lang w:val="en-US"/>
        </w:rPr>
        <w:t>f</w:t>
      </w:r>
      <w:r w:rsidRPr="004941F7">
        <w:rPr>
          <w:lang w:val="en-US"/>
        </w:rPr>
        <w:t xml:space="preserve">lammable </w:t>
      </w:r>
      <w:r>
        <w:rPr>
          <w:lang w:val="en-US"/>
        </w:rPr>
        <w:t>r</w:t>
      </w:r>
      <w:r w:rsidRPr="004941F7">
        <w:rPr>
          <w:lang w:val="en-US"/>
        </w:rPr>
        <w:t>efrigerant</w:t>
      </w:r>
      <w:r>
        <w:rPr>
          <w:lang w:val="en-US"/>
        </w:rPr>
        <w:t>s; and r</w:t>
      </w:r>
      <w:r w:rsidRPr="004941F7">
        <w:rPr>
          <w:lang w:val="en-US"/>
        </w:rPr>
        <w:t xml:space="preserve">eview of </w:t>
      </w:r>
      <w:r>
        <w:rPr>
          <w:lang w:val="en-US"/>
        </w:rPr>
        <w:t>b</w:t>
      </w:r>
      <w:r w:rsidRPr="004941F7">
        <w:rPr>
          <w:lang w:val="en-US"/>
        </w:rPr>
        <w:t xml:space="preserve">uilding </w:t>
      </w:r>
      <w:r>
        <w:rPr>
          <w:lang w:val="en-US"/>
        </w:rPr>
        <w:t>c</w:t>
      </w:r>
      <w:r w:rsidRPr="004941F7">
        <w:rPr>
          <w:lang w:val="en-US"/>
        </w:rPr>
        <w:t xml:space="preserve">ode </w:t>
      </w:r>
      <w:r>
        <w:rPr>
          <w:lang w:val="en-US"/>
        </w:rPr>
        <w:t>r</w:t>
      </w:r>
      <w:r w:rsidRPr="004941F7">
        <w:rPr>
          <w:lang w:val="en-US"/>
        </w:rPr>
        <w:t xml:space="preserve">egulations relevant to </w:t>
      </w:r>
      <w:r>
        <w:rPr>
          <w:lang w:val="en-US"/>
        </w:rPr>
        <w:t>f</w:t>
      </w:r>
      <w:r w:rsidRPr="004941F7">
        <w:rPr>
          <w:lang w:val="en-US"/>
        </w:rPr>
        <w:t xml:space="preserve">lammable </w:t>
      </w:r>
      <w:r>
        <w:rPr>
          <w:lang w:val="en-US"/>
        </w:rPr>
        <w:t>r</w:t>
      </w:r>
      <w:r w:rsidRPr="004941F7">
        <w:rPr>
          <w:lang w:val="en-US"/>
        </w:rPr>
        <w:t xml:space="preserve">efrigerant </w:t>
      </w:r>
      <w:r>
        <w:rPr>
          <w:lang w:val="en-US"/>
        </w:rPr>
        <w:t>a</w:t>
      </w:r>
      <w:r w:rsidRPr="004941F7">
        <w:rPr>
          <w:lang w:val="en-US"/>
        </w:rPr>
        <w:t>doption</w:t>
      </w:r>
      <w:r>
        <w:rPr>
          <w:lang w:val="en-US"/>
        </w:rPr>
        <w:t xml:space="preserve"> (balance of US $902,211);</w:t>
      </w:r>
    </w:p>
    <w:p w14:paraId="26FDB3CC" w14:textId="77777777" w:rsidR="00C42624" w:rsidRDefault="00C42624" w:rsidP="00C42624">
      <w:pPr>
        <w:pStyle w:val="Heading2"/>
        <w:numPr>
          <w:ilvl w:val="1"/>
          <w:numId w:val="24"/>
        </w:numPr>
        <w:rPr>
          <w:lang w:val="en-US"/>
        </w:rPr>
      </w:pPr>
      <w:r w:rsidRPr="0095293E">
        <w:rPr>
          <w:i/>
          <w:iCs/>
          <w:lang w:val="en-US"/>
        </w:rPr>
        <w:t xml:space="preserve">UNIDO </w:t>
      </w:r>
      <w:r>
        <w:rPr>
          <w:i/>
          <w:iCs/>
          <w:lang w:val="en-US"/>
        </w:rPr>
        <w:t>–</w:t>
      </w:r>
      <w:r w:rsidRPr="0095293E">
        <w:rPr>
          <w:i/>
          <w:iCs/>
          <w:lang w:val="en-US"/>
        </w:rPr>
        <w:t xml:space="preserve"> PU foam:</w:t>
      </w:r>
      <w:r>
        <w:rPr>
          <w:lang w:val="en-US"/>
        </w:rPr>
        <w:t xml:space="preserve"> Completion of e</w:t>
      </w:r>
      <w:r w:rsidRPr="006B2A6E">
        <w:rPr>
          <w:lang w:val="en-US"/>
        </w:rPr>
        <w:t>quipment deliver</w:t>
      </w:r>
      <w:r>
        <w:rPr>
          <w:lang w:val="en-US"/>
        </w:rPr>
        <w:t xml:space="preserve">y, </w:t>
      </w:r>
      <w:r w:rsidRPr="006B2A6E">
        <w:rPr>
          <w:lang w:val="en-US"/>
        </w:rPr>
        <w:t>installation, commissioning, and related training activities</w:t>
      </w:r>
      <w:r>
        <w:rPr>
          <w:lang w:val="en-US"/>
        </w:rPr>
        <w:t xml:space="preserve"> at the remaining six PU foam enterprises</w:t>
      </w:r>
      <w:r w:rsidRPr="00D80120">
        <w:rPr>
          <w:lang w:val="en-US"/>
        </w:rPr>
        <w:t xml:space="preserve"> </w:t>
      </w:r>
      <w:r>
        <w:rPr>
          <w:lang w:val="en-US"/>
        </w:rPr>
        <w:t>(balance of US $11,180); and</w:t>
      </w:r>
    </w:p>
    <w:p w14:paraId="6DE76024" w14:textId="77777777" w:rsidR="00C42624" w:rsidRDefault="00C42624" w:rsidP="00C42624">
      <w:pPr>
        <w:pStyle w:val="Heading2"/>
        <w:widowControl/>
        <w:numPr>
          <w:ilvl w:val="1"/>
          <w:numId w:val="24"/>
        </w:numPr>
        <w:rPr>
          <w:lang w:val="en-US"/>
        </w:rPr>
      </w:pPr>
      <w:r w:rsidRPr="0095293E">
        <w:rPr>
          <w:i/>
          <w:iCs/>
          <w:lang w:val="en-US"/>
        </w:rPr>
        <w:t>UNEP</w:t>
      </w:r>
      <w:r>
        <w:rPr>
          <w:i/>
          <w:iCs/>
          <w:lang w:val="en-US"/>
        </w:rPr>
        <w:t xml:space="preserve"> – policy and servicing</w:t>
      </w:r>
      <w:r w:rsidRPr="0095293E">
        <w:rPr>
          <w:i/>
          <w:iCs/>
          <w:lang w:val="en-US"/>
        </w:rPr>
        <w:t>:</w:t>
      </w:r>
      <w:r>
        <w:rPr>
          <w:lang w:val="en-US"/>
        </w:rPr>
        <w:t xml:space="preserve"> Fin</w:t>
      </w:r>
      <w:r w:rsidRPr="00103C8C">
        <w:rPr>
          <w:lang w:val="en-US"/>
        </w:rPr>
        <w:t>aliz</w:t>
      </w:r>
      <w:r>
        <w:rPr>
          <w:lang w:val="en-US"/>
        </w:rPr>
        <w:t>ation of</w:t>
      </w:r>
      <w:r w:rsidRPr="00103C8C">
        <w:rPr>
          <w:lang w:val="en-US"/>
        </w:rPr>
        <w:t xml:space="preserve"> policy consultation workshops and deliver</w:t>
      </w:r>
      <w:r>
        <w:rPr>
          <w:lang w:val="en-US"/>
        </w:rPr>
        <w:t>y</w:t>
      </w:r>
      <w:r w:rsidRPr="00103C8C">
        <w:rPr>
          <w:lang w:val="en-US"/>
        </w:rPr>
        <w:t xml:space="preserve"> </w:t>
      </w:r>
      <w:r>
        <w:rPr>
          <w:lang w:val="en-US"/>
        </w:rPr>
        <w:t xml:space="preserve">of </w:t>
      </w:r>
      <w:r w:rsidRPr="00103C8C">
        <w:rPr>
          <w:lang w:val="en-US"/>
        </w:rPr>
        <w:t xml:space="preserve">two training courses for local government enforcement officers; </w:t>
      </w:r>
      <w:r>
        <w:rPr>
          <w:lang w:val="en-US"/>
        </w:rPr>
        <w:t>training of</w:t>
      </w:r>
      <w:r w:rsidRPr="00103C8C">
        <w:rPr>
          <w:lang w:val="en-US"/>
        </w:rPr>
        <w:t xml:space="preserve"> 60</w:t>
      </w:r>
      <w:r>
        <w:rPr>
          <w:lang w:val="en-US"/>
        </w:rPr>
        <w:t> </w:t>
      </w:r>
      <w:r w:rsidRPr="00103C8C">
        <w:rPr>
          <w:lang w:val="en-US"/>
        </w:rPr>
        <w:t xml:space="preserve">customs officers and the remaining 434 technicians, </w:t>
      </w:r>
      <w:r>
        <w:rPr>
          <w:lang w:val="en-US"/>
        </w:rPr>
        <w:t xml:space="preserve">and </w:t>
      </w:r>
      <w:r w:rsidRPr="00103C8C">
        <w:rPr>
          <w:lang w:val="en-US"/>
        </w:rPr>
        <w:t>certif</w:t>
      </w:r>
      <w:r>
        <w:rPr>
          <w:lang w:val="en-US"/>
        </w:rPr>
        <w:t>ication of</w:t>
      </w:r>
      <w:r w:rsidRPr="00103C8C">
        <w:rPr>
          <w:lang w:val="en-US"/>
        </w:rPr>
        <w:t xml:space="preserve"> 200 </w:t>
      </w:r>
      <w:r>
        <w:rPr>
          <w:lang w:val="en-US"/>
        </w:rPr>
        <w:t>technicians</w:t>
      </w:r>
      <w:r w:rsidRPr="00103C8C">
        <w:rPr>
          <w:lang w:val="en-US"/>
        </w:rPr>
        <w:t>; translat</w:t>
      </w:r>
      <w:r>
        <w:rPr>
          <w:lang w:val="en-US"/>
        </w:rPr>
        <w:t>ion of the</w:t>
      </w:r>
      <w:r w:rsidRPr="00103C8C">
        <w:rPr>
          <w:lang w:val="en-US"/>
        </w:rPr>
        <w:t xml:space="preserve"> RAC training and assessment materials; complet</w:t>
      </w:r>
      <w:r>
        <w:rPr>
          <w:lang w:val="en-US"/>
        </w:rPr>
        <w:t>ion of</w:t>
      </w:r>
      <w:r w:rsidRPr="00103C8C">
        <w:rPr>
          <w:lang w:val="en-US"/>
        </w:rPr>
        <w:t xml:space="preserve"> standard operating procedures for handling flammable gases and storage by industry and servicing workshops; updat</w:t>
      </w:r>
      <w:r>
        <w:rPr>
          <w:lang w:val="en-US"/>
        </w:rPr>
        <w:t>ing of</w:t>
      </w:r>
      <w:r w:rsidRPr="00103C8C">
        <w:rPr>
          <w:lang w:val="en-US"/>
        </w:rPr>
        <w:t xml:space="preserve"> national standards for the RAC servicing sector; capacity-building activities for the RAC </w:t>
      </w:r>
      <w:r w:rsidRPr="00103C8C">
        <w:rPr>
          <w:lang w:val="en-US"/>
        </w:rPr>
        <w:lastRenderedPageBreak/>
        <w:t>association and launch</w:t>
      </w:r>
      <w:r>
        <w:rPr>
          <w:lang w:val="en-US"/>
        </w:rPr>
        <w:t>ing of</w:t>
      </w:r>
      <w:r w:rsidRPr="00103C8C">
        <w:rPr>
          <w:lang w:val="en-US"/>
        </w:rPr>
        <w:t xml:space="preserve"> a website </w:t>
      </w:r>
      <w:r>
        <w:rPr>
          <w:lang w:val="en-US"/>
        </w:rPr>
        <w:t xml:space="preserve">to </w:t>
      </w:r>
      <w:r w:rsidRPr="00103C8C">
        <w:rPr>
          <w:lang w:val="en-US"/>
        </w:rPr>
        <w:t>promot</w:t>
      </w:r>
      <w:r>
        <w:rPr>
          <w:lang w:val="en-US"/>
        </w:rPr>
        <w:t xml:space="preserve">e new </w:t>
      </w:r>
      <w:r w:rsidRPr="00103C8C">
        <w:rPr>
          <w:lang w:val="en-US"/>
        </w:rPr>
        <w:t>technolog</w:t>
      </w:r>
      <w:r>
        <w:rPr>
          <w:lang w:val="en-US"/>
        </w:rPr>
        <w:t>ies;</w:t>
      </w:r>
      <w:r w:rsidRPr="00103C8C">
        <w:rPr>
          <w:lang w:val="en-US"/>
        </w:rPr>
        <w:t xml:space="preserve"> organiz</w:t>
      </w:r>
      <w:r>
        <w:rPr>
          <w:lang w:val="en-US"/>
        </w:rPr>
        <w:t>ation of</w:t>
      </w:r>
      <w:r w:rsidRPr="00103C8C">
        <w:rPr>
          <w:lang w:val="en-US"/>
        </w:rPr>
        <w:t xml:space="preserve"> one final Ozone2Climate event and two outreach activities to promote HCFC phase-out in collaboration with the RAC association; and distribut</w:t>
      </w:r>
      <w:r>
        <w:rPr>
          <w:lang w:val="en-US"/>
        </w:rPr>
        <w:t>ion of</w:t>
      </w:r>
      <w:r w:rsidRPr="00103C8C">
        <w:rPr>
          <w:lang w:val="en-US"/>
        </w:rPr>
        <w:t xml:space="preserve"> at least two information materials in Farsi</w:t>
      </w:r>
      <w:r w:rsidRPr="00C67C9A">
        <w:t xml:space="preserve"> </w:t>
      </w:r>
      <w:r w:rsidRPr="00C67C9A">
        <w:rPr>
          <w:lang w:val="en-US"/>
        </w:rPr>
        <w:t>(</w:t>
      </w:r>
      <w:r>
        <w:rPr>
          <w:lang w:val="en-US"/>
        </w:rPr>
        <w:t xml:space="preserve">balance of </w:t>
      </w:r>
      <w:r w:rsidRPr="00C67C9A">
        <w:rPr>
          <w:lang w:val="en-US"/>
        </w:rPr>
        <w:t>US</w:t>
      </w:r>
      <w:r>
        <w:rPr>
          <w:lang w:val="en-US"/>
        </w:rPr>
        <w:t> </w:t>
      </w:r>
      <w:r w:rsidRPr="00C67C9A">
        <w:rPr>
          <w:lang w:val="en-US"/>
        </w:rPr>
        <w:t>$232,014)</w:t>
      </w:r>
      <w:r>
        <w:rPr>
          <w:lang w:val="en-US"/>
        </w:rPr>
        <w:t>.</w:t>
      </w:r>
    </w:p>
    <w:p w14:paraId="60602669" w14:textId="77777777" w:rsidR="00C42624" w:rsidRDefault="00C42624" w:rsidP="00C42624">
      <w:pPr>
        <w:pStyle w:val="Heading1"/>
        <w:numPr>
          <w:ilvl w:val="0"/>
          <w:numId w:val="24"/>
        </w:numPr>
        <w:rPr>
          <w:lang w:val="en-US"/>
        </w:rPr>
      </w:pPr>
      <w:r w:rsidRPr="00A81479">
        <w:rPr>
          <w:lang w:val="en-US"/>
        </w:rPr>
        <w:t xml:space="preserve">To overcome current limitations, UNDP is working with its central procurement services unit </w:t>
      </w:r>
      <w:r>
        <w:rPr>
          <w:lang w:val="en-US"/>
        </w:rPr>
        <w:t xml:space="preserve">on </w:t>
      </w:r>
      <w:r w:rsidRPr="00A81479">
        <w:rPr>
          <w:lang w:val="en-US"/>
        </w:rPr>
        <w:t xml:space="preserve">allowing direct contracts with qualified suppliers from previous bids. UNEP will transfer funds to the NOU through a </w:t>
      </w:r>
      <w:r>
        <w:rPr>
          <w:lang w:val="en-US"/>
        </w:rPr>
        <w:t>G</w:t>
      </w:r>
      <w:r w:rsidRPr="00A81479">
        <w:rPr>
          <w:lang w:val="en-US"/>
        </w:rPr>
        <w:t xml:space="preserve">overnment partner that holds legal agreements with both parties to deliver implementation services. The </w:t>
      </w:r>
      <w:r>
        <w:rPr>
          <w:lang w:val="en-US"/>
        </w:rPr>
        <w:t>G</w:t>
      </w:r>
      <w:r w:rsidRPr="00A81479">
        <w:rPr>
          <w:lang w:val="en-US"/>
        </w:rPr>
        <w:t>overnment has identified a new partner eligible to provide these services and receive funding, which UNEP must first screen and audit. Partner validation procedures are expected to be completed by the end of 2025, after which UNEP anticipates processing payments promptly</w:t>
      </w:r>
      <w:r>
        <w:rPr>
          <w:lang w:val="en-US"/>
        </w:rPr>
        <w:t>.</w:t>
      </w:r>
    </w:p>
    <w:p w14:paraId="63AE622F" w14:textId="77777777" w:rsidR="00C42624" w:rsidRPr="003E275F" w:rsidRDefault="00C42624" w:rsidP="00C42624">
      <w:pPr>
        <w:pStyle w:val="Heading1"/>
        <w:numPr>
          <w:ilvl w:val="0"/>
          <w:numId w:val="24"/>
        </w:numPr>
        <w:rPr>
          <w:lang w:val="en-US"/>
        </w:rPr>
      </w:pPr>
      <w:r w:rsidRPr="003E275F">
        <w:rPr>
          <w:lang w:val="en-US"/>
        </w:rPr>
        <w:t xml:space="preserve">The Secretariat notes that extending stage II of the HPMP will enable the country, with agency support, to complete the ongoing activities outlined above. </w:t>
      </w:r>
      <w:proofErr w:type="gramStart"/>
      <w:r w:rsidRPr="003E275F">
        <w:rPr>
          <w:lang w:val="en-US"/>
        </w:rPr>
        <w:t>In particular</w:t>
      </w:r>
      <w:r>
        <w:rPr>
          <w:lang w:val="en-US"/>
        </w:rPr>
        <w:t xml:space="preserve"> in</w:t>
      </w:r>
      <w:proofErr w:type="gramEnd"/>
      <w:r>
        <w:rPr>
          <w:lang w:val="en-US"/>
        </w:rPr>
        <w:t xml:space="preserve"> the case of </w:t>
      </w:r>
      <w:r w:rsidRPr="003E275F">
        <w:rPr>
          <w:lang w:val="en-US"/>
        </w:rPr>
        <w:t>commercial refrigeration and PU foam</w:t>
      </w:r>
      <w:r>
        <w:rPr>
          <w:lang w:val="en-US"/>
        </w:rPr>
        <w:t xml:space="preserve"> activities</w:t>
      </w:r>
      <w:r w:rsidRPr="003E275F">
        <w:rPr>
          <w:lang w:val="en-US"/>
        </w:rPr>
        <w:t>, the extension will allow the final conversion of remaining enterprises to ensure full sector coverage.</w:t>
      </w:r>
    </w:p>
    <w:p w14:paraId="33F98F53" w14:textId="77777777" w:rsidR="00C42624" w:rsidRDefault="00C42624" w:rsidP="00C42624">
      <w:pPr>
        <w:pStyle w:val="Heading1"/>
        <w:numPr>
          <w:ilvl w:val="0"/>
          <w:numId w:val="24"/>
        </w:numPr>
        <w:rPr>
          <w:lang w:val="en-US"/>
        </w:rPr>
      </w:pPr>
      <w:r w:rsidRPr="003E275F">
        <w:rPr>
          <w:lang w:val="en-US"/>
        </w:rPr>
        <w:t xml:space="preserve">Based on the information provided, the Secretariat considers a one-year extension, rather than one and a half years, sufficient to finalize these activities. </w:t>
      </w:r>
      <w:proofErr w:type="gramStart"/>
      <w:r w:rsidRPr="003E275F">
        <w:rPr>
          <w:lang w:val="en-US"/>
        </w:rPr>
        <w:t>In light of</w:t>
      </w:r>
      <w:proofErr w:type="gramEnd"/>
      <w:r w:rsidRPr="003E275F">
        <w:rPr>
          <w:lang w:val="en-US"/>
        </w:rPr>
        <w:t xml:space="preserve"> previous decisions, the Executive Committee may wish </w:t>
      </w:r>
      <w:r>
        <w:rPr>
          <w:lang w:val="en-US"/>
        </w:rPr>
        <w:t xml:space="preserve">to </w:t>
      </w:r>
      <w:proofErr w:type="gramStart"/>
      <w:r>
        <w:rPr>
          <w:lang w:val="en-US"/>
        </w:rPr>
        <w:t>take into account</w:t>
      </w:r>
      <w:proofErr w:type="gramEnd"/>
      <w:r>
        <w:rPr>
          <w:lang w:val="en-US"/>
        </w:rPr>
        <w:t xml:space="preserve"> </w:t>
      </w:r>
      <w:r w:rsidRPr="003E275F">
        <w:rPr>
          <w:lang w:val="en-US"/>
        </w:rPr>
        <w:t xml:space="preserve">UNDP’s justification </w:t>
      </w:r>
      <w:r>
        <w:rPr>
          <w:lang w:val="en-US"/>
        </w:rPr>
        <w:t xml:space="preserve">when </w:t>
      </w:r>
      <w:r w:rsidRPr="003E275F">
        <w:rPr>
          <w:lang w:val="en-US"/>
        </w:rPr>
        <w:t>consider</w:t>
      </w:r>
      <w:r>
        <w:rPr>
          <w:lang w:val="en-US"/>
        </w:rPr>
        <w:t>ing</w:t>
      </w:r>
      <w:r w:rsidRPr="003E275F">
        <w:rPr>
          <w:lang w:val="en-US"/>
        </w:rPr>
        <w:t xml:space="preserve"> approv</w:t>
      </w:r>
      <w:r>
        <w:rPr>
          <w:lang w:val="en-US"/>
        </w:rPr>
        <w:t>al</w:t>
      </w:r>
      <w:r w:rsidRPr="003E275F">
        <w:rPr>
          <w:lang w:val="en-US"/>
        </w:rPr>
        <w:t xml:space="preserve"> </w:t>
      </w:r>
      <w:r>
        <w:rPr>
          <w:lang w:val="en-US"/>
        </w:rPr>
        <w:t xml:space="preserve">of </w:t>
      </w:r>
      <w:r w:rsidRPr="003E275F">
        <w:rPr>
          <w:lang w:val="en-US"/>
        </w:rPr>
        <w:t>this extension.</w:t>
      </w:r>
    </w:p>
    <w:p w14:paraId="07FC2C5C" w14:textId="77777777" w:rsidR="00C42624" w:rsidRPr="00356512" w:rsidRDefault="00C42624" w:rsidP="00C42624">
      <w:pPr>
        <w:pStyle w:val="Heading1"/>
        <w:numPr>
          <w:ilvl w:val="0"/>
          <w:numId w:val="0"/>
        </w:numPr>
        <w:rPr>
          <w:b/>
          <w:bCs/>
          <w:lang w:val="en-US"/>
        </w:rPr>
      </w:pPr>
      <w:r w:rsidRPr="00356512">
        <w:rPr>
          <w:b/>
          <w:bCs/>
          <w:lang w:val="en-US"/>
        </w:rPr>
        <w:t>Recommendation</w:t>
      </w:r>
    </w:p>
    <w:p w14:paraId="703E8AA7" w14:textId="77777777" w:rsidR="00C42624" w:rsidRDefault="00C42624" w:rsidP="00C42624">
      <w:pPr>
        <w:pStyle w:val="Heading1"/>
        <w:numPr>
          <w:ilvl w:val="0"/>
          <w:numId w:val="24"/>
        </w:numPr>
        <w:rPr>
          <w:lang w:val="en-US"/>
        </w:rPr>
      </w:pPr>
      <w:r w:rsidRPr="00224F10">
        <w:rPr>
          <w:lang w:val="en-US"/>
        </w:rPr>
        <w:t>The Executive Committee may wish</w:t>
      </w:r>
      <w:r>
        <w:rPr>
          <w:lang w:val="en-US"/>
        </w:rPr>
        <w:t>:</w:t>
      </w:r>
    </w:p>
    <w:p w14:paraId="2A5A2294" w14:textId="77777777" w:rsidR="00C42624" w:rsidRPr="00CA20EA" w:rsidRDefault="00C42624" w:rsidP="00C42624">
      <w:pPr>
        <w:pStyle w:val="Heading2"/>
        <w:numPr>
          <w:ilvl w:val="1"/>
          <w:numId w:val="24"/>
        </w:numPr>
        <w:rPr>
          <w:lang w:val="en-US"/>
        </w:rPr>
      </w:pPr>
      <w:r w:rsidRPr="00CA20EA">
        <w:rPr>
          <w:lang w:val="en-US"/>
        </w:rPr>
        <w:t>To note the progress report on the implementation of the work programmes associated with the fifth and final tranche of stage II of the HCFC phase-out management plan (HPMP) for the Islamic Republic of Iran, submitted by UNDP in line with decision 94/36; and</w:t>
      </w:r>
    </w:p>
    <w:p w14:paraId="5EED4F9F" w14:textId="77777777" w:rsidR="00C42624" w:rsidRPr="00CA20EA" w:rsidRDefault="00C42624" w:rsidP="00C42624">
      <w:pPr>
        <w:pStyle w:val="Heading2"/>
        <w:numPr>
          <w:ilvl w:val="1"/>
          <w:numId w:val="24"/>
        </w:numPr>
        <w:rPr>
          <w:lang w:val="en-US"/>
        </w:rPr>
      </w:pPr>
      <w:r w:rsidRPr="00CA20EA">
        <w:rPr>
          <w:lang w:val="en-US"/>
        </w:rPr>
        <w:t xml:space="preserve">To consider approving, on an exceptional basis, </w:t>
      </w:r>
      <w:r>
        <w:rPr>
          <w:lang w:val="en-US"/>
        </w:rPr>
        <w:t>extending</w:t>
      </w:r>
      <w:r w:rsidRPr="00CA20EA">
        <w:rPr>
          <w:lang w:val="en-US"/>
        </w:rPr>
        <w:t xml:space="preserve"> the duration of stage II of the HPMP for the Islamic Republic of Iran to 31 December 2026, on the understanding that no further extension will be requested.</w:t>
      </w:r>
    </w:p>
    <w:p w14:paraId="4888429F" w14:textId="06226FC3" w:rsidR="00B072D3" w:rsidRDefault="002849E0" w:rsidP="00C90672">
      <w:pPr>
        <w:pStyle w:val="StyleHeader4Para4Left0Firstline0"/>
        <w:numPr>
          <w:ilvl w:val="0"/>
          <w:numId w:val="0"/>
        </w:numPr>
        <w:tabs>
          <w:tab w:val="clear" w:pos="2880"/>
          <w:tab w:val="clear" w:pos="5760"/>
          <w:tab w:val="left" w:pos="0"/>
        </w:tabs>
        <w:ind w:left="720"/>
        <w:rPr>
          <w:b/>
          <w:sz w:val="22"/>
        </w:rPr>
      </w:pPr>
      <w:r w:rsidRPr="002849E0">
        <w:rPr>
          <w:b/>
          <w:sz w:val="22"/>
          <w:u w:val="single"/>
        </w:rPr>
        <w:t>Qatar: HCFC phase-out management plan (stage II – progress report on the implementation of the commitments listed in decision 88/54(e)(</w:t>
      </w:r>
      <w:proofErr w:type="spellStart"/>
      <w:r w:rsidRPr="002849E0">
        <w:rPr>
          <w:b/>
          <w:sz w:val="22"/>
          <w:u w:val="single"/>
        </w:rPr>
        <w:t>i</w:t>
      </w:r>
      <w:proofErr w:type="spellEnd"/>
      <w:r w:rsidRPr="002849E0">
        <w:rPr>
          <w:b/>
          <w:sz w:val="22"/>
          <w:u w:val="single"/>
        </w:rPr>
        <w:t>), (ii), and (iii) (decision</w:t>
      </w:r>
      <w:r w:rsidR="00E60017">
        <w:rPr>
          <w:b/>
          <w:sz w:val="22"/>
          <w:u w:val="single"/>
        </w:rPr>
        <w:t> </w:t>
      </w:r>
      <w:r w:rsidRPr="002849E0">
        <w:rPr>
          <w:b/>
          <w:sz w:val="22"/>
          <w:u w:val="single"/>
        </w:rPr>
        <w:t>93/36))</w:t>
      </w:r>
      <w:r w:rsidRPr="002849E0">
        <w:rPr>
          <w:b/>
          <w:sz w:val="22"/>
        </w:rPr>
        <w:t xml:space="preserve"> (UNIDO and UNEP)</w:t>
      </w:r>
    </w:p>
    <w:p w14:paraId="11166902" w14:textId="77777777" w:rsidR="00B03CB5" w:rsidRPr="009C1515" w:rsidRDefault="00B03CB5" w:rsidP="00B03CB5">
      <w:pPr>
        <w:spacing w:after="240"/>
        <w:outlineLvl w:val="0"/>
        <w:rPr>
          <w:b/>
          <w:bCs/>
        </w:rPr>
      </w:pPr>
      <w:r w:rsidRPr="009C1515">
        <w:rPr>
          <w:b/>
          <w:bCs/>
        </w:rPr>
        <w:t>Background</w:t>
      </w:r>
    </w:p>
    <w:p w14:paraId="23C71B9D" w14:textId="7C9C0461" w:rsidR="00B03CB5" w:rsidRDefault="00B03CB5" w:rsidP="00B03CB5">
      <w:pPr>
        <w:pStyle w:val="ListParagraph"/>
        <w:numPr>
          <w:ilvl w:val="0"/>
          <w:numId w:val="24"/>
        </w:numPr>
        <w:spacing w:after="240"/>
        <w:outlineLvl w:val="0"/>
      </w:pPr>
      <w:r>
        <w:t>At its 88</w:t>
      </w:r>
      <w:r w:rsidRPr="00B03CB5">
        <w:rPr>
          <w:vertAlign w:val="superscript"/>
        </w:rPr>
        <w:t>th</w:t>
      </w:r>
      <w:r>
        <w:t xml:space="preserve"> meeting, the Executive Committee decided inter alia to approve s</w:t>
      </w:r>
      <w:r w:rsidRPr="00AA7EA6">
        <w:t>tage II of the HCFC phase-out management plan (HPMP) for Qatar for the period 2021–2026 to reduce HCFC consumption by 67.5</w:t>
      </w:r>
      <w:r>
        <w:t> </w:t>
      </w:r>
      <w:r w:rsidRPr="00AA7EA6">
        <w:t>per</w:t>
      </w:r>
      <w:r>
        <w:t> </w:t>
      </w:r>
      <w:r w:rsidRPr="00AA7EA6">
        <w:t>cent of the country’s baseline</w:t>
      </w:r>
      <w:r>
        <w:t>;</w:t>
      </w:r>
      <w:r w:rsidRPr="00AA7EA6">
        <w:t xml:space="preserve"> </w:t>
      </w:r>
      <w:r>
        <w:t xml:space="preserve">to note </w:t>
      </w:r>
      <w:r w:rsidRPr="00F32317">
        <w:t>the commitment by the Government to implement</w:t>
      </w:r>
      <w:r>
        <w:t>,</w:t>
      </w:r>
      <w:r w:rsidRPr="00F32317">
        <w:t xml:space="preserve"> by 1</w:t>
      </w:r>
      <w:r>
        <w:t> </w:t>
      </w:r>
      <w:r w:rsidRPr="00F32317">
        <w:t>January</w:t>
      </w:r>
      <w:r>
        <w:t> </w:t>
      </w:r>
      <w:r w:rsidRPr="00F32317">
        <w:t>2023</w:t>
      </w:r>
      <w:r>
        <w:t xml:space="preserve">, </w:t>
      </w:r>
      <w:r w:rsidRPr="00FF28BF">
        <w:t>(</w:t>
      </w:r>
      <w:proofErr w:type="spellStart"/>
      <w:r w:rsidRPr="00FF28BF">
        <w:t>i</w:t>
      </w:r>
      <w:proofErr w:type="spellEnd"/>
      <w:r w:rsidRPr="00FF28BF">
        <w:t>)</w:t>
      </w:r>
      <w:r>
        <w:t xml:space="preserve"> a </w:t>
      </w:r>
      <w:r w:rsidRPr="00F32317">
        <w:t>ban on disposable refrigerant cylinders</w:t>
      </w:r>
      <w:r>
        <w:t xml:space="preserve">, </w:t>
      </w:r>
      <w:r w:rsidRPr="00FF28BF">
        <w:t>(</w:t>
      </w:r>
      <w:r>
        <w:t>i</w:t>
      </w:r>
      <w:r w:rsidRPr="00FF28BF">
        <w:t>i)</w:t>
      </w:r>
      <w:r>
        <w:t xml:space="preserve"> a</w:t>
      </w:r>
      <w:r w:rsidRPr="00F32317">
        <w:t xml:space="preserve"> mandatory certification scheme for refrigeration and air-conditioning </w:t>
      </w:r>
      <w:r>
        <w:t xml:space="preserve">(RAC) </w:t>
      </w:r>
      <w:r w:rsidRPr="00F32317">
        <w:t>technicians</w:t>
      </w:r>
      <w:r>
        <w:t xml:space="preserve">, </w:t>
      </w:r>
      <w:r w:rsidRPr="00FF28BF">
        <w:t>(</w:t>
      </w:r>
      <w:r>
        <w:t>ii</w:t>
      </w:r>
      <w:r w:rsidRPr="00FF28BF">
        <w:t>i)</w:t>
      </w:r>
      <w:r>
        <w:t xml:space="preserve"> m</w:t>
      </w:r>
      <w:r w:rsidRPr="00F32317">
        <w:t xml:space="preserve">andatory good servicing practices for </w:t>
      </w:r>
      <w:r>
        <w:t>RAC</w:t>
      </w:r>
      <w:r w:rsidRPr="00F32317">
        <w:t xml:space="preserve"> technicians, including record-keeping practices (e.g. HCFC log books and HCFC equipment log books for systems above a certain charge) and pre-determined schedules for leakage checks by certified personnel for systems with charges above a certain limit</w:t>
      </w:r>
      <w:r>
        <w:t xml:space="preserve">, and </w:t>
      </w:r>
      <w:r w:rsidRPr="00FF28BF">
        <w:t>(i</w:t>
      </w:r>
      <w:r>
        <w:t>v</w:t>
      </w:r>
      <w:r w:rsidRPr="00FF28BF">
        <w:t>)</w:t>
      </w:r>
      <w:r>
        <w:t xml:space="preserve"> a</w:t>
      </w:r>
      <w:r w:rsidRPr="00F32317">
        <w:t>n e-licensing system</w:t>
      </w:r>
      <w:r>
        <w:t>; and to allow</w:t>
      </w:r>
      <w:r w:rsidRPr="00F32317">
        <w:t xml:space="preserve"> the submission of the second tranche of stage II of the HPMP once the </w:t>
      </w:r>
      <w:r>
        <w:t xml:space="preserve">aforementioned </w:t>
      </w:r>
      <w:r w:rsidRPr="00F32317">
        <w:t>commitments had been implemented</w:t>
      </w:r>
      <w:r>
        <w:t xml:space="preserve"> (decision 88/54).</w:t>
      </w:r>
    </w:p>
    <w:p w14:paraId="287B1E1E" w14:textId="77777777" w:rsidR="00B03CB5" w:rsidRDefault="00B03CB5" w:rsidP="00B03CB5">
      <w:pPr>
        <w:numPr>
          <w:ilvl w:val="0"/>
          <w:numId w:val="24"/>
        </w:numPr>
        <w:spacing w:after="240"/>
        <w:outlineLvl w:val="0"/>
      </w:pPr>
      <w:r>
        <w:t xml:space="preserve">The </w:t>
      </w:r>
      <w:r w:rsidRPr="003F6915">
        <w:t>second tranche of stage II was submitted to the 93</w:t>
      </w:r>
      <w:r w:rsidRPr="003F6915">
        <w:rPr>
          <w:vertAlign w:val="superscript"/>
        </w:rPr>
        <w:t>rd</w:t>
      </w:r>
      <w:r w:rsidRPr="003F6915">
        <w:t xml:space="preserve"> meeting, at which UNEP reported that a new ministerial decision had been drafted to ban the use of disposable refrigerant cylinders, which was </w:t>
      </w:r>
      <w:r w:rsidRPr="003F6915">
        <w:lastRenderedPageBreak/>
        <w:t xml:space="preserve">expected to enter into force by June 2024; and that a ministerial decision </w:t>
      </w:r>
      <w:r>
        <w:t>had been</w:t>
      </w:r>
      <w:r w:rsidRPr="003F6915">
        <w:t xml:space="preserve"> drafted in accordance with the updated Gulf Cooperation Council (GCC) ODS unified regulations, expected to be finalized by June 2024, that will enact a mandatory and enforceable certification scheme and mandatory good servicing practices, such as recovery of refrigerants during servicing of RAC equipment and those listed in decision 88/54(e)(iii).</w:t>
      </w:r>
      <w:r w:rsidRPr="00F32317">
        <w:t xml:space="preserve"> </w:t>
      </w:r>
      <w:r w:rsidRPr="00B913B9">
        <w:t xml:space="preserve">An e-licensing system </w:t>
      </w:r>
      <w:r>
        <w:t>had been</w:t>
      </w:r>
      <w:r w:rsidRPr="00B913B9">
        <w:t xml:space="preserve"> developed to include HCFCs and HFCs</w:t>
      </w:r>
      <w:r>
        <w:t xml:space="preserve"> </w:t>
      </w:r>
      <w:r w:rsidRPr="00B913B9">
        <w:t xml:space="preserve">and </w:t>
      </w:r>
      <w:r>
        <w:t>wa</w:t>
      </w:r>
      <w:r w:rsidRPr="00B913B9">
        <w:t xml:space="preserve">s operational, with updates ongoing. </w:t>
      </w:r>
      <w:r w:rsidRPr="00F32317">
        <w:t>Regarding the specific conditions included in the draft ministerial decision related to mandatory good servicing practices for RAC technicians, such as to which equipment the record-keeping practices and leakage checks would apply, UNEP had clarified that the draft decision was still being finalized</w:t>
      </w:r>
      <w:r>
        <w:t>,</w:t>
      </w:r>
      <w:r w:rsidRPr="00F32317">
        <w:t xml:space="preserve"> </w:t>
      </w:r>
      <w:r>
        <w:t>and</w:t>
      </w:r>
      <w:r w:rsidRPr="00F32317">
        <w:t xml:space="preserve"> indicated it would include detailed information on the ministerial decision when reporting to the Secretariat that the conditions in decision</w:t>
      </w:r>
      <w:r>
        <w:t> </w:t>
      </w:r>
      <w:r w:rsidRPr="00F32317">
        <w:t>88/54(</w:t>
      </w:r>
      <w:r>
        <w:t>e</w:t>
      </w:r>
      <w:r w:rsidRPr="00F32317">
        <w:t>) had been met</w:t>
      </w:r>
      <w:r>
        <w:t>. Accordingly, the second tranche was approved on the understanding that inter alia UNEP’s approved funds of US $144,500, plus agency support costs of US $18,785, would only be transferred by the Treasurer to UNEP after the Secretariat had confirmed that the country had implemented the commitments listed in decision 88/54(e)(</w:t>
      </w:r>
      <w:proofErr w:type="spellStart"/>
      <w:r>
        <w:t>i</w:t>
      </w:r>
      <w:proofErr w:type="spellEnd"/>
      <w:r>
        <w:t>), (ii), and (iii) (decision 93/36).</w:t>
      </w:r>
      <w:r>
        <w:rPr>
          <w:rStyle w:val="FootnoteReference"/>
        </w:rPr>
        <w:footnoteReference w:id="4"/>
      </w:r>
    </w:p>
    <w:p w14:paraId="163F34B3" w14:textId="77777777" w:rsidR="00B03CB5" w:rsidRDefault="00B03CB5" w:rsidP="00B03CB5">
      <w:pPr>
        <w:numPr>
          <w:ilvl w:val="0"/>
          <w:numId w:val="24"/>
        </w:numPr>
        <w:spacing w:after="240"/>
        <w:outlineLvl w:val="0"/>
      </w:pPr>
      <w:r>
        <w:t>In line with decision 93/36, UNEP submitted a</w:t>
      </w:r>
      <w:r w:rsidRPr="003D6459">
        <w:t xml:space="preserve"> progress report</w:t>
      </w:r>
      <w:r>
        <w:t xml:space="preserve"> to the present meeting</w:t>
      </w:r>
      <w:r w:rsidRPr="003D6459">
        <w:t xml:space="preserve"> </w:t>
      </w:r>
      <w:r>
        <w:t xml:space="preserve">on the implementation of the commitments </w:t>
      </w:r>
      <w:r w:rsidRPr="006C25C8">
        <w:t>listed in decision 88/54(e)(</w:t>
      </w:r>
      <w:proofErr w:type="spellStart"/>
      <w:r w:rsidRPr="006C25C8">
        <w:t>i</w:t>
      </w:r>
      <w:proofErr w:type="spellEnd"/>
      <w:r w:rsidRPr="006C25C8">
        <w:t>), (ii), and (iii)</w:t>
      </w:r>
      <w:r>
        <w:t>. UNIDO, as lead agency, also</w:t>
      </w:r>
      <w:r w:rsidRPr="00C12318">
        <w:t xml:space="preserve"> </w:t>
      </w:r>
      <w:r>
        <w:t>submitted a proposal for the third tranche of stage II of the HPMP to the present meeting.</w:t>
      </w:r>
    </w:p>
    <w:p w14:paraId="11D57BAA" w14:textId="77777777" w:rsidR="00B03CB5" w:rsidRPr="009C1515" w:rsidRDefault="00B03CB5" w:rsidP="00B03CB5">
      <w:pPr>
        <w:keepNext/>
        <w:spacing w:after="240"/>
        <w:outlineLvl w:val="0"/>
        <w:rPr>
          <w:b/>
          <w:bCs/>
        </w:rPr>
      </w:pPr>
      <w:r w:rsidRPr="009C1515">
        <w:rPr>
          <w:b/>
          <w:bCs/>
        </w:rPr>
        <w:t>Progress report</w:t>
      </w:r>
    </w:p>
    <w:p w14:paraId="45F5EAEB" w14:textId="77777777" w:rsidR="00B03CB5" w:rsidRDefault="00B03CB5" w:rsidP="00B03CB5">
      <w:pPr>
        <w:numPr>
          <w:ilvl w:val="0"/>
          <w:numId w:val="24"/>
        </w:numPr>
        <w:spacing w:after="240"/>
        <w:outlineLvl w:val="0"/>
      </w:pPr>
      <w:r>
        <w:t>The ban on disposable refrigerant cylinders, i</w:t>
      </w:r>
      <w:r w:rsidRPr="00CE6F9D">
        <w:t xml:space="preserve">mplementation of the </w:t>
      </w:r>
      <w:r>
        <w:t xml:space="preserve">mandatory </w:t>
      </w:r>
      <w:r w:rsidRPr="00CE6F9D">
        <w:t>certification scheme</w:t>
      </w:r>
      <w:r>
        <w:t>,</w:t>
      </w:r>
      <w:r w:rsidRPr="00CE6F9D">
        <w:t xml:space="preserve"> </w:t>
      </w:r>
      <w:r>
        <w:t>and i</w:t>
      </w:r>
      <w:r w:rsidRPr="00CE6F9D">
        <w:t xml:space="preserve">mplementation of the </w:t>
      </w:r>
      <w:r>
        <w:t xml:space="preserve">mandatory </w:t>
      </w:r>
      <w:r w:rsidRPr="00CE6F9D">
        <w:t>good servicing practices for RAC technicians</w:t>
      </w:r>
      <w:r>
        <w:t xml:space="preserve"> are still being finalized. </w:t>
      </w:r>
      <w:r w:rsidRPr="00A345E2">
        <w:t>Once consultations between the Ministry of Environment and Climate Change (MECC) and relevant</w:t>
      </w:r>
      <w:r>
        <w:t xml:space="preserve"> stakeholders on the draft ministerial decisions are completed, they will be </w:t>
      </w:r>
      <w:r w:rsidRPr="00D944AF">
        <w:t>review</w:t>
      </w:r>
      <w:r>
        <w:t>ed</w:t>
      </w:r>
      <w:r w:rsidRPr="00D944AF">
        <w:t xml:space="preserve"> by </w:t>
      </w:r>
      <w:r>
        <w:t>the Government’s</w:t>
      </w:r>
      <w:r w:rsidRPr="00D944AF">
        <w:t xml:space="preserve"> legal and administrative departments</w:t>
      </w:r>
      <w:r>
        <w:t xml:space="preserve">, after which MECC will approve them. Once each decision is approved, it </w:t>
      </w:r>
      <w:r w:rsidRPr="00D944AF">
        <w:t>will be communicated through the General Secretariat of the Cabinet to all concerned ministries for their final comments. The decision will then be finalized based on the comments received and the final adoption of the decision</w:t>
      </w:r>
      <w:r>
        <w:t xml:space="preserve"> will take place</w:t>
      </w:r>
      <w:r w:rsidRPr="00D944AF">
        <w:t>.</w:t>
      </w:r>
      <w:r>
        <w:t xml:space="preserve"> All</w:t>
      </w:r>
      <w:r w:rsidRPr="00F32317">
        <w:t xml:space="preserve"> conditions in decision</w:t>
      </w:r>
      <w:r>
        <w:t> </w:t>
      </w:r>
      <w:r w:rsidRPr="00F32317">
        <w:t>88/54(</w:t>
      </w:r>
      <w:r>
        <w:t>e</w:t>
      </w:r>
      <w:r w:rsidRPr="00F32317">
        <w:t xml:space="preserve">) </w:t>
      </w:r>
      <w:r>
        <w:t>are expected to be met by the end of 2026.</w:t>
      </w:r>
      <w:r>
        <w:rPr>
          <w:rStyle w:val="FootnoteReference"/>
        </w:rPr>
        <w:footnoteReference w:id="5"/>
      </w:r>
    </w:p>
    <w:p w14:paraId="06422220" w14:textId="77777777" w:rsidR="00B03CB5" w:rsidRPr="00265582" w:rsidRDefault="00B03CB5" w:rsidP="00B03CB5">
      <w:pPr>
        <w:tabs>
          <w:tab w:val="num" w:pos="0"/>
        </w:tabs>
        <w:spacing w:after="240"/>
        <w:outlineLvl w:val="0"/>
        <w:rPr>
          <w:u w:val="single"/>
        </w:rPr>
      </w:pPr>
      <w:r>
        <w:rPr>
          <w:u w:val="single"/>
        </w:rPr>
        <w:t>B</w:t>
      </w:r>
      <w:r w:rsidRPr="00F32317">
        <w:rPr>
          <w:u w:val="single"/>
        </w:rPr>
        <w:t>an on disposable refrigerant cylinders</w:t>
      </w:r>
    </w:p>
    <w:p w14:paraId="3223D68E" w14:textId="77777777" w:rsidR="00B03CB5" w:rsidRDefault="00B03CB5" w:rsidP="00B03CB5">
      <w:pPr>
        <w:numPr>
          <w:ilvl w:val="0"/>
          <w:numId w:val="24"/>
        </w:numPr>
        <w:spacing w:after="240"/>
        <w:outlineLvl w:val="0"/>
      </w:pPr>
      <w:r>
        <w:t xml:space="preserve">In preparation for the ban, several consultation meetings were held with stakeholders to inform them of the proposed ban and discuss its implementation. A survey was also conducted to assess the readiness of enterprises to implement the ban. The approval process for the ban on disposable cylinders is expected to be completed by the end of 2025, with gradual implementation starting with a ban on the import of new disposable cylinders and followed by a ban on disposable cylinders </w:t>
      </w:r>
      <w:proofErr w:type="gramStart"/>
      <w:r>
        <w:t>entering into</w:t>
      </w:r>
      <w:proofErr w:type="gramEnd"/>
      <w:r>
        <w:t xml:space="preserve"> the market.</w:t>
      </w:r>
    </w:p>
    <w:p w14:paraId="23EAD084" w14:textId="77777777" w:rsidR="00B03CB5" w:rsidRPr="00265582" w:rsidRDefault="00B03CB5" w:rsidP="00B03CB5">
      <w:pPr>
        <w:tabs>
          <w:tab w:val="num" w:pos="0"/>
        </w:tabs>
        <w:spacing w:after="240"/>
        <w:outlineLvl w:val="0"/>
        <w:rPr>
          <w:u w:val="single"/>
        </w:rPr>
      </w:pPr>
      <w:r>
        <w:rPr>
          <w:u w:val="single"/>
        </w:rPr>
        <w:t>M</w:t>
      </w:r>
      <w:r w:rsidRPr="00F32317">
        <w:rPr>
          <w:u w:val="single"/>
        </w:rPr>
        <w:t>andatory certification scheme for refrigeration and air-conditioning</w:t>
      </w:r>
      <w:r w:rsidRPr="00265582">
        <w:rPr>
          <w:u w:val="single"/>
        </w:rPr>
        <w:t xml:space="preserve"> </w:t>
      </w:r>
      <w:r w:rsidRPr="00F32317">
        <w:rPr>
          <w:u w:val="single"/>
        </w:rPr>
        <w:t>technicians</w:t>
      </w:r>
    </w:p>
    <w:p w14:paraId="024E2402" w14:textId="77777777" w:rsidR="00B03CB5" w:rsidRDefault="00B03CB5" w:rsidP="00B03CB5">
      <w:pPr>
        <w:numPr>
          <w:ilvl w:val="0"/>
          <w:numId w:val="24"/>
        </w:numPr>
        <w:spacing w:after="240"/>
        <w:outlineLvl w:val="0"/>
      </w:pPr>
      <w:r>
        <w:t xml:space="preserve">The </w:t>
      </w:r>
      <w:r w:rsidRPr="00CE6F9D">
        <w:t xml:space="preserve">NOU </w:t>
      </w:r>
      <w:r>
        <w:t>has</w:t>
      </w:r>
      <w:r w:rsidRPr="00CE6F9D">
        <w:t xml:space="preserve"> gathered data on the number of RAC maintenance workshops and </w:t>
      </w:r>
      <w:r>
        <w:t xml:space="preserve">met </w:t>
      </w:r>
      <w:r w:rsidRPr="00CE6F9D">
        <w:t>with the training cen</w:t>
      </w:r>
      <w:r w:rsidRPr="00161930">
        <w:t>tres</w:t>
      </w:r>
      <w:r w:rsidRPr="00CE6F9D">
        <w:t xml:space="preserve"> to coordinate the training and certification procedures for RAC technicians</w:t>
      </w:r>
      <w:r>
        <w:t xml:space="preserve"> and</w:t>
      </w:r>
      <w:r w:rsidRPr="00CE6F9D">
        <w:t xml:space="preserve"> define stakeholder roles.</w:t>
      </w:r>
      <w:r>
        <w:t xml:space="preserve"> While the infrastructure needed for training and certifying RAC technicians is in place, and RAC training and certification are required by the GCC Unified ODS regulations, discussions on implementation are still taking place between MECC and the Ministry of Labor, responsible for granting the work permits, due to concerns about maintaining service in the RAC sector; ways are being explored to move forward such as using the Refrigerant Driving License (RDL) system </w:t>
      </w:r>
      <w:r w:rsidRPr="00F656A0">
        <w:t xml:space="preserve">developed by the </w:t>
      </w:r>
      <w:r w:rsidRPr="00F656A0">
        <w:lastRenderedPageBreak/>
        <w:t>Air</w:t>
      </w:r>
      <w:r>
        <w:noBreakHyphen/>
      </w:r>
      <w:r w:rsidRPr="00F656A0">
        <w:t xml:space="preserve">Conditioning, Heating, and Refrigeration Institute (AHRI) and UNEP </w:t>
      </w:r>
      <w:proofErr w:type="spellStart"/>
      <w:r w:rsidRPr="00F656A0">
        <w:t>OzonAction</w:t>
      </w:r>
      <w:proofErr w:type="spellEnd"/>
      <w:r w:rsidRPr="00F656A0">
        <w:t xml:space="preserve"> Programme</w:t>
      </w:r>
      <w:r>
        <w:t>.</w:t>
      </w:r>
      <w:r>
        <w:rPr>
          <w:rStyle w:val="FootnoteReference"/>
        </w:rPr>
        <w:footnoteReference w:id="6"/>
      </w:r>
      <w:r>
        <w:t xml:space="preserve"> MECC</w:t>
      </w:r>
      <w:r w:rsidRPr="00C70630">
        <w:t xml:space="preserve"> anticipates the </w:t>
      </w:r>
      <w:r>
        <w:t>certification system</w:t>
      </w:r>
      <w:r w:rsidRPr="00C70630">
        <w:t xml:space="preserve"> will be operational by the end of 2026.</w:t>
      </w:r>
    </w:p>
    <w:p w14:paraId="0AC82238" w14:textId="77777777" w:rsidR="00B03CB5" w:rsidRPr="00265582" w:rsidRDefault="00B03CB5" w:rsidP="00B03CB5">
      <w:pPr>
        <w:tabs>
          <w:tab w:val="num" w:pos="0"/>
        </w:tabs>
        <w:spacing w:after="240"/>
        <w:outlineLvl w:val="0"/>
        <w:rPr>
          <w:u w:val="single"/>
        </w:rPr>
      </w:pPr>
      <w:r>
        <w:rPr>
          <w:u w:val="single"/>
        </w:rPr>
        <w:t>M</w:t>
      </w:r>
      <w:r w:rsidRPr="00F32317">
        <w:rPr>
          <w:u w:val="single"/>
        </w:rPr>
        <w:t>andatory good servicing practices for refrigeration and air-conditioning</w:t>
      </w:r>
      <w:r w:rsidRPr="00265582">
        <w:rPr>
          <w:u w:val="single"/>
        </w:rPr>
        <w:t xml:space="preserve"> </w:t>
      </w:r>
      <w:r w:rsidRPr="00F32317">
        <w:rPr>
          <w:u w:val="single"/>
        </w:rPr>
        <w:t>technicians</w:t>
      </w:r>
    </w:p>
    <w:p w14:paraId="3AD56862" w14:textId="77777777" w:rsidR="00B03CB5" w:rsidRDefault="00B03CB5" w:rsidP="00B03CB5">
      <w:pPr>
        <w:numPr>
          <w:ilvl w:val="0"/>
          <w:numId w:val="24"/>
        </w:numPr>
        <w:spacing w:after="240"/>
        <w:outlineLvl w:val="0"/>
      </w:pPr>
      <w:r>
        <w:t>MECC</w:t>
      </w:r>
      <w:r w:rsidRPr="00C70630">
        <w:t xml:space="preserve"> </w:t>
      </w:r>
      <w:r>
        <w:t xml:space="preserve">also </w:t>
      </w:r>
      <w:r w:rsidRPr="00C70630">
        <w:t>anticipates th</w:t>
      </w:r>
      <w:r>
        <w:t xml:space="preserve">at the decision on mandatory good servicing practices </w:t>
      </w:r>
      <w:r w:rsidRPr="006337CD">
        <w:t xml:space="preserve">for </w:t>
      </w:r>
      <w:r>
        <w:t>RAC</w:t>
      </w:r>
      <w:r w:rsidRPr="006337CD">
        <w:t xml:space="preserve"> technicians</w:t>
      </w:r>
      <w:r>
        <w:t xml:space="preserve"> will be adopted and </w:t>
      </w:r>
      <w:r w:rsidRPr="00C70630">
        <w:t>operational by the end of 2026.</w:t>
      </w:r>
      <w:r>
        <w:t xml:space="preserve"> Despite the delay, the country</w:t>
      </w:r>
      <w:r w:rsidRPr="004975B9">
        <w:t xml:space="preserve"> </w:t>
      </w:r>
      <w:r>
        <w:t>has already</w:t>
      </w:r>
      <w:r w:rsidRPr="004975B9">
        <w:t xml:space="preserve"> implemented several of the required </w:t>
      </w:r>
      <w:r>
        <w:t xml:space="preserve">servicing </w:t>
      </w:r>
      <w:r w:rsidRPr="004975B9">
        <w:t xml:space="preserve">practices as part of its implementation of the GCC unified ODS regulations. </w:t>
      </w:r>
      <w:r>
        <w:t xml:space="preserve">The draft decision covers HCFCs, with HFCs to be addressed in the implementation of the country’s future Kigali HFC implementation plan, and </w:t>
      </w:r>
      <w:r w:rsidRPr="00F82AB0">
        <w:t>specific details such as refrigerant charge limits and other applications are still under discussion with technical stakeholders and industry partners</w:t>
      </w:r>
      <w:r>
        <w:t xml:space="preserve">. </w:t>
      </w:r>
    </w:p>
    <w:p w14:paraId="28123E40" w14:textId="77777777" w:rsidR="00B03CB5" w:rsidRPr="009C1515" w:rsidRDefault="00B03CB5" w:rsidP="00B03CB5">
      <w:pPr>
        <w:spacing w:after="240"/>
        <w:outlineLvl w:val="0"/>
        <w:rPr>
          <w:b/>
          <w:bCs/>
        </w:rPr>
      </w:pPr>
      <w:r w:rsidRPr="00DF7B23">
        <w:rPr>
          <w:b/>
          <w:bCs/>
        </w:rPr>
        <w:t>Secretariat’s comments</w:t>
      </w:r>
    </w:p>
    <w:p w14:paraId="5EEAF2D1" w14:textId="77777777" w:rsidR="00B03CB5" w:rsidRDefault="00B03CB5" w:rsidP="00B03CB5">
      <w:pPr>
        <w:numPr>
          <w:ilvl w:val="0"/>
          <w:numId w:val="24"/>
        </w:numPr>
        <w:spacing w:after="240"/>
        <w:outlineLvl w:val="0"/>
      </w:pPr>
      <w:r>
        <w:t>The Secretariat noted with appreciation the information provided and that, while there has been some progress in assisting the country to meet the conditions specified in decision 88/54(e)(</w:t>
      </w:r>
      <w:proofErr w:type="spellStart"/>
      <w:r>
        <w:t>i</w:t>
      </w:r>
      <w:proofErr w:type="spellEnd"/>
      <w:r>
        <w:t>), (ii), and (iii), those conditions have not yet been met. UNEP expects the country would be able to implement all the commitments specified in decision 88/54(e)(</w:t>
      </w:r>
      <w:proofErr w:type="spellStart"/>
      <w:r>
        <w:t>i</w:t>
      </w:r>
      <w:proofErr w:type="spellEnd"/>
      <w:r>
        <w:t>), (ii), and (iii) by the end of 2026, which would mean the outstanding funding for UNEP of US $144,500 plus agency support costs could only be released then.</w:t>
      </w:r>
    </w:p>
    <w:p w14:paraId="76722665" w14:textId="77777777" w:rsidR="00B03CB5" w:rsidRPr="006D147C" w:rsidRDefault="00B03CB5" w:rsidP="00B03CB5">
      <w:pPr>
        <w:numPr>
          <w:ilvl w:val="0"/>
          <w:numId w:val="24"/>
        </w:numPr>
        <w:spacing w:after="240"/>
        <w:outlineLvl w:val="0"/>
      </w:pPr>
      <w:r>
        <w:t xml:space="preserve">The Secretariat was concerned about this delayed timeframe and considered it important that Qatar continue to receive the assistance </w:t>
      </w:r>
      <w:r w:rsidRPr="006D147C">
        <w:t>it needs to implement stage II of its HPMP</w:t>
      </w:r>
      <w:r>
        <w:t>.</w:t>
      </w:r>
      <w:r w:rsidRPr="006D147C">
        <w:t xml:space="preserve"> </w:t>
      </w:r>
      <w:r>
        <w:t xml:space="preserve">UNEP reported having already disbursed 97 per cent of its approved funding under the first tranche and, therefore, the Secretariat considered it meaningful to explore options that would allow an earlier transfer of funding to UNEP to allow it to continue assisting the country and </w:t>
      </w:r>
      <w:r w:rsidRPr="006D147C">
        <w:t>to accelerate the timeline for the implementation of the commitments reflected in decision 88/54(e)(</w:t>
      </w:r>
      <w:proofErr w:type="spellStart"/>
      <w:r w:rsidRPr="006D147C">
        <w:t>i</w:t>
      </w:r>
      <w:proofErr w:type="spellEnd"/>
      <w:r w:rsidRPr="006D147C">
        <w:t>)</w:t>
      </w:r>
      <w:r>
        <w:t xml:space="preserve">, (ii), and </w:t>
      </w:r>
      <w:r w:rsidRPr="006D147C">
        <w:t>(iii)</w:t>
      </w:r>
      <w:r>
        <w:t xml:space="preserve">. </w:t>
      </w:r>
      <w:r w:rsidRPr="006D147C">
        <w:t xml:space="preserve">Following discussions with UNIDO and UNEP, the following path forward was agreed: </w:t>
      </w:r>
    </w:p>
    <w:p w14:paraId="1437F52B" w14:textId="77777777" w:rsidR="00B03CB5" w:rsidRDefault="00B03CB5" w:rsidP="00B03CB5">
      <w:pPr>
        <w:numPr>
          <w:ilvl w:val="1"/>
          <w:numId w:val="24"/>
        </w:numPr>
        <w:spacing w:after="240"/>
        <w:outlineLvl w:val="1"/>
      </w:pPr>
      <w:r w:rsidRPr="006D147C">
        <w:t>Notwithstanding that the conditions in decision</w:t>
      </w:r>
      <w:r>
        <w:t> </w:t>
      </w:r>
      <w:r w:rsidRPr="006D147C">
        <w:t>88/54(e) have not been met, and on an exceptional basis, the Secretariat</w:t>
      </w:r>
      <w:r>
        <w:t xml:space="preserve"> would</w:t>
      </w:r>
      <w:r w:rsidRPr="006D147C">
        <w:t xml:space="preserve"> direct the Treasurer to transfer to UNEP US $72,250, plus agency support costs</w:t>
      </w:r>
      <w:r w:rsidRPr="00B51659">
        <w:t xml:space="preserve"> </w:t>
      </w:r>
      <w:r>
        <w:t xml:space="preserve">of </w:t>
      </w:r>
      <w:r w:rsidRPr="006D147C">
        <w:t>US $9,393, representing half of the approved funding for UNEP under the second tranche of stage II of the HPMP for Qatar held by the Treasurer in line with decision 93/36;</w:t>
      </w:r>
    </w:p>
    <w:p w14:paraId="41C52B7E" w14:textId="77777777" w:rsidR="00B03CB5" w:rsidRPr="006D6AAA" w:rsidRDefault="00B03CB5" w:rsidP="00B03CB5">
      <w:pPr>
        <w:numPr>
          <w:ilvl w:val="1"/>
          <w:numId w:val="24"/>
        </w:numPr>
        <w:spacing w:after="240"/>
        <w:outlineLvl w:val="1"/>
      </w:pPr>
      <w:r w:rsidRPr="003B264B">
        <w:t xml:space="preserve">UNEP </w:t>
      </w:r>
      <w:r>
        <w:t>would</w:t>
      </w:r>
      <w:r w:rsidRPr="003B264B">
        <w:t xml:space="preserve"> submit to the 98</w:t>
      </w:r>
      <w:r w:rsidRPr="003B264B">
        <w:rPr>
          <w:vertAlign w:val="superscript"/>
        </w:rPr>
        <w:t>th</w:t>
      </w:r>
      <w:r w:rsidRPr="003B264B">
        <w:t xml:space="preserve"> </w:t>
      </w:r>
      <w:r w:rsidRPr="003D16DC">
        <w:t>meeting a</w:t>
      </w:r>
      <w:r w:rsidRPr="003B264B">
        <w:t xml:space="preserve"> detailed report with specific milestones on progress to meet the conditions </w:t>
      </w:r>
      <w:r>
        <w:t xml:space="preserve">specified </w:t>
      </w:r>
      <w:r w:rsidRPr="003B264B">
        <w:t>in decision</w:t>
      </w:r>
      <w:r>
        <w:t> </w:t>
      </w:r>
      <w:r w:rsidRPr="003B264B">
        <w:t>88/54(e)</w:t>
      </w:r>
      <w:r>
        <w:t>(</w:t>
      </w:r>
      <w:proofErr w:type="spellStart"/>
      <w:r>
        <w:t>i</w:t>
      </w:r>
      <w:proofErr w:type="spellEnd"/>
      <w:r>
        <w:t xml:space="preserve">), </w:t>
      </w:r>
      <w:r w:rsidRPr="003B264B">
        <w:t>(ii</w:t>
      </w:r>
      <w:r w:rsidRPr="006D6AAA">
        <w:t xml:space="preserve">), and (iii), unless the conditions had been met, in which case the request for the third tranche of stage II of the HPMP, which would include those details, could be submitted instead; </w:t>
      </w:r>
    </w:p>
    <w:p w14:paraId="44225571" w14:textId="77777777" w:rsidR="00B03CB5" w:rsidRPr="006D6AAA" w:rsidRDefault="00B03CB5" w:rsidP="00B03CB5">
      <w:pPr>
        <w:numPr>
          <w:ilvl w:val="1"/>
          <w:numId w:val="24"/>
        </w:numPr>
        <w:spacing w:after="240"/>
        <w:outlineLvl w:val="1"/>
      </w:pPr>
      <w:r w:rsidRPr="006D6AAA">
        <w:t>The remaining approved funding for UNEP under the second tranche of stage II of the HPMP would only be transferred by the Treasurer to UNEP after the Secretariat had confirmed that the country had implemented the commitments specified in decision 88/54(e)(</w:t>
      </w:r>
      <w:proofErr w:type="spellStart"/>
      <w:r w:rsidRPr="006D6AAA">
        <w:t>i</w:t>
      </w:r>
      <w:proofErr w:type="spellEnd"/>
      <w:r w:rsidRPr="006D6AAA">
        <w:t xml:space="preserve">), (ii), and (iii); </w:t>
      </w:r>
    </w:p>
    <w:p w14:paraId="7434B3A1" w14:textId="77777777" w:rsidR="00B03CB5" w:rsidRPr="006D6AAA" w:rsidRDefault="00B03CB5" w:rsidP="00B03CB5">
      <w:pPr>
        <w:numPr>
          <w:ilvl w:val="1"/>
          <w:numId w:val="24"/>
        </w:numPr>
        <w:spacing w:after="240"/>
        <w:outlineLvl w:val="1"/>
      </w:pPr>
      <w:r w:rsidRPr="006D6AAA">
        <w:t>If the submission of the third tranche of stage II of the HPMP is submitted to the 99</w:t>
      </w:r>
      <w:r w:rsidRPr="006D6AAA">
        <w:rPr>
          <w:vertAlign w:val="superscript"/>
        </w:rPr>
        <w:t>th</w:t>
      </w:r>
      <w:r w:rsidRPr="006D6AAA">
        <w:t> meeting or later, the Secretariat would recommend extending the date of completion of stage II, as appropriate, in line with decision 82/50; and</w:t>
      </w:r>
    </w:p>
    <w:p w14:paraId="24DC10B1" w14:textId="77777777" w:rsidR="00B03CB5" w:rsidRPr="00E9063C" w:rsidRDefault="00B03CB5" w:rsidP="00B03CB5">
      <w:pPr>
        <w:numPr>
          <w:ilvl w:val="1"/>
          <w:numId w:val="24"/>
        </w:numPr>
        <w:spacing w:after="240"/>
        <w:outlineLvl w:val="1"/>
      </w:pPr>
      <w:r>
        <w:t>T</w:t>
      </w:r>
      <w:r w:rsidRPr="00F32317">
        <w:t>he request for stage III of the HPMP would not be submitted until all the conditions in decision 88/54(e) have been implemented</w:t>
      </w:r>
      <w:r>
        <w:t>.</w:t>
      </w:r>
    </w:p>
    <w:p w14:paraId="29790AAD" w14:textId="77777777" w:rsidR="00B03CB5" w:rsidRPr="006C0EF8" w:rsidRDefault="00B03CB5" w:rsidP="00B03CB5">
      <w:pPr>
        <w:pStyle w:val="ListParagraph"/>
        <w:numPr>
          <w:ilvl w:val="0"/>
          <w:numId w:val="24"/>
        </w:numPr>
        <w:spacing w:after="240"/>
        <w:outlineLvl w:val="1"/>
      </w:pPr>
      <w:r>
        <w:lastRenderedPageBreak/>
        <w:t xml:space="preserve">Accordingly, if </w:t>
      </w:r>
      <w:r w:rsidRPr="00F32317">
        <w:t>the detailed report</w:t>
      </w:r>
      <w:r>
        <w:t xml:space="preserve"> submitted</w:t>
      </w:r>
      <w:r w:rsidRPr="00F32317">
        <w:t xml:space="preserve"> to the 98</w:t>
      </w:r>
      <w:r w:rsidRPr="00563325">
        <w:rPr>
          <w:vertAlign w:val="superscript"/>
        </w:rPr>
        <w:t>th</w:t>
      </w:r>
      <w:r w:rsidRPr="00F32317">
        <w:t xml:space="preserve"> meeting </w:t>
      </w:r>
      <w:r>
        <w:t xml:space="preserve">confirmed </w:t>
      </w:r>
      <w:r w:rsidRPr="00F32317">
        <w:t xml:space="preserve">sufficient progress in meeting the </w:t>
      </w:r>
      <w:r>
        <w:t xml:space="preserve">specified </w:t>
      </w:r>
      <w:r w:rsidRPr="00F32317">
        <w:t>milestones,</w:t>
      </w:r>
      <w:r>
        <w:t xml:space="preserve"> </w:t>
      </w:r>
      <w:r w:rsidRPr="00F32317">
        <w:t>the Secretariat could</w:t>
      </w:r>
      <w:r>
        <w:t xml:space="preserve"> then</w:t>
      </w:r>
      <w:r w:rsidRPr="00F32317">
        <w:t xml:space="preserve"> request the Treasurer to transfer the remaining funding from the </w:t>
      </w:r>
      <w:r w:rsidRPr="009A4A31">
        <w:t xml:space="preserve">second tranche to UNEP, which would allow the submission of the </w:t>
      </w:r>
      <w:r>
        <w:t>third</w:t>
      </w:r>
      <w:r w:rsidRPr="009A4A31">
        <w:t xml:space="preserve"> tranche to the 99</w:t>
      </w:r>
      <w:r w:rsidRPr="00563325">
        <w:rPr>
          <w:vertAlign w:val="superscript"/>
        </w:rPr>
        <w:t>th</w:t>
      </w:r>
      <w:r>
        <w:t> </w:t>
      </w:r>
      <w:r w:rsidRPr="009A4A31">
        <w:t xml:space="preserve">meeting. </w:t>
      </w:r>
      <w:r>
        <w:t>However, i</w:t>
      </w:r>
      <w:r w:rsidRPr="009A4A31">
        <w:t xml:space="preserve">f all the conditions </w:t>
      </w:r>
      <w:r>
        <w:t xml:space="preserve">in </w:t>
      </w:r>
      <w:r w:rsidRPr="003B264B">
        <w:t xml:space="preserve">decision 88/54(e) </w:t>
      </w:r>
      <w:r w:rsidRPr="009A4A31">
        <w:t>are met before the 98</w:t>
      </w:r>
      <w:r w:rsidRPr="00563325">
        <w:rPr>
          <w:vertAlign w:val="superscript"/>
        </w:rPr>
        <w:t>th</w:t>
      </w:r>
      <w:r w:rsidRPr="009A4A31">
        <w:t xml:space="preserve"> meeting, UNIDO can submit to that meeting</w:t>
      </w:r>
      <w:r>
        <w:t xml:space="preserve">, </w:t>
      </w:r>
      <w:r w:rsidRPr="009A4A31">
        <w:t xml:space="preserve">on behalf of the </w:t>
      </w:r>
      <w:r>
        <w:t>G</w:t>
      </w:r>
      <w:r w:rsidRPr="009A4A31">
        <w:t>overnment</w:t>
      </w:r>
      <w:r>
        <w:t>,</w:t>
      </w:r>
      <w:r w:rsidRPr="009A4A31">
        <w:t xml:space="preserve"> </w:t>
      </w:r>
      <w:r>
        <w:t>the request for</w:t>
      </w:r>
      <w:r w:rsidRPr="009A4A31">
        <w:t xml:space="preserve"> the </w:t>
      </w:r>
      <w:r>
        <w:t xml:space="preserve">third </w:t>
      </w:r>
      <w:r w:rsidRPr="009A4A31">
        <w:t xml:space="preserve">tranche </w:t>
      </w:r>
      <w:r>
        <w:t xml:space="preserve">that includes </w:t>
      </w:r>
      <w:r w:rsidRPr="003B264B">
        <w:t>detailed information reflecting that the conditions specified in decision</w:t>
      </w:r>
      <w:r>
        <w:t> </w:t>
      </w:r>
      <w:r w:rsidRPr="003B264B">
        <w:t>88/54(e) have been fully met by the time of the submission</w:t>
      </w:r>
      <w:r>
        <w:t>.</w:t>
      </w:r>
    </w:p>
    <w:p w14:paraId="239B676A" w14:textId="77777777" w:rsidR="00B03CB5" w:rsidRDefault="00B03CB5" w:rsidP="00B03CB5">
      <w:pPr>
        <w:numPr>
          <w:ilvl w:val="0"/>
          <w:numId w:val="24"/>
        </w:numPr>
        <w:spacing w:after="240"/>
        <w:outlineLvl w:val="0"/>
      </w:pPr>
      <w:r>
        <w:t xml:space="preserve">Given that the conditions in decision 93/36 had not been met, the Government of Qatar decided to withdraw the request for the third tranche of stage II of the HPMP to the present meeting so that the request could be submitted to a future meeting in line with the agreed path described above. </w:t>
      </w:r>
    </w:p>
    <w:p w14:paraId="1BDB1BCF" w14:textId="77777777" w:rsidR="00B03CB5" w:rsidRDefault="00B03CB5" w:rsidP="00B03CB5">
      <w:pPr>
        <w:numPr>
          <w:ilvl w:val="0"/>
          <w:numId w:val="24"/>
        </w:numPr>
        <w:spacing w:after="240"/>
        <w:outlineLvl w:val="0"/>
      </w:pPr>
      <w:r>
        <w:t>T</w:t>
      </w:r>
      <w:r w:rsidRPr="006C0EF8">
        <w:t>he Secretariat acknowledge</w:t>
      </w:r>
      <w:r>
        <w:t>d</w:t>
      </w:r>
      <w:r w:rsidRPr="006C0EF8">
        <w:t xml:space="preserve"> the efforts </w:t>
      </w:r>
      <w:r>
        <w:t>undertaken by the G</w:t>
      </w:r>
      <w:r w:rsidRPr="006C0EF8">
        <w:t>overnment and the implementing agencies to advance with the project activities, and encourage</w:t>
      </w:r>
      <w:r>
        <w:t>d</w:t>
      </w:r>
      <w:r w:rsidRPr="006C0EF8">
        <w:t xml:space="preserve"> UNEP and UNIDO to </w:t>
      </w:r>
      <w:r>
        <w:t xml:space="preserve">continue </w:t>
      </w:r>
      <w:r w:rsidRPr="006C0EF8">
        <w:t>assist</w:t>
      </w:r>
      <w:r>
        <w:t>ing</w:t>
      </w:r>
      <w:r w:rsidRPr="006C0EF8">
        <w:t xml:space="preserve"> the Government so that all the conditions specified in decision</w:t>
      </w:r>
      <w:r>
        <w:t> </w:t>
      </w:r>
      <w:r w:rsidRPr="006C0EF8">
        <w:t xml:space="preserve">88/54(e) </w:t>
      </w:r>
      <w:r>
        <w:t>will be</w:t>
      </w:r>
      <w:r w:rsidRPr="006C0EF8">
        <w:t xml:space="preserve"> met as soon as possible, </w:t>
      </w:r>
      <w:r>
        <w:t xml:space="preserve">allowing </w:t>
      </w:r>
      <w:r w:rsidRPr="006C0EF8">
        <w:t xml:space="preserve">the Secretariat </w:t>
      </w:r>
      <w:r>
        <w:t>to</w:t>
      </w:r>
      <w:r w:rsidRPr="006C0EF8">
        <w:t xml:space="preserve"> request the Treasurer to transfer all the withheld funding to UNEP and the </w:t>
      </w:r>
      <w:r>
        <w:t xml:space="preserve">submission of the </w:t>
      </w:r>
      <w:r w:rsidRPr="006C0EF8">
        <w:t>third tranche request as soon as possible.</w:t>
      </w:r>
    </w:p>
    <w:p w14:paraId="3FC6A6EC" w14:textId="77777777" w:rsidR="00B03CB5" w:rsidRPr="00784447" w:rsidRDefault="00B03CB5" w:rsidP="00B03CB5">
      <w:pPr>
        <w:tabs>
          <w:tab w:val="num" w:pos="0"/>
          <w:tab w:val="num" w:pos="720"/>
        </w:tabs>
        <w:spacing w:after="240"/>
        <w:outlineLvl w:val="0"/>
        <w:rPr>
          <w:b/>
          <w:bCs/>
        </w:rPr>
      </w:pPr>
      <w:r w:rsidRPr="00784447">
        <w:rPr>
          <w:b/>
          <w:bCs/>
        </w:rPr>
        <w:t>Recommendation</w:t>
      </w:r>
    </w:p>
    <w:p w14:paraId="42FE7397" w14:textId="77777777" w:rsidR="00B03CB5" w:rsidRPr="00784447" w:rsidRDefault="00B03CB5" w:rsidP="00B03CB5">
      <w:pPr>
        <w:keepNext/>
        <w:keepLines/>
        <w:numPr>
          <w:ilvl w:val="0"/>
          <w:numId w:val="24"/>
        </w:numPr>
        <w:spacing w:before="240" w:after="240"/>
        <w:outlineLvl w:val="0"/>
      </w:pPr>
      <w:r w:rsidRPr="00784447">
        <w:t>The Executive Committee may wish to consider:</w:t>
      </w:r>
    </w:p>
    <w:p w14:paraId="36A5491D" w14:textId="63524BA3" w:rsidR="00B03CB5" w:rsidRDefault="00B03CB5" w:rsidP="00B03CB5">
      <w:pPr>
        <w:numPr>
          <w:ilvl w:val="1"/>
          <w:numId w:val="24"/>
        </w:numPr>
        <w:spacing w:after="240"/>
        <w:outlineLvl w:val="1"/>
      </w:pPr>
      <w:r>
        <w:t xml:space="preserve">Noting the </w:t>
      </w:r>
      <w:r w:rsidRPr="003D6459">
        <w:t>progress report</w:t>
      </w:r>
      <w:r>
        <w:t xml:space="preserve"> submitted by UNEP on behalf of the Government of Qatar on the implementation of the commitments </w:t>
      </w:r>
      <w:r w:rsidRPr="006C25C8">
        <w:t>listed in decision 88/54(e)(</w:t>
      </w:r>
      <w:proofErr w:type="spellStart"/>
      <w:r w:rsidRPr="006C25C8">
        <w:t>i</w:t>
      </w:r>
      <w:proofErr w:type="spellEnd"/>
      <w:r w:rsidRPr="006C25C8">
        <w:t>), (ii), and (iii)</w:t>
      </w:r>
      <w:r w:rsidR="0091064D">
        <w:t xml:space="preserve"> in the context of stage II of the HCFC phase-out management plan for Qatar</w:t>
      </w:r>
      <w:r>
        <w:t>;</w:t>
      </w:r>
    </w:p>
    <w:p w14:paraId="7DF2AE87" w14:textId="77777777" w:rsidR="00B03CB5" w:rsidRDefault="00B03CB5" w:rsidP="00B03CB5">
      <w:pPr>
        <w:numPr>
          <w:ilvl w:val="1"/>
          <w:numId w:val="24"/>
        </w:numPr>
        <w:spacing w:after="240"/>
        <w:outlineLvl w:val="1"/>
      </w:pPr>
      <w:r w:rsidRPr="006D147C">
        <w:t>Notwithstanding that the conditions in decision</w:t>
      </w:r>
      <w:r>
        <w:t> </w:t>
      </w:r>
      <w:r w:rsidRPr="006D147C">
        <w:t>88/54(e) have not been met, and on an exceptional basis, allowing the Secretariat to direct the Treasurer to transfer to UNEP US $72,250, plus agency support costs</w:t>
      </w:r>
      <w:r w:rsidRPr="00B51659">
        <w:t xml:space="preserve"> </w:t>
      </w:r>
      <w:r>
        <w:t xml:space="preserve">of </w:t>
      </w:r>
      <w:r w:rsidRPr="006D147C">
        <w:t>US $9,393, representing half of the approved funding for UNEP under the second tranche of stage II of the HPMP for Qatar held by the Treasurer in line with decision 93/36;</w:t>
      </w:r>
    </w:p>
    <w:p w14:paraId="621E7ECE" w14:textId="77777777" w:rsidR="00B03CB5" w:rsidRPr="006D6AAA" w:rsidRDefault="00B03CB5" w:rsidP="00B03CB5">
      <w:pPr>
        <w:numPr>
          <w:ilvl w:val="1"/>
          <w:numId w:val="24"/>
        </w:numPr>
        <w:spacing w:after="240"/>
        <w:outlineLvl w:val="1"/>
      </w:pPr>
      <w:r>
        <w:t>R</w:t>
      </w:r>
      <w:r w:rsidRPr="003B264B">
        <w:t>equest</w:t>
      </w:r>
      <w:r>
        <w:t>ing</w:t>
      </w:r>
      <w:r w:rsidRPr="003B264B">
        <w:t xml:space="preserve"> UNEP to submit to the 98</w:t>
      </w:r>
      <w:r w:rsidRPr="003B264B">
        <w:rPr>
          <w:vertAlign w:val="superscript"/>
        </w:rPr>
        <w:t>th</w:t>
      </w:r>
      <w:r w:rsidRPr="003B264B">
        <w:t xml:space="preserve"> </w:t>
      </w:r>
      <w:r w:rsidRPr="006D6AAA">
        <w:t>meeting, or earlier, a detailed report with specific milestones on progress to meet the conditions specified in decision 88/54(e)(</w:t>
      </w:r>
      <w:proofErr w:type="spellStart"/>
      <w:r w:rsidRPr="006D6AAA">
        <w:t>i</w:t>
      </w:r>
      <w:proofErr w:type="spellEnd"/>
      <w:r w:rsidRPr="006D6AAA">
        <w:t xml:space="preserve">), (ii), and (iii); </w:t>
      </w:r>
    </w:p>
    <w:p w14:paraId="46F39827" w14:textId="77777777" w:rsidR="00B03CB5" w:rsidRPr="006D6AAA" w:rsidRDefault="00B03CB5" w:rsidP="00B03CB5">
      <w:pPr>
        <w:numPr>
          <w:ilvl w:val="1"/>
          <w:numId w:val="24"/>
        </w:numPr>
        <w:spacing w:after="240"/>
        <w:outlineLvl w:val="1"/>
      </w:pPr>
      <w:r w:rsidRPr="006D6AAA">
        <w:t>Noting that the remaining approved funding for UNEP under the second tranche of stage II of the HPMP would only be transferred by the Treasurer to UNEP after the Secretariat had confirmed that the country had implemented the commitments listed in decision 88/54(e)(</w:t>
      </w:r>
      <w:proofErr w:type="spellStart"/>
      <w:r w:rsidRPr="006D6AAA">
        <w:t>i</w:t>
      </w:r>
      <w:proofErr w:type="spellEnd"/>
      <w:r w:rsidRPr="006D6AAA">
        <w:t>), (ii), and (iii), after which UNIDO may submit the request for the third tranche of stage II;</w:t>
      </w:r>
    </w:p>
    <w:p w14:paraId="0A20D88D" w14:textId="77777777" w:rsidR="00B03CB5" w:rsidRPr="006C0EF8" w:rsidRDefault="00B03CB5" w:rsidP="00B03CB5">
      <w:pPr>
        <w:numPr>
          <w:ilvl w:val="1"/>
          <w:numId w:val="24"/>
        </w:numPr>
        <w:spacing w:after="240"/>
        <w:outlineLvl w:val="1"/>
      </w:pPr>
      <w:r w:rsidRPr="006D6AAA">
        <w:t>If the submission of the third tranche of stage II of the HPMP is submitted to the 99</w:t>
      </w:r>
      <w:r w:rsidRPr="006D6AAA">
        <w:rPr>
          <w:vertAlign w:val="superscript"/>
        </w:rPr>
        <w:t>th</w:t>
      </w:r>
      <w:r w:rsidRPr="006D6AAA">
        <w:t> meeting or later, allowing the Secretariat to recommend extending the date of completion of stage II, as appropriate, in line with</w:t>
      </w:r>
      <w:r w:rsidRPr="006C0EF8">
        <w:t xml:space="preserve"> decision</w:t>
      </w:r>
      <w:r>
        <w:t> </w:t>
      </w:r>
      <w:r w:rsidRPr="006C0EF8">
        <w:t>82/50</w:t>
      </w:r>
      <w:r>
        <w:t>; and</w:t>
      </w:r>
    </w:p>
    <w:p w14:paraId="29205E88" w14:textId="77777777" w:rsidR="00B03CB5" w:rsidRPr="00E9063C" w:rsidRDefault="00B03CB5" w:rsidP="00B03CB5">
      <w:pPr>
        <w:numPr>
          <w:ilvl w:val="1"/>
          <w:numId w:val="24"/>
        </w:numPr>
        <w:spacing w:after="240"/>
        <w:outlineLvl w:val="1"/>
      </w:pPr>
      <w:r>
        <w:t>Further noting that t</w:t>
      </w:r>
      <w:r w:rsidRPr="00F32317">
        <w:t xml:space="preserve">he request for stage III of the HPMP would not be submitted until all the </w:t>
      </w:r>
      <w:r>
        <w:t>commitments</w:t>
      </w:r>
      <w:r w:rsidRPr="00F32317">
        <w:t xml:space="preserve"> in decision 88/54(e) have been implemented</w:t>
      </w:r>
      <w:r>
        <w:t>.</w:t>
      </w:r>
    </w:p>
    <w:p w14:paraId="273428F8" w14:textId="77777777" w:rsidR="00E85409" w:rsidRPr="009B0D30" w:rsidRDefault="00E85409" w:rsidP="004E7F9C"/>
    <w:p w14:paraId="17147DA0"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FB077C">
        <w:tc>
          <w:tcPr>
            <w:tcW w:w="1915" w:type="dxa"/>
          </w:tcPr>
          <w:p w14:paraId="08241A33" w14:textId="77777777" w:rsidR="00E85409" w:rsidRPr="009B0D30" w:rsidRDefault="00E85409" w:rsidP="00FB077C"/>
        </w:tc>
        <w:tc>
          <w:tcPr>
            <w:tcW w:w="1915" w:type="dxa"/>
          </w:tcPr>
          <w:p w14:paraId="6C0DDD68" w14:textId="77777777" w:rsidR="00E85409" w:rsidRPr="009B0D30" w:rsidRDefault="00E85409" w:rsidP="00FB077C"/>
        </w:tc>
        <w:tc>
          <w:tcPr>
            <w:tcW w:w="1915" w:type="dxa"/>
            <w:tcBorders>
              <w:bottom w:val="single" w:sz="4" w:space="0" w:color="auto"/>
            </w:tcBorders>
          </w:tcPr>
          <w:p w14:paraId="6AF3D88A" w14:textId="77777777" w:rsidR="00E85409" w:rsidRPr="009B0D30" w:rsidRDefault="00E85409" w:rsidP="00FB077C"/>
        </w:tc>
        <w:tc>
          <w:tcPr>
            <w:tcW w:w="1915" w:type="dxa"/>
          </w:tcPr>
          <w:p w14:paraId="27C7066B" w14:textId="77777777" w:rsidR="00E85409" w:rsidRPr="009B0D30" w:rsidRDefault="00E85409" w:rsidP="00FB077C"/>
        </w:tc>
        <w:tc>
          <w:tcPr>
            <w:tcW w:w="1916"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50B9F" w14:textId="77777777" w:rsidR="00FE7DA7" w:rsidRDefault="00FE7DA7" w:rsidP="004A504B">
      <w:r>
        <w:separator/>
      </w:r>
    </w:p>
  </w:endnote>
  <w:endnote w:type="continuationSeparator" w:id="0">
    <w:p w14:paraId="13B42ED0" w14:textId="77777777" w:rsidR="00FE7DA7" w:rsidRDefault="00FE7DA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8DED5" w14:textId="77777777" w:rsidR="00FE7DA7" w:rsidRDefault="00FE7DA7" w:rsidP="004A504B">
      <w:r>
        <w:separator/>
      </w:r>
    </w:p>
  </w:footnote>
  <w:footnote w:type="continuationSeparator" w:id="0">
    <w:p w14:paraId="326645C2" w14:textId="77777777" w:rsidR="00FE7DA7" w:rsidRDefault="00FE7DA7" w:rsidP="004A504B">
      <w:r>
        <w:continuationSeparator/>
      </w:r>
    </w:p>
  </w:footnote>
  <w:footnote w:id="1">
    <w:p w14:paraId="03919EEA" w14:textId="28C09373"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51146805" w14:textId="7CFEF0B9" w:rsidR="00C42624" w:rsidRPr="00B15ABC" w:rsidRDefault="00C42624" w:rsidP="00C42624">
      <w:pPr>
        <w:pStyle w:val="FootnoteText"/>
        <w:rPr>
          <w:lang w:val="en-US"/>
        </w:rPr>
      </w:pPr>
      <w:r>
        <w:rPr>
          <w:rStyle w:val="FootnoteReference"/>
        </w:rPr>
        <w:footnoteRef/>
      </w:r>
      <w:r>
        <w:t xml:space="preserve"> </w:t>
      </w:r>
      <w:r w:rsidR="00D316F6">
        <w:rPr>
          <w:lang w:val="en-US"/>
        </w:rPr>
        <w:t>Paragraphs</w:t>
      </w:r>
      <w:r>
        <w:rPr>
          <w:lang w:val="en-US"/>
        </w:rPr>
        <w:t xml:space="preserve"> 3 and 8 of document</w:t>
      </w:r>
      <w:r w:rsidRPr="00A86811">
        <w:rPr>
          <w:lang w:val="en-US"/>
        </w:rPr>
        <w:t xml:space="preserve"> </w:t>
      </w:r>
      <w:r>
        <w:rPr>
          <w:lang w:val="en-US"/>
        </w:rPr>
        <w:t>UNEP/</w:t>
      </w:r>
      <w:proofErr w:type="spellStart"/>
      <w:r>
        <w:rPr>
          <w:lang w:val="en-US"/>
        </w:rPr>
        <w:t>OzL.Pro</w:t>
      </w:r>
      <w:proofErr w:type="spellEnd"/>
      <w:r>
        <w:rPr>
          <w:lang w:val="en-US"/>
        </w:rPr>
        <w:t>/ExCom/96/43</w:t>
      </w:r>
    </w:p>
  </w:footnote>
  <w:footnote w:id="3">
    <w:p w14:paraId="16E758D1" w14:textId="77777777" w:rsidR="00C42624" w:rsidRPr="00DE5ADE" w:rsidRDefault="00C42624" w:rsidP="00C42624">
      <w:pPr>
        <w:pStyle w:val="FootnoteText"/>
        <w:rPr>
          <w:lang w:val="en-US"/>
        </w:rPr>
      </w:pPr>
      <w:r>
        <w:rPr>
          <w:rStyle w:val="FootnoteReference"/>
        </w:rPr>
        <w:footnoteRef/>
      </w:r>
      <w:r>
        <w:t xml:space="preserve"> </w:t>
      </w:r>
      <w:r w:rsidRPr="00F80CDF">
        <w:t>The snapback mechanism is a provision in UN Security Council Resolution 2231, which endorsed the</w:t>
      </w:r>
      <w:r w:rsidRPr="00AB214E">
        <w:t xml:space="preserve"> Joint Comprehensive Plan of Action (JCPOA), an international agreement reached in July 2015 between </w:t>
      </w:r>
      <w:r>
        <w:t xml:space="preserve">the Islamic Republic of </w:t>
      </w:r>
      <w:r w:rsidRPr="00AB214E">
        <w:t>Iran and the P5+1 countries (United States, United Kingdom, France, Russia, China, plus Germany), along with the European Union</w:t>
      </w:r>
      <w:r>
        <w:t>, with the aim of</w:t>
      </w:r>
      <w:r w:rsidRPr="00AB214E">
        <w:t xml:space="preserve"> limit</w:t>
      </w:r>
      <w:r>
        <w:t>ing the Islamic Republic of</w:t>
      </w:r>
      <w:r w:rsidRPr="00AB214E">
        <w:t xml:space="preserve"> Iran’s nuclear program</w:t>
      </w:r>
      <w:r>
        <w:t>me</w:t>
      </w:r>
      <w:r w:rsidRPr="00AB214E">
        <w:t xml:space="preserve"> to ensure it remained peaceful and prevent</w:t>
      </w:r>
      <w:r>
        <w:t>ing</w:t>
      </w:r>
      <w:r w:rsidRPr="00AB214E">
        <w:t xml:space="preserve"> the development of nuclear weapons</w:t>
      </w:r>
      <w:r>
        <w:t xml:space="preserve">. The deal </w:t>
      </w:r>
      <w:r w:rsidRPr="00F80CDF">
        <w:t xml:space="preserve">allows any of the original parties to the agreement (P5+1 countries) to reimpose all previous UN sanctions if </w:t>
      </w:r>
      <w:r>
        <w:t>the country</w:t>
      </w:r>
      <w:r w:rsidRPr="00F80CDF">
        <w:t xml:space="preserve"> is found to be in “significant non</w:t>
      </w:r>
      <w:r>
        <w:noBreakHyphen/>
      </w:r>
      <w:r w:rsidRPr="00F80CDF">
        <w:t>performance” of its obligations.</w:t>
      </w:r>
    </w:p>
  </w:footnote>
  <w:footnote w:id="4">
    <w:p w14:paraId="59D761EB" w14:textId="77777777" w:rsidR="00B03CB5" w:rsidRPr="000F66ED" w:rsidRDefault="00B03CB5" w:rsidP="00B03CB5">
      <w:pPr>
        <w:pStyle w:val="FootnoteText"/>
      </w:pPr>
      <w:r>
        <w:rPr>
          <w:rStyle w:val="FootnoteReference"/>
        </w:rPr>
        <w:footnoteRef/>
      </w:r>
      <w:r>
        <w:t xml:space="preserve"> Annex XIV of document UNEP/</w:t>
      </w:r>
      <w:proofErr w:type="spellStart"/>
      <w:r>
        <w:t>OzL.Pro</w:t>
      </w:r>
      <w:proofErr w:type="spellEnd"/>
      <w:r>
        <w:t>/ExCom/93/105.</w:t>
      </w:r>
    </w:p>
  </w:footnote>
  <w:footnote w:id="5">
    <w:p w14:paraId="36D45E65" w14:textId="77777777" w:rsidR="00B03CB5" w:rsidRPr="008B79A8" w:rsidRDefault="00B03CB5" w:rsidP="00B03CB5">
      <w:pPr>
        <w:pStyle w:val="FootnoteText"/>
        <w:rPr>
          <w:lang w:val="en-US"/>
        </w:rPr>
      </w:pPr>
      <w:r>
        <w:rPr>
          <w:rStyle w:val="FootnoteReference"/>
        </w:rPr>
        <w:footnoteRef/>
      </w:r>
      <w:r>
        <w:t xml:space="preserve"> </w:t>
      </w:r>
      <w:r>
        <w:rPr>
          <w:lang w:val="en-US"/>
        </w:rPr>
        <w:t>An e-licensing system, as required under decision 88/54(e)(iv), is already in place.</w:t>
      </w:r>
    </w:p>
  </w:footnote>
  <w:footnote w:id="6">
    <w:p w14:paraId="0C36235C" w14:textId="77777777" w:rsidR="00B03CB5" w:rsidRPr="00F656A0" w:rsidRDefault="00B03CB5" w:rsidP="00B03CB5">
      <w:pPr>
        <w:pStyle w:val="FootnoteText"/>
        <w:rPr>
          <w:lang w:val="en-US"/>
        </w:rPr>
      </w:pPr>
      <w:r>
        <w:rPr>
          <w:rStyle w:val="FootnoteReference"/>
        </w:rPr>
        <w:footnoteRef/>
      </w:r>
      <w:r>
        <w:t xml:space="preserve"> </w:t>
      </w:r>
      <w:hyperlink r:id="rId1" w:history="1">
        <w:r w:rsidRPr="0072515F">
          <w:rPr>
            <w:rStyle w:val="Hyperlink"/>
          </w:rPr>
          <w:t>https://rdlprogram.org/</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6A326B4B" w:rsidR="00DC6A10" w:rsidRPr="0033525D" w:rsidRDefault="007548C4">
    <w:r>
      <w:fldChar w:fldCharType="begin"/>
    </w:r>
    <w:r>
      <w:instrText xml:space="preserve"> DOCPROPERTY "Document number"  \* MERGEFORMAT </w:instrText>
    </w:r>
    <w:r>
      <w:fldChar w:fldCharType="separate"/>
    </w:r>
    <w:r w:rsidR="00661140">
      <w:t>UNEP/</w:t>
    </w:r>
    <w:proofErr w:type="spellStart"/>
    <w:r w:rsidR="00661140">
      <w:t>OzL.Pro</w:t>
    </w:r>
    <w:proofErr w:type="spellEnd"/>
    <w:r w:rsidR="00661140">
      <w:t>/ExCom/97/18</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273735EC" w:rsidR="00DC6A10" w:rsidRPr="0033525D" w:rsidRDefault="007548C4">
    <w:pPr>
      <w:jc w:val="right"/>
    </w:pPr>
    <w:r>
      <w:fldChar w:fldCharType="begin"/>
    </w:r>
    <w:r>
      <w:instrText xml:space="preserve"> DOCPROPERTY "Document number"  \* MERGEFORMAT </w:instrText>
    </w:r>
    <w:r>
      <w:fldChar w:fldCharType="separate"/>
    </w:r>
    <w:r w:rsidR="00661140">
      <w:t>UNEP/</w:t>
    </w:r>
    <w:proofErr w:type="spellStart"/>
    <w:r w:rsidR="00661140">
      <w:t>OzL.Pro</w:t>
    </w:r>
    <w:proofErr w:type="spellEnd"/>
    <w:r w:rsidR="00661140">
      <w:t>/ExCom/97/18</w:t>
    </w:r>
    <w:r>
      <w:fldChar w:fldCharType="end"/>
    </w:r>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BACEA2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1A5A47"/>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7" w15:restartNumberingAfterBreak="0">
    <w:nsid w:val="69FD538C"/>
    <w:multiLevelType w:val="hybridMultilevel"/>
    <w:tmpl w:val="719ABECE"/>
    <w:lvl w:ilvl="0" w:tplc="3E467D40">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27D6840"/>
    <w:multiLevelType w:val="multilevel"/>
    <w:tmpl w:val="52EA6600"/>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3141EAA"/>
    <w:multiLevelType w:val="multilevel"/>
    <w:tmpl w:val="FD5ECA3C"/>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20"/>
  </w:num>
  <w:num w:numId="20" w16cid:durableId="444007775">
    <w:abstractNumId w:val="13"/>
  </w:num>
  <w:num w:numId="21" w16cid:durableId="2137481371">
    <w:abstractNumId w:val="13"/>
    <w:lvlOverride w:ilvl="0">
      <w:startOverride w:val="1"/>
    </w:lvlOverride>
  </w:num>
  <w:num w:numId="22" w16cid:durableId="1017774931">
    <w:abstractNumId w:val="12"/>
  </w:num>
  <w:num w:numId="23" w16cid:durableId="342047548">
    <w:abstractNumId w:val="16"/>
  </w:num>
  <w:num w:numId="24" w16cid:durableId="695500159">
    <w:abstractNumId w:val="19"/>
  </w:num>
  <w:num w:numId="25" w16cid:durableId="1195272039">
    <w:abstractNumId w:val="17"/>
  </w:num>
  <w:num w:numId="26" w16cid:durableId="69920844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211A9"/>
    <w:rsid w:val="00021238"/>
    <w:rsid w:val="00022071"/>
    <w:rsid w:val="00022B68"/>
    <w:rsid w:val="00031260"/>
    <w:rsid w:val="0003681A"/>
    <w:rsid w:val="000372B7"/>
    <w:rsid w:val="00050F6E"/>
    <w:rsid w:val="00061EC2"/>
    <w:rsid w:val="000628C1"/>
    <w:rsid w:val="00064B69"/>
    <w:rsid w:val="00066CE8"/>
    <w:rsid w:val="00080ED0"/>
    <w:rsid w:val="00085B8F"/>
    <w:rsid w:val="00090481"/>
    <w:rsid w:val="000A3826"/>
    <w:rsid w:val="000A6C26"/>
    <w:rsid w:val="000B36C8"/>
    <w:rsid w:val="000D52A4"/>
    <w:rsid w:val="000D7468"/>
    <w:rsid w:val="000E07BC"/>
    <w:rsid w:val="000E2E21"/>
    <w:rsid w:val="000E5A19"/>
    <w:rsid w:val="000F1CD4"/>
    <w:rsid w:val="000F4103"/>
    <w:rsid w:val="000F70A7"/>
    <w:rsid w:val="00107A3F"/>
    <w:rsid w:val="00113CCA"/>
    <w:rsid w:val="00122F25"/>
    <w:rsid w:val="00131FE9"/>
    <w:rsid w:val="00135980"/>
    <w:rsid w:val="0013786F"/>
    <w:rsid w:val="00146A35"/>
    <w:rsid w:val="00161821"/>
    <w:rsid w:val="00164719"/>
    <w:rsid w:val="00166FC4"/>
    <w:rsid w:val="001677AC"/>
    <w:rsid w:val="00176B46"/>
    <w:rsid w:val="001804EA"/>
    <w:rsid w:val="00190A61"/>
    <w:rsid w:val="00195F4B"/>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123C"/>
    <w:rsid w:val="002024B6"/>
    <w:rsid w:val="00206ADB"/>
    <w:rsid w:val="00210B8B"/>
    <w:rsid w:val="00214863"/>
    <w:rsid w:val="002156B4"/>
    <w:rsid w:val="00224FCD"/>
    <w:rsid w:val="00253222"/>
    <w:rsid w:val="00261C13"/>
    <w:rsid w:val="00262847"/>
    <w:rsid w:val="00281BB2"/>
    <w:rsid w:val="002849E0"/>
    <w:rsid w:val="00294D79"/>
    <w:rsid w:val="002A03C3"/>
    <w:rsid w:val="002B254E"/>
    <w:rsid w:val="002B4CE8"/>
    <w:rsid w:val="002B72E9"/>
    <w:rsid w:val="002C32FC"/>
    <w:rsid w:val="002C7998"/>
    <w:rsid w:val="002E01C7"/>
    <w:rsid w:val="002E764C"/>
    <w:rsid w:val="002F1E53"/>
    <w:rsid w:val="002F2CAA"/>
    <w:rsid w:val="0030052C"/>
    <w:rsid w:val="00311E25"/>
    <w:rsid w:val="003306E1"/>
    <w:rsid w:val="003320E4"/>
    <w:rsid w:val="0033525D"/>
    <w:rsid w:val="003414F3"/>
    <w:rsid w:val="003509C4"/>
    <w:rsid w:val="0035613E"/>
    <w:rsid w:val="00363EE9"/>
    <w:rsid w:val="0037061B"/>
    <w:rsid w:val="00371252"/>
    <w:rsid w:val="00376128"/>
    <w:rsid w:val="0037742E"/>
    <w:rsid w:val="00377D56"/>
    <w:rsid w:val="0038245A"/>
    <w:rsid w:val="003840E6"/>
    <w:rsid w:val="00385CFC"/>
    <w:rsid w:val="0039337A"/>
    <w:rsid w:val="0039764E"/>
    <w:rsid w:val="003A3189"/>
    <w:rsid w:val="003A3CA7"/>
    <w:rsid w:val="003B33BD"/>
    <w:rsid w:val="003B569D"/>
    <w:rsid w:val="003C2AFA"/>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5DA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3DDE"/>
    <w:rsid w:val="00555D75"/>
    <w:rsid w:val="00560DF0"/>
    <w:rsid w:val="0056759C"/>
    <w:rsid w:val="0059513E"/>
    <w:rsid w:val="005A6AA4"/>
    <w:rsid w:val="005A6D9F"/>
    <w:rsid w:val="005B48FF"/>
    <w:rsid w:val="005C1E32"/>
    <w:rsid w:val="005C23A8"/>
    <w:rsid w:val="005C670D"/>
    <w:rsid w:val="005D363F"/>
    <w:rsid w:val="00604C15"/>
    <w:rsid w:val="006158D5"/>
    <w:rsid w:val="00625D83"/>
    <w:rsid w:val="00644E5D"/>
    <w:rsid w:val="00651984"/>
    <w:rsid w:val="00661140"/>
    <w:rsid w:val="006623E7"/>
    <w:rsid w:val="00662B80"/>
    <w:rsid w:val="0066768F"/>
    <w:rsid w:val="00670F6C"/>
    <w:rsid w:val="006730F4"/>
    <w:rsid w:val="00676E58"/>
    <w:rsid w:val="00677A2B"/>
    <w:rsid w:val="006822CB"/>
    <w:rsid w:val="006852C7"/>
    <w:rsid w:val="006852CE"/>
    <w:rsid w:val="00692D14"/>
    <w:rsid w:val="00697003"/>
    <w:rsid w:val="006A43F4"/>
    <w:rsid w:val="006A7A3B"/>
    <w:rsid w:val="006B65C7"/>
    <w:rsid w:val="006C1727"/>
    <w:rsid w:val="006C32FD"/>
    <w:rsid w:val="006C39CE"/>
    <w:rsid w:val="006D0FCC"/>
    <w:rsid w:val="006D21F5"/>
    <w:rsid w:val="006D3089"/>
    <w:rsid w:val="006E0993"/>
    <w:rsid w:val="006E126D"/>
    <w:rsid w:val="006E1FC3"/>
    <w:rsid w:val="00704CE9"/>
    <w:rsid w:val="0070616B"/>
    <w:rsid w:val="00706295"/>
    <w:rsid w:val="00706FDA"/>
    <w:rsid w:val="007117F0"/>
    <w:rsid w:val="00711F9A"/>
    <w:rsid w:val="00713810"/>
    <w:rsid w:val="007303A5"/>
    <w:rsid w:val="00730B3E"/>
    <w:rsid w:val="0073420B"/>
    <w:rsid w:val="00736367"/>
    <w:rsid w:val="0074760E"/>
    <w:rsid w:val="007548C4"/>
    <w:rsid w:val="00754ABA"/>
    <w:rsid w:val="007624A2"/>
    <w:rsid w:val="00782B0D"/>
    <w:rsid w:val="0079781A"/>
    <w:rsid w:val="007A1546"/>
    <w:rsid w:val="007A228C"/>
    <w:rsid w:val="007A368E"/>
    <w:rsid w:val="007A42EC"/>
    <w:rsid w:val="007A5868"/>
    <w:rsid w:val="007B04CE"/>
    <w:rsid w:val="007B2497"/>
    <w:rsid w:val="007B6871"/>
    <w:rsid w:val="007B7A2F"/>
    <w:rsid w:val="007C0D4E"/>
    <w:rsid w:val="007C2B69"/>
    <w:rsid w:val="007C32EE"/>
    <w:rsid w:val="007C3D33"/>
    <w:rsid w:val="007D294A"/>
    <w:rsid w:val="007D47D2"/>
    <w:rsid w:val="007D6EC0"/>
    <w:rsid w:val="007D7E1D"/>
    <w:rsid w:val="007E503C"/>
    <w:rsid w:val="0080345C"/>
    <w:rsid w:val="0082522F"/>
    <w:rsid w:val="00831979"/>
    <w:rsid w:val="00851352"/>
    <w:rsid w:val="00857077"/>
    <w:rsid w:val="008613DA"/>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4905"/>
    <w:rsid w:val="008E7BA9"/>
    <w:rsid w:val="008F0F81"/>
    <w:rsid w:val="008F27BF"/>
    <w:rsid w:val="008F2E64"/>
    <w:rsid w:val="0091064D"/>
    <w:rsid w:val="009142EC"/>
    <w:rsid w:val="009145E4"/>
    <w:rsid w:val="009154C3"/>
    <w:rsid w:val="00923540"/>
    <w:rsid w:val="00926767"/>
    <w:rsid w:val="009361D5"/>
    <w:rsid w:val="009428A4"/>
    <w:rsid w:val="0095321B"/>
    <w:rsid w:val="009659F4"/>
    <w:rsid w:val="00970D60"/>
    <w:rsid w:val="009874D0"/>
    <w:rsid w:val="0099390E"/>
    <w:rsid w:val="009960E5"/>
    <w:rsid w:val="009A7ADC"/>
    <w:rsid w:val="009B0D30"/>
    <w:rsid w:val="009C19B7"/>
    <w:rsid w:val="009C5ABB"/>
    <w:rsid w:val="009D7C51"/>
    <w:rsid w:val="009E196C"/>
    <w:rsid w:val="009E2EB0"/>
    <w:rsid w:val="009E6A0A"/>
    <w:rsid w:val="009F36BF"/>
    <w:rsid w:val="009F5D50"/>
    <w:rsid w:val="00A111B6"/>
    <w:rsid w:val="00A149D5"/>
    <w:rsid w:val="00A26D27"/>
    <w:rsid w:val="00A376EE"/>
    <w:rsid w:val="00A42A99"/>
    <w:rsid w:val="00A5151A"/>
    <w:rsid w:val="00A57E0A"/>
    <w:rsid w:val="00A77919"/>
    <w:rsid w:val="00A823F6"/>
    <w:rsid w:val="00A8719E"/>
    <w:rsid w:val="00A93A43"/>
    <w:rsid w:val="00AA0A89"/>
    <w:rsid w:val="00AA4E12"/>
    <w:rsid w:val="00AA5368"/>
    <w:rsid w:val="00AA6429"/>
    <w:rsid w:val="00AC01AA"/>
    <w:rsid w:val="00AC3EE9"/>
    <w:rsid w:val="00AC4F72"/>
    <w:rsid w:val="00AC5041"/>
    <w:rsid w:val="00AE3780"/>
    <w:rsid w:val="00AE482E"/>
    <w:rsid w:val="00AF1B39"/>
    <w:rsid w:val="00AF741A"/>
    <w:rsid w:val="00B01ADB"/>
    <w:rsid w:val="00B03CB5"/>
    <w:rsid w:val="00B04161"/>
    <w:rsid w:val="00B056F9"/>
    <w:rsid w:val="00B072D3"/>
    <w:rsid w:val="00B11E3D"/>
    <w:rsid w:val="00B14D2C"/>
    <w:rsid w:val="00B17E82"/>
    <w:rsid w:val="00B35FCB"/>
    <w:rsid w:val="00B407A0"/>
    <w:rsid w:val="00B4575A"/>
    <w:rsid w:val="00B51D38"/>
    <w:rsid w:val="00B575BA"/>
    <w:rsid w:val="00B71608"/>
    <w:rsid w:val="00B76429"/>
    <w:rsid w:val="00B86471"/>
    <w:rsid w:val="00B956D4"/>
    <w:rsid w:val="00B97446"/>
    <w:rsid w:val="00BA0BE6"/>
    <w:rsid w:val="00BA7432"/>
    <w:rsid w:val="00BB2764"/>
    <w:rsid w:val="00BB3C80"/>
    <w:rsid w:val="00BC1AA0"/>
    <w:rsid w:val="00BC2495"/>
    <w:rsid w:val="00BC314A"/>
    <w:rsid w:val="00BC7EB9"/>
    <w:rsid w:val="00BD2643"/>
    <w:rsid w:val="00BD56B1"/>
    <w:rsid w:val="00BD6558"/>
    <w:rsid w:val="00BE79F2"/>
    <w:rsid w:val="00BF2AD7"/>
    <w:rsid w:val="00BF2F76"/>
    <w:rsid w:val="00BF3022"/>
    <w:rsid w:val="00BF3214"/>
    <w:rsid w:val="00BF5573"/>
    <w:rsid w:val="00C15867"/>
    <w:rsid w:val="00C22398"/>
    <w:rsid w:val="00C2296D"/>
    <w:rsid w:val="00C23155"/>
    <w:rsid w:val="00C247A5"/>
    <w:rsid w:val="00C40A37"/>
    <w:rsid w:val="00C40C41"/>
    <w:rsid w:val="00C42624"/>
    <w:rsid w:val="00C45885"/>
    <w:rsid w:val="00C50F22"/>
    <w:rsid w:val="00C57971"/>
    <w:rsid w:val="00C65BD7"/>
    <w:rsid w:val="00C76BA4"/>
    <w:rsid w:val="00C83A48"/>
    <w:rsid w:val="00C85865"/>
    <w:rsid w:val="00C85E85"/>
    <w:rsid w:val="00C90672"/>
    <w:rsid w:val="00C910E2"/>
    <w:rsid w:val="00C926C8"/>
    <w:rsid w:val="00CA2EAE"/>
    <w:rsid w:val="00CA4AC1"/>
    <w:rsid w:val="00CA59FB"/>
    <w:rsid w:val="00CA5EE0"/>
    <w:rsid w:val="00CB0316"/>
    <w:rsid w:val="00CB0B11"/>
    <w:rsid w:val="00CB1DBA"/>
    <w:rsid w:val="00CB426A"/>
    <w:rsid w:val="00CB5354"/>
    <w:rsid w:val="00CC3C9E"/>
    <w:rsid w:val="00CC6A14"/>
    <w:rsid w:val="00CC70A3"/>
    <w:rsid w:val="00CD4442"/>
    <w:rsid w:val="00CD53C3"/>
    <w:rsid w:val="00CD574E"/>
    <w:rsid w:val="00CE4C22"/>
    <w:rsid w:val="00CE76E5"/>
    <w:rsid w:val="00CF3479"/>
    <w:rsid w:val="00CF41EC"/>
    <w:rsid w:val="00CF5AC8"/>
    <w:rsid w:val="00CF5D04"/>
    <w:rsid w:val="00D024AF"/>
    <w:rsid w:val="00D04DE4"/>
    <w:rsid w:val="00D063F1"/>
    <w:rsid w:val="00D11735"/>
    <w:rsid w:val="00D14F22"/>
    <w:rsid w:val="00D26D68"/>
    <w:rsid w:val="00D26EF2"/>
    <w:rsid w:val="00D316F6"/>
    <w:rsid w:val="00D4741C"/>
    <w:rsid w:val="00D57918"/>
    <w:rsid w:val="00D73DC6"/>
    <w:rsid w:val="00D74C1A"/>
    <w:rsid w:val="00D754C1"/>
    <w:rsid w:val="00D77393"/>
    <w:rsid w:val="00D77A35"/>
    <w:rsid w:val="00D81B3E"/>
    <w:rsid w:val="00D873D8"/>
    <w:rsid w:val="00D90C70"/>
    <w:rsid w:val="00D90E49"/>
    <w:rsid w:val="00D96ADE"/>
    <w:rsid w:val="00DA0CE2"/>
    <w:rsid w:val="00DA2387"/>
    <w:rsid w:val="00DB1C70"/>
    <w:rsid w:val="00DB21C1"/>
    <w:rsid w:val="00DC6A10"/>
    <w:rsid w:val="00DE0733"/>
    <w:rsid w:val="00DE657E"/>
    <w:rsid w:val="00DF4704"/>
    <w:rsid w:val="00E024AA"/>
    <w:rsid w:val="00E130BB"/>
    <w:rsid w:val="00E15C77"/>
    <w:rsid w:val="00E1693E"/>
    <w:rsid w:val="00E250F1"/>
    <w:rsid w:val="00E3550D"/>
    <w:rsid w:val="00E52838"/>
    <w:rsid w:val="00E60017"/>
    <w:rsid w:val="00E60C19"/>
    <w:rsid w:val="00E614E0"/>
    <w:rsid w:val="00E643DF"/>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65D0"/>
    <w:rsid w:val="00F07604"/>
    <w:rsid w:val="00F10452"/>
    <w:rsid w:val="00F21088"/>
    <w:rsid w:val="00F326BF"/>
    <w:rsid w:val="00F327E7"/>
    <w:rsid w:val="00F34D0E"/>
    <w:rsid w:val="00F35746"/>
    <w:rsid w:val="00F40678"/>
    <w:rsid w:val="00F447C7"/>
    <w:rsid w:val="00F459B4"/>
    <w:rsid w:val="00F5211B"/>
    <w:rsid w:val="00F554A9"/>
    <w:rsid w:val="00F716FD"/>
    <w:rsid w:val="00F80355"/>
    <w:rsid w:val="00F87C43"/>
    <w:rsid w:val="00FA5722"/>
    <w:rsid w:val="00FB0C81"/>
    <w:rsid w:val="00FC2200"/>
    <w:rsid w:val="00FC2540"/>
    <w:rsid w:val="00FE7DA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748ADFAD-54B9-45A8-8B59-4D68DA26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2"/>
      </w:numPr>
      <w:spacing w:after="240"/>
      <w:outlineLvl w:val="1"/>
    </w:pPr>
  </w:style>
  <w:style w:type="paragraph" w:styleId="Heading3">
    <w:name w:val="heading 3"/>
    <w:aliases w:val="Char"/>
    <w:basedOn w:val="Normal"/>
    <w:next w:val="Normal"/>
    <w:qFormat/>
    <w:rsid w:val="0033525D"/>
    <w:pPr>
      <w:widowControl w:val="0"/>
      <w:numPr>
        <w:ilvl w:val="2"/>
        <w:numId w:val="22"/>
      </w:numPr>
      <w:spacing w:after="240"/>
      <w:outlineLvl w:val="2"/>
    </w:pPr>
  </w:style>
  <w:style w:type="paragraph" w:styleId="Heading4">
    <w:name w:val="heading 4"/>
    <w:aliases w:val="Heading 11"/>
    <w:basedOn w:val="Normal"/>
    <w:next w:val="Heading9"/>
    <w:semiHidden/>
    <w:rsid w:val="007B6871"/>
    <w:pPr>
      <w:keepNext/>
      <w:numPr>
        <w:ilvl w:val="3"/>
        <w:numId w:val="22"/>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2"/>
      </w:numPr>
      <w:spacing w:before="240" w:after="60"/>
      <w:outlineLvl w:val="5"/>
    </w:pPr>
    <w:rPr>
      <w:rFonts w:ascii="Arial" w:hAnsi="Arial"/>
      <w:i/>
    </w:rPr>
  </w:style>
  <w:style w:type="paragraph" w:styleId="Heading7">
    <w:name w:val="heading 7"/>
    <w:basedOn w:val="Normal"/>
    <w:next w:val="Normal"/>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697003"/>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697003"/>
  </w:style>
  <w:style w:type="character" w:customStyle="1" w:styleId="eop">
    <w:name w:val="eop"/>
    <w:basedOn w:val="DefaultParagraphFont"/>
    <w:rsid w:val="00697003"/>
  </w:style>
  <w:style w:type="paragraph" w:styleId="ListParagraph">
    <w:name w:val="List Paragraph"/>
    <w:basedOn w:val="Normal"/>
    <w:uiPriority w:val="34"/>
    <w:qFormat/>
    <w:rsid w:val="00B03CB5"/>
    <w:pPr>
      <w:ind w:left="720"/>
      <w:contextualSpacing/>
    </w:pPr>
    <w:rPr>
      <w:lang w:val="en-GB"/>
    </w:rPr>
  </w:style>
  <w:style w:type="character" w:styleId="Hyperlink">
    <w:name w:val="Hyperlink"/>
    <w:basedOn w:val="DefaultParagraphFont"/>
    <w:uiPriority w:val="99"/>
    <w:unhideWhenUsed/>
    <w:rsid w:val="00B03CB5"/>
    <w:rPr>
      <w:color w:val="0000FF" w:themeColor="hyperlink"/>
      <w:u w:val="single"/>
    </w:rPr>
  </w:style>
  <w:style w:type="paragraph" w:styleId="Revision">
    <w:name w:val="Revision"/>
    <w:hidden/>
    <w:uiPriority w:val="99"/>
    <w:semiHidden/>
    <w:rsid w:val="00D316F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dlprogra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sharepoint/v3"/>
    <ds:schemaRef ds:uri="http://purl.org/dc/dcmitype/"/>
    <ds:schemaRef ds:uri="eb6c2e4c-3f1c-4103-a37b-37c984dbe58f"/>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b93c647f-d63b-431a-95c8-8e00048cff23"/>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296E6E2-9D98-4C27-B4A0-C80E33EE1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4202</Words>
  <Characters>23954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Special Reporting Requirements - individual consideration</vt:lpstr>
    </vt:vector>
  </TitlesOfParts>
  <Company>UNMFS</Company>
  <LinksUpToDate>false</LinksUpToDate>
  <CharactersWithSpaces>28100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Reporting Requirements - individual consideration</dc:title>
  <dc:creator>RSR / LD</dc:creator>
  <cp:lastModifiedBy>Liona Davies</cp:lastModifiedBy>
  <cp:revision>2</cp:revision>
  <cp:lastPrinted>2001-05-26T16:40:00Z</cp:lastPrinted>
  <dcterms:created xsi:type="dcterms:W3CDTF">2025-11-20T01:10:00Z</dcterms:created>
  <dcterms:modified xsi:type="dcterms:W3CDTF">2025-11-20T01:10:00Z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UNEP/OzL.Pro/ExCom/97/18</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