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12" w:type="dxa"/>
        <w:tblInd w:w="-432" w:type="dxa"/>
        <w:tblLayout w:type="fixed"/>
        <w:tblLook w:val="0000" w:firstRow="0" w:lastRow="0" w:firstColumn="0" w:lastColumn="0" w:noHBand="0" w:noVBand="0"/>
      </w:tblPr>
      <w:tblGrid>
        <w:gridCol w:w="1876"/>
        <w:gridCol w:w="4524"/>
        <w:gridCol w:w="3212"/>
      </w:tblGrid>
      <w:tr w:rsidR="00441083" w14:paraId="7C341357" w14:textId="77777777" w:rsidTr="009B31AD">
        <w:trPr>
          <w:trHeight w:val="676"/>
        </w:trPr>
        <w:tc>
          <w:tcPr>
            <w:tcW w:w="6400" w:type="dxa"/>
            <w:gridSpan w:val="2"/>
            <w:tcBorders>
              <w:bottom w:val="single" w:sz="18" w:space="0" w:color="auto"/>
            </w:tcBorders>
          </w:tcPr>
          <w:p w14:paraId="65959C8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7A1BFE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12" w:type="dxa"/>
            <w:tcBorders>
              <w:bottom w:val="single" w:sz="18" w:space="0" w:color="auto"/>
            </w:tcBorders>
          </w:tcPr>
          <w:p w14:paraId="534AEB5C"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F8CF945" w14:textId="77777777" w:rsidTr="009B31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876" w:type="dxa"/>
            <w:tcBorders>
              <w:top w:val="nil"/>
              <w:left w:val="nil"/>
              <w:bottom w:val="single" w:sz="36" w:space="0" w:color="auto"/>
              <w:right w:val="nil"/>
            </w:tcBorders>
          </w:tcPr>
          <w:p w14:paraId="74D6F886"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D7E9B68" wp14:editId="7D1CD2D9">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55D1C897" wp14:editId="6C09292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24" w:type="dxa"/>
            <w:tcBorders>
              <w:top w:val="nil"/>
              <w:left w:val="nil"/>
              <w:bottom w:val="single" w:sz="36" w:space="0" w:color="auto"/>
              <w:right w:val="nil"/>
            </w:tcBorders>
          </w:tcPr>
          <w:p w14:paraId="75B5CF26" w14:textId="77777777" w:rsidR="00F73D4A" w:rsidRDefault="00F73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62BCCF4" w14:textId="47146D66"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962A041" w14:textId="77777777" w:rsidR="00441083" w:rsidRDefault="00E60D9C">
            <w:pPr>
              <w:rPr>
                <w:rFonts w:ascii="Univers" w:hAnsi="Univers"/>
                <w:b/>
                <w:sz w:val="32"/>
                <w:lang w:val="fr-CA"/>
              </w:rPr>
            </w:pPr>
            <w:r>
              <w:rPr>
                <w:rFonts w:ascii="Univers" w:hAnsi="Univers"/>
                <w:b/>
                <w:sz w:val="32"/>
                <w:lang w:val="fr-CA"/>
              </w:rPr>
              <w:t>Nations Unies pour</w:t>
            </w:r>
          </w:p>
          <w:p w14:paraId="07AAC1DF"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3CDC3CD6" w14:textId="77777777" w:rsidR="00441083" w:rsidRDefault="00E60D9C">
            <w:pPr>
              <w:spacing w:before="720"/>
              <w:ind w:left="158"/>
              <w:rPr>
                <w:lang w:val="fr-FR"/>
              </w:rPr>
            </w:pPr>
            <w:r>
              <w:rPr>
                <w:lang w:val="fr-FR"/>
              </w:rPr>
              <w:t xml:space="preserve"> </w:t>
            </w:r>
          </w:p>
        </w:tc>
        <w:tc>
          <w:tcPr>
            <w:tcW w:w="3212" w:type="dxa"/>
            <w:tcBorders>
              <w:top w:val="nil"/>
              <w:left w:val="nil"/>
              <w:bottom w:val="single" w:sz="36" w:space="0" w:color="auto"/>
              <w:right w:val="nil"/>
            </w:tcBorders>
          </w:tcPr>
          <w:p w14:paraId="4C803ECA" w14:textId="77777777" w:rsidR="00F73D4A" w:rsidRDefault="00F73D4A">
            <w:pPr>
              <w:rPr>
                <w:lang w:val="fr-FR"/>
              </w:rPr>
            </w:pPr>
          </w:p>
          <w:p w14:paraId="4AE0FD0D" w14:textId="5AD8DC17" w:rsidR="00441083" w:rsidRPr="00DD3433" w:rsidRDefault="00E60D9C">
            <w:pPr>
              <w:rPr>
                <w:lang w:val="fr-FR"/>
              </w:rPr>
            </w:pPr>
            <w:proofErr w:type="spellStart"/>
            <w:r w:rsidRPr="00DD3433">
              <w:rPr>
                <w:lang w:val="fr-FR"/>
              </w:rPr>
              <w:t>Distr</w:t>
            </w:r>
            <w:proofErr w:type="spellEnd"/>
            <w:r w:rsidRPr="00DD3433">
              <w:rPr>
                <w:lang w:val="fr-FR"/>
              </w:rPr>
              <w:t>.</w:t>
            </w:r>
          </w:p>
          <w:p w14:paraId="3458B0B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97F4F64" w14:textId="77777777" w:rsidR="00441083" w:rsidRPr="00DD3433" w:rsidRDefault="00441083">
            <w:pPr>
              <w:rPr>
                <w:lang w:val="fr-FR"/>
              </w:rPr>
            </w:pPr>
          </w:p>
          <w:p w14:paraId="3415880B" w14:textId="0FC4E1B9" w:rsidR="00441083" w:rsidRPr="009B31AD" w:rsidRDefault="00E60D9C">
            <w:pPr>
              <w:rPr>
                <w:lang w:val="fr-FR"/>
              </w:rPr>
            </w:pPr>
            <w:r>
              <w:fldChar w:fldCharType="begin"/>
            </w:r>
            <w:r w:rsidRPr="009B31AD">
              <w:rPr>
                <w:lang w:val="fr-FR"/>
              </w:rPr>
              <w:instrText xml:space="preserve"> DOCPROPERTY "Document number"  \* MERGEFORMAT </w:instrText>
            </w:r>
            <w:r>
              <w:fldChar w:fldCharType="separate"/>
            </w:r>
            <w:r w:rsidR="009B31AD">
              <w:rPr>
                <w:lang w:val="fr-FR"/>
              </w:rPr>
              <w:t>UNEP/</w:t>
            </w:r>
            <w:proofErr w:type="spellStart"/>
            <w:r w:rsidR="009B31AD">
              <w:rPr>
                <w:lang w:val="fr-FR"/>
              </w:rPr>
              <w:t>OzL.Pro</w:t>
            </w:r>
            <w:proofErr w:type="spellEnd"/>
            <w:r w:rsidR="009B31AD">
              <w:rPr>
                <w:lang w:val="fr-FR"/>
              </w:rPr>
              <w:t>/</w:t>
            </w:r>
            <w:proofErr w:type="spellStart"/>
            <w:r w:rsidR="009B31AD">
              <w:rPr>
                <w:lang w:val="fr-FR"/>
              </w:rPr>
              <w:t>ExCom</w:t>
            </w:r>
            <w:proofErr w:type="spellEnd"/>
            <w:r w:rsidR="009B31AD">
              <w:rPr>
                <w:lang w:val="fr-FR"/>
              </w:rPr>
              <w:t>/91/55</w:t>
            </w:r>
            <w:r>
              <w:fldChar w:fldCharType="end"/>
            </w:r>
          </w:p>
          <w:p w14:paraId="3910EA3C" w14:textId="4B697A6F" w:rsidR="002F0B57" w:rsidRPr="009B31AD" w:rsidRDefault="002F0B57" w:rsidP="00C9547D">
            <w:pPr>
              <w:rPr>
                <w:lang w:val="fr-FR"/>
              </w:rPr>
            </w:pPr>
            <w:r>
              <w:fldChar w:fldCharType="begin"/>
            </w:r>
            <w:r w:rsidRPr="009B31AD">
              <w:rPr>
                <w:lang w:val="fr-FR"/>
              </w:rPr>
              <w:instrText xml:space="preserve"> DOCPROPERTY "Revision date" \@ "d MMMM YYYY"  \* MERGEFORMAT </w:instrText>
            </w:r>
            <w:r>
              <w:fldChar w:fldCharType="separate"/>
            </w:r>
            <w:r w:rsidR="00E978F6" w:rsidRPr="009B31AD">
              <w:rPr>
                <w:lang w:val="fr-FR"/>
              </w:rPr>
              <w:t>1</w:t>
            </w:r>
            <w:r w:rsidR="00FB41DE" w:rsidRPr="009B31AD">
              <w:rPr>
                <w:lang w:val="fr-FR"/>
              </w:rPr>
              <w:t>2</w:t>
            </w:r>
            <w:r w:rsidR="00E978F6" w:rsidRPr="009B31AD">
              <w:rPr>
                <w:lang w:val="fr-FR"/>
              </w:rPr>
              <w:t xml:space="preserve"> </w:t>
            </w:r>
            <w:r w:rsidR="00FB41DE" w:rsidRPr="009B31AD">
              <w:rPr>
                <w:lang w:val="fr-FR"/>
              </w:rPr>
              <w:t>novembre</w:t>
            </w:r>
            <w:r w:rsidR="00E978F6" w:rsidRPr="009B31AD">
              <w:rPr>
                <w:lang w:val="fr-FR"/>
              </w:rPr>
              <w:t xml:space="preserve"> 2022</w:t>
            </w:r>
            <w:r>
              <w:fldChar w:fldCharType="end"/>
            </w:r>
          </w:p>
          <w:p w14:paraId="58F6CA46" w14:textId="77777777" w:rsidR="00441083" w:rsidRDefault="00FC5578">
            <w:pPr>
              <w:rPr>
                <w:caps/>
                <w:lang w:val="fr-FR"/>
              </w:rPr>
            </w:pPr>
            <w:r w:rsidRPr="009B31AD">
              <w:rPr>
                <w:caps/>
                <w:lang w:val="fr-FR"/>
              </w:rPr>
              <w:br/>
            </w:r>
            <w:r w:rsidR="00E60D9C">
              <w:rPr>
                <w:caps/>
                <w:lang w:val="fr-FR"/>
              </w:rPr>
              <w:t>FRANÇAIS</w:t>
            </w:r>
          </w:p>
          <w:p w14:paraId="0EBACE67" w14:textId="77777777" w:rsidR="00441083" w:rsidRDefault="00E60D9C">
            <w:r>
              <w:t xml:space="preserve">ORIGINAL: </w:t>
            </w:r>
            <w:r w:rsidR="0091161A">
              <w:t>ANGLAIS</w:t>
            </w:r>
          </w:p>
        </w:tc>
      </w:tr>
    </w:tbl>
    <w:p w14:paraId="12801B22"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579D9116"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416F35F5" w14:textId="77777777" w:rsidR="00E978F6" w:rsidRPr="005201DA" w:rsidRDefault="00E978F6" w:rsidP="00E978F6">
      <w:pPr>
        <w:jc w:val="left"/>
        <w:rPr>
          <w:lang w:val="fr-FR"/>
        </w:rPr>
      </w:pPr>
      <w:r>
        <w:rPr>
          <w:lang w:val="fr"/>
        </w:rPr>
        <w:t>Point 9(c) de l’ordre du jour provisoire</w:t>
      </w:r>
      <w:r>
        <w:rPr>
          <w:rStyle w:val="FootnoteReference"/>
          <w:lang w:val="fr"/>
        </w:rPr>
        <w:footnoteReference w:id="1"/>
      </w:r>
    </w:p>
    <w:p w14:paraId="6275D7C3" w14:textId="77777777" w:rsidR="00E978F6" w:rsidRPr="005201DA" w:rsidRDefault="00E978F6" w:rsidP="00E978F6">
      <w:pPr>
        <w:jc w:val="left"/>
        <w:rPr>
          <w:lang w:val="fr-FR"/>
        </w:rPr>
      </w:pPr>
    </w:p>
    <w:p w14:paraId="5DE332EC" w14:textId="220051A0" w:rsidR="00E978F6" w:rsidRDefault="00E978F6" w:rsidP="00E978F6">
      <w:pPr>
        <w:jc w:val="center"/>
        <w:rPr>
          <w:b/>
          <w:color w:val="0070C0"/>
          <w:lang w:val="fr-FR"/>
        </w:rPr>
      </w:pPr>
    </w:p>
    <w:p w14:paraId="01482086" w14:textId="77777777" w:rsidR="00F73D4A" w:rsidRPr="005201DA" w:rsidRDefault="00F73D4A" w:rsidP="00E978F6">
      <w:pPr>
        <w:jc w:val="center"/>
        <w:rPr>
          <w:b/>
          <w:color w:val="0070C0"/>
          <w:lang w:val="fr-FR"/>
        </w:rPr>
      </w:pPr>
    </w:p>
    <w:p w14:paraId="702574D4" w14:textId="77777777" w:rsidR="00E978F6" w:rsidRPr="005201DA" w:rsidRDefault="00E978F6" w:rsidP="00E978F6">
      <w:pPr>
        <w:jc w:val="center"/>
        <w:rPr>
          <w:b/>
          <w:color w:val="0070C0"/>
          <w:lang w:val="fr-FR"/>
        </w:rPr>
      </w:pPr>
    </w:p>
    <w:p w14:paraId="67FFD4D6" w14:textId="764B6F6A" w:rsidR="00E978F6" w:rsidRDefault="009B31AD" w:rsidP="00E978F6">
      <w:pPr>
        <w:jc w:val="center"/>
        <w:rPr>
          <w:b/>
          <w:bCs/>
          <w:lang w:val="fr"/>
        </w:rPr>
      </w:pPr>
      <w:r>
        <w:rPr>
          <w:b/>
          <w:bCs/>
          <w:lang w:val="fr"/>
        </w:rPr>
        <w:t>PROPOSITION DE PROJET : TURKMÉNISTAN</w:t>
      </w:r>
    </w:p>
    <w:p w14:paraId="46FE39E8" w14:textId="77777777" w:rsidR="00F73D4A" w:rsidRPr="005201DA" w:rsidRDefault="00F73D4A" w:rsidP="00E978F6">
      <w:pPr>
        <w:jc w:val="center"/>
        <w:rPr>
          <w:b/>
          <w:lang w:val="fr-FR"/>
        </w:rPr>
      </w:pPr>
    </w:p>
    <w:p w14:paraId="5C94FE44" w14:textId="77777777" w:rsidR="00E978F6" w:rsidRPr="005201DA" w:rsidRDefault="00E978F6" w:rsidP="00E978F6">
      <w:pPr>
        <w:rPr>
          <w:lang w:val="fr-FR"/>
        </w:rPr>
      </w:pPr>
    </w:p>
    <w:p w14:paraId="5AEB5F74" w14:textId="77777777" w:rsidR="00E978F6" w:rsidRPr="005201DA" w:rsidRDefault="00E978F6" w:rsidP="00E978F6">
      <w:pPr>
        <w:rPr>
          <w:lang w:val="fr-FR"/>
        </w:rPr>
      </w:pPr>
    </w:p>
    <w:p w14:paraId="12B9BC6F" w14:textId="77777777" w:rsidR="00E978F6" w:rsidRPr="005201DA" w:rsidRDefault="00E978F6" w:rsidP="00E978F6">
      <w:pPr>
        <w:ind w:firstLine="720"/>
        <w:rPr>
          <w:lang w:val="fr-FR"/>
        </w:rPr>
      </w:pPr>
      <w:r>
        <w:rPr>
          <w:lang w:val="fr"/>
        </w:rPr>
        <w:t xml:space="preserve">Le présent document contient les observations et la recommandation du Secrétariat sur la proposition de projet suivante : </w:t>
      </w:r>
    </w:p>
    <w:p w14:paraId="7A7EB940" w14:textId="77777777" w:rsidR="00E978F6" w:rsidRPr="005201DA" w:rsidRDefault="00E978F6" w:rsidP="00E978F6">
      <w:pPr>
        <w:rPr>
          <w:lang w:val="fr-FR"/>
        </w:rPr>
      </w:pPr>
    </w:p>
    <w:p w14:paraId="6A95BEAA" w14:textId="77777777" w:rsidR="00E978F6" w:rsidRPr="00C71C59" w:rsidRDefault="00E978F6" w:rsidP="00E978F6">
      <w:pPr>
        <w:rPr>
          <w:u w:val="single"/>
        </w:rPr>
      </w:pPr>
      <w:r>
        <w:rPr>
          <w:u w:val="single"/>
          <w:lang w:val="fr"/>
        </w:rPr>
        <w:t>Élimination</w:t>
      </w:r>
    </w:p>
    <w:p w14:paraId="0DC067B0" w14:textId="77777777" w:rsidR="00E978F6" w:rsidRPr="00C71C59" w:rsidRDefault="00E978F6" w:rsidP="00E978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978F6" w:rsidRPr="00C71C59" w14:paraId="521469B5" w14:textId="77777777" w:rsidTr="00976EA7">
        <w:tc>
          <w:tcPr>
            <w:tcW w:w="6941" w:type="dxa"/>
          </w:tcPr>
          <w:p w14:paraId="29567BF1" w14:textId="77777777" w:rsidR="00E978F6" w:rsidRPr="005201DA" w:rsidRDefault="00E978F6" w:rsidP="00E978F6">
            <w:pPr>
              <w:pStyle w:val="ListParagraph"/>
              <w:numPr>
                <w:ilvl w:val="0"/>
                <w:numId w:val="23"/>
              </w:numPr>
              <w:ind w:hanging="830"/>
              <w:rPr>
                <w:lang w:val="fr-FR"/>
              </w:rPr>
            </w:pPr>
            <w:r>
              <w:rPr>
                <w:lang w:val="fr"/>
              </w:rPr>
              <w:t>Plan de gestion de l’élimination des HCFC (phase II, deuxième tranche)</w:t>
            </w:r>
          </w:p>
        </w:tc>
        <w:tc>
          <w:tcPr>
            <w:tcW w:w="2409" w:type="dxa"/>
          </w:tcPr>
          <w:p w14:paraId="75DD9E72" w14:textId="77777777" w:rsidR="00E978F6" w:rsidRPr="00C71C59" w:rsidRDefault="00E978F6" w:rsidP="00976EA7">
            <w:pPr>
              <w:jc w:val="right"/>
            </w:pPr>
            <w:r>
              <w:rPr>
                <w:lang w:val="fr"/>
              </w:rPr>
              <w:t>ONUDI</w:t>
            </w:r>
          </w:p>
        </w:tc>
      </w:tr>
    </w:tbl>
    <w:p w14:paraId="74282CFA" w14:textId="77777777" w:rsidR="00E978F6" w:rsidRPr="00C71C59" w:rsidRDefault="00E978F6" w:rsidP="00E978F6"/>
    <w:p w14:paraId="4452660F" w14:textId="77777777" w:rsidR="00E978F6" w:rsidRPr="00C71C59" w:rsidRDefault="00E978F6" w:rsidP="00E978F6"/>
    <w:p w14:paraId="28223560" w14:textId="77777777" w:rsidR="00E978F6" w:rsidRPr="00C71C59" w:rsidRDefault="00E978F6" w:rsidP="00E978F6"/>
    <w:p w14:paraId="43667B3E" w14:textId="77777777" w:rsidR="00E978F6" w:rsidRPr="00C71C59" w:rsidRDefault="00E978F6" w:rsidP="00E978F6">
      <w:r>
        <w:rPr>
          <w:lang w:val="fr"/>
        </w:rPr>
        <w:br w:type="page"/>
      </w:r>
    </w:p>
    <w:p w14:paraId="4D92CB6B" w14:textId="77777777" w:rsidR="00E978F6" w:rsidRPr="005201DA" w:rsidRDefault="00E978F6" w:rsidP="00E978F6">
      <w:pPr>
        <w:jc w:val="center"/>
        <w:rPr>
          <w:b/>
          <w:lang w:val="fr-FR"/>
        </w:rPr>
      </w:pPr>
      <w:r>
        <w:rPr>
          <w:b/>
          <w:bCs/>
          <w:lang w:val="fr"/>
        </w:rPr>
        <w:lastRenderedPageBreak/>
        <w:t>FICHE D’ÉVALUATION DU PROJET - PROJETS PLURIANNUELS</w:t>
      </w:r>
    </w:p>
    <w:p w14:paraId="1392B62B" w14:textId="77777777" w:rsidR="00E978F6" w:rsidRPr="005201DA" w:rsidRDefault="00E978F6" w:rsidP="00E978F6">
      <w:pPr>
        <w:jc w:val="center"/>
        <w:rPr>
          <w:b/>
          <w:lang w:val="fr-FR"/>
        </w:rPr>
      </w:pPr>
    </w:p>
    <w:p w14:paraId="7E63517B" w14:textId="77777777" w:rsidR="00E978F6" w:rsidRPr="00C71C59" w:rsidRDefault="00E978F6" w:rsidP="00E978F6">
      <w:pPr>
        <w:jc w:val="center"/>
        <w:rPr>
          <w:b/>
          <w:bCs/>
        </w:rPr>
      </w:pPr>
      <w:r>
        <w:rPr>
          <w:b/>
          <w:bCs/>
          <w:lang w:val="fr"/>
        </w:rPr>
        <w:t>Turkménistan</w:t>
      </w:r>
    </w:p>
    <w:p w14:paraId="4339CEEC" w14:textId="77777777" w:rsidR="00E978F6" w:rsidRPr="00C71C59" w:rsidRDefault="00E978F6" w:rsidP="00E978F6">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268"/>
        <w:gridCol w:w="2408"/>
        <w:gridCol w:w="2502"/>
      </w:tblGrid>
      <w:tr w:rsidR="00E978F6" w:rsidRPr="00C71C59" w14:paraId="4ED7B215" w14:textId="77777777" w:rsidTr="00976EA7">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1BC41BAA" w14:textId="77777777" w:rsidR="00E978F6" w:rsidRPr="00C71C59" w:rsidRDefault="00E978F6" w:rsidP="00976EA7">
            <w:pPr>
              <w:jc w:val="left"/>
              <w:rPr>
                <w:b/>
                <w:sz w:val="20"/>
                <w:szCs w:val="20"/>
              </w:rPr>
            </w:pPr>
            <w:r>
              <w:rPr>
                <w:b/>
                <w:bCs/>
                <w:sz w:val="20"/>
                <w:szCs w:val="20"/>
                <w:lang w:val="fr"/>
              </w:rPr>
              <w:t>(I) TITRE DU PROJET</w:t>
            </w:r>
          </w:p>
        </w:tc>
        <w:tc>
          <w:tcPr>
            <w:tcW w:w="2268" w:type="dxa"/>
            <w:tcBorders>
              <w:top w:val="single" w:sz="4" w:space="0" w:color="666699"/>
              <w:left w:val="single" w:sz="4" w:space="0" w:color="666699"/>
              <w:bottom w:val="single" w:sz="4" w:space="0" w:color="666699"/>
              <w:right w:val="single" w:sz="4" w:space="0" w:color="666699"/>
            </w:tcBorders>
            <w:hideMark/>
          </w:tcPr>
          <w:p w14:paraId="4D65F9C3" w14:textId="77777777" w:rsidR="00E978F6" w:rsidRPr="00C71C59" w:rsidRDefault="00E978F6" w:rsidP="00976EA7">
            <w:pPr>
              <w:jc w:val="center"/>
              <w:rPr>
                <w:b/>
                <w:sz w:val="20"/>
                <w:szCs w:val="20"/>
              </w:rPr>
            </w:pPr>
            <w:r>
              <w:rPr>
                <w:b/>
                <w:bCs/>
                <w:sz w:val="20"/>
                <w:szCs w:val="20"/>
                <w:lang w:val="fr"/>
              </w:rPr>
              <w:t>AGENCE</w:t>
            </w:r>
          </w:p>
        </w:tc>
        <w:tc>
          <w:tcPr>
            <w:tcW w:w="2408" w:type="dxa"/>
            <w:tcBorders>
              <w:top w:val="single" w:sz="4" w:space="0" w:color="666699"/>
              <w:left w:val="single" w:sz="4" w:space="0" w:color="666699"/>
              <w:bottom w:val="single" w:sz="4" w:space="0" w:color="666699"/>
              <w:right w:val="single" w:sz="4" w:space="0" w:color="666699"/>
            </w:tcBorders>
            <w:hideMark/>
          </w:tcPr>
          <w:p w14:paraId="5C2B7FBC" w14:textId="77777777" w:rsidR="00E978F6" w:rsidRPr="00C71C59" w:rsidRDefault="00E978F6" w:rsidP="00976EA7">
            <w:pPr>
              <w:jc w:val="center"/>
              <w:rPr>
                <w:b/>
                <w:sz w:val="20"/>
                <w:szCs w:val="20"/>
              </w:rPr>
            </w:pPr>
            <w:r>
              <w:rPr>
                <w:b/>
                <w:bCs/>
                <w:sz w:val="20"/>
                <w:szCs w:val="20"/>
                <w:lang w:val="fr"/>
              </w:rPr>
              <w:t>RÉUNION D’APPROBATION</w:t>
            </w:r>
          </w:p>
        </w:tc>
        <w:tc>
          <w:tcPr>
            <w:tcW w:w="2502" w:type="dxa"/>
            <w:tcBorders>
              <w:top w:val="single" w:sz="4" w:space="0" w:color="666699"/>
              <w:left w:val="single" w:sz="4" w:space="0" w:color="666699"/>
              <w:bottom w:val="single" w:sz="4" w:space="0" w:color="666699"/>
              <w:right w:val="single" w:sz="4" w:space="0" w:color="666699"/>
            </w:tcBorders>
            <w:hideMark/>
          </w:tcPr>
          <w:p w14:paraId="0BD03D98" w14:textId="77777777" w:rsidR="00E978F6" w:rsidRPr="00C71C59" w:rsidRDefault="00E978F6" w:rsidP="00976EA7">
            <w:pPr>
              <w:jc w:val="center"/>
              <w:rPr>
                <w:b/>
                <w:sz w:val="20"/>
                <w:szCs w:val="20"/>
              </w:rPr>
            </w:pPr>
            <w:r>
              <w:rPr>
                <w:b/>
                <w:bCs/>
                <w:sz w:val="20"/>
                <w:szCs w:val="20"/>
                <w:lang w:val="fr"/>
              </w:rPr>
              <w:t>MESURE DE CONTRÔLE</w:t>
            </w:r>
          </w:p>
        </w:tc>
      </w:tr>
      <w:tr w:rsidR="00E978F6" w:rsidRPr="00C71C59" w14:paraId="78E366D4" w14:textId="77777777" w:rsidTr="00976EA7">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43D79C81" w14:textId="77777777" w:rsidR="00E978F6" w:rsidRPr="005201DA" w:rsidRDefault="00E978F6" w:rsidP="00976EA7">
            <w:pPr>
              <w:jc w:val="center"/>
              <w:rPr>
                <w:sz w:val="20"/>
                <w:szCs w:val="20"/>
                <w:lang w:val="fr-FR"/>
              </w:rPr>
            </w:pPr>
            <w:r>
              <w:rPr>
                <w:sz w:val="20"/>
                <w:szCs w:val="20"/>
                <w:lang w:val="fr"/>
              </w:rPr>
              <w:t>Plan d’élimination des HCFC (Phase II)</w:t>
            </w:r>
          </w:p>
        </w:tc>
        <w:tc>
          <w:tcPr>
            <w:tcW w:w="2268" w:type="dxa"/>
            <w:tcBorders>
              <w:top w:val="single" w:sz="4" w:space="0" w:color="666699"/>
              <w:left w:val="single" w:sz="4" w:space="0" w:color="666699"/>
              <w:bottom w:val="single" w:sz="4" w:space="0" w:color="666699"/>
              <w:right w:val="single" w:sz="4" w:space="0" w:color="666699"/>
            </w:tcBorders>
            <w:vAlign w:val="center"/>
          </w:tcPr>
          <w:p w14:paraId="419BE8A4" w14:textId="77777777" w:rsidR="00E978F6" w:rsidRPr="00C71C59" w:rsidRDefault="00E978F6" w:rsidP="00976EA7">
            <w:pPr>
              <w:jc w:val="center"/>
              <w:rPr>
                <w:sz w:val="20"/>
                <w:szCs w:val="20"/>
              </w:rPr>
            </w:pPr>
            <w:r>
              <w:rPr>
                <w:color w:val="000000" w:themeColor="text1"/>
                <w:sz w:val="20"/>
                <w:szCs w:val="20"/>
                <w:lang w:val="fr"/>
              </w:rPr>
              <w:t>ONUDI (agence principale)</w:t>
            </w:r>
          </w:p>
        </w:tc>
        <w:tc>
          <w:tcPr>
            <w:tcW w:w="2408" w:type="dxa"/>
            <w:tcBorders>
              <w:top w:val="single" w:sz="4" w:space="0" w:color="666699"/>
              <w:left w:val="single" w:sz="4" w:space="0" w:color="666699"/>
              <w:bottom w:val="single" w:sz="4" w:space="0" w:color="666699"/>
              <w:right w:val="single" w:sz="4" w:space="0" w:color="666699"/>
            </w:tcBorders>
            <w:vAlign w:val="center"/>
          </w:tcPr>
          <w:p w14:paraId="1538A503" w14:textId="77777777" w:rsidR="00E978F6" w:rsidRPr="00C71C59" w:rsidRDefault="00E978F6" w:rsidP="00976EA7">
            <w:pPr>
              <w:jc w:val="center"/>
              <w:rPr>
                <w:sz w:val="20"/>
                <w:szCs w:val="20"/>
              </w:rPr>
            </w:pPr>
            <w:r>
              <w:rPr>
                <w:sz w:val="20"/>
                <w:szCs w:val="20"/>
                <w:lang w:val="fr"/>
              </w:rPr>
              <w:t>86</w:t>
            </w:r>
            <w:r>
              <w:rPr>
                <w:sz w:val="20"/>
                <w:szCs w:val="20"/>
                <w:vertAlign w:val="superscript"/>
                <w:lang w:val="fr"/>
              </w:rPr>
              <w:t>e</w:t>
            </w:r>
          </w:p>
        </w:tc>
        <w:tc>
          <w:tcPr>
            <w:tcW w:w="2502" w:type="dxa"/>
            <w:tcBorders>
              <w:top w:val="single" w:sz="4" w:space="0" w:color="666699"/>
              <w:left w:val="single" w:sz="4" w:space="0" w:color="666699"/>
              <w:bottom w:val="single" w:sz="4" w:space="0" w:color="666699"/>
              <w:right w:val="single" w:sz="4" w:space="0" w:color="666699"/>
            </w:tcBorders>
            <w:vAlign w:val="center"/>
          </w:tcPr>
          <w:p w14:paraId="391F17DE" w14:textId="77777777" w:rsidR="00E978F6" w:rsidRPr="00C71C59" w:rsidRDefault="00E978F6" w:rsidP="00976EA7">
            <w:pPr>
              <w:jc w:val="center"/>
              <w:rPr>
                <w:sz w:val="20"/>
                <w:szCs w:val="20"/>
              </w:rPr>
            </w:pPr>
            <w:r>
              <w:rPr>
                <w:sz w:val="20"/>
                <w:szCs w:val="20"/>
                <w:lang w:val="fr"/>
              </w:rPr>
              <w:t>67,5 % d’élimination d’ici 2025</w:t>
            </w:r>
          </w:p>
        </w:tc>
      </w:tr>
    </w:tbl>
    <w:p w14:paraId="46ECC249" w14:textId="77777777" w:rsidR="00E978F6" w:rsidRPr="00C71C59" w:rsidRDefault="00E978F6" w:rsidP="00E978F6">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E978F6" w:rsidRPr="00C71C59" w14:paraId="3CF6763A" w14:textId="77777777" w:rsidTr="00FB41DE">
        <w:trPr>
          <w:trHeight w:val="43"/>
        </w:trPr>
        <w:tc>
          <w:tcPr>
            <w:tcW w:w="5524" w:type="dxa"/>
            <w:tcBorders>
              <w:top w:val="single" w:sz="4" w:space="0" w:color="666699"/>
              <w:left w:val="single" w:sz="4" w:space="0" w:color="666699"/>
              <w:bottom w:val="single" w:sz="4" w:space="0" w:color="666699"/>
              <w:right w:val="single" w:sz="4" w:space="0" w:color="666699"/>
            </w:tcBorders>
            <w:hideMark/>
          </w:tcPr>
          <w:p w14:paraId="03E63A52" w14:textId="77777777" w:rsidR="00E978F6" w:rsidRPr="005201DA" w:rsidRDefault="00E978F6" w:rsidP="00976EA7">
            <w:pPr>
              <w:jc w:val="left"/>
              <w:rPr>
                <w:b/>
                <w:sz w:val="20"/>
                <w:szCs w:val="20"/>
                <w:lang w:val="fr-FR"/>
              </w:rPr>
            </w:pPr>
            <w:r>
              <w:rPr>
                <w:b/>
                <w:bCs/>
                <w:sz w:val="20"/>
                <w:szCs w:val="20"/>
                <w:lang w:val="fr"/>
              </w:rPr>
              <w:t>(II) DERNIÈRES DONNÉES VISÉES À L’ARTICLE 7 (Annexe C Groupe l)</w:t>
            </w:r>
          </w:p>
        </w:tc>
        <w:tc>
          <w:tcPr>
            <w:tcW w:w="2268" w:type="dxa"/>
            <w:tcBorders>
              <w:top w:val="single" w:sz="4" w:space="0" w:color="666699"/>
              <w:left w:val="single" w:sz="4" w:space="0" w:color="666699"/>
              <w:bottom w:val="single" w:sz="4" w:space="0" w:color="666699"/>
              <w:right w:val="single" w:sz="4" w:space="0" w:color="666699"/>
            </w:tcBorders>
            <w:hideMark/>
          </w:tcPr>
          <w:p w14:paraId="3258206D" w14:textId="77777777" w:rsidR="00E978F6" w:rsidRPr="00C71C59" w:rsidRDefault="00E978F6" w:rsidP="00976EA7">
            <w:pPr>
              <w:jc w:val="center"/>
              <w:rPr>
                <w:sz w:val="20"/>
                <w:szCs w:val="20"/>
              </w:rPr>
            </w:pPr>
            <w:r>
              <w:rPr>
                <w:sz w:val="20"/>
                <w:szCs w:val="20"/>
                <w:lang w:val="fr"/>
              </w:rPr>
              <w:t>Année : 2021</w:t>
            </w:r>
          </w:p>
        </w:tc>
        <w:tc>
          <w:tcPr>
            <w:tcW w:w="2208" w:type="dxa"/>
            <w:tcBorders>
              <w:top w:val="single" w:sz="4" w:space="0" w:color="666699"/>
              <w:left w:val="single" w:sz="4" w:space="0" w:color="666699"/>
              <w:bottom w:val="single" w:sz="4" w:space="0" w:color="666699"/>
              <w:right w:val="single" w:sz="4" w:space="0" w:color="666699"/>
            </w:tcBorders>
            <w:hideMark/>
          </w:tcPr>
          <w:p w14:paraId="79E0B7C2" w14:textId="77777777" w:rsidR="00E978F6" w:rsidRPr="00C71C59" w:rsidRDefault="00E978F6" w:rsidP="00976EA7">
            <w:pPr>
              <w:jc w:val="right"/>
              <w:rPr>
                <w:sz w:val="20"/>
                <w:szCs w:val="20"/>
              </w:rPr>
            </w:pPr>
            <w:r>
              <w:rPr>
                <w:color w:val="000000"/>
                <w:sz w:val="20"/>
                <w:szCs w:val="20"/>
                <w:lang w:val="fr"/>
              </w:rPr>
              <w:t>4,36</w:t>
            </w:r>
            <w:r>
              <w:rPr>
                <w:sz w:val="20"/>
                <w:szCs w:val="20"/>
                <w:lang w:val="fr"/>
              </w:rPr>
              <w:t xml:space="preserve"> (tonnes PAO)</w:t>
            </w:r>
          </w:p>
        </w:tc>
      </w:tr>
    </w:tbl>
    <w:p w14:paraId="56226683" w14:textId="77777777" w:rsidR="00E978F6" w:rsidRPr="00C71C59" w:rsidRDefault="00E978F6" w:rsidP="00E978F6">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995"/>
        <w:gridCol w:w="848"/>
        <w:gridCol w:w="1134"/>
        <w:gridCol w:w="1134"/>
        <w:gridCol w:w="992"/>
        <w:gridCol w:w="993"/>
        <w:gridCol w:w="854"/>
        <w:gridCol w:w="988"/>
        <w:gridCol w:w="938"/>
      </w:tblGrid>
      <w:tr w:rsidR="00E978F6" w:rsidRPr="00C71C59" w14:paraId="615049A9" w14:textId="77777777" w:rsidTr="00976EA7">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00C38875" w14:textId="77777777" w:rsidR="00E978F6" w:rsidRPr="005201DA" w:rsidRDefault="00E978F6" w:rsidP="00976EA7">
            <w:pPr>
              <w:jc w:val="left"/>
              <w:rPr>
                <w:b/>
                <w:sz w:val="20"/>
                <w:szCs w:val="20"/>
                <w:lang w:val="fr-FR"/>
              </w:rPr>
            </w:pPr>
            <w:r>
              <w:rPr>
                <w:b/>
                <w:bCs/>
                <w:sz w:val="20"/>
                <w:szCs w:val="20"/>
                <w:lang w:val="fr"/>
              </w:rPr>
              <w:t>(III) DERNIÈRES DONNÉES SECTORIELLES DU PROGRAMME DU PAYS (tonnes PAO)</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6856B450" w14:textId="77777777" w:rsidR="00E978F6" w:rsidRPr="00C71C59" w:rsidRDefault="00E978F6" w:rsidP="00976EA7">
            <w:pPr>
              <w:jc w:val="right"/>
              <w:rPr>
                <w:b/>
                <w:sz w:val="20"/>
                <w:szCs w:val="20"/>
              </w:rPr>
            </w:pPr>
            <w:r>
              <w:rPr>
                <w:b/>
                <w:bCs/>
                <w:sz w:val="20"/>
                <w:szCs w:val="20"/>
                <w:lang w:val="fr"/>
              </w:rPr>
              <w:t>Année : 2021</w:t>
            </w:r>
          </w:p>
        </w:tc>
      </w:tr>
      <w:tr w:rsidR="00FB41DE" w:rsidRPr="00F73D4A" w14:paraId="217D6B88" w14:textId="77777777" w:rsidTr="00FB41DE">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6026D393" w14:textId="77777777" w:rsidR="00E978F6" w:rsidRPr="00C71C59" w:rsidRDefault="00E978F6" w:rsidP="00976EA7">
            <w:pPr>
              <w:jc w:val="center"/>
              <w:rPr>
                <w:sz w:val="20"/>
                <w:szCs w:val="20"/>
              </w:rPr>
            </w:pPr>
            <w:r>
              <w:rPr>
                <w:sz w:val="20"/>
                <w:szCs w:val="20"/>
                <w:lang w:val="fr"/>
              </w:rPr>
              <w:t>Produits chimiques</w:t>
            </w:r>
          </w:p>
        </w:tc>
        <w:tc>
          <w:tcPr>
            <w:tcW w:w="995" w:type="dxa"/>
            <w:tcBorders>
              <w:top w:val="single" w:sz="4" w:space="0" w:color="666699"/>
              <w:left w:val="single" w:sz="4" w:space="0" w:color="666699"/>
              <w:bottom w:val="single" w:sz="4" w:space="0" w:color="666699"/>
              <w:right w:val="single" w:sz="4" w:space="0" w:color="666699"/>
            </w:tcBorders>
            <w:hideMark/>
          </w:tcPr>
          <w:p w14:paraId="4C8F9FEB" w14:textId="77777777" w:rsidR="00E978F6" w:rsidRPr="00C71C59" w:rsidRDefault="00E978F6" w:rsidP="00976EA7">
            <w:pPr>
              <w:jc w:val="center"/>
              <w:rPr>
                <w:sz w:val="20"/>
                <w:szCs w:val="20"/>
              </w:rPr>
            </w:pPr>
            <w:r>
              <w:rPr>
                <w:sz w:val="20"/>
                <w:szCs w:val="20"/>
                <w:lang w:val="fr"/>
              </w:rPr>
              <w:t>Aérosols</w:t>
            </w:r>
          </w:p>
        </w:tc>
        <w:tc>
          <w:tcPr>
            <w:tcW w:w="848" w:type="dxa"/>
            <w:tcBorders>
              <w:top w:val="single" w:sz="4" w:space="0" w:color="666699"/>
              <w:left w:val="single" w:sz="4" w:space="0" w:color="666699"/>
              <w:bottom w:val="single" w:sz="4" w:space="0" w:color="666699"/>
              <w:right w:val="single" w:sz="4" w:space="0" w:color="666699"/>
            </w:tcBorders>
            <w:hideMark/>
          </w:tcPr>
          <w:p w14:paraId="3CF6DB54" w14:textId="77777777" w:rsidR="00E978F6" w:rsidRPr="00C71C59" w:rsidRDefault="00E978F6" w:rsidP="00976EA7">
            <w:pPr>
              <w:jc w:val="center"/>
              <w:rPr>
                <w:sz w:val="20"/>
                <w:szCs w:val="20"/>
              </w:rPr>
            </w:pPr>
            <w:r>
              <w:rPr>
                <w:sz w:val="20"/>
                <w:szCs w:val="20"/>
                <w:lang w:val="fr"/>
              </w:rPr>
              <w:t>Mousse</w:t>
            </w:r>
          </w:p>
        </w:tc>
        <w:tc>
          <w:tcPr>
            <w:tcW w:w="1134" w:type="dxa"/>
            <w:tcBorders>
              <w:top w:val="single" w:sz="4" w:space="0" w:color="666699"/>
              <w:left w:val="single" w:sz="4" w:space="0" w:color="666699"/>
              <w:bottom w:val="single" w:sz="4" w:space="0" w:color="666699"/>
              <w:right w:val="single" w:sz="4" w:space="0" w:color="666699"/>
            </w:tcBorders>
            <w:hideMark/>
          </w:tcPr>
          <w:p w14:paraId="65490100" w14:textId="77777777" w:rsidR="00E978F6" w:rsidRPr="00C71C59" w:rsidRDefault="00E978F6" w:rsidP="00976EA7">
            <w:pPr>
              <w:jc w:val="center"/>
              <w:rPr>
                <w:sz w:val="20"/>
                <w:szCs w:val="20"/>
              </w:rPr>
            </w:pPr>
            <w:r>
              <w:rPr>
                <w:sz w:val="20"/>
                <w:szCs w:val="20"/>
                <w:lang w:val="fr"/>
              </w:rPr>
              <w:t>Lutte contre l’incendie</w:t>
            </w:r>
          </w:p>
        </w:tc>
        <w:tc>
          <w:tcPr>
            <w:tcW w:w="2126" w:type="dxa"/>
            <w:gridSpan w:val="2"/>
            <w:tcBorders>
              <w:top w:val="single" w:sz="4" w:space="0" w:color="666699"/>
              <w:left w:val="single" w:sz="4" w:space="0" w:color="666699"/>
              <w:bottom w:val="single" w:sz="4" w:space="0" w:color="666699"/>
              <w:right w:val="single" w:sz="4" w:space="0" w:color="666699"/>
            </w:tcBorders>
            <w:hideMark/>
          </w:tcPr>
          <w:p w14:paraId="3CB854E3" w14:textId="77777777" w:rsidR="00E978F6" w:rsidRPr="00C71C59" w:rsidRDefault="00E978F6" w:rsidP="00976EA7">
            <w:pPr>
              <w:jc w:val="center"/>
              <w:rPr>
                <w:sz w:val="20"/>
                <w:szCs w:val="20"/>
              </w:rPr>
            </w:pPr>
            <w:r>
              <w:rPr>
                <w:sz w:val="20"/>
                <w:szCs w:val="20"/>
                <w:lang w:val="fr"/>
              </w:rPr>
              <w:t>Réfrigération</w:t>
            </w:r>
          </w:p>
        </w:tc>
        <w:tc>
          <w:tcPr>
            <w:tcW w:w="993" w:type="dxa"/>
            <w:tcBorders>
              <w:top w:val="single" w:sz="4" w:space="0" w:color="666699"/>
              <w:left w:val="single" w:sz="4" w:space="0" w:color="666699"/>
              <w:bottom w:val="single" w:sz="4" w:space="0" w:color="666699"/>
              <w:right w:val="single" w:sz="4" w:space="0" w:color="666699"/>
            </w:tcBorders>
            <w:hideMark/>
          </w:tcPr>
          <w:p w14:paraId="069D53EC" w14:textId="77777777" w:rsidR="00E978F6" w:rsidRPr="00C71C59" w:rsidRDefault="00E978F6" w:rsidP="00976EA7">
            <w:pPr>
              <w:jc w:val="center"/>
              <w:rPr>
                <w:sz w:val="20"/>
                <w:szCs w:val="20"/>
              </w:rPr>
            </w:pPr>
            <w:r>
              <w:rPr>
                <w:sz w:val="20"/>
                <w:szCs w:val="20"/>
                <w:lang w:val="fr"/>
              </w:rPr>
              <w:t>Solvants</w:t>
            </w:r>
          </w:p>
        </w:tc>
        <w:tc>
          <w:tcPr>
            <w:tcW w:w="854" w:type="dxa"/>
            <w:tcBorders>
              <w:top w:val="single" w:sz="4" w:space="0" w:color="666699"/>
              <w:left w:val="single" w:sz="4" w:space="0" w:color="666699"/>
              <w:bottom w:val="single" w:sz="4" w:space="0" w:color="666699"/>
              <w:right w:val="single" w:sz="4" w:space="0" w:color="666699"/>
            </w:tcBorders>
            <w:hideMark/>
          </w:tcPr>
          <w:p w14:paraId="5CA934D6" w14:textId="1663E18F" w:rsidR="00E978F6" w:rsidRPr="00C71C59" w:rsidRDefault="00E978F6" w:rsidP="00976EA7">
            <w:pPr>
              <w:jc w:val="center"/>
              <w:rPr>
                <w:sz w:val="20"/>
                <w:szCs w:val="20"/>
              </w:rPr>
            </w:pPr>
            <w:r>
              <w:rPr>
                <w:sz w:val="20"/>
                <w:szCs w:val="20"/>
                <w:lang w:val="fr"/>
              </w:rPr>
              <w:t xml:space="preserve">Agent de </w:t>
            </w:r>
            <w:proofErr w:type="spellStart"/>
            <w:r>
              <w:rPr>
                <w:sz w:val="20"/>
                <w:szCs w:val="20"/>
                <w:lang w:val="fr"/>
              </w:rPr>
              <w:t>transfor</w:t>
            </w:r>
            <w:r w:rsidR="00FB41DE">
              <w:rPr>
                <w:sz w:val="20"/>
                <w:szCs w:val="20"/>
                <w:lang w:val="fr"/>
              </w:rPr>
              <w:t>-</w:t>
            </w:r>
            <w:r>
              <w:rPr>
                <w:sz w:val="20"/>
                <w:szCs w:val="20"/>
                <w:lang w:val="fr"/>
              </w:rPr>
              <w:t>mation</w:t>
            </w:r>
            <w:proofErr w:type="spellEnd"/>
          </w:p>
        </w:tc>
        <w:tc>
          <w:tcPr>
            <w:tcW w:w="988" w:type="dxa"/>
            <w:tcBorders>
              <w:top w:val="single" w:sz="4" w:space="0" w:color="666699"/>
              <w:left w:val="single" w:sz="4" w:space="0" w:color="666699"/>
              <w:bottom w:val="single" w:sz="4" w:space="0" w:color="666699"/>
              <w:right w:val="single" w:sz="4" w:space="0" w:color="666699"/>
            </w:tcBorders>
            <w:hideMark/>
          </w:tcPr>
          <w:p w14:paraId="625CE71B" w14:textId="4E365B92" w:rsidR="00E978F6" w:rsidRPr="00FB41DE" w:rsidRDefault="00E978F6" w:rsidP="00976EA7">
            <w:pPr>
              <w:jc w:val="center"/>
              <w:rPr>
                <w:sz w:val="20"/>
                <w:szCs w:val="20"/>
                <w:lang w:val="fr-FR"/>
              </w:rPr>
            </w:pPr>
            <w:proofErr w:type="spellStart"/>
            <w:r>
              <w:rPr>
                <w:sz w:val="20"/>
                <w:szCs w:val="20"/>
                <w:lang w:val="fr"/>
              </w:rPr>
              <w:t>Utili</w:t>
            </w:r>
            <w:r w:rsidR="00FB41DE">
              <w:rPr>
                <w:sz w:val="20"/>
                <w:szCs w:val="20"/>
                <w:lang w:val="fr"/>
              </w:rPr>
              <w:t>-</w:t>
            </w:r>
            <w:r>
              <w:rPr>
                <w:sz w:val="20"/>
                <w:szCs w:val="20"/>
                <w:lang w:val="fr"/>
              </w:rPr>
              <w:t>sation</w:t>
            </w:r>
            <w:proofErr w:type="spellEnd"/>
            <w:r>
              <w:rPr>
                <w:sz w:val="20"/>
                <w:szCs w:val="20"/>
                <w:lang w:val="fr"/>
              </w:rPr>
              <w:t xml:space="preserve"> en </w:t>
            </w:r>
            <w:proofErr w:type="spellStart"/>
            <w:r>
              <w:rPr>
                <w:sz w:val="20"/>
                <w:szCs w:val="20"/>
                <w:lang w:val="fr"/>
              </w:rPr>
              <w:t>labo</w:t>
            </w:r>
            <w:r w:rsidR="00FB41DE">
              <w:rPr>
                <w:sz w:val="20"/>
                <w:szCs w:val="20"/>
                <w:lang w:val="fr"/>
              </w:rPr>
              <w:t>-</w:t>
            </w:r>
            <w:r>
              <w:rPr>
                <w:sz w:val="20"/>
                <w:szCs w:val="20"/>
                <w:lang w:val="fr"/>
              </w:rPr>
              <w:t>ratoire</w:t>
            </w:r>
            <w:proofErr w:type="spellEnd"/>
          </w:p>
        </w:tc>
        <w:tc>
          <w:tcPr>
            <w:tcW w:w="938" w:type="dxa"/>
            <w:tcBorders>
              <w:top w:val="single" w:sz="4" w:space="0" w:color="666699"/>
              <w:left w:val="single" w:sz="4" w:space="0" w:color="666699"/>
              <w:bottom w:val="single" w:sz="4" w:space="0" w:color="666699"/>
              <w:right w:val="single" w:sz="4" w:space="0" w:color="666699"/>
            </w:tcBorders>
            <w:hideMark/>
          </w:tcPr>
          <w:p w14:paraId="211AF032" w14:textId="1E771671" w:rsidR="00E978F6" w:rsidRPr="00FB41DE" w:rsidRDefault="00E978F6" w:rsidP="00976EA7">
            <w:pPr>
              <w:jc w:val="center"/>
              <w:rPr>
                <w:sz w:val="20"/>
                <w:szCs w:val="20"/>
                <w:lang w:val="fr-FR"/>
              </w:rPr>
            </w:pPr>
            <w:proofErr w:type="spellStart"/>
            <w:r>
              <w:rPr>
                <w:sz w:val="20"/>
                <w:szCs w:val="20"/>
                <w:lang w:val="fr"/>
              </w:rPr>
              <w:t>Consom</w:t>
            </w:r>
            <w:r w:rsidR="00FB41DE">
              <w:rPr>
                <w:sz w:val="20"/>
                <w:szCs w:val="20"/>
                <w:lang w:val="fr"/>
              </w:rPr>
              <w:t>-</w:t>
            </w:r>
            <w:r>
              <w:rPr>
                <w:sz w:val="20"/>
                <w:szCs w:val="20"/>
                <w:lang w:val="fr"/>
              </w:rPr>
              <w:t>mation</w:t>
            </w:r>
            <w:proofErr w:type="spellEnd"/>
            <w:r>
              <w:rPr>
                <w:sz w:val="20"/>
                <w:szCs w:val="20"/>
                <w:lang w:val="fr"/>
              </w:rPr>
              <w:t xml:space="preserve"> totale du secteur</w:t>
            </w:r>
          </w:p>
        </w:tc>
      </w:tr>
      <w:tr w:rsidR="00E978F6" w:rsidRPr="00C71C59" w14:paraId="4856497C" w14:textId="77777777" w:rsidTr="00FB41DE">
        <w:trPr>
          <w:trHeight w:val="249"/>
        </w:trPr>
        <w:tc>
          <w:tcPr>
            <w:tcW w:w="4106" w:type="dxa"/>
            <w:gridSpan w:val="4"/>
            <w:tcBorders>
              <w:top w:val="single" w:sz="4" w:space="0" w:color="666699"/>
              <w:left w:val="single" w:sz="4" w:space="0" w:color="666699"/>
              <w:bottom w:val="single" w:sz="4" w:space="0" w:color="666699"/>
              <w:right w:val="single" w:sz="4" w:space="0" w:color="666699"/>
            </w:tcBorders>
            <w:hideMark/>
          </w:tcPr>
          <w:p w14:paraId="6393112D" w14:textId="77777777" w:rsidR="00E978F6" w:rsidRPr="00FB41DE" w:rsidRDefault="00E978F6" w:rsidP="00976EA7">
            <w:pPr>
              <w:jc w:val="center"/>
              <w:rPr>
                <w:sz w:val="20"/>
                <w:szCs w:val="20"/>
                <w:lang w:val="fr-FR"/>
              </w:rPr>
            </w:pPr>
            <w:r>
              <w:rPr>
                <w:sz w:val="20"/>
                <w:szCs w:val="20"/>
                <w:lang w:val="fr"/>
              </w:rPr>
              <w:t xml:space="preserve"> </w:t>
            </w:r>
          </w:p>
        </w:tc>
        <w:tc>
          <w:tcPr>
            <w:tcW w:w="1134" w:type="dxa"/>
            <w:tcBorders>
              <w:top w:val="single" w:sz="4" w:space="0" w:color="666699"/>
              <w:left w:val="single" w:sz="4" w:space="0" w:color="666699"/>
              <w:bottom w:val="single" w:sz="4" w:space="0" w:color="666699"/>
              <w:right w:val="single" w:sz="4" w:space="0" w:color="666699"/>
            </w:tcBorders>
            <w:hideMark/>
          </w:tcPr>
          <w:p w14:paraId="1C06E436" w14:textId="77777777" w:rsidR="00E978F6" w:rsidRPr="00C71C59" w:rsidRDefault="00E978F6" w:rsidP="00976EA7">
            <w:pPr>
              <w:jc w:val="center"/>
              <w:rPr>
                <w:sz w:val="20"/>
                <w:szCs w:val="20"/>
              </w:rPr>
            </w:pPr>
            <w:r>
              <w:rPr>
                <w:sz w:val="20"/>
                <w:szCs w:val="20"/>
                <w:lang w:val="fr"/>
              </w:rPr>
              <w:t>Fabrication</w:t>
            </w:r>
          </w:p>
        </w:tc>
        <w:tc>
          <w:tcPr>
            <w:tcW w:w="992" w:type="dxa"/>
            <w:tcBorders>
              <w:top w:val="single" w:sz="4" w:space="0" w:color="666699"/>
              <w:left w:val="single" w:sz="4" w:space="0" w:color="666699"/>
              <w:bottom w:val="single" w:sz="4" w:space="0" w:color="666699"/>
              <w:right w:val="single" w:sz="4" w:space="0" w:color="666699"/>
            </w:tcBorders>
            <w:hideMark/>
          </w:tcPr>
          <w:p w14:paraId="4F6D9E91" w14:textId="77777777" w:rsidR="00E978F6" w:rsidRPr="00C71C59" w:rsidRDefault="00E978F6" w:rsidP="00976EA7">
            <w:pPr>
              <w:jc w:val="center"/>
              <w:rPr>
                <w:sz w:val="20"/>
                <w:szCs w:val="20"/>
              </w:rPr>
            </w:pPr>
            <w:r>
              <w:rPr>
                <w:sz w:val="20"/>
                <w:szCs w:val="20"/>
                <w:lang w:val="fr"/>
              </w:rPr>
              <w:t>Entretien</w:t>
            </w:r>
          </w:p>
        </w:tc>
        <w:tc>
          <w:tcPr>
            <w:tcW w:w="3773" w:type="dxa"/>
            <w:gridSpan w:val="4"/>
            <w:tcBorders>
              <w:top w:val="single" w:sz="4" w:space="0" w:color="666699"/>
              <w:left w:val="single" w:sz="4" w:space="0" w:color="666699"/>
              <w:bottom w:val="single" w:sz="4" w:space="0" w:color="666699"/>
              <w:right w:val="single" w:sz="4" w:space="0" w:color="666699"/>
            </w:tcBorders>
          </w:tcPr>
          <w:p w14:paraId="3B690E4C" w14:textId="77777777" w:rsidR="00E978F6" w:rsidRPr="00C71C59" w:rsidRDefault="00E978F6" w:rsidP="00976EA7">
            <w:pPr>
              <w:jc w:val="center"/>
              <w:rPr>
                <w:sz w:val="20"/>
                <w:szCs w:val="20"/>
              </w:rPr>
            </w:pPr>
          </w:p>
        </w:tc>
      </w:tr>
      <w:tr w:rsidR="00FB41DE" w:rsidRPr="00C71C59" w14:paraId="13150CFB" w14:textId="77777777" w:rsidTr="00FB41DE">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314DE5A7" w14:textId="77777777" w:rsidR="00E978F6" w:rsidRPr="00C71C59" w:rsidRDefault="00E978F6" w:rsidP="00976EA7">
            <w:pPr>
              <w:jc w:val="left"/>
              <w:rPr>
                <w:sz w:val="20"/>
                <w:szCs w:val="20"/>
              </w:rPr>
            </w:pPr>
            <w:r>
              <w:rPr>
                <w:sz w:val="20"/>
                <w:szCs w:val="20"/>
                <w:lang w:val="fr"/>
              </w:rPr>
              <w:t>HCFC-22</w:t>
            </w:r>
          </w:p>
        </w:tc>
        <w:tc>
          <w:tcPr>
            <w:tcW w:w="995" w:type="dxa"/>
            <w:tcBorders>
              <w:top w:val="single" w:sz="4" w:space="0" w:color="666699"/>
              <w:left w:val="single" w:sz="4" w:space="0" w:color="666699"/>
              <w:bottom w:val="single" w:sz="4" w:space="0" w:color="666699"/>
              <w:right w:val="single" w:sz="4" w:space="0" w:color="666699"/>
            </w:tcBorders>
          </w:tcPr>
          <w:p w14:paraId="146FF5B6" w14:textId="77777777" w:rsidR="00E978F6" w:rsidRPr="00C71C59" w:rsidRDefault="00E978F6" w:rsidP="00976EA7">
            <w:pPr>
              <w:jc w:val="right"/>
              <w:rPr>
                <w:sz w:val="20"/>
                <w:szCs w:val="20"/>
              </w:rPr>
            </w:pPr>
          </w:p>
        </w:tc>
        <w:tc>
          <w:tcPr>
            <w:tcW w:w="848" w:type="dxa"/>
            <w:tcBorders>
              <w:top w:val="single" w:sz="4" w:space="0" w:color="666699"/>
              <w:left w:val="single" w:sz="4" w:space="0" w:color="666699"/>
              <w:bottom w:val="single" w:sz="4" w:space="0" w:color="666699"/>
              <w:right w:val="single" w:sz="4" w:space="0" w:color="666699"/>
            </w:tcBorders>
          </w:tcPr>
          <w:p w14:paraId="263209E1" w14:textId="77777777" w:rsidR="00E978F6" w:rsidRPr="00C71C59" w:rsidRDefault="00E978F6" w:rsidP="00976EA7">
            <w:pPr>
              <w:jc w:val="right"/>
              <w:rPr>
                <w:sz w:val="20"/>
                <w:szCs w:val="20"/>
              </w:rPr>
            </w:pPr>
          </w:p>
        </w:tc>
        <w:tc>
          <w:tcPr>
            <w:tcW w:w="1134" w:type="dxa"/>
            <w:tcBorders>
              <w:top w:val="single" w:sz="4" w:space="0" w:color="666699"/>
              <w:left w:val="single" w:sz="4" w:space="0" w:color="666699"/>
              <w:bottom w:val="single" w:sz="4" w:space="0" w:color="666699"/>
              <w:right w:val="single" w:sz="4" w:space="0" w:color="666699"/>
            </w:tcBorders>
          </w:tcPr>
          <w:p w14:paraId="68B1D082" w14:textId="77777777" w:rsidR="00E978F6" w:rsidRPr="00C71C59" w:rsidRDefault="00E978F6" w:rsidP="00976EA7">
            <w:pPr>
              <w:jc w:val="right"/>
              <w:rPr>
                <w:sz w:val="20"/>
                <w:szCs w:val="20"/>
              </w:rPr>
            </w:pPr>
          </w:p>
        </w:tc>
        <w:tc>
          <w:tcPr>
            <w:tcW w:w="1134" w:type="dxa"/>
            <w:tcBorders>
              <w:top w:val="single" w:sz="4" w:space="0" w:color="666699"/>
              <w:left w:val="single" w:sz="4" w:space="0" w:color="666699"/>
              <w:bottom w:val="single" w:sz="4" w:space="0" w:color="666699"/>
              <w:right w:val="single" w:sz="4" w:space="0" w:color="666699"/>
            </w:tcBorders>
          </w:tcPr>
          <w:p w14:paraId="0898E7EB" w14:textId="77777777" w:rsidR="00E978F6" w:rsidRPr="00C71C59" w:rsidRDefault="00E978F6" w:rsidP="00976EA7">
            <w:pPr>
              <w:jc w:val="right"/>
              <w:rPr>
                <w:sz w:val="20"/>
                <w:szCs w:val="20"/>
              </w:rPr>
            </w:pPr>
          </w:p>
        </w:tc>
        <w:tc>
          <w:tcPr>
            <w:tcW w:w="992" w:type="dxa"/>
            <w:tcBorders>
              <w:top w:val="single" w:sz="4" w:space="0" w:color="666699"/>
              <w:left w:val="single" w:sz="4" w:space="0" w:color="666699"/>
              <w:bottom w:val="single" w:sz="4" w:space="0" w:color="666699"/>
              <w:right w:val="single" w:sz="4" w:space="0" w:color="666699"/>
            </w:tcBorders>
          </w:tcPr>
          <w:p w14:paraId="6D05C9EE" w14:textId="77777777" w:rsidR="00E978F6" w:rsidRPr="00C71C59" w:rsidRDefault="00E978F6" w:rsidP="00976EA7">
            <w:pPr>
              <w:jc w:val="right"/>
              <w:rPr>
                <w:sz w:val="20"/>
                <w:szCs w:val="20"/>
              </w:rPr>
            </w:pPr>
            <w:r>
              <w:rPr>
                <w:sz w:val="20"/>
                <w:szCs w:val="20"/>
                <w:lang w:val="fr"/>
              </w:rPr>
              <w:t>4,36</w:t>
            </w:r>
          </w:p>
        </w:tc>
        <w:tc>
          <w:tcPr>
            <w:tcW w:w="993" w:type="dxa"/>
            <w:tcBorders>
              <w:top w:val="single" w:sz="4" w:space="0" w:color="666699"/>
              <w:left w:val="single" w:sz="4" w:space="0" w:color="666699"/>
              <w:bottom w:val="single" w:sz="4" w:space="0" w:color="666699"/>
              <w:right w:val="single" w:sz="4" w:space="0" w:color="666699"/>
            </w:tcBorders>
          </w:tcPr>
          <w:p w14:paraId="1220AC12" w14:textId="77777777" w:rsidR="00E978F6" w:rsidRPr="00C71C59" w:rsidRDefault="00E978F6" w:rsidP="00976EA7">
            <w:pPr>
              <w:jc w:val="right"/>
              <w:rPr>
                <w:sz w:val="20"/>
                <w:szCs w:val="20"/>
              </w:rPr>
            </w:pPr>
          </w:p>
        </w:tc>
        <w:tc>
          <w:tcPr>
            <w:tcW w:w="854" w:type="dxa"/>
            <w:tcBorders>
              <w:top w:val="single" w:sz="4" w:space="0" w:color="666699"/>
              <w:left w:val="single" w:sz="4" w:space="0" w:color="666699"/>
              <w:bottom w:val="single" w:sz="4" w:space="0" w:color="666699"/>
              <w:right w:val="single" w:sz="4" w:space="0" w:color="666699"/>
            </w:tcBorders>
          </w:tcPr>
          <w:p w14:paraId="0A75E4B7" w14:textId="77777777" w:rsidR="00E978F6" w:rsidRPr="00C71C59" w:rsidRDefault="00E978F6" w:rsidP="00976EA7">
            <w:pPr>
              <w:jc w:val="right"/>
              <w:rPr>
                <w:sz w:val="20"/>
                <w:szCs w:val="20"/>
              </w:rPr>
            </w:pPr>
          </w:p>
        </w:tc>
        <w:tc>
          <w:tcPr>
            <w:tcW w:w="988" w:type="dxa"/>
            <w:tcBorders>
              <w:top w:val="single" w:sz="4" w:space="0" w:color="666699"/>
              <w:left w:val="single" w:sz="4" w:space="0" w:color="666699"/>
              <w:bottom w:val="single" w:sz="4" w:space="0" w:color="666699"/>
              <w:right w:val="single" w:sz="4" w:space="0" w:color="666699"/>
            </w:tcBorders>
          </w:tcPr>
          <w:p w14:paraId="67D40078" w14:textId="77777777" w:rsidR="00E978F6" w:rsidRPr="00C71C59" w:rsidRDefault="00E978F6" w:rsidP="00976EA7">
            <w:pPr>
              <w:jc w:val="right"/>
              <w:rPr>
                <w:sz w:val="20"/>
                <w:szCs w:val="20"/>
              </w:rPr>
            </w:pPr>
          </w:p>
        </w:tc>
        <w:tc>
          <w:tcPr>
            <w:tcW w:w="938" w:type="dxa"/>
            <w:tcBorders>
              <w:top w:val="single" w:sz="4" w:space="0" w:color="666699"/>
              <w:left w:val="single" w:sz="4" w:space="0" w:color="666699"/>
              <w:bottom w:val="single" w:sz="4" w:space="0" w:color="666699"/>
              <w:right w:val="single" w:sz="4" w:space="0" w:color="666699"/>
            </w:tcBorders>
          </w:tcPr>
          <w:p w14:paraId="4B22DA14" w14:textId="77777777" w:rsidR="00E978F6" w:rsidRPr="00C71C59" w:rsidRDefault="00E978F6" w:rsidP="00976EA7">
            <w:pPr>
              <w:jc w:val="right"/>
              <w:rPr>
                <w:sz w:val="20"/>
                <w:szCs w:val="20"/>
              </w:rPr>
            </w:pPr>
            <w:r>
              <w:rPr>
                <w:sz w:val="20"/>
                <w:szCs w:val="20"/>
                <w:lang w:val="fr"/>
              </w:rPr>
              <w:t>4,36</w:t>
            </w:r>
          </w:p>
        </w:tc>
      </w:tr>
    </w:tbl>
    <w:p w14:paraId="299FB940" w14:textId="77777777" w:rsidR="00E978F6" w:rsidRPr="00C71C59" w:rsidRDefault="00E978F6" w:rsidP="00E978F6">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E978F6" w:rsidRPr="00F73D4A" w14:paraId="63F86032" w14:textId="77777777" w:rsidTr="00976EA7">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928B56" w14:textId="77777777" w:rsidR="00E978F6" w:rsidRPr="005201DA" w:rsidRDefault="00E978F6" w:rsidP="00976EA7">
            <w:pPr>
              <w:jc w:val="left"/>
              <w:rPr>
                <w:b/>
                <w:sz w:val="20"/>
                <w:szCs w:val="20"/>
                <w:lang w:val="fr-FR"/>
              </w:rPr>
            </w:pPr>
            <w:r>
              <w:rPr>
                <w:b/>
                <w:bCs/>
                <w:sz w:val="20"/>
                <w:szCs w:val="20"/>
                <w:lang w:val="fr"/>
              </w:rPr>
              <w:t>(IV) DONNÉES SUR LA CONSOMMATION (tonnes PAO)</w:t>
            </w:r>
          </w:p>
        </w:tc>
      </w:tr>
      <w:tr w:rsidR="00E978F6" w:rsidRPr="00C71C59" w14:paraId="38BEB097" w14:textId="77777777" w:rsidTr="00976EA7">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4A8F450A" w14:textId="77777777" w:rsidR="00E978F6" w:rsidRPr="00C71C59" w:rsidRDefault="00E978F6" w:rsidP="00976EA7">
            <w:pPr>
              <w:jc w:val="center"/>
              <w:rPr>
                <w:sz w:val="20"/>
                <w:szCs w:val="20"/>
              </w:rPr>
            </w:pPr>
            <w:r>
              <w:rPr>
                <w:sz w:val="20"/>
                <w:szCs w:val="20"/>
                <w:lang w:val="fr"/>
              </w:rPr>
              <w:t>Référence 2009-2010 :</w:t>
            </w:r>
          </w:p>
        </w:tc>
        <w:tc>
          <w:tcPr>
            <w:tcW w:w="1701" w:type="dxa"/>
            <w:tcBorders>
              <w:top w:val="single" w:sz="4" w:space="0" w:color="666699"/>
              <w:left w:val="single" w:sz="4" w:space="0" w:color="666699"/>
              <w:bottom w:val="single" w:sz="4" w:space="0" w:color="666699"/>
              <w:right w:val="single" w:sz="4" w:space="0" w:color="666699"/>
            </w:tcBorders>
            <w:hideMark/>
          </w:tcPr>
          <w:p w14:paraId="75587988" w14:textId="77777777" w:rsidR="00E978F6" w:rsidRPr="00C71C59" w:rsidRDefault="00E978F6" w:rsidP="00976EA7">
            <w:pPr>
              <w:jc w:val="right"/>
              <w:rPr>
                <w:sz w:val="20"/>
                <w:szCs w:val="20"/>
              </w:rPr>
            </w:pPr>
            <w:r>
              <w:rPr>
                <w:color w:val="000000" w:themeColor="text1"/>
                <w:sz w:val="20"/>
                <w:szCs w:val="20"/>
                <w:lang w:val="fr"/>
              </w:rPr>
              <w:t>6,80</w:t>
            </w:r>
          </w:p>
        </w:tc>
        <w:tc>
          <w:tcPr>
            <w:tcW w:w="4394" w:type="dxa"/>
            <w:tcBorders>
              <w:top w:val="single" w:sz="4" w:space="0" w:color="666699"/>
              <w:left w:val="single" w:sz="4" w:space="0" w:color="666699"/>
              <w:bottom w:val="single" w:sz="4" w:space="0" w:color="666699"/>
              <w:right w:val="single" w:sz="4" w:space="0" w:color="666699"/>
            </w:tcBorders>
            <w:hideMark/>
          </w:tcPr>
          <w:p w14:paraId="5E3B3BA2" w14:textId="77777777" w:rsidR="00E978F6" w:rsidRPr="005201DA" w:rsidRDefault="00E978F6" w:rsidP="00976EA7">
            <w:pPr>
              <w:jc w:val="center"/>
              <w:rPr>
                <w:sz w:val="20"/>
                <w:szCs w:val="20"/>
                <w:lang w:val="fr-FR"/>
              </w:rPr>
            </w:pPr>
            <w:r>
              <w:rPr>
                <w:sz w:val="20"/>
                <w:szCs w:val="20"/>
                <w:lang w:val="fr"/>
              </w:rPr>
              <w:t>Point de départ des réductions globales durables :</w:t>
            </w:r>
          </w:p>
        </w:tc>
        <w:tc>
          <w:tcPr>
            <w:tcW w:w="1483" w:type="dxa"/>
            <w:tcBorders>
              <w:top w:val="single" w:sz="4" w:space="0" w:color="666699"/>
              <w:left w:val="single" w:sz="4" w:space="0" w:color="666699"/>
              <w:bottom w:val="single" w:sz="4" w:space="0" w:color="666699"/>
              <w:right w:val="single" w:sz="4" w:space="0" w:color="666699"/>
            </w:tcBorders>
            <w:hideMark/>
          </w:tcPr>
          <w:p w14:paraId="216B9EFA" w14:textId="77777777" w:rsidR="00E978F6" w:rsidRPr="00C71C59" w:rsidRDefault="00E978F6" w:rsidP="00976EA7">
            <w:pPr>
              <w:jc w:val="right"/>
              <w:rPr>
                <w:sz w:val="20"/>
                <w:szCs w:val="20"/>
              </w:rPr>
            </w:pPr>
            <w:r>
              <w:rPr>
                <w:color w:val="000000" w:themeColor="text1"/>
                <w:sz w:val="20"/>
                <w:szCs w:val="20"/>
                <w:lang w:val="fr"/>
              </w:rPr>
              <w:t>6,80</w:t>
            </w:r>
          </w:p>
        </w:tc>
      </w:tr>
      <w:tr w:rsidR="00E978F6" w:rsidRPr="00F73D4A" w14:paraId="613C3B6B" w14:textId="77777777" w:rsidTr="00976EA7">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06896D8C" w14:textId="77777777" w:rsidR="00E978F6" w:rsidRPr="005201DA" w:rsidRDefault="00E978F6" w:rsidP="00976EA7">
            <w:pPr>
              <w:jc w:val="center"/>
              <w:rPr>
                <w:b/>
                <w:sz w:val="20"/>
                <w:szCs w:val="20"/>
                <w:lang w:val="fr-FR"/>
              </w:rPr>
            </w:pPr>
            <w:r>
              <w:rPr>
                <w:b/>
                <w:bCs/>
                <w:sz w:val="20"/>
                <w:szCs w:val="20"/>
                <w:lang w:val="fr"/>
              </w:rPr>
              <w:t>CONSOMMATION ADMISSIBLE AU FINANCEMENT (tonnes PAO)</w:t>
            </w:r>
          </w:p>
        </w:tc>
      </w:tr>
      <w:tr w:rsidR="00E978F6" w:rsidRPr="00C71C59" w14:paraId="017D9980" w14:textId="77777777" w:rsidTr="00976EA7">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5EC0747A" w14:textId="77777777" w:rsidR="00E978F6" w:rsidRPr="00C71C59" w:rsidRDefault="00E978F6" w:rsidP="00976EA7">
            <w:pPr>
              <w:jc w:val="center"/>
              <w:rPr>
                <w:sz w:val="20"/>
                <w:szCs w:val="20"/>
              </w:rPr>
            </w:pPr>
            <w:r>
              <w:rPr>
                <w:sz w:val="20"/>
                <w:szCs w:val="20"/>
                <w:lang w:val="fr"/>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184148C9" w14:textId="77777777" w:rsidR="00E978F6" w:rsidRPr="00C71C59" w:rsidRDefault="00E978F6" w:rsidP="00976EA7">
            <w:pPr>
              <w:jc w:val="right"/>
              <w:rPr>
                <w:sz w:val="20"/>
                <w:szCs w:val="20"/>
              </w:rPr>
            </w:pPr>
            <w:r>
              <w:rPr>
                <w:color w:val="000000" w:themeColor="text1"/>
                <w:sz w:val="20"/>
                <w:szCs w:val="20"/>
                <w:lang w:val="fr"/>
              </w:rPr>
              <w:t>4,59</w:t>
            </w:r>
          </w:p>
        </w:tc>
        <w:tc>
          <w:tcPr>
            <w:tcW w:w="4394" w:type="dxa"/>
            <w:tcBorders>
              <w:top w:val="single" w:sz="4" w:space="0" w:color="666699"/>
              <w:left w:val="single" w:sz="4" w:space="0" w:color="666699"/>
              <w:bottom w:val="single" w:sz="4" w:space="0" w:color="666699"/>
              <w:right w:val="single" w:sz="4" w:space="0" w:color="666699"/>
            </w:tcBorders>
            <w:hideMark/>
          </w:tcPr>
          <w:p w14:paraId="1B92000B" w14:textId="77777777" w:rsidR="00E978F6" w:rsidRPr="00C71C59" w:rsidRDefault="00E978F6" w:rsidP="00976EA7">
            <w:pPr>
              <w:jc w:val="center"/>
              <w:rPr>
                <w:i/>
                <w:sz w:val="20"/>
                <w:szCs w:val="20"/>
              </w:rPr>
            </w:pPr>
            <w:r>
              <w:rPr>
                <w:sz w:val="20"/>
                <w:szCs w:val="20"/>
                <w:lang w:val="fr"/>
              </w:rPr>
              <w:t>Restante :</w:t>
            </w:r>
          </w:p>
        </w:tc>
        <w:tc>
          <w:tcPr>
            <w:tcW w:w="1483" w:type="dxa"/>
            <w:tcBorders>
              <w:top w:val="single" w:sz="4" w:space="0" w:color="666699"/>
              <w:left w:val="single" w:sz="4" w:space="0" w:color="666699"/>
              <w:bottom w:val="single" w:sz="4" w:space="0" w:color="666699"/>
              <w:right w:val="single" w:sz="4" w:space="0" w:color="666699"/>
            </w:tcBorders>
            <w:hideMark/>
          </w:tcPr>
          <w:p w14:paraId="4B18623D" w14:textId="77777777" w:rsidR="00E978F6" w:rsidRPr="00C71C59" w:rsidRDefault="00E978F6" w:rsidP="00976EA7">
            <w:pPr>
              <w:jc w:val="right"/>
              <w:rPr>
                <w:sz w:val="20"/>
                <w:szCs w:val="20"/>
              </w:rPr>
            </w:pPr>
            <w:r>
              <w:rPr>
                <w:color w:val="000000" w:themeColor="text1"/>
                <w:sz w:val="20"/>
                <w:szCs w:val="20"/>
                <w:lang w:val="fr"/>
              </w:rPr>
              <w:t>2,21</w:t>
            </w:r>
          </w:p>
        </w:tc>
      </w:tr>
    </w:tbl>
    <w:p w14:paraId="4A768716" w14:textId="77777777" w:rsidR="00E978F6" w:rsidRPr="00C71C59" w:rsidRDefault="00E978F6" w:rsidP="00E978F6">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E978F6" w:rsidRPr="00C71C59" w14:paraId="0E7FDF54" w14:textId="77777777" w:rsidTr="00976EA7">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40292AB0" w14:textId="77777777" w:rsidR="00E978F6" w:rsidRPr="00C71C59" w:rsidRDefault="00E978F6" w:rsidP="00976EA7">
            <w:pPr>
              <w:jc w:val="left"/>
              <w:rPr>
                <w:b/>
                <w:sz w:val="20"/>
                <w:szCs w:val="20"/>
              </w:rPr>
            </w:pPr>
            <w:r>
              <w:rPr>
                <w:b/>
                <w:bCs/>
                <w:sz w:val="20"/>
                <w:szCs w:val="20"/>
                <w:lang w:val="fr"/>
              </w:rPr>
              <w:t>(V) PLAN D’ACTIVITÉS ENTÉRINÉ</w:t>
            </w:r>
          </w:p>
        </w:tc>
        <w:tc>
          <w:tcPr>
            <w:tcW w:w="731" w:type="pct"/>
            <w:tcBorders>
              <w:top w:val="single" w:sz="4" w:space="0" w:color="666699"/>
              <w:left w:val="single" w:sz="4" w:space="0" w:color="666699"/>
              <w:bottom w:val="single" w:sz="4" w:space="0" w:color="666699"/>
              <w:right w:val="single" w:sz="4" w:space="0" w:color="666699"/>
            </w:tcBorders>
            <w:hideMark/>
          </w:tcPr>
          <w:p w14:paraId="06578320" w14:textId="77777777" w:rsidR="00E978F6" w:rsidRPr="00C71C59" w:rsidRDefault="00E978F6" w:rsidP="00976EA7">
            <w:pPr>
              <w:jc w:val="center"/>
              <w:rPr>
                <w:b/>
                <w:sz w:val="20"/>
                <w:szCs w:val="20"/>
              </w:rPr>
            </w:pPr>
            <w:r>
              <w:rPr>
                <w:b/>
                <w:bCs/>
                <w:sz w:val="20"/>
                <w:szCs w:val="20"/>
                <w:lang w:val="fr"/>
              </w:rPr>
              <w:t>2022</w:t>
            </w:r>
          </w:p>
        </w:tc>
        <w:tc>
          <w:tcPr>
            <w:tcW w:w="731" w:type="pct"/>
            <w:tcBorders>
              <w:top w:val="single" w:sz="4" w:space="0" w:color="666699"/>
              <w:left w:val="single" w:sz="4" w:space="0" w:color="666699"/>
              <w:bottom w:val="single" w:sz="4" w:space="0" w:color="666699"/>
              <w:right w:val="single" w:sz="4" w:space="0" w:color="666699"/>
            </w:tcBorders>
            <w:hideMark/>
          </w:tcPr>
          <w:p w14:paraId="664E064A" w14:textId="77777777" w:rsidR="00E978F6" w:rsidRPr="00C71C59" w:rsidRDefault="00E978F6" w:rsidP="00976EA7">
            <w:pPr>
              <w:jc w:val="center"/>
              <w:rPr>
                <w:b/>
                <w:sz w:val="20"/>
                <w:szCs w:val="20"/>
              </w:rPr>
            </w:pPr>
            <w:r>
              <w:rPr>
                <w:b/>
                <w:bCs/>
                <w:sz w:val="20"/>
                <w:szCs w:val="20"/>
                <w:lang w:val="fr"/>
              </w:rPr>
              <w:t>2023</w:t>
            </w:r>
          </w:p>
        </w:tc>
        <w:tc>
          <w:tcPr>
            <w:tcW w:w="731" w:type="pct"/>
            <w:tcBorders>
              <w:top w:val="single" w:sz="4" w:space="0" w:color="666699"/>
              <w:left w:val="single" w:sz="4" w:space="0" w:color="666699"/>
              <w:bottom w:val="single" w:sz="4" w:space="0" w:color="666699"/>
              <w:right w:val="single" w:sz="4" w:space="0" w:color="666699"/>
            </w:tcBorders>
            <w:hideMark/>
          </w:tcPr>
          <w:p w14:paraId="5A543067" w14:textId="77777777" w:rsidR="00E978F6" w:rsidRPr="00C71C59" w:rsidRDefault="00E978F6" w:rsidP="00976EA7">
            <w:pPr>
              <w:jc w:val="center"/>
              <w:rPr>
                <w:b/>
                <w:sz w:val="20"/>
                <w:szCs w:val="20"/>
              </w:rPr>
            </w:pPr>
            <w:r>
              <w:rPr>
                <w:b/>
                <w:bCs/>
                <w:sz w:val="20"/>
                <w:szCs w:val="20"/>
                <w:lang w:val="fr"/>
              </w:rPr>
              <w:t>2024</w:t>
            </w:r>
          </w:p>
        </w:tc>
        <w:tc>
          <w:tcPr>
            <w:tcW w:w="768" w:type="pct"/>
            <w:tcBorders>
              <w:top w:val="single" w:sz="4" w:space="0" w:color="666699"/>
              <w:left w:val="single" w:sz="4" w:space="0" w:color="666699"/>
              <w:bottom w:val="single" w:sz="4" w:space="0" w:color="666699"/>
              <w:right w:val="single" w:sz="4" w:space="0" w:color="666699"/>
            </w:tcBorders>
            <w:hideMark/>
          </w:tcPr>
          <w:p w14:paraId="6AD1D25B" w14:textId="77777777" w:rsidR="00E978F6" w:rsidRPr="00C71C59" w:rsidRDefault="00E978F6" w:rsidP="00976EA7">
            <w:pPr>
              <w:jc w:val="center"/>
              <w:rPr>
                <w:b/>
                <w:sz w:val="20"/>
                <w:szCs w:val="20"/>
              </w:rPr>
            </w:pPr>
            <w:r>
              <w:rPr>
                <w:b/>
                <w:bCs/>
                <w:sz w:val="20"/>
                <w:szCs w:val="20"/>
                <w:lang w:val="fr"/>
              </w:rPr>
              <w:t>Total</w:t>
            </w:r>
          </w:p>
        </w:tc>
      </w:tr>
      <w:tr w:rsidR="00E978F6" w:rsidRPr="00C71C59" w14:paraId="52D76D5C" w14:textId="77777777" w:rsidTr="00976EA7">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5AA74D24" w14:textId="77777777" w:rsidR="00E978F6" w:rsidRPr="00C71C59" w:rsidRDefault="00E978F6" w:rsidP="00976EA7">
            <w:pPr>
              <w:jc w:val="center"/>
              <w:rPr>
                <w:sz w:val="20"/>
                <w:szCs w:val="20"/>
              </w:rPr>
            </w:pPr>
            <w:r>
              <w:rPr>
                <w:color w:val="000000" w:themeColor="text1"/>
                <w:sz w:val="20"/>
                <w:szCs w:val="20"/>
                <w:lang w:val="fr"/>
              </w:rPr>
              <w:t>ONUDI</w:t>
            </w:r>
          </w:p>
        </w:tc>
        <w:tc>
          <w:tcPr>
            <w:tcW w:w="1330" w:type="pct"/>
            <w:tcBorders>
              <w:top w:val="single" w:sz="4" w:space="0" w:color="666699"/>
              <w:left w:val="single" w:sz="4" w:space="0" w:color="666699"/>
              <w:bottom w:val="single" w:sz="4" w:space="0" w:color="666699"/>
              <w:right w:val="single" w:sz="4" w:space="0" w:color="666699"/>
            </w:tcBorders>
            <w:hideMark/>
          </w:tcPr>
          <w:p w14:paraId="5F473DAF" w14:textId="77777777" w:rsidR="00E978F6" w:rsidRPr="005201DA" w:rsidRDefault="00E978F6" w:rsidP="00976EA7">
            <w:pPr>
              <w:jc w:val="left"/>
              <w:rPr>
                <w:sz w:val="20"/>
                <w:szCs w:val="20"/>
                <w:lang w:val="fr-FR"/>
              </w:rPr>
            </w:pPr>
            <w:r>
              <w:rPr>
                <w:sz w:val="20"/>
                <w:szCs w:val="20"/>
                <w:lang w:val="fr"/>
              </w:rPr>
              <w:t>Élimination des SAO (tonnes PAO)</w:t>
            </w:r>
          </w:p>
        </w:tc>
        <w:tc>
          <w:tcPr>
            <w:tcW w:w="731" w:type="pct"/>
            <w:tcBorders>
              <w:top w:val="single" w:sz="4" w:space="0" w:color="666699"/>
              <w:left w:val="single" w:sz="4" w:space="0" w:color="666699"/>
              <w:bottom w:val="single" w:sz="4" w:space="0" w:color="666699"/>
              <w:right w:val="single" w:sz="4" w:space="0" w:color="666699"/>
            </w:tcBorders>
          </w:tcPr>
          <w:p w14:paraId="4B165A16" w14:textId="77777777" w:rsidR="00E978F6" w:rsidRPr="00C71C59" w:rsidRDefault="00E978F6" w:rsidP="00976EA7">
            <w:pPr>
              <w:jc w:val="right"/>
              <w:rPr>
                <w:sz w:val="20"/>
                <w:szCs w:val="20"/>
              </w:rPr>
            </w:pPr>
            <w:r>
              <w:rPr>
                <w:sz w:val="20"/>
                <w:szCs w:val="20"/>
                <w:lang w:val="fr"/>
              </w:rPr>
              <w:t>0,74</w:t>
            </w:r>
          </w:p>
        </w:tc>
        <w:tc>
          <w:tcPr>
            <w:tcW w:w="731" w:type="pct"/>
            <w:tcBorders>
              <w:top w:val="single" w:sz="4" w:space="0" w:color="666699"/>
              <w:left w:val="single" w:sz="4" w:space="0" w:color="666699"/>
              <w:bottom w:val="single" w:sz="4" w:space="0" w:color="666699"/>
              <w:right w:val="single" w:sz="4" w:space="0" w:color="666699"/>
            </w:tcBorders>
          </w:tcPr>
          <w:p w14:paraId="338ACCF8" w14:textId="77777777" w:rsidR="00E978F6" w:rsidRPr="00C71C59" w:rsidRDefault="00E978F6" w:rsidP="00976EA7">
            <w:pPr>
              <w:jc w:val="right"/>
              <w:rPr>
                <w:sz w:val="20"/>
                <w:szCs w:val="20"/>
              </w:rPr>
            </w:pPr>
            <w:r>
              <w:rPr>
                <w:sz w:val="20"/>
                <w:szCs w:val="20"/>
                <w:lang w:val="fr"/>
              </w:rPr>
              <w:t>0,00</w:t>
            </w:r>
          </w:p>
        </w:tc>
        <w:tc>
          <w:tcPr>
            <w:tcW w:w="731" w:type="pct"/>
            <w:tcBorders>
              <w:top w:val="single" w:sz="4" w:space="0" w:color="666699"/>
              <w:left w:val="single" w:sz="4" w:space="0" w:color="666699"/>
              <w:bottom w:val="single" w:sz="4" w:space="0" w:color="666699"/>
              <w:right w:val="single" w:sz="4" w:space="0" w:color="666699"/>
            </w:tcBorders>
          </w:tcPr>
          <w:p w14:paraId="6EE60ACD" w14:textId="77777777" w:rsidR="00E978F6" w:rsidRPr="00C71C59" w:rsidRDefault="00E978F6" w:rsidP="00976EA7">
            <w:pPr>
              <w:jc w:val="right"/>
              <w:rPr>
                <w:sz w:val="20"/>
                <w:szCs w:val="20"/>
              </w:rPr>
            </w:pPr>
            <w:r>
              <w:rPr>
                <w:sz w:val="20"/>
                <w:szCs w:val="20"/>
                <w:lang w:val="fr"/>
              </w:rPr>
              <w:t>0,00</w:t>
            </w:r>
          </w:p>
        </w:tc>
        <w:tc>
          <w:tcPr>
            <w:tcW w:w="768" w:type="pct"/>
            <w:tcBorders>
              <w:top w:val="single" w:sz="4" w:space="0" w:color="666699"/>
              <w:left w:val="single" w:sz="4" w:space="0" w:color="666699"/>
              <w:bottom w:val="single" w:sz="4" w:space="0" w:color="666699"/>
              <w:right w:val="single" w:sz="4" w:space="0" w:color="666699"/>
            </w:tcBorders>
          </w:tcPr>
          <w:p w14:paraId="0A3949F8" w14:textId="77777777" w:rsidR="00E978F6" w:rsidRPr="00C71C59" w:rsidRDefault="00E978F6" w:rsidP="00976EA7">
            <w:pPr>
              <w:jc w:val="right"/>
              <w:rPr>
                <w:sz w:val="20"/>
                <w:szCs w:val="20"/>
              </w:rPr>
            </w:pPr>
            <w:r>
              <w:rPr>
                <w:sz w:val="20"/>
                <w:szCs w:val="20"/>
                <w:lang w:val="fr"/>
              </w:rPr>
              <w:t>0,74</w:t>
            </w:r>
          </w:p>
        </w:tc>
      </w:tr>
      <w:tr w:rsidR="00E978F6" w:rsidRPr="00C71C59" w14:paraId="00DD560E" w14:textId="77777777" w:rsidTr="00976EA7">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2D8B3A17" w14:textId="77777777" w:rsidR="00E978F6" w:rsidRPr="00C71C59" w:rsidRDefault="00E978F6" w:rsidP="00976EA7">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51404BC3" w14:textId="77777777" w:rsidR="00E978F6" w:rsidRPr="00C71C59" w:rsidRDefault="00E978F6" w:rsidP="00976EA7">
            <w:pPr>
              <w:jc w:val="left"/>
              <w:rPr>
                <w:sz w:val="20"/>
                <w:szCs w:val="20"/>
              </w:rPr>
            </w:pPr>
            <w:r>
              <w:rPr>
                <w:sz w:val="20"/>
                <w:szCs w:val="20"/>
                <w:lang w:val="fr"/>
              </w:rPr>
              <w:t>Financement ($ US)</w:t>
            </w:r>
          </w:p>
        </w:tc>
        <w:tc>
          <w:tcPr>
            <w:tcW w:w="731" w:type="pct"/>
            <w:tcBorders>
              <w:top w:val="single" w:sz="4" w:space="0" w:color="666699"/>
              <w:left w:val="single" w:sz="4" w:space="0" w:color="666699"/>
              <w:bottom w:val="single" w:sz="4" w:space="0" w:color="666699"/>
              <w:right w:val="single" w:sz="4" w:space="0" w:color="666699"/>
            </w:tcBorders>
          </w:tcPr>
          <w:p w14:paraId="2AA755A7" w14:textId="77777777" w:rsidR="00E978F6" w:rsidRPr="00C71C59" w:rsidRDefault="00E978F6" w:rsidP="00976EA7">
            <w:pPr>
              <w:jc w:val="right"/>
              <w:rPr>
                <w:sz w:val="20"/>
                <w:szCs w:val="20"/>
              </w:rPr>
            </w:pPr>
            <w:r>
              <w:rPr>
                <w:sz w:val="20"/>
                <w:szCs w:val="20"/>
                <w:lang w:val="fr"/>
              </w:rPr>
              <w:t>110 745</w:t>
            </w:r>
          </w:p>
        </w:tc>
        <w:tc>
          <w:tcPr>
            <w:tcW w:w="731" w:type="pct"/>
            <w:tcBorders>
              <w:top w:val="single" w:sz="4" w:space="0" w:color="666699"/>
              <w:left w:val="single" w:sz="4" w:space="0" w:color="666699"/>
              <w:bottom w:val="single" w:sz="4" w:space="0" w:color="666699"/>
              <w:right w:val="single" w:sz="4" w:space="0" w:color="666699"/>
            </w:tcBorders>
          </w:tcPr>
          <w:p w14:paraId="708DAB07" w14:textId="77777777" w:rsidR="00E978F6" w:rsidRPr="00C71C59" w:rsidRDefault="00E978F6" w:rsidP="00976EA7">
            <w:pPr>
              <w:jc w:val="right"/>
              <w:rPr>
                <w:sz w:val="20"/>
                <w:szCs w:val="20"/>
              </w:rPr>
            </w:pPr>
            <w:r>
              <w:rPr>
                <w:sz w:val="20"/>
                <w:szCs w:val="20"/>
                <w:lang w:val="fr"/>
              </w:rPr>
              <w:t>0</w:t>
            </w:r>
          </w:p>
        </w:tc>
        <w:tc>
          <w:tcPr>
            <w:tcW w:w="731" w:type="pct"/>
            <w:tcBorders>
              <w:top w:val="single" w:sz="4" w:space="0" w:color="666699"/>
              <w:left w:val="single" w:sz="4" w:space="0" w:color="666699"/>
              <w:bottom w:val="single" w:sz="4" w:space="0" w:color="666699"/>
              <w:right w:val="single" w:sz="4" w:space="0" w:color="666699"/>
            </w:tcBorders>
          </w:tcPr>
          <w:p w14:paraId="05E710B3" w14:textId="77777777" w:rsidR="00E978F6" w:rsidRPr="00C71C59" w:rsidRDefault="00E978F6" w:rsidP="00976EA7">
            <w:pPr>
              <w:jc w:val="right"/>
              <w:rPr>
                <w:sz w:val="20"/>
                <w:szCs w:val="20"/>
              </w:rPr>
            </w:pPr>
            <w:r>
              <w:rPr>
                <w:sz w:val="20"/>
                <w:szCs w:val="20"/>
                <w:lang w:val="fr"/>
              </w:rPr>
              <w:t>0</w:t>
            </w:r>
          </w:p>
        </w:tc>
        <w:tc>
          <w:tcPr>
            <w:tcW w:w="768" w:type="pct"/>
            <w:tcBorders>
              <w:top w:val="single" w:sz="4" w:space="0" w:color="666699"/>
              <w:left w:val="single" w:sz="4" w:space="0" w:color="666699"/>
              <w:bottom w:val="single" w:sz="4" w:space="0" w:color="666699"/>
              <w:right w:val="single" w:sz="4" w:space="0" w:color="666699"/>
            </w:tcBorders>
          </w:tcPr>
          <w:p w14:paraId="0C785EE6" w14:textId="77777777" w:rsidR="00E978F6" w:rsidRPr="00C71C59" w:rsidRDefault="00E978F6" w:rsidP="00976EA7">
            <w:pPr>
              <w:jc w:val="right"/>
              <w:rPr>
                <w:sz w:val="20"/>
                <w:szCs w:val="20"/>
              </w:rPr>
            </w:pPr>
            <w:r>
              <w:rPr>
                <w:sz w:val="20"/>
                <w:szCs w:val="20"/>
                <w:lang w:val="fr"/>
              </w:rPr>
              <w:t>110 745</w:t>
            </w:r>
          </w:p>
        </w:tc>
      </w:tr>
    </w:tbl>
    <w:p w14:paraId="463B08EA" w14:textId="77777777" w:rsidR="00E978F6" w:rsidRPr="00C71C59" w:rsidRDefault="00E978F6" w:rsidP="00E978F6">
      <w:pPr>
        <w:jc w:val="center"/>
        <w:rPr>
          <w:sz w:val="20"/>
          <w:szCs w:val="20"/>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71"/>
        <w:gridCol w:w="992"/>
        <w:gridCol w:w="1276"/>
        <w:gridCol w:w="922"/>
        <w:gridCol w:w="923"/>
        <w:gridCol w:w="923"/>
        <w:gridCol w:w="922"/>
        <w:gridCol w:w="923"/>
        <w:gridCol w:w="923"/>
        <w:gridCol w:w="923"/>
      </w:tblGrid>
      <w:tr w:rsidR="00E978F6" w:rsidRPr="00C71C59" w14:paraId="3EE2C3EA" w14:textId="77777777" w:rsidTr="00976EA7">
        <w:trPr>
          <w:trHeight w:val="286"/>
        </w:trPr>
        <w:tc>
          <w:tcPr>
            <w:tcW w:w="3539" w:type="dxa"/>
            <w:gridSpan w:val="3"/>
            <w:tcBorders>
              <w:top w:val="single" w:sz="4" w:space="0" w:color="666699"/>
              <w:left w:val="single" w:sz="4" w:space="0" w:color="666699"/>
              <w:bottom w:val="single" w:sz="4" w:space="0" w:color="666699"/>
              <w:right w:val="single" w:sz="4" w:space="0" w:color="666699"/>
            </w:tcBorders>
            <w:hideMark/>
          </w:tcPr>
          <w:p w14:paraId="61D1CAD4" w14:textId="77777777" w:rsidR="00E978F6" w:rsidRPr="00C71C59" w:rsidRDefault="00E978F6" w:rsidP="00976EA7">
            <w:pPr>
              <w:spacing w:afterLines="20" w:after="48"/>
              <w:jc w:val="left"/>
              <w:rPr>
                <w:b/>
                <w:sz w:val="20"/>
                <w:szCs w:val="20"/>
              </w:rPr>
            </w:pPr>
            <w:r>
              <w:rPr>
                <w:b/>
                <w:bCs/>
                <w:sz w:val="20"/>
                <w:szCs w:val="20"/>
                <w:lang w:val="fr"/>
              </w:rPr>
              <w:t>(VI) DONNÉES DU PROJET</w:t>
            </w:r>
          </w:p>
        </w:tc>
        <w:tc>
          <w:tcPr>
            <w:tcW w:w="922" w:type="dxa"/>
            <w:tcBorders>
              <w:top w:val="single" w:sz="4" w:space="0" w:color="666699"/>
              <w:left w:val="single" w:sz="4" w:space="0" w:color="666699"/>
              <w:bottom w:val="single" w:sz="4" w:space="0" w:color="666699"/>
              <w:right w:val="single" w:sz="4" w:space="0" w:color="666699"/>
            </w:tcBorders>
            <w:hideMark/>
          </w:tcPr>
          <w:p w14:paraId="485F19CE" w14:textId="77777777" w:rsidR="00E978F6" w:rsidRPr="00C71C59" w:rsidRDefault="00E978F6" w:rsidP="00976EA7">
            <w:pPr>
              <w:spacing w:afterLines="20" w:after="48"/>
              <w:jc w:val="center"/>
              <w:rPr>
                <w:b/>
                <w:sz w:val="20"/>
                <w:szCs w:val="20"/>
                <w:highlight w:val="cyan"/>
              </w:rPr>
            </w:pPr>
            <w:r>
              <w:rPr>
                <w:b/>
                <w:bCs/>
                <w:sz w:val="20"/>
                <w:szCs w:val="20"/>
                <w:lang w:val="fr"/>
              </w:rPr>
              <w:t>2020</w:t>
            </w:r>
          </w:p>
        </w:tc>
        <w:tc>
          <w:tcPr>
            <w:tcW w:w="923" w:type="dxa"/>
            <w:tcBorders>
              <w:top w:val="single" w:sz="4" w:space="0" w:color="666699"/>
              <w:left w:val="single" w:sz="4" w:space="0" w:color="666699"/>
              <w:right w:val="single" w:sz="4" w:space="0" w:color="666699"/>
            </w:tcBorders>
            <w:hideMark/>
          </w:tcPr>
          <w:p w14:paraId="036DD82B" w14:textId="77777777" w:rsidR="00E978F6" w:rsidRPr="00C71C59" w:rsidRDefault="00E978F6" w:rsidP="00976EA7">
            <w:pPr>
              <w:spacing w:afterLines="20" w:after="48"/>
              <w:jc w:val="center"/>
              <w:rPr>
                <w:b/>
                <w:sz w:val="20"/>
                <w:szCs w:val="20"/>
                <w:highlight w:val="cyan"/>
              </w:rPr>
            </w:pPr>
            <w:r>
              <w:rPr>
                <w:b/>
                <w:bCs/>
                <w:sz w:val="20"/>
                <w:szCs w:val="20"/>
                <w:lang w:val="fr"/>
              </w:rPr>
              <w:t>2021</w:t>
            </w:r>
          </w:p>
        </w:tc>
        <w:tc>
          <w:tcPr>
            <w:tcW w:w="923" w:type="dxa"/>
            <w:tcBorders>
              <w:top w:val="single" w:sz="4" w:space="0" w:color="666699"/>
              <w:left w:val="single" w:sz="4" w:space="0" w:color="666699"/>
              <w:right w:val="single" w:sz="4" w:space="0" w:color="666699"/>
            </w:tcBorders>
          </w:tcPr>
          <w:p w14:paraId="280AA56A" w14:textId="77777777" w:rsidR="00E978F6" w:rsidRPr="00C71C59" w:rsidRDefault="00E978F6" w:rsidP="00976EA7">
            <w:pPr>
              <w:spacing w:afterLines="20" w:after="48"/>
              <w:jc w:val="center"/>
              <w:rPr>
                <w:b/>
                <w:sz w:val="20"/>
                <w:szCs w:val="20"/>
                <w:highlight w:val="cyan"/>
              </w:rPr>
            </w:pPr>
            <w:r>
              <w:rPr>
                <w:b/>
                <w:bCs/>
                <w:sz w:val="20"/>
                <w:szCs w:val="20"/>
                <w:lang w:val="fr"/>
              </w:rPr>
              <w:t>2022</w:t>
            </w:r>
          </w:p>
        </w:tc>
        <w:tc>
          <w:tcPr>
            <w:tcW w:w="922" w:type="dxa"/>
            <w:tcBorders>
              <w:top w:val="single" w:sz="4" w:space="0" w:color="666699"/>
              <w:left w:val="single" w:sz="4" w:space="0" w:color="666699"/>
              <w:bottom w:val="single" w:sz="4" w:space="0" w:color="666699"/>
              <w:right w:val="single" w:sz="4" w:space="0" w:color="666699"/>
            </w:tcBorders>
            <w:hideMark/>
          </w:tcPr>
          <w:p w14:paraId="3B78AB66" w14:textId="77777777" w:rsidR="00E978F6" w:rsidRPr="00C71C59" w:rsidRDefault="00E978F6" w:rsidP="00976EA7">
            <w:pPr>
              <w:spacing w:afterLines="20" w:after="48"/>
              <w:jc w:val="center"/>
              <w:rPr>
                <w:b/>
                <w:sz w:val="20"/>
                <w:szCs w:val="20"/>
                <w:highlight w:val="cyan"/>
              </w:rPr>
            </w:pPr>
            <w:r>
              <w:rPr>
                <w:b/>
                <w:bCs/>
                <w:sz w:val="20"/>
                <w:szCs w:val="20"/>
                <w:lang w:val="fr"/>
              </w:rPr>
              <w:t>2023</w:t>
            </w:r>
          </w:p>
        </w:tc>
        <w:tc>
          <w:tcPr>
            <w:tcW w:w="923" w:type="dxa"/>
            <w:tcBorders>
              <w:top w:val="single" w:sz="4" w:space="0" w:color="666699"/>
              <w:left w:val="single" w:sz="4" w:space="0" w:color="666699"/>
              <w:bottom w:val="single" w:sz="4" w:space="0" w:color="666699"/>
              <w:right w:val="single" w:sz="4" w:space="0" w:color="666699"/>
            </w:tcBorders>
            <w:hideMark/>
          </w:tcPr>
          <w:p w14:paraId="1F54445E" w14:textId="77777777" w:rsidR="00E978F6" w:rsidRPr="00C71C59" w:rsidRDefault="00E978F6" w:rsidP="00976EA7">
            <w:pPr>
              <w:spacing w:afterLines="20" w:after="48"/>
              <w:jc w:val="center"/>
              <w:rPr>
                <w:b/>
                <w:sz w:val="20"/>
                <w:szCs w:val="20"/>
                <w:highlight w:val="cyan"/>
              </w:rPr>
            </w:pPr>
            <w:r>
              <w:rPr>
                <w:b/>
                <w:bCs/>
                <w:sz w:val="20"/>
                <w:szCs w:val="20"/>
                <w:lang w:val="fr"/>
              </w:rPr>
              <w:t>2024</w:t>
            </w:r>
          </w:p>
        </w:tc>
        <w:tc>
          <w:tcPr>
            <w:tcW w:w="923" w:type="dxa"/>
            <w:tcBorders>
              <w:top w:val="single" w:sz="4" w:space="0" w:color="666699"/>
              <w:left w:val="single" w:sz="4" w:space="0" w:color="666699"/>
              <w:bottom w:val="single" w:sz="4" w:space="0" w:color="666699"/>
              <w:right w:val="single" w:sz="4" w:space="0" w:color="666699"/>
            </w:tcBorders>
            <w:hideMark/>
          </w:tcPr>
          <w:p w14:paraId="7ECF9B98" w14:textId="77777777" w:rsidR="00E978F6" w:rsidRPr="00C71C59" w:rsidRDefault="00E978F6" w:rsidP="00976EA7">
            <w:pPr>
              <w:spacing w:afterLines="20" w:after="48"/>
              <w:jc w:val="center"/>
              <w:rPr>
                <w:b/>
                <w:sz w:val="20"/>
                <w:szCs w:val="20"/>
                <w:highlight w:val="cyan"/>
              </w:rPr>
            </w:pPr>
            <w:r>
              <w:rPr>
                <w:b/>
                <w:bCs/>
                <w:sz w:val="20"/>
                <w:szCs w:val="20"/>
                <w:lang w:val="fr"/>
              </w:rPr>
              <w:t>2025</w:t>
            </w:r>
          </w:p>
        </w:tc>
        <w:tc>
          <w:tcPr>
            <w:tcW w:w="923" w:type="dxa"/>
            <w:tcBorders>
              <w:top w:val="single" w:sz="4" w:space="0" w:color="666699"/>
              <w:left w:val="single" w:sz="4" w:space="0" w:color="666699"/>
              <w:bottom w:val="single" w:sz="4" w:space="0" w:color="666699"/>
              <w:right w:val="single" w:sz="4" w:space="0" w:color="666699"/>
            </w:tcBorders>
            <w:hideMark/>
          </w:tcPr>
          <w:p w14:paraId="7D910110" w14:textId="77777777" w:rsidR="00E978F6" w:rsidRPr="00C71C59" w:rsidRDefault="00E978F6" w:rsidP="00976EA7">
            <w:pPr>
              <w:spacing w:afterLines="20" w:after="48"/>
              <w:jc w:val="center"/>
              <w:rPr>
                <w:b/>
                <w:sz w:val="20"/>
                <w:szCs w:val="20"/>
              </w:rPr>
            </w:pPr>
            <w:r>
              <w:rPr>
                <w:b/>
                <w:bCs/>
                <w:sz w:val="20"/>
                <w:szCs w:val="20"/>
                <w:lang w:val="fr"/>
              </w:rPr>
              <w:t>Total</w:t>
            </w:r>
          </w:p>
        </w:tc>
      </w:tr>
      <w:tr w:rsidR="00E978F6" w:rsidRPr="00C71C59" w14:paraId="55786921" w14:textId="77777777" w:rsidTr="00976EA7">
        <w:trPr>
          <w:trHeight w:val="170"/>
        </w:trPr>
        <w:tc>
          <w:tcPr>
            <w:tcW w:w="3539" w:type="dxa"/>
            <w:gridSpan w:val="3"/>
            <w:tcBorders>
              <w:top w:val="single" w:sz="4" w:space="0" w:color="666699"/>
              <w:left w:val="single" w:sz="4" w:space="0" w:color="666699"/>
              <w:bottom w:val="single" w:sz="4" w:space="0" w:color="666699"/>
              <w:right w:val="single" w:sz="4" w:space="0" w:color="666699"/>
            </w:tcBorders>
            <w:hideMark/>
          </w:tcPr>
          <w:p w14:paraId="1C82C0A7" w14:textId="77777777" w:rsidR="00E978F6" w:rsidRPr="005201DA" w:rsidRDefault="00E978F6" w:rsidP="00976EA7">
            <w:pPr>
              <w:spacing w:afterLines="20" w:after="48"/>
              <w:jc w:val="left"/>
              <w:rPr>
                <w:sz w:val="20"/>
                <w:szCs w:val="20"/>
                <w:lang w:val="fr-FR"/>
              </w:rPr>
            </w:pPr>
            <w:r>
              <w:rPr>
                <w:sz w:val="20"/>
                <w:szCs w:val="20"/>
                <w:lang w:val="fr"/>
              </w:rPr>
              <w:t>Limites de consommation du Protocole de Montréal (tonnes PAO)</w:t>
            </w:r>
          </w:p>
        </w:tc>
        <w:tc>
          <w:tcPr>
            <w:tcW w:w="922" w:type="dxa"/>
            <w:tcBorders>
              <w:top w:val="single" w:sz="4" w:space="0" w:color="666699"/>
              <w:left w:val="single" w:sz="4" w:space="0" w:color="666699"/>
              <w:bottom w:val="single" w:sz="4" w:space="0" w:color="666699"/>
              <w:right w:val="single" w:sz="4" w:space="0" w:color="666699"/>
            </w:tcBorders>
          </w:tcPr>
          <w:p w14:paraId="5F257592" w14:textId="77777777" w:rsidR="00E978F6" w:rsidRPr="00C71C59" w:rsidRDefault="00E978F6" w:rsidP="00976EA7">
            <w:pPr>
              <w:spacing w:afterLines="20" w:after="48"/>
              <w:jc w:val="right"/>
              <w:rPr>
                <w:sz w:val="20"/>
                <w:szCs w:val="20"/>
              </w:rPr>
            </w:pPr>
            <w:r>
              <w:rPr>
                <w:sz w:val="20"/>
                <w:szCs w:val="20"/>
                <w:lang w:val="fr"/>
              </w:rPr>
              <w:t>4,42</w:t>
            </w:r>
          </w:p>
        </w:tc>
        <w:tc>
          <w:tcPr>
            <w:tcW w:w="923" w:type="dxa"/>
            <w:tcBorders>
              <w:left w:val="single" w:sz="4" w:space="0" w:color="666699"/>
              <w:right w:val="single" w:sz="4" w:space="0" w:color="666699"/>
            </w:tcBorders>
          </w:tcPr>
          <w:p w14:paraId="3B1C5701"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3" w:type="dxa"/>
            <w:tcBorders>
              <w:left w:val="single" w:sz="4" w:space="0" w:color="666699"/>
              <w:right w:val="single" w:sz="4" w:space="0" w:color="666699"/>
            </w:tcBorders>
          </w:tcPr>
          <w:p w14:paraId="49428998"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2" w:type="dxa"/>
            <w:tcBorders>
              <w:top w:val="single" w:sz="4" w:space="0" w:color="666699"/>
              <w:left w:val="single" w:sz="4" w:space="0" w:color="666699"/>
              <w:bottom w:val="single" w:sz="4" w:space="0" w:color="666699"/>
              <w:right w:val="single" w:sz="4" w:space="0" w:color="666699"/>
            </w:tcBorders>
          </w:tcPr>
          <w:p w14:paraId="18A569F5"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3" w:type="dxa"/>
            <w:tcBorders>
              <w:top w:val="single" w:sz="4" w:space="0" w:color="666699"/>
              <w:left w:val="single" w:sz="4" w:space="0" w:color="666699"/>
              <w:bottom w:val="single" w:sz="4" w:space="0" w:color="666699"/>
              <w:right w:val="single" w:sz="4" w:space="0" w:color="666699"/>
            </w:tcBorders>
          </w:tcPr>
          <w:p w14:paraId="1CDE9866"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3" w:type="dxa"/>
            <w:tcBorders>
              <w:top w:val="single" w:sz="4" w:space="0" w:color="666699"/>
              <w:left w:val="single" w:sz="4" w:space="0" w:color="666699"/>
              <w:bottom w:val="single" w:sz="4" w:space="0" w:color="666699"/>
              <w:right w:val="single" w:sz="4" w:space="0" w:color="666699"/>
            </w:tcBorders>
          </w:tcPr>
          <w:p w14:paraId="228943F8" w14:textId="77777777" w:rsidR="00E978F6" w:rsidRPr="00C71C59" w:rsidRDefault="00E978F6" w:rsidP="00976EA7">
            <w:pPr>
              <w:spacing w:afterLines="20" w:after="48"/>
              <w:jc w:val="right"/>
              <w:rPr>
                <w:sz w:val="20"/>
                <w:szCs w:val="20"/>
              </w:rPr>
            </w:pPr>
            <w:r>
              <w:rPr>
                <w:color w:val="000000"/>
                <w:sz w:val="20"/>
                <w:szCs w:val="20"/>
                <w:lang w:val="fr"/>
              </w:rPr>
              <w:t>2,21</w:t>
            </w:r>
          </w:p>
        </w:tc>
        <w:tc>
          <w:tcPr>
            <w:tcW w:w="923" w:type="dxa"/>
            <w:tcBorders>
              <w:top w:val="single" w:sz="4" w:space="0" w:color="666699"/>
              <w:left w:val="single" w:sz="4" w:space="0" w:color="666699"/>
              <w:bottom w:val="single" w:sz="4" w:space="0" w:color="666699"/>
              <w:right w:val="single" w:sz="4" w:space="0" w:color="666699"/>
            </w:tcBorders>
            <w:hideMark/>
          </w:tcPr>
          <w:p w14:paraId="07013C71" w14:textId="77777777" w:rsidR="00E978F6" w:rsidRPr="00C71C59" w:rsidRDefault="00E978F6" w:rsidP="00976EA7">
            <w:pPr>
              <w:spacing w:afterLines="20" w:after="48"/>
              <w:jc w:val="right"/>
              <w:rPr>
                <w:sz w:val="20"/>
                <w:szCs w:val="20"/>
              </w:rPr>
            </w:pPr>
            <w:proofErr w:type="spellStart"/>
            <w:r>
              <w:rPr>
                <w:sz w:val="20"/>
                <w:szCs w:val="20"/>
                <w:lang w:val="fr"/>
              </w:rPr>
              <w:t>s.o</w:t>
            </w:r>
            <w:proofErr w:type="spellEnd"/>
            <w:r>
              <w:rPr>
                <w:sz w:val="20"/>
                <w:szCs w:val="20"/>
                <w:lang w:val="fr"/>
              </w:rPr>
              <w:t>.</w:t>
            </w:r>
          </w:p>
        </w:tc>
      </w:tr>
      <w:tr w:rsidR="00E978F6" w:rsidRPr="00C71C59" w14:paraId="780E5C40" w14:textId="77777777" w:rsidTr="00976EA7">
        <w:trPr>
          <w:trHeight w:val="80"/>
        </w:trPr>
        <w:tc>
          <w:tcPr>
            <w:tcW w:w="3539" w:type="dxa"/>
            <w:gridSpan w:val="3"/>
            <w:tcBorders>
              <w:top w:val="single" w:sz="4" w:space="0" w:color="666699"/>
              <w:left w:val="single" w:sz="4" w:space="0" w:color="666699"/>
              <w:bottom w:val="single" w:sz="4" w:space="0" w:color="666699"/>
              <w:right w:val="single" w:sz="4" w:space="0" w:color="666699"/>
            </w:tcBorders>
            <w:hideMark/>
          </w:tcPr>
          <w:p w14:paraId="07660C08" w14:textId="77777777" w:rsidR="00E978F6" w:rsidRPr="005201DA" w:rsidRDefault="00E978F6" w:rsidP="00976EA7">
            <w:pPr>
              <w:spacing w:afterLines="20" w:after="48"/>
              <w:jc w:val="left"/>
              <w:rPr>
                <w:sz w:val="20"/>
                <w:szCs w:val="20"/>
                <w:lang w:val="fr-FR"/>
              </w:rPr>
            </w:pPr>
            <w:r>
              <w:rPr>
                <w:sz w:val="20"/>
                <w:szCs w:val="20"/>
                <w:lang w:val="fr"/>
              </w:rPr>
              <w:t>Consommation maximale admissible (tonnes PAO)</w:t>
            </w:r>
          </w:p>
        </w:tc>
        <w:tc>
          <w:tcPr>
            <w:tcW w:w="922" w:type="dxa"/>
            <w:tcBorders>
              <w:top w:val="single" w:sz="4" w:space="0" w:color="666699"/>
              <w:left w:val="single" w:sz="4" w:space="0" w:color="666699"/>
              <w:bottom w:val="single" w:sz="4" w:space="0" w:color="666699"/>
              <w:right w:val="single" w:sz="4" w:space="0" w:color="666699"/>
            </w:tcBorders>
          </w:tcPr>
          <w:p w14:paraId="70E837BD" w14:textId="77777777" w:rsidR="00E978F6" w:rsidRPr="00C71C59" w:rsidRDefault="00E978F6" w:rsidP="00976EA7">
            <w:pPr>
              <w:spacing w:afterLines="20" w:after="48"/>
              <w:jc w:val="right"/>
              <w:rPr>
                <w:sz w:val="20"/>
                <w:szCs w:val="20"/>
              </w:rPr>
            </w:pPr>
            <w:r>
              <w:rPr>
                <w:sz w:val="20"/>
                <w:szCs w:val="20"/>
                <w:lang w:val="fr"/>
              </w:rPr>
              <w:t>4,42</w:t>
            </w:r>
          </w:p>
        </w:tc>
        <w:tc>
          <w:tcPr>
            <w:tcW w:w="923" w:type="dxa"/>
            <w:tcBorders>
              <w:left w:val="single" w:sz="4" w:space="0" w:color="666699"/>
              <w:right w:val="single" w:sz="4" w:space="0" w:color="666699"/>
            </w:tcBorders>
          </w:tcPr>
          <w:p w14:paraId="17AF4DA4"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3" w:type="dxa"/>
            <w:tcBorders>
              <w:left w:val="single" w:sz="4" w:space="0" w:color="666699"/>
              <w:right w:val="single" w:sz="4" w:space="0" w:color="666699"/>
            </w:tcBorders>
          </w:tcPr>
          <w:p w14:paraId="3B424958"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2" w:type="dxa"/>
            <w:tcBorders>
              <w:top w:val="single" w:sz="4" w:space="0" w:color="666699"/>
              <w:left w:val="single" w:sz="4" w:space="0" w:color="666699"/>
              <w:bottom w:val="single" w:sz="4" w:space="0" w:color="666699"/>
              <w:right w:val="single" w:sz="4" w:space="0" w:color="666699"/>
            </w:tcBorders>
          </w:tcPr>
          <w:p w14:paraId="79049AB8"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3" w:type="dxa"/>
            <w:tcBorders>
              <w:top w:val="single" w:sz="4" w:space="0" w:color="666699"/>
              <w:left w:val="single" w:sz="4" w:space="0" w:color="666699"/>
              <w:bottom w:val="single" w:sz="4" w:space="0" w:color="666699"/>
              <w:right w:val="single" w:sz="4" w:space="0" w:color="666699"/>
            </w:tcBorders>
          </w:tcPr>
          <w:p w14:paraId="40B0784F" w14:textId="77777777" w:rsidR="00E978F6" w:rsidRPr="00C71C59" w:rsidRDefault="00E978F6" w:rsidP="00976EA7">
            <w:pPr>
              <w:spacing w:afterLines="20" w:after="48"/>
              <w:jc w:val="right"/>
              <w:rPr>
                <w:sz w:val="20"/>
                <w:szCs w:val="20"/>
              </w:rPr>
            </w:pPr>
            <w:r>
              <w:rPr>
                <w:color w:val="000000"/>
                <w:sz w:val="20"/>
                <w:szCs w:val="20"/>
                <w:lang w:val="fr"/>
              </w:rPr>
              <w:t>4,42</w:t>
            </w:r>
          </w:p>
        </w:tc>
        <w:tc>
          <w:tcPr>
            <w:tcW w:w="923" w:type="dxa"/>
            <w:tcBorders>
              <w:top w:val="single" w:sz="4" w:space="0" w:color="666699"/>
              <w:left w:val="single" w:sz="4" w:space="0" w:color="666699"/>
              <w:bottom w:val="single" w:sz="4" w:space="0" w:color="666699"/>
              <w:right w:val="single" w:sz="4" w:space="0" w:color="666699"/>
            </w:tcBorders>
          </w:tcPr>
          <w:p w14:paraId="4D044517" w14:textId="77777777" w:rsidR="00E978F6" w:rsidRPr="00C71C59" w:rsidRDefault="00E978F6" w:rsidP="00976EA7">
            <w:pPr>
              <w:spacing w:afterLines="20" w:after="48"/>
              <w:jc w:val="right"/>
              <w:rPr>
                <w:sz w:val="20"/>
                <w:szCs w:val="20"/>
              </w:rPr>
            </w:pPr>
            <w:r>
              <w:rPr>
                <w:color w:val="000000"/>
                <w:sz w:val="20"/>
                <w:szCs w:val="20"/>
                <w:lang w:val="fr"/>
              </w:rPr>
              <w:t>2,21</w:t>
            </w:r>
          </w:p>
        </w:tc>
        <w:tc>
          <w:tcPr>
            <w:tcW w:w="923" w:type="dxa"/>
            <w:tcBorders>
              <w:top w:val="single" w:sz="4" w:space="0" w:color="666699"/>
              <w:left w:val="single" w:sz="4" w:space="0" w:color="666699"/>
              <w:bottom w:val="single" w:sz="4" w:space="0" w:color="666699"/>
              <w:right w:val="single" w:sz="4" w:space="0" w:color="666699"/>
            </w:tcBorders>
            <w:hideMark/>
          </w:tcPr>
          <w:p w14:paraId="37DB6DC1" w14:textId="77777777" w:rsidR="00E978F6" w:rsidRPr="00C71C59" w:rsidRDefault="00E978F6" w:rsidP="00976EA7">
            <w:pPr>
              <w:spacing w:afterLines="20" w:after="48"/>
              <w:jc w:val="right"/>
              <w:rPr>
                <w:sz w:val="20"/>
                <w:szCs w:val="20"/>
              </w:rPr>
            </w:pPr>
            <w:proofErr w:type="spellStart"/>
            <w:r>
              <w:rPr>
                <w:sz w:val="20"/>
                <w:szCs w:val="20"/>
                <w:lang w:val="fr"/>
              </w:rPr>
              <w:t>s.o</w:t>
            </w:r>
            <w:proofErr w:type="spellEnd"/>
            <w:r>
              <w:rPr>
                <w:sz w:val="20"/>
                <w:szCs w:val="20"/>
                <w:lang w:val="fr"/>
              </w:rPr>
              <w:t>.</w:t>
            </w:r>
          </w:p>
        </w:tc>
      </w:tr>
      <w:tr w:rsidR="00E978F6" w:rsidRPr="00C71C59" w14:paraId="7AE29225" w14:textId="77777777" w:rsidTr="00FB41DE">
        <w:trPr>
          <w:trHeight w:val="479"/>
        </w:trPr>
        <w:tc>
          <w:tcPr>
            <w:tcW w:w="1271" w:type="dxa"/>
            <w:vMerge w:val="restart"/>
            <w:tcBorders>
              <w:top w:val="single" w:sz="4" w:space="0" w:color="666699"/>
              <w:left w:val="single" w:sz="4" w:space="0" w:color="666699"/>
              <w:bottom w:val="single" w:sz="4" w:space="0" w:color="666699"/>
              <w:right w:val="single" w:sz="4" w:space="0" w:color="666699"/>
            </w:tcBorders>
            <w:vAlign w:val="center"/>
            <w:hideMark/>
          </w:tcPr>
          <w:p w14:paraId="59F60CF8" w14:textId="77777777" w:rsidR="00E978F6" w:rsidRPr="005201DA" w:rsidRDefault="00E978F6" w:rsidP="00976EA7">
            <w:pPr>
              <w:spacing w:afterLines="20" w:after="48"/>
              <w:jc w:val="left"/>
              <w:rPr>
                <w:sz w:val="20"/>
                <w:szCs w:val="20"/>
                <w:lang w:val="fr-FR"/>
              </w:rPr>
            </w:pPr>
            <w:r>
              <w:rPr>
                <w:sz w:val="20"/>
                <w:szCs w:val="20"/>
                <w:lang w:val="fr"/>
              </w:rPr>
              <w:t>Financement convenu en principe ($ US)</w:t>
            </w:r>
          </w:p>
        </w:tc>
        <w:tc>
          <w:tcPr>
            <w:tcW w:w="992" w:type="dxa"/>
            <w:vMerge w:val="restart"/>
            <w:tcBorders>
              <w:top w:val="single" w:sz="4" w:space="0" w:color="666699"/>
              <w:left w:val="single" w:sz="4" w:space="0" w:color="666699"/>
              <w:bottom w:val="single" w:sz="4" w:space="0" w:color="666699"/>
              <w:right w:val="single" w:sz="4" w:space="0" w:color="666699"/>
            </w:tcBorders>
            <w:vAlign w:val="center"/>
            <w:hideMark/>
          </w:tcPr>
          <w:p w14:paraId="4F5C5A8A" w14:textId="77777777" w:rsidR="00E978F6" w:rsidRPr="00C71C59" w:rsidRDefault="00E978F6" w:rsidP="00976EA7">
            <w:pPr>
              <w:spacing w:afterLines="20" w:after="48"/>
              <w:jc w:val="center"/>
              <w:rPr>
                <w:sz w:val="20"/>
                <w:szCs w:val="20"/>
              </w:rPr>
            </w:pPr>
            <w:r>
              <w:rPr>
                <w:color w:val="000000" w:themeColor="text1"/>
                <w:sz w:val="20"/>
                <w:szCs w:val="20"/>
                <w:lang w:val="fr"/>
              </w:rPr>
              <w:t>ONUDI</w:t>
            </w:r>
          </w:p>
        </w:tc>
        <w:tc>
          <w:tcPr>
            <w:tcW w:w="1276" w:type="dxa"/>
            <w:tcBorders>
              <w:top w:val="single" w:sz="4" w:space="0" w:color="666699"/>
              <w:left w:val="single" w:sz="4" w:space="0" w:color="666699"/>
              <w:bottom w:val="single" w:sz="4" w:space="0" w:color="666699"/>
              <w:right w:val="single" w:sz="4" w:space="0" w:color="666699"/>
            </w:tcBorders>
            <w:hideMark/>
          </w:tcPr>
          <w:p w14:paraId="250A2ECF" w14:textId="77777777" w:rsidR="00E978F6" w:rsidRPr="00C71C59" w:rsidRDefault="00E978F6" w:rsidP="00976EA7">
            <w:pPr>
              <w:spacing w:afterLines="20" w:after="48"/>
              <w:jc w:val="left"/>
              <w:rPr>
                <w:sz w:val="20"/>
                <w:szCs w:val="20"/>
              </w:rPr>
            </w:pPr>
            <w:r>
              <w:rPr>
                <w:sz w:val="20"/>
                <w:szCs w:val="20"/>
                <w:lang w:val="fr"/>
              </w:rPr>
              <w:t>Coûts de projet</w:t>
            </w:r>
          </w:p>
        </w:tc>
        <w:tc>
          <w:tcPr>
            <w:tcW w:w="922" w:type="dxa"/>
            <w:tcBorders>
              <w:top w:val="single" w:sz="4" w:space="0" w:color="666699"/>
              <w:left w:val="single" w:sz="4" w:space="0" w:color="666699"/>
              <w:bottom w:val="single" w:sz="4" w:space="0" w:color="666699"/>
              <w:right w:val="single" w:sz="4" w:space="0" w:color="666699"/>
            </w:tcBorders>
          </w:tcPr>
          <w:p w14:paraId="12B28A67" w14:textId="77777777" w:rsidR="00E978F6" w:rsidRPr="00C71C59" w:rsidRDefault="00E978F6" w:rsidP="00976EA7">
            <w:pPr>
              <w:spacing w:afterLines="20" w:after="48"/>
              <w:jc w:val="right"/>
              <w:rPr>
                <w:color w:val="000000"/>
                <w:sz w:val="20"/>
                <w:szCs w:val="20"/>
              </w:rPr>
            </w:pPr>
            <w:r>
              <w:rPr>
                <w:sz w:val="20"/>
                <w:szCs w:val="20"/>
                <w:lang w:val="fr"/>
              </w:rPr>
              <w:t>165 000</w:t>
            </w:r>
          </w:p>
        </w:tc>
        <w:tc>
          <w:tcPr>
            <w:tcW w:w="923" w:type="dxa"/>
            <w:tcBorders>
              <w:left w:val="single" w:sz="4" w:space="0" w:color="666699"/>
              <w:right w:val="single" w:sz="4" w:space="0" w:color="666699"/>
            </w:tcBorders>
          </w:tcPr>
          <w:p w14:paraId="667444AB" w14:textId="77777777" w:rsidR="00E978F6" w:rsidRPr="00C71C59" w:rsidRDefault="00E978F6" w:rsidP="00976EA7">
            <w:pPr>
              <w:spacing w:afterLines="20" w:after="48"/>
              <w:jc w:val="right"/>
              <w:rPr>
                <w:color w:val="000000"/>
                <w:sz w:val="20"/>
                <w:szCs w:val="20"/>
              </w:rPr>
            </w:pPr>
            <w:r>
              <w:rPr>
                <w:sz w:val="20"/>
                <w:szCs w:val="20"/>
                <w:lang w:val="fr"/>
              </w:rPr>
              <w:t>0</w:t>
            </w:r>
          </w:p>
        </w:tc>
        <w:tc>
          <w:tcPr>
            <w:tcW w:w="923" w:type="dxa"/>
            <w:tcBorders>
              <w:left w:val="single" w:sz="4" w:space="0" w:color="666699"/>
              <w:right w:val="single" w:sz="4" w:space="0" w:color="666699"/>
            </w:tcBorders>
          </w:tcPr>
          <w:p w14:paraId="157B3741" w14:textId="77777777" w:rsidR="00E978F6" w:rsidRPr="00C71C59" w:rsidRDefault="00E978F6" w:rsidP="00976EA7">
            <w:pPr>
              <w:spacing w:afterLines="20" w:after="48"/>
              <w:jc w:val="right"/>
              <w:rPr>
                <w:color w:val="000000"/>
                <w:sz w:val="20"/>
                <w:szCs w:val="20"/>
              </w:rPr>
            </w:pPr>
            <w:r>
              <w:rPr>
                <w:sz w:val="20"/>
                <w:szCs w:val="20"/>
                <w:lang w:val="fr"/>
              </w:rPr>
              <w:t>103 500</w:t>
            </w:r>
          </w:p>
        </w:tc>
        <w:tc>
          <w:tcPr>
            <w:tcW w:w="922" w:type="dxa"/>
            <w:tcBorders>
              <w:top w:val="single" w:sz="4" w:space="0" w:color="666699"/>
              <w:left w:val="single" w:sz="4" w:space="0" w:color="666699"/>
              <w:bottom w:val="single" w:sz="4" w:space="0" w:color="666699"/>
              <w:right w:val="single" w:sz="4" w:space="0" w:color="666699"/>
            </w:tcBorders>
          </w:tcPr>
          <w:p w14:paraId="33037801" w14:textId="77777777" w:rsidR="00E978F6" w:rsidRPr="00C71C59" w:rsidRDefault="00E978F6" w:rsidP="00976EA7">
            <w:pPr>
              <w:spacing w:afterLines="20" w:after="48"/>
              <w:jc w:val="right"/>
              <w:rPr>
                <w:color w:val="000000"/>
                <w:sz w:val="20"/>
                <w:szCs w:val="20"/>
              </w:rPr>
            </w:pPr>
            <w:r>
              <w:rPr>
                <w:sz w:val="20"/>
                <w:szCs w:val="20"/>
                <w:lang w:val="fr"/>
              </w:rPr>
              <w:t>0</w:t>
            </w:r>
          </w:p>
        </w:tc>
        <w:tc>
          <w:tcPr>
            <w:tcW w:w="923" w:type="dxa"/>
            <w:tcBorders>
              <w:top w:val="single" w:sz="4" w:space="0" w:color="666699"/>
              <w:left w:val="single" w:sz="4" w:space="0" w:color="666699"/>
              <w:bottom w:val="single" w:sz="4" w:space="0" w:color="666699"/>
              <w:right w:val="single" w:sz="4" w:space="0" w:color="666699"/>
            </w:tcBorders>
          </w:tcPr>
          <w:p w14:paraId="271F8B77" w14:textId="77777777" w:rsidR="00E978F6" w:rsidRPr="00C71C59" w:rsidRDefault="00E978F6" w:rsidP="00976EA7">
            <w:pPr>
              <w:spacing w:afterLines="20" w:after="48"/>
              <w:jc w:val="right"/>
              <w:rPr>
                <w:color w:val="000000"/>
                <w:sz w:val="20"/>
                <w:szCs w:val="20"/>
              </w:rPr>
            </w:pPr>
            <w:r>
              <w:rPr>
                <w:sz w:val="20"/>
                <w:szCs w:val="20"/>
                <w:lang w:val="fr"/>
              </w:rPr>
              <w:t>0</w:t>
            </w:r>
          </w:p>
        </w:tc>
        <w:tc>
          <w:tcPr>
            <w:tcW w:w="923" w:type="dxa"/>
            <w:tcBorders>
              <w:top w:val="single" w:sz="4" w:space="0" w:color="666699"/>
              <w:left w:val="single" w:sz="4" w:space="0" w:color="666699"/>
              <w:bottom w:val="single" w:sz="4" w:space="0" w:color="666699"/>
              <w:right w:val="single" w:sz="4" w:space="0" w:color="666699"/>
            </w:tcBorders>
          </w:tcPr>
          <w:p w14:paraId="00362A8D" w14:textId="77777777" w:rsidR="00E978F6" w:rsidRPr="00C71C59" w:rsidRDefault="00E978F6" w:rsidP="00976EA7">
            <w:pPr>
              <w:spacing w:afterLines="20" w:after="48"/>
              <w:jc w:val="right"/>
              <w:rPr>
                <w:color w:val="000000"/>
                <w:sz w:val="20"/>
                <w:szCs w:val="20"/>
              </w:rPr>
            </w:pPr>
            <w:r>
              <w:rPr>
                <w:color w:val="000000"/>
                <w:sz w:val="20"/>
                <w:szCs w:val="20"/>
                <w:lang w:val="fr"/>
              </w:rPr>
              <w:t>40 000</w:t>
            </w:r>
          </w:p>
        </w:tc>
        <w:tc>
          <w:tcPr>
            <w:tcW w:w="923" w:type="dxa"/>
            <w:tcBorders>
              <w:top w:val="single" w:sz="4" w:space="0" w:color="666699"/>
              <w:left w:val="single" w:sz="4" w:space="0" w:color="666699"/>
              <w:bottom w:val="single" w:sz="4" w:space="0" w:color="666699"/>
              <w:right w:val="single" w:sz="4" w:space="0" w:color="666699"/>
            </w:tcBorders>
          </w:tcPr>
          <w:p w14:paraId="390B204A" w14:textId="77777777" w:rsidR="00E978F6" w:rsidRPr="00C71C59" w:rsidRDefault="00E978F6" w:rsidP="00976EA7">
            <w:pPr>
              <w:spacing w:afterLines="20" w:after="48"/>
              <w:jc w:val="right"/>
              <w:rPr>
                <w:color w:val="000000"/>
                <w:sz w:val="20"/>
                <w:szCs w:val="20"/>
              </w:rPr>
            </w:pPr>
            <w:r>
              <w:rPr>
                <w:color w:val="000000"/>
                <w:sz w:val="20"/>
                <w:szCs w:val="20"/>
                <w:lang w:val="fr"/>
              </w:rPr>
              <w:t>308 500</w:t>
            </w:r>
          </w:p>
        </w:tc>
      </w:tr>
      <w:tr w:rsidR="00E978F6" w:rsidRPr="00C71C59" w14:paraId="31177BF5" w14:textId="77777777" w:rsidTr="00FB41DE">
        <w:trPr>
          <w:trHeight w:val="479"/>
        </w:trPr>
        <w:tc>
          <w:tcPr>
            <w:tcW w:w="1271" w:type="dxa"/>
            <w:vMerge/>
            <w:tcBorders>
              <w:top w:val="single" w:sz="4" w:space="0" w:color="666699"/>
              <w:left w:val="single" w:sz="4" w:space="0" w:color="666699"/>
              <w:bottom w:val="single" w:sz="4" w:space="0" w:color="666699"/>
              <w:right w:val="single" w:sz="4" w:space="0" w:color="666699"/>
            </w:tcBorders>
            <w:vAlign w:val="center"/>
            <w:hideMark/>
          </w:tcPr>
          <w:p w14:paraId="610D86CE" w14:textId="77777777" w:rsidR="00E978F6" w:rsidRPr="00C71C59" w:rsidRDefault="00E978F6" w:rsidP="00976EA7">
            <w:pPr>
              <w:rPr>
                <w:sz w:val="20"/>
                <w:szCs w:val="20"/>
              </w:rPr>
            </w:pPr>
          </w:p>
        </w:tc>
        <w:tc>
          <w:tcPr>
            <w:tcW w:w="992" w:type="dxa"/>
            <w:vMerge/>
            <w:tcBorders>
              <w:top w:val="single" w:sz="4" w:space="0" w:color="666699"/>
              <w:left w:val="single" w:sz="4" w:space="0" w:color="666699"/>
              <w:bottom w:val="single" w:sz="4" w:space="0" w:color="666699"/>
              <w:right w:val="single" w:sz="4" w:space="0" w:color="666699"/>
            </w:tcBorders>
            <w:vAlign w:val="center"/>
            <w:hideMark/>
          </w:tcPr>
          <w:p w14:paraId="5EF9864B" w14:textId="77777777" w:rsidR="00E978F6" w:rsidRPr="00C71C59" w:rsidRDefault="00E978F6" w:rsidP="00976EA7">
            <w:pPr>
              <w:jc w:val="cente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25A1D5F2" w14:textId="77777777" w:rsidR="00E978F6" w:rsidRPr="00C71C59" w:rsidRDefault="00E978F6" w:rsidP="00976EA7">
            <w:pPr>
              <w:spacing w:afterLines="20" w:after="48"/>
              <w:jc w:val="left"/>
              <w:rPr>
                <w:sz w:val="20"/>
                <w:szCs w:val="20"/>
              </w:rPr>
            </w:pPr>
            <w:r>
              <w:rPr>
                <w:sz w:val="20"/>
                <w:szCs w:val="20"/>
                <w:lang w:val="fr"/>
              </w:rPr>
              <w:t>Coûts d’appui</w:t>
            </w:r>
          </w:p>
        </w:tc>
        <w:tc>
          <w:tcPr>
            <w:tcW w:w="922" w:type="dxa"/>
            <w:tcBorders>
              <w:top w:val="single" w:sz="4" w:space="0" w:color="666699"/>
              <w:left w:val="single" w:sz="4" w:space="0" w:color="666699"/>
              <w:bottom w:val="single" w:sz="4" w:space="0" w:color="666699"/>
              <w:right w:val="single" w:sz="4" w:space="0" w:color="666699"/>
            </w:tcBorders>
          </w:tcPr>
          <w:p w14:paraId="4C997191" w14:textId="77777777" w:rsidR="00E978F6" w:rsidRPr="00C71C59" w:rsidRDefault="00E978F6" w:rsidP="00976EA7">
            <w:pPr>
              <w:spacing w:afterLines="20" w:after="48"/>
              <w:jc w:val="right"/>
              <w:rPr>
                <w:color w:val="000000"/>
                <w:sz w:val="20"/>
                <w:szCs w:val="20"/>
              </w:rPr>
            </w:pPr>
            <w:r>
              <w:rPr>
                <w:color w:val="000000"/>
                <w:sz w:val="20"/>
                <w:szCs w:val="20"/>
                <w:lang w:val="fr"/>
              </w:rPr>
              <w:t>11 550</w:t>
            </w:r>
          </w:p>
        </w:tc>
        <w:tc>
          <w:tcPr>
            <w:tcW w:w="923" w:type="dxa"/>
            <w:tcBorders>
              <w:left w:val="single" w:sz="4" w:space="0" w:color="666699"/>
              <w:right w:val="single" w:sz="4" w:space="0" w:color="666699"/>
            </w:tcBorders>
          </w:tcPr>
          <w:p w14:paraId="35A69A8C" w14:textId="77777777" w:rsidR="00E978F6" w:rsidRPr="00C71C59" w:rsidRDefault="00E978F6" w:rsidP="00976EA7">
            <w:pPr>
              <w:spacing w:afterLines="20" w:after="48"/>
              <w:jc w:val="right"/>
              <w:rPr>
                <w:color w:val="000000"/>
                <w:sz w:val="20"/>
                <w:szCs w:val="20"/>
              </w:rPr>
            </w:pPr>
            <w:r>
              <w:rPr>
                <w:sz w:val="20"/>
                <w:szCs w:val="20"/>
                <w:lang w:val="fr"/>
              </w:rPr>
              <w:t>0</w:t>
            </w:r>
          </w:p>
        </w:tc>
        <w:tc>
          <w:tcPr>
            <w:tcW w:w="923" w:type="dxa"/>
            <w:tcBorders>
              <w:left w:val="single" w:sz="4" w:space="0" w:color="666699"/>
              <w:right w:val="single" w:sz="4" w:space="0" w:color="666699"/>
            </w:tcBorders>
          </w:tcPr>
          <w:p w14:paraId="5383C2A7" w14:textId="77777777" w:rsidR="00E978F6" w:rsidRPr="00C71C59" w:rsidRDefault="00E978F6" w:rsidP="00976EA7">
            <w:pPr>
              <w:spacing w:afterLines="20" w:after="48"/>
              <w:jc w:val="right"/>
              <w:rPr>
                <w:color w:val="000000"/>
                <w:sz w:val="20"/>
                <w:szCs w:val="20"/>
              </w:rPr>
            </w:pPr>
            <w:r>
              <w:rPr>
                <w:color w:val="000000"/>
                <w:sz w:val="20"/>
                <w:szCs w:val="20"/>
                <w:lang w:val="fr"/>
              </w:rPr>
              <w:t>7 245</w:t>
            </w:r>
          </w:p>
        </w:tc>
        <w:tc>
          <w:tcPr>
            <w:tcW w:w="922" w:type="dxa"/>
            <w:tcBorders>
              <w:top w:val="single" w:sz="4" w:space="0" w:color="666699"/>
              <w:left w:val="single" w:sz="4" w:space="0" w:color="666699"/>
              <w:bottom w:val="single" w:sz="4" w:space="0" w:color="666699"/>
              <w:right w:val="single" w:sz="4" w:space="0" w:color="666699"/>
            </w:tcBorders>
          </w:tcPr>
          <w:p w14:paraId="00CF59B0" w14:textId="77777777" w:rsidR="00E978F6" w:rsidRPr="00C71C59" w:rsidRDefault="00E978F6" w:rsidP="00976EA7">
            <w:pPr>
              <w:spacing w:afterLines="20" w:after="48"/>
              <w:jc w:val="right"/>
              <w:rPr>
                <w:color w:val="000000"/>
                <w:sz w:val="20"/>
                <w:szCs w:val="20"/>
              </w:rPr>
            </w:pPr>
            <w:r>
              <w:rPr>
                <w:sz w:val="20"/>
                <w:szCs w:val="20"/>
                <w:lang w:val="fr"/>
              </w:rPr>
              <w:t>0</w:t>
            </w:r>
          </w:p>
        </w:tc>
        <w:tc>
          <w:tcPr>
            <w:tcW w:w="923" w:type="dxa"/>
            <w:tcBorders>
              <w:top w:val="single" w:sz="4" w:space="0" w:color="666699"/>
              <w:left w:val="single" w:sz="4" w:space="0" w:color="666699"/>
              <w:bottom w:val="single" w:sz="4" w:space="0" w:color="666699"/>
              <w:right w:val="single" w:sz="4" w:space="0" w:color="666699"/>
            </w:tcBorders>
          </w:tcPr>
          <w:p w14:paraId="2DB06053" w14:textId="77777777" w:rsidR="00E978F6" w:rsidRPr="00C71C59" w:rsidRDefault="00E978F6" w:rsidP="00976EA7">
            <w:pPr>
              <w:spacing w:afterLines="20" w:after="48"/>
              <w:jc w:val="right"/>
              <w:rPr>
                <w:color w:val="000000"/>
                <w:sz w:val="20"/>
                <w:szCs w:val="20"/>
              </w:rPr>
            </w:pPr>
            <w:r>
              <w:rPr>
                <w:sz w:val="20"/>
                <w:szCs w:val="20"/>
                <w:lang w:val="fr"/>
              </w:rPr>
              <w:t>0</w:t>
            </w:r>
          </w:p>
        </w:tc>
        <w:tc>
          <w:tcPr>
            <w:tcW w:w="923" w:type="dxa"/>
            <w:tcBorders>
              <w:top w:val="single" w:sz="4" w:space="0" w:color="666699"/>
              <w:left w:val="single" w:sz="4" w:space="0" w:color="666699"/>
              <w:bottom w:val="single" w:sz="4" w:space="0" w:color="666699"/>
              <w:right w:val="single" w:sz="4" w:space="0" w:color="666699"/>
            </w:tcBorders>
          </w:tcPr>
          <w:p w14:paraId="626C0A25" w14:textId="77777777" w:rsidR="00E978F6" w:rsidRPr="00C71C59" w:rsidRDefault="00E978F6" w:rsidP="00976EA7">
            <w:pPr>
              <w:spacing w:afterLines="20" w:after="48"/>
              <w:jc w:val="right"/>
              <w:rPr>
                <w:color w:val="000000"/>
                <w:sz w:val="20"/>
                <w:szCs w:val="20"/>
              </w:rPr>
            </w:pPr>
            <w:r>
              <w:rPr>
                <w:color w:val="000000"/>
                <w:sz w:val="20"/>
                <w:szCs w:val="20"/>
                <w:lang w:val="fr"/>
              </w:rPr>
              <w:t>2 800</w:t>
            </w:r>
          </w:p>
        </w:tc>
        <w:tc>
          <w:tcPr>
            <w:tcW w:w="923" w:type="dxa"/>
            <w:tcBorders>
              <w:top w:val="single" w:sz="4" w:space="0" w:color="666699"/>
              <w:left w:val="single" w:sz="4" w:space="0" w:color="666699"/>
              <w:bottom w:val="single" w:sz="4" w:space="0" w:color="666699"/>
              <w:right w:val="single" w:sz="4" w:space="0" w:color="666699"/>
            </w:tcBorders>
          </w:tcPr>
          <w:p w14:paraId="65CE2969" w14:textId="77777777" w:rsidR="00E978F6" w:rsidRPr="00C71C59" w:rsidRDefault="00E978F6" w:rsidP="00976EA7">
            <w:pPr>
              <w:spacing w:afterLines="20" w:after="48"/>
              <w:jc w:val="right"/>
              <w:rPr>
                <w:color w:val="000000"/>
                <w:sz w:val="20"/>
                <w:szCs w:val="20"/>
              </w:rPr>
            </w:pPr>
            <w:r>
              <w:rPr>
                <w:color w:val="000000"/>
                <w:sz w:val="20"/>
                <w:szCs w:val="20"/>
                <w:lang w:val="fr"/>
              </w:rPr>
              <w:t>21 595</w:t>
            </w:r>
          </w:p>
        </w:tc>
      </w:tr>
      <w:tr w:rsidR="00E978F6" w:rsidRPr="00C71C59" w14:paraId="2D057D56" w14:textId="77777777" w:rsidTr="00976EA7">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6CFB4589" w14:textId="77777777" w:rsidR="00E978F6" w:rsidRPr="005201DA" w:rsidRDefault="00E978F6" w:rsidP="00976EA7">
            <w:pPr>
              <w:spacing w:afterLines="20" w:after="48"/>
              <w:jc w:val="left"/>
              <w:rPr>
                <w:sz w:val="20"/>
                <w:szCs w:val="20"/>
                <w:lang w:val="fr-FR"/>
              </w:rPr>
            </w:pPr>
            <w:r>
              <w:rPr>
                <w:sz w:val="20"/>
                <w:szCs w:val="20"/>
                <w:lang w:val="fr"/>
              </w:rPr>
              <w:t xml:space="preserve">Financement approuvé par </w:t>
            </w:r>
            <w:proofErr w:type="spellStart"/>
            <w:r>
              <w:rPr>
                <w:sz w:val="20"/>
                <w:szCs w:val="20"/>
                <w:lang w:val="fr"/>
              </w:rPr>
              <w:t>ExCom</w:t>
            </w:r>
            <w:proofErr w:type="spellEnd"/>
            <w:r>
              <w:rPr>
                <w:sz w:val="20"/>
                <w:szCs w:val="20"/>
                <w:lang w:val="fr"/>
              </w:rPr>
              <w:t xml:space="preserve"> ($ US)</w:t>
            </w:r>
          </w:p>
        </w:tc>
        <w:tc>
          <w:tcPr>
            <w:tcW w:w="1276" w:type="dxa"/>
            <w:tcBorders>
              <w:top w:val="single" w:sz="4" w:space="0" w:color="666699"/>
              <w:left w:val="single" w:sz="4" w:space="0" w:color="666699"/>
              <w:bottom w:val="single" w:sz="4" w:space="0" w:color="666699"/>
              <w:right w:val="single" w:sz="4" w:space="0" w:color="666699"/>
            </w:tcBorders>
            <w:hideMark/>
          </w:tcPr>
          <w:p w14:paraId="7EA7894F" w14:textId="77777777" w:rsidR="00E978F6" w:rsidRPr="00C71C59" w:rsidRDefault="00E978F6" w:rsidP="00976EA7">
            <w:pPr>
              <w:spacing w:afterLines="20" w:after="48"/>
              <w:jc w:val="left"/>
              <w:rPr>
                <w:sz w:val="20"/>
                <w:szCs w:val="20"/>
              </w:rPr>
            </w:pPr>
            <w:r>
              <w:rPr>
                <w:sz w:val="20"/>
                <w:szCs w:val="20"/>
                <w:lang w:val="fr"/>
              </w:rPr>
              <w:t>Coûts de projet</w:t>
            </w:r>
          </w:p>
        </w:tc>
        <w:tc>
          <w:tcPr>
            <w:tcW w:w="922" w:type="dxa"/>
            <w:tcBorders>
              <w:top w:val="single" w:sz="4" w:space="0" w:color="666699"/>
              <w:left w:val="single" w:sz="4" w:space="0" w:color="666699"/>
              <w:bottom w:val="single" w:sz="4" w:space="0" w:color="666699"/>
              <w:right w:val="single" w:sz="4" w:space="0" w:color="666699"/>
            </w:tcBorders>
          </w:tcPr>
          <w:p w14:paraId="7C4B954E" w14:textId="77777777" w:rsidR="00E978F6" w:rsidRPr="00C71C59" w:rsidRDefault="00E978F6" w:rsidP="00976EA7">
            <w:pPr>
              <w:spacing w:afterLines="20" w:after="48"/>
              <w:jc w:val="right"/>
              <w:rPr>
                <w:color w:val="000000"/>
                <w:sz w:val="20"/>
                <w:szCs w:val="20"/>
              </w:rPr>
            </w:pPr>
            <w:r>
              <w:rPr>
                <w:sz w:val="20"/>
                <w:szCs w:val="20"/>
                <w:lang w:val="fr"/>
              </w:rPr>
              <w:t>165 000</w:t>
            </w:r>
          </w:p>
        </w:tc>
        <w:tc>
          <w:tcPr>
            <w:tcW w:w="923" w:type="dxa"/>
            <w:tcBorders>
              <w:left w:val="single" w:sz="4" w:space="0" w:color="666699"/>
              <w:right w:val="single" w:sz="4" w:space="0" w:color="666699"/>
            </w:tcBorders>
            <w:vAlign w:val="center"/>
          </w:tcPr>
          <w:p w14:paraId="7AABCA0B" w14:textId="77777777" w:rsidR="00E978F6" w:rsidRPr="00C71C59" w:rsidRDefault="00E978F6" w:rsidP="00976EA7">
            <w:pPr>
              <w:spacing w:afterLines="20" w:after="48"/>
              <w:jc w:val="right"/>
              <w:rPr>
                <w:color w:val="000000"/>
                <w:sz w:val="20"/>
                <w:szCs w:val="20"/>
              </w:rPr>
            </w:pPr>
          </w:p>
        </w:tc>
        <w:tc>
          <w:tcPr>
            <w:tcW w:w="923" w:type="dxa"/>
            <w:tcBorders>
              <w:left w:val="single" w:sz="4" w:space="0" w:color="666699"/>
              <w:right w:val="single" w:sz="4" w:space="0" w:color="666699"/>
            </w:tcBorders>
            <w:vAlign w:val="center"/>
          </w:tcPr>
          <w:p w14:paraId="2B72F9D0" w14:textId="77777777" w:rsidR="00E978F6" w:rsidRPr="00C71C59" w:rsidRDefault="00E978F6" w:rsidP="00976EA7">
            <w:pPr>
              <w:spacing w:afterLines="20" w:after="48"/>
              <w:jc w:val="right"/>
              <w:rPr>
                <w:color w:val="000000"/>
                <w:sz w:val="20"/>
                <w:szCs w:val="20"/>
              </w:rPr>
            </w:pPr>
          </w:p>
        </w:tc>
        <w:tc>
          <w:tcPr>
            <w:tcW w:w="922" w:type="dxa"/>
            <w:tcBorders>
              <w:top w:val="single" w:sz="4" w:space="0" w:color="666699"/>
              <w:left w:val="single" w:sz="4" w:space="0" w:color="666699"/>
              <w:bottom w:val="single" w:sz="4" w:space="0" w:color="666699"/>
              <w:right w:val="single" w:sz="4" w:space="0" w:color="666699"/>
            </w:tcBorders>
            <w:vAlign w:val="center"/>
          </w:tcPr>
          <w:p w14:paraId="74E6771A"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87418C8"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28E77FB5"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tcPr>
          <w:p w14:paraId="541B0E6E" w14:textId="77777777" w:rsidR="00E978F6" w:rsidRPr="00C71C59" w:rsidRDefault="00E978F6" w:rsidP="00976EA7">
            <w:pPr>
              <w:spacing w:afterLines="20" w:after="48"/>
              <w:jc w:val="right"/>
              <w:rPr>
                <w:color w:val="000000"/>
                <w:sz w:val="20"/>
                <w:szCs w:val="20"/>
              </w:rPr>
            </w:pPr>
            <w:r>
              <w:rPr>
                <w:sz w:val="20"/>
                <w:szCs w:val="20"/>
                <w:lang w:val="fr"/>
              </w:rPr>
              <w:t>165 000</w:t>
            </w:r>
          </w:p>
        </w:tc>
      </w:tr>
      <w:tr w:rsidR="00E978F6" w:rsidRPr="00C71C59" w14:paraId="196737A6" w14:textId="77777777" w:rsidTr="00976EA7">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46A60AE2" w14:textId="77777777" w:rsidR="00E978F6" w:rsidRPr="00C71C59" w:rsidRDefault="00E978F6" w:rsidP="00976EA7">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6AFC543E" w14:textId="77777777" w:rsidR="00E978F6" w:rsidRPr="00C71C59" w:rsidRDefault="00E978F6" w:rsidP="00976EA7">
            <w:pPr>
              <w:spacing w:afterLines="20" w:after="48"/>
              <w:jc w:val="left"/>
              <w:rPr>
                <w:sz w:val="20"/>
                <w:szCs w:val="20"/>
              </w:rPr>
            </w:pPr>
            <w:r>
              <w:rPr>
                <w:sz w:val="20"/>
                <w:szCs w:val="20"/>
                <w:lang w:val="fr"/>
              </w:rPr>
              <w:t>Coûts d’appui</w:t>
            </w:r>
          </w:p>
        </w:tc>
        <w:tc>
          <w:tcPr>
            <w:tcW w:w="922" w:type="dxa"/>
            <w:tcBorders>
              <w:top w:val="single" w:sz="4" w:space="0" w:color="666699"/>
              <w:left w:val="single" w:sz="4" w:space="0" w:color="666699"/>
              <w:bottom w:val="single" w:sz="4" w:space="0" w:color="666699"/>
              <w:right w:val="single" w:sz="4" w:space="0" w:color="666699"/>
            </w:tcBorders>
          </w:tcPr>
          <w:p w14:paraId="6D38CE0D" w14:textId="77777777" w:rsidR="00E978F6" w:rsidRPr="00C71C59" w:rsidRDefault="00E978F6" w:rsidP="00976EA7">
            <w:pPr>
              <w:spacing w:afterLines="20" w:after="48"/>
              <w:jc w:val="right"/>
              <w:rPr>
                <w:color w:val="000000"/>
                <w:sz w:val="20"/>
                <w:szCs w:val="20"/>
              </w:rPr>
            </w:pPr>
            <w:r>
              <w:rPr>
                <w:color w:val="000000"/>
                <w:sz w:val="20"/>
                <w:szCs w:val="20"/>
                <w:lang w:val="fr"/>
              </w:rPr>
              <w:t>11 550</w:t>
            </w:r>
          </w:p>
        </w:tc>
        <w:tc>
          <w:tcPr>
            <w:tcW w:w="923" w:type="dxa"/>
            <w:tcBorders>
              <w:left w:val="single" w:sz="4" w:space="0" w:color="666699"/>
              <w:right w:val="single" w:sz="4" w:space="0" w:color="666699"/>
            </w:tcBorders>
            <w:vAlign w:val="center"/>
          </w:tcPr>
          <w:p w14:paraId="3745A88F" w14:textId="77777777" w:rsidR="00E978F6" w:rsidRPr="00C71C59" w:rsidRDefault="00E978F6" w:rsidP="00976EA7">
            <w:pPr>
              <w:spacing w:afterLines="20" w:after="48"/>
              <w:jc w:val="right"/>
              <w:rPr>
                <w:color w:val="000000"/>
                <w:sz w:val="20"/>
                <w:szCs w:val="20"/>
              </w:rPr>
            </w:pPr>
          </w:p>
        </w:tc>
        <w:tc>
          <w:tcPr>
            <w:tcW w:w="923" w:type="dxa"/>
            <w:tcBorders>
              <w:left w:val="single" w:sz="4" w:space="0" w:color="666699"/>
              <w:right w:val="single" w:sz="4" w:space="0" w:color="666699"/>
            </w:tcBorders>
            <w:vAlign w:val="center"/>
          </w:tcPr>
          <w:p w14:paraId="066035B8" w14:textId="77777777" w:rsidR="00E978F6" w:rsidRPr="00C71C59" w:rsidRDefault="00E978F6" w:rsidP="00976EA7">
            <w:pPr>
              <w:spacing w:afterLines="20" w:after="48"/>
              <w:jc w:val="right"/>
              <w:rPr>
                <w:color w:val="000000"/>
                <w:sz w:val="20"/>
                <w:szCs w:val="20"/>
              </w:rPr>
            </w:pPr>
          </w:p>
        </w:tc>
        <w:tc>
          <w:tcPr>
            <w:tcW w:w="922" w:type="dxa"/>
            <w:tcBorders>
              <w:top w:val="single" w:sz="4" w:space="0" w:color="666699"/>
              <w:left w:val="single" w:sz="4" w:space="0" w:color="666699"/>
              <w:bottom w:val="single" w:sz="4" w:space="0" w:color="666699"/>
              <w:right w:val="single" w:sz="4" w:space="0" w:color="666699"/>
            </w:tcBorders>
            <w:vAlign w:val="center"/>
          </w:tcPr>
          <w:p w14:paraId="33F97710"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04596287"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742593FB"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tcPr>
          <w:p w14:paraId="60AAF433" w14:textId="77777777" w:rsidR="00E978F6" w:rsidRPr="00C71C59" w:rsidRDefault="00E978F6" w:rsidP="00976EA7">
            <w:pPr>
              <w:spacing w:afterLines="20" w:after="48"/>
              <w:jc w:val="right"/>
              <w:rPr>
                <w:color w:val="000000"/>
                <w:sz w:val="20"/>
                <w:szCs w:val="20"/>
              </w:rPr>
            </w:pPr>
            <w:r>
              <w:rPr>
                <w:color w:val="000000"/>
                <w:sz w:val="20"/>
                <w:szCs w:val="20"/>
                <w:lang w:val="fr"/>
              </w:rPr>
              <w:t>11 550</w:t>
            </w:r>
          </w:p>
        </w:tc>
      </w:tr>
      <w:tr w:rsidR="00E978F6" w:rsidRPr="00C71C59" w14:paraId="47753D51" w14:textId="77777777" w:rsidTr="00976EA7">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27CE9D18" w14:textId="77777777" w:rsidR="00E978F6" w:rsidRPr="005201DA" w:rsidRDefault="00E978F6" w:rsidP="00976EA7">
            <w:pPr>
              <w:spacing w:afterLines="20" w:after="48"/>
              <w:jc w:val="left"/>
              <w:rPr>
                <w:sz w:val="20"/>
                <w:szCs w:val="20"/>
                <w:lang w:val="fr-FR"/>
              </w:rPr>
            </w:pPr>
            <w:r>
              <w:rPr>
                <w:sz w:val="20"/>
                <w:szCs w:val="20"/>
                <w:lang w:val="fr"/>
              </w:rPr>
              <w:t>Total des fonds recommandés aux fins d’approbation lors de la présente réunion ($ US)</w:t>
            </w: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3C6D67A1" w14:textId="77777777" w:rsidR="00E978F6" w:rsidRPr="00C71C59" w:rsidRDefault="00E978F6" w:rsidP="00976EA7">
            <w:pPr>
              <w:spacing w:afterLines="20" w:after="48"/>
              <w:jc w:val="left"/>
              <w:rPr>
                <w:sz w:val="20"/>
                <w:szCs w:val="20"/>
              </w:rPr>
            </w:pPr>
            <w:r>
              <w:rPr>
                <w:sz w:val="20"/>
                <w:szCs w:val="20"/>
                <w:lang w:val="fr"/>
              </w:rPr>
              <w:t>Coûts de projet</w:t>
            </w:r>
          </w:p>
        </w:tc>
        <w:tc>
          <w:tcPr>
            <w:tcW w:w="922" w:type="dxa"/>
            <w:tcBorders>
              <w:top w:val="single" w:sz="4" w:space="0" w:color="666699"/>
              <w:left w:val="single" w:sz="4" w:space="0" w:color="666699"/>
              <w:bottom w:val="single" w:sz="4" w:space="0" w:color="666699"/>
              <w:right w:val="single" w:sz="4" w:space="0" w:color="666699"/>
            </w:tcBorders>
            <w:vAlign w:val="center"/>
          </w:tcPr>
          <w:p w14:paraId="4C2D5105" w14:textId="77777777" w:rsidR="00E978F6" w:rsidRPr="00C71C59" w:rsidRDefault="00E978F6" w:rsidP="00976EA7">
            <w:pPr>
              <w:spacing w:afterLines="20" w:after="48"/>
              <w:jc w:val="right"/>
              <w:rPr>
                <w:color w:val="000000"/>
                <w:sz w:val="20"/>
                <w:szCs w:val="20"/>
              </w:rPr>
            </w:pPr>
          </w:p>
        </w:tc>
        <w:tc>
          <w:tcPr>
            <w:tcW w:w="923" w:type="dxa"/>
            <w:tcBorders>
              <w:left w:val="single" w:sz="4" w:space="0" w:color="666699"/>
              <w:right w:val="single" w:sz="4" w:space="0" w:color="666699"/>
            </w:tcBorders>
            <w:vAlign w:val="center"/>
          </w:tcPr>
          <w:p w14:paraId="018A1C3D" w14:textId="77777777" w:rsidR="00E978F6" w:rsidRPr="00C71C59" w:rsidRDefault="00E978F6" w:rsidP="00976EA7">
            <w:pPr>
              <w:spacing w:afterLines="20" w:after="48"/>
              <w:jc w:val="right"/>
              <w:rPr>
                <w:color w:val="000000"/>
                <w:sz w:val="20"/>
                <w:szCs w:val="20"/>
              </w:rPr>
            </w:pPr>
          </w:p>
        </w:tc>
        <w:tc>
          <w:tcPr>
            <w:tcW w:w="923" w:type="dxa"/>
            <w:tcBorders>
              <w:left w:val="single" w:sz="4" w:space="0" w:color="666699"/>
              <w:right w:val="single" w:sz="4" w:space="0" w:color="666699"/>
            </w:tcBorders>
          </w:tcPr>
          <w:p w14:paraId="2A6A0775" w14:textId="77777777" w:rsidR="00E978F6" w:rsidRPr="00C71C59" w:rsidRDefault="00E978F6" w:rsidP="00976EA7">
            <w:pPr>
              <w:spacing w:afterLines="20" w:after="48"/>
              <w:jc w:val="right"/>
              <w:rPr>
                <w:color w:val="000000"/>
                <w:sz w:val="20"/>
                <w:szCs w:val="20"/>
              </w:rPr>
            </w:pPr>
            <w:r>
              <w:rPr>
                <w:sz w:val="20"/>
                <w:szCs w:val="20"/>
                <w:lang w:val="fr"/>
              </w:rPr>
              <w:t>103 500</w:t>
            </w:r>
          </w:p>
        </w:tc>
        <w:tc>
          <w:tcPr>
            <w:tcW w:w="922" w:type="dxa"/>
            <w:tcBorders>
              <w:top w:val="single" w:sz="4" w:space="0" w:color="666699"/>
              <w:left w:val="single" w:sz="4" w:space="0" w:color="666699"/>
              <w:bottom w:val="single" w:sz="4" w:space="0" w:color="666699"/>
              <w:right w:val="single" w:sz="4" w:space="0" w:color="666699"/>
            </w:tcBorders>
            <w:vAlign w:val="center"/>
          </w:tcPr>
          <w:p w14:paraId="40ACEF4B"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564E2C8"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4A5CDC3C"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tcPr>
          <w:p w14:paraId="6779D1DF" w14:textId="77777777" w:rsidR="00E978F6" w:rsidRPr="00C71C59" w:rsidRDefault="00E978F6" w:rsidP="00976EA7">
            <w:pPr>
              <w:spacing w:afterLines="20" w:after="48"/>
              <w:jc w:val="right"/>
              <w:rPr>
                <w:color w:val="000000"/>
                <w:sz w:val="20"/>
                <w:szCs w:val="20"/>
              </w:rPr>
            </w:pPr>
            <w:r>
              <w:rPr>
                <w:sz w:val="20"/>
                <w:szCs w:val="20"/>
                <w:lang w:val="fr"/>
              </w:rPr>
              <w:t>103 500</w:t>
            </w:r>
          </w:p>
        </w:tc>
      </w:tr>
      <w:tr w:rsidR="00E978F6" w:rsidRPr="00C71C59" w14:paraId="5D463709" w14:textId="77777777" w:rsidTr="00976EA7">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77BE1614" w14:textId="77777777" w:rsidR="00E978F6" w:rsidRPr="00C71C59" w:rsidRDefault="00E978F6" w:rsidP="00976EA7">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5261EC4F" w14:textId="77777777" w:rsidR="00E978F6" w:rsidRPr="00C71C59" w:rsidRDefault="00E978F6" w:rsidP="00976EA7">
            <w:pPr>
              <w:spacing w:afterLines="20" w:after="48"/>
              <w:jc w:val="left"/>
              <w:rPr>
                <w:sz w:val="20"/>
                <w:szCs w:val="20"/>
              </w:rPr>
            </w:pPr>
            <w:r>
              <w:rPr>
                <w:sz w:val="20"/>
                <w:szCs w:val="20"/>
                <w:lang w:val="fr"/>
              </w:rPr>
              <w:t>Coûts d’appui</w:t>
            </w:r>
          </w:p>
        </w:tc>
        <w:tc>
          <w:tcPr>
            <w:tcW w:w="922" w:type="dxa"/>
            <w:tcBorders>
              <w:top w:val="single" w:sz="4" w:space="0" w:color="666699"/>
              <w:left w:val="single" w:sz="4" w:space="0" w:color="666699"/>
              <w:bottom w:val="single" w:sz="4" w:space="0" w:color="666699"/>
              <w:right w:val="single" w:sz="4" w:space="0" w:color="666699"/>
            </w:tcBorders>
            <w:vAlign w:val="center"/>
          </w:tcPr>
          <w:p w14:paraId="11B37409" w14:textId="77777777" w:rsidR="00E978F6" w:rsidRPr="00C71C59" w:rsidRDefault="00E978F6" w:rsidP="00976EA7">
            <w:pPr>
              <w:spacing w:afterLines="20" w:after="48"/>
              <w:jc w:val="right"/>
              <w:rPr>
                <w:color w:val="000000"/>
                <w:sz w:val="20"/>
                <w:szCs w:val="20"/>
              </w:rPr>
            </w:pPr>
          </w:p>
        </w:tc>
        <w:tc>
          <w:tcPr>
            <w:tcW w:w="923" w:type="dxa"/>
            <w:tcBorders>
              <w:left w:val="single" w:sz="4" w:space="0" w:color="666699"/>
              <w:bottom w:val="single" w:sz="4" w:space="0" w:color="666699"/>
              <w:right w:val="single" w:sz="4" w:space="0" w:color="666699"/>
            </w:tcBorders>
            <w:vAlign w:val="center"/>
          </w:tcPr>
          <w:p w14:paraId="2C772EE0" w14:textId="77777777" w:rsidR="00E978F6" w:rsidRPr="00C71C59" w:rsidRDefault="00E978F6" w:rsidP="00976EA7">
            <w:pPr>
              <w:spacing w:afterLines="20" w:after="48"/>
              <w:jc w:val="right"/>
              <w:rPr>
                <w:color w:val="000000"/>
                <w:sz w:val="20"/>
                <w:szCs w:val="20"/>
              </w:rPr>
            </w:pPr>
          </w:p>
        </w:tc>
        <w:tc>
          <w:tcPr>
            <w:tcW w:w="923" w:type="dxa"/>
            <w:tcBorders>
              <w:left w:val="single" w:sz="4" w:space="0" w:color="666699"/>
              <w:bottom w:val="single" w:sz="4" w:space="0" w:color="666699"/>
              <w:right w:val="single" w:sz="4" w:space="0" w:color="666699"/>
            </w:tcBorders>
          </w:tcPr>
          <w:p w14:paraId="734E044A" w14:textId="77777777" w:rsidR="00E978F6" w:rsidRPr="00C71C59" w:rsidRDefault="00E978F6" w:rsidP="00976EA7">
            <w:pPr>
              <w:spacing w:afterLines="20" w:after="48"/>
              <w:jc w:val="right"/>
              <w:rPr>
                <w:color w:val="000000"/>
                <w:sz w:val="20"/>
                <w:szCs w:val="20"/>
              </w:rPr>
            </w:pPr>
            <w:r>
              <w:rPr>
                <w:color w:val="000000"/>
                <w:sz w:val="20"/>
                <w:szCs w:val="20"/>
                <w:lang w:val="fr"/>
              </w:rPr>
              <w:t>7 245</w:t>
            </w:r>
          </w:p>
        </w:tc>
        <w:tc>
          <w:tcPr>
            <w:tcW w:w="922" w:type="dxa"/>
            <w:tcBorders>
              <w:top w:val="single" w:sz="4" w:space="0" w:color="666699"/>
              <w:left w:val="single" w:sz="4" w:space="0" w:color="666699"/>
              <w:bottom w:val="single" w:sz="4" w:space="0" w:color="666699"/>
              <w:right w:val="single" w:sz="4" w:space="0" w:color="666699"/>
            </w:tcBorders>
            <w:vAlign w:val="center"/>
          </w:tcPr>
          <w:p w14:paraId="13077E93"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218F9243"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vAlign w:val="center"/>
          </w:tcPr>
          <w:p w14:paraId="1BEAEB69" w14:textId="77777777" w:rsidR="00E978F6" w:rsidRPr="00C71C59" w:rsidRDefault="00E978F6" w:rsidP="00976EA7">
            <w:pPr>
              <w:spacing w:afterLines="20" w:after="48"/>
              <w:jc w:val="right"/>
              <w:rPr>
                <w:color w:val="000000"/>
                <w:sz w:val="20"/>
                <w:szCs w:val="20"/>
              </w:rPr>
            </w:pPr>
          </w:p>
        </w:tc>
        <w:tc>
          <w:tcPr>
            <w:tcW w:w="923" w:type="dxa"/>
            <w:tcBorders>
              <w:top w:val="single" w:sz="4" w:space="0" w:color="666699"/>
              <w:left w:val="single" w:sz="4" w:space="0" w:color="666699"/>
              <w:bottom w:val="single" w:sz="4" w:space="0" w:color="666699"/>
              <w:right w:val="single" w:sz="4" w:space="0" w:color="666699"/>
            </w:tcBorders>
          </w:tcPr>
          <w:p w14:paraId="1E55D12C" w14:textId="77777777" w:rsidR="00E978F6" w:rsidRPr="00C71C59" w:rsidRDefault="00E978F6" w:rsidP="00976EA7">
            <w:pPr>
              <w:spacing w:afterLines="20" w:after="48"/>
              <w:jc w:val="right"/>
              <w:rPr>
                <w:color w:val="000000"/>
                <w:sz w:val="20"/>
                <w:szCs w:val="20"/>
              </w:rPr>
            </w:pPr>
            <w:r>
              <w:rPr>
                <w:color w:val="000000"/>
                <w:sz w:val="20"/>
                <w:szCs w:val="20"/>
                <w:lang w:val="fr"/>
              </w:rPr>
              <w:t>7 245</w:t>
            </w:r>
          </w:p>
        </w:tc>
      </w:tr>
    </w:tbl>
    <w:p w14:paraId="69BA3AFE" w14:textId="77777777" w:rsidR="00E978F6" w:rsidRPr="00C71C59" w:rsidRDefault="00E978F6" w:rsidP="00E978F6">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E978F6" w:rsidRPr="00C71C59" w14:paraId="632FE505" w14:textId="77777777" w:rsidTr="00976EA7">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876239A" w14:textId="77777777" w:rsidR="00E978F6" w:rsidRPr="00C71C59" w:rsidRDefault="00E978F6" w:rsidP="00976EA7">
            <w:pPr>
              <w:spacing w:after="60"/>
              <w:jc w:val="left"/>
              <w:rPr>
                <w:b/>
                <w:sz w:val="20"/>
                <w:szCs w:val="20"/>
              </w:rPr>
            </w:pPr>
            <w:r>
              <w:rPr>
                <w:b/>
                <w:bCs/>
                <w:sz w:val="20"/>
                <w:szCs w:val="20"/>
                <w:lang w:val="fr"/>
              </w:rPr>
              <w:t>Recommandation du Secrétariat :</w:t>
            </w:r>
          </w:p>
        </w:tc>
        <w:tc>
          <w:tcPr>
            <w:tcW w:w="5055" w:type="dxa"/>
            <w:tcBorders>
              <w:top w:val="single" w:sz="4" w:space="0" w:color="666699"/>
              <w:left w:val="single" w:sz="4" w:space="0" w:color="666699"/>
              <w:bottom w:val="single" w:sz="4" w:space="0" w:color="666699"/>
              <w:right w:val="single" w:sz="4" w:space="0" w:color="666699"/>
            </w:tcBorders>
            <w:hideMark/>
          </w:tcPr>
          <w:p w14:paraId="5740920D" w14:textId="77777777" w:rsidR="00E978F6" w:rsidRPr="00C71C59" w:rsidRDefault="00E978F6" w:rsidP="00976EA7">
            <w:pPr>
              <w:spacing w:after="60"/>
              <w:jc w:val="center"/>
              <w:rPr>
                <w:sz w:val="20"/>
                <w:szCs w:val="20"/>
              </w:rPr>
            </w:pPr>
            <w:r>
              <w:rPr>
                <w:sz w:val="20"/>
                <w:szCs w:val="20"/>
                <w:lang w:val="fr"/>
              </w:rPr>
              <w:t>Approbation globale</w:t>
            </w:r>
          </w:p>
        </w:tc>
      </w:tr>
    </w:tbl>
    <w:p w14:paraId="3F71EB06" w14:textId="77777777" w:rsidR="00E978F6" w:rsidRPr="00C71C59" w:rsidRDefault="00E978F6" w:rsidP="00E978F6">
      <w:r>
        <w:rPr>
          <w:lang w:val="fr"/>
        </w:rPr>
        <w:br w:type="page"/>
      </w:r>
    </w:p>
    <w:p w14:paraId="105228D6" w14:textId="20D0801D" w:rsidR="00E978F6" w:rsidRDefault="00E978F6" w:rsidP="00E978F6">
      <w:pPr>
        <w:jc w:val="center"/>
        <w:rPr>
          <w:b/>
          <w:bCs/>
          <w:lang w:val="fr"/>
        </w:rPr>
      </w:pPr>
      <w:r>
        <w:rPr>
          <w:b/>
          <w:bCs/>
          <w:lang w:val="fr"/>
        </w:rPr>
        <w:lastRenderedPageBreak/>
        <w:t>DESCRIPTION DU PROJET</w:t>
      </w:r>
    </w:p>
    <w:p w14:paraId="79CF8CFB" w14:textId="77777777" w:rsidR="00F73D4A" w:rsidRPr="00C71C59" w:rsidRDefault="00F73D4A" w:rsidP="00E978F6">
      <w:pPr>
        <w:jc w:val="center"/>
        <w:rPr>
          <w:b/>
        </w:rPr>
      </w:pPr>
    </w:p>
    <w:p w14:paraId="3AF5638C" w14:textId="77777777" w:rsidR="00E978F6" w:rsidRPr="00C71C59" w:rsidRDefault="00E978F6" w:rsidP="00E978F6"/>
    <w:p w14:paraId="72F8C879" w14:textId="3CD7C850" w:rsidR="00E978F6" w:rsidRPr="00E978F6" w:rsidRDefault="00E978F6" w:rsidP="00E978F6">
      <w:pPr>
        <w:pStyle w:val="Heading1"/>
        <w:rPr>
          <w:lang w:val="fr-FR"/>
        </w:rPr>
      </w:pPr>
      <w:r>
        <w:rPr>
          <w:lang w:val="fr"/>
        </w:rPr>
        <w:t>Au nom du gouvernement du Turkménistan, l’ONUDI, à titre d’agence d’exécution principale, a présenté une demande de financement pour la deuxième tranche de la phase II du plan de gestion de l’élimination des HCFC (PGEH), pour un montant s’élevant à 103 500 $ US, plus les coûts d’appui d’agence à hauteur de 7 245 $ US.</w:t>
      </w:r>
      <w:r>
        <w:rPr>
          <w:rStyle w:val="FootnoteReference"/>
          <w:lang w:val="fr"/>
        </w:rPr>
        <w:footnoteReference w:id="2"/>
      </w:r>
      <w:r w:rsidR="00FB41DE">
        <w:rPr>
          <w:lang w:val="fr"/>
        </w:rPr>
        <w:t xml:space="preserve"> </w:t>
      </w:r>
      <w:r>
        <w:rPr>
          <w:lang w:val="fr"/>
        </w:rPr>
        <w:t>La proposition comprend un rapport périodique sur la mise en œuvre de la première tranche, le rapport de vérification de la consommation de HCFC pour la période 2020-2021 et le plan de mise en œuvre de la tranche pour 2023-2025.</w:t>
      </w:r>
    </w:p>
    <w:p w14:paraId="4D2FC942" w14:textId="77777777" w:rsidR="00E978F6" w:rsidRPr="005201DA" w:rsidRDefault="00E978F6" w:rsidP="00E978F6">
      <w:pPr>
        <w:rPr>
          <w:u w:val="single"/>
          <w:lang w:val="fr-FR"/>
        </w:rPr>
      </w:pPr>
      <w:r>
        <w:rPr>
          <w:u w:val="single"/>
          <w:lang w:val="fr"/>
        </w:rPr>
        <w:t>Rapport sur la consommation de HCFC</w:t>
      </w:r>
    </w:p>
    <w:p w14:paraId="3D48DA32" w14:textId="77777777" w:rsidR="00E978F6" w:rsidRPr="005201DA" w:rsidRDefault="00E978F6" w:rsidP="00E978F6">
      <w:pPr>
        <w:rPr>
          <w:lang w:val="fr-FR"/>
        </w:rPr>
      </w:pPr>
    </w:p>
    <w:p w14:paraId="2EE77540" w14:textId="77777777" w:rsidR="00E978F6" w:rsidRPr="00C71C59" w:rsidRDefault="00E978F6" w:rsidP="00E978F6">
      <w:pPr>
        <w:pStyle w:val="Heading1"/>
      </w:pPr>
      <w:r>
        <w:rPr>
          <w:lang w:val="fr"/>
        </w:rPr>
        <w:t xml:space="preserve">Le gouvernement du Turkménistan a déclaré une consommation de 4,36 tonnes PAO de HCFC en 2021, ce qui est 36 % inférieur à la valeur de référence des HCFC établie aux fins de conformité. Le Tableau 1 indique la consommation de HCFC pour 2017-2021. </w:t>
      </w:r>
    </w:p>
    <w:p w14:paraId="0089DDDD" w14:textId="77777777" w:rsidR="00E978F6" w:rsidRPr="005201DA" w:rsidRDefault="00E978F6" w:rsidP="00E978F6">
      <w:pPr>
        <w:rPr>
          <w:b/>
          <w:lang w:val="fr-FR"/>
        </w:rPr>
      </w:pPr>
      <w:r>
        <w:rPr>
          <w:b/>
          <w:bCs/>
          <w:lang w:val="fr"/>
        </w:rPr>
        <w:t>Tableau 1. Consommation de HCFC au Turkménistan (données de l’article 7 pour 2017</w:t>
      </w:r>
      <w:r>
        <w:rPr>
          <w:b/>
          <w:bCs/>
          <w:lang w:val="fr"/>
        </w:rPr>
        <w:noBreakHyphen/>
        <w:t>2021)</w:t>
      </w:r>
    </w:p>
    <w:tbl>
      <w:tblPr>
        <w:tblW w:w="5000" w:type="pct"/>
        <w:tblLook w:val="04A0" w:firstRow="1" w:lastRow="0" w:firstColumn="1" w:lastColumn="0" w:noHBand="0" w:noVBand="1"/>
      </w:tblPr>
      <w:tblGrid>
        <w:gridCol w:w="3070"/>
        <w:gridCol w:w="1013"/>
        <w:gridCol w:w="1013"/>
        <w:gridCol w:w="1014"/>
        <w:gridCol w:w="1014"/>
        <w:gridCol w:w="1014"/>
        <w:gridCol w:w="1212"/>
      </w:tblGrid>
      <w:tr w:rsidR="00E978F6" w:rsidRPr="00C71C59" w14:paraId="2F320C2A" w14:textId="77777777" w:rsidTr="00976EA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1110F2" w14:textId="77777777" w:rsidR="00E978F6" w:rsidRPr="00C71C59" w:rsidRDefault="00E978F6" w:rsidP="00976EA7">
            <w:pPr>
              <w:widowControl w:val="0"/>
              <w:jc w:val="left"/>
              <w:rPr>
                <w:b/>
                <w:bCs/>
                <w:color w:val="000000"/>
                <w:sz w:val="20"/>
                <w:szCs w:val="20"/>
              </w:rPr>
            </w:pPr>
            <w:r>
              <w:rPr>
                <w:b/>
                <w:bCs/>
                <w:color w:val="000000"/>
                <w:sz w:val="20"/>
                <w:szCs w:val="20"/>
                <w:lang w:val="fr"/>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5DC3ED74" w14:textId="77777777" w:rsidR="00E978F6" w:rsidRPr="00C71C59" w:rsidRDefault="00E978F6" w:rsidP="00976EA7">
            <w:pPr>
              <w:widowControl w:val="0"/>
              <w:jc w:val="center"/>
              <w:rPr>
                <w:b/>
                <w:bCs/>
                <w:color w:val="000000"/>
                <w:sz w:val="20"/>
                <w:szCs w:val="20"/>
              </w:rPr>
            </w:pPr>
            <w:r>
              <w:rPr>
                <w:b/>
                <w:bCs/>
                <w:color w:val="000000"/>
                <w:sz w:val="20"/>
                <w:szCs w:val="20"/>
                <w:lang w:val="fr"/>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407962C4" w14:textId="77777777" w:rsidR="00E978F6" w:rsidRPr="00C71C59" w:rsidRDefault="00E978F6" w:rsidP="00976EA7">
            <w:pPr>
              <w:widowControl w:val="0"/>
              <w:jc w:val="center"/>
              <w:rPr>
                <w:b/>
                <w:bCs/>
                <w:color w:val="000000"/>
                <w:sz w:val="20"/>
                <w:szCs w:val="20"/>
              </w:rPr>
            </w:pPr>
            <w:r>
              <w:rPr>
                <w:b/>
                <w:bCs/>
                <w:color w:val="000000"/>
                <w:sz w:val="20"/>
                <w:szCs w:val="20"/>
                <w:lang w:val="fr"/>
              </w:rPr>
              <w:t>2018</w:t>
            </w:r>
          </w:p>
        </w:tc>
        <w:tc>
          <w:tcPr>
            <w:tcW w:w="542" w:type="pct"/>
            <w:tcBorders>
              <w:top w:val="single" w:sz="4" w:space="0" w:color="auto"/>
              <w:left w:val="nil"/>
              <w:bottom w:val="single" w:sz="4" w:space="0" w:color="auto"/>
              <w:right w:val="single" w:sz="4" w:space="0" w:color="auto"/>
            </w:tcBorders>
          </w:tcPr>
          <w:p w14:paraId="0BCEDB10" w14:textId="77777777" w:rsidR="00E978F6" w:rsidRPr="00C71C59" w:rsidRDefault="00E978F6" w:rsidP="00976EA7">
            <w:pPr>
              <w:widowControl w:val="0"/>
              <w:jc w:val="center"/>
              <w:rPr>
                <w:b/>
                <w:bCs/>
                <w:color w:val="000000"/>
                <w:sz w:val="20"/>
                <w:szCs w:val="20"/>
              </w:rPr>
            </w:pPr>
            <w:r>
              <w:rPr>
                <w:b/>
                <w:bCs/>
                <w:color w:val="000000"/>
                <w:sz w:val="20"/>
                <w:szCs w:val="20"/>
                <w:lang w:val="fr"/>
              </w:rPr>
              <w:t>2019</w:t>
            </w:r>
          </w:p>
        </w:tc>
        <w:tc>
          <w:tcPr>
            <w:tcW w:w="542" w:type="pct"/>
            <w:tcBorders>
              <w:top w:val="single" w:sz="4" w:space="0" w:color="auto"/>
              <w:left w:val="single" w:sz="4" w:space="0" w:color="auto"/>
              <w:bottom w:val="single" w:sz="4" w:space="0" w:color="auto"/>
              <w:right w:val="single" w:sz="4" w:space="0" w:color="auto"/>
            </w:tcBorders>
          </w:tcPr>
          <w:p w14:paraId="19B6B0D5" w14:textId="77777777" w:rsidR="00E978F6" w:rsidRPr="00C71C59" w:rsidRDefault="00E978F6" w:rsidP="00976EA7">
            <w:pPr>
              <w:widowControl w:val="0"/>
              <w:jc w:val="center"/>
              <w:rPr>
                <w:b/>
                <w:bCs/>
                <w:color w:val="000000"/>
                <w:sz w:val="20"/>
                <w:szCs w:val="20"/>
              </w:rPr>
            </w:pPr>
            <w:r>
              <w:rPr>
                <w:b/>
                <w:bCs/>
                <w:color w:val="000000"/>
                <w:sz w:val="20"/>
                <w:szCs w:val="20"/>
                <w:lang w:val="fr"/>
              </w:rPr>
              <w:t>2020</w:t>
            </w:r>
          </w:p>
        </w:tc>
        <w:tc>
          <w:tcPr>
            <w:tcW w:w="542" w:type="pct"/>
            <w:tcBorders>
              <w:top w:val="single" w:sz="4" w:space="0" w:color="auto"/>
              <w:left w:val="single" w:sz="4" w:space="0" w:color="auto"/>
              <w:bottom w:val="single" w:sz="4" w:space="0" w:color="auto"/>
              <w:right w:val="single" w:sz="4" w:space="0" w:color="auto"/>
            </w:tcBorders>
          </w:tcPr>
          <w:p w14:paraId="10AAA1D1" w14:textId="77777777" w:rsidR="00E978F6" w:rsidRPr="00C71C59" w:rsidRDefault="00E978F6" w:rsidP="00976EA7">
            <w:pPr>
              <w:widowControl w:val="0"/>
              <w:jc w:val="center"/>
              <w:rPr>
                <w:b/>
                <w:bCs/>
                <w:color w:val="000000"/>
                <w:sz w:val="20"/>
                <w:szCs w:val="20"/>
              </w:rPr>
            </w:pPr>
            <w:r>
              <w:rPr>
                <w:b/>
                <w:bCs/>
                <w:color w:val="000000"/>
                <w:sz w:val="20"/>
                <w:szCs w:val="20"/>
                <w:lang w:val="fr"/>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E7882" w14:textId="77777777" w:rsidR="00E978F6" w:rsidRPr="00C71C59" w:rsidRDefault="00E978F6" w:rsidP="00976EA7">
            <w:pPr>
              <w:widowControl w:val="0"/>
              <w:jc w:val="center"/>
              <w:rPr>
                <w:b/>
                <w:bCs/>
                <w:color w:val="000000"/>
                <w:sz w:val="20"/>
                <w:szCs w:val="20"/>
              </w:rPr>
            </w:pPr>
            <w:r>
              <w:rPr>
                <w:b/>
                <w:bCs/>
                <w:color w:val="000000"/>
                <w:sz w:val="20"/>
                <w:szCs w:val="20"/>
                <w:lang w:val="fr"/>
              </w:rPr>
              <w:t>Référence</w:t>
            </w:r>
          </w:p>
        </w:tc>
      </w:tr>
      <w:tr w:rsidR="00E978F6" w:rsidRPr="00C71C59" w14:paraId="4B18140F" w14:textId="77777777" w:rsidTr="00976EA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096154" w14:textId="77777777" w:rsidR="00E978F6" w:rsidRPr="00C71C59" w:rsidRDefault="00E978F6" w:rsidP="00976EA7">
            <w:pPr>
              <w:widowControl w:val="0"/>
              <w:jc w:val="left"/>
              <w:rPr>
                <w:bCs/>
                <w:color w:val="000000"/>
                <w:sz w:val="20"/>
                <w:szCs w:val="20"/>
              </w:rPr>
            </w:pPr>
            <w:r>
              <w:rPr>
                <w:color w:val="000000"/>
                <w:sz w:val="20"/>
                <w:szCs w:val="20"/>
                <w:lang w:val="fr"/>
              </w:rPr>
              <w:t>Tonnes métriques (</w:t>
            </w:r>
            <w:proofErr w:type="spellStart"/>
            <w:r>
              <w:rPr>
                <w:color w:val="000000"/>
                <w:sz w:val="20"/>
                <w:szCs w:val="20"/>
                <w:lang w:val="fr"/>
              </w:rPr>
              <w:t>tm</w:t>
            </w:r>
            <w:proofErr w:type="spellEnd"/>
            <w:r>
              <w:rPr>
                <w:color w:val="000000"/>
                <w:sz w:val="20"/>
                <w:szCs w:val="20"/>
                <w:lang w:val="fr"/>
              </w:rPr>
              <w:t>)</w:t>
            </w:r>
          </w:p>
        </w:tc>
        <w:tc>
          <w:tcPr>
            <w:tcW w:w="542" w:type="pct"/>
            <w:tcBorders>
              <w:top w:val="nil"/>
              <w:left w:val="nil"/>
              <w:bottom w:val="single" w:sz="4" w:space="0" w:color="auto"/>
              <w:right w:val="single" w:sz="4" w:space="0" w:color="auto"/>
            </w:tcBorders>
            <w:shd w:val="clear" w:color="auto" w:fill="auto"/>
            <w:noWrap/>
            <w:vAlign w:val="center"/>
          </w:tcPr>
          <w:p w14:paraId="38E7A497" w14:textId="77777777" w:rsidR="00E978F6" w:rsidRPr="00C71C59" w:rsidRDefault="00E978F6" w:rsidP="00976EA7">
            <w:pPr>
              <w:jc w:val="right"/>
              <w:rPr>
                <w:color w:val="000000"/>
                <w:sz w:val="20"/>
                <w:szCs w:val="20"/>
              </w:rPr>
            </w:pPr>
            <w:r>
              <w:rPr>
                <w:sz w:val="20"/>
                <w:szCs w:val="20"/>
                <w:lang w:val="fr"/>
              </w:rPr>
              <w:t>46,81</w:t>
            </w:r>
          </w:p>
        </w:tc>
        <w:tc>
          <w:tcPr>
            <w:tcW w:w="542" w:type="pct"/>
            <w:tcBorders>
              <w:top w:val="nil"/>
              <w:left w:val="nil"/>
              <w:bottom w:val="single" w:sz="4" w:space="0" w:color="auto"/>
              <w:right w:val="single" w:sz="4" w:space="0" w:color="auto"/>
            </w:tcBorders>
            <w:shd w:val="clear" w:color="auto" w:fill="auto"/>
            <w:noWrap/>
            <w:vAlign w:val="center"/>
          </w:tcPr>
          <w:p w14:paraId="29A1FCDD" w14:textId="77777777" w:rsidR="00E978F6" w:rsidRPr="00C71C59" w:rsidRDefault="00E978F6" w:rsidP="00976EA7">
            <w:pPr>
              <w:jc w:val="right"/>
              <w:rPr>
                <w:color w:val="000000"/>
                <w:sz w:val="20"/>
                <w:szCs w:val="20"/>
              </w:rPr>
            </w:pPr>
            <w:r>
              <w:rPr>
                <w:sz w:val="20"/>
                <w:szCs w:val="20"/>
                <w:lang w:val="fr"/>
              </w:rPr>
              <w:t>104,86</w:t>
            </w:r>
          </w:p>
        </w:tc>
        <w:tc>
          <w:tcPr>
            <w:tcW w:w="542" w:type="pct"/>
            <w:tcBorders>
              <w:top w:val="single" w:sz="4" w:space="0" w:color="auto"/>
              <w:left w:val="nil"/>
              <w:bottom w:val="single" w:sz="4" w:space="0" w:color="auto"/>
              <w:right w:val="single" w:sz="4" w:space="0" w:color="auto"/>
            </w:tcBorders>
            <w:vAlign w:val="center"/>
          </w:tcPr>
          <w:p w14:paraId="466E731E" w14:textId="77777777" w:rsidR="00E978F6" w:rsidRPr="00C71C59" w:rsidRDefault="00E978F6" w:rsidP="00976EA7">
            <w:pPr>
              <w:widowControl w:val="0"/>
              <w:jc w:val="right"/>
              <w:rPr>
                <w:bCs/>
                <w:color w:val="000000"/>
                <w:sz w:val="20"/>
                <w:szCs w:val="20"/>
              </w:rPr>
            </w:pPr>
            <w:r>
              <w:rPr>
                <w:sz w:val="20"/>
                <w:szCs w:val="20"/>
                <w:lang w:val="fr"/>
              </w:rPr>
              <w:t>79,34</w:t>
            </w:r>
          </w:p>
        </w:tc>
        <w:tc>
          <w:tcPr>
            <w:tcW w:w="542" w:type="pct"/>
            <w:tcBorders>
              <w:top w:val="nil"/>
              <w:left w:val="single" w:sz="4" w:space="0" w:color="auto"/>
              <w:bottom w:val="single" w:sz="4" w:space="0" w:color="auto"/>
              <w:right w:val="single" w:sz="4" w:space="0" w:color="auto"/>
            </w:tcBorders>
          </w:tcPr>
          <w:p w14:paraId="16430EA8" w14:textId="77777777" w:rsidR="00E978F6" w:rsidRPr="00C71C59" w:rsidRDefault="00E978F6" w:rsidP="00976EA7">
            <w:pPr>
              <w:widowControl w:val="0"/>
              <w:jc w:val="right"/>
              <w:rPr>
                <w:bCs/>
                <w:color w:val="000000"/>
                <w:sz w:val="20"/>
                <w:szCs w:val="20"/>
              </w:rPr>
            </w:pPr>
            <w:r>
              <w:rPr>
                <w:color w:val="000000"/>
                <w:sz w:val="20"/>
                <w:szCs w:val="20"/>
                <w:lang w:val="fr"/>
              </w:rPr>
              <w:t>68,54</w:t>
            </w:r>
          </w:p>
        </w:tc>
        <w:tc>
          <w:tcPr>
            <w:tcW w:w="542" w:type="pct"/>
            <w:tcBorders>
              <w:top w:val="nil"/>
              <w:left w:val="single" w:sz="4" w:space="0" w:color="auto"/>
              <w:bottom w:val="single" w:sz="4" w:space="0" w:color="auto"/>
              <w:right w:val="single" w:sz="4" w:space="0" w:color="auto"/>
            </w:tcBorders>
          </w:tcPr>
          <w:p w14:paraId="259604D2" w14:textId="77777777" w:rsidR="00E978F6" w:rsidRPr="00C71C59" w:rsidRDefault="00E978F6" w:rsidP="00976EA7">
            <w:pPr>
              <w:widowControl w:val="0"/>
              <w:jc w:val="right"/>
              <w:rPr>
                <w:rFonts w:eastAsiaTheme="minorHAnsi"/>
                <w:color w:val="000000"/>
                <w:sz w:val="20"/>
                <w:szCs w:val="20"/>
              </w:rPr>
            </w:pPr>
            <w:r>
              <w:rPr>
                <w:rFonts w:eastAsiaTheme="minorHAnsi"/>
                <w:color w:val="000000"/>
                <w:sz w:val="20"/>
                <w:szCs w:val="20"/>
                <w:lang w:val="fr"/>
              </w:rPr>
              <w:t>79,36</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743B233" w14:textId="77777777" w:rsidR="00E978F6" w:rsidRPr="00C71C59" w:rsidRDefault="00E978F6" w:rsidP="00976EA7">
            <w:pPr>
              <w:widowControl w:val="0"/>
              <w:jc w:val="right"/>
              <w:rPr>
                <w:color w:val="000000"/>
                <w:sz w:val="20"/>
                <w:szCs w:val="20"/>
              </w:rPr>
            </w:pPr>
            <w:r>
              <w:rPr>
                <w:color w:val="000000"/>
                <w:sz w:val="20"/>
                <w:szCs w:val="20"/>
                <w:lang w:val="fr"/>
              </w:rPr>
              <w:t>124,14</w:t>
            </w:r>
          </w:p>
        </w:tc>
      </w:tr>
      <w:tr w:rsidR="00E978F6" w:rsidRPr="00C71C59" w14:paraId="3B6EBA25" w14:textId="77777777" w:rsidTr="00976EA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C672DD" w14:textId="77777777" w:rsidR="00E978F6" w:rsidRPr="00C71C59" w:rsidRDefault="00E978F6" w:rsidP="00976EA7">
            <w:pPr>
              <w:widowControl w:val="0"/>
              <w:jc w:val="left"/>
              <w:rPr>
                <w:color w:val="000000"/>
                <w:sz w:val="20"/>
                <w:szCs w:val="20"/>
              </w:rPr>
            </w:pPr>
            <w:r>
              <w:rPr>
                <w:color w:val="000000"/>
                <w:sz w:val="20"/>
                <w:szCs w:val="20"/>
                <w:lang w:val="fr"/>
              </w:rPr>
              <w:t>Tonnes PAO</w:t>
            </w:r>
          </w:p>
        </w:tc>
        <w:tc>
          <w:tcPr>
            <w:tcW w:w="542" w:type="pct"/>
            <w:tcBorders>
              <w:top w:val="nil"/>
              <w:left w:val="nil"/>
              <w:bottom w:val="single" w:sz="4" w:space="0" w:color="auto"/>
              <w:right w:val="single" w:sz="4" w:space="0" w:color="auto"/>
            </w:tcBorders>
            <w:shd w:val="clear" w:color="auto" w:fill="auto"/>
            <w:noWrap/>
            <w:vAlign w:val="center"/>
          </w:tcPr>
          <w:p w14:paraId="59318C4F" w14:textId="77777777" w:rsidR="00E978F6" w:rsidRPr="00C71C59" w:rsidRDefault="00E978F6" w:rsidP="00976EA7">
            <w:pPr>
              <w:jc w:val="right"/>
              <w:rPr>
                <w:rFonts w:eastAsiaTheme="minorHAnsi"/>
                <w:color w:val="000000"/>
                <w:sz w:val="20"/>
                <w:szCs w:val="20"/>
              </w:rPr>
            </w:pPr>
            <w:r>
              <w:rPr>
                <w:sz w:val="20"/>
                <w:szCs w:val="20"/>
                <w:lang w:val="fr"/>
              </w:rPr>
              <w:t>2,57</w:t>
            </w:r>
          </w:p>
        </w:tc>
        <w:tc>
          <w:tcPr>
            <w:tcW w:w="542" w:type="pct"/>
            <w:tcBorders>
              <w:top w:val="nil"/>
              <w:left w:val="nil"/>
              <w:bottom w:val="single" w:sz="4" w:space="0" w:color="auto"/>
              <w:right w:val="single" w:sz="4" w:space="0" w:color="auto"/>
            </w:tcBorders>
            <w:shd w:val="clear" w:color="auto" w:fill="auto"/>
            <w:noWrap/>
            <w:vAlign w:val="center"/>
          </w:tcPr>
          <w:p w14:paraId="5CE08EA3" w14:textId="77777777" w:rsidR="00E978F6" w:rsidRPr="00C71C59" w:rsidRDefault="00E978F6" w:rsidP="00976EA7">
            <w:pPr>
              <w:jc w:val="right"/>
              <w:rPr>
                <w:color w:val="000000"/>
                <w:sz w:val="20"/>
                <w:szCs w:val="20"/>
              </w:rPr>
            </w:pPr>
            <w:r>
              <w:rPr>
                <w:sz w:val="20"/>
                <w:szCs w:val="20"/>
                <w:lang w:val="fr"/>
              </w:rPr>
              <w:t>5,77</w:t>
            </w:r>
          </w:p>
        </w:tc>
        <w:tc>
          <w:tcPr>
            <w:tcW w:w="542" w:type="pct"/>
            <w:tcBorders>
              <w:top w:val="single" w:sz="4" w:space="0" w:color="auto"/>
              <w:left w:val="nil"/>
              <w:bottom w:val="single" w:sz="4" w:space="0" w:color="auto"/>
              <w:right w:val="single" w:sz="4" w:space="0" w:color="auto"/>
            </w:tcBorders>
            <w:vAlign w:val="center"/>
          </w:tcPr>
          <w:p w14:paraId="2DCCD82F" w14:textId="77777777" w:rsidR="00E978F6" w:rsidRPr="00C71C59" w:rsidRDefault="00E978F6" w:rsidP="00976EA7">
            <w:pPr>
              <w:jc w:val="right"/>
              <w:rPr>
                <w:color w:val="000000"/>
                <w:sz w:val="20"/>
                <w:szCs w:val="20"/>
              </w:rPr>
            </w:pPr>
            <w:r>
              <w:rPr>
                <w:sz w:val="20"/>
                <w:szCs w:val="20"/>
                <w:lang w:val="fr"/>
              </w:rPr>
              <w:t>4,36</w:t>
            </w:r>
          </w:p>
        </w:tc>
        <w:tc>
          <w:tcPr>
            <w:tcW w:w="542" w:type="pct"/>
            <w:tcBorders>
              <w:top w:val="nil"/>
              <w:left w:val="single" w:sz="4" w:space="0" w:color="auto"/>
              <w:bottom w:val="single" w:sz="4" w:space="0" w:color="auto"/>
              <w:right w:val="single" w:sz="4" w:space="0" w:color="auto"/>
            </w:tcBorders>
          </w:tcPr>
          <w:p w14:paraId="268E5C2A" w14:textId="77777777" w:rsidR="00E978F6" w:rsidRPr="00C71C59" w:rsidRDefault="00E978F6" w:rsidP="00976EA7">
            <w:pPr>
              <w:jc w:val="right"/>
              <w:rPr>
                <w:sz w:val="20"/>
                <w:szCs w:val="20"/>
              </w:rPr>
            </w:pPr>
            <w:r>
              <w:rPr>
                <w:sz w:val="20"/>
                <w:szCs w:val="20"/>
                <w:lang w:val="fr"/>
              </w:rPr>
              <w:t>3,77</w:t>
            </w:r>
          </w:p>
        </w:tc>
        <w:tc>
          <w:tcPr>
            <w:tcW w:w="542" w:type="pct"/>
            <w:tcBorders>
              <w:top w:val="nil"/>
              <w:left w:val="single" w:sz="4" w:space="0" w:color="auto"/>
              <w:bottom w:val="single" w:sz="4" w:space="0" w:color="auto"/>
              <w:right w:val="single" w:sz="4" w:space="0" w:color="auto"/>
            </w:tcBorders>
          </w:tcPr>
          <w:p w14:paraId="3E728FF9" w14:textId="77777777" w:rsidR="00E978F6" w:rsidRPr="00C71C59" w:rsidRDefault="00E978F6" w:rsidP="00976EA7">
            <w:pPr>
              <w:jc w:val="right"/>
              <w:rPr>
                <w:rFonts w:eastAsiaTheme="minorHAnsi"/>
                <w:color w:val="000000"/>
                <w:sz w:val="20"/>
                <w:szCs w:val="20"/>
              </w:rPr>
            </w:pPr>
            <w:r>
              <w:rPr>
                <w:rFonts w:eastAsiaTheme="minorHAnsi"/>
                <w:color w:val="000000"/>
                <w:sz w:val="20"/>
                <w:szCs w:val="20"/>
                <w:lang w:val="fr"/>
              </w:rPr>
              <w:t>4,36</w:t>
            </w:r>
          </w:p>
        </w:tc>
        <w:tc>
          <w:tcPr>
            <w:tcW w:w="649" w:type="pct"/>
            <w:tcBorders>
              <w:top w:val="nil"/>
              <w:left w:val="single" w:sz="4" w:space="0" w:color="auto"/>
              <w:bottom w:val="single" w:sz="4" w:space="0" w:color="auto"/>
              <w:right w:val="single" w:sz="4" w:space="0" w:color="auto"/>
            </w:tcBorders>
            <w:shd w:val="clear" w:color="auto" w:fill="auto"/>
            <w:noWrap/>
          </w:tcPr>
          <w:p w14:paraId="4C0A1FB1" w14:textId="77777777" w:rsidR="00E978F6" w:rsidRPr="00C71C59" w:rsidRDefault="00E978F6" w:rsidP="00976EA7">
            <w:pPr>
              <w:jc w:val="right"/>
              <w:rPr>
                <w:rFonts w:eastAsiaTheme="minorHAnsi"/>
                <w:color w:val="000000"/>
                <w:sz w:val="20"/>
                <w:szCs w:val="20"/>
              </w:rPr>
            </w:pPr>
            <w:r>
              <w:rPr>
                <w:rFonts w:eastAsiaTheme="minorHAnsi"/>
                <w:color w:val="000000"/>
                <w:sz w:val="20"/>
                <w:szCs w:val="20"/>
                <w:lang w:val="fr"/>
              </w:rPr>
              <w:t>6,80</w:t>
            </w:r>
          </w:p>
        </w:tc>
      </w:tr>
    </w:tbl>
    <w:p w14:paraId="21E7E60D" w14:textId="77777777" w:rsidR="00E978F6" w:rsidRPr="00C71C59" w:rsidRDefault="00E978F6" w:rsidP="00E978F6"/>
    <w:p w14:paraId="58713492" w14:textId="58A09BA0" w:rsidR="00E978F6" w:rsidRPr="005201DA" w:rsidRDefault="00E978F6" w:rsidP="00E978F6">
      <w:pPr>
        <w:pStyle w:val="Heading1"/>
        <w:rPr>
          <w:lang w:val="fr-FR"/>
        </w:rPr>
      </w:pPr>
      <w:r>
        <w:rPr>
          <w:lang w:val="fr"/>
        </w:rPr>
        <w:t xml:space="preserve">Depuis 2017, la consommation de HCFC-22, qui est utilisé exclusivement dans l’entretien des équipements de réfrigération et de climatisation, a été inférieure au niveau de contrôle établi par le Protocole de Montréal en raison de la mise en œuvre des activités relatives au PGEH, notamment </w:t>
      </w:r>
      <w:r w:rsidR="00FB41DE">
        <w:rPr>
          <w:lang w:val="fr"/>
        </w:rPr>
        <w:t xml:space="preserve">de </w:t>
      </w:r>
      <w:r>
        <w:rPr>
          <w:lang w:val="fr"/>
        </w:rPr>
        <w:t xml:space="preserve">la mise en </w:t>
      </w:r>
      <w:r w:rsidR="00FB41DE">
        <w:rPr>
          <w:lang w:val="fr"/>
        </w:rPr>
        <w:t>vigueur</w:t>
      </w:r>
      <w:r>
        <w:rPr>
          <w:lang w:val="fr"/>
        </w:rPr>
        <w:t xml:space="preserve"> d’un système d’octroi de permis et de quotas ; la formation de techniciens en entretien ; une campagne de sensibilisation ; l’interdiction frappant les importations d’équipement à base de HCFC à partir du 1</w:t>
      </w:r>
      <w:r>
        <w:rPr>
          <w:vertAlign w:val="superscript"/>
          <w:lang w:val="fr"/>
        </w:rPr>
        <w:t>er </w:t>
      </w:r>
      <w:r>
        <w:rPr>
          <w:lang w:val="fr"/>
        </w:rPr>
        <w:t>janvier 2016 ; et l’augmentation des importations d’appareils de réfrigération et de climatisation utilisant des frigorigènes de remplacement. La consommation plus élevée de HCFC en 2018 était due à une modification de la situation économique dans le pays qui avait entraîné une consommation inférieure les années précédentes, tandis que l’augmentation de consommation en 2021 par rapport à 2020 était due à la reprise des importations à la réouverture des frontières après la pandémie de COVID-19.</w:t>
      </w:r>
    </w:p>
    <w:p w14:paraId="09FAB98E" w14:textId="77777777" w:rsidR="00E978F6" w:rsidRPr="005201DA" w:rsidRDefault="00E978F6" w:rsidP="00E978F6">
      <w:pPr>
        <w:rPr>
          <w:i/>
          <w:lang w:val="fr-FR"/>
        </w:rPr>
      </w:pPr>
      <w:r>
        <w:rPr>
          <w:i/>
          <w:iCs/>
          <w:lang w:val="fr"/>
        </w:rPr>
        <w:t>Rapport de mise en œuvre du programme de pays (PP)</w:t>
      </w:r>
    </w:p>
    <w:p w14:paraId="72AD415E" w14:textId="77777777" w:rsidR="00E978F6" w:rsidRPr="005201DA" w:rsidRDefault="00E978F6" w:rsidP="00E978F6">
      <w:pPr>
        <w:rPr>
          <w:lang w:val="fr-FR"/>
        </w:rPr>
      </w:pPr>
    </w:p>
    <w:p w14:paraId="7BB1A99B" w14:textId="4047E25B" w:rsidR="00E978F6" w:rsidRPr="005201DA" w:rsidRDefault="00E978F6" w:rsidP="00E978F6">
      <w:pPr>
        <w:pStyle w:val="Heading1"/>
        <w:rPr>
          <w:lang w:val="fr-FR"/>
        </w:rPr>
      </w:pPr>
      <w:r>
        <w:rPr>
          <w:lang w:val="fr"/>
        </w:rPr>
        <w:t>Le gouvernement du Turkménistan a déclaré une consommation du secteur des HCFC dans le rapport de mise en œuvre du programme de pays </w:t>
      </w:r>
      <w:r w:rsidR="00FB41DE">
        <w:rPr>
          <w:lang w:val="fr"/>
        </w:rPr>
        <w:t xml:space="preserve">pour </w:t>
      </w:r>
      <w:r>
        <w:rPr>
          <w:lang w:val="fr"/>
        </w:rPr>
        <w:t>2021 qui correspond aux données communiquées en vertu de l’article 7 du Protocole de Montréal.</w:t>
      </w:r>
    </w:p>
    <w:p w14:paraId="69C4A641" w14:textId="77777777" w:rsidR="00E978F6" w:rsidRPr="00C71C59" w:rsidRDefault="00E978F6" w:rsidP="00E978F6">
      <w:pPr>
        <w:rPr>
          <w:i/>
        </w:rPr>
      </w:pPr>
      <w:r>
        <w:rPr>
          <w:i/>
          <w:iCs/>
          <w:lang w:val="fr"/>
        </w:rPr>
        <w:t>Rapport de vérification</w:t>
      </w:r>
    </w:p>
    <w:p w14:paraId="382AEAB3" w14:textId="77777777" w:rsidR="00E978F6" w:rsidRPr="00C71C59" w:rsidRDefault="00E978F6" w:rsidP="00E978F6"/>
    <w:p w14:paraId="617A9BC2" w14:textId="5EB0F7FF" w:rsidR="00E978F6" w:rsidRPr="005201DA" w:rsidRDefault="00E978F6" w:rsidP="00E978F6">
      <w:pPr>
        <w:pStyle w:val="Heading1"/>
        <w:rPr>
          <w:lang w:val="fr-FR"/>
        </w:rPr>
      </w:pPr>
      <w:r>
        <w:rPr>
          <w:lang w:val="fr"/>
        </w:rPr>
        <w:t>Le rapport de vérification a confirmé que le gouvernement du Turkménistan avait mis en place un système d’octroi de licences et de quotas pour les importations de HCFC et que la consommation pour 2020 et 2021 était inférieure aux objectifs fixés dans l’Accord entre le gouvernement du Turkménistan et le Comité exécutif. De plus, la consommation de HCFC en 2020 et 2021 rapportée par le gouvernement au titre de l’article 7 du Protocole de Montréal (comme présenté dans le tableau 1</w:t>
      </w:r>
      <w:r w:rsidR="00FB41DE">
        <w:rPr>
          <w:lang w:val="fr"/>
        </w:rPr>
        <w:t xml:space="preserve"> ci-dessus</w:t>
      </w:r>
      <w:r>
        <w:rPr>
          <w:lang w:val="fr"/>
        </w:rPr>
        <w:t xml:space="preserve">) et dans le cadre du rapport de mise en œuvre du programme du pays (PP) était correcte. Le rapport de vérification a aussi noté qu’un mécanisme d’octroi de quotas clair et transparent avait rendu totalement fonctionnel le système d’octroi de quotas d’importations de HCFC au Turkménistan. </w:t>
      </w:r>
    </w:p>
    <w:p w14:paraId="37B64D4D" w14:textId="3422CB60" w:rsidR="00E978F6" w:rsidRPr="005201DA" w:rsidRDefault="00E978F6" w:rsidP="00E978F6">
      <w:pPr>
        <w:pStyle w:val="Heading1"/>
        <w:rPr>
          <w:lang w:val="fr-FR"/>
        </w:rPr>
      </w:pPr>
      <w:r>
        <w:rPr>
          <w:lang w:val="fr"/>
        </w:rPr>
        <w:lastRenderedPageBreak/>
        <w:t>Le rapport de vérification a recommandé, entre autres, de renforcer la capacité des douanes pour empêcher le potentiel commerce illégal, et de sensibiliser à l’Amendement de Kigali les agents des douanes ; d’accélérer la recherche d’opportunités et de ressource</w:t>
      </w:r>
      <w:r w:rsidR="00512947">
        <w:rPr>
          <w:lang w:val="fr"/>
        </w:rPr>
        <w:t>s</w:t>
      </w:r>
      <w:r>
        <w:rPr>
          <w:lang w:val="fr"/>
        </w:rPr>
        <w:t xml:space="preserve"> pour relever les défis liés à la mise en œuvre de l’Amendement de Kigali ; d’évaluer l’efficacité des centres de récupération des frigorigènes en cours de création dans le cadre de la phase II du PGEH ; et de développer des mesures législatives dès que possible pour interdire les émissions de SAO et de HFC et de demander soit leur récupération obligatoire pour une réutilisation ultérieure soit leur stockage pour destruction. L’ONUDI a confirmé que les recommandations seraient prises en compte dans le cadre de la phase II du PGEH.</w:t>
      </w:r>
    </w:p>
    <w:p w14:paraId="67C0450F" w14:textId="77777777" w:rsidR="00E978F6" w:rsidRPr="005201DA" w:rsidRDefault="00E978F6" w:rsidP="00E978F6">
      <w:pPr>
        <w:rPr>
          <w:u w:val="single"/>
          <w:lang w:val="fr-FR"/>
        </w:rPr>
      </w:pPr>
      <w:r>
        <w:rPr>
          <w:u w:val="single"/>
          <w:lang w:val="fr"/>
        </w:rPr>
        <w:t>Rapport périodique sur la mise en œuvre de la première tranche de la phase II du PGEH</w:t>
      </w:r>
    </w:p>
    <w:p w14:paraId="5626323B" w14:textId="77777777" w:rsidR="00E978F6" w:rsidRPr="005201DA" w:rsidRDefault="00E978F6" w:rsidP="00E978F6">
      <w:pPr>
        <w:rPr>
          <w:lang w:val="fr-FR"/>
        </w:rPr>
      </w:pPr>
    </w:p>
    <w:p w14:paraId="1261DCD9" w14:textId="77777777" w:rsidR="00E978F6" w:rsidRPr="00C71C59" w:rsidRDefault="00E978F6" w:rsidP="00E978F6">
      <w:pPr>
        <w:rPr>
          <w:i/>
        </w:rPr>
      </w:pPr>
      <w:r>
        <w:rPr>
          <w:i/>
          <w:iCs/>
          <w:lang w:val="fr"/>
        </w:rPr>
        <w:t>Cadre juridique</w:t>
      </w:r>
    </w:p>
    <w:p w14:paraId="4F623B63" w14:textId="77777777" w:rsidR="00E978F6" w:rsidRPr="00C71C59" w:rsidRDefault="00E978F6" w:rsidP="00E978F6">
      <w:pPr>
        <w:rPr>
          <w:i/>
        </w:rPr>
      </w:pPr>
    </w:p>
    <w:p w14:paraId="068D148B" w14:textId="77777777" w:rsidR="00E978F6" w:rsidRPr="005201DA" w:rsidRDefault="00E978F6" w:rsidP="00E978F6">
      <w:pPr>
        <w:pStyle w:val="Heading1"/>
        <w:rPr>
          <w:lang w:val="fr-FR"/>
        </w:rPr>
      </w:pPr>
      <w:r>
        <w:rPr>
          <w:lang w:val="fr"/>
        </w:rPr>
        <w:t>Le gouvernement du Turkménistan a ratifié l’Amendement de Kigali au Protocole de Montréal le 31 août 2020.</w:t>
      </w:r>
    </w:p>
    <w:p w14:paraId="6D59C839" w14:textId="31AF1670" w:rsidR="00E978F6" w:rsidRPr="00E978F6" w:rsidRDefault="00E978F6" w:rsidP="00E978F6">
      <w:pPr>
        <w:pStyle w:val="Heading1"/>
        <w:rPr>
          <w:lang w:val="fr-FR"/>
        </w:rPr>
      </w:pPr>
      <w:r>
        <w:rPr>
          <w:lang w:val="fr"/>
        </w:rPr>
        <w:t>Vingt-cinq agents des douanes, dont trois femmes, ont été formés à la prévention du commerce illégal des SAO et à l’utilisation des identificateurs de frigorigènes.</w:t>
      </w:r>
      <w:r>
        <w:rPr>
          <w:rStyle w:val="FootnoteReference"/>
          <w:lang w:val="fr"/>
        </w:rPr>
        <w:footnoteReference w:id="3"/>
      </w:r>
      <w:r>
        <w:rPr>
          <w:lang w:val="fr"/>
        </w:rPr>
        <w:t xml:space="preserve"> </w:t>
      </w:r>
      <w:r w:rsidR="00512947">
        <w:rPr>
          <w:lang w:val="fr"/>
        </w:rPr>
        <w:t>À la s</w:t>
      </w:r>
      <w:r>
        <w:rPr>
          <w:lang w:val="fr"/>
        </w:rPr>
        <w:t xml:space="preserve">uite </w:t>
      </w:r>
      <w:r w:rsidR="00512947">
        <w:rPr>
          <w:lang w:val="fr"/>
        </w:rPr>
        <w:t>d’</w:t>
      </w:r>
      <w:r>
        <w:rPr>
          <w:lang w:val="fr"/>
        </w:rPr>
        <w:t xml:space="preserve">une analyse détaillée des codes SAO par </w:t>
      </w:r>
      <w:r w:rsidR="00AF1753">
        <w:rPr>
          <w:lang w:val="fr"/>
        </w:rPr>
        <w:t>d</w:t>
      </w:r>
      <w:r>
        <w:rPr>
          <w:lang w:val="fr"/>
        </w:rPr>
        <w:t xml:space="preserve">es départements </w:t>
      </w:r>
      <w:r w:rsidR="00AF1753">
        <w:rPr>
          <w:lang w:val="fr"/>
        </w:rPr>
        <w:t>internes aux</w:t>
      </w:r>
      <w:r>
        <w:rPr>
          <w:lang w:val="fr"/>
        </w:rPr>
        <w:t xml:space="preserve"> douanes, le système harmonisé 2022 a été adopté comprenant un code national à 3 chiffres supplémentaire.</w:t>
      </w:r>
    </w:p>
    <w:p w14:paraId="28632799" w14:textId="77777777" w:rsidR="00E978F6" w:rsidRPr="005201DA" w:rsidRDefault="00E978F6" w:rsidP="00E978F6">
      <w:pPr>
        <w:rPr>
          <w:i/>
          <w:lang w:val="fr-FR"/>
        </w:rPr>
      </w:pPr>
      <w:r>
        <w:rPr>
          <w:i/>
          <w:iCs/>
          <w:lang w:val="fr"/>
        </w:rPr>
        <w:t>Secteur de l’entretien des appareils de réfrigération</w:t>
      </w:r>
    </w:p>
    <w:p w14:paraId="7EF2D9D7" w14:textId="77777777" w:rsidR="00E978F6" w:rsidRPr="005201DA" w:rsidRDefault="00E978F6" w:rsidP="00E978F6">
      <w:pPr>
        <w:rPr>
          <w:i/>
          <w:lang w:val="fr-FR"/>
        </w:rPr>
      </w:pPr>
    </w:p>
    <w:p w14:paraId="459C1553" w14:textId="77777777" w:rsidR="00E978F6" w:rsidRPr="005201DA" w:rsidRDefault="00E978F6" w:rsidP="00E978F6">
      <w:pPr>
        <w:pStyle w:val="Heading1"/>
        <w:rPr>
          <w:lang w:val="fr-FR"/>
        </w:rPr>
      </w:pPr>
      <w:r>
        <w:rPr>
          <w:lang w:val="fr"/>
        </w:rPr>
        <w:t>Les principales activités mises en œuvre incluent :</w:t>
      </w:r>
    </w:p>
    <w:p w14:paraId="0FEAF3B0" w14:textId="6E66B30D" w:rsidR="00E978F6" w:rsidRPr="005201DA" w:rsidRDefault="00E978F6" w:rsidP="00E978F6">
      <w:pPr>
        <w:pStyle w:val="Heading2"/>
        <w:numPr>
          <w:ilvl w:val="1"/>
          <w:numId w:val="1"/>
        </w:numPr>
        <w:rPr>
          <w:lang w:val="fr-FR"/>
        </w:rPr>
      </w:pPr>
      <w:r>
        <w:rPr>
          <w:lang w:val="fr"/>
        </w:rPr>
        <w:t xml:space="preserve">La soumission et la </w:t>
      </w:r>
      <w:r w:rsidR="00AF1753">
        <w:rPr>
          <w:lang w:val="fr"/>
        </w:rPr>
        <w:t>signature</w:t>
      </w:r>
      <w:r>
        <w:rPr>
          <w:lang w:val="fr"/>
        </w:rPr>
        <w:t xml:space="preserve"> d’un contrat pour la fourniture et la livraison de huit simulateurs de formation pour le centre d’excellence pour la formation et la certification aux technologies de remplacement à faible ou nul potentiel de réchauffement global (PRG), et l’ébauche d’un accord de coopération entre le ministère de l’Agriculture et de la Protection de l’environnement (MAEP) et le centre de formation en réfrigération et climatisation ; </w:t>
      </w:r>
    </w:p>
    <w:p w14:paraId="439354F2" w14:textId="3A5D9388" w:rsidR="00E978F6" w:rsidRPr="005201DA" w:rsidRDefault="00E978F6" w:rsidP="00E978F6">
      <w:pPr>
        <w:pStyle w:val="Heading2"/>
        <w:numPr>
          <w:ilvl w:val="1"/>
          <w:numId w:val="1"/>
        </w:numPr>
        <w:rPr>
          <w:lang w:val="fr-FR"/>
        </w:rPr>
      </w:pPr>
      <w:r>
        <w:rPr>
          <w:lang w:val="fr"/>
        </w:rPr>
        <w:t xml:space="preserve">Une </w:t>
      </w:r>
      <w:r w:rsidR="00AF1753">
        <w:rPr>
          <w:lang w:val="fr"/>
        </w:rPr>
        <w:t>analyse</w:t>
      </w:r>
      <w:r>
        <w:rPr>
          <w:lang w:val="fr"/>
        </w:rPr>
        <w:t xml:space="preserve"> de la législation internationale et nationale sur les systèmes de certification en réfrigération et climatisation par un consultant juridique ; la préparation d’un projet de loi final sur la certification obligatoire des techniciens frigoristes, à la suite de trois consultations en personne et en ligne avec les parties prenantes ; et l’adoption d’une norme européenne sur les exigences de sécurité et environnementale</w:t>
      </w:r>
      <w:r w:rsidR="00AF1753">
        <w:rPr>
          <w:lang w:val="fr"/>
        </w:rPr>
        <w:t>s</w:t>
      </w:r>
      <w:r>
        <w:rPr>
          <w:lang w:val="fr"/>
        </w:rPr>
        <w:t xml:space="preserve"> pour les systèmes réfrigération et les pompes à chaleur ;</w:t>
      </w:r>
    </w:p>
    <w:p w14:paraId="062E8FA0" w14:textId="686890A8" w:rsidR="00E978F6" w:rsidRPr="005201DA" w:rsidRDefault="00E978F6" w:rsidP="00E978F6">
      <w:pPr>
        <w:pStyle w:val="Heading2"/>
        <w:numPr>
          <w:ilvl w:val="1"/>
          <w:numId w:val="1"/>
        </w:numPr>
        <w:rPr>
          <w:lang w:val="fr-FR"/>
        </w:rPr>
      </w:pPr>
      <w:r>
        <w:rPr>
          <w:lang w:val="fr"/>
        </w:rPr>
        <w:t xml:space="preserve">Des mises à jour des programmes, </w:t>
      </w:r>
      <w:r w:rsidR="00AF1753">
        <w:rPr>
          <w:lang w:val="fr"/>
        </w:rPr>
        <w:t xml:space="preserve">des </w:t>
      </w:r>
      <w:r>
        <w:rPr>
          <w:lang w:val="fr"/>
        </w:rPr>
        <w:t xml:space="preserve">supports de formation et </w:t>
      </w:r>
      <w:r w:rsidR="00AF1753">
        <w:rPr>
          <w:lang w:val="fr"/>
        </w:rPr>
        <w:t xml:space="preserve">des </w:t>
      </w:r>
      <w:r>
        <w:rPr>
          <w:lang w:val="fr"/>
        </w:rPr>
        <w:t>présentations pour les cursus sur les frigorigènes inflammables et sur les bonnes pratiques de réfrigération pour minimiser les émissions</w:t>
      </w:r>
      <w:r w:rsidR="00AF1753">
        <w:rPr>
          <w:lang w:val="fr"/>
        </w:rPr>
        <w:t> ;</w:t>
      </w:r>
      <w:r>
        <w:rPr>
          <w:lang w:val="fr"/>
        </w:rPr>
        <w:t xml:space="preserve"> </w:t>
      </w:r>
      <w:r w:rsidR="00AF1753">
        <w:rPr>
          <w:lang w:val="fr"/>
        </w:rPr>
        <w:t>six</w:t>
      </w:r>
      <w:r>
        <w:rPr>
          <w:lang w:val="fr"/>
        </w:rPr>
        <w:t xml:space="preserve"> sessions de formation sont planifiées pour janvier 2023 ; et </w:t>
      </w:r>
    </w:p>
    <w:p w14:paraId="43489A15" w14:textId="0BA925FE" w:rsidR="00E978F6" w:rsidRPr="005201DA" w:rsidRDefault="00E978F6" w:rsidP="00E978F6">
      <w:pPr>
        <w:pStyle w:val="Heading2"/>
        <w:numPr>
          <w:ilvl w:val="1"/>
          <w:numId w:val="1"/>
        </w:numPr>
        <w:rPr>
          <w:lang w:val="fr-FR"/>
        </w:rPr>
      </w:pPr>
      <w:r>
        <w:rPr>
          <w:lang w:val="fr"/>
        </w:rPr>
        <w:t xml:space="preserve">Un atelier de formation sur les bonnes pratiques de réfrigération pour 18 techniciens frigoristes, dont </w:t>
      </w:r>
      <w:r w:rsidR="00AF1753">
        <w:rPr>
          <w:lang w:val="fr"/>
        </w:rPr>
        <w:t>deux</w:t>
      </w:r>
      <w:r>
        <w:rPr>
          <w:lang w:val="fr"/>
        </w:rPr>
        <w:t xml:space="preserve"> femmes ; un séminaire/formation de sensibilisation pour 22 techniciens frigoristes, dont </w:t>
      </w:r>
      <w:r w:rsidR="00AF1753">
        <w:rPr>
          <w:lang w:val="fr"/>
        </w:rPr>
        <w:t>quatre</w:t>
      </w:r>
      <w:r>
        <w:rPr>
          <w:lang w:val="fr"/>
        </w:rPr>
        <w:t xml:space="preserve"> femmes, sur les technologies respectueuses du climat et à faible consommation énergétique dans le cadre des activités de la Journée mondiale de la réfrigération, et une formation pour 20 agents des forces de l’ordre du </w:t>
      </w:r>
      <w:r>
        <w:rPr>
          <w:lang w:val="fr"/>
        </w:rPr>
        <w:lastRenderedPageBreak/>
        <w:t>MAEP sur la mise en œuvre du Protocole de Montréal et sur les sujets relatifs à la couche d’ozone.</w:t>
      </w:r>
    </w:p>
    <w:p w14:paraId="534BF0DE" w14:textId="77777777" w:rsidR="00E978F6" w:rsidRPr="005201DA" w:rsidRDefault="00E978F6" w:rsidP="00E978F6">
      <w:pPr>
        <w:rPr>
          <w:i/>
          <w:lang w:val="fr-FR"/>
        </w:rPr>
      </w:pPr>
      <w:r>
        <w:rPr>
          <w:i/>
          <w:iCs/>
          <w:lang w:val="fr"/>
        </w:rPr>
        <w:t>Mise en œuvre et suivi du projet</w:t>
      </w:r>
    </w:p>
    <w:p w14:paraId="23645B4D" w14:textId="77777777" w:rsidR="00E978F6" w:rsidRPr="005201DA" w:rsidRDefault="00E978F6" w:rsidP="00E978F6">
      <w:pPr>
        <w:rPr>
          <w:lang w:val="fr-FR"/>
        </w:rPr>
      </w:pPr>
    </w:p>
    <w:p w14:paraId="5C0F6CF7" w14:textId="2D64D0EB" w:rsidR="00E978F6" w:rsidRPr="005201DA" w:rsidRDefault="00E978F6" w:rsidP="00E978F6">
      <w:pPr>
        <w:pStyle w:val="Heading1"/>
        <w:rPr>
          <w:rFonts w:eastAsia="Calibri"/>
          <w:lang w:val="fr-FR"/>
        </w:rPr>
      </w:pPr>
      <w:r>
        <w:rPr>
          <w:lang w:val="fr"/>
        </w:rPr>
        <w:t xml:space="preserve">L’UNO, encadrée par le MAEP, est responsable du suivi et de la mise en œuvre de toutes les activités du PGEH, </w:t>
      </w:r>
      <w:r w:rsidR="007776D0">
        <w:rPr>
          <w:lang w:val="fr"/>
        </w:rPr>
        <w:t>des comptes-rendus</w:t>
      </w:r>
      <w:r>
        <w:rPr>
          <w:lang w:val="fr"/>
        </w:rPr>
        <w:t xml:space="preserve"> d’avancement et </w:t>
      </w:r>
      <w:r w:rsidR="007776D0">
        <w:rPr>
          <w:lang w:val="fr"/>
        </w:rPr>
        <w:t>doit travailler</w:t>
      </w:r>
      <w:r>
        <w:rPr>
          <w:lang w:val="fr"/>
        </w:rPr>
        <w:t xml:space="preserve"> avec les parties prenantes pour éliminer les HCFC. Les dépenses pour ce volet de la première tranche de la phase II s’élèvent à 5 000 $</w:t>
      </w:r>
      <w:r w:rsidR="006D4D82">
        <w:rPr>
          <w:lang w:val="fr"/>
        </w:rPr>
        <w:t> </w:t>
      </w:r>
      <w:r>
        <w:rPr>
          <w:lang w:val="fr"/>
        </w:rPr>
        <w:t>US, qui représente</w:t>
      </w:r>
      <w:r w:rsidR="006D4D82">
        <w:rPr>
          <w:lang w:val="fr"/>
        </w:rPr>
        <w:t>nt</w:t>
      </w:r>
      <w:r>
        <w:rPr>
          <w:lang w:val="fr"/>
        </w:rPr>
        <w:t xml:space="preserve"> la totalité du montant approuvé, et incluent le personnel et les consultants (2 000 $</w:t>
      </w:r>
      <w:r w:rsidR="006D4D82">
        <w:rPr>
          <w:lang w:val="fr"/>
        </w:rPr>
        <w:t> </w:t>
      </w:r>
      <w:r>
        <w:rPr>
          <w:lang w:val="fr"/>
        </w:rPr>
        <w:t>US), les frais de déplacement (1 000 $</w:t>
      </w:r>
      <w:r w:rsidR="006D4D82">
        <w:rPr>
          <w:lang w:val="fr"/>
        </w:rPr>
        <w:t> </w:t>
      </w:r>
      <w:r>
        <w:rPr>
          <w:lang w:val="fr"/>
        </w:rPr>
        <w:t>US) ainsi que des dépenses diverses (1 000 $</w:t>
      </w:r>
      <w:r w:rsidR="006D4D82">
        <w:rPr>
          <w:lang w:val="fr"/>
        </w:rPr>
        <w:t> </w:t>
      </w:r>
      <w:r>
        <w:rPr>
          <w:lang w:val="fr"/>
        </w:rPr>
        <w:t xml:space="preserve">US). </w:t>
      </w:r>
    </w:p>
    <w:p w14:paraId="56D43152" w14:textId="77777777" w:rsidR="00E978F6" w:rsidRPr="00C71C59" w:rsidRDefault="00E978F6" w:rsidP="00E978F6">
      <w:pPr>
        <w:keepNext/>
      </w:pPr>
      <w:r>
        <w:rPr>
          <w:u w:val="single"/>
          <w:lang w:val="fr"/>
        </w:rPr>
        <w:t>Niveau de décaissement des fonds</w:t>
      </w:r>
    </w:p>
    <w:p w14:paraId="2574FEB7" w14:textId="77777777" w:rsidR="00E978F6" w:rsidRPr="00C71C59" w:rsidRDefault="00E978F6" w:rsidP="00E978F6">
      <w:pPr>
        <w:keepNext/>
      </w:pPr>
    </w:p>
    <w:p w14:paraId="145C89DA" w14:textId="5D196532" w:rsidR="00E978F6" w:rsidRPr="00C71C59" w:rsidRDefault="00E978F6" w:rsidP="00E978F6">
      <w:pPr>
        <w:pStyle w:val="Heading1"/>
        <w:keepNext/>
      </w:pPr>
      <w:r>
        <w:rPr>
          <w:lang w:val="fr"/>
        </w:rPr>
        <w:t xml:space="preserve">En date de septembre 2022, sur les 165 000 $ US approuvés </w:t>
      </w:r>
      <w:r w:rsidR="006D4D82">
        <w:rPr>
          <w:lang w:val="fr"/>
        </w:rPr>
        <w:t>jusque-là</w:t>
      </w:r>
      <w:r>
        <w:rPr>
          <w:lang w:val="fr"/>
        </w:rPr>
        <w:t>, 135 000 $ US (82 pour cent) avaient été décaissés. Le solde de 30 000 $ US sera décaissé d’ici mai 2023.</w:t>
      </w:r>
    </w:p>
    <w:p w14:paraId="3D211BBB" w14:textId="77777777" w:rsidR="00E978F6" w:rsidRPr="005201DA" w:rsidRDefault="00E978F6" w:rsidP="00E978F6">
      <w:pPr>
        <w:rPr>
          <w:u w:val="single"/>
          <w:lang w:val="fr-FR"/>
        </w:rPr>
      </w:pPr>
      <w:r>
        <w:rPr>
          <w:u w:val="single"/>
          <w:lang w:val="fr"/>
        </w:rPr>
        <w:t>Plan de mise en œuvre de la deuxième tranche de la phase II du PGEH</w:t>
      </w:r>
    </w:p>
    <w:p w14:paraId="3A319CDE" w14:textId="77777777" w:rsidR="00E978F6" w:rsidRPr="005201DA" w:rsidRDefault="00E978F6" w:rsidP="00E978F6">
      <w:pPr>
        <w:rPr>
          <w:lang w:val="fr-FR"/>
        </w:rPr>
      </w:pPr>
    </w:p>
    <w:p w14:paraId="1C5BB283" w14:textId="77777777" w:rsidR="00E978F6" w:rsidRPr="005201DA" w:rsidRDefault="00E978F6" w:rsidP="00E978F6">
      <w:pPr>
        <w:pStyle w:val="Heading1"/>
        <w:rPr>
          <w:lang w:val="fr-FR"/>
        </w:rPr>
      </w:pPr>
      <w:r>
        <w:rPr>
          <w:lang w:val="fr"/>
        </w:rPr>
        <w:t>Les activités suivantes seront mises en œuvre entre janvier 2023 et décembre 2025 :</w:t>
      </w:r>
    </w:p>
    <w:p w14:paraId="04DC1878" w14:textId="0E3B31EA" w:rsidR="00E978F6" w:rsidRPr="005201DA" w:rsidRDefault="00E978F6" w:rsidP="00E978F6">
      <w:pPr>
        <w:pStyle w:val="Heading2"/>
        <w:numPr>
          <w:ilvl w:val="1"/>
          <w:numId w:val="1"/>
        </w:numPr>
        <w:rPr>
          <w:lang w:val="fr-FR"/>
        </w:rPr>
      </w:pPr>
      <w:r>
        <w:rPr>
          <w:lang w:val="fr"/>
        </w:rPr>
        <w:t xml:space="preserve">La formation d’au moins 40 inspecteurs de l’environnement du Service de contrôle de l’hydrométéorologie et de l’écologie de l’état concernant le Protocole de Montréal, les technologies de substitution sans SAO, le système d’octroi de licences et de quotas </w:t>
      </w:r>
      <w:r w:rsidR="006D4D82">
        <w:rPr>
          <w:lang w:val="fr"/>
        </w:rPr>
        <w:t xml:space="preserve">pour les SAO </w:t>
      </w:r>
      <w:r>
        <w:rPr>
          <w:lang w:val="fr"/>
        </w:rPr>
        <w:t xml:space="preserve">et l’identification des SAO ; ainsi que le développement d’un programme de formation et de supports de formation (5 000 $ US et le solde restant de la tranche précédente) ; </w:t>
      </w:r>
    </w:p>
    <w:p w14:paraId="0AA37502" w14:textId="77777777" w:rsidR="00E978F6" w:rsidRPr="005201DA" w:rsidRDefault="00E978F6" w:rsidP="00E978F6">
      <w:pPr>
        <w:pStyle w:val="Heading2"/>
        <w:numPr>
          <w:ilvl w:val="1"/>
          <w:numId w:val="1"/>
        </w:numPr>
        <w:rPr>
          <w:lang w:val="fr-FR"/>
        </w:rPr>
      </w:pPr>
      <w:r>
        <w:rPr>
          <w:lang w:val="fr"/>
        </w:rPr>
        <w:t>Formation et certification de cinq formateurs, dont des femmes, conformément aux normes internationales sur les HCFC, les HFC et les frigorigènes inflammables (15 000 $ US) ;</w:t>
      </w:r>
    </w:p>
    <w:p w14:paraId="3BCC9728" w14:textId="4CFD8638" w:rsidR="00E978F6" w:rsidRPr="005201DA" w:rsidRDefault="006D4D82" w:rsidP="00E978F6">
      <w:pPr>
        <w:pStyle w:val="Heading2"/>
        <w:numPr>
          <w:ilvl w:val="1"/>
          <w:numId w:val="1"/>
        </w:numPr>
        <w:rPr>
          <w:lang w:val="fr-FR"/>
        </w:rPr>
      </w:pPr>
      <w:r>
        <w:rPr>
          <w:lang w:val="fr"/>
        </w:rPr>
        <w:t>Organisation</w:t>
      </w:r>
      <w:r w:rsidR="00E978F6">
        <w:rPr>
          <w:lang w:val="fr"/>
        </w:rPr>
        <w:t xml:space="preserve"> de sessions de certification pour 5</w:t>
      </w:r>
      <w:r>
        <w:rPr>
          <w:lang w:val="fr"/>
        </w:rPr>
        <w:t>0</w:t>
      </w:r>
      <w:r w:rsidR="00E978F6">
        <w:rPr>
          <w:lang w:val="fr"/>
        </w:rPr>
        <w:t> techniciens frigoristes, dont des femmes, à l’utilisation en sécurité de frigorigènes naturels, à la récupération et à la destruction des SAO, et au rendement énergétique (15 000 $ US) ;</w:t>
      </w:r>
    </w:p>
    <w:p w14:paraId="32CFB3AC" w14:textId="4902F422" w:rsidR="00E978F6" w:rsidRPr="005201DA" w:rsidRDefault="00E978F6" w:rsidP="00E978F6">
      <w:pPr>
        <w:pStyle w:val="Heading2"/>
        <w:numPr>
          <w:ilvl w:val="1"/>
          <w:numId w:val="1"/>
        </w:numPr>
        <w:rPr>
          <w:lang w:val="fr-FR"/>
        </w:rPr>
      </w:pPr>
      <w:r>
        <w:rPr>
          <w:lang w:val="fr"/>
        </w:rPr>
        <w:t xml:space="preserve">Formation d’au moins 50 parties prenantes clés, dont des </w:t>
      </w:r>
      <w:r w:rsidR="006D4D82">
        <w:rPr>
          <w:lang w:val="fr"/>
        </w:rPr>
        <w:t>organes</w:t>
      </w:r>
      <w:r>
        <w:rPr>
          <w:lang w:val="fr"/>
        </w:rPr>
        <w:t xml:space="preserve"> gouvernementa</w:t>
      </w:r>
      <w:r w:rsidR="006D4D82">
        <w:rPr>
          <w:lang w:val="fr"/>
        </w:rPr>
        <w:t>ux</w:t>
      </w:r>
      <w:r>
        <w:rPr>
          <w:lang w:val="fr"/>
        </w:rPr>
        <w:t xml:space="preserve"> et des entreprises privées travaillant dans le secteur de la réfrigération et de la climatisation, aux frigorigènes de substitution et aux technologies à faible PRG ; la participation de femme sera garantie (5 500 $ US) ;</w:t>
      </w:r>
    </w:p>
    <w:p w14:paraId="652C94AA" w14:textId="47FC2A5A" w:rsidR="00E978F6" w:rsidRPr="005201DA" w:rsidRDefault="00A43D57" w:rsidP="00E978F6">
      <w:pPr>
        <w:pStyle w:val="Heading2"/>
        <w:numPr>
          <w:ilvl w:val="1"/>
          <w:numId w:val="1"/>
        </w:numPr>
        <w:rPr>
          <w:lang w:val="fr-FR"/>
        </w:rPr>
      </w:pPr>
      <w:r>
        <w:rPr>
          <w:lang w:val="fr-FR"/>
        </w:rPr>
        <w:t>Approvisionnement</w:t>
      </w:r>
      <w:r w:rsidR="00E978F6">
        <w:rPr>
          <w:lang w:val="fr"/>
        </w:rPr>
        <w:t xml:space="preserve"> et distribution de huit simulateurs de formation et formation à leur utilisation (solde restant de la tranche précédente) ;</w:t>
      </w:r>
    </w:p>
    <w:p w14:paraId="7A502D06" w14:textId="0A81934E" w:rsidR="00E978F6" w:rsidRPr="005201DA" w:rsidRDefault="00E978F6" w:rsidP="00E978F6">
      <w:pPr>
        <w:pStyle w:val="Heading2"/>
        <w:numPr>
          <w:ilvl w:val="1"/>
          <w:numId w:val="1"/>
        </w:numPr>
        <w:rPr>
          <w:lang w:val="fr-FR"/>
        </w:rPr>
      </w:pPr>
      <w:r>
        <w:rPr>
          <w:lang w:val="fr"/>
        </w:rPr>
        <w:t>Établissement d’un système de régénération des SAO : interdiction de la mise à l’atmosphère délibérée des SAO, mise en place d’un contrôle obligatoire des fuites pour les refroidisseurs et les appareils de réfrigération à usage industriel, et collecte, régénération et élimination obligatoires des SAO ; affectation et préparation du site de régénération, fourniture d’un ensemble d’équipement destiné à recueillir et recycler les SAO et les HFC, y compris un système de régénération, des contenants réutilisables, des filtres, et des accessoires pour trois ans ; et préparation et approbation d’une documentation technique pour l’établissement d’un système de collecte et de régénération des SAO et des HFC ;</w:t>
      </w:r>
      <w:r w:rsidR="003869A9">
        <w:rPr>
          <w:lang w:val="fr"/>
        </w:rPr>
        <w:t xml:space="preserve"> et</w:t>
      </w:r>
      <w:r>
        <w:rPr>
          <w:lang w:val="fr"/>
        </w:rPr>
        <w:t xml:space="preserve"> formation de recyclage pour le personnel et mise en place d’un système d’enregistrement des SAO et des HFC (58 000 $ US) ;</w:t>
      </w:r>
    </w:p>
    <w:p w14:paraId="70DC3544" w14:textId="6B1A275C" w:rsidR="00E978F6" w:rsidRPr="005201DA" w:rsidRDefault="00E978F6" w:rsidP="00E978F6">
      <w:pPr>
        <w:pStyle w:val="Heading2"/>
        <w:numPr>
          <w:ilvl w:val="1"/>
          <w:numId w:val="1"/>
        </w:numPr>
        <w:rPr>
          <w:lang w:val="fr-FR"/>
        </w:rPr>
      </w:pPr>
      <w:r>
        <w:rPr>
          <w:lang w:val="fr"/>
        </w:rPr>
        <w:lastRenderedPageBreak/>
        <w:t xml:space="preserve">Gestion de projet, coordination, supervision et communication des données par l’UNO, y compris des données </w:t>
      </w:r>
      <w:r w:rsidR="003869A9">
        <w:rPr>
          <w:lang w:val="fr"/>
        </w:rPr>
        <w:t>relatives aux</w:t>
      </w:r>
      <w:r>
        <w:rPr>
          <w:lang w:val="fr"/>
        </w:rPr>
        <w:t xml:space="preserve"> déplacement</w:t>
      </w:r>
      <w:r w:rsidR="003869A9">
        <w:rPr>
          <w:lang w:val="fr"/>
        </w:rPr>
        <w:t>s</w:t>
      </w:r>
      <w:r>
        <w:rPr>
          <w:lang w:val="fr"/>
        </w:rPr>
        <w:t xml:space="preserve"> (5 000 $ US). </w:t>
      </w:r>
    </w:p>
    <w:p w14:paraId="4AF455BB" w14:textId="77777777" w:rsidR="00E978F6" w:rsidRPr="005201DA" w:rsidRDefault="00E978F6" w:rsidP="00E978F6">
      <w:pPr>
        <w:rPr>
          <w:lang w:val="fr-FR"/>
        </w:rPr>
      </w:pPr>
    </w:p>
    <w:p w14:paraId="1A89D3A8" w14:textId="77777777" w:rsidR="00E978F6" w:rsidRPr="005201DA" w:rsidRDefault="00E978F6" w:rsidP="00E978F6">
      <w:pPr>
        <w:keepNext/>
        <w:jc w:val="center"/>
        <w:rPr>
          <w:b/>
          <w:lang w:val="fr-FR"/>
        </w:rPr>
      </w:pPr>
      <w:r>
        <w:rPr>
          <w:b/>
          <w:bCs/>
          <w:lang w:val="fr"/>
        </w:rPr>
        <w:t>OBSERVATIONS ET RECOMMANDATION DU SECRÉTARIAT</w:t>
      </w:r>
    </w:p>
    <w:p w14:paraId="34899D03" w14:textId="77777777" w:rsidR="00E978F6" w:rsidRPr="005201DA" w:rsidRDefault="00E978F6" w:rsidP="00E978F6">
      <w:pPr>
        <w:keepNext/>
        <w:rPr>
          <w:lang w:val="fr-FR"/>
        </w:rPr>
      </w:pPr>
    </w:p>
    <w:p w14:paraId="1E5952C9" w14:textId="77777777" w:rsidR="00E978F6" w:rsidRPr="005201DA" w:rsidRDefault="00E978F6" w:rsidP="00E978F6">
      <w:pPr>
        <w:keepNext/>
        <w:rPr>
          <w:b/>
          <w:lang w:val="fr-FR"/>
        </w:rPr>
      </w:pPr>
      <w:r>
        <w:rPr>
          <w:b/>
          <w:bCs/>
          <w:lang w:val="fr"/>
        </w:rPr>
        <w:t>OBSERVATIONS</w:t>
      </w:r>
    </w:p>
    <w:p w14:paraId="63C9A290" w14:textId="77777777" w:rsidR="00E978F6" w:rsidRPr="005201DA" w:rsidRDefault="00E978F6" w:rsidP="00E978F6">
      <w:pPr>
        <w:rPr>
          <w:b/>
          <w:lang w:val="fr-FR"/>
        </w:rPr>
      </w:pPr>
    </w:p>
    <w:p w14:paraId="496E5B55" w14:textId="77777777" w:rsidR="00E978F6" w:rsidRPr="005201DA" w:rsidRDefault="00E978F6" w:rsidP="00E978F6">
      <w:pPr>
        <w:pStyle w:val="Heading1"/>
        <w:numPr>
          <w:ilvl w:val="0"/>
          <w:numId w:val="0"/>
        </w:numPr>
        <w:rPr>
          <w:bCs/>
          <w:u w:val="single"/>
          <w:lang w:val="fr-FR"/>
        </w:rPr>
      </w:pPr>
      <w:r>
        <w:rPr>
          <w:u w:val="single"/>
          <w:lang w:val="fr"/>
        </w:rPr>
        <w:t>État d’avancement de la phase I du PGEH</w:t>
      </w:r>
    </w:p>
    <w:p w14:paraId="29B2B0BC" w14:textId="77777777" w:rsidR="00E978F6" w:rsidRPr="005201DA" w:rsidRDefault="00E978F6" w:rsidP="00E978F6">
      <w:pPr>
        <w:pStyle w:val="Heading1"/>
        <w:suppressAutoHyphens/>
        <w:rPr>
          <w:lang w:val="fr-FR"/>
        </w:rPr>
      </w:pPr>
      <w:r>
        <w:rPr>
          <w:lang w:val="fr"/>
        </w:rPr>
        <w:t>Conformément à la décision 81/29, le Secrétariat s’est enquis auprès de l’ONUDI de l’état d’avancement de la soumission du rapport d’achèvement de projet, notant que les activités dans le cadre de la quatrième et dernière tranche de la phase I du PGEH, approuvée lors de la 85e réunion, ont été achevées opérationnellement et que l’achèvement financier est en cours. L’ONUDI a indiqué qu’il avait commencé la procédure de restitution des soldes restants et de clôture financière du projet et qu’il prépare le rapport d’achèvement de projet pour soumission au Secrétariat sous peu. Le Secrétariat prend note des défis de mise en œuvre engendrés par les conditions restrictives dues à la pandémie de COVID-19, apprécie que les activités de la phase I aient été totalement achevées, et recommande donc que le Comité exécutif considère la demande de financement de la seconde tranche de la phase II du PGEH de façon exceptionnelle, étant entendu que le financement ne sera transféré à l’ONUDI qu’après la soumission au Secrétariat du rapport d’achèvement de projet de la phase I. </w:t>
      </w:r>
    </w:p>
    <w:p w14:paraId="4732E281" w14:textId="77777777" w:rsidR="00E978F6" w:rsidRPr="00C71C59" w:rsidRDefault="00E978F6" w:rsidP="00E978F6">
      <w:pPr>
        <w:rPr>
          <w:u w:val="single"/>
        </w:rPr>
      </w:pPr>
      <w:r>
        <w:rPr>
          <w:u w:val="single"/>
          <w:lang w:val="fr"/>
        </w:rPr>
        <w:t>Rapport de vérification</w:t>
      </w:r>
    </w:p>
    <w:p w14:paraId="06285046" w14:textId="77777777" w:rsidR="00E978F6" w:rsidRPr="00C71C59" w:rsidRDefault="00E978F6" w:rsidP="00E978F6"/>
    <w:p w14:paraId="539C4600" w14:textId="6D83419F" w:rsidR="00E978F6" w:rsidRPr="005201DA" w:rsidRDefault="00E978F6" w:rsidP="00E978F6">
      <w:pPr>
        <w:pStyle w:val="Heading1"/>
        <w:rPr>
          <w:lang w:val="fr-FR"/>
        </w:rPr>
      </w:pPr>
      <w:r>
        <w:rPr>
          <w:lang w:val="fr"/>
        </w:rPr>
        <w:t>En réponse à une question du Secrétariat concernant l’état de la recommandation d’un rapport de vérification antérieur</w:t>
      </w:r>
      <w:r>
        <w:rPr>
          <w:rStyle w:val="FootnoteReference"/>
          <w:lang w:val="fr"/>
        </w:rPr>
        <w:footnoteReference w:id="4"/>
      </w:r>
      <w:r>
        <w:rPr>
          <w:lang w:val="fr"/>
        </w:rPr>
        <w:t xml:space="preserve"> de réduire la période de validité des licences d’importation de SAO </w:t>
      </w:r>
      <w:r w:rsidR="00C41A3F">
        <w:rPr>
          <w:lang w:val="fr"/>
        </w:rPr>
        <w:t>puis</w:t>
      </w:r>
      <w:r>
        <w:rPr>
          <w:lang w:val="fr"/>
        </w:rPr>
        <w:t xml:space="preserve"> des HFC, l’ONUDI a expliqué que tout changement nécessiterait un amendement à la loi existante, « Sur l’octroi de licences de certains types d’activités » (8 juillet 2008). Un amendement est à l’étude </w:t>
      </w:r>
      <w:r w:rsidR="00C41A3F">
        <w:rPr>
          <w:lang w:val="fr"/>
        </w:rPr>
        <w:t>mais</w:t>
      </w:r>
      <w:r>
        <w:rPr>
          <w:lang w:val="fr"/>
        </w:rPr>
        <w:t xml:space="preserve"> des consultations substantielles sont nécessaire</w:t>
      </w:r>
      <w:r w:rsidR="00C41A3F">
        <w:rPr>
          <w:lang w:val="fr"/>
        </w:rPr>
        <w:t>s</w:t>
      </w:r>
      <w:r>
        <w:rPr>
          <w:lang w:val="fr"/>
        </w:rPr>
        <w:t xml:space="preserve"> avant de pouvoir envoyer une proposition au parlement.</w:t>
      </w:r>
    </w:p>
    <w:p w14:paraId="2D364D29" w14:textId="77777777" w:rsidR="00E978F6" w:rsidRPr="005201DA" w:rsidRDefault="00E978F6" w:rsidP="00E978F6">
      <w:pPr>
        <w:rPr>
          <w:u w:val="single"/>
          <w:lang w:val="fr-FR"/>
        </w:rPr>
      </w:pPr>
      <w:r>
        <w:rPr>
          <w:u w:val="single"/>
          <w:lang w:val="fr"/>
        </w:rPr>
        <w:t>Rapport périodique sur la mise en œuvre de la première tranche de la phase II du PGEH</w:t>
      </w:r>
    </w:p>
    <w:p w14:paraId="173AEB99" w14:textId="77777777" w:rsidR="00E978F6" w:rsidRPr="005201DA" w:rsidRDefault="00E978F6" w:rsidP="00E978F6">
      <w:pPr>
        <w:rPr>
          <w:lang w:val="fr-FR"/>
        </w:rPr>
      </w:pPr>
    </w:p>
    <w:p w14:paraId="4A6D0DEB" w14:textId="77777777" w:rsidR="00E978F6" w:rsidRPr="00C71C59" w:rsidRDefault="00E978F6" w:rsidP="00E978F6">
      <w:pPr>
        <w:rPr>
          <w:i/>
        </w:rPr>
      </w:pPr>
      <w:r>
        <w:rPr>
          <w:i/>
          <w:iCs/>
          <w:lang w:val="fr"/>
        </w:rPr>
        <w:t>Cadre juridique</w:t>
      </w:r>
    </w:p>
    <w:p w14:paraId="54BBD932" w14:textId="77777777" w:rsidR="00E978F6" w:rsidRPr="00C71C59" w:rsidRDefault="00E978F6" w:rsidP="00E978F6"/>
    <w:p w14:paraId="4588316D" w14:textId="77777777" w:rsidR="00E978F6" w:rsidRPr="005201DA" w:rsidRDefault="00E978F6" w:rsidP="00E978F6">
      <w:pPr>
        <w:pStyle w:val="Heading1"/>
        <w:suppressAutoHyphens/>
        <w:rPr>
          <w:lang w:val="fr-FR"/>
        </w:rPr>
      </w:pPr>
      <w:r>
        <w:rPr>
          <w:lang w:val="fr"/>
        </w:rPr>
        <w:t xml:space="preserve">Le gouvernement du Turkménistan a déjà émis des quotas d’importation de HCFC pour 2022 à 4,41 tonnes PAO, conformément aux objectifs de réglementation du Protocole de Montréal et à l’Accord avec le Comité exécutif. </w:t>
      </w:r>
    </w:p>
    <w:p w14:paraId="14DCE968" w14:textId="5B37340D" w:rsidR="00E978F6" w:rsidRPr="005201DA" w:rsidRDefault="00E978F6" w:rsidP="00E978F6">
      <w:pPr>
        <w:pStyle w:val="Heading1"/>
        <w:rPr>
          <w:lang w:val="fr-FR"/>
        </w:rPr>
      </w:pPr>
      <w:r>
        <w:rPr>
          <w:lang w:val="fr"/>
        </w:rPr>
        <w:t xml:space="preserve">À la suite de la demande du Secrétariat, l’ONUDI a </w:t>
      </w:r>
      <w:r w:rsidR="00C41A3F">
        <w:rPr>
          <w:lang w:val="fr"/>
        </w:rPr>
        <w:t>expliqué</w:t>
      </w:r>
      <w:r>
        <w:rPr>
          <w:lang w:val="fr"/>
        </w:rPr>
        <w:t xml:space="preserve"> que la communication obligatoire de données de la part des entreprises sur leur consommation de SAO serait basée sur un ordre approuvé du MAEP, à développer en 2023. </w:t>
      </w:r>
    </w:p>
    <w:p w14:paraId="79F30734" w14:textId="77777777" w:rsidR="00E978F6" w:rsidRPr="00C71C59" w:rsidRDefault="00E978F6" w:rsidP="00E978F6">
      <w:pPr>
        <w:pStyle w:val="Heading1"/>
        <w:numPr>
          <w:ilvl w:val="0"/>
          <w:numId w:val="0"/>
        </w:numPr>
        <w:rPr>
          <w:i/>
          <w:iCs/>
        </w:rPr>
      </w:pPr>
      <w:r>
        <w:rPr>
          <w:i/>
          <w:iCs/>
          <w:lang w:val="fr"/>
        </w:rPr>
        <w:t>Formation des douanes</w:t>
      </w:r>
    </w:p>
    <w:p w14:paraId="7B686094" w14:textId="3A468B1F" w:rsidR="00E978F6" w:rsidRPr="005201DA" w:rsidRDefault="00E978F6" w:rsidP="00E978F6">
      <w:pPr>
        <w:pStyle w:val="Heading1"/>
        <w:rPr>
          <w:color w:val="000000" w:themeColor="text1"/>
          <w:lang w:val="fr-FR"/>
        </w:rPr>
      </w:pPr>
      <w:r>
        <w:rPr>
          <w:color w:val="000000" w:themeColor="text1"/>
          <w:lang w:val="fr"/>
        </w:rPr>
        <w:t xml:space="preserve">En réponse à la question du Secrétariat concernant les cinq identificateurs de frigorigènes HCFC/HFC </w:t>
      </w:r>
      <w:r w:rsidR="00C41A3F">
        <w:rPr>
          <w:color w:val="000000" w:themeColor="text1"/>
          <w:lang w:val="fr"/>
        </w:rPr>
        <w:t>prévus</w:t>
      </w:r>
      <w:r>
        <w:rPr>
          <w:color w:val="000000" w:themeColor="text1"/>
          <w:lang w:val="fr"/>
        </w:rPr>
        <w:t xml:space="preserve"> pour cinq postes frontières douaniers, l’ONUDI a expliqué que la livraison des équipements avait été retardée initialement en raison de la </w:t>
      </w:r>
      <w:r>
        <w:rPr>
          <w:color w:val="000000" w:themeColor="text1"/>
          <w:kern w:val="36"/>
          <w:lang w:val="fr"/>
        </w:rPr>
        <w:t xml:space="preserve">pandémie de COVID-19, puis par la suite </w:t>
      </w:r>
      <w:r w:rsidR="00C41A3F">
        <w:rPr>
          <w:color w:val="000000" w:themeColor="text1"/>
          <w:kern w:val="36"/>
          <w:lang w:val="fr"/>
        </w:rPr>
        <w:t>en raison de la</w:t>
      </w:r>
      <w:r>
        <w:rPr>
          <w:color w:val="000000" w:themeColor="text1"/>
          <w:kern w:val="36"/>
          <w:lang w:val="fr"/>
        </w:rPr>
        <w:t xml:space="preserve"> pénurie de micropuces et d’autres pièces pour fabriquer les identificateurs</w:t>
      </w:r>
      <w:r>
        <w:rPr>
          <w:color w:val="000000" w:themeColor="text1"/>
          <w:lang w:val="fr"/>
        </w:rPr>
        <w:t xml:space="preserve">. L’ONUDI prévoit une livraison des identificateurs en 2023, mais la date de livraison exacte est inconnue. </w:t>
      </w:r>
    </w:p>
    <w:p w14:paraId="6E4E165B" w14:textId="401C0FB7" w:rsidR="00E978F6" w:rsidRPr="005201DA" w:rsidRDefault="00E978F6" w:rsidP="00E978F6">
      <w:pPr>
        <w:pStyle w:val="Heading1"/>
        <w:rPr>
          <w:color w:val="000000" w:themeColor="text1"/>
          <w:lang w:val="fr-FR"/>
        </w:rPr>
      </w:pPr>
      <w:r>
        <w:rPr>
          <w:color w:val="000000" w:themeColor="text1"/>
          <w:lang w:val="fr"/>
        </w:rPr>
        <w:lastRenderedPageBreak/>
        <w:t xml:space="preserve">Le Secrétariat a noté qu’aucune autre formation des douanes n’est prévue dans le cadre de la phase II du PGEH. L’ONUDI a expliqué que des agents des douanes avaient été formés et </w:t>
      </w:r>
      <w:r w:rsidR="00C41A3F">
        <w:rPr>
          <w:color w:val="000000" w:themeColor="text1"/>
          <w:lang w:val="fr"/>
        </w:rPr>
        <w:t xml:space="preserve">avaient acquis </w:t>
      </w:r>
      <w:r>
        <w:rPr>
          <w:color w:val="000000" w:themeColor="text1"/>
          <w:lang w:val="fr"/>
        </w:rPr>
        <w:t xml:space="preserve">les compétences nécessaires au contrôle et à la surveillance des importations et des exportations de SAO et d’équipements utilisant des SAO, ainsi qu’à la détection et à </w:t>
      </w:r>
      <w:r w:rsidR="00C41A3F">
        <w:rPr>
          <w:color w:val="000000" w:themeColor="text1"/>
          <w:lang w:val="fr"/>
        </w:rPr>
        <w:t>la prévention</w:t>
      </w:r>
      <w:r>
        <w:rPr>
          <w:color w:val="000000" w:themeColor="text1"/>
          <w:lang w:val="fr"/>
        </w:rPr>
        <w:t xml:space="preserve"> du commerce illégal ainsi qu’à l’utilisation pratique des identificateurs de frigorigènes. De plus, des dispositions ont été prises avec de département des douanes et avec les entités pertinentes, y compris le MAEP et la société d’État</w:t>
      </w:r>
      <w:r>
        <w:rPr>
          <w:i/>
          <w:iCs/>
          <w:color w:val="000000" w:themeColor="text1"/>
          <w:lang w:val="fr"/>
        </w:rPr>
        <w:t xml:space="preserve"> </w:t>
      </w:r>
      <w:proofErr w:type="spellStart"/>
      <w:r>
        <w:rPr>
          <w:color w:val="000000" w:themeColor="text1"/>
          <w:lang w:val="fr"/>
        </w:rPr>
        <w:t>Turkmenchemistry</w:t>
      </w:r>
      <w:proofErr w:type="spellEnd"/>
      <w:r>
        <w:rPr>
          <w:color w:val="000000" w:themeColor="text1"/>
          <w:lang w:val="fr"/>
        </w:rPr>
        <w:t>,</w:t>
      </w:r>
      <w:r>
        <w:rPr>
          <w:rStyle w:val="FootnoteReference"/>
          <w:color w:val="000000" w:themeColor="text1"/>
          <w:lang w:val="fr"/>
        </w:rPr>
        <w:footnoteReference w:id="5"/>
      </w:r>
      <w:r>
        <w:rPr>
          <w:color w:val="000000" w:themeColor="text1"/>
          <w:lang w:val="fr"/>
        </w:rPr>
        <w:t xml:space="preserve"> pour garantir une formation professionnelle dans les centres de formation des douanes sans soutien financer à partir de la phase II du PGEH. En outre, une mise à jour de la formation des douanes est planifiée dans le cadre de la préparation du projet de plan de mise en œuvre de l’Amendement de Kigali sur les HFC.</w:t>
      </w:r>
    </w:p>
    <w:p w14:paraId="44BCA65B" w14:textId="77777777" w:rsidR="00E978F6" w:rsidRPr="005201DA" w:rsidRDefault="00E978F6" w:rsidP="00E978F6">
      <w:pPr>
        <w:rPr>
          <w:i/>
          <w:lang w:val="fr-FR"/>
        </w:rPr>
      </w:pPr>
      <w:r>
        <w:rPr>
          <w:i/>
          <w:iCs/>
          <w:lang w:val="fr"/>
        </w:rPr>
        <w:t>Secteur de l’entretien des appareils de réfrigération</w:t>
      </w:r>
    </w:p>
    <w:p w14:paraId="1446D04C" w14:textId="77777777" w:rsidR="00E978F6" w:rsidRPr="005201DA" w:rsidRDefault="00E978F6" w:rsidP="00E978F6">
      <w:pPr>
        <w:rPr>
          <w:lang w:val="fr-FR"/>
        </w:rPr>
      </w:pPr>
    </w:p>
    <w:p w14:paraId="7BB1A1E9" w14:textId="77777777" w:rsidR="00E978F6" w:rsidRPr="00C71C59" w:rsidRDefault="00E978F6" w:rsidP="00E978F6">
      <w:pPr>
        <w:pStyle w:val="Heading1"/>
      </w:pPr>
      <w:r>
        <w:rPr>
          <w:lang w:val="fr"/>
        </w:rPr>
        <w:t>En ce qui concerne le renforcement du centre de formation en réfrigération et climatisation, l’ONUDI a confirmé que les huit simulateurs de formation avaient été produits et étaient en préparation pour leur envoi. Cependant, l’équipement ne pourra être envoyé qu’après l’émission d’une exonération fiscale de la part des douanes du pays, qui devrait avoir lieu en janvier 2023. L’ONUDI a communiqué qu’une ébauche d’accord avait été préparée conjointement par le MAEP/UNO et le centre d’excellence concernant les engagements pris par le centre sur le retour sur investissement et l’assistance technique. Le centre fournira les locaux nécessaires et les supports pour les équipements, entretiendra les cursus de formation et l’équipement et fournira le personnel d’enseignement. De plus, le centre de formation fera des comptes-rendus annuels au MAEP/UNO. Le montant de cofinancement est estimé à 30 000 $ US.</w:t>
      </w:r>
    </w:p>
    <w:p w14:paraId="689D7196" w14:textId="77777777" w:rsidR="00E978F6" w:rsidRPr="005201DA" w:rsidRDefault="00E978F6" w:rsidP="00E978F6">
      <w:pPr>
        <w:pStyle w:val="Heading1"/>
        <w:rPr>
          <w:lang w:val="fr-FR"/>
        </w:rPr>
      </w:pPr>
      <w:r>
        <w:rPr>
          <w:lang w:val="fr"/>
        </w:rPr>
        <w:t xml:space="preserve">En réponse à une demande du Secrétariat, l’ONUDI a expliqué que l’entrée en vigueur de la législation concernant la certification des techniciens frigoristes est planifiée pour 2024 à la suite du démarrage du centre de formation et du développement du programme de certification des techniciens en 2023. Six cursus de formation, incluant des programmes, des manuels pédagogiques et des présentations, sur la formation théorique et pratique aux frigorigènes inflammables et à la minimisation des émissions, devraient être finalisés en janvier 2023. </w:t>
      </w:r>
    </w:p>
    <w:p w14:paraId="7B1B70C3" w14:textId="0544C862" w:rsidR="00E978F6" w:rsidRPr="005201DA" w:rsidRDefault="00E978F6" w:rsidP="00E978F6">
      <w:pPr>
        <w:pStyle w:val="Heading1"/>
        <w:rPr>
          <w:lang w:val="fr-FR"/>
        </w:rPr>
      </w:pPr>
      <w:r>
        <w:rPr>
          <w:lang w:val="fr"/>
        </w:rPr>
        <w:t>Le Secrétariat a noté que le budget pour mettre en place le système de régénération des SAO avait été revu à la hausse, passant de 48 000 $ US, comme soumis à la 86</w:t>
      </w:r>
      <w:r>
        <w:rPr>
          <w:vertAlign w:val="superscript"/>
          <w:lang w:val="fr"/>
        </w:rPr>
        <w:t>e</w:t>
      </w:r>
      <w:r>
        <w:rPr>
          <w:lang w:val="fr"/>
        </w:rPr>
        <w:t> réunion,</w:t>
      </w:r>
      <w:r>
        <w:rPr>
          <w:rStyle w:val="FootnoteReference"/>
          <w:lang w:val="fr"/>
        </w:rPr>
        <w:footnoteReference w:id="6"/>
      </w:r>
      <w:r>
        <w:rPr>
          <w:lang w:val="fr"/>
        </w:rPr>
        <w:t xml:space="preserve"> à 58 000 $ US. L’ONUDI a expliqué que l’augmentation était due à une augmentation du prix du marché des équipements techniques. En réponse à la question concernant la façon avec laquelle le pays comptait répondre à la recommandation du rapport de vérification sur l’efficacité du centre de récupération des frigorigènes créé dans le cadre de la phase II du PGEH, l’ONUDI a confirmé que l’efficacité du centre serait évaluée, et a expliqué qu</w:t>
      </w:r>
      <w:r w:rsidR="00AF045A">
        <w:rPr>
          <w:lang w:val="fr"/>
        </w:rPr>
        <w:t>’une</w:t>
      </w:r>
      <w:r>
        <w:rPr>
          <w:lang w:val="fr"/>
        </w:rPr>
        <w:t xml:space="preserve"> législation pour </w:t>
      </w:r>
      <w:r w:rsidR="00AF045A">
        <w:rPr>
          <w:lang w:val="fr"/>
        </w:rPr>
        <w:t>interdire</w:t>
      </w:r>
      <w:r>
        <w:rPr>
          <w:lang w:val="fr"/>
        </w:rPr>
        <w:t xml:space="preserve"> la libération de frigorigènes dans l’atmosphère et un certain nombre d’autres mesures pour promouvoir la récupération et la régénération</w:t>
      </w:r>
      <w:r w:rsidR="00AF045A">
        <w:rPr>
          <w:lang w:val="fr"/>
        </w:rPr>
        <w:t xml:space="preserve"> sont à l’étude</w:t>
      </w:r>
      <w:r>
        <w:rPr>
          <w:lang w:val="fr"/>
        </w:rPr>
        <w:t xml:space="preserve">. </w:t>
      </w:r>
    </w:p>
    <w:p w14:paraId="66C1F0E8" w14:textId="77777777" w:rsidR="00E978F6" w:rsidRPr="005201DA" w:rsidRDefault="00E978F6" w:rsidP="00E978F6">
      <w:pPr>
        <w:keepNext/>
        <w:rPr>
          <w:u w:val="single"/>
          <w:lang w:val="fr-FR"/>
        </w:rPr>
      </w:pPr>
      <w:r>
        <w:rPr>
          <w:u w:val="single"/>
          <w:lang w:val="fr"/>
        </w:rPr>
        <w:t>Application de la politique en matière d’égalité des sexes</w:t>
      </w:r>
      <w:r>
        <w:rPr>
          <w:rStyle w:val="FootnoteReference"/>
          <w:u w:val="single"/>
          <w:lang w:val="fr"/>
        </w:rPr>
        <w:footnoteReference w:id="7"/>
      </w:r>
    </w:p>
    <w:p w14:paraId="3943EF17" w14:textId="77777777" w:rsidR="00E978F6" w:rsidRPr="005201DA" w:rsidRDefault="00E978F6" w:rsidP="00E978F6">
      <w:pPr>
        <w:keepNext/>
        <w:rPr>
          <w:lang w:val="fr-FR"/>
        </w:rPr>
      </w:pPr>
    </w:p>
    <w:p w14:paraId="7E381407" w14:textId="75B3A9B9" w:rsidR="00E978F6" w:rsidRPr="005201DA" w:rsidRDefault="00E978F6" w:rsidP="00E978F6">
      <w:pPr>
        <w:pStyle w:val="Heading1"/>
        <w:rPr>
          <w:lang w:val="fr-FR"/>
        </w:rPr>
      </w:pPr>
      <w:r>
        <w:rPr>
          <w:lang w:val="fr"/>
        </w:rPr>
        <w:t xml:space="preserve">Le gouvernement du Turkménistan met en œuvre le Plan d’action national pour l’égalité des sexes pour la période 2021-2025 et met en place des mesures systématiques pour promouvoir l’égalité des sexes. La législation nationale est en constante amélioration, et des programmes sont développés et mis en œuvre pour inclure des femmes dans les activités et améliorer leur niveau d’éducation et de formation professionnelle. L’UNO va recevoir le soutien de l’ONUDI </w:t>
      </w:r>
      <w:r w:rsidR="00AF045A">
        <w:rPr>
          <w:lang w:val="fr"/>
        </w:rPr>
        <w:t>par le biais</w:t>
      </w:r>
      <w:r>
        <w:rPr>
          <w:lang w:val="fr"/>
        </w:rPr>
        <w:t xml:space="preserve"> de formations sur l’égalité des sexes </w:t>
      </w:r>
      <w:r>
        <w:rPr>
          <w:lang w:val="fr"/>
        </w:rPr>
        <w:lastRenderedPageBreak/>
        <w:t>et d’autres matériaux pertinents et discutera avec les gestionnaires du centre d’excellence des moyens de garantir que les techniciennes frigoristes aient les mêmes opportunités de développement de carrière</w:t>
      </w:r>
      <w:r w:rsidR="00844951">
        <w:rPr>
          <w:lang w:val="fr"/>
        </w:rPr>
        <w:t xml:space="preserve"> que leurs homologues masculins</w:t>
      </w:r>
      <w:r>
        <w:rPr>
          <w:lang w:val="fr"/>
        </w:rPr>
        <w:t>. Des indicateurs spécifiques liés au genre seront communiqués dans le cadre des demandes ultérieures pour la phase II du PGEH.</w:t>
      </w:r>
    </w:p>
    <w:p w14:paraId="4865461B" w14:textId="77777777" w:rsidR="00E978F6" w:rsidRPr="005201DA" w:rsidRDefault="00E978F6" w:rsidP="009B31AD">
      <w:pPr>
        <w:keepNext/>
        <w:keepLines/>
        <w:widowControl w:val="0"/>
        <w:rPr>
          <w:u w:val="single"/>
          <w:lang w:val="fr-FR"/>
        </w:rPr>
      </w:pPr>
      <w:r>
        <w:rPr>
          <w:u w:val="single"/>
          <w:lang w:val="fr"/>
        </w:rPr>
        <w:t>Pérennité de l’élimination des HCFC et évaluation des risques</w:t>
      </w:r>
    </w:p>
    <w:p w14:paraId="703F537F" w14:textId="77777777" w:rsidR="00E978F6" w:rsidRPr="005201DA" w:rsidRDefault="00E978F6" w:rsidP="009B31AD">
      <w:pPr>
        <w:keepNext/>
        <w:keepLines/>
        <w:widowControl w:val="0"/>
        <w:rPr>
          <w:u w:val="single"/>
          <w:lang w:val="fr-FR"/>
        </w:rPr>
      </w:pPr>
    </w:p>
    <w:p w14:paraId="4873193C" w14:textId="2562E4B5" w:rsidR="00E978F6" w:rsidRPr="005201DA" w:rsidRDefault="00E978F6" w:rsidP="009B31AD">
      <w:pPr>
        <w:pStyle w:val="Heading1"/>
        <w:keepNext/>
        <w:keepLines/>
        <w:widowControl w:val="0"/>
        <w:rPr>
          <w:lang w:val="fr-FR"/>
        </w:rPr>
      </w:pPr>
      <w:r>
        <w:rPr>
          <w:lang w:val="fr"/>
        </w:rPr>
        <w:t xml:space="preserve">La pérennité de l’élimination du HCFC au Turkménistan est garantie par toutes les activités mises en </w:t>
      </w:r>
      <w:r w:rsidR="000E1034">
        <w:rPr>
          <w:lang w:val="fr"/>
        </w:rPr>
        <w:t>œuvre</w:t>
      </w:r>
      <w:r>
        <w:rPr>
          <w:lang w:val="fr"/>
        </w:rPr>
        <w:t xml:space="preserve"> dans le cadre de la phase II du PGEH, par le contrôle des importations de HCFC et d’équipement utilisant du HCFC, y compris par l’interdiction des importations d’équipement utilisant du HCFC depuis le 1er janvier 2016, et le processus de renforcement de la loi, « Sur la protection de la couche d’ozone ». La formation professionnelle des douanes dans le centre de formation des douanes sera mise en œuvre sans besoin de soutien financier du PGEH. Le Turkménistan est en train de mettre en place un centre de formation d’excellence en utilisant les fonds du PGEH et en cofinancement pour garantir la pérennité à long terme de la formation en réfrigération et climatisation et pour promouvoir l’introduction de produit</w:t>
      </w:r>
      <w:r w:rsidR="000E1034">
        <w:rPr>
          <w:lang w:val="fr"/>
        </w:rPr>
        <w:t>s</w:t>
      </w:r>
      <w:r>
        <w:rPr>
          <w:lang w:val="fr"/>
        </w:rPr>
        <w:t xml:space="preserve"> de remplacement à faible PRG et la collecte et la régénération obligatoire des SAO. Le Secrétariat a noté que des risques sanitaires, économiques et des facteurs politiques avaient entraîné des retards dans la mise en œuvre de la première tranche, mais qu’ils échappaient au contrôle de l’agence d’exécution. Malgré les défis de mise en œuvre, l’ONUDI a noté le fort soutien apporté à l’UNO et à la mise en œuvre du PGEH par le gouvernement du Turkménistan, et que le pays était investi dans ses obligations vis-à-vis du Protocole de Montréal et dans le renforcement de la législation. </w:t>
      </w:r>
    </w:p>
    <w:p w14:paraId="029BF46F" w14:textId="77777777" w:rsidR="00E978F6" w:rsidRPr="00C71C59" w:rsidRDefault="00E978F6" w:rsidP="00E978F6">
      <w:pPr>
        <w:keepNext/>
        <w:rPr>
          <w:u w:val="single"/>
        </w:rPr>
      </w:pPr>
      <w:r>
        <w:rPr>
          <w:u w:val="single"/>
          <w:lang w:val="fr"/>
        </w:rPr>
        <w:t xml:space="preserve">Conclusion </w:t>
      </w:r>
    </w:p>
    <w:p w14:paraId="33FCED70" w14:textId="77777777" w:rsidR="00E978F6" w:rsidRPr="00C71C59" w:rsidRDefault="00E978F6" w:rsidP="00E978F6">
      <w:pPr>
        <w:keepNext/>
      </w:pPr>
    </w:p>
    <w:p w14:paraId="092DB47D" w14:textId="62D06BCA" w:rsidR="00E978F6" w:rsidRPr="005201DA" w:rsidRDefault="00E978F6" w:rsidP="00E978F6">
      <w:pPr>
        <w:pStyle w:val="Heading1"/>
        <w:keepNext/>
        <w:rPr>
          <w:lang w:val="fr-FR"/>
        </w:rPr>
      </w:pPr>
      <w:r>
        <w:rPr>
          <w:lang w:val="fr"/>
        </w:rPr>
        <w:t>Le gouvernement du Turkménistan est conforme à ses objectifs de consommation de HCFC pour 2020 et 2021, comme le confirme le rapport de vérification. En 2021, la consommation de HCFC était 36 pour cent inférieure aux objectifs du pays en vertu du Protocole de Montréal et à la consommation maximale admissible spécifiée dans l’Accord. Un système de certification des techniciens d’entretien des systèmes de réfrigération et de climatisation concernant la maintenance des équipements</w:t>
      </w:r>
      <w:r w:rsidR="000E1034">
        <w:rPr>
          <w:lang w:val="fr"/>
        </w:rPr>
        <w:t xml:space="preserve"> de</w:t>
      </w:r>
      <w:r>
        <w:rPr>
          <w:lang w:val="fr"/>
        </w:rPr>
        <w:t xml:space="preserve"> réfrigération est en cours de développement, une formation de plusieurs spécialistes techniques a été réalisée, et une formation complémentaire des techniciens frigoristes est prévue dans le cadre des deuxième et troisième tranches de la phase II du PGEH. Malgré les défis engendrés par la pandémie de COVID-19, la logistique du transport et des facteurs externes, l’agence d’exécution continue à </w:t>
      </w:r>
      <w:r w:rsidR="000E1034">
        <w:rPr>
          <w:lang w:val="fr"/>
        </w:rPr>
        <w:t>progresser</w:t>
      </w:r>
      <w:r>
        <w:rPr>
          <w:lang w:val="fr"/>
        </w:rPr>
        <w:t xml:space="preserve"> et à faire avancer le projet. Un niveau suffisant de mise en œuvre de la première tranche du PGEH a été atteint, et l’ONUDI a atteint 20 pour cent du seuil de décaissement de la tranche précédente.</w:t>
      </w:r>
    </w:p>
    <w:p w14:paraId="3971DEE0" w14:textId="77777777" w:rsidR="00E978F6" w:rsidRPr="00C71C59" w:rsidRDefault="00E978F6" w:rsidP="00E978F6">
      <w:r>
        <w:rPr>
          <w:b/>
          <w:bCs/>
          <w:lang w:val="fr"/>
        </w:rPr>
        <w:t>RECOMMANDATION</w:t>
      </w:r>
    </w:p>
    <w:p w14:paraId="60800B71" w14:textId="77777777" w:rsidR="00E978F6" w:rsidRPr="00C71C59" w:rsidRDefault="00E978F6" w:rsidP="00E978F6"/>
    <w:p w14:paraId="2B43E69D" w14:textId="77777777" w:rsidR="00E978F6" w:rsidRPr="005201DA" w:rsidRDefault="00E978F6" w:rsidP="00E978F6">
      <w:pPr>
        <w:pStyle w:val="Heading1"/>
        <w:rPr>
          <w:lang w:val="fr-FR"/>
        </w:rPr>
      </w:pPr>
      <w:r>
        <w:rPr>
          <w:lang w:val="fr"/>
        </w:rPr>
        <w:t>Le Secrétariat du Fonds recommande que le Comité exécutif prenne note du rapport périodique sur la mise en œuvre de la première tranche de la phase II du plan de gestion de l’élimination du HCFC (PGEH) pour le Turkménistan ; et recommande en outre l’approbation globale de la deuxième tranche de la phase II du PGEH pour le Turkménistan, et du plan correspondant de mise en œuvre de la tranche pour 2023-2025,  au niveau de financement présenté dans le tableau ci-dessous, de façon exceptionnelle, étant entendu que le Trésorier transférera les fonds à l’ONUDI après confirmation du Secrétariat que le rapport d’achèvement des projets de la phase I du PGEH a été reçu par le Secrétariat.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E978F6" w:rsidRPr="00C71C59" w14:paraId="208A8CD7" w14:textId="77777777" w:rsidTr="00976EA7">
        <w:trPr>
          <w:tblHeader/>
        </w:trPr>
        <w:tc>
          <w:tcPr>
            <w:tcW w:w="546" w:type="dxa"/>
          </w:tcPr>
          <w:p w14:paraId="66F2D279" w14:textId="77777777" w:rsidR="00E978F6" w:rsidRPr="005201DA" w:rsidRDefault="00E978F6" w:rsidP="00976EA7">
            <w:pPr>
              <w:jc w:val="center"/>
              <w:rPr>
                <w:b/>
                <w:bCs/>
                <w:sz w:val="20"/>
                <w:szCs w:val="20"/>
                <w:lang w:val="fr-FR"/>
              </w:rPr>
            </w:pPr>
          </w:p>
        </w:tc>
        <w:tc>
          <w:tcPr>
            <w:tcW w:w="4370" w:type="dxa"/>
          </w:tcPr>
          <w:p w14:paraId="0C816A11" w14:textId="77777777" w:rsidR="00E978F6" w:rsidRPr="00C71C59" w:rsidRDefault="00E978F6" w:rsidP="00976EA7">
            <w:pPr>
              <w:jc w:val="center"/>
              <w:rPr>
                <w:b/>
                <w:bCs/>
                <w:sz w:val="20"/>
                <w:szCs w:val="20"/>
              </w:rPr>
            </w:pPr>
            <w:r>
              <w:rPr>
                <w:b/>
                <w:bCs/>
                <w:sz w:val="20"/>
                <w:szCs w:val="20"/>
                <w:lang w:val="fr"/>
              </w:rPr>
              <w:t>Titre du projet</w:t>
            </w:r>
          </w:p>
        </w:tc>
        <w:tc>
          <w:tcPr>
            <w:tcW w:w="1478" w:type="dxa"/>
            <w:tcMar>
              <w:left w:w="29" w:type="dxa"/>
              <w:right w:w="29" w:type="dxa"/>
            </w:tcMar>
          </w:tcPr>
          <w:p w14:paraId="5BCEB630" w14:textId="77777777" w:rsidR="00E978F6" w:rsidRPr="00C71C59" w:rsidRDefault="00E978F6" w:rsidP="00976EA7">
            <w:pPr>
              <w:jc w:val="center"/>
              <w:rPr>
                <w:b/>
                <w:bCs/>
                <w:sz w:val="20"/>
                <w:szCs w:val="20"/>
              </w:rPr>
            </w:pPr>
            <w:r>
              <w:rPr>
                <w:b/>
                <w:bCs/>
                <w:sz w:val="20"/>
                <w:szCs w:val="20"/>
                <w:lang w:val="fr"/>
              </w:rPr>
              <w:t>Financement du projet ($ US)</w:t>
            </w:r>
          </w:p>
        </w:tc>
        <w:tc>
          <w:tcPr>
            <w:tcW w:w="1235" w:type="dxa"/>
            <w:tcMar>
              <w:left w:w="29" w:type="dxa"/>
              <w:right w:w="29" w:type="dxa"/>
            </w:tcMar>
          </w:tcPr>
          <w:p w14:paraId="24302921" w14:textId="77777777" w:rsidR="00E978F6" w:rsidRPr="00C71C59" w:rsidRDefault="00E978F6" w:rsidP="00976EA7">
            <w:pPr>
              <w:jc w:val="center"/>
              <w:rPr>
                <w:b/>
                <w:bCs/>
                <w:sz w:val="20"/>
                <w:szCs w:val="20"/>
              </w:rPr>
            </w:pPr>
            <w:r>
              <w:rPr>
                <w:b/>
                <w:bCs/>
                <w:sz w:val="20"/>
                <w:szCs w:val="20"/>
                <w:lang w:val="fr"/>
              </w:rPr>
              <w:t>Coûts d’appui ($ US)</w:t>
            </w:r>
          </w:p>
        </w:tc>
        <w:tc>
          <w:tcPr>
            <w:tcW w:w="1721" w:type="dxa"/>
            <w:tcMar>
              <w:left w:w="29" w:type="dxa"/>
              <w:right w:w="29" w:type="dxa"/>
            </w:tcMar>
          </w:tcPr>
          <w:p w14:paraId="66A69AB9" w14:textId="77777777" w:rsidR="00E978F6" w:rsidRPr="00C71C59" w:rsidRDefault="00E978F6" w:rsidP="00976EA7">
            <w:pPr>
              <w:jc w:val="center"/>
              <w:rPr>
                <w:b/>
                <w:bCs/>
                <w:sz w:val="20"/>
                <w:szCs w:val="20"/>
              </w:rPr>
            </w:pPr>
            <w:r>
              <w:rPr>
                <w:b/>
                <w:bCs/>
                <w:sz w:val="20"/>
                <w:szCs w:val="20"/>
                <w:lang w:val="fr"/>
              </w:rPr>
              <w:t>Agence d’exécution</w:t>
            </w:r>
          </w:p>
        </w:tc>
      </w:tr>
      <w:tr w:rsidR="00E978F6" w:rsidRPr="00C71C59" w14:paraId="06B09094" w14:textId="77777777" w:rsidTr="00976EA7">
        <w:tc>
          <w:tcPr>
            <w:tcW w:w="546" w:type="dxa"/>
          </w:tcPr>
          <w:p w14:paraId="7E49E194" w14:textId="77777777" w:rsidR="00E978F6" w:rsidRPr="00C71C59" w:rsidRDefault="00E978F6" w:rsidP="00976EA7">
            <w:pPr>
              <w:rPr>
                <w:sz w:val="20"/>
                <w:szCs w:val="20"/>
              </w:rPr>
            </w:pPr>
            <w:r>
              <w:rPr>
                <w:sz w:val="20"/>
                <w:szCs w:val="20"/>
                <w:lang w:val="fr"/>
              </w:rPr>
              <w:t>(a)</w:t>
            </w:r>
          </w:p>
        </w:tc>
        <w:tc>
          <w:tcPr>
            <w:tcW w:w="4370" w:type="dxa"/>
          </w:tcPr>
          <w:p w14:paraId="735FE3EC" w14:textId="77777777" w:rsidR="00E978F6" w:rsidRPr="005201DA" w:rsidRDefault="00E978F6" w:rsidP="00976EA7">
            <w:pPr>
              <w:rPr>
                <w:sz w:val="20"/>
                <w:szCs w:val="20"/>
                <w:lang w:val="fr-FR"/>
              </w:rPr>
            </w:pPr>
            <w:r>
              <w:rPr>
                <w:sz w:val="20"/>
                <w:szCs w:val="20"/>
                <w:lang w:val="fr"/>
              </w:rPr>
              <w:t>Plan de gestion de l’élimination des HCFC (phase</w:t>
            </w:r>
            <w:r>
              <w:rPr>
                <w:lang w:val="fr"/>
              </w:rPr>
              <w:t> II</w:t>
            </w:r>
            <w:r>
              <w:rPr>
                <w:sz w:val="20"/>
                <w:szCs w:val="20"/>
                <w:lang w:val="fr"/>
              </w:rPr>
              <w:t>, deuxième tranche)</w:t>
            </w:r>
          </w:p>
        </w:tc>
        <w:tc>
          <w:tcPr>
            <w:tcW w:w="1478" w:type="dxa"/>
          </w:tcPr>
          <w:p w14:paraId="40B7C9FF" w14:textId="77777777" w:rsidR="00E978F6" w:rsidRPr="00C71C59" w:rsidRDefault="00E978F6" w:rsidP="00976EA7">
            <w:pPr>
              <w:jc w:val="right"/>
              <w:rPr>
                <w:sz w:val="20"/>
                <w:szCs w:val="20"/>
              </w:rPr>
            </w:pPr>
            <w:r>
              <w:rPr>
                <w:sz w:val="20"/>
                <w:szCs w:val="20"/>
                <w:lang w:val="fr"/>
              </w:rPr>
              <w:t>103 500</w:t>
            </w:r>
          </w:p>
        </w:tc>
        <w:tc>
          <w:tcPr>
            <w:tcW w:w="1235" w:type="dxa"/>
          </w:tcPr>
          <w:p w14:paraId="65CD1FD0" w14:textId="77777777" w:rsidR="00E978F6" w:rsidRPr="00C71C59" w:rsidRDefault="00E978F6" w:rsidP="00976EA7">
            <w:pPr>
              <w:jc w:val="right"/>
            </w:pPr>
            <w:r>
              <w:rPr>
                <w:color w:val="000000"/>
                <w:sz w:val="20"/>
                <w:szCs w:val="20"/>
                <w:lang w:val="fr"/>
              </w:rPr>
              <w:t>7 245</w:t>
            </w:r>
          </w:p>
        </w:tc>
        <w:tc>
          <w:tcPr>
            <w:tcW w:w="1721" w:type="dxa"/>
          </w:tcPr>
          <w:p w14:paraId="094A6926" w14:textId="77777777" w:rsidR="00E978F6" w:rsidRPr="00C71C59" w:rsidRDefault="00E978F6" w:rsidP="00976EA7">
            <w:pPr>
              <w:jc w:val="center"/>
              <w:rPr>
                <w:sz w:val="20"/>
                <w:szCs w:val="20"/>
              </w:rPr>
            </w:pPr>
            <w:r>
              <w:rPr>
                <w:sz w:val="20"/>
                <w:szCs w:val="20"/>
                <w:lang w:val="fr"/>
              </w:rPr>
              <w:t>ONUDI</w:t>
            </w:r>
          </w:p>
        </w:tc>
      </w:tr>
    </w:tbl>
    <w:p w14:paraId="0107AABF" w14:textId="77777777" w:rsidR="00E978F6" w:rsidRPr="00C71C59" w:rsidRDefault="00E978F6" w:rsidP="00E978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78F6" w:rsidRPr="00C71C59" w14:paraId="5C079F34" w14:textId="77777777" w:rsidTr="00976EA7">
        <w:tc>
          <w:tcPr>
            <w:tcW w:w="1915" w:type="dxa"/>
          </w:tcPr>
          <w:p w14:paraId="1E2E1AEF" w14:textId="77777777" w:rsidR="00E978F6" w:rsidRPr="00C71C59" w:rsidRDefault="00E978F6" w:rsidP="00976EA7"/>
        </w:tc>
        <w:tc>
          <w:tcPr>
            <w:tcW w:w="1915" w:type="dxa"/>
          </w:tcPr>
          <w:p w14:paraId="69CC097B" w14:textId="77777777" w:rsidR="00E978F6" w:rsidRPr="00C71C59" w:rsidRDefault="00E978F6" w:rsidP="00976EA7"/>
        </w:tc>
        <w:tc>
          <w:tcPr>
            <w:tcW w:w="1915" w:type="dxa"/>
            <w:tcBorders>
              <w:bottom w:val="single" w:sz="4" w:space="0" w:color="auto"/>
            </w:tcBorders>
          </w:tcPr>
          <w:p w14:paraId="5394A40A" w14:textId="77777777" w:rsidR="00E978F6" w:rsidRPr="00C71C59" w:rsidRDefault="00E978F6" w:rsidP="00976EA7"/>
        </w:tc>
        <w:tc>
          <w:tcPr>
            <w:tcW w:w="1915" w:type="dxa"/>
          </w:tcPr>
          <w:p w14:paraId="0865E875" w14:textId="77777777" w:rsidR="00E978F6" w:rsidRPr="00C71C59" w:rsidRDefault="00E978F6" w:rsidP="00976EA7"/>
        </w:tc>
        <w:tc>
          <w:tcPr>
            <w:tcW w:w="1916" w:type="dxa"/>
          </w:tcPr>
          <w:p w14:paraId="4893754B" w14:textId="77777777" w:rsidR="00E978F6" w:rsidRPr="00C71C59" w:rsidRDefault="00E978F6" w:rsidP="00976EA7"/>
        </w:tc>
      </w:tr>
    </w:tbl>
    <w:p w14:paraId="5A5F018F" w14:textId="77777777" w:rsidR="00441083" w:rsidRDefault="00441083" w:rsidP="009B31AD">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8AA98" w14:textId="77777777" w:rsidR="00722467" w:rsidRDefault="00722467">
      <w:r>
        <w:separator/>
      </w:r>
    </w:p>
  </w:endnote>
  <w:endnote w:type="continuationSeparator" w:id="0">
    <w:p w14:paraId="62E4A3D6" w14:textId="77777777" w:rsidR="00722467" w:rsidRDefault="00722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04305"/>
      <w:docPartObj>
        <w:docPartGallery w:val="Page Numbers (Bottom of Page)"/>
        <w:docPartUnique/>
      </w:docPartObj>
    </w:sdtPr>
    <w:sdtEndPr>
      <w:rPr>
        <w:noProof/>
      </w:rPr>
    </w:sdtEndPr>
    <w:sdtContent>
      <w:p w14:paraId="29E8671D" w14:textId="30BADCDC" w:rsidR="009B31AD" w:rsidRDefault="009B31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0E6D0B" w14:textId="77777777" w:rsidR="009B31AD" w:rsidRDefault="009B3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991393"/>
      <w:docPartObj>
        <w:docPartGallery w:val="Page Numbers (Bottom of Page)"/>
        <w:docPartUnique/>
      </w:docPartObj>
    </w:sdtPr>
    <w:sdtEndPr>
      <w:rPr>
        <w:noProof/>
      </w:rPr>
    </w:sdtEndPr>
    <w:sdtContent>
      <w:p w14:paraId="56DE43AB" w14:textId="478ADBB6" w:rsidR="009B31AD" w:rsidRDefault="009B31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29DFB3" w14:textId="77777777" w:rsidR="009B31AD" w:rsidRDefault="009B3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A4A1" w14:textId="77777777" w:rsidR="009B31AD" w:rsidRDefault="009B31AD" w:rsidP="009B31A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4FD3152" w14:textId="002C1C9A" w:rsidR="00441083" w:rsidRPr="009B31AD" w:rsidRDefault="009B31AD" w:rsidP="009B31A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EE48" w14:textId="77777777" w:rsidR="00722467" w:rsidRDefault="00722467">
      <w:r>
        <w:separator/>
      </w:r>
    </w:p>
  </w:footnote>
  <w:footnote w:type="continuationSeparator" w:id="0">
    <w:p w14:paraId="7231FA13" w14:textId="77777777" w:rsidR="00722467" w:rsidRDefault="00722467">
      <w:r>
        <w:continuationSeparator/>
      </w:r>
    </w:p>
  </w:footnote>
  <w:footnote w:id="1">
    <w:p w14:paraId="3AD6CDCD" w14:textId="6EF59C74" w:rsidR="00E978F6" w:rsidRDefault="00E978F6" w:rsidP="00E978F6">
      <w:pPr>
        <w:pStyle w:val="FootnoteText"/>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/91/</w:t>
      </w:r>
      <w:r w:rsidR="00FB41DE">
        <w:rPr>
          <w:lang w:val="fr"/>
        </w:rPr>
        <w:t>1</w:t>
      </w:r>
    </w:p>
    <w:p w14:paraId="5F7FFC82" w14:textId="77777777" w:rsidR="00F73D4A" w:rsidRPr="005201DA" w:rsidRDefault="00F73D4A" w:rsidP="00E978F6">
      <w:pPr>
        <w:pStyle w:val="FootnoteText"/>
        <w:rPr>
          <w:lang w:val="fr-FR"/>
        </w:rPr>
      </w:pPr>
    </w:p>
  </w:footnote>
  <w:footnote w:id="2">
    <w:p w14:paraId="5DA21666" w14:textId="77777777" w:rsidR="00E978F6" w:rsidRPr="005201DA" w:rsidRDefault="00E978F6" w:rsidP="00E978F6">
      <w:pPr>
        <w:pStyle w:val="FootnoteText"/>
        <w:rPr>
          <w:lang w:val="fr-FR"/>
        </w:rPr>
      </w:pPr>
      <w:r>
        <w:rPr>
          <w:rStyle w:val="FootnoteReference"/>
          <w:lang w:val="fr"/>
        </w:rPr>
        <w:footnoteRef/>
      </w:r>
      <w:r>
        <w:rPr>
          <w:lang w:val="fr"/>
        </w:rPr>
        <w:t xml:space="preserve"> Selon la lettre du 1 novembre 2022 adressée à l’ONUDI par l’Unité nationale d’ozone et le ministère de l’Agriculture et de la Protection de l’Environnement du Turkménistan.</w:t>
      </w:r>
    </w:p>
  </w:footnote>
  <w:footnote w:id="3">
    <w:p w14:paraId="2E423A98" w14:textId="4E5CEAA8" w:rsidR="00E978F6" w:rsidRPr="005201DA" w:rsidRDefault="00E978F6" w:rsidP="00E978F6">
      <w:pPr>
        <w:pStyle w:val="FootnoteText"/>
        <w:rPr>
          <w:lang w:val="fr-FR"/>
        </w:rPr>
      </w:pPr>
      <w:r>
        <w:rPr>
          <w:rStyle w:val="FootnoteReference"/>
          <w:lang w:val="fr"/>
        </w:rPr>
        <w:footnoteRef/>
      </w:r>
      <w:r>
        <w:rPr>
          <w:lang w:val="fr"/>
        </w:rPr>
        <w:t xml:space="preserve"> L’</w:t>
      </w:r>
      <w:r w:rsidR="00AF1753">
        <w:rPr>
          <w:lang w:val="fr"/>
        </w:rPr>
        <w:t>institutionnalisation</w:t>
      </w:r>
      <w:r>
        <w:rPr>
          <w:lang w:val="fr"/>
        </w:rPr>
        <w:t xml:space="preserve"> du Protocole de Montréal dans le programme de formation standard des douanes a été achevée durant la phase I du PGEH, et aucun financement n’est inclus dans la phase II pour la formation de nouveaux agents des douanes. Cependant le Secrétariat a demandé au pays de continuer à </w:t>
      </w:r>
      <w:r w:rsidR="00AF1753">
        <w:rPr>
          <w:lang w:val="fr"/>
        </w:rPr>
        <w:t>communiquer</w:t>
      </w:r>
      <w:r>
        <w:rPr>
          <w:lang w:val="fr"/>
        </w:rPr>
        <w:t xml:space="preserve"> le nombre de personnes formées durant la période 2021-2025.</w:t>
      </w:r>
    </w:p>
  </w:footnote>
  <w:footnote w:id="4">
    <w:p w14:paraId="3DCEB681" w14:textId="77777777" w:rsidR="00E978F6" w:rsidRPr="005201DA" w:rsidRDefault="00E978F6" w:rsidP="00E978F6">
      <w:pPr>
        <w:pStyle w:val="FootnoteText"/>
        <w:rPr>
          <w:lang w:val="fr-FR"/>
        </w:rPr>
      </w:pPr>
      <w:r>
        <w:rPr>
          <w:rStyle w:val="FootnoteReference"/>
          <w:lang w:val="fr"/>
        </w:rPr>
        <w:footnoteRef/>
      </w:r>
      <w:r>
        <w:rPr>
          <w:lang w:val="fr"/>
        </w:rPr>
        <w:t xml:space="preserve"> Le rapport de vérification 2016-2019 a été soumis lors des 85</w:t>
      </w:r>
      <w:r>
        <w:rPr>
          <w:vertAlign w:val="superscript"/>
          <w:lang w:val="fr"/>
        </w:rPr>
        <w:t>e</w:t>
      </w:r>
      <w:r>
        <w:rPr>
          <w:lang w:val="fr"/>
        </w:rPr>
        <w:t xml:space="preserve"> and 86</w:t>
      </w:r>
      <w:r>
        <w:rPr>
          <w:vertAlign w:val="superscript"/>
          <w:lang w:val="fr"/>
        </w:rPr>
        <w:t>e</w:t>
      </w:r>
      <w:r>
        <w:rPr>
          <w:lang w:val="fr"/>
        </w:rPr>
        <w:t xml:space="preserve"> réunions. </w:t>
      </w:r>
    </w:p>
  </w:footnote>
  <w:footnote w:id="5">
    <w:p w14:paraId="3E3C522C" w14:textId="77777777" w:rsidR="00E978F6" w:rsidRPr="005201DA" w:rsidRDefault="00E978F6" w:rsidP="00E978F6">
      <w:pPr>
        <w:pStyle w:val="FootnoteText"/>
        <w:rPr>
          <w:lang w:val="fr-FR"/>
        </w:rPr>
      </w:pPr>
      <w:r>
        <w:rPr>
          <w:rStyle w:val="FootnoteReference"/>
          <w:lang w:val="fr"/>
        </w:rPr>
        <w:footnoteRef/>
      </w:r>
      <w:r>
        <w:rPr>
          <w:lang w:val="fr"/>
        </w:rPr>
        <w:t xml:space="preserve">L’objectif principal de </w:t>
      </w:r>
      <w:proofErr w:type="spellStart"/>
      <w:r>
        <w:rPr>
          <w:lang w:val="fr"/>
        </w:rPr>
        <w:t>Turkmenchemistry</w:t>
      </w:r>
      <w:proofErr w:type="spellEnd"/>
      <w:r>
        <w:rPr>
          <w:lang w:val="fr"/>
        </w:rPr>
        <w:t>, qui doit rendre compte au Cabinet des ministères, est de pourvoir aux besoins du pays en matière de produits chimiques.</w:t>
      </w:r>
    </w:p>
  </w:footnote>
  <w:footnote w:id="6">
    <w:p w14:paraId="2B293DA0" w14:textId="77777777" w:rsidR="00E978F6" w:rsidRPr="005201DA" w:rsidRDefault="00E978F6" w:rsidP="00E978F6">
      <w:pPr>
        <w:pStyle w:val="FootnoteText"/>
        <w:rPr>
          <w:lang w:val="fr-FR"/>
        </w:rPr>
      </w:pPr>
      <w:r>
        <w:rPr>
          <w:rStyle w:val="FootnoteReference"/>
          <w:lang w:val="fr"/>
        </w:rPr>
        <w:footnoteRef/>
      </w:r>
      <w:r>
        <w:rPr>
          <w:lang w:val="fr"/>
        </w:rPr>
        <w:t xml:space="preserve"> Paragraphe 21(d) du document UNEP/</w:t>
      </w:r>
      <w:proofErr w:type="spellStart"/>
      <w:r>
        <w:rPr>
          <w:lang w:val="fr"/>
        </w:rPr>
        <w:t>OzL.Pro</w:t>
      </w:r>
      <w:proofErr w:type="spellEnd"/>
      <w:r>
        <w:rPr>
          <w:lang w:val="fr"/>
        </w:rPr>
        <w:t>/</w:t>
      </w:r>
      <w:proofErr w:type="spellStart"/>
      <w:r>
        <w:rPr>
          <w:lang w:val="fr"/>
        </w:rPr>
        <w:t>ExCom</w:t>
      </w:r>
      <w:proofErr w:type="spellEnd"/>
      <w:r>
        <w:rPr>
          <w:lang w:val="fr"/>
        </w:rPr>
        <w:t>/86/78.</w:t>
      </w:r>
    </w:p>
  </w:footnote>
  <w:footnote w:id="7">
    <w:p w14:paraId="682DDC38" w14:textId="77777777" w:rsidR="00E978F6" w:rsidRPr="005201DA" w:rsidRDefault="00E978F6" w:rsidP="00E978F6">
      <w:pPr>
        <w:pStyle w:val="FootnoteText"/>
        <w:rPr>
          <w:lang w:val="fr-FR"/>
        </w:rPr>
      </w:pPr>
      <w:r>
        <w:rPr>
          <w:rStyle w:val="FootnoteReference"/>
          <w:lang w:val="fr"/>
        </w:rPr>
        <w:footnoteRef/>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w:t>
      </w:r>
      <w:proofErr w:type="spellStart"/>
      <w:r>
        <w:rPr>
          <w:lang w:val="fr"/>
        </w:rPr>
        <w:t>OzL.Pro</w:t>
      </w:r>
      <w:proofErr w:type="spellEnd"/>
      <w:r>
        <w:rPr>
          <w:lang w:val="fr"/>
        </w:rPr>
        <w:t>/</w:t>
      </w:r>
      <w:proofErr w:type="spellStart"/>
      <w:r>
        <w:rPr>
          <w:lang w:val="fr"/>
        </w:rPr>
        <w:t>ExCom</w:t>
      </w:r>
      <w:proofErr w:type="spellEnd"/>
      <w:r>
        <w:rPr>
          <w:lang w:val="f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E062" w14:textId="4BA6A054" w:rsidR="009B31AD" w:rsidRDefault="009B31AD" w:rsidP="009B31AD">
    <w:pPr>
      <w:jc w:val="left"/>
    </w:pPr>
    <w:r>
      <w:fldChar w:fldCharType="begin"/>
    </w:r>
    <w:r>
      <w:instrText xml:space="preserve"> DOCPROPERTY "Document number"  \* MERGEFORMAT </w:instrText>
    </w:r>
    <w:r>
      <w:fldChar w:fldCharType="separate"/>
    </w:r>
    <w:r>
      <w:t>UNEP/</w:t>
    </w:r>
    <w:proofErr w:type="spellStart"/>
    <w:r>
      <w:t>OzL.Pro</w:t>
    </w:r>
    <w:proofErr w:type="spellEnd"/>
    <w:r>
      <w:t>/ExCom/91/55</w:t>
    </w:r>
    <w:r>
      <w:fldChar w:fldCharType="end"/>
    </w:r>
  </w:p>
  <w:p w14:paraId="016B8B1E" w14:textId="4C06F67F" w:rsidR="009B31AD" w:rsidRDefault="009B31AD">
    <w:pPr>
      <w:pStyle w:val="Header"/>
    </w:pPr>
  </w:p>
  <w:p w14:paraId="422B35DC" w14:textId="77777777" w:rsidR="00F73D4A" w:rsidRDefault="00F73D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E6EB1" w14:textId="77777777" w:rsidR="009B31AD" w:rsidRDefault="009B31AD" w:rsidP="009B31AD">
    <w:pPr>
      <w:jc w:val="right"/>
    </w:pPr>
    <w:r>
      <w:fldChar w:fldCharType="begin"/>
    </w:r>
    <w:r>
      <w:instrText xml:space="preserve"> DOCPROPERTY "Document number"  \* MERGEFORMAT </w:instrText>
    </w:r>
    <w:r>
      <w:fldChar w:fldCharType="separate"/>
    </w:r>
    <w:r>
      <w:t>UNEP/</w:t>
    </w:r>
    <w:proofErr w:type="spellStart"/>
    <w:r>
      <w:t>OzL.Pro</w:t>
    </w:r>
    <w:proofErr w:type="spellEnd"/>
    <w:r>
      <w:t>/ExCom/91/55</w:t>
    </w:r>
    <w:r>
      <w:fldChar w:fldCharType="end"/>
    </w:r>
  </w:p>
  <w:p w14:paraId="35BE8295" w14:textId="0EBE1CF4" w:rsidR="009B31AD" w:rsidRDefault="009B31AD">
    <w:pPr>
      <w:pStyle w:val="Header"/>
    </w:pPr>
  </w:p>
  <w:p w14:paraId="2E6982ED" w14:textId="77777777" w:rsidR="00F73D4A" w:rsidRDefault="00F73D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CE7B4"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61695774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F6"/>
    <w:rsid w:val="0005110A"/>
    <w:rsid w:val="000E1034"/>
    <w:rsid w:val="000F6C8E"/>
    <w:rsid w:val="00177D11"/>
    <w:rsid w:val="001C3D0C"/>
    <w:rsid w:val="001D4CE7"/>
    <w:rsid w:val="00265AF0"/>
    <w:rsid w:val="002C06D4"/>
    <w:rsid w:val="002F0B57"/>
    <w:rsid w:val="003029F8"/>
    <w:rsid w:val="003869A9"/>
    <w:rsid w:val="003A0CA4"/>
    <w:rsid w:val="00403EDF"/>
    <w:rsid w:val="00441083"/>
    <w:rsid w:val="00444619"/>
    <w:rsid w:val="004B1B59"/>
    <w:rsid w:val="004C2C87"/>
    <w:rsid w:val="004D7878"/>
    <w:rsid w:val="004E3A36"/>
    <w:rsid w:val="00512947"/>
    <w:rsid w:val="005B3CAD"/>
    <w:rsid w:val="005C278F"/>
    <w:rsid w:val="00605093"/>
    <w:rsid w:val="006D4D82"/>
    <w:rsid w:val="007034FA"/>
    <w:rsid w:val="00722467"/>
    <w:rsid w:val="0075750B"/>
    <w:rsid w:val="00775FBB"/>
    <w:rsid w:val="007776D0"/>
    <w:rsid w:val="00843511"/>
    <w:rsid w:val="00844951"/>
    <w:rsid w:val="00847BDB"/>
    <w:rsid w:val="008E72C0"/>
    <w:rsid w:val="0091161A"/>
    <w:rsid w:val="00972E99"/>
    <w:rsid w:val="00991040"/>
    <w:rsid w:val="009A5180"/>
    <w:rsid w:val="009B31AD"/>
    <w:rsid w:val="009F6617"/>
    <w:rsid w:val="009F709E"/>
    <w:rsid w:val="00A43D57"/>
    <w:rsid w:val="00A97E14"/>
    <w:rsid w:val="00AC013C"/>
    <w:rsid w:val="00AE63D8"/>
    <w:rsid w:val="00AF045A"/>
    <w:rsid w:val="00AF1753"/>
    <w:rsid w:val="00B55AA4"/>
    <w:rsid w:val="00B811F2"/>
    <w:rsid w:val="00BC3C7D"/>
    <w:rsid w:val="00C16E3F"/>
    <w:rsid w:val="00C34C3E"/>
    <w:rsid w:val="00C41A3F"/>
    <w:rsid w:val="00C6443E"/>
    <w:rsid w:val="00C9547D"/>
    <w:rsid w:val="00CC2B33"/>
    <w:rsid w:val="00D7654A"/>
    <w:rsid w:val="00DB4E64"/>
    <w:rsid w:val="00DD3433"/>
    <w:rsid w:val="00E348C6"/>
    <w:rsid w:val="00E54871"/>
    <w:rsid w:val="00E60D9C"/>
    <w:rsid w:val="00E978F6"/>
    <w:rsid w:val="00EB2067"/>
    <w:rsid w:val="00F14D54"/>
    <w:rsid w:val="00F218B0"/>
    <w:rsid w:val="00F37A42"/>
    <w:rsid w:val="00F557F5"/>
    <w:rsid w:val="00F73D4A"/>
    <w:rsid w:val="00FB41D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60984"/>
  <w15:docId w15:val="{64FC50DA-F425-46C1-B6B8-3530CD7B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78F6"/>
    <w:rPr>
      <w:sz w:val="22"/>
      <w:szCs w:val="22"/>
      <w:lang w:val="en-GB"/>
    </w:rPr>
  </w:style>
  <w:style w:type="paragraph" w:styleId="ListParagraph">
    <w:name w:val="List Paragraph"/>
    <w:aliases w:val="Bullets,References,Evidence on Demand bullet points,Dot pt,No Spacing1,List Paragraph Char Char Char,Indicator Text,Numbered Para 1,List Paragraph12,Bullet Points,MAIN CONTENT,Bullet 1,Colorful List - Accent 11,OBC Bullet"/>
    <w:basedOn w:val="Normal"/>
    <w:link w:val="ListParagraphChar"/>
    <w:uiPriority w:val="34"/>
    <w:qFormat/>
    <w:rsid w:val="00E978F6"/>
    <w:pPr>
      <w:ind w:left="720"/>
      <w:contextualSpacing/>
    </w:pPr>
  </w:style>
  <w:style w:type="character" w:customStyle="1" w:styleId="ListParagraphChar">
    <w:name w:val="List Paragraph Char"/>
    <w:aliases w:val="Bullets Char,References Char,Evidence on Demand bullet points Char,Dot pt Char,No Spacing1 Char,List Paragraph Char Char Char Char,Indicator Text Char,Numbered Para 1 Char,List Paragraph12 Char,Bullet Points Char,MAIN CONTENT Char"/>
    <w:link w:val="ListParagraph"/>
    <w:uiPriority w:val="34"/>
    <w:qFormat/>
    <w:locked/>
    <w:rsid w:val="00E978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E5B81A10-3026-4340-95E3-F5F68DCFCAED}"/>
</file>

<file path=customXml/itemProps3.xml><?xml version="1.0" encoding="utf-8"?>
<ds:datastoreItem xmlns:ds="http://schemas.openxmlformats.org/officeDocument/2006/customXml" ds:itemID="{EFC7F2DA-577B-4D4B-9611-0905EB2CED60}"/>
</file>

<file path=customXml/itemProps4.xml><?xml version="1.0" encoding="utf-8"?>
<ds:datastoreItem xmlns:ds="http://schemas.openxmlformats.org/officeDocument/2006/customXml" ds:itemID="{55F546EA-DB67-488A-B1C6-932C695F9B45}"/>
</file>

<file path=docProps/app.xml><?xml version="1.0" encoding="utf-8"?>
<Properties xmlns="http://schemas.openxmlformats.org/officeDocument/2006/extended-properties" xmlns:vt="http://schemas.openxmlformats.org/officeDocument/2006/docPropsVTypes">
  <Template>normal</Template>
  <TotalTime>3</TotalTime>
  <Pages>9</Pages>
  <Words>3590</Words>
  <Characters>18919</Characters>
  <Application>Microsoft Office Word</Application>
  <DocSecurity>0</DocSecurity>
  <Lines>157</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Turkménistan</vt:lpstr>
      <vt:lpstr/>
    </vt:vector>
  </TitlesOfParts>
  <Company>UNMFS</Company>
  <LinksUpToDate>false</LinksUpToDate>
  <CharactersWithSpaces>22465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Turkménistan</dc:title>
  <dc:creator>Maïlys Lejosne</dc:creator>
  <cp:lastModifiedBy>HBE</cp:lastModifiedBy>
  <cp:revision>3</cp:revision>
  <cp:lastPrinted>2001-05-26T16:40:00Z</cp:lastPrinted>
  <dcterms:created xsi:type="dcterms:W3CDTF">2022-11-14T10:31:00Z</dcterms:created>
  <dcterms:modified xsi:type="dcterms:W3CDTF">2022-11-24T18:41:00Z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UNEP/OzL.Pro/ExCom/91/55</vt:lpwstr>
  </property>
  <property fmtid="{D5CDD505-2E9C-101B-9397-08002B2CF9AE}" pid="3" name="Revision date">
    <vt:lpwstr>11/12/2022</vt:lpwstr>
  </property>
  <property fmtid="{D5CDD505-2E9C-101B-9397-08002B2CF9AE}" pid="4" name="ContentTypeId">
    <vt:lpwstr>0x010100BDDDAAB2DD85EE4DA1A734027396EA35</vt:lpwstr>
  </property>
</Properties>
</file>