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20" w:type="dxa"/>
        <w:tblInd w:w="-432" w:type="dxa"/>
        <w:tblLayout w:type="fixed"/>
        <w:tblLook w:val="04A0" w:firstRow="1" w:lastRow="0" w:firstColumn="1" w:lastColumn="0" w:noHBand="0" w:noVBand="1"/>
      </w:tblPr>
      <w:tblGrid>
        <w:gridCol w:w="1871"/>
        <w:gridCol w:w="4000"/>
        <w:gridCol w:w="4149"/>
      </w:tblGrid>
      <w:tr w:rsidR="007E1FD5" w14:paraId="607B3EFC" w14:textId="77777777" w:rsidTr="007E1FD5">
        <w:trPr>
          <w:trHeight w:val="687"/>
        </w:trPr>
        <w:tc>
          <w:tcPr>
            <w:tcW w:w="5869" w:type="dxa"/>
            <w:gridSpan w:val="2"/>
            <w:tcBorders>
              <w:top w:val="nil"/>
              <w:left w:val="nil"/>
              <w:bottom w:val="single" w:sz="18" w:space="0" w:color="auto"/>
              <w:right w:val="nil"/>
            </w:tcBorders>
            <w:hideMark/>
          </w:tcPr>
          <w:p w14:paraId="598EC5BE" w14:textId="77777777" w:rsidR="007E1FD5" w:rsidRDefault="007E1FD5">
            <w:pPr>
              <w:rPr>
                <w:rFonts w:ascii="Univers" w:hAnsi="Univers"/>
                <w:b/>
                <w:sz w:val="28"/>
                <w:szCs w:val="28"/>
              </w:rPr>
            </w:pPr>
            <w:r>
              <w:rPr>
                <w:rFonts w:ascii="Univers" w:hAnsi="Univers"/>
                <w:b/>
                <w:sz w:val="28"/>
                <w:szCs w:val="28"/>
              </w:rPr>
              <w:t>NACIONES</w:t>
            </w:r>
          </w:p>
          <w:p w14:paraId="5544E0B7" w14:textId="77777777" w:rsidR="007E1FD5" w:rsidRDefault="007E1FD5">
            <w:pPr>
              <w:rPr>
                <w:rFonts w:ascii="Univers" w:hAnsi="Univers"/>
                <w:b/>
                <w:sz w:val="28"/>
                <w:szCs w:val="28"/>
              </w:rPr>
            </w:pPr>
            <w:r>
              <w:rPr>
                <w:rFonts w:ascii="Univers" w:hAnsi="Univers"/>
                <w:b/>
                <w:sz w:val="28"/>
                <w:szCs w:val="28"/>
              </w:rPr>
              <w:t>UNIDAS</w:t>
            </w:r>
          </w:p>
        </w:tc>
        <w:tc>
          <w:tcPr>
            <w:tcW w:w="4148" w:type="dxa"/>
            <w:tcBorders>
              <w:top w:val="nil"/>
              <w:left w:val="nil"/>
              <w:bottom w:val="single" w:sz="18" w:space="0" w:color="auto"/>
              <w:right w:val="nil"/>
            </w:tcBorders>
            <w:hideMark/>
          </w:tcPr>
          <w:p w14:paraId="4E6DAC63" w14:textId="77777777" w:rsidR="007E1FD5" w:rsidRDefault="007E1FD5">
            <w:pPr>
              <w:jc w:val="right"/>
              <w:rPr>
                <w:rFonts w:asciiTheme="minorBidi" w:hAnsiTheme="minorBidi" w:cstheme="minorBidi"/>
                <w:sz w:val="52"/>
                <w:szCs w:val="52"/>
              </w:rPr>
            </w:pPr>
            <w:r>
              <w:rPr>
                <w:rFonts w:asciiTheme="minorBidi" w:hAnsiTheme="minorBidi" w:cstheme="minorBidi"/>
                <w:b/>
                <w:sz w:val="72"/>
              </w:rPr>
              <w:t>EP</w:t>
            </w:r>
          </w:p>
        </w:tc>
      </w:tr>
      <w:tr w:rsidR="007E1FD5" w14:paraId="3A42F7EA" w14:textId="77777777" w:rsidTr="007E1FD5">
        <w:trPr>
          <w:trHeight w:val="2595"/>
        </w:trPr>
        <w:tc>
          <w:tcPr>
            <w:tcW w:w="1870" w:type="dxa"/>
            <w:tcBorders>
              <w:top w:val="nil"/>
              <w:left w:val="nil"/>
              <w:bottom w:val="single" w:sz="36" w:space="0" w:color="auto"/>
              <w:right w:val="nil"/>
            </w:tcBorders>
            <w:hideMark/>
          </w:tcPr>
          <w:p w14:paraId="732C2E66" w14:textId="49D2ACD5" w:rsidR="007E1FD5" w:rsidRDefault="007E1FD5">
            <w:pPr>
              <w:spacing w:before="120"/>
            </w:pPr>
            <w:r>
              <w:rPr>
                <w:noProof/>
                <w:lang w:val="en-US"/>
              </w:rPr>
              <w:drawing>
                <wp:anchor distT="0" distB="0" distL="114300" distR="114300" simplePos="0" relativeHeight="251659264" behindDoc="0" locked="0" layoutInCell="1" allowOverlap="1" wp14:anchorId="0BEEFA1F" wp14:editId="6999BC1E">
                  <wp:simplePos x="0" y="0"/>
                  <wp:positionH relativeFrom="column">
                    <wp:posOffset>-7620</wp:posOffset>
                  </wp:positionH>
                  <wp:positionV relativeFrom="paragraph">
                    <wp:posOffset>897255</wp:posOffset>
                  </wp:positionV>
                  <wp:extent cx="800100" cy="705485"/>
                  <wp:effectExtent l="0" t="0" r="0" b="0"/>
                  <wp:wrapNone/>
                  <wp:docPr id="611453827" name="Picture 8"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288" behindDoc="1" locked="0" layoutInCell="0" allowOverlap="1" wp14:anchorId="69FE3D9E" wp14:editId="2B726FF7">
                  <wp:simplePos x="0" y="0"/>
                  <wp:positionH relativeFrom="column">
                    <wp:posOffset>0</wp:posOffset>
                  </wp:positionH>
                  <wp:positionV relativeFrom="paragraph">
                    <wp:posOffset>114300</wp:posOffset>
                  </wp:positionV>
                  <wp:extent cx="822960" cy="731520"/>
                  <wp:effectExtent l="0" t="0" r="0" b="0"/>
                  <wp:wrapNone/>
                  <wp:docPr id="395998626" name="Picture 7"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98626" name="Picture 7" descr="A black and white logo with a globe in cente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pic:spPr>
                      </pic:pic>
                    </a:graphicData>
                  </a:graphic>
                  <wp14:sizeRelH relativeFrom="page">
                    <wp14:pctWidth>0</wp14:pctWidth>
                  </wp14:sizeRelH>
                  <wp14:sizeRelV relativeFrom="page">
                    <wp14:pctHeight>0</wp14:pctHeight>
                  </wp14:sizeRelV>
                </wp:anchor>
              </w:drawing>
            </w:r>
          </w:p>
        </w:tc>
        <w:tc>
          <w:tcPr>
            <w:tcW w:w="3998" w:type="dxa"/>
            <w:tcBorders>
              <w:top w:val="nil"/>
              <w:left w:val="nil"/>
              <w:bottom w:val="single" w:sz="36" w:space="0" w:color="auto"/>
              <w:right w:val="nil"/>
            </w:tcBorders>
          </w:tcPr>
          <w:p w14:paraId="7431DFE1" w14:textId="77777777" w:rsidR="002270C5" w:rsidRDefault="002270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00FCEBA1" w14:textId="39AB1ADA" w:rsidR="007E1FD5" w:rsidRDefault="007E1F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Programa de las</w:t>
            </w:r>
          </w:p>
          <w:p w14:paraId="01E83A9C" w14:textId="77777777" w:rsidR="007E1FD5" w:rsidRDefault="007E1F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Naciones Unidas</w:t>
            </w:r>
          </w:p>
          <w:p w14:paraId="451D3236" w14:textId="77777777" w:rsidR="007E1FD5" w:rsidRDefault="007E1F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para el Medio Ambiente</w:t>
            </w:r>
          </w:p>
          <w:p w14:paraId="0C1C2828" w14:textId="77777777" w:rsidR="007E1FD5" w:rsidRDefault="007E1F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
          <w:p w14:paraId="2F3D4C4A" w14:textId="77777777" w:rsidR="007E1FD5" w:rsidRDefault="007E1FD5">
            <w:pPr>
              <w:spacing w:before="720"/>
              <w:ind w:left="158"/>
            </w:pPr>
          </w:p>
        </w:tc>
        <w:tc>
          <w:tcPr>
            <w:tcW w:w="4148" w:type="dxa"/>
            <w:tcBorders>
              <w:top w:val="nil"/>
              <w:left w:val="nil"/>
              <w:bottom w:val="single" w:sz="36" w:space="0" w:color="auto"/>
              <w:right w:val="nil"/>
            </w:tcBorders>
          </w:tcPr>
          <w:p w14:paraId="562A57CD" w14:textId="77777777" w:rsidR="002270C5" w:rsidRDefault="002270C5"/>
          <w:p w14:paraId="5DA490D7" w14:textId="3866ADE7" w:rsidR="007E1FD5" w:rsidRDefault="007E1FD5">
            <w:proofErr w:type="spellStart"/>
            <w:r>
              <w:t>Distr</w:t>
            </w:r>
            <w:proofErr w:type="spellEnd"/>
            <w:r>
              <w:t>.</w:t>
            </w:r>
          </w:p>
          <w:p w14:paraId="0D557FC5" w14:textId="77777777" w:rsidR="007E1FD5" w:rsidRDefault="007E1FD5">
            <w:r>
              <w:t>GENERAL</w:t>
            </w:r>
          </w:p>
          <w:p w14:paraId="24135F1E" w14:textId="77777777" w:rsidR="007E1FD5" w:rsidRDefault="007E1FD5"/>
          <w:p w14:paraId="1634BE5E" w14:textId="4654112F" w:rsidR="007E1FD5" w:rsidRDefault="007E1FD5">
            <w:r>
              <w:fldChar w:fldCharType="begin"/>
            </w:r>
            <w:r>
              <w:instrText xml:space="preserve"> DOCPROPERTY "Document number"  \* MERGEFORMAT </w:instrText>
            </w:r>
            <w:r>
              <w:fldChar w:fldCharType="separate"/>
            </w:r>
            <w:r w:rsidR="00947E64">
              <w:t>UNEP/</w:t>
            </w:r>
            <w:proofErr w:type="spellStart"/>
            <w:r w:rsidR="00947E64">
              <w:t>OzL.Pro</w:t>
            </w:r>
            <w:proofErr w:type="spellEnd"/>
            <w:r w:rsidR="00947E64">
              <w:t>/</w:t>
            </w:r>
            <w:proofErr w:type="spellStart"/>
            <w:r w:rsidR="00947E64">
              <w:t>ExCom</w:t>
            </w:r>
            <w:proofErr w:type="spellEnd"/>
            <w:r w:rsidR="00947E64">
              <w:t>/93/3</w:t>
            </w:r>
            <w:r>
              <w:fldChar w:fldCharType="end"/>
            </w:r>
            <w:r w:rsidR="00947E64">
              <w:t>*</w:t>
            </w:r>
          </w:p>
          <w:p w14:paraId="0077E608" w14:textId="53FE704E" w:rsidR="007E1FD5" w:rsidRDefault="007E1FD5">
            <w:r>
              <w:fldChar w:fldCharType="begin"/>
            </w:r>
            <w:r>
              <w:instrText xml:space="preserve"> DOCPROPERTY "Revision date" \@ "d MMMM YYYY"  \* MERGEFORMAT </w:instrText>
            </w:r>
            <w:r>
              <w:fldChar w:fldCharType="separate"/>
            </w:r>
            <w:r>
              <w:t>21 noviembre 2023</w:t>
            </w:r>
            <w:r>
              <w:fldChar w:fldCharType="end"/>
            </w:r>
          </w:p>
          <w:p w14:paraId="12C07822" w14:textId="77777777" w:rsidR="007E1FD5" w:rsidRDefault="007E1FD5">
            <w:pPr>
              <w:rPr>
                <w:caps/>
              </w:rPr>
            </w:pPr>
          </w:p>
          <w:p w14:paraId="7CCD5ECE" w14:textId="77777777" w:rsidR="007E1FD5" w:rsidRDefault="007E1FD5">
            <w:r>
              <w:t xml:space="preserve">ESPAÑOL </w:t>
            </w:r>
          </w:p>
          <w:p w14:paraId="6DBB01DA" w14:textId="77777777" w:rsidR="007E1FD5" w:rsidRDefault="007E1FD5">
            <w:r>
              <w:t>ORIGINAL: INGLÉS</w:t>
            </w:r>
          </w:p>
        </w:tc>
      </w:tr>
    </w:tbl>
    <w:p w14:paraId="362D9F41" w14:textId="77777777" w:rsidR="007E1FD5" w:rsidRDefault="007E1FD5" w:rsidP="007E1FD5">
      <w:pPr>
        <w:jc w:val="left"/>
      </w:pPr>
      <w:r>
        <w:t>COMITÉ EJECUTIVO DEL FONDO MULTILATERAL</w:t>
      </w:r>
      <w:r>
        <w:br/>
        <w:t xml:space="preserve"> PARA LA APLICACIÓN DEL</w:t>
      </w:r>
      <w:r>
        <w:br/>
        <w:t xml:space="preserve"> PROTOCOLO DE MONTREAL</w:t>
      </w:r>
      <w:r>
        <w:br/>
        <w:t>Nonagésima tercera reunión</w:t>
      </w:r>
    </w:p>
    <w:p w14:paraId="0F4352E3" w14:textId="77777777" w:rsidR="007E1FD5" w:rsidRDefault="007E1FD5" w:rsidP="007E1FD5">
      <w:pPr>
        <w:jc w:val="left"/>
      </w:pPr>
      <w:r>
        <w:t>Montreal, 15 – 19 de diciembre de 2023</w:t>
      </w:r>
    </w:p>
    <w:p w14:paraId="615DBCFC" w14:textId="6013D8E1" w:rsidR="008B1688" w:rsidRDefault="008B1688" w:rsidP="008B1688">
      <w:pPr>
        <w:jc w:val="left"/>
      </w:pPr>
      <w:r>
        <w:t>Cuestión 4 a) del orden del día provisional</w:t>
      </w:r>
      <w:r w:rsidRPr="00512BEF">
        <w:rPr>
          <w:rStyle w:val="FootnoteReference"/>
        </w:rPr>
        <w:footnoteReference w:id="1"/>
      </w:r>
    </w:p>
    <w:p w14:paraId="791B5107" w14:textId="4ED24506" w:rsidR="00C15867" w:rsidRDefault="00C15867" w:rsidP="004E73DB">
      <w:pPr>
        <w:jc w:val="left"/>
      </w:pPr>
    </w:p>
    <w:p w14:paraId="454F6D16" w14:textId="77777777" w:rsidR="00CB3FF8" w:rsidRPr="009B0D30" w:rsidRDefault="00CB3FF8" w:rsidP="004E73DB">
      <w:pPr>
        <w:jc w:val="left"/>
      </w:pPr>
    </w:p>
    <w:p w14:paraId="58268B4B" w14:textId="56DD8AE2" w:rsidR="00CB3FF8" w:rsidRPr="004E6CBB" w:rsidRDefault="00D00284" w:rsidP="00CB3FF8">
      <w:pPr>
        <w:pStyle w:val="0Heading0"/>
        <w:jc w:val="center"/>
        <w:rPr>
          <w:b/>
          <w:bCs/>
          <w:sz w:val="24"/>
          <w:szCs w:val="24"/>
        </w:rPr>
      </w:pPr>
      <w:r>
        <w:rPr>
          <w:b/>
          <w:sz w:val="24"/>
        </w:rPr>
        <w:t>SITUACIÓN DE LAS CONTRIBUCIONES Y LOS DESEMBOLSOS</w:t>
      </w:r>
    </w:p>
    <w:p w14:paraId="59BAABD0" w14:textId="1A9E512F" w:rsidR="00CB3FF8" w:rsidRDefault="00CB3FF8" w:rsidP="00CB3FF8">
      <w:pPr>
        <w:pStyle w:val="0Heading0"/>
        <w:jc w:val="center"/>
        <w:rPr>
          <w:b/>
          <w:bCs/>
        </w:rPr>
      </w:pPr>
      <w:r>
        <w:rPr>
          <w:b/>
          <w:sz w:val="24"/>
        </w:rPr>
        <w:t>Informe del Tesorero</w:t>
      </w:r>
    </w:p>
    <w:p w14:paraId="469D2FBF" w14:textId="77777777" w:rsidR="004E6CBB" w:rsidRPr="00894AEE" w:rsidRDefault="004E6CBB" w:rsidP="00CB3FF8">
      <w:pPr>
        <w:pStyle w:val="0Heading0"/>
        <w:jc w:val="center"/>
        <w:rPr>
          <w:b/>
          <w:bCs/>
        </w:rPr>
      </w:pPr>
    </w:p>
    <w:p w14:paraId="695E3628" w14:textId="438F2B91" w:rsidR="00CB3FF8" w:rsidRDefault="00CB3FF8" w:rsidP="00CB3FF8">
      <w:pPr>
        <w:pStyle w:val="0Heading0"/>
        <w:jc w:val="center"/>
        <w:rPr>
          <w:b/>
          <w:bCs/>
        </w:rPr>
      </w:pPr>
    </w:p>
    <w:p w14:paraId="6687389C" w14:textId="508154B0" w:rsidR="005C5171" w:rsidRPr="00F61CFE" w:rsidRDefault="005C5171" w:rsidP="00F61CFE">
      <w:pPr>
        <w:pStyle w:val="0Heading0"/>
        <w:rPr>
          <w:b/>
          <w:bCs/>
          <w:sz w:val="24"/>
          <w:szCs w:val="24"/>
        </w:rPr>
      </w:pPr>
      <w:r>
        <w:rPr>
          <w:b/>
          <w:sz w:val="24"/>
        </w:rPr>
        <w:t xml:space="preserve">Introducción </w:t>
      </w:r>
    </w:p>
    <w:p w14:paraId="0C9AC546" w14:textId="77777777" w:rsidR="005C5171" w:rsidRDefault="005C5171" w:rsidP="00CB3FF8">
      <w:pPr>
        <w:pStyle w:val="0Heading0"/>
        <w:jc w:val="center"/>
        <w:rPr>
          <w:b/>
          <w:bCs/>
        </w:rPr>
      </w:pPr>
    </w:p>
    <w:p w14:paraId="609A1993" w14:textId="56D5907C" w:rsidR="00D118F2" w:rsidRDefault="00CB3FF8" w:rsidP="00CB3FF8">
      <w:pPr>
        <w:pStyle w:val="Heading1"/>
      </w:pPr>
      <w:r>
        <w:t>El presente documento contiene información sobre la situación del Fondo Multilateral</w:t>
      </w:r>
      <w:r w:rsidRPr="004B5029">
        <w:rPr>
          <w:rStyle w:val="FootnoteReference"/>
        </w:rPr>
        <w:footnoteReference w:id="2"/>
      </w:r>
      <w:r>
        <w:t xml:space="preserve"> registrada en el PNUMA al 8 de noviembre de 2023. </w:t>
      </w:r>
    </w:p>
    <w:p w14:paraId="54A834D5" w14:textId="200E9D7B" w:rsidR="00CB3FF8" w:rsidRPr="004B5029" w:rsidRDefault="00CB3FF8" w:rsidP="00FD79CE">
      <w:pPr>
        <w:pStyle w:val="Heading1"/>
      </w:pPr>
      <w:r>
        <w:t>El Anexo I de este documento contiene los cuadros siguientes:</w:t>
      </w:r>
    </w:p>
    <w:p w14:paraId="53FFA9AB" w14:textId="4CD8A307" w:rsidR="00CB3FF8" w:rsidRPr="004B5029" w:rsidRDefault="00CB3FF8" w:rsidP="00CB3FF8">
      <w:pPr>
        <w:pStyle w:val="0Heading0"/>
        <w:numPr>
          <w:ilvl w:val="0"/>
          <w:numId w:val="21"/>
        </w:numPr>
        <w:tabs>
          <w:tab w:val="clear" w:pos="2500"/>
        </w:tabs>
        <w:ind w:left="1440" w:hanging="720"/>
      </w:pPr>
      <w:r>
        <w:t>Cuadro 1: Situación del Fondo entre 1991 y 2023</w:t>
      </w:r>
    </w:p>
    <w:p w14:paraId="121CDA3E" w14:textId="2793518A" w:rsidR="00CB3FF8" w:rsidRPr="004B5029" w:rsidRDefault="00CB3FF8" w:rsidP="00CB3FF8">
      <w:pPr>
        <w:pStyle w:val="0Heading0"/>
        <w:numPr>
          <w:ilvl w:val="0"/>
          <w:numId w:val="21"/>
        </w:numPr>
        <w:tabs>
          <w:tab w:val="clear" w:pos="2500"/>
        </w:tabs>
        <w:ind w:left="1440" w:hanging="720"/>
        <w:jc w:val="both"/>
      </w:pPr>
      <w:r>
        <w:t>Cuadro 2: Resumen de la situación de las contribuciones y otros ingresos, 1991 – 2023</w:t>
      </w:r>
    </w:p>
    <w:p w14:paraId="77ED3D2F" w14:textId="320D66B8" w:rsidR="00CB3FF8" w:rsidRDefault="00CB3FF8" w:rsidP="00CB3FF8">
      <w:pPr>
        <w:pStyle w:val="0Heading0"/>
        <w:numPr>
          <w:ilvl w:val="0"/>
          <w:numId w:val="21"/>
        </w:numPr>
        <w:tabs>
          <w:tab w:val="clear" w:pos="2500"/>
        </w:tabs>
        <w:ind w:left="1440" w:hanging="720"/>
      </w:pPr>
      <w:r>
        <w:t>Cuadro 3: Resumen de la situación de las contribuciones, 1991 – 2023</w:t>
      </w:r>
    </w:p>
    <w:p w14:paraId="63512AE9" w14:textId="0911C136" w:rsidR="00CB3FF8" w:rsidRDefault="00CB3FF8" w:rsidP="00CB3FF8">
      <w:pPr>
        <w:pStyle w:val="0Heading0"/>
        <w:numPr>
          <w:ilvl w:val="0"/>
          <w:numId w:val="21"/>
        </w:numPr>
        <w:tabs>
          <w:tab w:val="clear" w:pos="2500"/>
        </w:tabs>
        <w:ind w:left="1440" w:hanging="720"/>
        <w:jc w:val="both"/>
      </w:pPr>
      <w:r>
        <w:t>Cuadro 4: Situación de las contribuciones, 2021 – 2023</w:t>
      </w:r>
    </w:p>
    <w:p w14:paraId="092DD79D" w14:textId="715FA0A0" w:rsidR="002377B1" w:rsidRDefault="002377B1" w:rsidP="002377B1">
      <w:pPr>
        <w:pStyle w:val="0Heading0"/>
        <w:numPr>
          <w:ilvl w:val="0"/>
          <w:numId w:val="21"/>
        </w:numPr>
        <w:tabs>
          <w:tab w:val="clear" w:pos="2500"/>
        </w:tabs>
        <w:ind w:left="1440" w:hanging="720"/>
        <w:jc w:val="both"/>
      </w:pPr>
      <w:r>
        <w:t>Cuadro 5: Situación de las Contribuciones para 2023</w:t>
      </w:r>
    </w:p>
    <w:p w14:paraId="3BE809C8" w14:textId="6E15E582" w:rsidR="00CB3FF8" w:rsidRDefault="00CB3FF8" w:rsidP="00CB3FF8">
      <w:pPr>
        <w:pStyle w:val="0Heading0"/>
        <w:numPr>
          <w:ilvl w:val="0"/>
          <w:numId w:val="21"/>
        </w:numPr>
        <w:tabs>
          <w:tab w:val="clear" w:pos="2500"/>
        </w:tabs>
        <w:ind w:left="1440" w:hanging="720"/>
        <w:jc w:val="both"/>
      </w:pPr>
      <w:r>
        <w:t>Cuadro 6: Situación de las Contribuciones para 2022</w:t>
      </w:r>
    </w:p>
    <w:p w14:paraId="4FCC0F07" w14:textId="3C4B4B43" w:rsidR="00CB3FF8" w:rsidRDefault="00CB3FF8" w:rsidP="00CB3FF8">
      <w:pPr>
        <w:pStyle w:val="0Heading0"/>
        <w:numPr>
          <w:ilvl w:val="0"/>
          <w:numId w:val="21"/>
        </w:numPr>
        <w:tabs>
          <w:tab w:val="clear" w:pos="2500"/>
        </w:tabs>
        <w:ind w:left="1440" w:hanging="720"/>
        <w:jc w:val="both"/>
      </w:pPr>
      <w:r>
        <w:t>Cuadro 7: Situación de las Contribuciones para 2021</w:t>
      </w:r>
    </w:p>
    <w:p w14:paraId="6269636C" w14:textId="379D3135" w:rsidR="00CB3FF8" w:rsidRPr="004B5029" w:rsidRDefault="00CB3FF8" w:rsidP="00CB3FF8">
      <w:pPr>
        <w:pStyle w:val="0Heading0"/>
        <w:numPr>
          <w:ilvl w:val="0"/>
          <w:numId w:val="21"/>
        </w:numPr>
        <w:tabs>
          <w:tab w:val="clear" w:pos="2500"/>
        </w:tabs>
        <w:ind w:left="1440" w:hanging="720"/>
        <w:jc w:val="both"/>
      </w:pPr>
      <w:r>
        <w:t>Cuadro 8: Situación de las contribuciones, 2018 – 2020</w:t>
      </w:r>
    </w:p>
    <w:p w14:paraId="001804F3" w14:textId="4CE01355" w:rsidR="00CB3FF8" w:rsidRDefault="00CB3FF8" w:rsidP="00CB3FF8">
      <w:pPr>
        <w:pStyle w:val="0Heading0"/>
        <w:numPr>
          <w:ilvl w:val="0"/>
          <w:numId w:val="21"/>
        </w:numPr>
        <w:tabs>
          <w:tab w:val="clear" w:pos="2500"/>
        </w:tabs>
        <w:ind w:left="1440" w:hanging="720"/>
        <w:jc w:val="both"/>
      </w:pPr>
      <w:r>
        <w:t>Cuadro 9: Situación de las Contribuciones para 2020</w:t>
      </w:r>
    </w:p>
    <w:p w14:paraId="3482822B" w14:textId="1F38ECF5" w:rsidR="00CB3FF8" w:rsidRDefault="00CB3FF8" w:rsidP="00CB3FF8">
      <w:pPr>
        <w:pStyle w:val="0Heading0"/>
        <w:numPr>
          <w:ilvl w:val="0"/>
          <w:numId w:val="21"/>
        </w:numPr>
        <w:tabs>
          <w:tab w:val="clear" w:pos="2500"/>
        </w:tabs>
        <w:ind w:left="1440" w:hanging="720"/>
        <w:jc w:val="both"/>
      </w:pPr>
      <w:r>
        <w:t>Cuadro 10: Situación de las Contribuciones para 2019</w:t>
      </w:r>
    </w:p>
    <w:p w14:paraId="0DC885B1" w14:textId="6FBC0E5A" w:rsidR="00CB3FF8" w:rsidRDefault="00CB3FF8" w:rsidP="00CB3FF8">
      <w:pPr>
        <w:pStyle w:val="0Heading0"/>
        <w:numPr>
          <w:ilvl w:val="0"/>
          <w:numId w:val="21"/>
        </w:numPr>
        <w:tabs>
          <w:tab w:val="clear" w:pos="2500"/>
        </w:tabs>
        <w:ind w:left="1440" w:hanging="720"/>
        <w:jc w:val="both"/>
      </w:pPr>
      <w:r>
        <w:t>Cuadro 11: Situación de las Contribuciones para 2018</w:t>
      </w:r>
    </w:p>
    <w:p w14:paraId="60BD7EC9" w14:textId="65221413" w:rsidR="00CB3FF8" w:rsidRDefault="00CB3FF8" w:rsidP="00CB3FF8">
      <w:pPr>
        <w:pStyle w:val="0Heading0"/>
        <w:numPr>
          <w:ilvl w:val="0"/>
          <w:numId w:val="21"/>
        </w:numPr>
        <w:tabs>
          <w:tab w:val="clear" w:pos="2500"/>
        </w:tabs>
        <w:ind w:left="1440" w:hanging="720"/>
        <w:jc w:val="both"/>
      </w:pPr>
      <w:r>
        <w:t>Cuadro 12: Situación de las contribuciones, 2015 – 2017</w:t>
      </w:r>
    </w:p>
    <w:p w14:paraId="60B5DAA8" w14:textId="457D52C4" w:rsidR="00CB3FF8" w:rsidRDefault="00CB3FF8" w:rsidP="00CB3FF8">
      <w:pPr>
        <w:pStyle w:val="0Heading0"/>
        <w:numPr>
          <w:ilvl w:val="0"/>
          <w:numId w:val="21"/>
        </w:numPr>
        <w:tabs>
          <w:tab w:val="clear" w:pos="2500"/>
        </w:tabs>
        <w:ind w:left="1440" w:hanging="720"/>
        <w:jc w:val="both"/>
      </w:pPr>
      <w:r>
        <w:t>Cuadro 13: Situación de las Contribuciones para 2017</w:t>
      </w:r>
    </w:p>
    <w:p w14:paraId="30E62DF7" w14:textId="77777777" w:rsidR="0055678F" w:rsidRDefault="0055678F" w:rsidP="00F61CFE">
      <w:pPr>
        <w:pStyle w:val="0Heading0"/>
        <w:ind w:left="1440"/>
        <w:jc w:val="both"/>
      </w:pPr>
    </w:p>
    <w:p w14:paraId="54DA06D0" w14:textId="14D6EADC" w:rsidR="00947E64" w:rsidRPr="00947E64" w:rsidRDefault="00947E64" w:rsidP="00947E64">
      <w:pPr>
        <w:pStyle w:val="0Heading0"/>
        <w:ind w:left="720"/>
        <w:jc w:val="both"/>
        <w:rPr>
          <w:sz w:val="20"/>
          <w:szCs w:val="20"/>
        </w:rPr>
      </w:pPr>
      <w:r w:rsidRPr="00464FFA">
        <w:rPr>
          <w:sz w:val="20"/>
          <w:szCs w:val="20"/>
        </w:rPr>
        <w:t xml:space="preserve">* </w:t>
      </w:r>
      <w:r w:rsidR="00C1335D" w:rsidRPr="00464FFA">
        <w:rPr>
          <w:sz w:val="20"/>
          <w:szCs w:val="20"/>
        </w:rPr>
        <w:t>Re</w:t>
      </w:r>
      <w:r w:rsidR="00C1335D">
        <w:rPr>
          <w:sz w:val="20"/>
          <w:szCs w:val="20"/>
        </w:rPr>
        <w:t>e</w:t>
      </w:r>
      <w:r w:rsidR="00C1335D" w:rsidRPr="00464FFA">
        <w:rPr>
          <w:sz w:val="20"/>
          <w:szCs w:val="20"/>
        </w:rPr>
        <w:t>mitido</w:t>
      </w:r>
      <w:r w:rsidRPr="00464FFA">
        <w:rPr>
          <w:sz w:val="20"/>
          <w:szCs w:val="20"/>
        </w:rPr>
        <w:t xml:space="preserve"> por motivos técnicos el 30 de noviembre de 2023</w:t>
      </w:r>
    </w:p>
    <w:p w14:paraId="628EA5A4" w14:textId="70740910" w:rsidR="00FA2414" w:rsidRDefault="00175F3B" w:rsidP="001F0105">
      <w:pPr>
        <w:pStyle w:val="Heading1"/>
        <w:spacing w:after="0"/>
      </w:pPr>
      <w:r>
        <w:lastRenderedPageBreak/>
        <w:t>El documento también contiene el anexo II, en el que se enumeran los 27 países que no están al amparo del Artículo 5 y que utilizan el mecanismo de tipo de cambio fijo (FERM, por sus siglas en inglés)</w:t>
      </w:r>
      <w:r w:rsidR="00822450">
        <w:rPr>
          <w:rStyle w:val="FootnoteReference"/>
        </w:rPr>
        <w:footnoteReference w:id="3"/>
      </w:r>
      <w:r>
        <w:t xml:space="preserve"> durante el trienio 2021–2023.</w:t>
      </w:r>
    </w:p>
    <w:p w14:paraId="1EEECFEE" w14:textId="77777777" w:rsidR="001F0105" w:rsidRPr="001F0105" w:rsidRDefault="001F0105" w:rsidP="001F0105">
      <w:pPr>
        <w:rPr>
          <w:sz w:val="20"/>
          <w:szCs w:val="20"/>
        </w:rPr>
      </w:pPr>
    </w:p>
    <w:p w14:paraId="3483965E" w14:textId="378E85E0" w:rsidR="00737C8E" w:rsidRDefault="00737C8E" w:rsidP="001F0105">
      <w:pPr>
        <w:pStyle w:val="0Heading0"/>
        <w:tabs>
          <w:tab w:val="left" w:pos="0"/>
        </w:tabs>
        <w:jc w:val="both"/>
        <w:rPr>
          <w:b/>
          <w:bCs/>
          <w:sz w:val="24"/>
          <w:szCs w:val="24"/>
        </w:rPr>
      </w:pPr>
      <w:r>
        <w:rPr>
          <w:b/>
          <w:sz w:val="24"/>
        </w:rPr>
        <w:t>Situación del Fondo</w:t>
      </w:r>
    </w:p>
    <w:p w14:paraId="71B2BBD6" w14:textId="77777777" w:rsidR="00737C8E" w:rsidRPr="001F0105" w:rsidRDefault="00737C8E" w:rsidP="001F0105">
      <w:pPr>
        <w:pStyle w:val="0Heading0"/>
        <w:tabs>
          <w:tab w:val="left" w:pos="0"/>
        </w:tabs>
        <w:jc w:val="both"/>
        <w:rPr>
          <w:b/>
          <w:bCs/>
          <w:sz w:val="20"/>
          <w:szCs w:val="20"/>
        </w:rPr>
      </w:pPr>
    </w:p>
    <w:p w14:paraId="1DC21120" w14:textId="29E6C1E8" w:rsidR="00CB3FF8" w:rsidRPr="00AE3FC7" w:rsidRDefault="00CB3FF8" w:rsidP="00AA6852">
      <w:pPr>
        <w:pStyle w:val="Heading1"/>
      </w:pPr>
      <w:r>
        <w:t xml:space="preserve">A día de 8 de noviembre de 2023, el saldo de fondos ascendía a 523.322.098 $EUA en efectivo, una vez considerados todos los fondos aprobados por el Comité Ejecutivo hasta la 92ª reunión (inclusive) del Comité Ejecutivo. No obstante, de conformidad con la decisión </w:t>
      </w:r>
      <w:proofErr w:type="gramStart"/>
      <w:r>
        <w:t>Ex.V</w:t>
      </w:r>
      <w:proofErr w:type="gramEnd"/>
      <w:r>
        <w:t>/1 2)</w:t>
      </w:r>
      <w:r w:rsidR="00F065B6" w:rsidRPr="00AE3FC7">
        <w:rPr>
          <w:rStyle w:val="FootnoteReference"/>
        </w:rPr>
        <w:footnoteReference w:id="4"/>
      </w:r>
      <w:r>
        <w:t xml:space="preserve"> de las Partes sobre la reposición del Fondo Multilateral para el trienio 2021–2023, se excluirá el monto de 246 millones de $EUA correspondiente a los fondos remanentes del trienio 2018–2020 y que se utilizarán después de 2023. En consecuencia, el saldo disponible para esta reunión es de 277.322.098 $EUA.</w:t>
      </w:r>
    </w:p>
    <w:p w14:paraId="3917C248" w14:textId="09EE4921" w:rsidR="00CB3FF8" w:rsidRPr="00AE3FC7" w:rsidRDefault="00CB3FF8" w:rsidP="00CB3FF8">
      <w:pPr>
        <w:pStyle w:val="Heading1"/>
      </w:pPr>
      <w:r>
        <w:t xml:space="preserve">Tras la decisión </w:t>
      </w:r>
      <w:proofErr w:type="gramStart"/>
      <w:r>
        <w:t>Ex.V</w:t>
      </w:r>
      <w:proofErr w:type="gramEnd"/>
      <w:r>
        <w:t>/1 de las Partes, y su anexo sobre la escala de contribuciones, 41, 39 y 33</w:t>
      </w:r>
      <w:r w:rsidR="00D00284">
        <w:t> </w:t>
      </w:r>
      <w:r>
        <w:t>Partes han hecho sus contribuciones para 2021, 2022 y 2023, respectivamente. La contribución total recibida es el 89,9 por ciento del total comprometido para el trienio 2021–2023.</w:t>
      </w:r>
      <w:r w:rsidR="004E69F2" w:rsidRPr="00AE3FC7">
        <w:rPr>
          <w:rStyle w:val="FootnoteReference"/>
          <w:lang w:val="en-US"/>
        </w:rPr>
        <w:footnoteReference w:id="5"/>
      </w:r>
      <w:r>
        <w:t xml:space="preserve"> </w:t>
      </w:r>
    </w:p>
    <w:p w14:paraId="5F850CD6" w14:textId="3CD9D639" w:rsidR="00CB3FF8" w:rsidRPr="00C33342" w:rsidRDefault="00F15505" w:rsidP="007F7C3F">
      <w:pPr>
        <w:pStyle w:val="Heading1"/>
      </w:pPr>
      <w:r>
        <w:t xml:space="preserve">Tras la decisión </w:t>
      </w:r>
      <w:proofErr w:type="gramStart"/>
      <w:r>
        <w:t>Ex.V</w:t>
      </w:r>
      <w:proofErr w:type="gramEnd"/>
      <w:r>
        <w:t>/2 de las Partes, se aprobó la prórroga del FERM hasta la reposición de 2021</w:t>
      </w:r>
      <w:r w:rsidR="00D00284">
        <w:noBreakHyphen/>
      </w:r>
      <w:r>
        <w:t>2023. En consecuencia, la pérdida acumulada del FERM es de 29.586.887 $EUA.</w:t>
      </w:r>
    </w:p>
    <w:p w14:paraId="31098D75" w14:textId="5A04870A" w:rsidR="001F0105" w:rsidRPr="001F0105" w:rsidRDefault="00CB3FF8" w:rsidP="00D00284">
      <w:pPr>
        <w:pStyle w:val="Heading1"/>
        <w:numPr>
          <w:ilvl w:val="0"/>
          <w:numId w:val="0"/>
        </w:numPr>
        <w:autoSpaceDE w:val="0"/>
        <w:autoSpaceDN w:val="0"/>
        <w:adjustRightInd w:val="0"/>
        <w:spacing w:after="120"/>
        <w:rPr>
          <w:sz w:val="20"/>
          <w:szCs w:val="20"/>
          <w:lang w:val="en-US" w:bidi="hi-IN"/>
        </w:rPr>
      </w:pPr>
      <w:r>
        <w:rPr>
          <w:b/>
          <w:sz w:val="24"/>
        </w:rPr>
        <w:t>Medidas relativas a las contribuciones</w:t>
      </w:r>
    </w:p>
    <w:p w14:paraId="32ABEF09" w14:textId="45C2CB1D" w:rsidR="008C081B" w:rsidRPr="00BD736C" w:rsidRDefault="00CB3FF8" w:rsidP="00D00284">
      <w:pPr>
        <w:pStyle w:val="Heading1"/>
        <w:spacing w:after="120"/>
      </w:pPr>
      <w:r>
        <w:t>De conformidad con las decisiones anteriores de las Partes, el Tesorero envió facturas relacionadas con las contribuciones de 2023 al Fondo Multilateral, así como recordatorios sobre las contribuciones a las partes en mora.</w:t>
      </w:r>
    </w:p>
    <w:p w14:paraId="4F97A46F" w14:textId="0980B3FD" w:rsidR="00CE4A0F" w:rsidRPr="00BD736C" w:rsidRDefault="00562ABF" w:rsidP="00D00284">
      <w:pPr>
        <w:pStyle w:val="Heading1"/>
        <w:spacing w:after="120"/>
      </w:pPr>
      <w:r>
        <w:t xml:space="preserve">El </w:t>
      </w:r>
      <w:proofErr w:type="gramStart"/>
      <w:r>
        <w:t>Director Ejecutivo</w:t>
      </w:r>
      <w:proofErr w:type="gramEnd"/>
      <w:r>
        <w:t xml:space="preserve"> Adjunto del PNUMA mantuvo una reunión con el Embajador de Israel en </w:t>
      </w:r>
      <w:proofErr w:type="spellStart"/>
      <w:r>
        <w:t>Kenya</w:t>
      </w:r>
      <w:proofErr w:type="spellEnd"/>
      <w:r>
        <w:t xml:space="preserve"> en cuanto a la cuestión de las contribuciones en mora de Israel al Fondo Multilateral. El Embajador reiteró la comunicación que mantuvo con la Secretaría del Fondo y el Tesorero. También informó al </w:t>
      </w:r>
      <w:proofErr w:type="gramStart"/>
      <w:r>
        <w:t>Director Ejecutivo</w:t>
      </w:r>
      <w:proofErr w:type="gramEnd"/>
      <w:r>
        <w:t xml:space="preserve"> Adjunto de que la cuestión está siendo manejada por su Gobierno, entre el Ministerio de Asuntos Exteriores y el Ministerio de Finanzas e indicó que seguiría en contacto.</w:t>
      </w:r>
    </w:p>
    <w:p w14:paraId="619BFB57" w14:textId="2EB9069A" w:rsidR="008760C9" w:rsidRPr="00BD736C" w:rsidRDefault="00226F80" w:rsidP="00D00284">
      <w:pPr>
        <w:pStyle w:val="Heading1"/>
        <w:spacing w:after="120"/>
      </w:pPr>
      <w:r>
        <w:t xml:space="preserve">El </w:t>
      </w:r>
      <w:proofErr w:type="gramStart"/>
      <w:r>
        <w:t>Director Ejecutivo</w:t>
      </w:r>
      <w:proofErr w:type="gramEnd"/>
      <w:r>
        <w:t xml:space="preserve"> Adjunto del PNUMA también mantuvo una reunión con el Representante Permanente Adjunto de la Federación de Rusia acerca de sus contribuciones pendientes al Fondo Multilateral para el trienio 2021–2023. El Tesorero también intercambió correos con el coordinador del Protocolo de Montreal de la Federación de Rusia sobre el asunto. </w:t>
      </w:r>
    </w:p>
    <w:p w14:paraId="53C2A420" w14:textId="015EC2DF" w:rsidR="00CB3FF8" w:rsidRPr="00BD736C" w:rsidRDefault="00F66FB0" w:rsidP="00D00284">
      <w:pPr>
        <w:pStyle w:val="Heading1"/>
        <w:spacing w:after="120"/>
      </w:pPr>
      <w:r>
        <w:t>Proseguirán los esfuerzos de seguimiento sobre la cuestión de las contribuciones pendientes con el Gobierno de Israel y el Gobierno de la Federación de Rusia.</w:t>
      </w:r>
      <w:r w:rsidR="00562ABF" w:rsidRPr="00BD736C">
        <w:rPr>
          <w:rStyle w:val="FootnoteReference"/>
          <w:lang w:bidi="hi-IN"/>
        </w:rPr>
        <w:footnoteReference w:id="6"/>
      </w:r>
    </w:p>
    <w:p w14:paraId="6492BD61" w14:textId="1BF5D09C" w:rsidR="00CB3FF8" w:rsidRPr="001F0105" w:rsidRDefault="00CB3FF8" w:rsidP="00D00284">
      <w:pPr>
        <w:pStyle w:val="0Heading0"/>
        <w:autoSpaceDE w:val="0"/>
        <w:autoSpaceDN w:val="0"/>
        <w:adjustRightInd w:val="0"/>
        <w:spacing w:after="120"/>
        <w:jc w:val="both"/>
        <w:rPr>
          <w:b/>
          <w:bCs/>
          <w:sz w:val="24"/>
          <w:szCs w:val="24"/>
        </w:rPr>
      </w:pPr>
      <w:r>
        <w:rPr>
          <w:b/>
          <w:sz w:val="24"/>
        </w:rPr>
        <w:t>Recomendación</w:t>
      </w:r>
    </w:p>
    <w:p w14:paraId="6C7824A7" w14:textId="77777777" w:rsidR="00CB3FF8" w:rsidRPr="00BD736C" w:rsidRDefault="00CB3FF8" w:rsidP="00D00284">
      <w:pPr>
        <w:pStyle w:val="Heading1"/>
        <w:spacing w:after="120"/>
        <w:rPr>
          <w:sz w:val="20"/>
          <w:szCs w:val="20"/>
        </w:rPr>
      </w:pPr>
      <w:r>
        <w:t>El Comité Ejecutivo puede estimar oportuno:</w:t>
      </w:r>
    </w:p>
    <w:p w14:paraId="7416CA43" w14:textId="365304CA" w:rsidR="00D04972" w:rsidRPr="00BD736C" w:rsidRDefault="00CB3FF8" w:rsidP="00D04972">
      <w:pPr>
        <w:pStyle w:val="Heading2"/>
        <w:numPr>
          <w:ilvl w:val="1"/>
          <w:numId w:val="1"/>
        </w:numPr>
      </w:pPr>
      <w:r>
        <w:t xml:space="preserve">Tomar nota del informe del Tesorero sobre la situación de las contribuciones y los desembolsos que figura en el anexo I del presente documento. </w:t>
      </w:r>
    </w:p>
    <w:p w14:paraId="481F1EED" w14:textId="77777777" w:rsidR="001F0105" w:rsidRDefault="00D04972" w:rsidP="001F0105">
      <w:pPr>
        <w:pStyle w:val="Heading2"/>
        <w:spacing w:after="0"/>
      </w:pPr>
      <w:r>
        <w:t xml:space="preserve">Tomar nota de las deliberaciones entre los representantes del Gobierno de Israel y el </w:t>
      </w:r>
      <w:proofErr w:type="gramStart"/>
      <w:r>
        <w:t>Director Ejecutivo</w:t>
      </w:r>
      <w:proofErr w:type="gramEnd"/>
      <w:r>
        <w:t xml:space="preserve"> Adjunto del PNUMA, así como la comunicación con la Secretaría, e invitar al Gobierno a comenzar sus contribuciones al Fondo Multilateral; </w:t>
      </w:r>
    </w:p>
    <w:p w14:paraId="4681B588" w14:textId="601CB380" w:rsidR="009B3B6A" w:rsidRDefault="00D135A1" w:rsidP="001F0105">
      <w:pPr>
        <w:pStyle w:val="Heading2"/>
        <w:numPr>
          <w:ilvl w:val="0"/>
          <w:numId w:val="0"/>
        </w:numPr>
        <w:spacing w:after="0"/>
        <w:ind w:left="1440"/>
      </w:pPr>
      <w:r>
        <w:t xml:space="preserve"> </w:t>
      </w:r>
    </w:p>
    <w:p w14:paraId="149309C4" w14:textId="3A3F5923" w:rsidR="009124D5" w:rsidRPr="00BD736C" w:rsidRDefault="009B3B6A" w:rsidP="007E1FD5">
      <w:pPr>
        <w:pStyle w:val="Heading2"/>
      </w:pPr>
      <w:r>
        <w:t xml:space="preserve">Tomar nota de las deliberaciones entre los representantes de la Federación de Rusia y el </w:t>
      </w:r>
      <w:proofErr w:type="gramStart"/>
      <w:r>
        <w:t>Director Ejecutivo</w:t>
      </w:r>
      <w:proofErr w:type="gramEnd"/>
      <w:r>
        <w:t xml:space="preserve"> Adjunto del PNUMA, así como la comunicación con el Tesorero, e invitar al Gobierno a pagar sus contribuciones pendientes al Fondo Multilateral; </w:t>
      </w:r>
    </w:p>
    <w:p w14:paraId="6A9C4BCE" w14:textId="7D1BFEDD" w:rsidR="00E85409" w:rsidRDefault="00CB3FF8" w:rsidP="00F86D90">
      <w:pPr>
        <w:pStyle w:val="Heading2"/>
      </w:pPr>
      <w:r>
        <w:t xml:space="preserve">Pedir al </w:t>
      </w:r>
      <w:proofErr w:type="gramStart"/>
      <w:r>
        <w:t>Director</w:t>
      </w:r>
      <w:proofErr w:type="gramEnd"/>
      <w:r>
        <w:t xml:space="preserve"> y al Tesorero que sigan en contacto con las Partes que tenían contribuciones pendientes de un trienio o más, e informen al respecto en la 94ª reunión.</w:t>
      </w:r>
    </w:p>
    <w:sectPr w:rsidR="00E85409" w:rsidSect="00D00284">
      <w:headerReference w:type="even" r:id="rId13"/>
      <w:headerReference w:type="default" r:id="rId14"/>
      <w:footerReference w:type="even" r:id="rId15"/>
      <w:footerReference w:type="default" r:id="rId16"/>
      <w:footerReference w:type="first" r:id="rId17"/>
      <w:pgSz w:w="12240" w:h="15840" w:code="1"/>
      <w:pgMar w:top="530" w:right="1440" w:bottom="45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05741" w14:textId="77777777" w:rsidR="00437243" w:rsidRDefault="00437243" w:rsidP="004A504B">
      <w:r>
        <w:separator/>
      </w:r>
    </w:p>
  </w:endnote>
  <w:endnote w:type="continuationSeparator" w:id="0">
    <w:p w14:paraId="769E8990" w14:textId="77777777" w:rsidR="00437243" w:rsidRDefault="0043724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0854633"/>
      <w:docPartObj>
        <w:docPartGallery w:val="Page Numbers (Bottom of Page)"/>
        <w:docPartUnique/>
      </w:docPartObj>
    </w:sdtPr>
    <w:sdtEndPr>
      <w:rPr>
        <w:noProof/>
      </w:rPr>
    </w:sdtEndPr>
    <w:sdtContent>
      <w:p w14:paraId="2408C63D" w14:textId="0A9201FB" w:rsidR="00D00284" w:rsidRDefault="00D002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E3E635" w14:textId="77777777" w:rsidR="00D00284" w:rsidRDefault="00D002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2595256"/>
      <w:docPartObj>
        <w:docPartGallery w:val="Page Numbers (Bottom of Page)"/>
        <w:docPartUnique/>
      </w:docPartObj>
    </w:sdtPr>
    <w:sdtEndPr>
      <w:rPr>
        <w:noProof/>
      </w:rPr>
    </w:sdtEndPr>
    <w:sdtContent>
      <w:p w14:paraId="78DB852B" w14:textId="67055F12" w:rsidR="00D00284" w:rsidRDefault="00D002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640C10" w14:textId="77777777" w:rsidR="00D00284" w:rsidRDefault="00D002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529A5" w14:textId="77777777" w:rsidR="00D47476" w:rsidRDefault="00D47476" w:rsidP="00D47476">
    <w:pPr>
      <w:pBdr>
        <w:top w:val="single" w:sz="4" w:space="1" w:color="auto"/>
        <w:left w:val="single" w:sz="4" w:space="4" w:color="auto"/>
        <w:bottom w:val="single" w:sz="4" w:space="1" w:color="auto"/>
        <w:right w:val="single" w:sz="4" w:space="4" w:color="auto"/>
      </w:pBdr>
      <w:jc w:val="center"/>
      <w:rPr>
        <w:sz w:val="18"/>
        <w:szCs w:val="18"/>
      </w:rPr>
    </w:pPr>
    <w:r>
      <w:rPr>
        <w:sz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rPr>
      <w:t>los mismos</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47D68" w14:textId="77777777" w:rsidR="00437243" w:rsidRDefault="00437243" w:rsidP="004A504B">
      <w:r>
        <w:separator/>
      </w:r>
    </w:p>
  </w:footnote>
  <w:footnote w:type="continuationSeparator" w:id="0">
    <w:p w14:paraId="60010391" w14:textId="77777777" w:rsidR="00437243" w:rsidRDefault="00437243" w:rsidP="004A504B">
      <w:r>
        <w:continuationSeparator/>
      </w:r>
    </w:p>
  </w:footnote>
  <w:footnote w:id="1">
    <w:p w14:paraId="6427E7CF" w14:textId="64B1494D" w:rsidR="008B1688" w:rsidRPr="00B60240" w:rsidRDefault="008B1688" w:rsidP="008B1688">
      <w:pPr>
        <w:pStyle w:val="FootnoteText"/>
      </w:pPr>
      <w:r>
        <w:rPr>
          <w:rStyle w:val="FootnoteReference"/>
        </w:rPr>
        <w:footnoteRef/>
      </w:r>
      <w:r>
        <w:t xml:space="preserve"> UNEP/OzL.Pro/ExCom/93/1</w:t>
      </w:r>
    </w:p>
  </w:footnote>
  <w:footnote w:id="2">
    <w:p w14:paraId="04942D3E" w14:textId="77777777" w:rsidR="00CB3FF8" w:rsidRPr="004B5029" w:rsidRDefault="00CB3FF8" w:rsidP="00CB3FF8">
      <w:pPr>
        <w:pStyle w:val="FootnoteText"/>
      </w:pPr>
      <w:r>
        <w:rPr>
          <w:rStyle w:val="FootnoteReference"/>
        </w:rPr>
        <w:footnoteRef/>
      </w:r>
      <w:r>
        <w:t xml:space="preserve"> El Comité Ejecutivo pidió que la explicación de la metodología y los supuestos utilizados por el Tesorero se pusieran a disposición en la intranet (decisión 40/2 b) i)). Este registro de los supuestos y la metodología, publicado por primera vez en el informe del Tesorero UNEP/OzL.Pro/ExCom/39/3/Rev.1, sigue estando disponible para su consulta por los miembros del Comité Ejecutivo en el área restringida de la página web del Fondo Multilateral.</w:t>
      </w:r>
    </w:p>
  </w:footnote>
  <w:footnote w:id="3">
    <w:p w14:paraId="33109AE7" w14:textId="5C972F3D" w:rsidR="00822450" w:rsidRPr="00822450" w:rsidRDefault="00822450" w:rsidP="002D492C">
      <w:pPr>
        <w:autoSpaceDE w:val="0"/>
        <w:autoSpaceDN w:val="0"/>
        <w:adjustRightInd w:val="0"/>
      </w:pPr>
      <w:r>
        <w:rPr>
          <w:rStyle w:val="FootnoteReference"/>
        </w:rPr>
        <w:footnoteRef/>
      </w:r>
      <w:r>
        <w:t xml:space="preserve"> </w:t>
      </w:r>
      <w:r>
        <w:rPr>
          <w:rFonts w:ascii="TimesNewRomanPSMT" w:hAnsi="TimesNewRomanPSMT"/>
          <w:sz w:val="20"/>
        </w:rPr>
        <w:t xml:space="preserve">Las Partes solicitaron al Tesorero prorrogar el FERM hasta el período 2021–2023 (decisión </w:t>
      </w:r>
      <w:proofErr w:type="gramStart"/>
      <w:r>
        <w:rPr>
          <w:rFonts w:ascii="TimesNewRomanPSMT" w:hAnsi="TimesNewRomanPSMT"/>
          <w:sz w:val="20"/>
        </w:rPr>
        <w:t>Ex.V</w:t>
      </w:r>
      <w:proofErr w:type="gramEnd"/>
      <w:r>
        <w:rPr>
          <w:rFonts w:ascii="TimesNewRomanPSMT" w:hAnsi="TimesNewRomanPSMT"/>
          <w:sz w:val="20"/>
        </w:rPr>
        <w:t>/2). 27 países que no están al amparo del Artículo 5 optaron por utilizar el FERM.</w:t>
      </w:r>
    </w:p>
  </w:footnote>
  <w:footnote w:id="4">
    <w:p w14:paraId="325BFACE" w14:textId="6EE39F7D" w:rsidR="00F065B6" w:rsidRDefault="00F065B6" w:rsidP="004E6CBB">
      <w:pPr>
        <w:autoSpaceDE w:val="0"/>
        <w:autoSpaceDN w:val="0"/>
        <w:adjustRightInd w:val="0"/>
      </w:pPr>
      <w:r>
        <w:rPr>
          <w:sz w:val="20"/>
          <w:szCs w:val="20"/>
          <w:vertAlign w:val="superscript"/>
        </w:rPr>
        <w:footnoteRef/>
      </w:r>
      <w:r>
        <w:rPr>
          <w:sz w:val="20"/>
        </w:rPr>
        <w:t xml:space="preserve"> La Quinta Reunión Extraordinaria de las Partes decidió "tomar nota de que después de 2023 se utilizarían 246 millones de $EUA de los fondos remanentes adeudados al Fondo Multilateral durante el trienio 2018–2020 para apoyar la aplicación del Protocolo de Montreal";</w:t>
      </w:r>
    </w:p>
  </w:footnote>
  <w:footnote w:id="5">
    <w:p w14:paraId="466BD32D" w14:textId="5E6BAFD9" w:rsidR="004E69F2" w:rsidRPr="00BD736C" w:rsidRDefault="004E69F2" w:rsidP="0055678F">
      <w:pPr>
        <w:pStyle w:val="FootnoteText"/>
      </w:pPr>
      <w:r>
        <w:rPr>
          <w:rStyle w:val="FootnoteReference"/>
        </w:rPr>
        <w:footnoteRef/>
      </w:r>
      <w:r>
        <w:t xml:space="preserve"> En respuesta a la decisión 41/2, se podrá disponer de la lista de contribuciones pendientes para ciertos países con economías en transición si se solicita.</w:t>
      </w:r>
    </w:p>
  </w:footnote>
  <w:footnote w:id="6">
    <w:p w14:paraId="3260F70C" w14:textId="59CAA956" w:rsidR="00562ABF" w:rsidRPr="00336257" w:rsidRDefault="00562ABF">
      <w:pPr>
        <w:pStyle w:val="FootnoteText"/>
      </w:pPr>
      <w:r>
        <w:rPr>
          <w:rStyle w:val="FootnoteReference"/>
        </w:rPr>
        <w:footnoteRef/>
      </w:r>
      <w:r>
        <w:t xml:space="preserve"> El Tesorero, en coordinación con la sede de las Naciones Unidas, facilitó medios y cuentas bancarias alternativos para las contribuciones de la Federación de Rusia.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85BC7" w14:textId="34295B9C" w:rsidR="00D00284" w:rsidRPr="009B0D30" w:rsidRDefault="00D00284" w:rsidP="00D00284">
    <w:pPr>
      <w:spacing w:after="240"/>
    </w:pPr>
    <w:r>
      <w:fldChar w:fldCharType="begin"/>
    </w:r>
    <w:r>
      <w:instrText xml:space="preserve"> DOCPROPERTY "Document number"  \* MERGEFORMAT </w:instrText>
    </w:r>
    <w:r>
      <w:fldChar w:fldCharType="separate"/>
    </w:r>
    <w:r w:rsidR="00947E64">
      <w:t>UNEP/</w:t>
    </w:r>
    <w:proofErr w:type="spellStart"/>
    <w:r w:rsidR="00947E64">
      <w:t>OzL.Pro</w:t>
    </w:r>
    <w:proofErr w:type="spellEnd"/>
    <w:r w:rsidR="00947E64">
      <w:t>/</w:t>
    </w:r>
    <w:proofErr w:type="spellStart"/>
    <w:r w:rsidR="00947E64">
      <w:t>ExCom</w:t>
    </w:r>
    <w:proofErr w:type="spellEnd"/>
    <w:r w:rsidR="00947E64">
      <w:t>/93/3</w:t>
    </w:r>
    <w:r>
      <w:fldChar w:fldCharType="end"/>
    </w:r>
  </w:p>
  <w:p w14:paraId="02C7D775" w14:textId="77777777" w:rsidR="007D229F" w:rsidRDefault="007D22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C5C87" w14:textId="4A14210A" w:rsidR="00D00284" w:rsidRPr="009B0D30" w:rsidRDefault="00D00284" w:rsidP="00D00284">
    <w:pPr>
      <w:jc w:val="right"/>
    </w:pPr>
    <w:r>
      <w:fldChar w:fldCharType="begin"/>
    </w:r>
    <w:r>
      <w:instrText xml:space="preserve"> DOCPROPERTY "Document number"  \* MERGEFORMAT </w:instrText>
    </w:r>
    <w:r>
      <w:fldChar w:fldCharType="separate"/>
    </w:r>
    <w:r w:rsidR="00947E64">
      <w:t>UNEP/</w:t>
    </w:r>
    <w:proofErr w:type="spellStart"/>
    <w:r w:rsidR="00947E64">
      <w:t>OzL.Pro</w:t>
    </w:r>
    <w:proofErr w:type="spellEnd"/>
    <w:r w:rsidR="00947E64">
      <w:t>/</w:t>
    </w:r>
    <w:proofErr w:type="spellStart"/>
    <w:r w:rsidR="00947E64">
      <w:t>ExCom</w:t>
    </w:r>
    <w:proofErr w:type="spellEnd"/>
    <w:r w:rsidR="00947E64">
      <w:t>/93/3</w:t>
    </w:r>
    <w:r>
      <w:fldChar w:fldCharType="end"/>
    </w:r>
  </w:p>
  <w:p w14:paraId="44784BF5" w14:textId="77777777" w:rsidR="00A53BE2" w:rsidRDefault="00A53BE2" w:rsidP="008B2B6F">
    <w:pPr>
      <w:pStyle w:val="Header"/>
      <w:jc w:val="right"/>
    </w:pPr>
  </w:p>
  <w:p w14:paraId="604BED06" w14:textId="77777777" w:rsidR="00A53BE2" w:rsidRDefault="00A53BE2" w:rsidP="008B2B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ACA0C80"/>
    <w:lvl w:ilvl="0">
      <w:start w:val="1"/>
      <w:numFmt w:val="decimal"/>
      <w:pStyle w:val="Heading1"/>
      <w:lvlText w:val="%1."/>
      <w:lvlJc w:val="left"/>
      <w:pPr>
        <w:tabs>
          <w:tab w:val="num" w:pos="0"/>
        </w:tabs>
        <w:ind w:left="0" w:firstLine="0"/>
      </w:pPr>
      <w:rPr>
        <w:rFonts w:ascii="Times New Roman" w:hAnsi="Times New Roman" w:cs="Times New Roman" w:hint="default"/>
        <w:sz w:val="22"/>
        <w:szCs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3DB1E76"/>
    <w:multiLevelType w:val="hybridMultilevel"/>
    <w:tmpl w:val="2C10CE98"/>
    <w:lvl w:ilvl="0" w:tplc="054A5EE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31563405">
    <w:abstractNumId w:val="10"/>
  </w:num>
  <w:num w:numId="2" w16cid:durableId="1345666252">
    <w:abstractNumId w:val="10"/>
  </w:num>
  <w:num w:numId="3" w16cid:durableId="995256291">
    <w:abstractNumId w:val="10"/>
  </w:num>
  <w:num w:numId="4" w16cid:durableId="796601873">
    <w:abstractNumId w:val="10"/>
  </w:num>
  <w:num w:numId="5" w16cid:durableId="789014541">
    <w:abstractNumId w:val="10"/>
  </w:num>
  <w:num w:numId="6" w16cid:durableId="385572202">
    <w:abstractNumId w:val="9"/>
  </w:num>
  <w:num w:numId="7" w16cid:durableId="649291194">
    <w:abstractNumId w:val="7"/>
  </w:num>
  <w:num w:numId="8" w16cid:durableId="1387337157">
    <w:abstractNumId w:val="6"/>
  </w:num>
  <w:num w:numId="9" w16cid:durableId="1057709007">
    <w:abstractNumId w:val="5"/>
  </w:num>
  <w:num w:numId="10" w16cid:durableId="1844395621">
    <w:abstractNumId w:val="4"/>
  </w:num>
  <w:num w:numId="11" w16cid:durableId="765350708">
    <w:abstractNumId w:val="8"/>
  </w:num>
  <w:num w:numId="12" w16cid:durableId="840466301">
    <w:abstractNumId w:val="3"/>
  </w:num>
  <w:num w:numId="13" w16cid:durableId="265386602">
    <w:abstractNumId w:val="2"/>
  </w:num>
  <w:num w:numId="14" w16cid:durableId="1251499386">
    <w:abstractNumId w:val="1"/>
  </w:num>
  <w:num w:numId="15" w16cid:durableId="1204444055">
    <w:abstractNumId w:val="0"/>
  </w:num>
  <w:num w:numId="16" w16cid:durableId="1200507889">
    <w:abstractNumId w:val="11"/>
  </w:num>
  <w:num w:numId="17" w16cid:durableId="274214260">
    <w:abstractNumId w:val="13"/>
  </w:num>
  <w:num w:numId="18" w16cid:durableId="122505992">
    <w:abstractNumId w:val="15"/>
  </w:num>
  <w:num w:numId="19" w16cid:durableId="1701197088">
    <w:abstractNumId w:val="17"/>
  </w:num>
  <w:num w:numId="20" w16cid:durableId="1781757265">
    <w:abstractNumId w:val="12"/>
  </w:num>
  <w:num w:numId="21" w16cid:durableId="1095247905">
    <w:abstractNumId w:val="14"/>
  </w:num>
  <w:num w:numId="22" w16cid:durableId="979727552">
    <w:abstractNumId w:val="16"/>
  </w:num>
  <w:num w:numId="23" w16cid:durableId="162013883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5404A"/>
    <w:rsid w:val="00000FED"/>
    <w:rsid w:val="0000434E"/>
    <w:rsid w:val="00011176"/>
    <w:rsid w:val="00021036"/>
    <w:rsid w:val="000211A9"/>
    <w:rsid w:val="00021238"/>
    <w:rsid w:val="00022EC9"/>
    <w:rsid w:val="0002513D"/>
    <w:rsid w:val="00025382"/>
    <w:rsid w:val="00031260"/>
    <w:rsid w:val="00031FEB"/>
    <w:rsid w:val="00034D70"/>
    <w:rsid w:val="00036453"/>
    <w:rsid w:val="0003681A"/>
    <w:rsid w:val="000372B7"/>
    <w:rsid w:val="00045B05"/>
    <w:rsid w:val="000461E7"/>
    <w:rsid w:val="00047C28"/>
    <w:rsid w:val="00050F6E"/>
    <w:rsid w:val="00052EB4"/>
    <w:rsid w:val="00053EEF"/>
    <w:rsid w:val="00054C97"/>
    <w:rsid w:val="00061EC2"/>
    <w:rsid w:val="0006355F"/>
    <w:rsid w:val="00066AC2"/>
    <w:rsid w:val="00066CE8"/>
    <w:rsid w:val="0007542A"/>
    <w:rsid w:val="000761DA"/>
    <w:rsid w:val="00080ED0"/>
    <w:rsid w:val="00081759"/>
    <w:rsid w:val="000851FA"/>
    <w:rsid w:val="00085B8F"/>
    <w:rsid w:val="00090481"/>
    <w:rsid w:val="000A3074"/>
    <w:rsid w:val="000A3826"/>
    <w:rsid w:val="000A41C4"/>
    <w:rsid w:val="000A62F7"/>
    <w:rsid w:val="000A6C26"/>
    <w:rsid w:val="000A7D62"/>
    <w:rsid w:val="000B04E7"/>
    <w:rsid w:val="000B64FC"/>
    <w:rsid w:val="000C0898"/>
    <w:rsid w:val="000C3B90"/>
    <w:rsid w:val="000D4FE7"/>
    <w:rsid w:val="000D52A4"/>
    <w:rsid w:val="000D638D"/>
    <w:rsid w:val="000D7120"/>
    <w:rsid w:val="000E07BC"/>
    <w:rsid w:val="000E7E06"/>
    <w:rsid w:val="000F10F9"/>
    <w:rsid w:val="000F1CD4"/>
    <w:rsid w:val="000F307E"/>
    <w:rsid w:val="000F319C"/>
    <w:rsid w:val="000F4103"/>
    <w:rsid w:val="000F528E"/>
    <w:rsid w:val="000F70A7"/>
    <w:rsid w:val="001074AB"/>
    <w:rsid w:val="00113CCA"/>
    <w:rsid w:val="00117E5C"/>
    <w:rsid w:val="0012184C"/>
    <w:rsid w:val="00122EB5"/>
    <w:rsid w:val="00122F25"/>
    <w:rsid w:val="00135980"/>
    <w:rsid w:val="00135DAA"/>
    <w:rsid w:val="0013786F"/>
    <w:rsid w:val="00140EA2"/>
    <w:rsid w:val="00142D07"/>
    <w:rsid w:val="00153C64"/>
    <w:rsid w:val="00153E52"/>
    <w:rsid w:val="001617BD"/>
    <w:rsid w:val="00164719"/>
    <w:rsid w:val="00165363"/>
    <w:rsid w:val="00166FC4"/>
    <w:rsid w:val="00167042"/>
    <w:rsid w:val="001677AC"/>
    <w:rsid w:val="00175F3B"/>
    <w:rsid w:val="001761C6"/>
    <w:rsid w:val="001762B6"/>
    <w:rsid w:val="001804EA"/>
    <w:rsid w:val="001816E2"/>
    <w:rsid w:val="00185EFF"/>
    <w:rsid w:val="00190A61"/>
    <w:rsid w:val="00193DA4"/>
    <w:rsid w:val="001A2215"/>
    <w:rsid w:val="001A3342"/>
    <w:rsid w:val="001A3E3D"/>
    <w:rsid w:val="001A7049"/>
    <w:rsid w:val="001A7C27"/>
    <w:rsid w:val="001B1E40"/>
    <w:rsid w:val="001B4098"/>
    <w:rsid w:val="001C764E"/>
    <w:rsid w:val="001D031B"/>
    <w:rsid w:val="001E1052"/>
    <w:rsid w:val="001E21B1"/>
    <w:rsid w:val="001E2F93"/>
    <w:rsid w:val="001E4554"/>
    <w:rsid w:val="001E61E5"/>
    <w:rsid w:val="001F0105"/>
    <w:rsid w:val="001F2159"/>
    <w:rsid w:val="001F53FD"/>
    <w:rsid w:val="001F6A5A"/>
    <w:rsid w:val="00203093"/>
    <w:rsid w:val="00210B8B"/>
    <w:rsid w:val="00214863"/>
    <w:rsid w:val="002156B4"/>
    <w:rsid w:val="00224FCD"/>
    <w:rsid w:val="00226F80"/>
    <w:rsid w:val="002270C5"/>
    <w:rsid w:val="00230B98"/>
    <w:rsid w:val="00233749"/>
    <w:rsid w:val="002377B1"/>
    <w:rsid w:val="002407C4"/>
    <w:rsid w:val="00241B22"/>
    <w:rsid w:val="00242578"/>
    <w:rsid w:val="002426A0"/>
    <w:rsid w:val="00243843"/>
    <w:rsid w:val="00253222"/>
    <w:rsid w:val="0026017B"/>
    <w:rsid w:val="00261C13"/>
    <w:rsid w:val="00262847"/>
    <w:rsid w:val="00281BB2"/>
    <w:rsid w:val="002822A3"/>
    <w:rsid w:val="0028518B"/>
    <w:rsid w:val="002869FA"/>
    <w:rsid w:val="00287D2C"/>
    <w:rsid w:val="00296E7A"/>
    <w:rsid w:val="002A03C3"/>
    <w:rsid w:val="002A7E87"/>
    <w:rsid w:val="002B254E"/>
    <w:rsid w:val="002B4A18"/>
    <w:rsid w:val="002B5AC4"/>
    <w:rsid w:val="002B72E9"/>
    <w:rsid w:val="002B7CBD"/>
    <w:rsid w:val="002C55D7"/>
    <w:rsid w:val="002C6AEB"/>
    <w:rsid w:val="002C75BF"/>
    <w:rsid w:val="002C7998"/>
    <w:rsid w:val="002D27B2"/>
    <w:rsid w:val="002D3397"/>
    <w:rsid w:val="002D3FAA"/>
    <w:rsid w:val="002D492C"/>
    <w:rsid w:val="002E1783"/>
    <w:rsid w:val="002F1E53"/>
    <w:rsid w:val="002F2CAA"/>
    <w:rsid w:val="0030052C"/>
    <w:rsid w:val="00306711"/>
    <w:rsid w:val="00325108"/>
    <w:rsid w:val="00326848"/>
    <w:rsid w:val="003275EC"/>
    <w:rsid w:val="003306E1"/>
    <w:rsid w:val="003320E4"/>
    <w:rsid w:val="00332866"/>
    <w:rsid w:val="0033525D"/>
    <w:rsid w:val="00336257"/>
    <w:rsid w:val="003414F3"/>
    <w:rsid w:val="00341788"/>
    <w:rsid w:val="00347456"/>
    <w:rsid w:val="00355829"/>
    <w:rsid w:val="0035613E"/>
    <w:rsid w:val="00363EE9"/>
    <w:rsid w:val="00376128"/>
    <w:rsid w:val="0037742E"/>
    <w:rsid w:val="00377D56"/>
    <w:rsid w:val="0038245A"/>
    <w:rsid w:val="003836D0"/>
    <w:rsid w:val="003840E6"/>
    <w:rsid w:val="00385CFC"/>
    <w:rsid w:val="00392015"/>
    <w:rsid w:val="0039337A"/>
    <w:rsid w:val="00394CB4"/>
    <w:rsid w:val="003A3189"/>
    <w:rsid w:val="003A3CA7"/>
    <w:rsid w:val="003B33BD"/>
    <w:rsid w:val="003B3A53"/>
    <w:rsid w:val="003B569D"/>
    <w:rsid w:val="003B68A2"/>
    <w:rsid w:val="003C285B"/>
    <w:rsid w:val="003C356A"/>
    <w:rsid w:val="003C3C0E"/>
    <w:rsid w:val="003C3F9B"/>
    <w:rsid w:val="003D42A6"/>
    <w:rsid w:val="003D4F21"/>
    <w:rsid w:val="003D4FAC"/>
    <w:rsid w:val="003D6B03"/>
    <w:rsid w:val="003E1B3B"/>
    <w:rsid w:val="003E1EB3"/>
    <w:rsid w:val="003E736D"/>
    <w:rsid w:val="003E7906"/>
    <w:rsid w:val="003F16F7"/>
    <w:rsid w:val="003F29E5"/>
    <w:rsid w:val="003F3C50"/>
    <w:rsid w:val="003F44BB"/>
    <w:rsid w:val="00406202"/>
    <w:rsid w:val="00406A6A"/>
    <w:rsid w:val="00406B22"/>
    <w:rsid w:val="0040734D"/>
    <w:rsid w:val="0041480F"/>
    <w:rsid w:val="004176C6"/>
    <w:rsid w:val="00423424"/>
    <w:rsid w:val="00430DC4"/>
    <w:rsid w:val="0043146F"/>
    <w:rsid w:val="004328A7"/>
    <w:rsid w:val="00434C74"/>
    <w:rsid w:val="00437243"/>
    <w:rsid w:val="00437F09"/>
    <w:rsid w:val="004461D5"/>
    <w:rsid w:val="00453386"/>
    <w:rsid w:val="004539C9"/>
    <w:rsid w:val="00456EB4"/>
    <w:rsid w:val="00457827"/>
    <w:rsid w:val="0046365D"/>
    <w:rsid w:val="00464FFA"/>
    <w:rsid w:val="004718F3"/>
    <w:rsid w:val="00471D11"/>
    <w:rsid w:val="00474A7A"/>
    <w:rsid w:val="00475040"/>
    <w:rsid w:val="004820A5"/>
    <w:rsid w:val="00483DBA"/>
    <w:rsid w:val="00493B7E"/>
    <w:rsid w:val="00493D40"/>
    <w:rsid w:val="00493EE3"/>
    <w:rsid w:val="004967B6"/>
    <w:rsid w:val="004A3408"/>
    <w:rsid w:val="004A504B"/>
    <w:rsid w:val="004A6911"/>
    <w:rsid w:val="004B0DEC"/>
    <w:rsid w:val="004B54E0"/>
    <w:rsid w:val="004B7384"/>
    <w:rsid w:val="004B78FB"/>
    <w:rsid w:val="004C4269"/>
    <w:rsid w:val="004C6BD1"/>
    <w:rsid w:val="004C75A5"/>
    <w:rsid w:val="004D29D1"/>
    <w:rsid w:val="004D6236"/>
    <w:rsid w:val="004D7510"/>
    <w:rsid w:val="004D7F90"/>
    <w:rsid w:val="004E0B4A"/>
    <w:rsid w:val="004E29AB"/>
    <w:rsid w:val="004E4DBB"/>
    <w:rsid w:val="004E4E41"/>
    <w:rsid w:val="004E69F2"/>
    <w:rsid w:val="004E6CBB"/>
    <w:rsid w:val="004E73DB"/>
    <w:rsid w:val="004E7F9C"/>
    <w:rsid w:val="004F3493"/>
    <w:rsid w:val="004F5143"/>
    <w:rsid w:val="00502A2A"/>
    <w:rsid w:val="005030AC"/>
    <w:rsid w:val="00512B09"/>
    <w:rsid w:val="0051337F"/>
    <w:rsid w:val="00521D1C"/>
    <w:rsid w:val="005220ED"/>
    <w:rsid w:val="00533796"/>
    <w:rsid w:val="00533C65"/>
    <w:rsid w:val="00537343"/>
    <w:rsid w:val="00543102"/>
    <w:rsid w:val="005438A3"/>
    <w:rsid w:val="00546901"/>
    <w:rsid w:val="00546914"/>
    <w:rsid w:val="00547B99"/>
    <w:rsid w:val="005511FD"/>
    <w:rsid w:val="005542A7"/>
    <w:rsid w:val="00555D75"/>
    <w:rsid w:val="0055678F"/>
    <w:rsid w:val="00560634"/>
    <w:rsid w:val="00560DF0"/>
    <w:rsid w:val="00560EAC"/>
    <w:rsid w:val="00562ABF"/>
    <w:rsid w:val="0056759C"/>
    <w:rsid w:val="00575EED"/>
    <w:rsid w:val="00583A29"/>
    <w:rsid w:val="005840A6"/>
    <w:rsid w:val="00591EB1"/>
    <w:rsid w:val="0059513E"/>
    <w:rsid w:val="005A13D2"/>
    <w:rsid w:val="005A3C61"/>
    <w:rsid w:val="005A6AA4"/>
    <w:rsid w:val="005A6D9F"/>
    <w:rsid w:val="005B48FF"/>
    <w:rsid w:val="005B5B19"/>
    <w:rsid w:val="005C1E32"/>
    <w:rsid w:val="005C5171"/>
    <w:rsid w:val="005D34D2"/>
    <w:rsid w:val="005D363F"/>
    <w:rsid w:val="005D5F9E"/>
    <w:rsid w:val="005D60CA"/>
    <w:rsid w:val="005E0129"/>
    <w:rsid w:val="005F2E28"/>
    <w:rsid w:val="00604C15"/>
    <w:rsid w:val="00612301"/>
    <w:rsid w:val="006158D5"/>
    <w:rsid w:val="006244F1"/>
    <w:rsid w:val="00625D83"/>
    <w:rsid w:val="006277CF"/>
    <w:rsid w:val="006329BB"/>
    <w:rsid w:val="00632E04"/>
    <w:rsid w:val="00634570"/>
    <w:rsid w:val="00640383"/>
    <w:rsid w:val="006541A1"/>
    <w:rsid w:val="00655A0B"/>
    <w:rsid w:val="00655AE5"/>
    <w:rsid w:val="006600A7"/>
    <w:rsid w:val="006623E7"/>
    <w:rsid w:val="00662B80"/>
    <w:rsid w:val="00664A0E"/>
    <w:rsid w:val="00670ADD"/>
    <w:rsid w:val="00670F6C"/>
    <w:rsid w:val="00673C68"/>
    <w:rsid w:val="00675E0E"/>
    <w:rsid w:val="00676E58"/>
    <w:rsid w:val="00680FF2"/>
    <w:rsid w:val="00683990"/>
    <w:rsid w:val="006852C7"/>
    <w:rsid w:val="006852CE"/>
    <w:rsid w:val="00692D14"/>
    <w:rsid w:val="006A46C9"/>
    <w:rsid w:val="006B115D"/>
    <w:rsid w:val="006B21CB"/>
    <w:rsid w:val="006B3A2C"/>
    <w:rsid w:val="006B65C7"/>
    <w:rsid w:val="006C1311"/>
    <w:rsid w:val="006C1727"/>
    <w:rsid w:val="006C32FD"/>
    <w:rsid w:val="006C39CE"/>
    <w:rsid w:val="006D0FCC"/>
    <w:rsid w:val="006D21F5"/>
    <w:rsid w:val="006D3089"/>
    <w:rsid w:val="006D65FD"/>
    <w:rsid w:val="006E126D"/>
    <w:rsid w:val="006E1FC3"/>
    <w:rsid w:val="006F236A"/>
    <w:rsid w:val="00704CE9"/>
    <w:rsid w:val="0070616B"/>
    <w:rsid w:val="00706295"/>
    <w:rsid w:val="00706FDA"/>
    <w:rsid w:val="00711F9A"/>
    <w:rsid w:val="00712B73"/>
    <w:rsid w:val="00713810"/>
    <w:rsid w:val="007303A5"/>
    <w:rsid w:val="00730B3E"/>
    <w:rsid w:val="0073420B"/>
    <w:rsid w:val="00736367"/>
    <w:rsid w:val="00737C8E"/>
    <w:rsid w:val="00743BD6"/>
    <w:rsid w:val="00746DFC"/>
    <w:rsid w:val="0074760E"/>
    <w:rsid w:val="00754ABA"/>
    <w:rsid w:val="00764A26"/>
    <w:rsid w:val="00782B0D"/>
    <w:rsid w:val="007A1546"/>
    <w:rsid w:val="007A228C"/>
    <w:rsid w:val="007A368E"/>
    <w:rsid w:val="007A47E1"/>
    <w:rsid w:val="007A5868"/>
    <w:rsid w:val="007B04CE"/>
    <w:rsid w:val="007B52BE"/>
    <w:rsid w:val="007B5DB7"/>
    <w:rsid w:val="007B6871"/>
    <w:rsid w:val="007B7A2F"/>
    <w:rsid w:val="007C3D33"/>
    <w:rsid w:val="007C63C3"/>
    <w:rsid w:val="007D0C25"/>
    <w:rsid w:val="007D229F"/>
    <w:rsid w:val="007D294A"/>
    <w:rsid w:val="007D47D2"/>
    <w:rsid w:val="007D6817"/>
    <w:rsid w:val="007D6EC0"/>
    <w:rsid w:val="007D7E1D"/>
    <w:rsid w:val="007E1FD5"/>
    <w:rsid w:val="007F7C3F"/>
    <w:rsid w:val="00801715"/>
    <w:rsid w:val="00804BAF"/>
    <w:rsid w:val="00806000"/>
    <w:rsid w:val="008163BE"/>
    <w:rsid w:val="00822450"/>
    <w:rsid w:val="0082370B"/>
    <w:rsid w:val="00823A94"/>
    <w:rsid w:val="00825EE0"/>
    <w:rsid w:val="0083055B"/>
    <w:rsid w:val="00830E96"/>
    <w:rsid w:val="00831968"/>
    <w:rsid w:val="00831979"/>
    <w:rsid w:val="008345C5"/>
    <w:rsid w:val="00835E07"/>
    <w:rsid w:val="00840C1C"/>
    <w:rsid w:val="00841462"/>
    <w:rsid w:val="008434C2"/>
    <w:rsid w:val="00851352"/>
    <w:rsid w:val="00857077"/>
    <w:rsid w:val="00863230"/>
    <w:rsid w:val="00865BD0"/>
    <w:rsid w:val="008717D8"/>
    <w:rsid w:val="0087215C"/>
    <w:rsid w:val="00875D25"/>
    <w:rsid w:val="008760C9"/>
    <w:rsid w:val="00880E35"/>
    <w:rsid w:val="008834AF"/>
    <w:rsid w:val="008875FE"/>
    <w:rsid w:val="00887F8E"/>
    <w:rsid w:val="00894AEE"/>
    <w:rsid w:val="00894FED"/>
    <w:rsid w:val="00896234"/>
    <w:rsid w:val="00897E43"/>
    <w:rsid w:val="008B1688"/>
    <w:rsid w:val="008B2B6F"/>
    <w:rsid w:val="008B4547"/>
    <w:rsid w:val="008B4F50"/>
    <w:rsid w:val="008B6D57"/>
    <w:rsid w:val="008C081B"/>
    <w:rsid w:val="008C222B"/>
    <w:rsid w:val="008C4B2F"/>
    <w:rsid w:val="008C5738"/>
    <w:rsid w:val="008C72C0"/>
    <w:rsid w:val="008C7EAD"/>
    <w:rsid w:val="008D0CFE"/>
    <w:rsid w:val="008D6152"/>
    <w:rsid w:val="008E3AE2"/>
    <w:rsid w:val="008E63B5"/>
    <w:rsid w:val="008E7BA9"/>
    <w:rsid w:val="008F0F81"/>
    <w:rsid w:val="008F27BF"/>
    <w:rsid w:val="009124D5"/>
    <w:rsid w:val="009142EC"/>
    <w:rsid w:val="009154C3"/>
    <w:rsid w:val="009162C5"/>
    <w:rsid w:val="00923540"/>
    <w:rsid w:val="00926767"/>
    <w:rsid w:val="00934AC5"/>
    <w:rsid w:val="009361D5"/>
    <w:rsid w:val="00937904"/>
    <w:rsid w:val="00937B59"/>
    <w:rsid w:val="009422A9"/>
    <w:rsid w:val="009428A4"/>
    <w:rsid w:val="009437D8"/>
    <w:rsid w:val="00943C9E"/>
    <w:rsid w:val="00944354"/>
    <w:rsid w:val="00946458"/>
    <w:rsid w:val="009474BC"/>
    <w:rsid w:val="00947E64"/>
    <w:rsid w:val="00950907"/>
    <w:rsid w:val="009557D5"/>
    <w:rsid w:val="00962ED5"/>
    <w:rsid w:val="009659F4"/>
    <w:rsid w:val="00970D60"/>
    <w:rsid w:val="00971695"/>
    <w:rsid w:val="00971774"/>
    <w:rsid w:val="00983FD9"/>
    <w:rsid w:val="0099390E"/>
    <w:rsid w:val="009960E5"/>
    <w:rsid w:val="009A61F2"/>
    <w:rsid w:val="009A7ADC"/>
    <w:rsid w:val="009B0D30"/>
    <w:rsid w:val="009B3B6A"/>
    <w:rsid w:val="009B71D3"/>
    <w:rsid w:val="009C19B7"/>
    <w:rsid w:val="009C54EA"/>
    <w:rsid w:val="009C5ABB"/>
    <w:rsid w:val="009D0DAA"/>
    <w:rsid w:val="009D2682"/>
    <w:rsid w:val="009D7C51"/>
    <w:rsid w:val="009E107D"/>
    <w:rsid w:val="009E196C"/>
    <w:rsid w:val="009F36BF"/>
    <w:rsid w:val="009F3CA2"/>
    <w:rsid w:val="009F48D0"/>
    <w:rsid w:val="00A045F9"/>
    <w:rsid w:val="00A06CCD"/>
    <w:rsid w:val="00A111B6"/>
    <w:rsid w:val="00A14859"/>
    <w:rsid w:val="00A14EC5"/>
    <w:rsid w:val="00A25F8E"/>
    <w:rsid w:val="00A26D27"/>
    <w:rsid w:val="00A270F5"/>
    <w:rsid w:val="00A34E7D"/>
    <w:rsid w:val="00A376EE"/>
    <w:rsid w:val="00A423FD"/>
    <w:rsid w:val="00A42A99"/>
    <w:rsid w:val="00A50653"/>
    <w:rsid w:val="00A5151A"/>
    <w:rsid w:val="00A53BE2"/>
    <w:rsid w:val="00A55D11"/>
    <w:rsid w:val="00A57E0A"/>
    <w:rsid w:val="00A74CBD"/>
    <w:rsid w:val="00A823F6"/>
    <w:rsid w:val="00A8719E"/>
    <w:rsid w:val="00AA0A89"/>
    <w:rsid w:val="00AA1F53"/>
    <w:rsid w:val="00AA32CE"/>
    <w:rsid w:val="00AA4A6C"/>
    <w:rsid w:val="00AA5368"/>
    <w:rsid w:val="00AA6429"/>
    <w:rsid w:val="00AA650B"/>
    <w:rsid w:val="00AA6852"/>
    <w:rsid w:val="00AA6A95"/>
    <w:rsid w:val="00AA7C8B"/>
    <w:rsid w:val="00AB66DC"/>
    <w:rsid w:val="00AC01AA"/>
    <w:rsid w:val="00AC1127"/>
    <w:rsid w:val="00AC4F72"/>
    <w:rsid w:val="00AC549E"/>
    <w:rsid w:val="00AC629F"/>
    <w:rsid w:val="00AD244D"/>
    <w:rsid w:val="00AD2C08"/>
    <w:rsid w:val="00AD2CDC"/>
    <w:rsid w:val="00AD79FC"/>
    <w:rsid w:val="00AE3195"/>
    <w:rsid w:val="00AE3FC7"/>
    <w:rsid w:val="00AF1C2B"/>
    <w:rsid w:val="00AF741A"/>
    <w:rsid w:val="00B01ADB"/>
    <w:rsid w:val="00B02634"/>
    <w:rsid w:val="00B04161"/>
    <w:rsid w:val="00B056F9"/>
    <w:rsid w:val="00B073EE"/>
    <w:rsid w:val="00B11E3D"/>
    <w:rsid w:val="00B11E6E"/>
    <w:rsid w:val="00B124FF"/>
    <w:rsid w:val="00B14D2C"/>
    <w:rsid w:val="00B16690"/>
    <w:rsid w:val="00B16E07"/>
    <w:rsid w:val="00B17E82"/>
    <w:rsid w:val="00B22A2F"/>
    <w:rsid w:val="00B36E15"/>
    <w:rsid w:val="00B4575A"/>
    <w:rsid w:val="00B463FE"/>
    <w:rsid w:val="00B51B1F"/>
    <w:rsid w:val="00B556A3"/>
    <w:rsid w:val="00B575BA"/>
    <w:rsid w:val="00B71388"/>
    <w:rsid w:val="00B71608"/>
    <w:rsid w:val="00B76429"/>
    <w:rsid w:val="00B83AF8"/>
    <w:rsid w:val="00B84C02"/>
    <w:rsid w:val="00B86471"/>
    <w:rsid w:val="00B86D32"/>
    <w:rsid w:val="00B91E1D"/>
    <w:rsid w:val="00B956D4"/>
    <w:rsid w:val="00B97446"/>
    <w:rsid w:val="00B97F62"/>
    <w:rsid w:val="00BA5CFD"/>
    <w:rsid w:val="00BA7432"/>
    <w:rsid w:val="00BB2764"/>
    <w:rsid w:val="00BC1AA0"/>
    <w:rsid w:val="00BC2495"/>
    <w:rsid w:val="00BC314A"/>
    <w:rsid w:val="00BC38DC"/>
    <w:rsid w:val="00BC7EB9"/>
    <w:rsid w:val="00BD03BA"/>
    <w:rsid w:val="00BD2643"/>
    <w:rsid w:val="00BD4322"/>
    <w:rsid w:val="00BD56B1"/>
    <w:rsid w:val="00BD6558"/>
    <w:rsid w:val="00BD736C"/>
    <w:rsid w:val="00BD76FA"/>
    <w:rsid w:val="00BE4C2A"/>
    <w:rsid w:val="00BE5728"/>
    <w:rsid w:val="00BE6E09"/>
    <w:rsid w:val="00BF2AD7"/>
    <w:rsid w:val="00BF2F76"/>
    <w:rsid w:val="00BF3022"/>
    <w:rsid w:val="00BF3214"/>
    <w:rsid w:val="00BF5573"/>
    <w:rsid w:val="00C04181"/>
    <w:rsid w:val="00C12204"/>
    <w:rsid w:val="00C1335D"/>
    <w:rsid w:val="00C142FD"/>
    <w:rsid w:val="00C15867"/>
    <w:rsid w:val="00C1782B"/>
    <w:rsid w:val="00C20DAB"/>
    <w:rsid w:val="00C2296D"/>
    <w:rsid w:val="00C23155"/>
    <w:rsid w:val="00C24139"/>
    <w:rsid w:val="00C352D8"/>
    <w:rsid w:val="00C362C8"/>
    <w:rsid w:val="00C40C41"/>
    <w:rsid w:val="00C45885"/>
    <w:rsid w:val="00C45F95"/>
    <w:rsid w:val="00C47050"/>
    <w:rsid w:val="00C50F22"/>
    <w:rsid w:val="00C54C5F"/>
    <w:rsid w:val="00C57971"/>
    <w:rsid w:val="00C65BD7"/>
    <w:rsid w:val="00C7254B"/>
    <w:rsid w:val="00C76BA4"/>
    <w:rsid w:val="00C81B0F"/>
    <w:rsid w:val="00C83A48"/>
    <w:rsid w:val="00C85865"/>
    <w:rsid w:val="00C85E85"/>
    <w:rsid w:val="00C871CD"/>
    <w:rsid w:val="00C90842"/>
    <w:rsid w:val="00C93EC1"/>
    <w:rsid w:val="00CA1AEA"/>
    <w:rsid w:val="00CA2EAE"/>
    <w:rsid w:val="00CA36CF"/>
    <w:rsid w:val="00CA4AC1"/>
    <w:rsid w:val="00CB0316"/>
    <w:rsid w:val="00CB0B11"/>
    <w:rsid w:val="00CB3FF8"/>
    <w:rsid w:val="00CB426A"/>
    <w:rsid w:val="00CB5354"/>
    <w:rsid w:val="00CC2C6E"/>
    <w:rsid w:val="00CC2CF9"/>
    <w:rsid w:val="00CC3C9E"/>
    <w:rsid w:val="00CC6A14"/>
    <w:rsid w:val="00CC70A3"/>
    <w:rsid w:val="00CC7E81"/>
    <w:rsid w:val="00CD2DE0"/>
    <w:rsid w:val="00CD4442"/>
    <w:rsid w:val="00CD53C3"/>
    <w:rsid w:val="00CD574E"/>
    <w:rsid w:val="00CD7556"/>
    <w:rsid w:val="00CE04B5"/>
    <w:rsid w:val="00CE4A0F"/>
    <w:rsid w:val="00CE4C22"/>
    <w:rsid w:val="00CE76E5"/>
    <w:rsid w:val="00CF2A07"/>
    <w:rsid w:val="00CF41EC"/>
    <w:rsid w:val="00CF5723"/>
    <w:rsid w:val="00CF5D04"/>
    <w:rsid w:val="00CF6C2B"/>
    <w:rsid w:val="00D00284"/>
    <w:rsid w:val="00D04972"/>
    <w:rsid w:val="00D04DE4"/>
    <w:rsid w:val="00D063F1"/>
    <w:rsid w:val="00D118F2"/>
    <w:rsid w:val="00D135A1"/>
    <w:rsid w:val="00D14F22"/>
    <w:rsid w:val="00D20E51"/>
    <w:rsid w:val="00D4741C"/>
    <w:rsid w:val="00D47476"/>
    <w:rsid w:val="00D57918"/>
    <w:rsid w:val="00D61F2E"/>
    <w:rsid w:val="00D6338F"/>
    <w:rsid w:val="00D73DC6"/>
    <w:rsid w:val="00D74C1A"/>
    <w:rsid w:val="00D754C1"/>
    <w:rsid w:val="00D77393"/>
    <w:rsid w:val="00D77A35"/>
    <w:rsid w:val="00D81B3E"/>
    <w:rsid w:val="00D842E2"/>
    <w:rsid w:val="00D90AA4"/>
    <w:rsid w:val="00D90C70"/>
    <w:rsid w:val="00D90E49"/>
    <w:rsid w:val="00D946EA"/>
    <w:rsid w:val="00D96ADE"/>
    <w:rsid w:val="00DA06FE"/>
    <w:rsid w:val="00DA0CE2"/>
    <w:rsid w:val="00DA210C"/>
    <w:rsid w:val="00DA3CE9"/>
    <w:rsid w:val="00DA44DF"/>
    <w:rsid w:val="00DB782B"/>
    <w:rsid w:val="00DC41F5"/>
    <w:rsid w:val="00DC6A10"/>
    <w:rsid w:val="00DD2E18"/>
    <w:rsid w:val="00DE1889"/>
    <w:rsid w:val="00DE57CF"/>
    <w:rsid w:val="00DE657E"/>
    <w:rsid w:val="00DE7391"/>
    <w:rsid w:val="00DE7510"/>
    <w:rsid w:val="00DF22D9"/>
    <w:rsid w:val="00DF4704"/>
    <w:rsid w:val="00E024AA"/>
    <w:rsid w:val="00E1152C"/>
    <w:rsid w:val="00E13EF4"/>
    <w:rsid w:val="00E15C77"/>
    <w:rsid w:val="00E23EBB"/>
    <w:rsid w:val="00E2409D"/>
    <w:rsid w:val="00E250F1"/>
    <w:rsid w:val="00E3550D"/>
    <w:rsid w:val="00E37749"/>
    <w:rsid w:val="00E413FD"/>
    <w:rsid w:val="00E42D6B"/>
    <w:rsid w:val="00E45C76"/>
    <w:rsid w:val="00E47A57"/>
    <w:rsid w:val="00E508B7"/>
    <w:rsid w:val="00E52838"/>
    <w:rsid w:val="00E60C9A"/>
    <w:rsid w:val="00E614E0"/>
    <w:rsid w:val="00E61A4D"/>
    <w:rsid w:val="00E73F7F"/>
    <w:rsid w:val="00E753E8"/>
    <w:rsid w:val="00E76DE3"/>
    <w:rsid w:val="00E8334A"/>
    <w:rsid w:val="00E85409"/>
    <w:rsid w:val="00E8598A"/>
    <w:rsid w:val="00E92AF6"/>
    <w:rsid w:val="00E9308D"/>
    <w:rsid w:val="00E97FFC"/>
    <w:rsid w:val="00EA2511"/>
    <w:rsid w:val="00EA2CA2"/>
    <w:rsid w:val="00EA3674"/>
    <w:rsid w:val="00EA429F"/>
    <w:rsid w:val="00EA4F9E"/>
    <w:rsid w:val="00EA5797"/>
    <w:rsid w:val="00EA63CA"/>
    <w:rsid w:val="00EA6D3B"/>
    <w:rsid w:val="00EB00AD"/>
    <w:rsid w:val="00EB136C"/>
    <w:rsid w:val="00EB480E"/>
    <w:rsid w:val="00EB5EC6"/>
    <w:rsid w:val="00EB7FC9"/>
    <w:rsid w:val="00EC36F3"/>
    <w:rsid w:val="00ED1A48"/>
    <w:rsid w:val="00ED27E8"/>
    <w:rsid w:val="00ED7137"/>
    <w:rsid w:val="00EE4CE1"/>
    <w:rsid w:val="00EE57F8"/>
    <w:rsid w:val="00EF06EA"/>
    <w:rsid w:val="00EF731E"/>
    <w:rsid w:val="00F00B6E"/>
    <w:rsid w:val="00F03E9D"/>
    <w:rsid w:val="00F06373"/>
    <w:rsid w:val="00F065B6"/>
    <w:rsid w:val="00F126E4"/>
    <w:rsid w:val="00F15505"/>
    <w:rsid w:val="00F21088"/>
    <w:rsid w:val="00F304EE"/>
    <w:rsid w:val="00F322B2"/>
    <w:rsid w:val="00F327E7"/>
    <w:rsid w:val="00F35746"/>
    <w:rsid w:val="00F35D8A"/>
    <w:rsid w:val="00F40862"/>
    <w:rsid w:val="00F447C7"/>
    <w:rsid w:val="00F459B4"/>
    <w:rsid w:val="00F5211B"/>
    <w:rsid w:val="00F5404A"/>
    <w:rsid w:val="00F554A9"/>
    <w:rsid w:val="00F56612"/>
    <w:rsid w:val="00F605E2"/>
    <w:rsid w:val="00F61CFE"/>
    <w:rsid w:val="00F63C85"/>
    <w:rsid w:val="00F66FB0"/>
    <w:rsid w:val="00F716FD"/>
    <w:rsid w:val="00F80355"/>
    <w:rsid w:val="00F87C43"/>
    <w:rsid w:val="00F91F07"/>
    <w:rsid w:val="00F94FBD"/>
    <w:rsid w:val="00FA214C"/>
    <w:rsid w:val="00FA2414"/>
    <w:rsid w:val="00FA3FCE"/>
    <w:rsid w:val="00FA5722"/>
    <w:rsid w:val="00FB0771"/>
    <w:rsid w:val="00FB0C81"/>
    <w:rsid w:val="00FB2D83"/>
    <w:rsid w:val="00FC2200"/>
    <w:rsid w:val="00FC2540"/>
    <w:rsid w:val="00FC5B35"/>
    <w:rsid w:val="00FD4368"/>
    <w:rsid w:val="00FD43AD"/>
    <w:rsid w:val="00FD79CE"/>
    <w:rsid w:val="00FF0204"/>
    <w:rsid w:val="00FF0946"/>
    <w:rsid w:val="00FF1BE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27575D"/>
  <w15:docId w15:val="{5F8721C8-2AA8-4F0D-A0E9-F772EA9F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2"/>
      </w:numPr>
      <w:spacing w:after="240"/>
      <w:outlineLvl w:val="2"/>
    </w:pPr>
  </w:style>
  <w:style w:type="paragraph" w:styleId="Heading4">
    <w:name w:val="heading 4"/>
    <w:aliases w:val="Heading 1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6E126D"/>
    <w:rPr>
      <w:lang w:val="es-ES"/>
    </w:rPr>
  </w:style>
  <w:style w:type="character" w:styleId="FootnoteReference">
    <w:name w:val="footnote reference"/>
    <w:aliases w:val="16 Point,Superscript 6 Point,Footnote text,Footnote Text1,Footnote Text2,ftref,Superscript 6 Point + 11 pt,BVI fnr,BVI fnr Car Car,BVI fnr Car,BVI fnr Car Car Car Car"/>
    <w:basedOn w:val="DefaultParagraphFont"/>
    <w:unhideWhenUsed/>
    <w:rsid w:val="006E126D"/>
    <w:rPr>
      <w:vertAlign w:val="superscript"/>
    </w:rPr>
  </w:style>
  <w:style w:type="paragraph" w:styleId="Revision">
    <w:name w:val="Revision"/>
    <w:hidden/>
    <w:uiPriority w:val="99"/>
    <w:semiHidden/>
    <w:rsid w:val="00673C68"/>
    <w:rPr>
      <w:sz w:val="22"/>
      <w:szCs w:val="22"/>
    </w:rPr>
  </w:style>
  <w:style w:type="paragraph" w:styleId="NormalWeb">
    <w:name w:val="Normal (Web)"/>
    <w:basedOn w:val="Normal"/>
    <w:uiPriority w:val="99"/>
    <w:unhideWhenUsed/>
    <w:rsid w:val="00437F09"/>
    <w:pPr>
      <w:spacing w:before="100" w:beforeAutospacing="1" w:after="100" w:afterAutospacing="1"/>
      <w:jc w:val="left"/>
    </w:pPr>
    <w:rPr>
      <w:rFonts w:eastAsiaTheme="minorHAnsi"/>
      <w:sz w:val="24"/>
      <w:szCs w:val="24"/>
      <w:lang w:eastAsia="en-GB"/>
    </w:rPr>
  </w:style>
  <w:style w:type="character" w:customStyle="1" w:styleId="FooterChar">
    <w:name w:val="Footer Char"/>
    <w:basedOn w:val="DefaultParagraphFont"/>
    <w:link w:val="Footer"/>
    <w:uiPriority w:val="99"/>
    <w:rsid w:val="00D0028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7217">
      <w:bodyDiv w:val="1"/>
      <w:marLeft w:val="0"/>
      <w:marRight w:val="0"/>
      <w:marTop w:val="0"/>
      <w:marBottom w:val="0"/>
      <w:divBdr>
        <w:top w:val="none" w:sz="0" w:space="0" w:color="auto"/>
        <w:left w:val="none" w:sz="0" w:space="0" w:color="auto"/>
        <w:bottom w:val="none" w:sz="0" w:space="0" w:color="auto"/>
        <w:right w:val="none" w:sz="0" w:space="0" w:color="auto"/>
      </w:divBdr>
    </w:div>
    <w:div w:id="206067618">
      <w:bodyDiv w:val="1"/>
      <w:marLeft w:val="0"/>
      <w:marRight w:val="0"/>
      <w:marTop w:val="0"/>
      <w:marBottom w:val="0"/>
      <w:divBdr>
        <w:top w:val="none" w:sz="0" w:space="0" w:color="auto"/>
        <w:left w:val="none" w:sz="0" w:space="0" w:color="auto"/>
        <w:bottom w:val="none" w:sz="0" w:space="0" w:color="auto"/>
        <w:right w:val="none" w:sz="0" w:space="0" w:color="auto"/>
      </w:divBdr>
    </w:div>
    <w:div w:id="22553641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5798124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97975189">
      <w:bodyDiv w:val="1"/>
      <w:marLeft w:val="0"/>
      <w:marRight w:val="0"/>
      <w:marTop w:val="0"/>
      <w:marBottom w:val="0"/>
      <w:divBdr>
        <w:top w:val="none" w:sz="0" w:space="0" w:color="auto"/>
        <w:left w:val="none" w:sz="0" w:space="0" w:color="auto"/>
        <w:bottom w:val="none" w:sz="0" w:space="0" w:color="auto"/>
        <w:right w:val="none" w:sz="0" w:space="0" w:color="auto"/>
      </w:divBdr>
    </w:div>
    <w:div w:id="16492841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Document_x0020_Number xmlns="6b03d5a6-c642-4a08-93b6-965b66bfac2e">UNEP/OzL.Pro/ExCom/93/3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559CDBCB7EBAF4EA80C07C6D27AF1F1" ma:contentTypeVersion="5" ma:contentTypeDescription="Create a new document." ma:contentTypeScope="" ma:versionID="9ab563b6a2c527cb06b925cd0be01db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AC27A6F-CD49-4019-AD76-12209FEFD7F5}"/>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E569E336-92E3-457E-8F7D-5294D1ABE332}"/>
</file>

<file path=customXml/itemProps4.xml><?xml version="1.0" encoding="utf-8"?>
<ds:datastoreItem xmlns:ds="http://schemas.openxmlformats.org/officeDocument/2006/customXml" ds:itemID="{4B683AAF-AB92-4367-867C-EB44CA93D4C8}"/>
</file>

<file path=docProps/app.xml><?xml version="1.0" encoding="utf-8"?>
<Properties xmlns="http://schemas.openxmlformats.org/officeDocument/2006/extended-properties" xmlns:vt="http://schemas.openxmlformats.org/officeDocument/2006/docPropsVTypes">
  <Template>Normal</Template>
  <TotalTime>4</TotalTime>
  <Pages>3</Pages>
  <Words>744</Words>
  <Characters>4242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Situación de las contribuciones y los desembolsos Informe del Tesorero</vt:lpstr>
    </vt:vector>
  </TitlesOfParts>
  <Company>UNMFS</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Situación de las contribuciones y los desembolsos                                      .</dc:title>
  <dc:creator>Anthoula Dounavis</dc:creator>
  <cp:lastModifiedBy>HBE</cp:lastModifiedBy>
  <cp:revision>7</cp:revision>
  <cp:lastPrinted>2023-11-10T12:49:00Z</cp:lastPrinted>
  <dcterms:created xsi:type="dcterms:W3CDTF">2023-12-06T02:15:00Z</dcterms:created>
  <dcterms:modified xsi:type="dcterms:W3CDTF">2023-12-06T15:03:00Z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vt:lpwstr>
  </property>
  <property fmtid="{D5CDD505-2E9C-101B-9397-08002B2CF9AE}" pid="3" name="Revision date">
    <vt:lpwstr>11/21/2023</vt:lpwstr>
  </property>
  <property fmtid="{D5CDD505-2E9C-101B-9397-08002B2CF9AE}" pid="4" name="ContentTypeId">
    <vt:lpwstr>0x0101001559CDBCB7EBAF4EA80C07C6D27AF1F1</vt:lpwstr>
  </property>
  <property fmtid="{D5CDD505-2E9C-101B-9397-08002B2CF9AE}" pid="5" name="MediaServiceImageTags">
    <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SharedWithUsers">
    <vt:lpwstr/>
  </property>
  <property fmtid="{D5CDD505-2E9C-101B-9397-08002B2CF9AE}" pid="13"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