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05" w:type="dxa"/>
        <w:tblInd w:w="-432" w:type="dxa"/>
        <w:tblLayout w:type="fixed"/>
        <w:tblLook w:val="04A0" w:firstRow="1" w:lastRow="0" w:firstColumn="1" w:lastColumn="0" w:noHBand="0" w:noVBand="1"/>
      </w:tblPr>
      <w:tblGrid>
        <w:gridCol w:w="2070"/>
        <w:gridCol w:w="4991"/>
        <w:gridCol w:w="3544"/>
      </w:tblGrid>
      <w:tr w:rsidR="003142C6" w:rsidRPr="00075237" w14:paraId="7710F78F" w14:textId="77777777" w:rsidTr="003142C6">
        <w:trPr>
          <w:trHeight w:val="720"/>
        </w:trPr>
        <w:tc>
          <w:tcPr>
            <w:tcW w:w="7061" w:type="dxa"/>
            <w:gridSpan w:val="2"/>
            <w:tcBorders>
              <w:top w:val="nil"/>
              <w:left w:val="nil"/>
              <w:bottom w:val="single" w:sz="18" w:space="0" w:color="auto"/>
              <w:right w:val="nil"/>
            </w:tcBorders>
            <w:hideMark/>
          </w:tcPr>
          <w:p w14:paraId="50403019" w14:textId="77777777" w:rsidR="003142C6" w:rsidRPr="00075237" w:rsidRDefault="003142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075237">
              <w:rPr>
                <w:rFonts w:ascii="Univers" w:hAnsi="Univers"/>
                <w:b/>
                <w:sz w:val="28"/>
                <w:szCs w:val="28"/>
              </w:rPr>
              <w:t>NATIONS</w:t>
            </w:r>
          </w:p>
          <w:p w14:paraId="49820699" w14:textId="77777777" w:rsidR="003142C6" w:rsidRPr="00075237" w:rsidRDefault="003142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75237">
              <w:rPr>
                <w:rFonts w:ascii="Univers" w:hAnsi="Univers"/>
                <w:b/>
                <w:sz w:val="28"/>
                <w:szCs w:val="28"/>
              </w:rPr>
              <w:t xml:space="preserve">UNIES </w:t>
            </w:r>
          </w:p>
        </w:tc>
        <w:tc>
          <w:tcPr>
            <w:tcW w:w="3544" w:type="dxa"/>
            <w:tcBorders>
              <w:top w:val="nil"/>
              <w:left w:val="nil"/>
              <w:bottom w:val="single" w:sz="18" w:space="0" w:color="auto"/>
              <w:right w:val="nil"/>
            </w:tcBorders>
            <w:hideMark/>
          </w:tcPr>
          <w:p w14:paraId="1C43FB6B" w14:textId="77777777" w:rsidR="003142C6" w:rsidRPr="00075237" w:rsidRDefault="003142C6">
            <w:pPr>
              <w:tabs>
                <w:tab w:val="left" w:pos="3010"/>
              </w:tabs>
              <w:jc w:val="center"/>
              <w:rPr>
                <w:sz w:val="52"/>
                <w:szCs w:val="52"/>
              </w:rPr>
            </w:pPr>
            <w:r w:rsidRPr="00075237">
              <w:rPr>
                <w:rFonts w:ascii="Univers Bold" w:hAnsi="Univers Bold"/>
                <w:b/>
                <w:sz w:val="72"/>
              </w:rPr>
              <w:t xml:space="preserve">          EP</w:t>
            </w:r>
          </w:p>
        </w:tc>
      </w:tr>
      <w:tr w:rsidR="003142C6" w:rsidRPr="00075237" w14:paraId="3824054D" w14:textId="77777777" w:rsidTr="003142C6">
        <w:trPr>
          <w:trHeight w:val="2718"/>
        </w:trPr>
        <w:tc>
          <w:tcPr>
            <w:tcW w:w="2070" w:type="dxa"/>
            <w:tcBorders>
              <w:top w:val="nil"/>
              <w:left w:val="nil"/>
              <w:bottom w:val="single" w:sz="36" w:space="0" w:color="auto"/>
              <w:right w:val="nil"/>
            </w:tcBorders>
            <w:hideMark/>
          </w:tcPr>
          <w:p w14:paraId="60F611EC" w14:textId="77777777" w:rsidR="003142C6" w:rsidRPr="00075237" w:rsidRDefault="003142C6">
            <w:pPr>
              <w:spacing w:before="120"/>
            </w:pPr>
            <w:r w:rsidRPr="00075237">
              <w:rPr>
                <w:noProof/>
              </w:rPr>
              <w:drawing>
                <wp:anchor distT="0" distB="0" distL="114300" distR="114300" simplePos="0" relativeHeight="251659264" behindDoc="0" locked="0" layoutInCell="1" allowOverlap="1" wp14:anchorId="0FC87EEE" wp14:editId="19BA353F">
                  <wp:simplePos x="0" y="0"/>
                  <wp:positionH relativeFrom="column">
                    <wp:posOffset>97790</wp:posOffset>
                  </wp:positionH>
                  <wp:positionV relativeFrom="paragraph">
                    <wp:posOffset>920750</wp:posOffset>
                  </wp:positionV>
                  <wp:extent cx="749300" cy="660400"/>
                  <wp:effectExtent l="0" t="0" r="0" b="6350"/>
                  <wp:wrapNone/>
                  <wp:docPr id="20"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9300" cy="660400"/>
                          </a:xfrm>
                          <a:prstGeom prst="rect">
                            <a:avLst/>
                          </a:prstGeom>
                          <a:noFill/>
                        </pic:spPr>
                      </pic:pic>
                    </a:graphicData>
                  </a:graphic>
                  <wp14:sizeRelH relativeFrom="margin">
                    <wp14:pctWidth>0</wp14:pctWidth>
                  </wp14:sizeRelH>
                  <wp14:sizeRelV relativeFrom="margin">
                    <wp14:pctHeight>0</wp14:pctHeight>
                  </wp14:sizeRelV>
                </wp:anchor>
              </w:drawing>
            </w:r>
            <w:r w:rsidRPr="00075237">
              <w:rPr>
                <w:noProof/>
              </w:rPr>
              <w:drawing>
                <wp:anchor distT="0" distB="0" distL="114300" distR="114300" simplePos="0" relativeHeight="251660288" behindDoc="1" locked="0" layoutInCell="0" allowOverlap="1" wp14:anchorId="179981FD" wp14:editId="2EEB31FA">
                  <wp:simplePos x="0" y="0"/>
                  <wp:positionH relativeFrom="column">
                    <wp:posOffset>72390</wp:posOffset>
                  </wp:positionH>
                  <wp:positionV relativeFrom="paragraph">
                    <wp:posOffset>112395</wp:posOffset>
                  </wp:positionV>
                  <wp:extent cx="760730" cy="676275"/>
                  <wp:effectExtent l="0" t="0" r="1270" b="9525"/>
                  <wp:wrapNone/>
                  <wp:docPr id="21"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B1A7701" w14:textId="77777777" w:rsidR="003142C6" w:rsidRPr="00075237" w:rsidRDefault="003142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1544D43" w14:textId="77777777" w:rsidR="003142C6" w:rsidRPr="00075237" w:rsidRDefault="003142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75237">
              <w:rPr>
                <w:rFonts w:ascii="Univers" w:hAnsi="Univers"/>
                <w:b/>
                <w:sz w:val="32"/>
              </w:rPr>
              <w:t>Programme des</w:t>
            </w:r>
          </w:p>
          <w:p w14:paraId="3A24CC65" w14:textId="77777777" w:rsidR="003142C6" w:rsidRPr="00075237" w:rsidRDefault="003142C6">
            <w:pPr>
              <w:rPr>
                <w:rFonts w:ascii="Univers" w:hAnsi="Univers"/>
                <w:b/>
                <w:sz w:val="32"/>
              </w:rPr>
            </w:pPr>
            <w:r w:rsidRPr="00075237">
              <w:rPr>
                <w:rFonts w:ascii="Univers" w:hAnsi="Univers"/>
                <w:b/>
                <w:sz w:val="32"/>
              </w:rPr>
              <w:t>Nations Unies pour</w:t>
            </w:r>
          </w:p>
          <w:p w14:paraId="30C21C5A" w14:textId="77777777" w:rsidR="003142C6" w:rsidRPr="00075237" w:rsidRDefault="003142C6">
            <w:pPr>
              <w:rPr>
                <w:rFonts w:ascii="Univers" w:hAnsi="Univers"/>
                <w:b/>
                <w:sz w:val="32"/>
              </w:rPr>
            </w:pPr>
            <w:r w:rsidRPr="00075237">
              <w:rPr>
                <w:rFonts w:ascii="Univers" w:hAnsi="Univers"/>
                <w:b/>
                <w:sz w:val="32"/>
              </w:rPr>
              <w:t>l’environnement</w:t>
            </w:r>
          </w:p>
          <w:p w14:paraId="21C6847C" w14:textId="77777777" w:rsidR="003142C6" w:rsidRPr="00075237" w:rsidRDefault="003142C6">
            <w:pPr>
              <w:spacing w:before="720"/>
              <w:ind w:left="158"/>
            </w:pPr>
            <w:r w:rsidRPr="00075237">
              <w:t xml:space="preserve"> </w:t>
            </w:r>
          </w:p>
        </w:tc>
        <w:tc>
          <w:tcPr>
            <w:tcW w:w="3544" w:type="dxa"/>
            <w:tcBorders>
              <w:top w:val="nil"/>
              <w:left w:val="nil"/>
              <w:bottom w:val="single" w:sz="36" w:space="0" w:color="auto"/>
              <w:right w:val="nil"/>
            </w:tcBorders>
          </w:tcPr>
          <w:p w14:paraId="57D55014" w14:textId="77777777" w:rsidR="003142C6" w:rsidRPr="00075237" w:rsidRDefault="003142C6"/>
          <w:p w14:paraId="2D6DF099" w14:textId="77777777" w:rsidR="003142C6" w:rsidRPr="00075237" w:rsidRDefault="003142C6">
            <w:r w:rsidRPr="00075237">
              <w:t>Distr.</w:t>
            </w:r>
          </w:p>
          <w:p w14:paraId="6DB3F58C" w14:textId="77777777" w:rsidR="003142C6" w:rsidRPr="00075237" w:rsidRDefault="003142C6">
            <w:r w:rsidRPr="00075237">
              <w:t>GÉNÉRALE</w:t>
            </w:r>
          </w:p>
          <w:p w14:paraId="2BDFDF24" w14:textId="77777777" w:rsidR="003142C6" w:rsidRPr="00075237" w:rsidRDefault="003142C6"/>
          <w:p w14:paraId="4680357B" w14:textId="4AC0BDB3" w:rsidR="003142C6" w:rsidRPr="00075237" w:rsidRDefault="00000000">
            <w:fldSimple w:instr=" DOCPROPERTY &quot;Document number&quot;  \* MERGEFORMAT ">
              <w:r w:rsidR="00F16A30" w:rsidRPr="00075237">
                <w:t>UNEP/OzL.Pro/ExCom/94/9</w:t>
              </w:r>
            </w:fldSimple>
          </w:p>
          <w:p w14:paraId="3F907B83" w14:textId="6DA808B6" w:rsidR="003142C6" w:rsidRPr="00075237" w:rsidRDefault="003142C6">
            <w:r w:rsidRPr="00075237">
              <w:t>13 mai 2024</w:t>
            </w:r>
          </w:p>
          <w:p w14:paraId="24DF238A" w14:textId="77777777" w:rsidR="003142C6" w:rsidRPr="00075237" w:rsidRDefault="003142C6">
            <w:pPr>
              <w:rPr>
                <w:caps/>
              </w:rPr>
            </w:pPr>
            <w:r w:rsidRPr="00075237">
              <w:rPr>
                <w:caps/>
              </w:rPr>
              <w:br/>
              <w:t>FRANÇAIS</w:t>
            </w:r>
          </w:p>
          <w:p w14:paraId="1F631B88" w14:textId="77777777" w:rsidR="003142C6" w:rsidRPr="00075237" w:rsidRDefault="003142C6">
            <w:r w:rsidRPr="00075237">
              <w:t>ORIGINAL: ANGLAIS</w:t>
            </w:r>
          </w:p>
        </w:tc>
      </w:tr>
    </w:tbl>
    <w:p w14:paraId="778ACE8D" w14:textId="77777777" w:rsidR="003142C6" w:rsidRPr="00075237" w:rsidRDefault="003142C6" w:rsidP="003142C6">
      <w:pPr>
        <w:jc w:val="left"/>
      </w:pPr>
      <w:r w:rsidRPr="00075237">
        <w:t xml:space="preserve">COMITÉ EXÉCUTIF </w:t>
      </w:r>
      <w:r w:rsidRPr="00075237">
        <w:br/>
        <w:t xml:space="preserve">  DU FONDS MULTILATÉRAL AUX FINS </w:t>
      </w:r>
      <w:r w:rsidRPr="00075237">
        <w:br/>
        <w:t xml:space="preserve">  D’APPLICATION DU PROTOCOLE DE MONTRÉAL</w:t>
      </w:r>
      <w:r w:rsidRPr="00075237">
        <w:br/>
        <w:t>Quatre-vingt-quatorzième réunion</w:t>
      </w:r>
    </w:p>
    <w:p w14:paraId="2322F973" w14:textId="77777777" w:rsidR="003142C6" w:rsidRPr="00075237" w:rsidRDefault="003142C6" w:rsidP="003142C6">
      <w:pPr>
        <w:jc w:val="left"/>
      </w:pPr>
      <w:r w:rsidRPr="00075237">
        <w:t>Montréal, 27 – 31 mai 2024</w:t>
      </w:r>
    </w:p>
    <w:p w14:paraId="3CDEEA2E" w14:textId="1E83F570" w:rsidR="0079781A" w:rsidRPr="00075237" w:rsidRDefault="0079781A" w:rsidP="0079781A">
      <w:pPr>
        <w:jc w:val="left"/>
      </w:pPr>
      <w:r w:rsidRPr="00075237">
        <w:t>Point 7(a) de l’ordre du jour provisoire</w:t>
      </w:r>
      <w:r w:rsidRPr="00075237">
        <w:rPr>
          <w:rStyle w:val="FootnoteReference"/>
        </w:rPr>
        <w:footnoteReference w:id="1"/>
      </w:r>
    </w:p>
    <w:p w14:paraId="4ECAB60F" w14:textId="77777777" w:rsidR="00C15867" w:rsidRPr="00075237" w:rsidRDefault="00C15867" w:rsidP="00CA59FB">
      <w:pPr>
        <w:jc w:val="left"/>
      </w:pPr>
    </w:p>
    <w:p w14:paraId="022897FE" w14:textId="77777777" w:rsidR="001C3709" w:rsidRPr="00075237" w:rsidRDefault="001C3709" w:rsidP="00CA59FB">
      <w:pPr>
        <w:jc w:val="left"/>
      </w:pPr>
    </w:p>
    <w:p w14:paraId="1A3A2D79" w14:textId="77777777" w:rsidR="0079603B" w:rsidRPr="00075237" w:rsidRDefault="0079603B" w:rsidP="00CA59FB">
      <w:pPr>
        <w:jc w:val="left"/>
      </w:pPr>
    </w:p>
    <w:p w14:paraId="367EFC6A" w14:textId="4FED5D65" w:rsidR="00B65465" w:rsidRPr="00075237" w:rsidRDefault="003466AE" w:rsidP="0079603B">
      <w:pPr>
        <w:jc w:val="center"/>
        <w:rPr>
          <w:b/>
          <w:bCs/>
        </w:rPr>
      </w:pPr>
      <w:r w:rsidRPr="00075237">
        <w:rPr>
          <w:b/>
          <w:bCs/>
        </w:rPr>
        <w:t xml:space="preserve">RAPPORTS DE SITUATION ET RAPPORTS SUR LES PROJETS COMPORTANT DES EXIGENCES PARTICULIÈRES DE REMISE DE RAPPORTS </w:t>
      </w:r>
    </w:p>
    <w:p w14:paraId="5702E7A4" w14:textId="77777777" w:rsidR="001C3709" w:rsidRPr="00075237" w:rsidRDefault="001C3709" w:rsidP="00FA7379">
      <w:pPr>
        <w:pStyle w:val="sub-title"/>
        <w:keepNext/>
        <w:keepLines/>
        <w:spacing w:after="240"/>
        <w:ind w:left="720" w:hanging="720"/>
        <w:rPr>
          <w:bCs/>
          <w:noProof w:val="0"/>
          <w:sz w:val="24"/>
          <w:szCs w:val="24"/>
        </w:rPr>
      </w:pPr>
    </w:p>
    <w:p w14:paraId="5CA25AA4" w14:textId="7520458D" w:rsidR="00EA35D5" w:rsidRPr="00075237" w:rsidRDefault="00EA35D5" w:rsidP="006F20E9">
      <w:pPr>
        <w:pStyle w:val="Heading1"/>
        <w:tabs>
          <w:tab w:val="left" w:pos="720"/>
        </w:tabs>
      </w:pPr>
      <w:r w:rsidRPr="00075237">
        <w:t>Le présent document se compose de deux sections, soit i) projets présentant des retards de mise en œuvre et pour lesquels des rapports de situation spéciaux ont été demandés, et ii) projets comportant des exigences particulières de remise de rapports sans question en suspens. Les rapports sur ces projets, après l’examen du Secrétariat, ne comportent pas de question en suspens et ne nécessitent pas, par conséquent, que le Comité exécutif les examine individuellement.</w:t>
      </w:r>
    </w:p>
    <w:p w14:paraId="46351157" w14:textId="72192D07" w:rsidR="00FA7379" w:rsidRPr="00075237" w:rsidRDefault="00B65465" w:rsidP="00FA7379">
      <w:pPr>
        <w:pStyle w:val="sub-title"/>
        <w:keepNext/>
        <w:keepLines/>
        <w:spacing w:after="240"/>
        <w:ind w:left="720" w:hanging="720"/>
        <w:rPr>
          <w:bCs/>
          <w:noProof w:val="0"/>
          <w:sz w:val="24"/>
          <w:szCs w:val="24"/>
        </w:rPr>
      </w:pPr>
      <w:r w:rsidRPr="00075237">
        <w:rPr>
          <w:bCs/>
          <w:sz w:val="24"/>
          <w:szCs w:val="24"/>
        </w:rPr>
        <w:t>I.</w:t>
      </w:r>
      <w:r w:rsidRPr="00075237">
        <w:rPr>
          <w:bCs/>
          <w:sz w:val="24"/>
          <w:szCs w:val="24"/>
        </w:rPr>
        <w:tab/>
        <w:t xml:space="preserve">Projets présentant des retards de mise en œuvre et pour lesquels des rapports de situation spéciaux ont été demandés </w:t>
      </w:r>
    </w:p>
    <w:p w14:paraId="7CE70A12" w14:textId="2B9AA252" w:rsidR="0046677D" w:rsidRPr="00075237" w:rsidRDefault="00FA7379" w:rsidP="00FA7379">
      <w:pPr>
        <w:pStyle w:val="Heading1"/>
      </w:pPr>
      <w:r w:rsidRPr="00075237">
        <w:t>À la 93</w:t>
      </w:r>
      <w:r w:rsidRPr="00075237">
        <w:rPr>
          <w:vertAlign w:val="superscript"/>
        </w:rPr>
        <w:t>e</w:t>
      </w:r>
      <w:r w:rsidRPr="00075237">
        <w:t> réunion, le Comité exécutif a pris note du fait que les agences bilatérales et d’exécution devraient faire rapport, à la 94</w:t>
      </w:r>
      <w:r w:rsidRPr="00075237">
        <w:rPr>
          <w:vertAlign w:val="superscript"/>
        </w:rPr>
        <w:t>e</w:t>
      </w:r>
      <w:r w:rsidRPr="00075237">
        <w:t xml:space="preserve"> réunion, sur 105 projets </w:t>
      </w:r>
      <w:r w:rsidR="00994F0A" w:rsidRPr="00075237">
        <w:t>présentant</w:t>
      </w:r>
      <w:r w:rsidRPr="00075237">
        <w:t xml:space="preserve"> des retards de mise en œuvre et sur 16 projets en cours</w:t>
      </w:r>
      <w:r w:rsidRPr="00075237">
        <w:rPr>
          <w:rStyle w:val="FootnoteReference"/>
        </w:rPr>
        <w:footnoteReference w:id="2"/>
      </w:r>
      <w:r w:rsidRPr="00075237">
        <w:t xml:space="preserve"> ou tranches d’accords pluriannuels recommandés pour des rapports de situation supplémentaires (décision 93/11(c)). En conséquence, les agences bilatérales et d’exécution concernées ont présenté les rapports demandés à la 94</w:t>
      </w:r>
      <w:r w:rsidRPr="00075237">
        <w:rPr>
          <w:vertAlign w:val="superscript"/>
        </w:rPr>
        <w:t>e</w:t>
      </w:r>
      <w:r w:rsidRPr="00075237">
        <w:t xml:space="preserve"> réunion. Lors de l’examen des rapports, le Secrétariat s’est entretenu avec les agences bilatérales et d’exécution concernées et a constaté que plusieurs questions avaient été traitées de manière satisfaisante. Le tableau 1 présente un résumé des projets présentant des retards de mise en œuvre et des projets pour lesquels des rapports de situation supplémentaires sont recommandés, y compris leur niveau d’avancement, les recommandations du Secrétariat et les références aux annexes du présent document. </w:t>
      </w:r>
    </w:p>
    <w:p w14:paraId="7ECD78A7" w14:textId="6D90D3CD" w:rsidR="00FA7379" w:rsidRPr="00075237" w:rsidRDefault="0046677D" w:rsidP="0046677D">
      <w:pPr>
        <w:jc w:val="left"/>
      </w:pPr>
      <w:r w:rsidRPr="00075237">
        <w:br w:type="page"/>
      </w:r>
    </w:p>
    <w:p w14:paraId="467A6214" w14:textId="77777777" w:rsidR="00FA7379" w:rsidRPr="00075237" w:rsidRDefault="00FA7379" w:rsidP="00FA7379">
      <w:pPr>
        <w:pStyle w:val="a--"/>
        <w:suppressAutoHyphens w:val="0"/>
        <w:jc w:val="left"/>
        <w:rPr>
          <w:sz w:val="22"/>
          <w:szCs w:val="22"/>
        </w:rPr>
      </w:pPr>
      <w:r w:rsidRPr="00075237">
        <w:rPr>
          <w:sz w:val="22"/>
          <w:szCs w:val="22"/>
        </w:rPr>
        <w:lastRenderedPageBreak/>
        <w:t xml:space="preserve">Tableau 1. Résumé des projets présentant des retards de mise en œuvre et des rapports de situation supplémentaires </w:t>
      </w:r>
    </w:p>
    <w:tbl>
      <w:tblPr>
        <w:tblStyle w:val="TableGrid"/>
        <w:tblW w:w="5000" w:type="pct"/>
        <w:tblLook w:val="04A0" w:firstRow="1" w:lastRow="0" w:firstColumn="1" w:lastColumn="0" w:noHBand="0" w:noVBand="1"/>
      </w:tblPr>
      <w:tblGrid>
        <w:gridCol w:w="2839"/>
        <w:gridCol w:w="1264"/>
        <w:gridCol w:w="1047"/>
        <w:gridCol w:w="3119"/>
        <w:gridCol w:w="1081"/>
      </w:tblGrid>
      <w:tr w:rsidR="00FA7379" w:rsidRPr="00075237" w14:paraId="3E298D33" w14:textId="77777777" w:rsidTr="00FF47D2">
        <w:trPr>
          <w:trHeight w:val="224"/>
          <w:tblHeader/>
        </w:trPr>
        <w:tc>
          <w:tcPr>
            <w:tcW w:w="1518" w:type="pct"/>
            <w:shd w:val="clear" w:color="auto" w:fill="auto"/>
          </w:tcPr>
          <w:p w14:paraId="601177C0" w14:textId="77777777" w:rsidR="00FA7379" w:rsidRPr="00075237" w:rsidRDefault="00FA7379" w:rsidP="009D41E6">
            <w:pPr>
              <w:pStyle w:val="Heading1"/>
              <w:numPr>
                <w:ilvl w:val="0"/>
                <w:numId w:val="0"/>
              </w:numPr>
              <w:spacing w:after="0"/>
              <w:jc w:val="center"/>
              <w:rPr>
                <w:rFonts w:asciiTheme="majorBidi" w:hAnsiTheme="majorBidi" w:cstheme="majorBidi"/>
                <w:b/>
                <w:bCs/>
                <w:sz w:val="20"/>
                <w:szCs w:val="20"/>
              </w:rPr>
            </w:pPr>
            <w:r w:rsidRPr="00075237">
              <w:rPr>
                <w:rFonts w:asciiTheme="majorBidi" w:hAnsiTheme="majorBidi"/>
                <w:b/>
                <w:bCs/>
                <w:sz w:val="20"/>
                <w:szCs w:val="20"/>
              </w:rPr>
              <w:t>Niveau d’avancement</w:t>
            </w:r>
          </w:p>
        </w:tc>
        <w:tc>
          <w:tcPr>
            <w:tcW w:w="676" w:type="pct"/>
            <w:shd w:val="clear" w:color="auto" w:fill="auto"/>
          </w:tcPr>
          <w:p w14:paraId="192BDC77" w14:textId="77777777" w:rsidR="00FA7379" w:rsidRPr="00075237" w:rsidRDefault="00FA7379" w:rsidP="009D41E6">
            <w:pPr>
              <w:pStyle w:val="Heading1"/>
              <w:numPr>
                <w:ilvl w:val="0"/>
                <w:numId w:val="0"/>
              </w:numPr>
              <w:spacing w:after="0"/>
              <w:jc w:val="center"/>
              <w:rPr>
                <w:rFonts w:asciiTheme="majorBidi" w:hAnsiTheme="majorBidi" w:cstheme="majorBidi"/>
                <w:b/>
                <w:bCs/>
                <w:sz w:val="20"/>
                <w:szCs w:val="20"/>
              </w:rPr>
            </w:pPr>
            <w:r w:rsidRPr="00075237">
              <w:rPr>
                <w:rFonts w:asciiTheme="majorBidi" w:hAnsiTheme="majorBidi"/>
                <w:b/>
                <w:bCs/>
                <w:sz w:val="20"/>
                <w:szCs w:val="20"/>
              </w:rPr>
              <w:t>Nombre de projets</w:t>
            </w:r>
          </w:p>
        </w:tc>
        <w:tc>
          <w:tcPr>
            <w:tcW w:w="560" w:type="pct"/>
            <w:shd w:val="clear" w:color="auto" w:fill="auto"/>
          </w:tcPr>
          <w:p w14:paraId="42B5814B" w14:textId="77777777" w:rsidR="00FA7379" w:rsidRPr="00075237" w:rsidRDefault="00FA7379" w:rsidP="009D41E6">
            <w:pPr>
              <w:pStyle w:val="Heading1"/>
              <w:numPr>
                <w:ilvl w:val="0"/>
                <w:numId w:val="0"/>
              </w:numPr>
              <w:spacing w:after="0"/>
              <w:jc w:val="center"/>
              <w:rPr>
                <w:rFonts w:asciiTheme="majorBidi" w:hAnsiTheme="majorBidi" w:cstheme="majorBidi"/>
                <w:b/>
                <w:bCs/>
                <w:sz w:val="20"/>
                <w:szCs w:val="20"/>
              </w:rPr>
            </w:pPr>
            <w:r w:rsidRPr="00075237">
              <w:rPr>
                <w:rFonts w:asciiTheme="majorBidi" w:hAnsiTheme="majorBidi"/>
                <w:b/>
                <w:bCs/>
                <w:sz w:val="20"/>
                <w:szCs w:val="20"/>
              </w:rPr>
              <w:t>Décision</w:t>
            </w:r>
          </w:p>
        </w:tc>
        <w:tc>
          <w:tcPr>
            <w:tcW w:w="1668" w:type="pct"/>
            <w:shd w:val="clear" w:color="auto" w:fill="auto"/>
          </w:tcPr>
          <w:p w14:paraId="482DFFB3" w14:textId="77777777" w:rsidR="00FA7379" w:rsidRPr="00075237" w:rsidRDefault="00FA7379" w:rsidP="009D41E6">
            <w:pPr>
              <w:pStyle w:val="Heading1"/>
              <w:numPr>
                <w:ilvl w:val="0"/>
                <w:numId w:val="0"/>
              </w:numPr>
              <w:spacing w:after="0"/>
              <w:jc w:val="center"/>
              <w:rPr>
                <w:rFonts w:asciiTheme="majorBidi" w:hAnsiTheme="majorBidi" w:cstheme="majorBidi"/>
                <w:b/>
                <w:bCs/>
                <w:sz w:val="20"/>
                <w:szCs w:val="20"/>
              </w:rPr>
            </w:pPr>
            <w:r w:rsidRPr="00075237">
              <w:rPr>
                <w:rFonts w:asciiTheme="majorBidi" w:hAnsiTheme="majorBidi"/>
                <w:b/>
                <w:bCs/>
                <w:sz w:val="20"/>
                <w:szCs w:val="20"/>
              </w:rPr>
              <w:t>Recommandation</w:t>
            </w:r>
          </w:p>
        </w:tc>
        <w:tc>
          <w:tcPr>
            <w:tcW w:w="578" w:type="pct"/>
            <w:shd w:val="clear" w:color="auto" w:fill="auto"/>
          </w:tcPr>
          <w:p w14:paraId="27B74D9F" w14:textId="77777777" w:rsidR="00FA7379" w:rsidRPr="00075237" w:rsidRDefault="00FA7379" w:rsidP="009D41E6">
            <w:pPr>
              <w:pStyle w:val="Heading1"/>
              <w:numPr>
                <w:ilvl w:val="0"/>
                <w:numId w:val="0"/>
              </w:numPr>
              <w:spacing w:after="0"/>
              <w:jc w:val="center"/>
              <w:rPr>
                <w:rFonts w:asciiTheme="majorBidi" w:hAnsiTheme="majorBidi" w:cstheme="majorBidi"/>
                <w:b/>
                <w:bCs/>
                <w:sz w:val="20"/>
                <w:szCs w:val="20"/>
              </w:rPr>
            </w:pPr>
            <w:r w:rsidRPr="00075237">
              <w:rPr>
                <w:rFonts w:asciiTheme="majorBidi" w:hAnsiTheme="majorBidi"/>
                <w:b/>
                <w:bCs/>
                <w:sz w:val="20"/>
                <w:szCs w:val="20"/>
              </w:rPr>
              <w:t>Annexe</w:t>
            </w:r>
          </w:p>
        </w:tc>
      </w:tr>
      <w:tr w:rsidR="00FA7379" w:rsidRPr="00075237" w14:paraId="2C2FD4DB" w14:textId="77777777" w:rsidTr="009D41E6">
        <w:trPr>
          <w:trHeight w:val="54"/>
        </w:trPr>
        <w:tc>
          <w:tcPr>
            <w:tcW w:w="5000" w:type="pct"/>
            <w:gridSpan w:val="5"/>
            <w:shd w:val="clear" w:color="auto" w:fill="auto"/>
          </w:tcPr>
          <w:p w14:paraId="5B1ABF75" w14:textId="77777777" w:rsidR="00FA7379" w:rsidRPr="00075237" w:rsidRDefault="00FA7379" w:rsidP="009D41E6">
            <w:pPr>
              <w:pStyle w:val="Heading1"/>
              <w:numPr>
                <w:ilvl w:val="0"/>
                <w:numId w:val="0"/>
              </w:numPr>
              <w:spacing w:after="0"/>
              <w:rPr>
                <w:rFonts w:asciiTheme="majorBidi" w:hAnsiTheme="majorBidi" w:cstheme="majorBidi"/>
                <w:b/>
                <w:bCs/>
                <w:sz w:val="20"/>
                <w:szCs w:val="20"/>
              </w:rPr>
            </w:pPr>
            <w:r w:rsidRPr="00075237">
              <w:rPr>
                <w:rFonts w:asciiTheme="majorBidi" w:hAnsiTheme="majorBidi"/>
                <w:b/>
                <w:bCs/>
                <w:sz w:val="20"/>
                <w:szCs w:val="20"/>
              </w:rPr>
              <w:t>Retards de mise en œuvre</w:t>
            </w:r>
          </w:p>
        </w:tc>
      </w:tr>
      <w:tr w:rsidR="00FA7379" w:rsidRPr="00075237" w14:paraId="1F0112CE" w14:textId="77777777" w:rsidTr="009D41E6">
        <w:tc>
          <w:tcPr>
            <w:tcW w:w="1518" w:type="pct"/>
            <w:shd w:val="clear" w:color="auto" w:fill="auto"/>
          </w:tcPr>
          <w:p w14:paraId="420597DF" w14:textId="6BE00176" w:rsidR="00FA7379" w:rsidRPr="00075237" w:rsidRDefault="00FA7379" w:rsidP="009D41E6">
            <w:pPr>
              <w:pStyle w:val="Heading1"/>
              <w:numPr>
                <w:ilvl w:val="0"/>
                <w:numId w:val="0"/>
              </w:numPr>
              <w:spacing w:after="0"/>
              <w:rPr>
                <w:rFonts w:asciiTheme="majorBidi" w:hAnsiTheme="majorBidi" w:cstheme="majorBidi"/>
                <w:sz w:val="20"/>
                <w:szCs w:val="20"/>
              </w:rPr>
            </w:pPr>
            <w:r w:rsidRPr="00075237">
              <w:rPr>
                <w:rFonts w:asciiTheme="majorBidi" w:hAnsiTheme="majorBidi"/>
                <w:sz w:val="20"/>
                <w:szCs w:val="20"/>
              </w:rPr>
              <w:t>Avanc</w:t>
            </w:r>
            <w:r w:rsidR="00032041" w:rsidRPr="00075237">
              <w:rPr>
                <w:rFonts w:asciiTheme="majorBidi" w:hAnsiTheme="majorBidi"/>
                <w:sz w:val="20"/>
                <w:szCs w:val="20"/>
              </w:rPr>
              <w:t>ées</w:t>
            </w:r>
            <w:r w:rsidRPr="00075237">
              <w:rPr>
                <w:rFonts w:asciiTheme="majorBidi" w:hAnsiTheme="majorBidi"/>
                <w:sz w:val="20"/>
                <w:szCs w:val="20"/>
              </w:rPr>
              <w:t xml:space="preserve"> </w:t>
            </w:r>
          </w:p>
          <w:p w14:paraId="6BA01655" w14:textId="77777777" w:rsidR="00FA7379" w:rsidRPr="00075237" w:rsidRDefault="00FA7379" w:rsidP="009D41E6">
            <w:pPr>
              <w:pStyle w:val="Heading1"/>
              <w:numPr>
                <w:ilvl w:val="0"/>
                <w:numId w:val="0"/>
              </w:numPr>
              <w:spacing w:after="0"/>
              <w:ind w:right="-107"/>
              <w:jc w:val="left"/>
              <w:rPr>
                <w:rFonts w:asciiTheme="majorBidi" w:hAnsiTheme="majorBidi" w:cstheme="majorBidi"/>
                <w:sz w:val="20"/>
                <w:szCs w:val="20"/>
              </w:rPr>
            </w:pPr>
            <w:r w:rsidRPr="00075237">
              <w:rPr>
                <w:rFonts w:asciiTheme="majorBidi" w:hAnsiTheme="majorBidi"/>
                <w:sz w:val="20"/>
                <w:szCs w:val="20"/>
              </w:rPr>
              <w:t>(Projets individuels et accords pluriannuels)</w:t>
            </w:r>
          </w:p>
        </w:tc>
        <w:tc>
          <w:tcPr>
            <w:tcW w:w="676" w:type="pct"/>
            <w:shd w:val="clear" w:color="auto" w:fill="auto"/>
          </w:tcPr>
          <w:p w14:paraId="7785B04A"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80</w:t>
            </w:r>
          </w:p>
        </w:tc>
        <w:tc>
          <w:tcPr>
            <w:tcW w:w="560" w:type="pct"/>
            <w:shd w:val="clear" w:color="auto" w:fill="auto"/>
          </w:tcPr>
          <w:p w14:paraId="5EC8F8FF"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32/4</w:t>
            </w:r>
          </w:p>
        </w:tc>
        <w:tc>
          <w:tcPr>
            <w:tcW w:w="1668" w:type="pct"/>
            <w:shd w:val="clear" w:color="auto" w:fill="auto"/>
          </w:tcPr>
          <w:p w14:paraId="5F05410D" w14:textId="77777777" w:rsidR="00FA7379" w:rsidRPr="00075237" w:rsidRDefault="00FA7379" w:rsidP="009D41E6">
            <w:pPr>
              <w:pStyle w:val="Heading1"/>
              <w:numPr>
                <w:ilvl w:val="0"/>
                <w:numId w:val="0"/>
              </w:numPr>
              <w:spacing w:after="0"/>
              <w:rPr>
                <w:rFonts w:asciiTheme="majorBidi" w:hAnsiTheme="majorBidi" w:cstheme="majorBidi"/>
                <w:sz w:val="20"/>
                <w:szCs w:val="20"/>
              </w:rPr>
            </w:pPr>
            <w:r w:rsidRPr="00075237">
              <w:rPr>
                <w:rFonts w:asciiTheme="majorBidi" w:hAnsiTheme="majorBidi"/>
                <w:sz w:val="20"/>
                <w:szCs w:val="20"/>
              </w:rPr>
              <w:t>À supprimer des futurs rapports</w:t>
            </w:r>
          </w:p>
        </w:tc>
        <w:tc>
          <w:tcPr>
            <w:tcW w:w="578" w:type="pct"/>
            <w:shd w:val="clear" w:color="auto" w:fill="auto"/>
          </w:tcPr>
          <w:p w14:paraId="679D7792"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s. o.</w:t>
            </w:r>
          </w:p>
        </w:tc>
      </w:tr>
      <w:tr w:rsidR="00FA7379" w:rsidRPr="00075237" w14:paraId="401CCD74" w14:textId="77777777" w:rsidTr="009D41E6">
        <w:tc>
          <w:tcPr>
            <w:tcW w:w="1518" w:type="pct"/>
            <w:shd w:val="clear" w:color="auto" w:fill="auto"/>
          </w:tcPr>
          <w:p w14:paraId="073B187E" w14:textId="77777777" w:rsidR="00FA7379" w:rsidRPr="00075237" w:rsidRDefault="00FA7379" w:rsidP="009D41E6">
            <w:pPr>
              <w:pStyle w:val="Heading1"/>
              <w:numPr>
                <w:ilvl w:val="0"/>
                <w:numId w:val="0"/>
              </w:numPr>
              <w:spacing w:after="0"/>
              <w:jc w:val="left"/>
              <w:rPr>
                <w:rFonts w:asciiTheme="majorBidi" w:hAnsiTheme="majorBidi" w:cstheme="majorBidi"/>
                <w:sz w:val="20"/>
                <w:szCs w:val="20"/>
              </w:rPr>
            </w:pPr>
            <w:r w:rsidRPr="00075237">
              <w:rPr>
                <w:rFonts w:asciiTheme="majorBidi" w:hAnsiTheme="majorBidi"/>
                <w:sz w:val="20"/>
                <w:szCs w:val="20"/>
              </w:rPr>
              <w:t xml:space="preserve">Quelques avancées </w:t>
            </w:r>
          </w:p>
          <w:p w14:paraId="01276156" w14:textId="77777777" w:rsidR="00FA7379" w:rsidRPr="00075237" w:rsidRDefault="00FA7379" w:rsidP="009D41E6">
            <w:pPr>
              <w:pStyle w:val="Heading1"/>
              <w:numPr>
                <w:ilvl w:val="0"/>
                <w:numId w:val="0"/>
              </w:numPr>
              <w:spacing w:after="0"/>
              <w:ind w:right="-107"/>
              <w:jc w:val="left"/>
              <w:rPr>
                <w:rFonts w:asciiTheme="majorBidi" w:hAnsiTheme="majorBidi" w:cstheme="majorBidi"/>
                <w:sz w:val="20"/>
                <w:szCs w:val="20"/>
              </w:rPr>
            </w:pPr>
            <w:r w:rsidRPr="00075237">
              <w:rPr>
                <w:rFonts w:asciiTheme="majorBidi" w:hAnsiTheme="majorBidi"/>
                <w:sz w:val="20"/>
                <w:szCs w:val="20"/>
              </w:rPr>
              <w:t>(Projets individuels et accords pluriannuels)</w:t>
            </w:r>
          </w:p>
        </w:tc>
        <w:tc>
          <w:tcPr>
            <w:tcW w:w="676" w:type="pct"/>
            <w:shd w:val="clear" w:color="auto" w:fill="auto"/>
          </w:tcPr>
          <w:p w14:paraId="5ECDBF43"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22</w:t>
            </w:r>
          </w:p>
        </w:tc>
        <w:tc>
          <w:tcPr>
            <w:tcW w:w="560" w:type="pct"/>
            <w:shd w:val="clear" w:color="auto" w:fill="auto"/>
          </w:tcPr>
          <w:p w14:paraId="162F4ED3"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32/4</w:t>
            </w:r>
          </w:p>
        </w:tc>
        <w:tc>
          <w:tcPr>
            <w:tcW w:w="1668" w:type="pct"/>
            <w:shd w:val="clear" w:color="auto" w:fill="auto"/>
          </w:tcPr>
          <w:p w14:paraId="2FEFBFA8" w14:textId="77777777" w:rsidR="00FA7379" w:rsidRPr="00075237" w:rsidRDefault="00FA7379" w:rsidP="009D41E6">
            <w:pPr>
              <w:pStyle w:val="Heading1"/>
              <w:numPr>
                <w:ilvl w:val="0"/>
                <w:numId w:val="0"/>
              </w:numPr>
              <w:spacing w:after="0"/>
              <w:rPr>
                <w:rFonts w:asciiTheme="majorBidi" w:hAnsiTheme="majorBidi" w:cstheme="majorBidi"/>
                <w:sz w:val="20"/>
                <w:szCs w:val="20"/>
              </w:rPr>
            </w:pPr>
            <w:r w:rsidRPr="00075237">
              <w:rPr>
                <w:rFonts w:asciiTheme="majorBidi" w:hAnsiTheme="majorBidi"/>
                <w:sz w:val="20"/>
                <w:szCs w:val="20"/>
              </w:rPr>
              <w:t xml:space="preserve">Poursuivre la surveillance jusqu’à leur achèvement final </w:t>
            </w:r>
          </w:p>
        </w:tc>
        <w:tc>
          <w:tcPr>
            <w:tcW w:w="578" w:type="pct"/>
            <w:shd w:val="clear" w:color="auto" w:fill="auto"/>
          </w:tcPr>
          <w:p w14:paraId="1B98630E"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Annexe I</w:t>
            </w:r>
          </w:p>
        </w:tc>
      </w:tr>
      <w:tr w:rsidR="00FA7379" w:rsidRPr="00075237" w14:paraId="1E0A35B3" w14:textId="77777777" w:rsidTr="009D41E6">
        <w:tc>
          <w:tcPr>
            <w:tcW w:w="1518" w:type="pct"/>
            <w:shd w:val="clear" w:color="auto" w:fill="auto"/>
          </w:tcPr>
          <w:p w14:paraId="2C02ABEA" w14:textId="77777777" w:rsidR="00FA7379" w:rsidRPr="00075237" w:rsidRDefault="00FA7379" w:rsidP="009D41E6">
            <w:pPr>
              <w:pStyle w:val="Heading1"/>
              <w:numPr>
                <w:ilvl w:val="0"/>
                <w:numId w:val="0"/>
              </w:numPr>
              <w:spacing w:after="0"/>
              <w:rPr>
                <w:rFonts w:asciiTheme="majorBidi" w:hAnsiTheme="majorBidi" w:cstheme="majorBidi"/>
                <w:sz w:val="20"/>
                <w:szCs w:val="20"/>
              </w:rPr>
            </w:pPr>
            <w:r w:rsidRPr="00075237">
              <w:rPr>
                <w:rFonts w:asciiTheme="majorBidi" w:hAnsiTheme="majorBidi"/>
                <w:sz w:val="20"/>
                <w:szCs w:val="20"/>
              </w:rPr>
              <w:t>Pas d’avancée pour la première fois (accords pluriannuels)</w:t>
            </w:r>
          </w:p>
        </w:tc>
        <w:tc>
          <w:tcPr>
            <w:tcW w:w="676" w:type="pct"/>
            <w:shd w:val="clear" w:color="auto" w:fill="auto"/>
          </w:tcPr>
          <w:p w14:paraId="7D8A0280"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3</w:t>
            </w:r>
          </w:p>
        </w:tc>
        <w:tc>
          <w:tcPr>
            <w:tcW w:w="560" w:type="pct"/>
            <w:shd w:val="clear" w:color="auto" w:fill="auto"/>
          </w:tcPr>
          <w:p w14:paraId="328EE82E"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84/45</w:t>
            </w:r>
          </w:p>
        </w:tc>
        <w:tc>
          <w:tcPr>
            <w:tcW w:w="1668" w:type="pct"/>
            <w:shd w:val="clear" w:color="auto" w:fill="auto"/>
          </w:tcPr>
          <w:p w14:paraId="2F6DF3F8" w14:textId="77777777" w:rsidR="00FA7379" w:rsidRPr="00075237" w:rsidRDefault="00FA7379" w:rsidP="009D41E6">
            <w:pPr>
              <w:pStyle w:val="Heading1"/>
              <w:numPr>
                <w:ilvl w:val="0"/>
                <w:numId w:val="0"/>
              </w:numPr>
              <w:spacing w:after="0"/>
              <w:rPr>
                <w:rFonts w:asciiTheme="majorBidi" w:hAnsiTheme="majorBidi" w:cstheme="majorBidi"/>
                <w:sz w:val="20"/>
                <w:szCs w:val="20"/>
              </w:rPr>
            </w:pPr>
            <w:r w:rsidRPr="00075237">
              <w:rPr>
                <w:rFonts w:asciiTheme="majorBidi" w:hAnsiTheme="majorBidi"/>
                <w:sz w:val="20"/>
                <w:szCs w:val="20"/>
              </w:rPr>
              <w:t xml:space="preserve">Poursuivre la surveillance jusqu’à leur achèvement final </w:t>
            </w:r>
          </w:p>
        </w:tc>
        <w:tc>
          <w:tcPr>
            <w:tcW w:w="578" w:type="pct"/>
            <w:shd w:val="clear" w:color="auto" w:fill="auto"/>
          </w:tcPr>
          <w:p w14:paraId="283540F8"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Annexe II</w:t>
            </w:r>
          </w:p>
        </w:tc>
      </w:tr>
      <w:tr w:rsidR="00FA7379" w:rsidRPr="00075237" w14:paraId="5B3CB589" w14:textId="77777777" w:rsidTr="009D41E6">
        <w:tc>
          <w:tcPr>
            <w:tcW w:w="1518" w:type="pct"/>
            <w:shd w:val="clear" w:color="auto" w:fill="auto"/>
          </w:tcPr>
          <w:p w14:paraId="08BAD212" w14:textId="77777777" w:rsidR="00FA7379" w:rsidRPr="00075237" w:rsidRDefault="00FA7379" w:rsidP="009D41E6">
            <w:pPr>
              <w:pStyle w:val="Heading1"/>
              <w:numPr>
                <w:ilvl w:val="0"/>
                <w:numId w:val="0"/>
              </w:numPr>
              <w:spacing w:after="0"/>
              <w:rPr>
                <w:rFonts w:asciiTheme="majorBidi" w:hAnsiTheme="majorBidi" w:cstheme="majorBidi"/>
                <w:b/>
                <w:bCs/>
                <w:sz w:val="20"/>
                <w:szCs w:val="20"/>
              </w:rPr>
            </w:pPr>
            <w:r w:rsidRPr="00075237">
              <w:rPr>
                <w:rFonts w:asciiTheme="majorBidi" w:hAnsiTheme="majorBidi"/>
                <w:b/>
                <w:bCs/>
                <w:sz w:val="20"/>
                <w:szCs w:val="20"/>
              </w:rPr>
              <w:t>Total</w:t>
            </w:r>
          </w:p>
        </w:tc>
        <w:tc>
          <w:tcPr>
            <w:tcW w:w="676" w:type="pct"/>
            <w:shd w:val="clear" w:color="auto" w:fill="auto"/>
          </w:tcPr>
          <w:p w14:paraId="0219BF4E" w14:textId="77777777" w:rsidR="00FA7379" w:rsidRPr="00075237" w:rsidRDefault="00FA7379" w:rsidP="009D41E6">
            <w:pPr>
              <w:pStyle w:val="Heading1"/>
              <w:numPr>
                <w:ilvl w:val="0"/>
                <w:numId w:val="0"/>
              </w:numPr>
              <w:spacing w:after="0"/>
              <w:jc w:val="center"/>
              <w:rPr>
                <w:rFonts w:asciiTheme="majorBidi" w:hAnsiTheme="majorBidi" w:cstheme="majorBidi"/>
                <w:b/>
                <w:bCs/>
                <w:sz w:val="20"/>
                <w:szCs w:val="20"/>
              </w:rPr>
            </w:pPr>
            <w:r w:rsidRPr="00075237">
              <w:rPr>
                <w:rFonts w:asciiTheme="majorBidi" w:hAnsiTheme="majorBidi"/>
                <w:b/>
                <w:bCs/>
                <w:sz w:val="20"/>
                <w:szCs w:val="20"/>
              </w:rPr>
              <w:t>105</w:t>
            </w:r>
          </w:p>
        </w:tc>
        <w:tc>
          <w:tcPr>
            <w:tcW w:w="560" w:type="pct"/>
            <w:shd w:val="clear" w:color="auto" w:fill="auto"/>
          </w:tcPr>
          <w:p w14:paraId="30CCC0BE" w14:textId="77777777" w:rsidR="00FA7379" w:rsidRPr="00075237" w:rsidRDefault="00FA7379" w:rsidP="009D41E6">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3A0B15B6" w14:textId="77777777" w:rsidR="00FA7379" w:rsidRPr="00075237" w:rsidRDefault="00FA7379" w:rsidP="009D41E6">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564CCC0B" w14:textId="77777777" w:rsidR="00FA7379" w:rsidRPr="00075237" w:rsidRDefault="00FA7379" w:rsidP="009D41E6">
            <w:pPr>
              <w:pStyle w:val="Heading1"/>
              <w:numPr>
                <w:ilvl w:val="0"/>
                <w:numId w:val="0"/>
              </w:numPr>
              <w:spacing w:after="0"/>
              <w:rPr>
                <w:rFonts w:asciiTheme="majorBidi" w:hAnsiTheme="majorBidi" w:cstheme="majorBidi"/>
                <w:sz w:val="20"/>
                <w:szCs w:val="20"/>
              </w:rPr>
            </w:pPr>
          </w:p>
        </w:tc>
      </w:tr>
      <w:tr w:rsidR="00FA7379" w:rsidRPr="00075237" w14:paraId="6A79C664" w14:textId="77777777" w:rsidTr="009D41E6">
        <w:tc>
          <w:tcPr>
            <w:tcW w:w="5000" w:type="pct"/>
            <w:gridSpan w:val="5"/>
            <w:shd w:val="clear" w:color="auto" w:fill="auto"/>
          </w:tcPr>
          <w:p w14:paraId="430D260E" w14:textId="77777777" w:rsidR="00FA7379" w:rsidRPr="00075237" w:rsidRDefault="00FA7379" w:rsidP="009D41E6">
            <w:pPr>
              <w:pStyle w:val="Heading1"/>
              <w:numPr>
                <w:ilvl w:val="0"/>
                <w:numId w:val="0"/>
              </w:numPr>
              <w:spacing w:after="0"/>
              <w:rPr>
                <w:rFonts w:asciiTheme="majorBidi" w:hAnsiTheme="majorBidi" w:cstheme="majorBidi"/>
                <w:b/>
                <w:bCs/>
                <w:sz w:val="20"/>
                <w:szCs w:val="20"/>
              </w:rPr>
            </w:pPr>
            <w:r w:rsidRPr="00075237">
              <w:rPr>
                <w:rFonts w:asciiTheme="majorBidi" w:hAnsiTheme="majorBidi"/>
                <w:b/>
                <w:bCs/>
                <w:sz w:val="20"/>
                <w:szCs w:val="20"/>
              </w:rPr>
              <w:t>Rapports de situation</w:t>
            </w:r>
          </w:p>
        </w:tc>
      </w:tr>
      <w:tr w:rsidR="00FA7379" w:rsidRPr="00075237" w14:paraId="2E833AAB" w14:textId="77777777" w:rsidTr="009D41E6">
        <w:tc>
          <w:tcPr>
            <w:tcW w:w="1518" w:type="pct"/>
            <w:shd w:val="clear" w:color="auto" w:fill="auto"/>
          </w:tcPr>
          <w:p w14:paraId="5CBCEC54" w14:textId="77777777" w:rsidR="00FA7379" w:rsidRPr="00075237" w:rsidRDefault="00FA7379" w:rsidP="009D41E6">
            <w:pPr>
              <w:pStyle w:val="Heading1"/>
              <w:numPr>
                <w:ilvl w:val="0"/>
                <w:numId w:val="0"/>
              </w:numPr>
              <w:spacing w:after="0"/>
              <w:jc w:val="left"/>
              <w:rPr>
                <w:rFonts w:asciiTheme="majorBidi" w:hAnsiTheme="majorBidi" w:cstheme="majorBidi"/>
                <w:sz w:val="20"/>
                <w:szCs w:val="20"/>
              </w:rPr>
            </w:pPr>
            <w:r w:rsidRPr="00075237">
              <w:rPr>
                <w:rFonts w:asciiTheme="majorBidi" w:hAnsiTheme="majorBidi"/>
                <w:sz w:val="20"/>
                <w:szCs w:val="20"/>
              </w:rPr>
              <w:t>Aucune question en suspens</w:t>
            </w:r>
          </w:p>
        </w:tc>
        <w:tc>
          <w:tcPr>
            <w:tcW w:w="676" w:type="pct"/>
            <w:shd w:val="clear" w:color="auto" w:fill="auto"/>
          </w:tcPr>
          <w:p w14:paraId="56C331F9"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4</w:t>
            </w:r>
          </w:p>
        </w:tc>
        <w:tc>
          <w:tcPr>
            <w:tcW w:w="560" w:type="pct"/>
            <w:shd w:val="clear" w:color="auto" w:fill="auto"/>
          </w:tcPr>
          <w:p w14:paraId="19610709"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51/13</w:t>
            </w:r>
          </w:p>
        </w:tc>
        <w:tc>
          <w:tcPr>
            <w:tcW w:w="1668" w:type="pct"/>
            <w:shd w:val="clear" w:color="auto" w:fill="auto"/>
          </w:tcPr>
          <w:p w14:paraId="3A579520" w14:textId="77777777" w:rsidR="00FA7379" w:rsidRPr="00075237" w:rsidRDefault="00FA7379" w:rsidP="009D41E6">
            <w:pPr>
              <w:pStyle w:val="Heading1"/>
              <w:numPr>
                <w:ilvl w:val="0"/>
                <w:numId w:val="0"/>
              </w:numPr>
              <w:spacing w:after="0"/>
              <w:rPr>
                <w:rFonts w:asciiTheme="majorBidi" w:hAnsiTheme="majorBidi" w:cstheme="majorBidi"/>
                <w:sz w:val="20"/>
                <w:szCs w:val="20"/>
              </w:rPr>
            </w:pPr>
            <w:r w:rsidRPr="00075237">
              <w:rPr>
                <w:rFonts w:asciiTheme="majorBidi" w:hAnsiTheme="majorBidi"/>
                <w:sz w:val="20"/>
                <w:szCs w:val="20"/>
              </w:rPr>
              <w:t>À supprimer des futurs rapports</w:t>
            </w:r>
          </w:p>
        </w:tc>
        <w:tc>
          <w:tcPr>
            <w:tcW w:w="578" w:type="pct"/>
            <w:shd w:val="clear" w:color="auto" w:fill="auto"/>
          </w:tcPr>
          <w:p w14:paraId="4D00B096"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s. o.</w:t>
            </w:r>
          </w:p>
        </w:tc>
      </w:tr>
      <w:tr w:rsidR="00FA7379" w:rsidRPr="00075237" w14:paraId="14E3B05E" w14:textId="77777777" w:rsidTr="009D41E6">
        <w:tc>
          <w:tcPr>
            <w:tcW w:w="1518" w:type="pct"/>
            <w:shd w:val="clear" w:color="auto" w:fill="auto"/>
          </w:tcPr>
          <w:p w14:paraId="7B6E733B" w14:textId="77777777" w:rsidR="00FA7379" w:rsidRPr="00075237" w:rsidRDefault="00FA7379" w:rsidP="009D41E6">
            <w:pPr>
              <w:pStyle w:val="Heading1"/>
              <w:numPr>
                <w:ilvl w:val="0"/>
                <w:numId w:val="0"/>
              </w:numPr>
              <w:spacing w:after="0"/>
              <w:jc w:val="left"/>
              <w:rPr>
                <w:rFonts w:asciiTheme="majorBidi" w:hAnsiTheme="majorBidi" w:cstheme="majorBidi"/>
                <w:sz w:val="20"/>
                <w:szCs w:val="20"/>
              </w:rPr>
            </w:pPr>
            <w:r w:rsidRPr="00075237">
              <w:rPr>
                <w:rFonts w:asciiTheme="majorBidi" w:hAnsiTheme="majorBidi"/>
                <w:sz w:val="20"/>
                <w:szCs w:val="20"/>
              </w:rPr>
              <w:t xml:space="preserve">Des questions doivent encore être résolues </w:t>
            </w:r>
          </w:p>
        </w:tc>
        <w:tc>
          <w:tcPr>
            <w:tcW w:w="676" w:type="pct"/>
            <w:shd w:val="clear" w:color="auto" w:fill="auto"/>
          </w:tcPr>
          <w:p w14:paraId="574798B7"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7</w:t>
            </w:r>
          </w:p>
        </w:tc>
        <w:tc>
          <w:tcPr>
            <w:tcW w:w="560" w:type="pct"/>
            <w:shd w:val="clear" w:color="auto" w:fill="auto"/>
          </w:tcPr>
          <w:p w14:paraId="70BA8F1A"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51/13</w:t>
            </w:r>
          </w:p>
        </w:tc>
        <w:tc>
          <w:tcPr>
            <w:tcW w:w="1668" w:type="pct"/>
            <w:shd w:val="clear" w:color="auto" w:fill="auto"/>
          </w:tcPr>
          <w:p w14:paraId="4010C47E" w14:textId="77777777" w:rsidR="00FA7379" w:rsidRPr="00075237" w:rsidRDefault="00FA7379" w:rsidP="009D41E6">
            <w:pPr>
              <w:pStyle w:val="Heading1"/>
              <w:numPr>
                <w:ilvl w:val="0"/>
                <w:numId w:val="0"/>
              </w:numPr>
              <w:spacing w:after="0"/>
              <w:jc w:val="left"/>
              <w:rPr>
                <w:rFonts w:asciiTheme="majorBidi" w:hAnsiTheme="majorBidi" w:cstheme="majorBidi"/>
                <w:sz w:val="20"/>
                <w:szCs w:val="20"/>
              </w:rPr>
            </w:pPr>
            <w:r w:rsidRPr="00075237">
              <w:rPr>
                <w:rFonts w:asciiTheme="majorBidi" w:hAnsiTheme="majorBidi"/>
                <w:iCs/>
                <w:sz w:val="20"/>
                <w:szCs w:val="20"/>
              </w:rPr>
              <w:t xml:space="preserve">Demander la présentation de rapports de situation supplémentaires </w:t>
            </w:r>
          </w:p>
        </w:tc>
        <w:tc>
          <w:tcPr>
            <w:tcW w:w="578" w:type="pct"/>
            <w:shd w:val="clear" w:color="auto" w:fill="auto"/>
          </w:tcPr>
          <w:p w14:paraId="5E4EECEA" w14:textId="77777777" w:rsidR="00FA7379" w:rsidRPr="00075237" w:rsidRDefault="00FA7379" w:rsidP="009D41E6">
            <w:pPr>
              <w:pStyle w:val="Heading1"/>
              <w:numPr>
                <w:ilvl w:val="0"/>
                <w:numId w:val="0"/>
              </w:numPr>
              <w:spacing w:after="0"/>
              <w:jc w:val="center"/>
              <w:rPr>
                <w:rFonts w:asciiTheme="majorBidi" w:hAnsiTheme="majorBidi" w:cstheme="majorBidi"/>
                <w:sz w:val="20"/>
                <w:szCs w:val="20"/>
              </w:rPr>
            </w:pPr>
            <w:r w:rsidRPr="00075237">
              <w:rPr>
                <w:rFonts w:asciiTheme="majorBidi" w:hAnsiTheme="majorBidi"/>
                <w:sz w:val="20"/>
                <w:szCs w:val="20"/>
              </w:rPr>
              <w:t>Annexe III</w:t>
            </w:r>
          </w:p>
        </w:tc>
      </w:tr>
      <w:tr w:rsidR="00FA7379" w:rsidRPr="00075237" w14:paraId="57ACB6CB" w14:textId="77777777" w:rsidTr="009D41E6">
        <w:tc>
          <w:tcPr>
            <w:tcW w:w="1518" w:type="pct"/>
            <w:shd w:val="clear" w:color="auto" w:fill="auto"/>
          </w:tcPr>
          <w:p w14:paraId="7DF1B413" w14:textId="77777777" w:rsidR="00FA7379" w:rsidRPr="00075237" w:rsidRDefault="00FA7379" w:rsidP="009D41E6">
            <w:pPr>
              <w:pStyle w:val="Heading1"/>
              <w:numPr>
                <w:ilvl w:val="0"/>
                <w:numId w:val="0"/>
              </w:numPr>
              <w:spacing w:after="0"/>
              <w:jc w:val="left"/>
              <w:rPr>
                <w:rFonts w:asciiTheme="majorBidi" w:hAnsiTheme="majorBidi" w:cstheme="majorBidi"/>
                <w:b/>
                <w:bCs/>
                <w:sz w:val="20"/>
                <w:szCs w:val="20"/>
              </w:rPr>
            </w:pPr>
            <w:r w:rsidRPr="00075237">
              <w:rPr>
                <w:rFonts w:asciiTheme="majorBidi" w:hAnsiTheme="majorBidi"/>
                <w:b/>
                <w:bCs/>
                <w:sz w:val="20"/>
                <w:szCs w:val="20"/>
              </w:rPr>
              <w:t>Total*</w:t>
            </w:r>
          </w:p>
        </w:tc>
        <w:tc>
          <w:tcPr>
            <w:tcW w:w="676" w:type="pct"/>
            <w:shd w:val="clear" w:color="auto" w:fill="auto"/>
          </w:tcPr>
          <w:p w14:paraId="3C964A5E" w14:textId="77777777" w:rsidR="00FA7379" w:rsidRPr="00075237" w:rsidRDefault="00FA7379" w:rsidP="009D41E6">
            <w:pPr>
              <w:pStyle w:val="Heading1"/>
              <w:numPr>
                <w:ilvl w:val="0"/>
                <w:numId w:val="0"/>
              </w:numPr>
              <w:spacing w:after="0"/>
              <w:jc w:val="center"/>
              <w:rPr>
                <w:rFonts w:asciiTheme="majorBidi" w:hAnsiTheme="majorBidi" w:cstheme="majorBidi"/>
                <w:b/>
                <w:bCs/>
                <w:sz w:val="20"/>
                <w:szCs w:val="20"/>
              </w:rPr>
            </w:pPr>
            <w:r w:rsidRPr="00075237">
              <w:rPr>
                <w:rFonts w:asciiTheme="majorBidi" w:hAnsiTheme="majorBidi"/>
                <w:b/>
                <w:bCs/>
                <w:sz w:val="20"/>
                <w:szCs w:val="20"/>
              </w:rPr>
              <w:t>11</w:t>
            </w:r>
          </w:p>
        </w:tc>
        <w:tc>
          <w:tcPr>
            <w:tcW w:w="560" w:type="pct"/>
            <w:shd w:val="clear" w:color="auto" w:fill="auto"/>
          </w:tcPr>
          <w:p w14:paraId="6CAFCF96" w14:textId="77777777" w:rsidR="00FA7379" w:rsidRPr="00075237" w:rsidRDefault="00FA7379" w:rsidP="009D41E6">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2FBBACB9" w14:textId="77777777" w:rsidR="00FA7379" w:rsidRPr="00075237" w:rsidRDefault="00FA7379" w:rsidP="009D41E6">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4DDDF92B" w14:textId="77777777" w:rsidR="00FA7379" w:rsidRPr="00075237" w:rsidRDefault="00FA7379" w:rsidP="009D41E6">
            <w:pPr>
              <w:pStyle w:val="Heading1"/>
              <w:numPr>
                <w:ilvl w:val="0"/>
                <w:numId w:val="0"/>
              </w:numPr>
              <w:spacing w:after="0"/>
              <w:rPr>
                <w:rFonts w:asciiTheme="majorBidi" w:hAnsiTheme="majorBidi" w:cstheme="majorBidi"/>
                <w:sz w:val="20"/>
                <w:szCs w:val="20"/>
              </w:rPr>
            </w:pPr>
          </w:p>
        </w:tc>
      </w:tr>
    </w:tbl>
    <w:p w14:paraId="17ED713A" w14:textId="77777777" w:rsidR="00FA7379" w:rsidRPr="00075237" w:rsidRDefault="00FA7379" w:rsidP="00FA7379">
      <w:pPr>
        <w:pStyle w:val="Heading1"/>
        <w:numPr>
          <w:ilvl w:val="0"/>
          <w:numId w:val="0"/>
        </w:numPr>
        <w:spacing w:after="0"/>
        <w:rPr>
          <w:sz w:val="16"/>
          <w:szCs w:val="16"/>
        </w:rPr>
      </w:pPr>
      <w:r w:rsidRPr="00075237">
        <w:rPr>
          <w:sz w:val="16"/>
          <w:szCs w:val="16"/>
        </w:rPr>
        <w:t>*À l’exclusion de 5 projets qui sont inclus dans la section relative aux retards de mise en œuvre.</w:t>
      </w:r>
    </w:p>
    <w:p w14:paraId="0B1D6BA1" w14:textId="77777777" w:rsidR="00FA7379" w:rsidRPr="00075237" w:rsidRDefault="00FA7379" w:rsidP="00FA7379"/>
    <w:p w14:paraId="02B6C3C1" w14:textId="77777777" w:rsidR="00FA7379" w:rsidRPr="00075237" w:rsidRDefault="00FA7379" w:rsidP="00FA7379">
      <w:pPr>
        <w:pStyle w:val="a--"/>
        <w:keepNext/>
        <w:suppressAutoHyphens w:val="0"/>
        <w:jc w:val="left"/>
      </w:pPr>
      <w:r w:rsidRPr="00075237">
        <w:t>Recommandation</w:t>
      </w:r>
    </w:p>
    <w:p w14:paraId="3880626F" w14:textId="77777777" w:rsidR="00FA7379" w:rsidRPr="00075237" w:rsidRDefault="00FA7379" w:rsidP="00FA7379">
      <w:pPr>
        <w:pStyle w:val="0Heading0"/>
        <w:keepNext/>
      </w:pPr>
    </w:p>
    <w:p w14:paraId="304D1352" w14:textId="77777777" w:rsidR="00FA7379" w:rsidRPr="00075237" w:rsidRDefault="00FA7379" w:rsidP="00FA7379">
      <w:pPr>
        <w:pStyle w:val="Heading1"/>
      </w:pPr>
      <w:r w:rsidRPr="00075237">
        <w:t>Le Comité exécutif pourrait envisager :</w:t>
      </w:r>
    </w:p>
    <w:p w14:paraId="17EAF6DA" w14:textId="77777777" w:rsidR="00FA7379" w:rsidRPr="00075237" w:rsidRDefault="00FA7379" w:rsidP="00FA7379">
      <w:pPr>
        <w:pStyle w:val="Heading2"/>
        <w:numPr>
          <w:ilvl w:val="1"/>
          <w:numId w:val="1"/>
        </w:numPr>
      </w:pPr>
      <w:r w:rsidRPr="00075237">
        <w:t>De prendre note :</w:t>
      </w:r>
    </w:p>
    <w:p w14:paraId="2C0CB64E" w14:textId="77777777" w:rsidR="00FA7379" w:rsidRPr="00075237" w:rsidRDefault="00FA7379" w:rsidP="00FA7379">
      <w:pPr>
        <w:pStyle w:val="Heading3"/>
        <w:numPr>
          <w:ilvl w:val="2"/>
          <w:numId w:val="1"/>
        </w:numPr>
      </w:pPr>
      <w:r w:rsidRPr="00075237">
        <w:t xml:space="preserve">Des rapports sur les retards de mise en œuvre et les rapports de situation présentés par les agences bilatérales et les agences d’exécution, contenus dans le document UNEP/OzL.Pro/ExCom/94/9; </w:t>
      </w:r>
    </w:p>
    <w:p w14:paraId="7EBA8F25" w14:textId="77777777" w:rsidR="00FA7379" w:rsidRPr="00075237" w:rsidRDefault="00FA7379" w:rsidP="00FA7379">
      <w:pPr>
        <w:pStyle w:val="Heading3"/>
        <w:numPr>
          <w:ilvl w:val="2"/>
          <w:numId w:val="1"/>
        </w:numPr>
      </w:pPr>
      <w:r w:rsidRPr="00075237">
        <w:t>Du fait que les agences bilatérales et d’exécution feront rapport au Comité exécutif, lors de sa 95</w:t>
      </w:r>
      <w:r w:rsidRPr="00075237">
        <w:rPr>
          <w:vertAlign w:val="superscript"/>
        </w:rPr>
        <w:t>e</w:t>
      </w:r>
      <w:r w:rsidRPr="00075237">
        <w:t> réunion, sur 29 projets présentant des retards de mise en œuvre, comme indiqué aux annexes I et II du présent document, et sur sept projets pour lesquels des rapports de situation supplémentaires sont recommandés, comme indiqué dans l’annexe III du présent document, dans le cadre du rapport périodique financier et annuel 2023 des agences bilatérales et d’exécution;</w:t>
      </w:r>
    </w:p>
    <w:p w14:paraId="51B74500" w14:textId="3222D338" w:rsidR="009145E4" w:rsidRPr="00075237" w:rsidRDefault="00FA7379" w:rsidP="00B94B6A">
      <w:pPr>
        <w:pStyle w:val="Heading2"/>
        <w:numPr>
          <w:ilvl w:val="1"/>
          <w:numId w:val="1"/>
        </w:numPr>
      </w:pPr>
      <w:r w:rsidRPr="00075237">
        <w:t>D’approuver les recommandations concernant les projets en cours présentant des questions particulières mentionnées dans la dernière colonne du tableau de l’annexe III du présent document.</w:t>
      </w:r>
    </w:p>
    <w:p w14:paraId="2B8E2BFD" w14:textId="256F51BA" w:rsidR="003E79CA" w:rsidRPr="00075237" w:rsidRDefault="00B65465" w:rsidP="003E79CA">
      <w:pPr>
        <w:tabs>
          <w:tab w:val="left" w:pos="720"/>
        </w:tabs>
        <w:rPr>
          <w:b/>
          <w:bCs/>
          <w:sz w:val="24"/>
          <w:szCs w:val="24"/>
        </w:rPr>
      </w:pPr>
      <w:r w:rsidRPr="00075237">
        <w:rPr>
          <w:b/>
          <w:bCs/>
          <w:sz w:val="24"/>
          <w:szCs w:val="24"/>
        </w:rPr>
        <w:t>II.</w:t>
      </w:r>
      <w:r w:rsidRPr="00075237">
        <w:rPr>
          <w:b/>
          <w:bCs/>
          <w:sz w:val="24"/>
          <w:szCs w:val="24"/>
        </w:rPr>
        <w:tab/>
        <w:t>Projets comportant des exigences particulières de remise de rapports sans question en suspens</w:t>
      </w:r>
    </w:p>
    <w:p w14:paraId="25AE0114" w14:textId="77777777" w:rsidR="00B2754A" w:rsidRPr="00075237" w:rsidRDefault="00B2754A" w:rsidP="002A641D">
      <w:pPr>
        <w:jc w:val="left"/>
      </w:pPr>
    </w:p>
    <w:p w14:paraId="1F6C2A6B" w14:textId="77777777" w:rsidR="00B2754A" w:rsidRPr="00075237" w:rsidRDefault="00B2754A" w:rsidP="00B2754A">
      <w:pPr>
        <w:ind w:left="720" w:hanging="720"/>
        <w:rPr>
          <w:b/>
          <w:sz w:val="24"/>
          <w:szCs w:val="24"/>
        </w:rPr>
      </w:pPr>
      <w:r w:rsidRPr="00075237">
        <w:rPr>
          <w:b/>
          <w:sz w:val="24"/>
          <w:szCs w:val="24"/>
        </w:rPr>
        <w:t>Un aperçu</w:t>
      </w:r>
    </w:p>
    <w:p w14:paraId="13A40FA9" w14:textId="77777777" w:rsidR="00B2754A" w:rsidRPr="00075237" w:rsidRDefault="00B2754A" w:rsidP="00B2754A">
      <w:pPr>
        <w:ind w:left="720" w:hanging="720"/>
      </w:pPr>
    </w:p>
    <w:p w14:paraId="17F97022" w14:textId="7652D110" w:rsidR="00B2754A" w:rsidRPr="00075237" w:rsidRDefault="00B2754A" w:rsidP="00B2754A">
      <w:pPr>
        <w:pStyle w:val="Heading1"/>
      </w:pPr>
      <w:bookmarkStart w:id="0" w:name="_Hlk166518938"/>
      <w:bookmarkStart w:id="1" w:name="_Hlk166518914"/>
      <w:r w:rsidRPr="00075237">
        <w:t>Le tableau 2 dresse la liste des rapports sur les projets comportant des exigences particulières sans question en suspens</w:t>
      </w:r>
      <w:bookmarkEnd w:id="0"/>
      <w:r w:rsidRPr="00075237">
        <w:t>.</w:t>
      </w:r>
    </w:p>
    <w:bookmarkEnd w:id="1"/>
    <w:p w14:paraId="574F827F" w14:textId="3B292A8B" w:rsidR="00B2754A" w:rsidRPr="00075237" w:rsidRDefault="00B2754A" w:rsidP="00B2754A">
      <w:pPr>
        <w:keepNext/>
        <w:keepLines/>
        <w:rPr>
          <w:b/>
        </w:rPr>
      </w:pPr>
      <w:r w:rsidRPr="00075237">
        <w:rPr>
          <w:b/>
        </w:rPr>
        <w:lastRenderedPageBreak/>
        <w:t>Tableau 2. Rapports sur des projets aux exigences particulières en matière de rapport sans questions en suspens</w:t>
      </w:r>
    </w:p>
    <w:tbl>
      <w:tblPr>
        <w:tblStyle w:val="TableGrid"/>
        <w:tblW w:w="0" w:type="auto"/>
        <w:tblLook w:val="04A0" w:firstRow="1" w:lastRow="0" w:firstColumn="1" w:lastColumn="0" w:noHBand="0" w:noVBand="1"/>
      </w:tblPr>
      <w:tblGrid>
        <w:gridCol w:w="1255"/>
        <w:gridCol w:w="5580"/>
        <w:gridCol w:w="2515"/>
      </w:tblGrid>
      <w:tr w:rsidR="00B2754A" w:rsidRPr="00075237" w14:paraId="757592B0" w14:textId="77777777" w:rsidTr="002A641D">
        <w:trPr>
          <w:tblHeader/>
        </w:trPr>
        <w:tc>
          <w:tcPr>
            <w:tcW w:w="1255" w:type="dxa"/>
            <w:tcBorders>
              <w:top w:val="single" w:sz="4" w:space="0" w:color="auto"/>
              <w:left w:val="single" w:sz="4" w:space="0" w:color="auto"/>
              <w:bottom w:val="single" w:sz="4" w:space="0" w:color="auto"/>
              <w:right w:val="single" w:sz="4" w:space="0" w:color="auto"/>
            </w:tcBorders>
            <w:hideMark/>
          </w:tcPr>
          <w:p w14:paraId="204E1A2E" w14:textId="77777777" w:rsidR="00B2754A" w:rsidRPr="00075237" w:rsidRDefault="00B2754A" w:rsidP="005867F4">
            <w:pPr>
              <w:keepNext/>
              <w:keepLines/>
              <w:jc w:val="center"/>
              <w:rPr>
                <w:b/>
                <w:sz w:val="20"/>
                <w:szCs w:val="20"/>
              </w:rPr>
            </w:pPr>
            <w:r w:rsidRPr="00075237">
              <w:rPr>
                <w:b/>
                <w:sz w:val="20"/>
                <w:szCs w:val="20"/>
              </w:rPr>
              <w:t>Pays</w:t>
            </w:r>
          </w:p>
        </w:tc>
        <w:tc>
          <w:tcPr>
            <w:tcW w:w="5580" w:type="dxa"/>
            <w:tcBorders>
              <w:top w:val="single" w:sz="4" w:space="0" w:color="auto"/>
              <w:left w:val="single" w:sz="4" w:space="0" w:color="auto"/>
              <w:bottom w:val="single" w:sz="4" w:space="0" w:color="auto"/>
              <w:right w:val="single" w:sz="4" w:space="0" w:color="auto"/>
            </w:tcBorders>
            <w:hideMark/>
          </w:tcPr>
          <w:p w14:paraId="6F4F1A98" w14:textId="77777777" w:rsidR="00B2754A" w:rsidRPr="00075237" w:rsidRDefault="00B2754A" w:rsidP="005867F4">
            <w:pPr>
              <w:keepNext/>
              <w:keepLines/>
              <w:jc w:val="center"/>
              <w:rPr>
                <w:b/>
                <w:sz w:val="20"/>
                <w:szCs w:val="20"/>
              </w:rPr>
            </w:pPr>
            <w:r w:rsidRPr="00075237">
              <w:rPr>
                <w:b/>
                <w:sz w:val="20"/>
                <w:szCs w:val="20"/>
              </w:rPr>
              <w:t>Titre du projet</w:t>
            </w:r>
          </w:p>
        </w:tc>
        <w:tc>
          <w:tcPr>
            <w:tcW w:w="2515" w:type="dxa"/>
            <w:tcBorders>
              <w:top w:val="single" w:sz="4" w:space="0" w:color="auto"/>
              <w:left w:val="single" w:sz="4" w:space="0" w:color="auto"/>
              <w:bottom w:val="single" w:sz="4" w:space="0" w:color="auto"/>
              <w:right w:val="single" w:sz="4" w:space="0" w:color="auto"/>
            </w:tcBorders>
            <w:hideMark/>
          </w:tcPr>
          <w:p w14:paraId="48BC28C9" w14:textId="77777777" w:rsidR="00B2754A" w:rsidRPr="00075237" w:rsidRDefault="00B2754A" w:rsidP="005867F4">
            <w:pPr>
              <w:keepNext/>
              <w:keepLines/>
              <w:jc w:val="center"/>
              <w:rPr>
                <w:b/>
                <w:sz w:val="20"/>
                <w:szCs w:val="20"/>
              </w:rPr>
            </w:pPr>
            <w:r w:rsidRPr="00075237">
              <w:rPr>
                <w:b/>
                <w:sz w:val="20"/>
                <w:szCs w:val="20"/>
              </w:rPr>
              <w:t>Paragraphes</w:t>
            </w:r>
          </w:p>
        </w:tc>
      </w:tr>
      <w:tr w:rsidR="00B2754A" w:rsidRPr="00075237" w14:paraId="44D39796" w14:textId="77777777" w:rsidTr="005867F4">
        <w:tc>
          <w:tcPr>
            <w:tcW w:w="9350" w:type="dxa"/>
            <w:gridSpan w:val="3"/>
            <w:tcBorders>
              <w:top w:val="single" w:sz="4" w:space="0" w:color="auto"/>
              <w:left w:val="single" w:sz="4" w:space="0" w:color="auto"/>
              <w:bottom w:val="single" w:sz="4" w:space="0" w:color="auto"/>
              <w:right w:val="single" w:sz="4" w:space="0" w:color="auto"/>
            </w:tcBorders>
            <w:hideMark/>
          </w:tcPr>
          <w:p w14:paraId="3A896AD1" w14:textId="77777777" w:rsidR="00B2754A" w:rsidRPr="00075237" w:rsidRDefault="00B2754A" w:rsidP="00B2754A">
            <w:pPr>
              <w:pStyle w:val="ListParagraph"/>
              <w:numPr>
                <w:ilvl w:val="0"/>
                <w:numId w:val="21"/>
              </w:numPr>
              <w:ind w:left="339"/>
              <w:jc w:val="left"/>
              <w:rPr>
                <w:b/>
                <w:sz w:val="20"/>
                <w:szCs w:val="20"/>
              </w:rPr>
            </w:pPr>
            <w:r w:rsidRPr="00075237">
              <w:rPr>
                <w:b/>
                <w:sz w:val="20"/>
                <w:szCs w:val="20"/>
              </w:rPr>
              <w:t>Rapports relatifs aux plans de gestion de l’élimination des HCFC (PGEH)</w:t>
            </w:r>
          </w:p>
        </w:tc>
      </w:tr>
      <w:tr w:rsidR="008A2F5C" w:rsidRPr="00075237" w14:paraId="4C96027E" w14:textId="77777777" w:rsidTr="002A641D">
        <w:tc>
          <w:tcPr>
            <w:tcW w:w="1255" w:type="dxa"/>
            <w:tcBorders>
              <w:top w:val="single" w:sz="4" w:space="0" w:color="auto"/>
              <w:left w:val="single" w:sz="4" w:space="0" w:color="auto"/>
              <w:bottom w:val="single" w:sz="4" w:space="0" w:color="auto"/>
              <w:right w:val="single" w:sz="4" w:space="0" w:color="auto"/>
            </w:tcBorders>
          </w:tcPr>
          <w:p w14:paraId="046B3029" w14:textId="5749F377" w:rsidR="008A2F5C" w:rsidRPr="00075237" w:rsidRDefault="008A2F5C" w:rsidP="008A2F5C">
            <w:pPr>
              <w:rPr>
                <w:sz w:val="20"/>
                <w:szCs w:val="20"/>
              </w:rPr>
            </w:pPr>
            <w:r w:rsidRPr="00075237">
              <w:rPr>
                <w:sz w:val="20"/>
                <w:szCs w:val="20"/>
              </w:rPr>
              <w:t>Argentine</w:t>
            </w:r>
          </w:p>
        </w:tc>
        <w:tc>
          <w:tcPr>
            <w:tcW w:w="5580" w:type="dxa"/>
            <w:tcBorders>
              <w:top w:val="nil"/>
              <w:left w:val="nil"/>
              <w:bottom w:val="single" w:sz="8" w:space="0" w:color="auto"/>
              <w:right w:val="single" w:sz="8" w:space="0" w:color="auto"/>
            </w:tcBorders>
            <w:shd w:val="clear" w:color="auto" w:fill="auto"/>
          </w:tcPr>
          <w:p w14:paraId="1F234021" w14:textId="149A66E4" w:rsidR="008A2F5C" w:rsidRPr="00075237" w:rsidRDefault="00EE56EA" w:rsidP="008A2F5C">
            <w:pPr>
              <w:rPr>
                <w:sz w:val="20"/>
                <w:szCs w:val="20"/>
              </w:rPr>
            </w:pPr>
            <w:r w:rsidRPr="00075237">
              <w:rPr>
                <w:sz w:val="20"/>
                <w:szCs w:val="20"/>
              </w:rPr>
              <w:t xml:space="preserve">Plan de gestion de l’élimination des HCFC (phase II – disponibilité des solutions de remplacement à faible potentiel de réchauffement de la planète pour le HCFC‑141b dans le secteur de la fabrication de la mousse et usage transitoire de solutions de remplacement à fort potentiel de réchauffement de la planète) </w:t>
            </w:r>
          </w:p>
        </w:tc>
        <w:tc>
          <w:tcPr>
            <w:tcW w:w="2515" w:type="dxa"/>
            <w:tcBorders>
              <w:top w:val="single" w:sz="4" w:space="0" w:color="auto"/>
              <w:left w:val="single" w:sz="4" w:space="0" w:color="auto"/>
              <w:bottom w:val="single" w:sz="4" w:space="0" w:color="auto"/>
              <w:right w:val="single" w:sz="4" w:space="0" w:color="auto"/>
            </w:tcBorders>
          </w:tcPr>
          <w:p w14:paraId="26600469" w14:textId="6EA3430F" w:rsidR="008A2F5C" w:rsidRPr="00075237" w:rsidRDefault="003E79CA" w:rsidP="008A2F5C">
            <w:pPr>
              <w:jc w:val="center"/>
              <w:rPr>
                <w:sz w:val="20"/>
                <w:szCs w:val="20"/>
              </w:rPr>
            </w:pPr>
            <w:r w:rsidRPr="00075237">
              <w:rPr>
                <w:sz w:val="20"/>
                <w:szCs w:val="20"/>
              </w:rPr>
              <w:t>5 à 14</w:t>
            </w:r>
          </w:p>
        </w:tc>
      </w:tr>
      <w:tr w:rsidR="008A2F5C" w:rsidRPr="00075237" w14:paraId="4B82B888" w14:textId="77777777" w:rsidTr="002A641D">
        <w:tc>
          <w:tcPr>
            <w:tcW w:w="1255" w:type="dxa"/>
            <w:tcBorders>
              <w:top w:val="single" w:sz="4" w:space="0" w:color="auto"/>
              <w:left w:val="single" w:sz="4" w:space="0" w:color="auto"/>
              <w:bottom w:val="single" w:sz="4" w:space="0" w:color="auto"/>
              <w:right w:val="single" w:sz="4" w:space="0" w:color="auto"/>
            </w:tcBorders>
          </w:tcPr>
          <w:p w14:paraId="31EA6727" w14:textId="34F234C4" w:rsidR="008A2F5C" w:rsidRPr="00075237" w:rsidRDefault="008A2F5C" w:rsidP="008A2F5C">
            <w:pPr>
              <w:rPr>
                <w:sz w:val="20"/>
                <w:szCs w:val="20"/>
              </w:rPr>
            </w:pPr>
            <w:r w:rsidRPr="00075237">
              <w:rPr>
                <w:sz w:val="20"/>
                <w:szCs w:val="20"/>
              </w:rPr>
              <w:t>Bangladesh</w:t>
            </w:r>
          </w:p>
        </w:tc>
        <w:tc>
          <w:tcPr>
            <w:tcW w:w="5580" w:type="dxa"/>
            <w:tcBorders>
              <w:top w:val="nil"/>
              <w:left w:val="nil"/>
              <w:bottom w:val="single" w:sz="8" w:space="0" w:color="auto"/>
              <w:right w:val="single" w:sz="8" w:space="0" w:color="auto"/>
            </w:tcBorders>
            <w:shd w:val="clear" w:color="auto" w:fill="auto"/>
          </w:tcPr>
          <w:p w14:paraId="088412AC" w14:textId="50447EA2" w:rsidR="008A2F5C" w:rsidRPr="00075237" w:rsidRDefault="002175AF" w:rsidP="008A2F5C">
            <w:pPr>
              <w:rPr>
                <w:sz w:val="20"/>
                <w:szCs w:val="20"/>
              </w:rPr>
            </w:pPr>
            <w:r w:rsidRPr="00075237">
              <w:rPr>
                <w:sz w:val="20"/>
                <w:szCs w:val="20"/>
              </w:rPr>
              <w:t xml:space="preserve">Plan de gestion de l’élimination des HCFC (phase II) (décision 92/9(c)) </w:t>
            </w:r>
          </w:p>
        </w:tc>
        <w:tc>
          <w:tcPr>
            <w:tcW w:w="2515" w:type="dxa"/>
            <w:tcBorders>
              <w:top w:val="single" w:sz="4" w:space="0" w:color="auto"/>
              <w:left w:val="single" w:sz="4" w:space="0" w:color="auto"/>
              <w:bottom w:val="single" w:sz="4" w:space="0" w:color="auto"/>
              <w:right w:val="single" w:sz="4" w:space="0" w:color="auto"/>
            </w:tcBorders>
          </w:tcPr>
          <w:p w14:paraId="4500DAC0" w14:textId="77777777" w:rsidR="003E79CA" w:rsidRPr="00075237" w:rsidRDefault="00525105" w:rsidP="008A2F5C">
            <w:pPr>
              <w:jc w:val="center"/>
              <w:rPr>
                <w:sz w:val="20"/>
                <w:szCs w:val="20"/>
              </w:rPr>
            </w:pPr>
            <w:r w:rsidRPr="00075237">
              <w:rPr>
                <w:sz w:val="20"/>
                <w:szCs w:val="20"/>
              </w:rPr>
              <w:t>Compris dans la proposition de projet</w:t>
            </w:r>
          </w:p>
          <w:p w14:paraId="48D340B5" w14:textId="08508DE3" w:rsidR="008A2F5C" w:rsidRPr="00075237" w:rsidRDefault="00B615DD" w:rsidP="008A2F5C">
            <w:pPr>
              <w:jc w:val="center"/>
              <w:rPr>
                <w:sz w:val="20"/>
                <w:szCs w:val="20"/>
              </w:rPr>
            </w:pPr>
            <w:r w:rsidRPr="00075237">
              <w:rPr>
                <w:sz w:val="20"/>
                <w:szCs w:val="20"/>
              </w:rPr>
              <w:t>(document 94/22,</w:t>
            </w:r>
          </w:p>
          <w:p w14:paraId="4DCCF93F" w14:textId="28D1D8B6" w:rsidR="00A947CC" w:rsidRPr="00075237" w:rsidRDefault="00B615DD" w:rsidP="008A2F5C">
            <w:pPr>
              <w:jc w:val="center"/>
              <w:rPr>
                <w:sz w:val="20"/>
                <w:szCs w:val="20"/>
              </w:rPr>
            </w:pPr>
            <w:r w:rsidRPr="00075237">
              <w:rPr>
                <w:sz w:val="20"/>
                <w:szCs w:val="20"/>
              </w:rPr>
              <w:t>paragraphe 22)</w:t>
            </w:r>
          </w:p>
        </w:tc>
      </w:tr>
      <w:tr w:rsidR="008A2F5C" w:rsidRPr="00075237" w14:paraId="2928C813" w14:textId="77777777" w:rsidTr="002A641D">
        <w:tc>
          <w:tcPr>
            <w:tcW w:w="1255" w:type="dxa"/>
            <w:tcBorders>
              <w:top w:val="single" w:sz="4" w:space="0" w:color="auto"/>
              <w:left w:val="single" w:sz="4" w:space="0" w:color="auto"/>
              <w:bottom w:val="single" w:sz="4" w:space="0" w:color="auto"/>
              <w:right w:val="single" w:sz="4" w:space="0" w:color="auto"/>
            </w:tcBorders>
          </w:tcPr>
          <w:p w14:paraId="70EE20A8" w14:textId="73AE16F4" w:rsidR="008A2F5C" w:rsidRPr="00075237" w:rsidRDefault="008A2F5C" w:rsidP="008A2F5C">
            <w:pPr>
              <w:rPr>
                <w:sz w:val="20"/>
                <w:szCs w:val="20"/>
              </w:rPr>
            </w:pPr>
            <w:r w:rsidRPr="00075237">
              <w:rPr>
                <w:sz w:val="20"/>
                <w:szCs w:val="20"/>
              </w:rPr>
              <w:t>Chili</w:t>
            </w:r>
          </w:p>
        </w:tc>
        <w:tc>
          <w:tcPr>
            <w:tcW w:w="5580" w:type="dxa"/>
            <w:tcBorders>
              <w:top w:val="nil"/>
              <w:left w:val="nil"/>
              <w:bottom w:val="single" w:sz="8" w:space="0" w:color="auto"/>
              <w:right w:val="single" w:sz="8" w:space="0" w:color="auto"/>
            </w:tcBorders>
            <w:shd w:val="clear" w:color="auto" w:fill="auto"/>
          </w:tcPr>
          <w:p w14:paraId="7A67B268" w14:textId="1BDDB487" w:rsidR="008A2F5C" w:rsidRPr="00075237" w:rsidRDefault="002175AF" w:rsidP="008A2F5C">
            <w:pPr>
              <w:rPr>
                <w:sz w:val="20"/>
                <w:szCs w:val="20"/>
              </w:rPr>
            </w:pPr>
            <w:r w:rsidRPr="00075237">
              <w:rPr>
                <w:sz w:val="20"/>
                <w:szCs w:val="20"/>
              </w:rPr>
              <w:t>Plan de gestion de l’élimination des HCFC (phase II – rapport périodique final sur la mise en œuvre du programme de travail associé à la tranche finale)</w:t>
            </w:r>
          </w:p>
        </w:tc>
        <w:tc>
          <w:tcPr>
            <w:tcW w:w="2515" w:type="dxa"/>
            <w:tcBorders>
              <w:top w:val="single" w:sz="4" w:space="0" w:color="auto"/>
              <w:left w:val="single" w:sz="4" w:space="0" w:color="auto"/>
              <w:bottom w:val="single" w:sz="4" w:space="0" w:color="auto"/>
              <w:right w:val="single" w:sz="4" w:space="0" w:color="auto"/>
            </w:tcBorders>
          </w:tcPr>
          <w:p w14:paraId="773436D7" w14:textId="1FC47B88" w:rsidR="008A2F5C" w:rsidRPr="00075237" w:rsidRDefault="00904E13" w:rsidP="008A2F5C">
            <w:pPr>
              <w:jc w:val="center"/>
              <w:rPr>
                <w:sz w:val="20"/>
                <w:szCs w:val="20"/>
              </w:rPr>
            </w:pPr>
            <w:r w:rsidRPr="00075237">
              <w:rPr>
                <w:sz w:val="20"/>
                <w:szCs w:val="20"/>
              </w:rPr>
              <w:t>15 à 25</w:t>
            </w:r>
          </w:p>
        </w:tc>
      </w:tr>
      <w:tr w:rsidR="00EE56EA" w:rsidRPr="00075237" w14:paraId="13B0C23A" w14:textId="77777777" w:rsidTr="002A641D">
        <w:tc>
          <w:tcPr>
            <w:tcW w:w="1255" w:type="dxa"/>
            <w:tcBorders>
              <w:top w:val="single" w:sz="4" w:space="0" w:color="auto"/>
              <w:left w:val="single" w:sz="4" w:space="0" w:color="auto"/>
              <w:bottom w:val="single" w:sz="4" w:space="0" w:color="auto"/>
              <w:right w:val="single" w:sz="4" w:space="0" w:color="auto"/>
            </w:tcBorders>
          </w:tcPr>
          <w:p w14:paraId="607E7C67" w14:textId="1235CD66" w:rsidR="00EE56EA" w:rsidRPr="00075237" w:rsidRDefault="00EE56EA" w:rsidP="00EE56EA">
            <w:pPr>
              <w:rPr>
                <w:sz w:val="20"/>
                <w:szCs w:val="20"/>
              </w:rPr>
            </w:pPr>
            <w:r w:rsidRPr="00075237">
              <w:rPr>
                <w:sz w:val="20"/>
                <w:szCs w:val="20"/>
              </w:rPr>
              <w:t>Jordanie</w:t>
            </w:r>
          </w:p>
        </w:tc>
        <w:tc>
          <w:tcPr>
            <w:tcW w:w="5580" w:type="dxa"/>
            <w:tcBorders>
              <w:top w:val="nil"/>
              <w:left w:val="nil"/>
              <w:bottom w:val="single" w:sz="8" w:space="0" w:color="auto"/>
              <w:right w:val="single" w:sz="8" w:space="0" w:color="auto"/>
            </w:tcBorders>
            <w:shd w:val="clear" w:color="auto" w:fill="auto"/>
          </w:tcPr>
          <w:p w14:paraId="6F775A6D" w14:textId="0668BD8C" w:rsidR="00EE56EA" w:rsidRPr="00075237" w:rsidRDefault="002175AF" w:rsidP="00EE56EA">
            <w:pPr>
              <w:rPr>
                <w:sz w:val="20"/>
                <w:szCs w:val="20"/>
              </w:rPr>
            </w:pPr>
            <w:r w:rsidRPr="00075237">
              <w:rPr>
                <w:sz w:val="20"/>
                <w:szCs w:val="20"/>
              </w:rPr>
              <w:t>Plan de gestion de l’élimination des HCFC (phase II – rapport périodique sur la mise en œuvre du programme de travail associé à la dernière tranche)</w:t>
            </w:r>
          </w:p>
        </w:tc>
        <w:tc>
          <w:tcPr>
            <w:tcW w:w="2515" w:type="dxa"/>
            <w:tcBorders>
              <w:top w:val="single" w:sz="4" w:space="0" w:color="auto"/>
              <w:left w:val="single" w:sz="4" w:space="0" w:color="auto"/>
              <w:bottom w:val="single" w:sz="4" w:space="0" w:color="auto"/>
              <w:right w:val="single" w:sz="4" w:space="0" w:color="auto"/>
            </w:tcBorders>
          </w:tcPr>
          <w:p w14:paraId="50D4EDB9" w14:textId="2632B046" w:rsidR="00EE56EA" w:rsidRPr="00075237" w:rsidRDefault="000A51B5" w:rsidP="00EE56EA">
            <w:pPr>
              <w:jc w:val="center"/>
              <w:rPr>
                <w:sz w:val="20"/>
                <w:szCs w:val="20"/>
              </w:rPr>
            </w:pPr>
            <w:r w:rsidRPr="00075237">
              <w:rPr>
                <w:sz w:val="20"/>
                <w:szCs w:val="20"/>
              </w:rPr>
              <w:t>26 à 38</w:t>
            </w:r>
          </w:p>
        </w:tc>
      </w:tr>
      <w:tr w:rsidR="00B2754A" w:rsidRPr="00075237" w14:paraId="0E205372" w14:textId="77777777" w:rsidTr="002A641D">
        <w:tc>
          <w:tcPr>
            <w:tcW w:w="1255" w:type="dxa"/>
            <w:tcBorders>
              <w:top w:val="single" w:sz="4" w:space="0" w:color="auto"/>
              <w:left w:val="single" w:sz="4" w:space="0" w:color="auto"/>
              <w:bottom w:val="single" w:sz="4" w:space="0" w:color="auto"/>
              <w:right w:val="single" w:sz="4" w:space="0" w:color="auto"/>
            </w:tcBorders>
          </w:tcPr>
          <w:p w14:paraId="78F98F49" w14:textId="59D668B2" w:rsidR="00B2754A" w:rsidRPr="00075237" w:rsidRDefault="00B5383B" w:rsidP="005867F4">
            <w:pPr>
              <w:rPr>
                <w:sz w:val="20"/>
                <w:szCs w:val="20"/>
              </w:rPr>
            </w:pPr>
            <w:r w:rsidRPr="00075237">
              <w:rPr>
                <w:sz w:val="20"/>
                <w:szCs w:val="20"/>
              </w:rPr>
              <w:t>Kenya</w:t>
            </w:r>
          </w:p>
        </w:tc>
        <w:tc>
          <w:tcPr>
            <w:tcW w:w="5580" w:type="dxa"/>
            <w:tcBorders>
              <w:top w:val="single" w:sz="4" w:space="0" w:color="auto"/>
              <w:left w:val="single" w:sz="4" w:space="0" w:color="auto"/>
              <w:bottom w:val="single" w:sz="4" w:space="0" w:color="auto"/>
              <w:right w:val="single" w:sz="4" w:space="0" w:color="auto"/>
            </w:tcBorders>
          </w:tcPr>
          <w:p w14:paraId="18FACB86" w14:textId="14B391AD" w:rsidR="00B2754A" w:rsidRPr="00075237" w:rsidRDefault="00B5383B" w:rsidP="005867F4">
            <w:pPr>
              <w:rPr>
                <w:sz w:val="20"/>
                <w:szCs w:val="20"/>
              </w:rPr>
            </w:pPr>
            <w:r w:rsidRPr="00075237">
              <w:rPr>
                <w:sz w:val="20"/>
                <w:szCs w:val="20"/>
              </w:rPr>
              <w:t>Plan de gestion de l’élimination des HCFC (phase II – changement de technologie pour un supermarché (Quickmart))</w:t>
            </w:r>
          </w:p>
        </w:tc>
        <w:tc>
          <w:tcPr>
            <w:tcW w:w="2515" w:type="dxa"/>
            <w:tcBorders>
              <w:top w:val="single" w:sz="4" w:space="0" w:color="auto"/>
              <w:left w:val="single" w:sz="4" w:space="0" w:color="auto"/>
              <w:bottom w:val="single" w:sz="4" w:space="0" w:color="auto"/>
              <w:right w:val="single" w:sz="4" w:space="0" w:color="auto"/>
            </w:tcBorders>
          </w:tcPr>
          <w:p w14:paraId="685E8BA6" w14:textId="1F2D224C" w:rsidR="00B2754A" w:rsidRPr="00075237" w:rsidRDefault="008477A4" w:rsidP="005867F4">
            <w:pPr>
              <w:jc w:val="center"/>
              <w:rPr>
                <w:sz w:val="20"/>
                <w:szCs w:val="20"/>
              </w:rPr>
            </w:pPr>
            <w:r w:rsidRPr="00075237">
              <w:rPr>
                <w:sz w:val="20"/>
                <w:szCs w:val="20"/>
              </w:rPr>
              <w:t>39 à 48</w:t>
            </w:r>
          </w:p>
        </w:tc>
      </w:tr>
      <w:tr w:rsidR="00592C4D" w:rsidRPr="00075237" w14:paraId="48AABB6C" w14:textId="77777777" w:rsidTr="002A641D">
        <w:tc>
          <w:tcPr>
            <w:tcW w:w="1255" w:type="dxa"/>
            <w:tcBorders>
              <w:top w:val="single" w:sz="4" w:space="0" w:color="auto"/>
              <w:left w:val="single" w:sz="4" w:space="0" w:color="auto"/>
              <w:bottom w:val="single" w:sz="4" w:space="0" w:color="auto"/>
              <w:right w:val="single" w:sz="4" w:space="0" w:color="auto"/>
            </w:tcBorders>
          </w:tcPr>
          <w:p w14:paraId="2C5003DE" w14:textId="25C8D492" w:rsidR="00592C4D" w:rsidRPr="00075237" w:rsidRDefault="00592C4D" w:rsidP="005867F4">
            <w:pPr>
              <w:rPr>
                <w:sz w:val="20"/>
                <w:szCs w:val="20"/>
              </w:rPr>
            </w:pPr>
            <w:r w:rsidRPr="00075237">
              <w:rPr>
                <w:sz w:val="20"/>
                <w:szCs w:val="20"/>
              </w:rPr>
              <w:t>Malaisie</w:t>
            </w:r>
          </w:p>
        </w:tc>
        <w:tc>
          <w:tcPr>
            <w:tcW w:w="5580" w:type="dxa"/>
            <w:tcBorders>
              <w:top w:val="single" w:sz="4" w:space="0" w:color="auto"/>
              <w:left w:val="single" w:sz="4" w:space="0" w:color="auto"/>
              <w:bottom w:val="single" w:sz="4" w:space="0" w:color="auto"/>
              <w:right w:val="single" w:sz="4" w:space="0" w:color="auto"/>
            </w:tcBorders>
          </w:tcPr>
          <w:p w14:paraId="14B133D8" w14:textId="4EC22F40" w:rsidR="00592C4D" w:rsidRPr="00075237" w:rsidRDefault="008A341A" w:rsidP="005867F4">
            <w:pPr>
              <w:rPr>
                <w:sz w:val="20"/>
                <w:szCs w:val="20"/>
              </w:rPr>
            </w:pPr>
            <w:r w:rsidRPr="00075237">
              <w:rPr>
                <w:sz w:val="20"/>
                <w:szCs w:val="20"/>
              </w:rPr>
              <w:t>Plan de gestion de l’élimination des HCFC (phase II – rapport périodique final)</w:t>
            </w:r>
          </w:p>
        </w:tc>
        <w:tc>
          <w:tcPr>
            <w:tcW w:w="2515" w:type="dxa"/>
            <w:tcBorders>
              <w:top w:val="single" w:sz="4" w:space="0" w:color="auto"/>
              <w:left w:val="single" w:sz="4" w:space="0" w:color="auto"/>
              <w:bottom w:val="single" w:sz="4" w:space="0" w:color="auto"/>
              <w:right w:val="single" w:sz="4" w:space="0" w:color="auto"/>
            </w:tcBorders>
          </w:tcPr>
          <w:p w14:paraId="52B549D9" w14:textId="38C89AAF" w:rsidR="00525105" w:rsidRPr="00075237" w:rsidRDefault="00361BB1" w:rsidP="005867F4">
            <w:pPr>
              <w:jc w:val="center"/>
              <w:rPr>
                <w:sz w:val="20"/>
                <w:szCs w:val="20"/>
              </w:rPr>
            </w:pPr>
            <w:r w:rsidRPr="00075237">
              <w:rPr>
                <w:sz w:val="20"/>
                <w:szCs w:val="20"/>
              </w:rPr>
              <w:t>Compris dans la proposition de projet (document 94/43,</w:t>
            </w:r>
          </w:p>
          <w:p w14:paraId="6D1E90ED" w14:textId="0C603DB4" w:rsidR="00592C4D" w:rsidRPr="00075237" w:rsidRDefault="00B615DD" w:rsidP="005867F4">
            <w:pPr>
              <w:jc w:val="center"/>
              <w:rPr>
                <w:sz w:val="20"/>
                <w:szCs w:val="20"/>
              </w:rPr>
            </w:pPr>
            <w:r w:rsidRPr="00075237">
              <w:rPr>
                <w:sz w:val="20"/>
                <w:szCs w:val="20"/>
              </w:rPr>
              <w:t>paragraphes 1 à 19)</w:t>
            </w:r>
          </w:p>
        </w:tc>
      </w:tr>
      <w:tr w:rsidR="008A341A" w:rsidRPr="00075237" w14:paraId="4FD3D694" w14:textId="77777777" w:rsidTr="002A641D">
        <w:tc>
          <w:tcPr>
            <w:tcW w:w="1255" w:type="dxa"/>
            <w:tcBorders>
              <w:top w:val="single" w:sz="4" w:space="0" w:color="auto"/>
              <w:left w:val="single" w:sz="4" w:space="0" w:color="auto"/>
              <w:bottom w:val="single" w:sz="4" w:space="0" w:color="auto"/>
              <w:right w:val="single" w:sz="4" w:space="0" w:color="auto"/>
            </w:tcBorders>
          </w:tcPr>
          <w:p w14:paraId="1D78352A" w14:textId="63D619D9" w:rsidR="008A341A" w:rsidRPr="00075237" w:rsidRDefault="008A341A" w:rsidP="008A341A">
            <w:pPr>
              <w:rPr>
                <w:sz w:val="20"/>
                <w:szCs w:val="20"/>
              </w:rPr>
            </w:pPr>
            <w:r w:rsidRPr="00075237">
              <w:rPr>
                <w:sz w:val="20"/>
                <w:szCs w:val="20"/>
              </w:rPr>
              <w:t>Pakistan</w:t>
            </w:r>
          </w:p>
        </w:tc>
        <w:tc>
          <w:tcPr>
            <w:tcW w:w="5580" w:type="dxa"/>
            <w:tcBorders>
              <w:top w:val="nil"/>
              <w:left w:val="nil"/>
              <w:bottom w:val="single" w:sz="8" w:space="0" w:color="auto"/>
              <w:right w:val="single" w:sz="8" w:space="0" w:color="auto"/>
            </w:tcBorders>
            <w:shd w:val="clear" w:color="auto" w:fill="auto"/>
          </w:tcPr>
          <w:p w14:paraId="279C5FE1" w14:textId="3E9B1C53" w:rsidR="008A341A" w:rsidRPr="00075237" w:rsidRDefault="00E40291" w:rsidP="008A341A">
            <w:pPr>
              <w:rPr>
                <w:sz w:val="20"/>
                <w:szCs w:val="20"/>
              </w:rPr>
            </w:pPr>
            <w:r w:rsidRPr="00075237">
              <w:rPr>
                <w:sz w:val="20"/>
                <w:szCs w:val="20"/>
              </w:rPr>
              <w:t>Plan de gestion de l’élimination des HCFC (phase II – rapport périodique sur la mise en œuvre des troisième et quatrième tranches)</w:t>
            </w:r>
          </w:p>
        </w:tc>
        <w:tc>
          <w:tcPr>
            <w:tcW w:w="2515" w:type="dxa"/>
            <w:tcBorders>
              <w:top w:val="single" w:sz="4" w:space="0" w:color="auto"/>
              <w:left w:val="single" w:sz="4" w:space="0" w:color="auto"/>
              <w:bottom w:val="single" w:sz="4" w:space="0" w:color="auto"/>
              <w:right w:val="single" w:sz="4" w:space="0" w:color="auto"/>
            </w:tcBorders>
          </w:tcPr>
          <w:p w14:paraId="3517097D" w14:textId="348FCA74" w:rsidR="008A341A" w:rsidRPr="00075237" w:rsidRDefault="001225D0" w:rsidP="008A341A">
            <w:pPr>
              <w:jc w:val="center"/>
              <w:rPr>
                <w:sz w:val="20"/>
                <w:szCs w:val="20"/>
              </w:rPr>
            </w:pPr>
            <w:r w:rsidRPr="00075237">
              <w:rPr>
                <w:sz w:val="20"/>
                <w:szCs w:val="20"/>
              </w:rPr>
              <w:t>49 à 61</w:t>
            </w:r>
          </w:p>
        </w:tc>
      </w:tr>
      <w:tr w:rsidR="00254615" w:rsidRPr="00075237" w14:paraId="4B908D8E" w14:textId="77777777" w:rsidTr="002A641D">
        <w:tc>
          <w:tcPr>
            <w:tcW w:w="1255" w:type="dxa"/>
            <w:tcBorders>
              <w:top w:val="single" w:sz="4" w:space="0" w:color="auto"/>
              <w:left w:val="single" w:sz="4" w:space="0" w:color="auto"/>
              <w:bottom w:val="single" w:sz="4" w:space="0" w:color="auto"/>
              <w:right w:val="single" w:sz="4" w:space="0" w:color="auto"/>
            </w:tcBorders>
          </w:tcPr>
          <w:p w14:paraId="45D761EB" w14:textId="56DBF5CF" w:rsidR="00254615" w:rsidRPr="00075237" w:rsidRDefault="00254615" w:rsidP="008A341A">
            <w:pPr>
              <w:rPr>
                <w:sz w:val="20"/>
                <w:szCs w:val="20"/>
              </w:rPr>
            </w:pPr>
            <w:r w:rsidRPr="00075237">
              <w:rPr>
                <w:sz w:val="20"/>
                <w:szCs w:val="20"/>
              </w:rPr>
              <w:t>Pakistan</w:t>
            </w:r>
          </w:p>
        </w:tc>
        <w:tc>
          <w:tcPr>
            <w:tcW w:w="5580" w:type="dxa"/>
            <w:tcBorders>
              <w:top w:val="nil"/>
              <w:left w:val="nil"/>
              <w:bottom w:val="single" w:sz="8" w:space="0" w:color="auto"/>
              <w:right w:val="single" w:sz="8" w:space="0" w:color="auto"/>
            </w:tcBorders>
            <w:shd w:val="clear" w:color="auto" w:fill="auto"/>
          </w:tcPr>
          <w:p w14:paraId="72D45D31" w14:textId="64B3D038" w:rsidR="00254615" w:rsidRPr="00075237" w:rsidRDefault="000B06AD" w:rsidP="008A341A">
            <w:pPr>
              <w:rPr>
                <w:sz w:val="20"/>
                <w:szCs w:val="20"/>
              </w:rPr>
            </w:pPr>
            <w:r w:rsidRPr="00075237">
              <w:rPr>
                <w:sz w:val="20"/>
                <w:szCs w:val="20"/>
              </w:rPr>
              <w:t>Plan de gestion de l’élimination des HCFC (phase III – rapport de situation sur les importations des polyols prémélangés contenant du HCFC-141b et sur l’avancement de la mise en œuvre de l’assistance technique pour le secteur de la fabrication de la mousse)</w:t>
            </w:r>
          </w:p>
        </w:tc>
        <w:tc>
          <w:tcPr>
            <w:tcW w:w="2515" w:type="dxa"/>
            <w:tcBorders>
              <w:top w:val="single" w:sz="4" w:space="0" w:color="auto"/>
              <w:left w:val="single" w:sz="4" w:space="0" w:color="auto"/>
              <w:bottom w:val="single" w:sz="4" w:space="0" w:color="auto"/>
              <w:right w:val="single" w:sz="4" w:space="0" w:color="auto"/>
            </w:tcBorders>
          </w:tcPr>
          <w:p w14:paraId="5808256C" w14:textId="155203C9" w:rsidR="00254615" w:rsidRPr="00075237" w:rsidRDefault="00926C13" w:rsidP="008A341A">
            <w:pPr>
              <w:jc w:val="center"/>
              <w:rPr>
                <w:sz w:val="20"/>
                <w:szCs w:val="20"/>
              </w:rPr>
            </w:pPr>
            <w:r w:rsidRPr="00075237">
              <w:rPr>
                <w:sz w:val="20"/>
                <w:szCs w:val="20"/>
              </w:rPr>
              <w:t>62 à 69</w:t>
            </w:r>
          </w:p>
        </w:tc>
      </w:tr>
      <w:tr w:rsidR="008A341A" w:rsidRPr="00075237" w14:paraId="6F0F8B15" w14:textId="77777777" w:rsidTr="002A641D">
        <w:tc>
          <w:tcPr>
            <w:tcW w:w="1255" w:type="dxa"/>
            <w:tcBorders>
              <w:top w:val="single" w:sz="4" w:space="0" w:color="auto"/>
              <w:left w:val="single" w:sz="4" w:space="0" w:color="auto"/>
              <w:bottom w:val="single" w:sz="4" w:space="0" w:color="auto"/>
              <w:right w:val="single" w:sz="4" w:space="0" w:color="auto"/>
            </w:tcBorders>
          </w:tcPr>
          <w:p w14:paraId="1C07E3BA" w14:textId="41B62878" w:rsidR="008A341A" w:rsidRPr="00075237" w:rsidRDefault="00EE2E5B" w:rsidP="008A341A">
            <w:pPr>
              <w:rPr>
                <w:sz w:val="20"/>
                <w:szCs w:val="20"/>
              </w:rPr>
            </w:pPr>
            <w:r w:rsidRPr="00075237">
              <w:rPr>
                <w:sz w:val="20"/>
                <w:szCs w:val="20"/>
              </w:rPr>
              <w:t>Afrique du Sud</w:t>
            </w:r>
          </w:p>
        </w:tc>
        <w:tc>
          <w:tcPr>
            <w:tcW w:w="5580" w:type="dxa"/>
            <w:tcBorders>
              <w:top w:val="nil"/>
              <w:left w:val="nil"/>
              <w:bottom w:val="single" w:sz="8" w:space="0" w:color="auto"/>
              <w:right w:val="single" w:sz="8" w:space="0" w:color="auto"/>
            </w:tcBorders>
            <w:shd w:val="clear" w:color="auto" w:fill="auto"/>
          </w:tcPr>
          <w:p w14:paraId="75B81894" w14:textId="59415109" w:rsidR="008A341A" w:rsidRPr="00075237" w:rsidRDefault="00EE2E5B" w:rsidP="008A341A">
            <w:pPr>
              <w:rPr>
                <w:sz w:val="20"/>
                <w:szCs w:val="20"/>
              </w:rPr>
            </w:pPr>
            <w:r w:rsidRPr="00075237">
              <w:rPr>
                <w:sz w:val="20"/>
                <w:szCs w:val="20"/>
              </w:rPr>
              <w:t>Plan de gestion de l’élimination des HCFC (phase I – rapport périodique final sur la mise en œuvre de la cinquième et dernière tranche)</w:t>
            </w:r>
          </w:p>
        </w:tc>
        <w:tc>
          <w:tcPr>
            <w:tcW w:w="2515" w:type="dxa"/>
            <w:tcBorders>
              <w:top w:val="single" w:sz="4" w:space="0" w:color="auto"/>
              <w:left w:val="single" w:sz="4" w:space="0" w:color="auto"/>
              <w:bottom w:val="single" w:sz="4" w:space="0" w:color="auto"/>
              <w:right w:val="single" w:sz="4" w:space="0" w:color="auto"/>
            </w:tcBorders>
          </w:tcPr>
          <w:p w14:paraId="3293E6F1" w14:textId="5C0F47E3" w:rsidR="008A341A" w:rsidRPr="00075237" w:rsidRDefault="00DC524C" w:rsidP="008A341A">
            <w:pPr>
              <w:jc w:val="center"/>
              <w:rPr>
                <w:sz w:val="20"/>
                <w:szCs w:val="20"/>
              </w:rPr>
            </w:pPr>
            <w:r w:rsidRPr="00075237">
              <w:rPr>
                <w:sz w:val="20"/>
                <w:szCs w:val="20"/>
              </w:rPr>
              <w:t>70 à 77</w:t>
            </w:r>
          </w:p>
        </w:tc>
      </w:tr>
      <w:tr w:rsidR="00842BCF" w:rsidRPr="00075237" w14:paraId="6F00200D" w14:textId="77777777" w:rsidTr="002A641D">
        <w:tc>
          <w:tcPr>
            <w:tcW w:w="1255" w:type="dxa"/>
            <w:tcBorders>
              <w:top w:val="single" w:sz="4" w:space="0" w:color="auto"/>
              <w:left w:val="single" w:sz="4" w:space="0" w:color="auto"/>
              <w:bottom w:val="single" w:sz="4" w:space="0" w:color="auto"/>
              <w:right w:val="single" w:sz="4" w:space="0" w:color="auto"/>
            </w:tcBorders>
          </w:tcPr>
          <w:p w14:paraId="4DDF8CE0" w14:textId="623551DF" w:rsidR="00842BCF" w:rsidRPr="00075237" w:rsidRDefault="00842BCF" w:rsidP="00842BCF">
            <w:pPr>
              <w:rPr>
                <w:sz w:val="20"/>
                <w:szCs w:val="20"/>
              </w:rPr>
            </w:pPr>
            <w:r w:rsidRPr="00075237">
              <w:rPr>
                <w:sz w:val="20"/>
                <w:szCs w:val="20"/>
              </w:rPr>
              <w:t>Uruguay</w:t>
            </w:r>
          </w:p>
        </w:tc>
        <w:tc>
          <w:tcPr>
            <w:tcW w:w="5580" w:type="dxa"/>
            <w:tcBorders>
              <w:top w:val="nil"/>
              <w:left w:val="nil"/>
              <w:bottom w:val="single" w:sz="8" w:space="0" w:color="auto"/>
              <w:right w:val="single" w:sz="8" w:space="0" w:color="auto"/>
            </w:tcBorders>
            <w:shd w:val="clear" w:color="auto" w:fill="auto"/>
          </w:tcPr>
          <w:p w14:paraId="142C3DA0" w14:textId="2ED65979" w:rsidR="00842BCF" w:rsidRPr="00075237" w:rsidRDefault="00842BCF" w:rsidP="00842BCF">
            <w:pPr>
              <w:rPr>
                <w:sz w:val="20"/>
                <w:szCs w:val="20"/>
              </w:rPr>
            </w:pPr>
            <w:r w:rsidRPr="00075237">
              <w:rPr>
                <w:sz w:val="20"/>
                <w:szCs w:val="20"/>
              </w:rPr>
              <w:t>Plan de gestion de l’élimination des HCFC (phase II – rapport périodique sur la mise en œuvre de la conversion dans le secteur de la fabrication de la mousse)</w:t>
            </w:r>
          </w:p>
        </w:tc>
        <w:tc>
          <w:tcPr>
            <w:tcW w:w="2515" w:type="dxa"/>
            <w:tcBorders>
              <w:top w:val="single" w:sz="4" w:space="0" w:color="auto"/>
              <w:left w:val="single" w:sz="4" w:space="0" w:color="auto"/>
              <w:bottom w:val="single" w:sz="4" w:space="0" w:color="auto"/>
              <w:right w:val="single" w:sz="4" w:space="0" w:color="auto"/>
            </w:tcBorders>
          </w:tcPr>
          <w:p w14:paraId="0044EB36" w14:textId="7CBFC5F6" w:rsidR="00842BCF" w:rsidRPr="00075237" w:rsidRDefault="000957B8" w:rsidP="00842BCF">
            <w:pPr>
              <w:jc w:val="center"/>
              <w:rPr>
                <w:sz w:val="20"/>
                <w:szCs w:val="20"/>
              </w:rPr>
            </w:pPr>
            <w:r w:rsidRPr="00075237">
              <w:rPr>
                <w:sz w:val="20"/>
                <w:szCs w:val="20"/>
              </w:rPr>
              <w:t>78 à 92</w:t>
            </w:r>
          </w:p>
        </w:tc>
      </w:tr>
      <w:tr w:rsidR="00842BCF" w:rsidRPr="00075237" w14:paraId="6548236C" w14:textId="77777777" w:rsidTr="002A641D">
        <w:tc>
          <w:tcPr>
            <w:tcW w:w="1255" w:type="dxa"/>
            <w:tcBorders>
              <w:top w:val="single" w:sz="4" w:space="0" w:color="auto"/>
              <w:left w:val="single" w:sz="4" w:space="0" w:color="auto"/>
              <w:bottom w:val="single" w:sz="4" w:space="0" w:color="auto"/>
              <w:right w:val="single" w:sz="4" w:space="0" w:color="auto"/>
            </w:tcBorders>
          </w:tcPr>
          <w:p w14:paraId="092E04B9" w14:textId="68DF69BC" w:rsidR="00842BCF" w:rsidRPr="00075237" w:rsidRDefault="00842BCF" w:rsidP="00842BCF">
            <w:pPr>
              <w:rPr>
                <w:sz w:val="20"/>
                <w:szCs w:val="20"/>
              </w:rPr>
            </w:pPr>
            <w:r w:rsidRPr="00075237">
              <w:rPr>
                <w:sz w:val="20"/>
                <w:szCs w:val="20"/>
              </w:rPr>
              <w:t>Viet Nam</w:t>
            </w:r>
          </w:p>
        </w:tc>
        <w:tc>
          <w:tcPr>
            <w:tcW w:w="5580" w:type="dxa"/>
            <w:tcBorders>
              <w:top w:val="nil"/>
              <w:left w:val="nil"/>
              <w:bottom w:val="single" w:sz="8" w:space="0" w:color="auto"/>
              <w:right w:val="single" w:sz="8" w:space="0" w:color="auto"/>
            </w:tcBorders>
            <w:shd w:val="clear" w:color="auto" w:fill="auto"/>
          </w:tcPr>
          <w:p w14:paraId="4577EB8C" w14:textId="1C373A88" w:rsidR="00842BCF" w:rsidRPr="00075237" w:rsidRDefault="00842BCF" w:rsidP="00842BCF">
            <w:pPr>
              <w:rPr>
                <w:sz w:val="20"/>
                <w:szCs w:val="20"/>
              </w:rPr>
            </w:pPr>
            <w:r w:rsidRPr="00075237">
              <w:rPr>
                <w:sz w:val="20"/>
                <w:szCs w:val="20"/>
              </w:rPr>
              <w:t>Plan de gestion de l’élimination des HCFC (phase II – rapport périodique)</w:t>
            </w:r>
          </w:p>
        </w:tc>
        <w:tc>
          <w:tcPr>
            <w:tcW w:w="2515" w:type="dxa"/>
            <w:tcBorders>
              <w:top w:val="single" w:sz="4" w:space="0" w:color="auto"/>
              <w:left w:val="single" w:sz="4" w:space="0" w:color="auto"/>
              <w:bottom w:val="single" w:sz="4" w:space="0" w:color="auto"/>
              <w:right w:val="single" w:sz="4" w:space="0" w:color="auto"/>
            </w:tcBorders>
          </w:tcPr>
          <w:p w14:paraId="2494387F" w14:textId="66DC9417" w:rsidR="00842BCF" w:rsidRPr="00075237" w:rsidRDefault="00184CC5" w:rsidP="00842BCF">
            <w:pPr>
              <w:jc w:val="center"/>
              <w:rPr>
                <w:sz w:val="20"/>
                <w:szCs w:val="20"/>
              </w:rPr>
            </w:pPr>
            <w:r w:rsidRPr="00075237">
              <w:rPr>
                <w:sz w:val="20"/>
                <w:szCs w:val="20"/>
              </w:rPr>
              <w:t>93 à 95</w:t>
            </w:r>
          </w:p>
        </w:tc>
      </w:tr>
      <w:tr w:rsidR="00842BCF" w:rsidRPr="00075237" w14:paraId="7DD4688A" w14:textId="77777777" w:rsidTr="005867F4">
        <w:tc>
          <w:tcPr>
            <w:tcW w:w="9350" w:type="dxa"/>
            <w:gridSpan w:val="3"/>
            <w:tcBorders>
              <w:top w:val="single" w:sz="4" w:space="0" w:color="auto"/>
              <w:left w:val="single" w:sz="4" w:space="0" w:color="auto"/>
              <w:bottom w:val="single" w:sz="4" w:space="0" w:color="auto"/>
              <w:right w:val="single" w:sz="4" w:space="0" w:color="auto"/>
            </w:tcBorders>
          </w:tcPr>
          <w:p w14:paraId="773315B3" w14:textId="6961FEC8" w:rsidR="00842BCF" w:rsidRPr="00075237" w:rsidRDefault="00842BCF" w:rsidP="00842BCF">
            <w:pPr>
              <w:pStyle w:val="ListParagraph"/>
              <w:numPr>
                <w:ilvl w:val="0"/>
                <w:numId w:val="21"/>
              </w:numPr>
              <w:ind w:left="339"/>
              <w:jc w:val="left"/>
              <w:rPr>
                <w:b/>
                <w:sz w:val="20"/>
                <w:szCs w:val="20"/>
              </w:rPr>
            </w:pPr>
            <w:r w:rsidRPr="00075237">
              <w:rPr>
                <w:b/>
                <w:sz w:val="20"/>
                <w:szCs w:val="20"/>
              </w:rPr>
              <w:t>Rapport relatif à un projet sur les HFC</w:t>
            </w:r>
          </w:p>
        </w:tc>
      </w:tr>
      <w:tr w:rsidR="00842BCF" w:rsidRPr="00075237" w14:paraId="5B324A71" w14:textId="77777777" w:rsidTr="002A641D">
        <w:tc>
          <w:tcPr>
            <w:tcW w:w="1255" w:type="dxa"/>
            <w:tcBorders>
              <w:top w:val="single" w:sz="4" w:space="0" w:color="auto"/>
              <w:left w:val="single" w:sz="4" w:space="0" w:color="auto"/>
              <w:bottom w:val="single" w:sz="4" w:space="0" w:color="auto"/>
              <w:right w:val="single" w:sz="4" w:space="0" w:color="auto"/>
            </w:tcBorders>
          </w:tcPr>
          <w:p w14:paraId="58BB7848" w14:textId="42F4CB64" w:rsidR="00842BCF" w:rsidRPr="00075237" w:rsidRDefault="005A26AD" w:rsidP="00842BCF">
            <w:pPr>
              <w:rPr>
                <w:sz w:val="20"/>
                <w:szCs w:val="20"/>
              </w:rPr>
            </w:pPr>
            <w:r w:rsidRPr="00075237">
              <w:rPr>
                <w:sz w:val="20"/>
                <w:szCs w:val="20"/>
              </w:rPr>
              <w:t>Jordanie</w:t>
            </w:r>
          </w:p>
        </w:tc>
        <w:tc>
          <w:tcPr>
            <w:tcW w:w="5580" w:type="dxa"/>
            <w:tcBorders>
              <w:top w:val="single" w:sz="4" w:space="0" w:color="auto"/>
              <w:left w:val="single" w:sz="4" w:space="0" w:color="auto"/>
              <w:bottom w:val="single" w:sz="4" w:space="0" w:color="auto"/>
              <w:right w:val="single" w:sz="4" w:space="0" w:color="auto"/>
            </w:tcBorders>
          </w:tcPr>
          <w:p w14:paraId="2B024FA1" w14:textId="74BFD0C7" w:rsidR="00842BCF" w:rsidRPr="00075237" w:rsidRDefault="005A26AD" w:rsidP="00842BCF">
            <w:pPr>
              <w:rPr>
                <w:sz w:val="20"/>
                <w:szCs w:val="20"/>
              </w:rPr>
            </w:pPr>
            <w:r w:rsidRPr="00075237">
              <w:rPr>
                <w:sz w:val="20"/>
                <w:szCs w:val="20"/>
              </w:rPr>
              <w:t>Rapport sur les ventes annuelles de</w:t>
            </w:r>
            <w:r w:rsidRPr="00075237">
              <w:t xml:space="preserve"> </w:t>
            </w:r>
            <w:r w:rsidRPr="00075237">
              <w:rPr>
                <w:sz w:val="20"/>
                <w:szCs w:val="20"/>
              </w:rPr>
              <w:t>grands climatiseurs de toit monoblocs commerciaux fonctionnant au R-290 (décision 90/25(b)ii))</w:t>
            </w:r>
          </w:p>
        </w:tc>
        <w:tc>
          <w:tcPr>
            <w:tcW w:w="2515" w:type="dxa"/>
            <w:tcBorders>
              <w:top w:val="single" w:sz="4" w:space="0" w:color="auto"/>
              <w:left w:val="single" w:sz="4" w:space="0" w:color="auto"/>
              <w:bottom w:val="single" w:sz="4" w:space="0" w:color="auto"/>
              <w:right w:val="single" w:sz="4" w:space="0" w:color="auto"/>
            </w:tcBorders>
          </w:tcPr>
          <w:p w14:paraId="12B5956E" w14:textId="72CE3291" w:rsidR="00842BCF" w:rsidRPr="00075237" w:rsidRDefault="00CF3A4A" w:rsidP="00842BCF">
            <w:pPr>
              <w:jc w:val="center"/>
              <w:rPr>
                <w:sz w:val="20"/>
                <w:szCs w:val="20"/>
              </w:rPr>
            </w:pPr>
            <w:r w:rsidRPr="00075237">
              <w:rPr>
                <w:sz w:val="20"/>
                <w:szCs w:val="20"/>
              </w:rPr>
              <w:t>96 à 98</w:t>
            </w:r>
          </w:p>
        </w:tc>
      </w:tr>
    </w:tbl>
    <w:p w14:paraId="39F72DD4" w14:textId="77777777" w:rsidR="00CF3A4A" w:rsidRPr="00075237" w:rsidRDefault="00CF3A4A" w:rsidP="00CF3A4A">
      <w:pPr>
        <w:pStyle w:val="Style4"/>
        <w:numPr>
          <w:ilvl w:val="0"/>
          <w:numId w:val="0"/>
        </w:numPr>
        <w:spacing w:after="0"/>
        <w:ind w:left="720"/>
      </w:pPr>
    </w:p>
    <w:p w14:paraId="189513F8" w14:textId="212C4246" w:rsidR="00FD3D6B" w:rsidRPr="00075237" w:rsidRDefault="00FD3D6B" w:rsidP="00FD3D6B">
      <w:pPr>
        <w:pStyle w:val="Style4"/>
      </w:pPr>
      <w:r w:rsidRPr="00075237">
        <w:t>Rapports relatifs aux PGEH</w:t>
      </w:r>
    </w:p>
    <w:p w14:paraId="1C5F746D" w14:textId="77777777" w:rsidR="00FA57E8" w:rsidRPr="00075237" w:rsidRDefault="00FA57E8" w:rsidP="00FA57E8">
      <w:pPr>
        <w:spacing w:after="240"/>
        <w:ind w:left="720"/>
        <w:rPr>
          <w:b/>
          <w:bCs/>
          <w:u w:val="single"/>
        </w:rPr>
      </w:pPr>
      <w:r w:rsidRPr="00075237">
        <w:rPr>
          <w:b/>
          <w:bCs/>
          <w:u w:val="single"/>
        </w:rPr>
        <w:t>Argentine : Plan de gestion de l’élimination des HCFC (phase II – disponibilité des solutions de remplacement à faible potentiel de réchauffement de la planète pour le HCFC‑141b dans le secteur de la fabrication de la mousse et usage transitoire de solutions de remplacement à fort potentiel de réchauffement de la planète)</w:t>
      </w:r>
      <w:r w:rsidRPr="00075237">
        <w:rPr>
          <w:b/>
          <w:bCs/>
        </w:rPr>
        <w:t xml:space="preserve"> (ONUDI et gouvernement de l’Italie)</w:t>
      </w:r>
    </w:p>
    <w:p w14:paraId="15024128" w14:textId="77777777" w:rsidR="00FA57E8" w:rsidRPr="00075237" w:rsidRDefault="00FA57E8" w:rsidP="00FA57E8">
      <w:pPr>
        <w:spacing w:after="240"/>
        <w:rPr>
          <w:b/>
        </w:rPr>
      </w:pPr>
      <w:r w:rsidRPr="00075237">
        <w:rPr>
          <w:b/>
        </w:rPr>
        <w:t>Contexte</w:t>
      </w:r>
    </w:p>
    <w:p w14:paraId="128A60EB" w14:textId="77777777" w:rsidR="00FA57E8" w:rsidRPr="00075237" w:rsidRDefault="00FA57E8" w:rsidP="00E644D0">
      <w:pPr>
        <w:pStyle w:val="Heading1"/>
      </w:pPr>
      <w:r w:rsidRPr="00075237">
        <w:t>Lors de sa 92</w:t>
      </w:r>
      <w:r w:rsidRPr="00075237">
        <w:rPr>
          <w:vertAlign w:val="superscript"/>
        </w:rPr>
        <w:t>e</w:t>
      </w:r>
      <w:r w:rsidRPr="00075237">
        <w:t> réunion, en approuvant la troisième tranche de la phase II du plan de gestion de l’élimination des HCFC (PGEH) pour l’Argentine (décision 92/31), le Comité exécutif a notamment pris note :</w:t>
      </w:r>
    </w:p>
    <w:p w14:paraId="61B4D27D" w14:textId="0DC2903B" w:rsidR="00FA57E8" w:rsidRPr="00075237" w:rsidRDefault="00FA57E8" w:rsidP="00FA57E8">
      <w:pPr>
        <w:pStyle w:val="Heading2"/>
        <w:numPr>
          <w:ilvl w:val="1"/>
          <w:numId w:val="1"/>
        </w:numPr>
      </w:pPr>
      <w:r w:rsidRPr="00075237">
        <w:lastRenderedPageBreak/>
        <w:t>Des difficultés que présente le manque d’approvisionnement des solutions de remplacement à faible potentiel de réchauffement de la planète (PRG) pour le HCFC-141b dans le secteur de la fabrication de la mousse, ce qui a retardé la mise en œuvre des activités de la phase II dans le secteur de la fabrication de la mousse qui auraient permis au gouvernement de l’Argentine d’éliminer 85,92 tonnes PAO de HCFC;</w:t>
      </w:r>
    </w:p>
    <w:p w14:paraId="70FBEB4F" w14:textId="77777777" w:rsidR="00FA57E8" w:rsidRPr="00075237" w:rsidRDefault="00FA57E8" w:rsidP="00FA57E8">
      <w:pPr>
        <w:pStyle w:val="Heading2"/>
        <w:numPr>
          <w:ilvl w:val="1"/>
          <w:numId w:val="1"/>
        </w:numPr>
      </w:pPr>
      <w:r w:rsidRPr="00075237">
        <w:t>Du fait que, dans la mesure où les produits de remplacement n’étaient pas disponibles sur le marché local, les solutions de remplacement à fort PRG pouvaient être utilisées, de façon transitoire, et que le gouvernement de l’Argentine ferait un rapport à chaque réunion du Comité exécutif sur les avancées réalisées pour s’assurer que les technologies sélectionnées, y compris les composantes connexes, seraient disponibles au pays sur le plan commercial, étant entendu que les coûts différentiels d’exploitation (CDE) ne seront pas financés jusqu’à ce que la transition vers les solutions de remplacement convenues soit achevée.</w:t>
      </w:r>
    </w:p>
    <w:p w14:paraId="0B7F371B" w14:textId="0D8CADBF" w:rsidR="00FA57E8" w:rsidRPr="00075237" w:rsidRDefault="00FA57E8" w:rsidP="00FA57E8">
      <w:pPr>
        <w:pStyle w:val="Heading1"/>
      </w:pPr>
      <w:r w:rsidRPr="00075237">
        <w:t>À la 93</w:t>
      </w:r>
      <w:r w:rsidRPr="00075237">
        <w:rPr>
          <w:vertAlign w:val="superscript"/>
        </w:rPr>
        <w:t>e</w:t>
      </w:r>
      <w:r w:rsidRPr="00075237">
        <w:t> réunion, l’ONUDI a déclaré qu’au cours de la période 2022-2023, les prix des HFO ont atteint les 35 à 40 $ US par kilogramme, et que même si les HFO ont été testés par les entreprises de formulation locales, celles-ci ne disposent pas de stocks suffisants pour une production à l’échelle commerciale. En ce qui concerne les autres solutions de remplacement, les entreprises en aval étaient réticentes à utiliser d’autres technologies, comme le formiate de méthyle ou le méthylal, en raison de leurs problèmes de corrosivité et d’inflammabilité, identifiés lors de tests précédents. En prenant note du rapport, le Comité exécutif a demandé au gouvernement de l’Argentine et à l’ONUDI, en accord avec le sous-alinéa</w:t>
      </w:r>
      <w:r w:rsidR="00393C42" w:rsidRPr="00075237">
        <w:t> </w:t>
      </w:r>
      <w:r w:rsidRPr="00075237">
        <w:t>c)ii) de la décision 92/31, de fournir une mise à jour à la 94</w:t>
      </w:r>
      <w:r w:rsidRPr="00075237">
        <w:rPr>
          <w:vertAlign w:val="superscript"/>
        </w:rPr>
        <w:t>e</w:t>
      </w:r>
      <w:r w:rsidRPr="00075237">
        <w:t> réunion sur la disponibilité sur le marché local des substituts à faible PRG pour le HCFC-141b dans le secteur de la fabrication de la mousse et sur l’utilisation transitoire des substituts à fort PRG (décision 93/17(b)).</w:t>
      </w:r>
    </w:p>
    <w:p w14:paraId="2A71AE99" w14:textId="77777777" w:rsidR="00FA57E8" w:rsidRPr="00075237" w:rsidRDefault="00FA57E8" w:rsidP="00322DAB">
      <w:pPr>
        <w:pStyle w:val="Heading1"/>
        <w:keepNext/>
        <w:numPr>
          <w:ilvl w:val="0"/>
          <w:numId w:val="0"/>
        </w:numPr>
        <w:rPr>
          <w:b/>
          <w:bCs/>
        </w:rPr>
      </w:pPr>
      <w:r w:rsidRPr="00075237">
        <w:rPr>
          <w:b/>
          <w:bCs/>
        </w:rPr>
        <w:t>Rapport périodique</w:t>
      </w:r>
    </w:p>
    <w:p w14:paraId="6643E85D" w14:textId="77777777" w:rsidR="00FA57E8" w:rsidRPr="00075237" w:rsidRDefault="00FA57E8" w:rsidP="00FA57E8">
      <w:pPr>
        <w:pStyle w:val="Heading1"/>
      </w:pPr>
      <w:r w:rsidRPr="00075237">
        <w:t xml:space="preserve">Au nom du gouvernement de l’Argentine, l’ONUDI a présenté un rapport mettant en évidence les récentes consultations de l’Argentine avec les principaux fournisseurs (Chemours, Honeywell et Arkema), qui ont confirmé que les prix, la disponibilité et les délais de livraison continueront d’être les principaux problèmes entravant l’adoption locale des HFO. Leurs prix les plus récents, entre 20 $ US et 32 $ US en raison de la demande mondiale et de la disponibilité limitée, demeurent un obstacle important pour les entreprises locales. En outre, les délais de livraison s’étendent de 90 à 120 jours, ce qui complique davantage les efforts d’approvisionnement. Aucun des fournisseurs n’a commencé à vendre des HFO aux entreprises de formulation locales de manière commerciale. Toutefois, les fournisseurs ont indiqué qu’ils pouvaient fournir des HFO au pays, pourvu que les entreprises de formulation aient des engagements d’achat, ce qui met en lumière la nécessité d’une assurance pour satisfaire les exigences des sièges sociaux afin d’introduire une nouvelle solution de remplacement au pays. </w:t>
      </w:r>
    </w:p>
    <w:p w14:paraId="56362E3F" w14:textId="0D255386" w:rsidR="00FA57E8" w:rsidRPr="00075237" w:rsidRDefault="00FA57E8" w:rsidP="00FA57E8">
      <w:pPr>
        <w:pStyle w:val="Heading1"/>
      </w:pPr>
      <w:r w:rsidRPr="00075237">
        <w:t>Malgré ces défis, les entreprises de formulation de l’Argentine se sont engagées à tester</w:t>
      </w:r>
      <w:r w:rsidR="006B02B0" w:rsidRPr="00075237">
        <w:t xml:space="preserve"> les HFO</w:t>
      </w:r>
      <w:r w:rsidRPr="00075237">
        <w:t xml:space="preserve"> et à mener des essais, mais aucune conversion n’a eu lieu. Compte tenu de l’engagement à éliminer le HCFC-141b, les entreprises de formulation locales ont indiqué la nécessité de passer temporairement aux HFC. Le HFC-365mfc, le HFC-227ea et le HFC-245fa émergent comme les substituts immédiats les plus faisables. Leurs prix correspondent étroitement à ceux du HCFC-141b et leur disponibilité garantit une continuité commerciale sans augmentation considérable des coûts. </w:t>
      </w:r>
    </w:p>
    <w:p w14:paraId="77990764" w14:textId="77777777" w:rsidR="00FA57E8" w:rsidRPr="00075237" w:rsidRDefault="00FA57E8" w:rsidP="00FA57E8">
      <w:pPr>
        <w:pStyle w:val="Heading1"/>
      </w:pPr>
      <w:r w:rsidRPr="00075237">
        <w:t xml:space="preserve">Les HFC sont aussi compatibles sur le plan technique avec les formules de mousse de PU, ce qui est essentiel pour réaliser une substitution facile et efficace au HCFC-141b. Les tentatives précédentes avec d’autres options comme le formiate de méthyle et le méthylal se sont avérées infructueuses, comme cela a été rapporté précédemment. Après une consultation avec les entreprises de formulation et les fournisseurs, le gouvernement de l’Argentine a confirmé que certaines entreprises utilisent des HFC de manière </w:t>
      </w:r>
      <w:r w:rsidRPr="00075237">
        <w:lastRenderedPageBreak/>
        <w:t>transitoire comme substituts pour le HCFC-141b dans le secteur de la fabrication de la mousse de PU, dans une tentative de rapprocher les engagements environnementaux de la durabilité économique.</w:t>
      </w:r>
    </w:p>
    <w:p w14:paraId="44BD85BB" w14:textId="47B66266" w:rsidR="00FA57E8" w:rsidRPr="00075237" w:rsidRDefault="00FA57E8" w:rsidP="00FA57E8">
      <w:pPr>
        <w:pStyle w:val="Heading1"/>
      </w:pPr>
      <w:r w:rsidRPr="00075237">
        <w:t>Le gouvernement de l’Argentine a réitéré que l’usage des HFC dans le secteur de la fabrication de la mousse de PU n’est pas une solution à long terme et les entreprises de formulation locales ont exprimé leur volonté à adopter les HFO comme substitut une fois que les obstacles de prix et d’approvisionnement seront résolus. Le gouvernement considère que les fournisseurs sont un élément clé dans l’adoption de la technologie et que le pays a besoin d</w:t>
      </w:r>
      <w:r w:rsidR="009A61B8" w:rsidRPr="00075237">
        <w:t>u</w:t>
      </w:r>
      <w:r w:rsidRPr="00075237">
        <w:t xml:space="preserve"> soutien des pays produisant des HFO pour s’assurer d’un approvisionnement local fiable.</w:t>
      </w:r>
    </w:p>
    <w:p w14:paraId="35C04142" w14:textId="77777777" w:rsidR="00FA57E8" w:rsidRPr="00075237" w:rsidRDefault="00FA57E8" w:rsidP="00FA57E8">
      <w:pPr>
        <w:pStyle w:val="Heading1"/>
        <w:numPr>
          <w:ilvl w:val="0"/>
          <w:numId w:val="0"/>
        </w:numPr>
        <w:rPr>
          <w:b/>
        </w:rPr>
      </w:pPr>
      <w:r w:rsidRPr="00075237">
        <w:rPr>
          <w:b/>
        </w:rPr>
        <w:t>Observations du Secrétariat</w:t>
      </w:r>
    </w:p>
    <w:p w14:paraId="2B945127" w14:textId="77777777" w:rsidR="00FA57E8" w:rsidRPr="00075237" w:rsidRDefault="00FA57E8" w:rsidP="00FA57E8">
      <w:pPr>
        <w:pStyle w:val="Heading1"/>
      </w:pPr>
      <w:r w:rsidRPr="00075237">
        <w:t>Le Secrétariat prend note du rapport de situation fournissant une mise à jour au sujet des prix sur le marché local et la disponibilité des HFO, des efforts du gouvernement dans l’exploration de l’utilisation des autres substituts à faible PRG, la confirmation que certaines entreprises utilisent des HFC de façon temporaire comme solution de remplacement pour le HCFC-141b dans le secteur de la fabrication de la mousse de PU, ainsi que la réaffirmation quant à la volonté des entreprises de formulation locales à adopter les HFO comme solution de remplacement une fois que les obstacles de prix et d’approvisionnement seront résolus.</w:t>
      </w:r>
    </w:p>
    <w:p w14:paraId="73FA0647" w14:textId="77777777" w:rsidR="00FA57E8" w:rsidRPr="00075237" w:rsidRDefault="00FA57E8" w:rsidP="00FA57E8">
      <w:pPr>
        <w:pStyle w:val="Heading1"/>
      </w:pPr>
      <w:r w:rsidRPr="00075237">
        <w:t>Le rapport présenté par l’ONUDI met également en évidence le rôle des fournisseurs et le besoin de soutien de la part des pays produisant des HFO pour assurer l’approvisionnement local en HFO. En notant que le problème de la disponibilité des solutions de remplacement dans la fabrication de la mousse de PU fera l’objet d’une discussion au point 10 de l’ordre du jour de la 94</w:t>
      </w:r>
      <w:r w:rsidRPr="00075237">
        <w:rPr>
          <w:vertAlign w:val="superscript"/>
        </w:rPr>
        <w:t>e</w:t>
      </w:r>
      <w:r w:rsidRPr="00075237">
        <w:t xml:space="preserve"> réunion du Comité exécutif, le Secrétariat a inclus des renseignements relatifs au projet sur la fabrication de la mousse de PU en Argentine dans le document UNEP/OzL.Pro/ExCom/94/58. </w:t>
      </w:r>
    </w:p>
    <w:p w14:paraId="59CFCC13" w14:textId="77777777" w:rsidR="00FA57E8" w:rsidRPr="00075237" w:rsidRDefault="00FA57E8" w:rsidP="00FA57E8">
      <w:pPr>
        <w:pStyle w:val="Heading1"/>
      </w:pPr>
      <w:r w:rsidRPr="00075237">
        <w:t xml:space="preserve">En notant que des solutions de remplacement à fort PRG sont utilisées de façon transitoire, le Secrétariat recommande, en accord avec la décision 92/31(c)ii), que le gouvernement de l’Argentine continue de présenter des rapports à ce sujet au Comité exécutif. </w:t>
      </w:r>
    </w:p>
    <w:p w14:paraId="13D4DF87" w14:textId="77777777" w:rsidR="00FA57E8" w:rsidRPr="00075237" w:rsidRDefault="00FA57E8" w:rsidP="00BB11AD">
      <w:pPr>
        <w:keepNext/>
        <w:keepLines/>
        <w:spacing w:after="240"/>
        <w:outlineLvl w:val="0"/>
        <w:rPr>
          <w:b/>
        </w:rPr>
      </w:pPr>
      <w:r w:rsidRPr="00075237">
        <w:rPr>
          <w:b/>
        </w:rPr>
        <w:t>Recommandation</w:t>
      </w:r>
    </w:p>
    <w:p w14:paraId="689003B9" w14:textId="77777777" w:rsidR="00FA57E8" w:rsidRPr="00075237" w:rsidRDefault="00FA57E8" w:rsidP="00BB11AD">
      <w:pPr>
        <w:keepNext/>
        <w:numPr>
          <w:ilvl w:val="0"/>
          <w:numId w:val="1"/>
        </w:numPr>
        <w:tabs>
          <w:tab w:val="clear" w:pos="284"/>
          <w:tab w:val="num" w:pos="0"/>
        </w:tabs>
        <w:spacing w:after="240"/>
        <w:ind w:left="0"/>
        <w:outlineLvl w:val="0"/>
      </w:pPr>
      <w:r w:rsidRPr="00075237">
        <w:t>Le Comité exécutif pourrait envisager :</w:t>
      </w:r>
    </w:p>
    <w:p w14:paraId="77EBCD8F" w14:textId="77777777" w:rsidR="00FA57E8" w:rsidRPr="00075237" w:rsidRDefault="00FA57E8" w:rsidP="00BB11AD">
      <w:pPr>
        <w:pStyle w:val="Heading2"/>
        <w:keepNext/>
        <w:widowControl/>
        <w:numPr>
          <w:ilvl w:val="1"/>
          <w:numId w:val="1"/>
        </w:numPr>
      </w:pPr>
      <w:r w:rsidRPr="00075237">
        <w:t xml:space="preserve">De prendre note de la situation sur la </w:t>
      </w:r>
      <w:bookmarkStart w:id="2" w:name="_Hlk152497896"/>
      <w:r w:rsidRPr="00075237">
        <w:t>disponibilité des solutions de remplacement à faible potentiel de réchauffement de la planète (PRG) pour le HCFC-141b dans le secteur de la fabrication de la mousse et sur l’usage transitoire des solutions de remplacement à fort PRG</w:t>
      </w:r>
      <w:bookmarkEnd w:id="2"/>
      <w:r w:rsidRPr="00075237">
        <w:t xml:space="preserve"> dans le contexte de la phase II du plan de gestion de l’élimination des HCFC de l’Argentine, fourni par l’ONUDI et contenu dans le document UNEP/OzL.Pro/ExCom/94/9;</w:t>
      </w:r>
    </w:p>
    <w:p w14:paraId="2C39E2BB" w14:textId="77777777" w:rsidR="00FA57E8" w:rsidRPr="00075237" w:rsidRDefault="00FA57E8" w:rsidP="00FA57E8">
      <w:pPr>
        <w:pStyle w:val="Heading2"/>
        <w:numPr>
          <w:ilvl w:val="1"/>
          <w:numId w:val="1"/>
        </w:numPr>
      </w:pPr>
      <w:r w:rsidRPr="00075237">
        <w:t>De demander au gouvernement de l’Argentine, en accord avec la décision 92/31(c)ii), de fournir une mise à jour à la 95</w:t>
      </w:r>
      <w:r w:rsidRPr="00075237">
        <w:rPr>
          <w:vertAlign w:val="superscript"/>
        </w:rPr>
        <w:t>e</w:t>
      </w:r>
      <w:r w:rsidRPr="00075237">
        <w:t> réunion au sujet de la disponibilité sur le marché local des solutions de remplacement à faible PRG pour le HCFC-141b dans le secteur de la fabrication de la mousse et de l’usage transitoire des solutions de remplacement à fort PRG.</w:t>
      </w:r>
    </w:p>
    <w:p w14:paraId="36402BF1" w14:textId="77777777" w:rsidR="00EE5A7D" w:rsidRPr="00075237" w:rsidRDefault="00EE5A7D" w:rsidP="00EE5A7D">
      <w:pPr>
        <w:keepNext/>
        <w:spacing w:after="240"/>
        <w:rPr>
          <w:b/>
        </w:rPr>
      </w:pPr>
      <w:r w:rsidRPr="00075237">
        <w:rPr>
          <w:b/>
          <w:u w:val="single"/>
        </w:rPr>
        <w:lastRenderedPageBreak/>
        <w:t>Chili : Plan de gestion de l’élimination des HCFC (phase II –</w:t>
      </w:r>
      <w:r w:rsidRPr="00075237">
        <w:rPr>
          <w:u w:val="single"/>
        </w:rPr>
        <w:t xml:space="preserve"> </w:t>
      </w:r>
      <w:r w:rsidRPr="00075237">
        <w:rPr>
          <w:b/>
          <w:bCs/>
          <w:u w:val="single"/>
        </w:rPr>
        <w:t>rapport périodique final</w:t>
      </w:r>
      <w:r w:rsidRPr="00075237">
        <w:rPr>
          <w:b/>
          <w:u w:val="single"/>
        </w:rPr>
        <w:t xml:space="preserve"> sur la mise en œuvre du programme de travail associé à la tranche finale)</w:t>
      </w:r>
      <w:r w:rsidRPr="00075237">
        <w:rPr>
          <w:b/>
        </w:rPr>
        <w:t xml:space="preserve"> (PNUD, PNUE et ONUDI)</w:t>
      </w:r>
    </w:p>
    <w:p w14:paraId="56E2915E" w14:textId="77777777" w:rsidR="00EE5A7D" w:rsidRPr="00075237" w:rsidRDefault="00EE5A7D" w:rsidP="00EE5A7D">
      <w:pPr>
        <w:keepNext/>
        <w:spacing w:after="240"/>
        <w:ind w:left="1440" w:hanging="1440"/>
        <w:rPr>
          <w:b/>
        </w:rPr>
      </w:pPr>
      <w:r w:rsidRPr="00075237">
        <w:rPr>
          <w:b/>
        </w:rPr>
        <w:t>Contexte</w:t>
      </w:r>
    </w:p>
    <w:p w14:paraId="4CEFB4AA" w14:textId="284E84DF" w:rsidR="00EE5A7D" w:rsidRPr="00075237" w:rsidRDefault="00EE5A7D" w:rsidP="00EE5A7D">
      <w:pPr>
        <w:pStyle w:val="Heading1"/>
      </w:pPr>
      <w:r w:rsidRPr="00075237">
        <w:t>La phase II du plan de gestion de l’élimination des HCFC (PGEH) pour le Chili a été approuvée en principe à la 76</w:t>
      </w:r>
      <w:r w:rsidRPr="00075237">
        <w:rPr>
          <w:vertAlign w:val="superscript"/>
        </w:rPr>
        <w:t>e</w:t>
      </w:r>
      <w:r w:rsidRPr="00075237">
        <w:t> réunion</w:t>
      </w:r>
      <w:r w:rsidRPr="00075237">
        <w:rPr>
          <w:rStyle w:val="FootnoteReference"/>
        </w:rPr>
        <w:footnoteReference w:id="3"/>
      </w:r>
      <w:r w:rsidRPr="00075237">
        <w:t xml:space="preserve"> et la troisième et dernière tranche a été approuvée à la 85</w:t>
      </w:r>
      <w:r w:rsidRPr="00075237">
        <w:rPr>
          <w:vertAlign w:val="superscript"/>
        </w:rPr>
        <w:t>e</w:t>
      </w:r>
      <w:r w:rsidRPr="00075237">
        <w:t> réunion</w:t>
      </w:r>
      <w:r w:rsidRPr="00075237">
        <w:rPr>
          <w:rStyle w:val="FootnoteReference"/>
        </w:rPr>
        <w:footnoteReference w:id="4"/>
      </w:r>
      <w:r w:rsidRPr="00075237">
        <w:t>. À la 90</w:t>
      </w:r>
      <w:r w:rsidRPr="00075237">
        <w:rPr>
          <w:vertAlign w:val="superscript"/>
        </w:rPr>
        <w:t>e</w:t>
      </w:r>
      <w:r w:rsidRPr="00075237">
        <w:t> réunion, le Comité exécutif a approuvé, de manière exceptionnelle, la prolongation de la date d’achèvement de la phase II du PGEH pour le Chili jusqu’au 3</w:t>
      </w:r>
      <w:r w:rsidR="00ED1ACF" w:rsidRPr="00075237">
        <w:t>0</w:t>
      </w:r>
      <w:r w:rsidRPr="00075237">
        <w:t> juin 2023, compte tenu des retards dans la mise en œuvre des activités d’élimination en raison de la pandémie de COVID-19 et a demandé au gouvernement du Chili, par le biais du PNUD à titre d’agence d’exécution principale, de présenter à la deuxième réunion de 2023, un rapport périodique sur la mise en œuvre du programme de travail associé à la dernière tranche et le rapport d’achèvement de projet</w:t>
      </w:r>
      <w:r w:rsidRPr="00075237">
        <w:rPr>
          <w:rStyle w:val="FootnoteReference"/>
        </w:rPr>
        <w:footnoteReference w:id="5"/>
      </w:r>
      <w:r w:rsidRPr="00075237">
        <w:t>.</w:t>
      </w:r>
    </w:p>
    <w:p w14:paraId="22F2BEB8" w14:textId="1EFC2414" w:rsidR="00EE5A7D" w:rsidRPr="00075237" w:rsidRDefault="00EE5A7D" w:rsidP="00EE5A7D">
      <w:pPr>
        <w:pStyle w:val="Heading1"/>
        <w:keepNext/>
        <w:rPr>
          <w:iCs/>
        </w:rPr>
      </w:pPr>
      <w:r w:rsidRPr="00075237">
        <w:t>Au nom du gouvernement du Chili, le PNUD, à titre d’agence d’exécution principale, a présenté le rapport périodique sur la mise en œuvre du programme de travail associé à la troisième et dernière tranche du PGEH, en accord avec la décision 90/10(d). Le rapport d’achèvement de projet a été présenté en octobre</w:t>
      </w:r>
      <w:r w:rsidR="00301CFE" w:rsidRPr="00075237">
        <w:t> </w:t>
      </w:r>
      <w:r w:rsidRPr="00075237">
        <w:t xml:space="preserve">2023. </w:t>
      </w:r>
    </w:p>
    <w:p w14:paraId="558B4DF8" w14:textId="77777777" w:rsidR="00EE5A7D" w:rsidRPr="00075237" w:rsidRDefault="00EE5A7D" w:rsidP="00EE5A7D">
      <w:pPr>
        <w:spacing w:after="240"/>
        <w:jc w:val="left"/>
        <w:rPr>
          <w:i/>
        </w:rPr>
      </w:pPr>
      <w:r w:rsidRPr="00075237">
        <w:rPr>
          <w:i/>
        </w:rPr>
        <w:t>Consommation des HCFC</w:t>
      </w:r>
    </w:p>
    <w:p w14:paraId="5C3AF49D" w14:textId="77777777" w:rsidR="00EE5A7D" w:rsidRPr="00075237" w:rsidRDefault="00EE5A7D" w:rsidP="00EE5A7D">
      <w:pPr>
        <w:pStyle w:val="Heading1"/>
      </w:pPr>
      <w:r w:rsidRPr="00075237">
        <w:t xml:space="preserve">Le gouvernement du Chili a communiqué une consommation de 18,37 tonnes PAO de HCFC en 2022, ce qui est 79 pour cent inférieur à la valeur de référence pour la conformité de 87,5 tonnes PAO. </w:t>
      </w:r>
    </w:p>
    <w:p w14:paraId="5CC71CDA" w14:textId="77777777" w:rsidR="00EE5A7D" w:rsidRPr="00075237" w:rsidRDefault="00EE5A7D" w:rsidP="00EE5A7D">
      <w:pPr>
        <w:rPr>
          <w:u w:val="single"/>
        </w:rPr>
      </w:pPr>
      <w:r w:rsidRPr="00075237">
        <w:rPr>
          <w:u w:val="single"/>
        </w:rPr>
        <w:t>Rapport périodique sur la mise en œuvre de la troisième et dernière tranche de la phase II du PGEH</w:t>
      </w:r>
    </w:p>
    <w:p w14:paraId="5DAAADA9" w14:textId="77777777" w:rsidR="00EE5A7D" w:rsidRPr="00075237" w:rsidRDefault="00EE5A7D" w:rsidP="00EE5A7D"/>
    <w:p w14:paraId="77D51DC2" w14:textId="77777777" w:rsidR="00EE5A7D" w:rsidRPr="00075237" w:rsidRDefault="00EE5A7D" w:rsidP="00EE5A7D">
      <w:pPr>
        <w:keepNext/>
        <w:spacing w:after="240"/>
        <w:jc w:val="left"/>
        <w:rPr>
          <w:i/>
        </w:rPr>
      </w:pPr>
      <w:r w:rsidRPr="00075237">
        <w:rPr>
          <w:i/>
        </w:rPr>
        <w:t>Cadre juridique</w:t>
      </w:r>
    </w:p>
    <w:p w14:paraId="45E394DC" w14:textId="247CA909" w:rsidR="00EB40F3" w:rsidRPr="00075237" w:rsidRDefault="00EE5A7D" w:rsidP="00EE5A7D">
      <w:pPr>
        <w:pStyle w:val="Heading1"/>
      </w:pPr>
      <w:r w:rsidRPr="00075237">
        <w:t>Pendant la dernière tranche de la phase II, l’unité nationale de l’ozone (UNO) a continué à renforcer la surveillance et le système d’application de la loi, y compris la mise à jour des positions tarifaires et des descripteurs pour le contrôle des HCFC et des HFC ainsi que de</w:t>
      </w:r>
      <w:r w:rsidR="005E51BA" w:rsidRPr="00075237">
        <w:t>s</w:t>
      </w:r>
      <w:r w:rsidRPr="00075237">
        <w:t xml:space="preserve"> polyols complètement formulés. Trois ateliers de formation ont été organisés pour un total de 57 agents des douanes (dont 23</w:t>
      </w:r>
      <w:r w:rsidR="00E11E32" w:rsidRPr="00075237">
        <w:t> </w:t>
      </w:r>
      <w:r w:rsidRPr="00075237">
        <w:t>femmes). Du matériel de laboratoire pour l’analyse chimique des SAO frigorigènes et des polyols complètement formulés a été acheté pour appuyer l’application de la loi par le biais du laboratoire des douanes. Le système de registre pour les produits et l’équipement</w:t>
      </w:r>
      <w:r w:rsidRPr="00075237">
        <w:rPr>
          <w:rStyle w:val="FootnoteReference"/>
          <w:lang w:eastAsia="zh-CN"/>
        </w:rPr>
        <w:footnoteReference w:id="6"/>
      </w:r>
      <w:r w:rsidRPr="00075237">
        <w:t xml:space="preserve"> contenant ou utilisant des HCFC a continué d’être mis au point et testé, et il est actuellement ajusté pour son intégration à la plateforme Web sur le registre des rejets et transferts polluants du ministère de l’Environnement. Une séance de formation sur le nouveau processus d’enregistrement a eu lieu pour 91 agents des douanes (dont 36 femmes), et des livrets et dépliants informatifs ont été imprimés et publiés en ligne. Le nouveau décret pour mettre à jour la r</w:t>
      </w:r>
      <w:r w:rsidR="0084750B" w:rsidRPr="00075237">
        <w:t>é</w:t>
      </w:r>
      <w:r w:rsidRPr="00075237">
        <w:t>glementation comprenant les quotas pour les HFC et l’accord pour la phase III du PGEH a été approuvé par le conseil des ministres en juillet 2023, et il devrait entrer en vigueur pendant la première moitié de 2024.</w:t>
      </w:r>
    </w:p>
    <w:p w14:paraId="52871D52" w14:textId="4B161988" w:rsidR="00EE5A7D" w:rsidRPr="00075237" w:rsidRDefault="00EB40F3" w:rsidP="00EB40F3">
      <w:pPr>
        <w:jc w:val="left"/>
      </w:pPr>
      <w:r w:rsidRPr="00075237">
        <w:br w:type="page"/>
      </w:r>
    </w:p>
    <w:p w14:paraId="46D29FA7" w14:textId="77777777" w:rsidR="00EE5A7D" w:rsidRPr="00075237" w:rsidRDefault="00EE5A7D" w:rsidP="00EE5A7D">
      <w:pPr>
        <w:pStyle w:val="Heading1"/>
        <w:widowControl w:val="0"/>
        <w:numPr>
          <w:ilvl w:val="0"/>
          <w:numId w:val="0"/>
        </w:numPr>
        <w:tabs>
          <w:tab w:val="left" w:pos="720"/>
        </w:tabs>
      </w:pPr>
      <w:r w:rsidRPr="00075237">
        <w:rPr>
          <w:i/>
        </w:rPr>
        <w:lastRenderedPageBreak/>
        <w:t>Secteur de la fabrication de la mousse de polyuréthane</w:t>
      </w:r>
    </w:p>
    <w:p w14:paraId="19439A71" w14:textId="77777777" w:rsidR="00EE5A7D" w:rsidRPr="00075237" w:rsidRDefault="00EE5A7D" w:rsidP="00EE5A7D">
      <w:pPr>
        <w:pStyle w:val="Heading1"/>
      </w:pPr>
      <w:bookmarkStart w:id="3" w:name="_Hlk104655080"/>
      <w:r w:rsidRPr="00075237">
        <w:t>Pendant la dernière tranche de la phase II, les dernières entreprises de mousse de polyuréthane (PU) ont achevé les conversions, entraînant une élimination totale de 20,46 tonnes PAO (185,98 tm) de HCFC-141b découlant des conversions pendant la phase II du PGEH, réparties ainsi :</w:t>
      </w:r>
    </w:p>
    <w:p w14:paraId="5188B38C" w14:textId="77777777" w:rsidR="00EE5A7D" w:rsidRPr="00075237" w:rsidRDefault="00EE5A7D" w:rsidP="00EE5A7D">
      <w:pPr>
        <w:rPr>
          <w:i/>
          <w:iCs/>
          <w:u w:val="single"/>
        </w:rPr>
      </w:pPr>
      <w:r w:rsidRPr="00075237">
        <w:rPr>
          <w:i/>
          <w:iCs/>
          <w:u w:val="single"/>
        </w:rPr>
        <w:t xml:space="preserve">Conversions individuelles (panneaux discontinus) </w:t>
      </w:r>
    </w:p>
    <w:p w14:paraId="045CDB2E" w14:textId="77777777" w:rsidR="00EE5A7D" w:rsidRPr="00075237" w:rsidRDefault="00EE5A7D" w:rsidP="00EE5A7D"/>
    <w:p w14:paraId="7951149A" w14:textId="77777777" w:rsidR="00EE5A7D" w:rsidRPr="00075237" w:rsidRDefault="00EE5A7D" w:rsidP="00EE5A7D">
      <w:pPr>
        <w:pStyle w:val="Heading2"/>
        <w:numPr>
          <w:ilvl w:val="1"/>
          <w:numId w:val="1"/>
        </w:numPr>
        <w:tabs>
          <w:tab w:val="clear" w:pos="0"/>
          <w:tab w:val="num" w:pos="90"/>
        </w:tabs>
        <w:ind w:left="1530"/>
      </w:pPr>
      <w:r w:rsidRPr="00075237">
        <w:t>Huit entreprises ont achevé leurs conversions vers les HFO (une entreprise s’est convertie au cyclopentane et au HFO) en tant qu’entreprises individuelles, avec une élimination de 13,21 tonnes PAO (120,10 tm) de HCFC-141b. Des cinq entreprises initialement incluses pour la conversion individuelle</w:t>
      </w:r>
      <w:r w:rsidRPr="00075237">
        <w:rPr>
          <w:rStyle w:val="FootnoteReference"/>
        </w:rPr>
        <w:footnoteReference w:id="7"/>
      </w:r>
      <w:r w:rsidRPr="00075237">
        <w:t>, une entreprise, Superfrigo, s’est retirée du projet, tandis que quatre entreprises supplémentaires des projets de groupe ont été ajoutées à la conversion individuelle, soit deux provenant du projet Austral Chemicals Chile S.A. (Austal) et deux du projet de groupe Ixom Chile S.A. (Ixom);</w:t>
      </w:r>
    </w:p>
    <w:p w14:paraId="36904E2F" w14:textId="77777777" w:rsidR="00EE5A7D" w:rsidRPr="00075237" w:rsidRDefault="00EE5A7D" w:rsidP="00EE5A7D">
      <w:pPr>
        <w:rPr>
          <w:i/>
          <w:iCs/>
          <w:u w:val="single"/>
        </w:rPr>
      </w:pPr>
      <w:r w:rsidRPr="00075237">
        <w:rPr>
          <w:i/>
          <w:iCs/>
          <w:u w:val="single"/>
        </w:rPr>
        <w:t>Projets de groupe (panneaux discontinus et mousse pulvérisée)</w:t>
      </w:r>
    </w:p>
    <w:p w14:paraId="59142CD3" w14:textId="77777777" w:rsidR="00EE5A7D" w:rsidRPr="00075237" w:rsidRDefault="00EE5A7D" w:rsidP="00EE5A7D">
      <w:pPr>
        <w:rPr>
          <w:i/>
          <w:iCs/>
          <w:u w:val="single"/>
        </w:rPr>
      </w:pPr>
    </w:p>
    <w:p w14:paraId="76088CFD" w14:textId="48A59EB9" w:rsidR="00EE5A7D" w:rsidRPr="00075237" w:rsidRDefault="00EE5A7D" w:rsidP="00EE5A7D">
      <w:pPr>
        <w:pStyle w:val="Heading2"/>
        <w:numPr>
          <w:ilvl w:val="1"/>
          <w:numId w:val="1"/>
        </w:numPr>
        <w:tabs>
          <w:tab w:val="clear" w:pos="0"/>
          <w:tab w:val="num" w:pos="90"/>
        </w:tabs>
        <w:ind w:left="1530"/>
      </w:pPr>
      <w:r w:rsidRPr="00075237">
        <w:rPr>
          <w:i/>
          <w:iCs/>
        </w:rPr>
        <w:t>Projet du groupe Austral :</w:t>
      </w:r>
      <w:r w:rsidRPr="00075237">
        <w:t xml:space="preserve"> </w:t>
      </w:r>
      <w:r w:rsidR="008001E8" w:rsidRPr="00075237">
        <w:t>d</w:t>
      </w:r>
      <w:r w:rsidRPr="00075237">
        <w:t>es 28 entreprises initialement incluses, 25 ont achevé leurs conversions vers la technologie de HFO pour une élimination totale de 6,37 tonnes PAO (57,90 tm); deux entreprises se sont entièrement retirées du projet; deux entreprises se sont converties en tant qu’entreprises individuelles</w:t>
      </w:r>
      <w:r w:rsidRPr="00075237">
        <w:rPr>
          <w:rStyle w:val="FootnoteReference"/>
        </w:rPr>
        <w:footnoteReference w:id="8"/>
      </w:r>
      <w:r w:rsidRPr="00075237">
        <w:t>; et une entreprise anciennement incluse dans le projet de groupe Ixcom s’est jointe à ce projet de groupe;</w:t>
      </w:r>
    </w:p>
    <w:p w14:paraId="4115CD28" w14:textId="2DCEEFBE" w:rsidR="00EE5A7D" w:rsidRPr="00075237" w:rsidRDefault="00EE5A7D" w:rsidP="00EE5A7D">
      <w:pPr>
        <w:pStyle w:val="Heading2"/>
        <w:numPr>
          <w:ilvl w:val="1"/>
          <w:numId w:val="1"/>
        </w:numPr>
        <w:tabs>
          <w:tab w:val="clear" w:pos="0"/>
          <w:tab w:val="num" w:pos="90"/>
        </w:tabs>
        <w:ind w:left="1530"/>
      </w:pPr>
      <w:r w:rsidRPr="00075237">
        <w:rPr>
          <w:i/>
          <w:iCs/>
        </w:rPr>
        <w:t>Projet du groupe Ixcom :</w:t>
      </w:r>
      <w:r w:rsidRPr="00075237">
        <w:t xml:space="preserve"> </w:t>
      </w:r>
      <w:r w:rsidR="008001E8" w:rsidRPr="00075237">
        <w:t>d</w:t>
      </w:r>
      <w:r w:rsidRPr="00075237">
        <w:t xml:space="preserve">es huit entreprises initialement incluses, cinq entreprises ont achevé leurs conversions vers la technologie de HFO pour une élimination totale de 0,88 tonne PAO (7,98 tm), trois entreprises se sont entièrement retirées du projet; trois entreprises admissibles se sont jointes au projet; deux entreprises se sont converties en tant qu’entreprises individuelles sans aide du Fonds multilatéral; et une entreprise </w:t>
      </w:r>
      <w:r w:rsidR="005D6DD5" w:rsidRPr="00075237">
        <w:t>s’est retirée</w:t>
      </w:r>
      <w:r w:rsidRPr="00075237">
        <w:t xml:space="preserve"> pour se joindre au groupe Austral. </w:t>
      </w:r>
    </w:p>
    <w:bookmarkEnd w:id="3"/>
    <w:p w14:paraId="7C6C4C1F" w14:textId="77777777" w:rsidR="00EE5A7D" w:rsidRPr="00075237" w:rsidRDefault="00EE5A7D" w:rsidP="00EE5A7D">
      <w:pPr>
        <w:keepNext/>
        <w:keepLines/>
        <w:jc w:val="left"/>
        <w:rPr>
          <w:i/>
        </w:rPr>
      </w:pPr>
      <w:r w:rsidRPr="00075237">
        <w:rPr>
          <w:i/>
        </w:rPr>
        <w:t>Secteur de l’entretien de l’équipement de réfrigération</w:t>
      </w:r>
    </w:p>
    <w:p w14:paraId="61B1443C" w14:textId="77777777" w:rsidR="00EE5A7D" w:rsidRPr="00075237" w:rsidRDefault="00EE5A7D" w:rsidP="00EE5A7D">
      <w:pPr>
        <w:keepNext/>
        <w:keepLines/>
        <w:jc w:val="left"/>
        <w:rPr>
          <w:i/>
        </w:rPr>
      </w:pPr>
    </w:p>
    <w:p w14:paraId="68939F1D" w14:textId="77777777" w:rsidR="00EE5A7D" w:rsidRPr="00075237" w:rsidRDefault="00EE5A7D" w:rsidP="00EE5A7D">
      <w:pPr>
        <w:pStyle w:val="Heading1"/>
      </w:pPr>
      <w:r w:rsidRPr="00075237">
        <w:t>Les activités suivantes ont été mises en œuvre depuis le dernier rapport périodique :</w:t>
      </w:r>
    </w:p>
    <w:p w14:paraId="024C1C44" w14:textId="5269C105" w:rsidR="00EE5A7D" w:rsidRPr="00075237" w:rsidRDefault="00EE5A7D" w:rsidP="00463C75">
      <w:pPr>
        <w:pStyle w:val="Heading2"/>
        <w:widowControl/>
        <w:numPr>
          <w:ilvl w:val="1"/>
          <w:numId w:val="1"/>
        </w:numPr>
        <w:tabs>
          <w:tab w:val="clear" w:pos="0"/>
          <w:tab w:val="num" w:pos="90"/>
        </w:tabs>
        <w:ind w:left="1531"/>
      </w:pPr>
      <w:r w:rsidRPr="00075237">
        <w:rPr>
          <w:i/>
          <w:iCs/>
        </w:rPr>
        <w:t>Formation sur les bonnes pratiques d’entretien, certification des techniciens et assistance technique dans le secteur de la réfrigération et de la climatisation :</w:t>
      </w:r>
      <w:r w:rsidRPr="00075237">
        <w:t xml:space="preserve"> quatre ateliers de formation </w:t>
      </w:r>
      <w:r w:rsidR="00807B87" w:rsidRPr="00075237">
        <w:t>ont</w:t>
      </w:r>
      <w:r w:rsidRPr="00075237">
        <w:t xml:space="preserve"> eu lieu sur les pratiques exemplaires en réfrigération pour un total de 126 techniciens (dont 10 femmes); 37 techniciens (dont deux femmes) ont reçu une certification dans au moins deux catégories du Centre d’évaluation et de certification des compétences des travailleurs, pour un total de 318 techniciens certifiés; l’UNO continue de participer comme homologue technique dans la 4</w:t>
      </w:r>
      <w:r w:rsidRPr="00075237">
        <w:rPr>
          <w:vertAlign w:val="superscript"/>
        </w:rPr>
        <w:t>e</w:t>
      </w:r>
      <w:r w:rsidRPr="00075237">
        <w:t> entente de production propre sur les aliments transformés du secteur agro-industriel pour encourager l’usage de substituts aux HCFC et aux HFC dans les installations agro-industrielles;</w:t>
      </w:r>
    </w:p>
    <w:p w14:paraId="3CE5126D" w14:textId="77777777" w:rsidR="00EE5A7D" w:rsidRPr="00075237" w:rsidRDefault="00EE5A7D" w:rsidP="00EE5A7D">
      <w:pPr>
        <w:pStyle w:val="Heading2"/>
        <w:numPr>
          <w:ilvl w:val="1"/>
          <w:numId w:val="1"/>
        </w:numPr>
        <w:tabs>
          <w:tab w:val="clear" w:pos="0"/>
          <w:tab w:val="num" w:pos="90"/>
        </w:tabs>
        <w:ind w:left="1530"/>
      </w:pPr>
      <w:r w:rsidRPr="00075237">
        <w:rPr>
          <w:i/>
          <w:iCs/>
        </w:rPr>
        <w:t>Programme de récupération, de recyclage et de régénération :</w:t>
      </w:r>
      <w:r w:rsidRPr="00075237">
        <w:t xml:space="preserve"> toutes les unités de régénération et l’équipement connexe (c.-à-d. trois unités de recyclage, trois identifiants de frigorigènes, 90 bonbonnes réutilisables de récupération de frigorigènes à faible capacité, 90 à moyenne capacité et six à grande capacité; et trois tubes à centrifugeuse en </w:t>
      </w:r>
      <w:r w:rsidRPr="00075237">
        <w:lastRenderedPageBreak/>
        <w:t xml:space="preserve">forme de poire) ont été livrés aux trois centres de recyclage et de régénération, et la formation connexe a été dispensée; </w:t>
      </w:r>
    </w:p>
    <w:p w14:paraId="3B00C282" w14:textId="77777777" w:rsidR="00EE5A7D" w:rsidRPr="00075237" w:rsidRDefault="00EE5A7D" w:rsidP="00EE5A7D">
      <w:pPr>
        <w:pStyle w:val="Heading2"/>
        <w:numPr>
          <w:ilvl w:val="1"/>
          <w:numId w:val="1"/>
        </w:numPr>
        <w:tabs>
          <w:tab w:val="clear" w:pos="0"/>
          <w:tab w:val="num" w:pos="90"/>
        </w:tabs>
        <w:ind w:left="1530"/>
      </w:pPr>
      <w:r w:rsidRPr="00075237">
        <w:rPr>
          <w:i/>
          <w:iCs/>
        </w:rPr>
        <w:t>Conversions démonstratives dans les chambres froides et les climatiseurs</w:t>
      </w:r>
      <w:r w:rsidRPr="00075237">
        <w:t> : les conversions ont été achevées chez deux bénéficiaires : une entreprise de transformation du poisson, Marine Farm, qui a converti sa chambre froide à l’ammoniac, éliminant 0,32 tonne PAO (5,82 tm) de HCFC-22, et un hôpital, l’Hôpital Luis Tisne, qui a converti son refroidisseur au HFO-1234ze, éliminant 0,08 tonne PAO de HCFC-22;</w:t>
      </w:r>
    </w:p>
    <w:p w14:paraId="2732B6B7" w14:textId="77777777" w:rsidR="00EE5A7D" w:rsidRPr="00075237" w:rsidRDefault="00EE5A7D" w:rsidP="00EE5A7D">
      <w:pPr>
        <w:pStyle w:val="Heading2"/>
        <w:numPr>
          <w:ilvl w:val="1"/>
          <w:numId w:val="1"/>
        </w:numPr>
        <w:tabs>
          <w:tab w:val="clear" w:pos="0"/>
          <w:tab w:val="num" w:pos="90"/>
        </w:tabs>
        <w:ind w:left="1530"/>
      </w:pPr>
      <w:r w:rsidRPr="00075237">
        <w:rPr>
          <w:i/>
          <w:iCs/>
        </w:rPr>
        <w:t>Programme de sensibilisation :</w:t>
      </w:r>
      <w:r w:rsidRPr="00075237">
        <w:t xml:space="preserve"> les activités de sensibilisation se sont poursuivies en ligne sur des sites Web et les médias sociaux; des bulletins sur les activités, les formations et les règlements ont été publiés; pour appuyer la future formation des agents des douanes, l’identification des bonbonnes de frigorigènes saisies a été enregistrée sur vidéo pour élaborer de courtes vidéos de formation; pour appuyer le secteur de l’entretien, des vidéos ont été produites au sujet de deux projets de démonstration, du nouveau centre de régénération, du processus de certification, du recyclage des frigorigènes, des bonnes pratiques de fonctionnement pour l’équipement fonctionnant aux HCFC, ainsi que sur les nouvelles technologies et l’efficacité énergétique.</w:t>
      </w:r>
    </w:p>
    <w:p w14:paraId="5F985AE0" w14:textId="77777777" w:rsidR="00EE5A7D" w:rsidRPr="00075237" w:rsidRDefault="00EE5A7D" w:rsidP="00EE5A7D">
      <w:pPr>
        <w:pStyle w:val="Heading2"/>
        <w:numPr>
          <w:ilvl w:val="0"/>
          <w:numId w:val="0"/>
        </w:numPr>
        <w:tabs>
          <w:tab w:val="num" w:pos="90"/>
          <w:tab w:val="num" w:pos="360"/>
        </w:tabs>
        <w:rPr>
          <w:rFonts w:eastAsia="SimSun"/>
        </w:rPr>
      </w:pPr>
      <w:r w:rsidRPr="00075237">
        <w:rPr>
          <w:i/>
        </w:rPr>
        <w:t>Unité de mise en œuvre et de suivi de projet (PMU)</w:t>
      </w:r>
    </w:p>
    <w:p w14:paraId="72E33FC1" w14:textId="65E19023" w:rsidR="00EE5A7D" w:rsidRPr="00075237" w:rsidRDefault="00EE5A7D" w:rsidP="00EE5A7D">
      <w:pPr>
        <w:pStyle w:val="Heading1"/>
        <w:widowControl w:val="0"/>
      </w:pPr>
      <w:r w:rsidRPr="00075237">
        <w:rPr>
          <w:color w:val="000000"/>
        </w:rPr>
        <w:t xml:space="preserve">L’UNO a continué d’intégrer la perspective des genres dans toutes les activités, qui sont publiées sur le site Web de l’UNO. </w:t>
      </w:r>
      <w:r w:rsidRPr="00075237">
        <w:t>À l’aide du montant de 14 200 $ US (4 830 $ US pour le PNUD et 9 370 $</w:t>
      </w:r>
      <w:r w:rsidR="00072091" w:rsidRPr="00075237">
        <w:t> </w:t>
      </w:r>
      <w:r w:rsidRPr="00075237">
        <w:t>U</w:t>
      </w:r>
      <w:r w:rsidR="00D903FB" w:rsidRPr="00075237">
        <w:t>S</w:t>
      </w:r>
      <w:r w:rsidRPr="00075237">
        <w:t xml:space="preserve"> pour l’ONUDI) approuvé pour le suivi du projet et la mise en œuvre de la troisième tranche, un consultant pour la vérification de la consommation des HCFC et des experts pour fournir un soutien technique à l’UNO ont été engagés, ainsi qu’un assistant.</w:t>
      </w:r>
    </w:p>
    <w:p w14:paraId="1311BD09" w14:textId="77777777" w:rsidR="00EE5A7D" w:rsidRPr="00075237" w:rsidRDefault="00EE5A7D" w:rsidP="00EE5A7D">
      <w:pPr>
        <w:keepNext/>
        <w:keepLines/>
        <w:spacing w:after="240"/>
        <w:jc w:val="left"/>
        <w:rPr>
          <w:i/>
        </w:rPr>
      </w:pPr>
      <w:r w:rsidRPr="00075237">
        <w:rPr>
          <w:i/>
        </w:rPr>
        <w:t>État du décaissement</w:t>
      </w:r>
    </w:p>
    <w:p w14:paraId="2A8DC7BB" w14:textId="0BD7E8D6" w:rsidR="00EE5A7D" w:rsidRPr="00075237" w:rsidRDefault="00EE5A7D" w:rsidP="00EE5A7D">
      <w:pPr>
        <w:pStyle w:val="Heading1"/>
        <w:keepNext/>
        <w:keepLines/>
      </w:pPr>
      <w:r w:rsidRPr="00075237">
        <w:t>En date du 31 décembre 2023, sur le montant de 3 394 017 $ US approuvé pour la phase II, 3 145 830 $ US (93 pour cent) ont été décaissés (soit 1 904 955 $ US pour le PNUD, 210 175 $ US pour le PNUE et 1 030 700 $ US pour l’ONUDI). Du solde de 248 187 $ US, un total de 111 443 $ US, plus les coûts d’appui d’agence, a été renvoyé à la 90</w:t>
      </w:r>
      <w:r w:rsidRPr="00075237">
        <w:rPr>
          <w:vertAlign w:val="superscript"/>
        </w:rPr>
        <w:t>e</w:t>
      </w:r>
      <w:r w:rsidRPr="00075237">
        <w:t> réunion</w:t>
      </w:r>
      <w:r w:rsidRPr="00075237">
        <w:rPr>
          <w:rStyle w:val="FootnoteReference"/>
        </w:rPr>
        <w:footnoteReference w:id="9"/>
      </w:r>
      <w:r w:rsidRPr="00075237">
        <w:t xml:space="preserve"> et le PNUD renvoie lors de la réunion en cours un solde supplémentaire de 128 961 $</w:t>
      </w:r>
      <w:r w:rsidR="00614F20" w:rsidRPr="00075237">
        <w:t> </w:t>
      </w:r>
      <w:r w:rsidRPr="00075237">
        <w:t>US, qui comprend les soldes associés au retrait de l’entreprise Multipanel (112 259 $ US) et au suivi</w:t>
      </w:r>
      <w:r w:rsidRPr="00075237">
        <w:rPr>
          <w:rStyle w:val="FootnoteReference"/>
        </w:rPr>
        <w:footnoteReference w:id="10"/>
      </w:r>
      <w:r w:rsidRPr="00075237">
        <w:t>. Les soldes inutilisés supplémentaires après l’achèvement financier de la phase II, le cas échéant, seront également renvoyés au Fonds, selon les politiques existantes.</w:t>
      </w:r>
    </w:p>
    <w:p w14:paraId="1C341306" w14:textId="77777777" w:rsidR="00EE5A7D" w:rsidRPr="00075237" w:rsidRDefault="00EE5A7D" w:rsidP="00EE5A7D">
      <w:pPr>
        <w:keepNext/>
        <w:spacing w:before="240"/>
      </w:pPr>
      <w:r w:rsidRPr="00075237">
        <w:rPr>
          <w:b/>
        </w:rPr>
        <w:t>Observations du Secrétariat</w:t>
      </w:r>
      <w:r w:rsidRPr="00075237">
        <w:t xml:space="preserve"> </w:t>
      </w:r>
    </w:p>
    <w:p w14:paraId="14CA889A" w14:textId="77777777" w:rsidR="00EE5A7D" w:rsidRPr="00075237" w:rsidRDefault="00EE5A7D" w:rsidP="00EE5A7D">
      <w:pPr>
        <w:keepNext/>
      </w:pPr>
    </w:p>
    <w:p w14:paraId="38E730FF" w14:textId="77777777" w:rsidR="00EE5A7D" w:rsidRPr="00075237" w:rsidRDefault="00EE5A7D" w:rsidP="00EE5A7D">
      <w:pPr>
        <w:pStyle w:val="Heading1"/>
      </w:pPr>
      <w:r w:rsidRPr="00075237">
        <w:t xml:space="preserve">Le Secrétariat relève avec satisfaction que, malgré certains retards en raison de la faible disponibilité et du prix élevé de la solution de remplacement sélectionnée, le Chili, avec l’assistance du PNUD, a achevé son plan pour le secteur de la fabrication de la mousse de PU avec la conversion de 38 entreprises vers les HFO (y compris une vers le cyclopentane et le HFO), éliminant 20,46 tonnes PAO (185,98 tm) de HCFC-141b. Le PNUD a confirmé que les soldes associés à la conversion de l’entreprise Multipanel, qui s’est retirée du projet pendant la période considérée, seront renvoyés au Fonds. </w:t>
      </w:r>
    </w:p>
    <w:p w14:paraId="184F7131" w14:textId="77777777" w:rsidR="00EE5A7D" w:rsidRPr="00075237" w:rsidRDefault="00EE5A7D" w:rsidP="007B0E8B">
      <w:pPr>
        <w:pStyle w:val="Heading1"/>
      </w:pPr>
      <w:r w:rsidRPr="00075237">
        <w:t xml:space="preserve">Les avancées atteintes dans le secteur de l’entretien de l’équipement de réfrigération sont également considérables, comprenant la mise en œuvre continue d’un système bien établi pour la formation et la certification des techniciens, l’achèvement de la démonstration des technologies à faible PRG chez deux </w:t>
      </w:r>
      <w:r w:rsidRPr="00075237">
        <w:lastRenderedPageBreak/>
        <w:t>utilisateurs finaux avec la diffusion des résultats connexes auprès d’autres utilisateurs finaux et techniciens, et la mise sur pied de trois centres de régénération qui auront une incidence pendant la mise en œuvre de la dernière phase du PGEH.</w:t>
      </w:r>
    </w:p>
    <w:p w14:paraId="3AB63460" w14:textId="77777777" w:rsidR="00EE5A7D" w:rsidRPr="00075237" w:rsidRDefault="00EE5A7D" w:rsidP="00EE5A7D">
      <w:pPr>
        <w:widowControl w:val="0"/>
        <w:spacing w:after="240"/>
        <w:jc w:val="left"/>
        <w:rPr>
          <w:b/>
        </w:rPr>
      </w:pPr>
      <w:r w:rsidRPr="00075237">
        <w:rPr>
          <w:b/>
        </w:rPr>
        <w:t>Recommandation</w:t>
      </w:r>
    </w:p>
    <w:p w14:paraId="67D8249E" w14:textId="798D503C" w:rsidR="00EE5A7D" w:rsidRPr="00075237" w:rsidRDefault="00EE5A7D" w:rsidP="002A641D">
      <w:pPr>
        <w:pStyle w:val="Heading1"/>
      </w:pPr>
      <w:r w:rsidRPr="00075237">
        <w:t>Le Comité exécutif pourrait envisager de prendre note :</w:t>
      </w:r>
    </w:p>
    <w:p w14:paraId="6A01A906" w14:textId="77777777" w:rsidR="00EE5A7D" w:rsidRPr="00075237" w:rsidRDefault="00EE5A7D" w:rsidP="002A641D">
      <w:pPr>
        <w:pStyle w:val="Heading2"/>
      </w:pPr>
      <w:r w:rsidRPr="00075237">
        <w:t xml:space="preserve">Du rapport périodique final sur la mise en œuvre de la troisième et dernière tranche de la phase II du plan de gestion de l’élimination des HCFC (PGEH) pour le Chili, présenté par le PNUD et contenu dans le document UNEP/OzL.Pro/ExCom/94/9; </w:t>
      </w:r>
    </w:p>
    <w:p w14:paraId="5CBE2D09" w14:textId="77777777" w:rsidR="00EE5A7D" w:rsidRPr="00075237" w:rsidRDefault="00EE5A7D" w:rsidP="002A641D">
      <w:pPr>
        <w:pStyle w:val="Heading2"/>
      </w:pPr>
      <w:r w:rsidRPr="00075237">
        <w:t>Du fait que l’entreprise individuelle Multipanel a choisi de ne pas participer aux projets de conversion pour la fabrication de mousse de polyuréthane dans le cadre de la phase II du PGEH;</w:t>
      </w:r>
    </w:p>
    <w:p w14:paraId="06D294A7" w14:textId="77777777" w:rsidR="00EE5A7D" w:rsidRPr="00075237" w:rsidRDefault="00EE5A7D" w:rsidP="002A641D">
      <w:pPr>
        <w:pStyle w:val="Heading2"/>
      </w:pPr>
      <w:r w:rsidRPr="00075237">
        <w:t>Que les soldes inutilisés de 128 961 $ US, plus des coûts d’appui d’agence de 9 027 $ US, y compris les fonds provenant de l’entreprise mentionnée au sous-alinéa b)ii) et du suivi, ont été renvoyés au Fonds par le PNUD pendant la réunion en cours.</w:t>
      </w:r>
    </w:p>
    <w:p w14:paraId="05ACD189" w14:textId="7703556C" w:rsidR="00682B3A" w:rsidRPr="00075237" w:rsidRDefault="00682B3A" w:rsidP="00682B3A">
      <w:pPr>
        <w:ind w:left="720"/>
        <w:rPr>
          <w:b/>
          <w:bCs/>
          <w:u w:val="single"/>
        </w:rPr>
      </w:pPr>
      <w:r w:rsidRPr="00075237">
        <w:rPr>
          <w:b/>
          <w:bCs/>
          <w:u w:val="single"/>
        </w:rPr>
        <w:t>Jordanie</w:t>
      </w:r>
      <w:r w:rsidR="00C838CF" w:rsidRPr="00075237">
        <w:rPr>
          <w:b/>
          <w:bCs/>
          <w:u w:val="single"/>
        </w:rPr>
        <w:t> </w:t>
      </w:r>
      <w:r w:rsidRPr="00075237">
        <w:rPr>
          <w:b/>
          <w:bCs/>
          <w:u w:val="single"/>
        </w:rPr>
        <w:t>: Plan de gestion de l’élimination des HCFC (phase II – rapport périodique sur la mise en œuvre du programme de travail associé à la dernière tranche)</w:t>
      </w:r>
      <w:r w:rsidRPr="00075237">
        <w:rPr>
          <w:b/>
          <w:bCs/>
        </w:rPr>
        <w:t xml:space="preserve"> (Banque mondiale et ONUDI)</w:t>
      </w:r>
    </w:p>
    <w:p w14:paraId="51EF33EF" w14:textId="77777777" w:rsidR="00682B3A" w:rsidRPr="00075237" w:rsidRDefault="00682B3A" w:rsidP="00682B3A">
      <w:pPr>
        <w:ind w:left="720"/>
        <w:jc w:val="left"/>
        <w:rPr>
          <w:b/>
          <w:bCs/>
          <w:u w:val="single"/>
        </w:rPr>
      </w:pPr>
    </w:p>
    <w:p w14:paraId="60A83662" w14:textId="77777777" w:rsidR="00682B3A" w:rsidRPr="00075237" w:rsidRDefault="00682B3A" w:rsidP="00682B3A">
      <w:pPr>
        <w:jc w:val="left"/>
        <w:rPr>
          <w:b/>
          <w:bCs/>
        </w:rPr>
      </w:pPr>
      <w:r w:rsidRPr="00075237">
        <w:rPr>
          <w:b/>
          <w:bCs/>
        </w:rPr>
        <w:t>Contexte</w:t>
      </w:r>
    </w:p>
    <w:p w14:paraId="303B3049" w14:textId="77777777" w:rsidR="00682B3A" w:rsidRPr="00075237" w:rsidRDefault="00682B3A" w:rsidP="00682B3A">
      <w:pPr>
        <w:jc w:val="left"/>
      </w:pPr>
    </w:p>
    <w:p w14:paraId="69B81C76" w14:textId="3E8343F0" w:rsidR="00682B3A" w:rsidRPr="00075237" w:rsidRDefault="00682B3A" w:rsidP="00682B3A">
      <w:pPr>
        <w:pStyle w:val="Heading1"/>
      </w:pPr>
      <w:r w:rsidRPr="00075237">
        <w:t>À la 77</w:t>
      </w:r>
      <w:r w:rsidRPr="00075237">
        <w:rPr>
          <w:vertAlign w:val="superscript"/>
        </w:rPr>
        <w:t>e</w:t>
      </w:r>
      <w:r w:rsidRPr="00075237">
        <w:t xml:space="preserve"> réunion, le Comité exécutif a approuvé, en principe, la phase II du plan de gestion de l’élimination des HCFC (PGEH) pour la Jordanie, pour la période de 2017 à 2022, afin de réduire la consommation des HCFC de 50 pour cent par rapport à la valeur de référence, </w:t>
      </w:r>
      <w:r w:rsidR="005553B6" w:rsidRPr="00075237">
        <w:t>d’une somme</w:t>
      </w:r>
      <w:r w:rsidRPr="00075237">
        <w:t xml:space="preserve"> de 3 289 919 $ US, soit 2 075 236 $ US, plus des coûts d’appui d’agence de 145 267 $ US, pour la Banque mondiale et 999 455 $ US, plus des coûts d’appui d’agence de 69 961 $ US, pour l’ONUDI (décision 77/45).</w:t>
      </w:r>
    </w:p>
    <w:p w14:paraId="5728C0B2" w14:textId="77777777" w:rsidR="00682B3A" w:rsidRPr="00075237" w:rsidRDefault="00682B3A" w:rsidP="00682B3A">
      <w:pPr>
        <w:pStyle w:val="Heading1"/>
      </w:pPr>
      <w:r w:rsidRPr="00075237">
        <w:t>À la 91</w:t>
      </w:r>
      <w:r w:rsidRPr="00075237">
        <w:rPr>
          <w:vertAlign w:val="superscript"/>
        </w:rPr>
        <w:t>e</w:t>
      </w:r>
      <w:r w:rsidRPr="00075237">
        <w:t> réunion, lors de l’approbation de la troisième et dernière tranche de la phase II du PGEH pour la Jordanie, le Comité exécutif a demandé au gouvernement, à la Banque mondiale et à l’ONUDI de présenter un rapport périodique sur la mise en œuvre du programme de travail associé à la dernière tranche lors de la première réunion du Comité exécutif en 2024 (décision 91/41(a))</w:t>
      </w:r>
      <w:r w:rsidRPr="00075237">
        <w:rPr>
          <w:rStyle w:val="FootnoteReference"/>
        </w:rPr>
        <w:footnoteReference w:id="11"/>
      </w:r>
      <w:r w:rsidRPr="00075237">
        <w:t>.</w:t>
      </w:r>
    </w:p>
    <w:p w14:paraId="517540BC" w14:textId="77777777" w:rsidR="00682B3A" w:rsidRPr="00075237" w:rsidRDefault="00682B3A" w:rsidP="00682B3A">
      <w:pPr>
        <w:pStyle w:val="Heading1"/>
      </w:pPr>
      <w:r w:rsidRPr="00075237">
        <w:t>En accord avec cette décision, la Banque mondiale, à titre d’agence d’exécution principale, a présenté le rapport périodique susmentionné.</w:t>
      </w:r>
    </w:p>
    <w:p w14:paraId="1A413E7F" w14:textId="77777777" w:rsidR="00682B3A" w:rsidRPr="00075237" w:rsidRDefault="00682B3A" w:rsidP="00682B3A">
      <w:pPr>
        <w:rPr>
          <w:u w:val="single"/>
        </w:rPr>
      </w:pPr>
      <w:r w:rsidRPr="00075237">
        <w:rPr>
          <w:u w:val="single"/>
        </w:rPr>
        <w:t>Rapport sur la consommation des HCFC</w:t>
      </w:r>
    </w:p>
    <w:p w14:paraId="54074B94" w14:textId="77777777" w:rsidR="00682B3A" w:rsidRPr="00075237" w:rsidRDefault="00682B3A" w:rsidP="00682B3A"/>
    <w:p w14:paraId="36EB4482" w14:textId="56CF768C" w:rsidR="00EB40F3" w:rsidRPr="00075237" w:rsidRDefault="00682B3A" w:rsidP="00682B3A">
      <w:pPr>
        <w:pStyle w:val="Heading1"/>
      </w:pPr>
      <w:r w:rsidRPr="00075237">
        <w:t>Le gouvernement de la Jordanie a communiqué une consommation de 14,44 tonnes PAO de HCFC en 2022, ce qui est 82,6 pour cent inférieur à la valeur de référence du pays pour la conformité. Les données de l’Article 7 et du rapport de mise en œuvre du programme du pays pour 2023 n’ont pas encore été communiquées. La consommation de HCFC pour 2019 à 2022 est indiquée au tableau 3.</w:t>
      </w:r>
    </w:p>
    <w:p w14:paraId="5209A36D" w14:textId="57FF994E" w:rsidR="00682B3A" w:rsidRPr="00075237" w:rsidRDefault="00EB40F3" w:rsidP="00EB40F3">
      <w:pPr>
        <w:jc w:val="left"/>
      </w:pPr>
      <w:r w:rsidRPr="00075237">
        <w:br w:type="page"/>
      </w:r>
    </w:p>
    <w:p w14:paraId="7AAFFD99" w14:textId="68C568CA" w:rsidR="00682B3A" w:rsidRPr="00075237" w:rsidRDefault="00682B3A" w:rsidP="002A641D">
      <w:pPr>
        <w:keepNext/>
        <w:rPr>
          <w:b/>
          <w:bCs/>
        </w:rPr>
      </w:pPr>
      <w:r w:rsidRPr="00075237">
        <w:rPr>
          <w:b/>
          <w:bCs/>
        </w:rPr>
        <w:lastRenderedPageBreak/>
        <w:t>Tableau 3. Consommation de HCFC en Jordanie (2019-2022, données de l’Article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7"/>
        <w:gridCol w:w="1219"/>
        <w:gridCol w:w="1219"/>
        <w:gridCol w:w="1219"/>
        <w:gridCol w:w="1219"/>
        <w:gridCol w:w="1217"/>
      </w:tblGrid>
      <w:tr w:rsidR="00682B3A" w:rsidRPr="00075237" w14:paraId="6AB5148B" w14:textId="77777777" w:rsidTr="00C30F95">
        <w:trPr>
          <w:tblHeader/>
        </w:trPr>
        <w:tc>
          <w:tcPr>
            <w:tcW w:w="1741" w:type="pct"/>
            <w:shd w:val="clear" w:color="auto" w:fill="auto"/>
            <w:noWrap/>
            <w:tcMar>
              <w:left w:w="43" w:type="dxa"/>
              <w:right w:w="43" w:type="dxa"/>
            </w:tcMar>
            <w:vAlign w:val="center"/>
            <w:hideMark/>
          </w:tcPr>
          <w:p w14:paraId="4CA0D6A2" w14:textId="77777777" w:rsidR="00682B3A" w:rsidRPr="00075237" w:rsidRDefault="00682B3A" w:rsidP="00C30F95">
            <w:pPr>
              <w:widowControl w:val="0"/>
              <w:jc w:val="center"/>
              <w:rPr>
                <w:b/>
                <w:bCs/>
                <w:color w:val="000000"/>
                <w:sz w:val="20"/>
                <w:szCs w:val="20"/>
              </w:rPr>
            </w:pPr>
            <w:r w:rsidRPr="00075237">
              <w:rPr>
                <w:b/>
                <w:bCs/>
                <w:color w:val="000000"/>
                <w:sz w:val="20"/>
                <w:szCs w:val="20"/>
              </w:rPr>
              <w:t>HCFC</w:t>
            </w:r>
          </w:p>
        </w:tc>
        <w:tc>
          <w:tcPr>
            <w:tcW w:w="652" w:type="pct"/>
            <w:shd w:val="clear" w:color="auto" w:fill="auto"/>
            <w:noWrap/>
            <w:vAlign w:val="center"/>
            <w:hideMark/>
          </w:tcPr>
          <w:p w14:paraId="5156EF06" w14:textId="77777777" w:rsidR="00682B3A" w:rsidRPr="00075237" w:rsidRDefault="00682B3A" w:rsidP="00C30F95">
            <w:pPr>
              <w:widowControl w:val="0"/>
              <w:jc w:val="center"/>
              <w:rPr>
                <w:b/>
                <w:bCs/>
                <w:color w:val="000000"/>
                <w:sz w:val="20"/>
                <w:szCs w:val="20"/>
              </w:rPr>
            </w:pPr>
            <w:r w:rsidRPr="00075237">
              <w:rPr>
                <w:b/>
                <w:bCs/>
                <w:color w:val="000000"/>
                <w:sz w:val="20"/>
                <w:szCs w:val="20"/>
              </w:rPr>
              <w:t>2019</w:t>
            </w:r>
          </w:p>
        </w:tc>
        <w:tc>
          <w:tcPr>
            <w:tcW w:w="652" w:type="pct"/>
            <w:shd w:val="clear" w:color="auto" w:fill="auto"/>
            <w:noWrap/>
            <w:vAlign w:val="center"/>
            <w:hideMark/>
          </w:tcPr>
          <w:p w14:paraId="0F1CA1C8" w14:textId="77777777" w:rsidR="00682B3A" w:rsidRPr="00075237" w:rsidRDefault="00682B3A" w:rsidP="00C30F95">
            <w:pPr>
              <w:widowControl w:val="0"/>
              <w:jc w:val="center"/>
              <w:rPr>
                <w:b/>
                <w:bCs/>
                <w:color w:val="000000"/>
                <w:sz w:val="20"/>
                <w:szCs w:val="20"/>
              </w:rPr>
            </w:pPr>
            <w:r w:rsidRPr="00075237">
              <w:rPr>
                <w:b/>
                <w:bCs/>
                <w:color w:val="000000"/>
                <w:sz w:val="20"/>
                <w:szCs w:val="20"/>
              </w:rPr>
              <w:t>2020</w:t>
            </w:r>
          </w:p>
        </w:tc>
        <w:tc>
          <w:tcPr>
            <w:tcW w:w="652" w:type="pct"/>
            <w:shd w:val="clear" w:color="auto" w:fill="auto"/>
            <w:noWrap/>
            <w:vAlign w:val="center"/>
            <w:hideMark/>
          </w:tcPr>
          <w:p w14:paraId="58773F03" w14:textId="77777777" w:rsidR="00682B3A" w:rsidRPr="00075237" w:rsidRDefault="00682B3A" w:rsidP="00C30F95">
            <w:pPr>
              <w:widowControl w:val="0"/>
              <w:jc w:val="center"/>
              <w:rPr>
                <w:b/>
                <w:bCs/>
                <w:color w:val="000000"/>
                <w:sz w:val="20"/>
                <w:szCs w:val="20"/>
              </w:rPr>
            </w:pPr>
            <w:r w:rsidRPr="00075237">
              <w:rPr>
                <w:b/>
                <w:bCs/>
                <w:color w:val="000000"/>
                <w:sz w:val="20"/>
                <w:szCs w:val="20"/>
              </w:rPr>
              <w:t>2021</w:t>
            </w:r>
          </w:p>
        </w:tc>
        <w:tc>
          <w:tcPr>
            <w:tcW w:w="652" w:type="pct"/>
          </w:tcPr>
          <w:p w14:paraId="71B92942" w14:textId="77777777" w:rsidR="00682B3A" w:rsidRPr="00075237" w:rsidRDefault="00682B3A" w:rsidP="00C30F95">
            <w:pPr>
              <w:widowControl w:val="0"/>
              <w:jc w:val="center"/>
              <w:rPr>
                <w:b/>
                <w:bCs/>
                <w:color w:val="000000"/>
                <w:sz w:val="20"/>
                <w:szCs w:val="20"/>
              </w:rPr>
            </w:pPr>
            <w:r w:rsidRPr="00075237">
              <w:rPr>
                <w:b/>
                <w:bCs/>
                <w:color w:val="000000"/>
                <w:sz w:val="20"/>
                <w:szCs w:val="20"/>
              </w:rPr>
              <w:t>2022</w:t>
            </w:r>
          </w:p>
        </w:tc>
        <w:tc>
          <w:tcPr>
            <w:tcW w:w="652" w:type="pct"/>
          </w:tcPr>
          <w:p w14:paraId="6770BAA4" w14:textId="77777777" w:rsidR="00682B3A" w:rsidRPr="00075237" w:rsidRDefault="00682B3A" w:rsidP="00C30F95">
            <w:pPr>
              <w:widowControl w:val="0"/>
              <w:jc w:val="center"/>
              <w:rPr>
                <w:b/>
                <w:bCs/>
                <w:color w:val="000000"/>
                <w:sz w:val="20"/>
                <w:szCs w:val="20"/>
              </w:rPr>
            </w:pPr>
            <w:r w:rsidRPr="00075237">
              <w:rPr>
                <w:b/>
                <w:bCs/>
                <w:color w:val="000000"/>
                <w:sz w:val="20"/>
                <w:szCs w:val="20"/>
              </w:rPr>
              <w:t>Valeur de référence</w:t>
            </w:r>
          </w:p>
        </w:tc>
      </w:tr>
      <w:tr w:rsidR="00682B3A" w:rsidRPr="00075237" w14:paraId="5FE8BC0D" w14:textId="77777777" w:rsidTr="00C30F95">
        <w:tc>
          <w:tcPr>
            <w:tcW w:w="5000" w:type="pct"/>
            <w:gridSpan w:val="6"/>
            <w:shd w:val="clear" w:color="auto" w:fill="auto"/>
            <w:noWrap/>
            <w:tcMar>
              <w:left w:w="43" w:type="dxa"/>
              <w:right w:w="43" w:type="dxa"/>
            </w:tcMar>
            <w:vAlign w:val="center"/>
            <w:hideMark/>
          </w:tcPr>
          <w:p w14:paraId="3FE21913" w14:textId="77777777" w:rsidR="00682B3A" w:rsidRPr="00075237" w:rsidRDefault="00682B3A" w:rsidP="00C30F95">
            <w:pPr>
              <w:widowControl w:val="0"/>
              <w:ind w:left="98"/>
              <w:jc w:val="left"/>
              <w:rPr>
                <w:b/>
                <w:bCs/>
                <w:color w:val="000000"/>
                <w:sz w:val="20"/>
                <w:szCs w:val="20"/>
              </w:rPr>
            </w:pPr>
            <w:r w:rsidRPr="00075237">
              <w:rPr>
                <w:b/>
                <w:bCs/>
                <w:color w:val="000000"/>
                <w:sz w:val="20"/>
                <w:szCs w:val="20"/>
              </w:rPr>
              <w:t>Tonnes métriques (tm)</w:t>
            </w:r>
          </w:p>
        </w:tc>
      </w:tr>
      <w:tr w:rsidR="00682B3A" w:rsidRPr="00075237" w14:paraId="23BFA982" w14:textId="77777777" w:rsidTr="00C30F95">
        <w:tc>
          <w:tcPr>
            <w:tcW w:w="1741" w:type="pct"/>
            <w:shd w:val="clear" w:color="auto" w:fill="auto"/>
            <w:noWrap/>
            <w:tcMar>
              <w:left w:w="43" w:type="dxa"/>
              <w:right w:w="43" w:type="dxa"/>
            </w:tcMar>
            <w:vAlign w:val="center"/>
            <w:hideMark/>
          </w:tcPr>
          <w:p w14:paraId="7E8329DE" w14:textId="77777777" w:rsidR="00682B3A" w:rsidRPr="00075237" w:rsidRDefault="00682B3A" w:rsidP="00C30F95">
            <w:pPr>
              <w:widowControl w:val="0"/>
              <w:ind w:left="98"/>
              <w:jc w:val="left"/>
              <w:rPr>
                <w:color w:val="000000"/>
                <w:sz w:val="20"/>
                <w:szCs w:val="20"/>
              </w:rPr>
            </w:pPr>
            <w:r w:rsidRPr="00075237">
              <w:rPr>
                <w:color w:val="000000"/>
                <w:sz w:val="20"/>
                <w:szCs w:val="20"/>
              </w:rPr>
              <w:t>HCFC-22</w:t>
            </w:r>
          </w:p>
        </w:tc>
        <w:tc>
          <w:tcPr>
            <w:tcW w:w="652" w:type="pct"/>
            <w:shd w:val="clear" w:color="auto" w:fill="auto"/>
            <w:noWrap/>
          </w:tcPr>
          <w:p w14:paraId="08EA201D" w14:textId="77777777" w:rsidR="00682B3A" w:rsidRPr="00075237" w:rsidRDefault="00682B3A" w:rsidP="00C30F95">
            <w:pPr>
              <w:widowControl w:val="0"/>
              <w:tabs>
                <w:tab w:val="left" w:pos="430"/>
              </w:tabs>
              <w:ind w:left="-137" w:right="63"/>
              <w:jc w:val="right"/>
              <w:rPr>
                <w:color w:val="000000" w:themeColor="text1"/>
                <w:sz w:val="20"/>
                <w:szCs w:val="20"/>
              </w:rPr>
            </w:pPr>
            <w:r w:rsidRPr="00075237">
              <w:rPr>
                <w:color w:val="000000" w:themeColor="text1"/>
                <w:sz w:val="20"/>
                <w:szCs w:val="20"/>
              </w:rPr>
              <w:t>305,00</w:t>
            </w:r>
          </w:p>
        </w:tc>
        <w:tc>
          <w:tcPr>
            <w:tcW w:w="652" w:type="pct"/>
            <w:shd w:val="clear" w:color="auto" w:fill="auto"/>
            <w:noWrap/>
          </w:tcPr>
          <w:p w14:paraId="18DEB2C2" w14:textId="77777777" w:rsidR="00682B3A" w:rsidRPr="00075237" w:rsidRDefault="00682B3A" w:rsidP="00C30F95">
            <w:pPr>
              <w:widowControl w:val="0"/>
              <w:tabs>
                <w:tab w:val="left" w:pos="430"/>
              </w:tabs>
              <w:ind w:left="-137" w:right="63"/>
              <w:jc w:val="right"/>
              <w:rPr>
                <w:color w:val="000000" w:themeColor="text1"/>
                <w:sz w:val="20"/>
                <w:szCs w:val="20"/>
              </w:rPr>
            </w:pPr>
            <w:r w:rsidRPr="00075237">
              <w:rPr>
                <w:color w:val="000000" w:themeColor="text1"/>
                <w:sz w:val="20"/>
                <w:szCs w:val="20"/>
              </w:rPr>
              <w:t>530,00</w:t>
            </w:r>
          </w:p>
        </w:tc>
        <w:tc>
          <w:tcPr>
            <w:tcW w:w="652" w:type="pct"/>
            <w:shd w:val="clear" w:color="auto" w:fill="auto"/>
            <w:noWrap/>
          </w:tcPr>
          <w:p w14:paraId="327C7520" w14:textId="77777777" w:rsidR="00682B3A" w:rsidRPr="00075237" w:rsidRDefault="00682B3A" w:rsidP="00C30F95">
            <w:pPr>
              <w:widowControl w:val="0"/>
              <w:tabs>
                <w:tab w:val="left" w:pos="430"/>
              </w:tabs>
              <w:ind w:left="-137" w:right="63"/>
              <w:jc w:val="right"/>
              <w:rPr>
                <w:color w:val="000000" w:themeColor="text1"/>
                <w:sz w:val="20"/>
                <w:szCs w:val="20"/>
              </w:rPr>
            </w:pPr>
            <w:r w:rsidRPr="00075237">
              <w:rPr>
                <w:color w:val="000000" w:themeColor="text1"/>
                <w:sz w:val="20"/>
                <w:szCs w:val="20"/>
              </w:rPr>
              <w:t>166,54</w:t>
            </w:r>
          </w:p>
        </w:tc>
        <w:tc>
          <w:tcPr>
            <w:tcW w:w="652" w:type="pct"/>
          </w:tcPr>
          <w:p w14:paraId="6BA60C63" w14:textId="77777777" w:rsidR="00682B3A" w:rsidRPr="00075237" w:rsidRDefault="00682B3A" w:rsidP="00C30F95">
            <w:pPr>
              <w:widowControl w:val="0"/>
              <w:tabs>
                <w:tab w:val="left" w:pos="430"/>
              </w:tabs>
              <w:ind w:left="-137" w:right="63"/>
              <w:jc w:val="right"/>
              <w:rPr>
                <w:color w:val="000000" w:themeColor="text1"/>
                <w:sz w:val="20"/>
                <w:szCs w:val="20"/>
              </w:rPr>
            </w:pPr>
            <w:r w:rsidRPr="00075237">
              <w:rPr>
                <w:color w:val="000000" w:themeColor="text1"/>
                <w:sz w:val="20"/>
                <w:szCs w:val="20"/>
              </w:rPr>
              <w:t>262,54</w:t>
            </w:r>
          </w:p>
        </w:tc>
        <w:tc>
          <w:tcPr>
            <w:tcW w:w="652" w:type="pct"/>
          </w:tcPr>
          <w:p w14:paraId="5C3621E8" w14:textId="77777777" w:rsidR="00682B3A" w:rsidRPr="00075237" w:rsidRDefault="00682B3A" w:rsidP="00C30F95">
            <w:pPr>
              <w:widowControl w:val="0"/>
              <w:ind w:left="-279" w:right="63"/>
              <w:jc w:val="right"/>
              <w:rPr>
                <w:color w:val="000000"/>
                <w:sz w:val="20"/>
                <w:szCs w:val="20"/>
              </w:rPr>
            </w:pPr>
            <w:r w:rsidRPr="00075237">
              <w:rPr>
                <w:color w:val="000000"/>
                <w:sz w:val="20"/>
                <w:szCs w:val="20"/>
              </w:rPr>
              <w:t>985,30</w:t>
            </w:r>
          </w:p>
        </w:tc>
      </w:tr>
      <w:tr w:rsidR="00682B3A" w:rsidRPr="00075237" w14:paraId="3F3AA17B" w14:textId="77777777" w:rsidTr="00C30F95">
        <w:tc>
          <w:tcPr>
            <w:tcW w:w="1741" w:type="pct"/>
            <w:shd w:val="clear" w:color="auto" w:fill="auto"/>
            <w:noWrap/>
            <w:tcMar>
              <w:left w:w="43" w:type="dxa"/>
              <w:right w:w="43" w:type="dxa"/>
            </w:tcMar>
            <w:vAlign w:val="center"/>
            <w:hideMark/>
          </w:tcPr>
          <w:p w14:paraId="0AD6AD1B" w14:textId="77777777" w:rsidR="00682B3A" w:rsidRPr="00075237" w:rsidRDefault="00682B3A" w:rsidP="00C30F95">
            <w:pPr>
              <w:widowControl w:val="0"/>
              <w:ind w:left="98"/>
              <w:jc w:val="left"/>
              <w:rPr>
                <w:color w:val="000000"/>
                <w:sz w:val="20"/>
                <w:szCs w:val="20"/>
              </w:rPr>
            </w:pPr>
            <w:r w:rsidRPr="00075237">
              <w:rPr>
                <w:color w:val="000000"/>
                <w:sz w:val="20"/>
                <w:szCs w:val="20"/>
              </w:rPr>
              <w:t>HCFC-141b</w:t>
            </w:r>
          </w:p>
        </w:tc>
        <w:tc>
          <w:tcPr>
            <w:tcW w:w="652" w:type="pct"/>
            <w:shd w:val="clear" w:color="auto" w:fill="auto"/>
            <w:noWrap/>
          </w:tcPr>
          <w:p w14:paraId="68BBA638" w14:textId="77777777" w:rsidR="00682B3A" w:rsidRPr="00075237" w:rsidRDefault="00682B3A" w:rsidP="00C30F95">
            <w:pPr>
              <w:widowControl w:val="0"/>
              <w:tabs>
                <w:tab w:val="left" w:pos="430"/>
              </w:tabs>
              <w:ind w:left="-137" w:right="63"/>
              <w:jc w:val="right"/>
              <w:rPr>
                <w:sz w:val="20"/>
                <w:szCs w:val="20"/>
              </w:rPr>
            </w:pPr>
            <w:r w:rsidRPr="00075237">
              <w:rPr>
                <w:sz w:val="20"/>
                <w:szCs w:val="20"/>
              </w:rPr>
              <w:t>60,00</w:t>
            </w:r>
          </w:p>
        </w:tc>
        <w:tc>
          <w:tcPr>
            <w:tcW w:w="652" w:type="pct"/>
            <w:shd w:val="clear" w:color="auto" w:fill="auto"/>
            <w:noWrap/>
          </w:tcPr>
          <w:p w14:paraId="01E4A224" w14:textId="77777777" w:rsidR="00682B3A" w:rsidRPr="00075237" w:rsidRDefault="00682B3A" w:rsidP="00C30F95">
            <w:pPr>
              <w:widowControl w:val="0"/>
              <w:tabs>
                <w:tab w:val="left" w:pos="430"/>
              </w:tabs>
              <w:ind w:left="-137" w:right="63"/>
              <w:jc w:val="right"/>
              <w:rPr>
                <w:sz w:val="20"/>
                <w:szCs w:val="20"/>
              </w:rPr>
            </w:pPr>
            <w:r w:rsidRPr="00075237">
              <w:rPr>
                <w:color w:val="000000" w:themeColor="text1"/>
                <w:sz w:val="20"/>
                <w:szCs w:val="20"/>
              </w:rPr>
              <w:t>0,00</w:t>
            </w:r>
          </w:p>
        </w:tc>
        <w:tc>
          <w:tcPr>
            <w:tcW w:w="652" w:type="pct"/>
            <w:shd w:val="clear" w:color="auto" w:fill="auto"/>
            <w:noWrap/>
          </w:tcPr>
          <w:p w14:paraId="3B2CF2DB" w14:textId="77777777" w:rsidR="00682B3A" w:rsidRPr="00075237" w:rsidRDefault="00682B3A" w:rsidP="00C30F95">
            <w:pPr>
              <w:widowControl w:val="0"/>
              <w:tabs>
                <w:tab w:val="left" w:pos="430"/>
              </w:tabs>
              <w:ind w:left="-137" w:right="63"/>
              <w:jc w:val="right"/>
              <w:rPr>
                <w:color w:val="000000"/>
                <w:sz w:val="20"/>
                <w:szCs w:val="20"/>
              </w:rPr>
            </w:pPr>
            <w:r w:rsidRPr="00075237">
              <w:rPr>
                <w:color w:val="000000" w:themeColor="text1"/>
                <w:sz w:val="20"/>
                <w:szCs w:val="20"/>
              </w:rPr>
              <w:t>0,00</w:t>
            </w:r>
          </w:p>
        </w:tc>
        <w:tc>
          <w:tcPr>
            <w:tcW w:w="652" w:type="pct"/>
          </w:tcPr>
          <w:p w14:paraId="466D82BE" w14:textId="77777777" w:rsidR="00682B3A" w:rsidRPr="00075237" w:rsidRDefault="00682B3A" w:rsidP="00C30F95">
            <w:pPr>
              <w:widowControl w:val="0"/>
              <w:tabs>
                <w:tab w:val="left" w:pos="430"/>
              </w:tabs>
              <w:ind w:left="-137" w:right="63"/>
              <w:jc w:val="right"/>
              <w:rPr>
                <w:color w:val="000000"/>
                <w:sz w:val="20"/>
                <w:szCs w:val="20"/>
              </w:rPr>
            </w:pPr>
            <w:r w:rsidRPr="00075237">
              <w:rPr>
                <w:color w:val="000000" w:themeColor="text1"/>
                <w:sz w:val="20"/>
                <w:szCs w:val="20"/>
              </w:rPr>
              <w:t>0,00</w:t>
            </w:r>
          </w:p>
        </w:tc>
        <w:tc>
          <w:tcPr>
            <w:tcW w:w="652" w:type="pct"/>
          </w:tcPr>
          <w:p w14:paraId="723D92EE" w14:textId="77777777" w:rsidR="00682B3A" w:rsidRPr="00075237" w:rsidRDefault="00682B3A" w:rsidP="00C30F95">
            <w:pPr>
              <w:widowControl w:val="0"/>
              <w:tabs>
                <w:tab w:val="left" w:pos="430"/>
              </w:tabs>
              <w:ind w:left="-137" w:right="63"/>
              <w:jc w:val="right"/>
              <w:rPr>
                <w:color w:val="000000"/>
                <w:sz w:val="20"/>
                <w:szCs w:val="20"/>
              </w:rPr>
            </w:pPr>
            <w:r w:rsidRPr="00075237">
              <w:rPr>
                <w:color w:val="000000"/>
                <w:sz w:val="20"/>
                <w:szCs w:val="20"/>
              </w:rPr>
              <w:t>261,70</w:t>
            </w:r>
          </w:p>
        </w:tc>
      </w:tr>
      <w:tr w:rsidR="00682B3A" w:rsidRPr="00075237" w14:paraId="21E94931" w14:textId="77777777" w:rsidTr="00C30F95">
        <w:tc>
          <w:tcPr>
            <w:tcW w:w="1741" w:type="pct"/>
            <w:shd w:val="clear" w:color="auto" w:fill="auto"/>
            <w:noWrap/>
            <w:tcMar>
              <w:left w:w="43" w:type="dxa"/>
              <w:right w:w="43" w:type="dxa"/>
            </w:tcMar>
            <w:hideMark/>
          </w:tcPr>
          <w:p w14:paraId="4751D09D" w14:textId="77777777" w:rsidR="00682B3A" w:rsidRPr="00075237" w:rsidRDefault="00682B3A" w:rsidP="00C30F95">
            <w:pPr>
              <w:ind w:left="98"/>
              <w:jc w:val="left"/>
              <w:rPr>
                <w:rFonts w:eastAsiaTheme="minorHAnsi"/>
                <w:b/>
                <w:color w:val="000000"/>
                <w:sz w:val="20"/>
                <w:szCs w:val="20"/>
              </w:rPr>
            </w:pPr>
            <w:r w:rsidRPr="00075237">
              <w:rPr>
                <w:b/>
                <w:color w:val="000000"/>
                <w:sz w:val="20"/>
                <w:szCs w:val="20"/>
              </w:rPr>
              <w:t>Sous-total (tm)</w:t>
            </w:r>
          </w:p>
        </w:tc>
        <w:tc>
          <w:tcPr>
            <w:tcW w:w="652" w:type="pct"/>
            <w:shd w:val="clear" w:color="auto" w:fill="auto"/>
            <w:noWrap/>
          </w:tcPr>
          <w:p w14:paraId="28BCE437" w14:textId="77777777" w:rsidR="00682B3A" w:rsidRPr="00075237" w:rsidRDefault="00682B3A" w:rsidP="00C30F95">
            <w:pPr>
              <w:widowControl w:val="0"/>
              <w:tabs>
                <w:tab w:val="left" w:pos="430"/>
              </w:tabs>
              <w:ind w:left="-137" w:right="63"/>
              <w:jc w:val="right"/>
              <w:rPr>
                <w:b/>
                <w:color w:val="000000"/>
                <w:sz w:val="20"/>
                <w:szCs w:val="20"/>
              </w:rPr>
            </w:pPr>
            <w:r w:rsidRPr="00075237">
              <w:rPr>
                <w:b/>
                <w:color w:val="000000" w:themeColor="text1"/>
                <w:sz w:val="20"/>
                <w:szCs w:val="20"/>
              </w:rPr>
              <w:t>365,00</w:t>
            </w:r>
          </w:p>
        </w:tc>
        <w:tc>
          <w:tcPr>
            <w:tcW w:w="652" w:type="pct"/>
            <w:shd w:val="clear" w:color="auto" w:fill="auto"/>
            <w:noWrap/>
          </w:tcPr>
          <w:p w14:paraId="718BC8E6" w14:textId="77777777" w:rsidR="00682B3A" w:rsidRPr="00075237" w:rsidRDefault="00682B3A" w:rsidP="00C30F95">
            <w:pPr>
              <w:widowControl w:val="0"/>
              <w:tabs>
                <w:tab w:val="left" w:pos="430"/>
              </w:tabs>
              <w:ind w:left="-137" w:right="63"/>
              <w:jc w:val="right"/>
              <w:rPr>
                <w:b/>
                <w:color w:val="000000"/>
                <w:sz w:val="20"/>
                <w:szCs w:val="20"/>
              </w:rPr>
            </w:pPr>
            <w:r w:rsidRPr="00075237">
              <w:rPr>
                <w:b/>
                <w:color w:val="000000" w:themeColor="text1"/>
                <w:sz w:val="20"/>
                <w:szCs w:val="20"/>
              </w:rPr>
              <w:t>530,00</w:t>
            </w:r>
          </w:p>
        </w:tc>
        <w:tc>
          <w:tcPr>
            <w:tcW w:w="652" w:type="pct"/>
            <w:shd w:val="clear" w:color="auto" w:fill="auto"/>
            <w:noWrap/>
          </w:tcPr>
          <w:p w14:paraId="1AA7253B" w14:textId="77777777" w:rsidR="00682B3A" w:rsidRPr="00075237" w:rsidRDefault="00682B3A" w:rsidP="00C30F95">
            <w:pPr>
              <w:widowControl w:val="0"/>
              <w:tabs>
                <w:tab w:val="left" w:pos="430"/>
              </w:tabs>
              <w:ind w:left="-137" w:right="63"/>
              <w:jc w:val="right"/>
              <w:rPr>
                <w:b/>
                <w:color w:val="000000"/>
                <w:sz w:val="20"/>
                <w:szCs w:val="20"/>
              </w:rPr>
            </w:pPr>
            <w:r w:rsidRPr="00075237">
              <w:rPr>
                <w:b/>
                <w:color w:val="000000" w:themeColor="text1"/>
                <w:sz w:val="20"/>
                <w:szCs w:val="20"/>
              </w:rPr>
              <w:t>166,54</w:t>
            </w:r>
          </w:p>
        </w:tc>
        <w:tc>
          <w:tcPr>
            <w:tcW w:w="652" w:type="pct"/>
          </w:tcPr>
          <w:p w14:paraId="194BFDB6" w14:textId="77777777" w:rsidR="00682B3A" w:rsidRPr="00075237" w:rsidRDefault="00682B3A" w:rsidP="00C30F95">
            <w:pPr>
              <w:widowControl w:val="0"/>
              <w:tabs>
                <w:tab w:val="left" w:pos="430"/>
              </w:tabs>
              <w:ind w:left="-137" w:right="63"/>
              <w:jc w:val="right"/>
              <w:rPr>
                <w:b/>
                <w:color w:val="000000"/>
                <w:sz w:val="20"/>
                <w:szCs w:val="20"/>
              </w:rPr>
            </w:pPr>
            <w:r w:rsidRPr="00075237">
              <w:rPr>
                <w:b/>
                <w:color w:val="000000" w:themeColor="text1"/>
                <w:sz w:val="20"/>
                <w:szCs w:val="20"/>
              </w:rPr>
              <w:t>262,54</w:t>
            </w:r>
          </w:p>
        </w:tc>
        <w:tc>
          <w:tcPr>
            <w:tcW w:w="652" w:type="pct"/>
          </w:tcPr>
          <w:p w14:paraId="1350E837" w14:textId="77777777" w:rsidR="00682B3A" w:rsidRPr="00075237" w:rsidRDefault="00682B3A" w:rsidP="00C30F95">
            <w:pPr>
              <w:widowControl w:val="0"/>
              <w:tabs>
                <w:tab w:val="left" w:pos="430"/>
              </w:tabs>
              <w:ind w:left="-137" w:right="63"/>
              <w:jc w:val="right"/>
              <w:rPr>
                <w:b/>
                <w:color w:val="000000"/>
                <w:sz w:val="20"/>
                <w:szCs w:val="20"/>
              </w:rPr>
            </w:pPr>
            <w:r w:rsidRPr="00075237">
              <w:rPr>
                <w:b/>
                <w:color w:val="000000"/>
                <w:sz w:val="20"/>
                <w:szCs w:val="20"/>
              </w:rPr>
              <w:t>1 247,00</w:t>
            </w:r>
          </w:p>
        </w:tc>
      </w:tr>
      <w:tr w:rsidR="00682B3A" w:rsidRPr="00075237" w14:paraId="2528D8DB" w14:textId="77777777" w:rsidTr="00C30F95">
        <w:tc>
          <w:tcPr>
            <w:tcW w:w="1741" w:type="pct"/>
            <w:shd w:val="clear" w:color="auto" w:fill="auto"/>
            <w:noWrap/>
            <w:tcMar>
              <w:left w:w="43" w:type="dxa"/>
              <w:right w:w="43" w:type="dxa"/>
            </w:tcMar>
            <w:hideMark/>
          </w:tcPr>
          <w:p w14:paraId="0DA9B405" w14:textId="77777777" w:rsidR="00682B3A" w:rsidRPr="00075237" w:rsidRDefault="00682B3A" w:rsidP="00C30F95">
            <w:pPr>
              <w:ind w:left="98"/>
              <w:jc w:val="left"/>
              <w:rPr>
                <w:b/>
                <w:bCs/>
                <w:color w:val="000000"/>
                <w:sz w:val="20"/>
                <w:szCs w:val="20"/>
                <w:highlight w:val="magenta"/>
              </w:rPr>
            </w:pPr>
            <w:r w:rsidRPr="00075237">
              <w:rPr>
                <w:color w:val="000000"/>
                <w:sz w:val="20"/>
                <w:szCs w:val="20"/>
              </w:rPr>
              <w:t>HCFC-141b dans les polyols prémélangés importés*</w:t>
            </w:r>
          </w:p>
        </w:tc>
        <w:tc>
          <w:tcPr>
            <w:tcW w:w="652" w:type="pct"/>
            <w:shd w:val="clear" w:color="auto" w:fill="auto"/>
            <w:noWrap/>
          </w:tcPr>
          <w:p w14:paraId="426BE7C7" w14:textId="77777777" w:rsidR="00682B3A" w:rsidRPr="00075237" w:rsidRDefault="00682B3A" w:rsidP="00C30F95">
            <w:pPr>
              <w:tabs>
                <w:tab w:val="left" w:pos="430"/>
              </w:tabs>
              <w:ind w:left="-137" w:right="63"/>
              <w:jc w:val="right"/>
              <w:rPr>
                <w:sz w:val="20"/>
                <w:szCs w:val="20"/>
              </w:rPr>
            </w:pPr>
            <w:r w:rsidRPr="00075237">
              <w:rPr>
                <w:sz w:val="20"/>
                <w:szCs w:val="20"/>
              </w:rPr>
              <w:t>226,19</w:t>
            </w:r>
          </w:p>
        </w:tc>
        <w:tc>
          <w:tcPr>
            <w:tcW w:w="652" w:type="pct"/>
            <w:shd w:val="clear" w:color="auto" w:fill="auto"/>
            <w:noWrap/>
          </w:tcPr>
          <w:p w14:paraId="40A78D77" w14:textId="77777777" w:rsidR="00682B3A" w:rsidRPr="00075237" w:rsidRDefault="00682B3A" w:rsidP="00C30F95">
            <w:pPr>
              <w:tabs>
                <w:tab w:val="left" w:pos="430"/>
              </w:tabs>
              <w:ind w:left="-137" w:right="63"/>
              <w:jc w:val="right"/>
              <w:rPr>
                <w:sz w:val="20"/>
                <w:szCs w:val="20"/>
              </w:rPr>
            </w:pPr>
            <w:r w:rsidRPr="00075237">
              <w:rPr>
                <w:color w:val="000000" w:themeColor="text1"/>
                <w:sz w:val="20"/>
                <w:szCs w:val="20"/>
              </w:rPr>
              <w:t>0,00</w:t>
            </w:r>
          </w:p>
        </w:tc>
        <w:tc>
          <w:tcPr>
            <w:tcW w:w="652" w:type="pct"/>
            <w:shd w:val="clear" w:color="auto" w:fill="auto"/>
            <w:noWrap/>
          </w:tcPr>
          <w:p w14:paraId="76EAF5B4" w14:textId="77777777" w:rsidR="00682B3A" w:rsidRPr="00075237" w:rsidRDefault="00682B3A" w:rsidP="00C30F95">
            <w:pPr>
              <w:tabs>
                <w:tab w:val="left" w:pos="430"/>
              </w:tabs>
              <w:ind w:left="-137" w:right="63"/>
              <w:jc w:val="right"/>
              <w:rPr>
                <w:color w:val="000000"/>
                <w:sz w:val="20"/>
                <w:szCs w:val="20"/>
              </w:rPr>
            </w:pPr>
            <w:r w:rsidRPr="00075237">
              <w:rPr>
                <w:color w:val="000000" w:themeColor="text1"/>
                <w:sz w:val="20"/>
                <w:szCs w:val="20"/>
              </w:rPr>
              <w:t>0,00</w:t>
            </w:r>
          </w:p>
        </w:tc>
        <w:tc>
          <w:tcPr>
            <w:tcW w:w="652" w:type="pct"/>
          </w:tcPr>
          <w:p w14:paraId="2EE0F4AD" w14:textId="77777777" w:rsidR="00682B3A" w:rsidRPr="00075237" w:rsidRDefault="00682B3A" w:rsidP="00C30F95">
            <w:pPr>
              <w:tabs>
                <w:tab w:val="left" w:pos="430"/>
              </w:tabs>
              <w:ind w:left="-137" w:right="63"/>
              <w:jc w:val="right"/>
              <w:rPr>
                <w:color w:val="000000"/>
                <w:sz w:val="20"/>
                <w:szCs w:val="20"/>
              </w:rPr>
            </w:pPr>
            <w:r w:rsidRPr="00075237">
              <w:rPr>
                <w:color w:val="000000" w:themeColor="text1"/>
                <w:sz w:val="20"/>
                <w:szCs w:val="20"/>
              </w:rPr>
              <w:t>0,00</w:t>
            </w:r>
          </w:p>
        </w:tc>
        <w:tc>
          <w:tcPr>
            <w:tcW w:w="652" w:type="pct"/>
          </w:tcPr>
          <w:p w14:paraId="0717551C" w14:textId="77777777" w:rsidR="00682B3A" w:rsidRPr="00075237" w:rsidRDefault="00682B3A" w:rsidP="00C30F95">
            <w:pPr>
              <w:tabs>
                <w:tab w:val="left" w:pos="430"/>
              </w:tabs>
              <w:ind w:left="-137" w:right="63"/>
              <w:jc w:val="right"/>
              <w:rPr>
                <w:sz w:val="20"/>
                <w:szCs w:val="20"/>
              </w:rPr>
            </w:pPr>
            <w:r w:rsidRPr="00075237">
              <w:rPr>
                <w:sz w:val="20"/>
                <w:szCs w:val="20"/>
              </w:rPr>
              <w:t>102,82**</w:t>
            </w:r>
          </w:p>
        </w:tc>
      </w:tr>
      <w:tr w:rsidR="00682B3A" w:rsidRPr="00075237" w14:paraId="3E3196A4" w14:textId="77777777" w:rsidTr="00C30F95">
        <w:tc>
          <w:tcPr>
            <w:tcW w:w="5000" w:type="pct"/>
            <w:gridSpan w:val="6"/>
            <w:shd w:val="clear" w:color="auto" w:fill="auto"/>
            <w:noWrap/>
            <w:tcMar>
              <w:left w:w="43" w:type="dxa"/>
              <w:right w:w="43" w:type="dxa"/>
            </w:tcMar>
            <w:hideMark/>
          </w:tcPr>
          <w:p w14:paraId="2B14208D" w14:textId="77777777" w:rsidR="00682B3A" w:rsidRPr="00075237" w:rsidRDefault="00682B3A" w:rsidP="00C30F95">
            <w:pPr>
              <w:widowControl w:val="0"/>
              <w:ind w:left="98"/>
              <w:jc w:val="left"/>
              <w:rPr>
                <w:color w:val="000000"/>
                <w:sz w:val="20"/>
                <w:szCs w:val="20"/>
              </w:rPr>
            </w:pPr>
            <w:r w:rsidRPr="00075237">
              <w:rPr>
                <w:b/>
                <w:bCs/>
                <w:color w:val="000000"/>
                <w:sz w:val="20"/>
                <w:szCs w:val="20"/>
              </w:rPr>
              <w:t>Tonnes PAO</w:t>
            </w:r>
          </w:p>
        </w:tc>
      </w:tr>
      <w:tr w:rsidR="00682B3A" w:rsidRPr="00075237" w14:paraId="0E3EFB42" w14:textId="77777777" w:rsidTr="00C30F95">
        <w:tc>
          <w:tcPr>
            <w:tcW w:w="1741" w:type="pct"/>
            <w:shd w:val="clear" w:color="auto" w:fill="auto"/>
            <w:noWrap/>
            <w:tcMar>
              <w:left w:w="43" w:type="dxa"/>
              <w:right w:w="43" w:type="dxa"/>
            </w:tcMar>
            <w:vAlign w:val="center"/>
            <w:hideMark/>
          </w:tcPr>
          <w:p w14:paraId="0F6CEE1E" w14:textId="77777777" w:rsidR="00682B3A" w:rsidRPr="00075237" w:rsidRDefault="00682B3A" w:rsidP="00C30F95">
            <w:pPr>
              <w:widowControl w:val="0"/>
              <w:ind w:left="98"/>
              <w:jc w:val="left"/>
              <w:rPr>
                <w:color w:val="000000"/>
                <w:sz w:val="20"/>
                <w:szCs w:val="20"/>
              </w:rPr>
            </w:pPr>
            <w:r w:rsidRPr="00075237">
              <w:rPr>
                <w:color w:val="000000"/>
                <w:sz w:val="20"/>
                <w:szCs w:val="20"/>
              </w:rPr>
              <w:t>HCFC-22</w:t>
            </w:r>
          </w:p>
        </w:tc>
        <w:tc>
          <w:tcPr>
            <w:tcW w:w="652" w:type="pct"/>
            <w:shd w:val="clear" w:color="auto" w:fill="auto"/>
            <w:noWrap/>
            <w:vAlign w:val="center"/>
          </w:tcPr>
          <w:p w14:paraId="60F7B4E3" w14:textId="77777777" w:rsidR="00682B3A" w:rsidRPr="00075237" w:rsidRDefault="00682B3A" w:rsidP="00C30F95">
            <w:pPr>
              <w:widowControl w:val="0"/>
              <w:ind w:left="-279" w:right="63"/>
              <w:jc w:val="right"/>
              <w:rPr>
                <w:color w:val="000000"/>
                <w:sz w:val="20"/>
                <w:szCs w:val="20"/>
              </w:rPr>
            </w:pPr>
            <w:r w:rsidRPr="00075237">
              <w:rPr>
                <w:color w:val="000000"/>
                <w:sz w:val="20"/>
                <w:szCs w:val="20"/>
              </w:rPr>
              <w:t xml:space="preserve">16,78 </w:t>
            </w:r>
          </w:p>
        </w:tc>
        <w:tc>
          <w:tcPr>
            <w:tcW w:w="652" w:type="pct"/>
            <w:shd w:val="clear" w:color="auto" w:fill="auto"/>
            <w:noWrap/>
            <w:vAlign w:val="center"/>
          </w:tcPr>
          <w:p w14:paraId="19E346F4" w14:textId="77777777" w:rsidR="00682B3A" w:rsidRPr="00075237" w:rsidRDefault="00682B3A" w:rsidP="00C30F95">
            <w:pPr>
              <w:widowControl w:val="0"/>
              <w:ind w:left="-279" w:right="63"/>
              <w:jc w:val="right"/>
              <w:rPr>
                <w:color w:val="000000"/>
                <w:sz w:val="20"/>
                <w:szCs w:val="20"/>
              </w:rPr>
            </w:pPr>
            <w:r w:rsidRPr="00075237">
              <w:rPr>
                <w:color w:val="000000"/>
                <w:sz w:val="20"/>
                <w:szCs w:val="20"/>
              </w:rPr>
              <w:t>29,15</w:t>
            </w:r>
          </w:p>
        </w:tc>
        <w:tc>
          <w:tcPr>
            <w:tcW w:w="652" w:type="pct"/>
            <w:shd w:val="clear" w:color="auto" w:fill="auto"/>
            <w:noWrap/>
            <w:vAlign w:val="center"/>
          </w:tcPr>
          <w:p w14:paraId="3F25B3FD" w14:textId="77777777" w:rsidR="00682B3A" w:rsidRPr="00075237" w:rsidRDefault="00682B3A" w:rsidP="00C30F95">
            <w:pPr>
              <w:widowControl w:val="0"/>
              <w:ind w:left="-279" w:right="63"/>
              <w:jc w:val="right"/>
              <w:rPr>
                <w:color w:val="000000"/>
                <w:sz w:val="20"/>
                <w:szCs w:val="20"/>
              </w:rPr>
            </w:pPr>
            <w:r w:rsidRPr="00075237">
              <w:rPr>
                <w:color w:val="000000"/>
                <w:sz w:val="20"/>
                <w:szCs w:val="20"/>
              </w:rPr>
              <w:t>9,16</w:t>
            </w:r>
          </w:p>
        </w:tc>
        <w:tc>
          <w:tcPr>
            <w:tcW w:w="652" w:type="pct"/>
            <w:shd w:val="clear" w:color="auto" w:fill="auto"/>
            <w:vAlign w:val="center"/>
          </w:tcPr>
          <w:p w14:paraId="2476D757" w14:textId="77777777" w:rsidR="00682B3A" w:rsidRPr="00075237" w:rsidRDefault="00682B3A" w:rsidP="00C30F95">
            <w:pPr>
              <w:widowControl w:val="0"/>
              <w:ind w:left="-279" w:right="63"/>
              <w:jc w:val="right"/>
              <w:rPr>
                <w:color w:val="000000"/>
                <w:sz w:val="20"/>
                <w:szCs w:val="20"/>
              </w:rPr>
            </w:pPr>
            <w:r w:rsidRPr="00075237">
              <w:rPr>
                <w:color w:val="000000"/>
                <w:sz w:val="20"/>
                <w:szCs w:val="20"/>
              </w:rPr>
              <w:t>14,44</w:t>
            </w:r>
          </w:p>
        </w:tc>
        <w:tc>
          <w:tcPr>
            <w:tcW w:w="652" w:type="pct"/>
          </w:tcPr>
          <w:p w14:paraId="7E2FE3B1" w14:textId="77777777" w:rsidR="00682B3A" w:rsidRPr="00075237" w:rsidRDefault="00682B3A" w:rsidP="00C30F95">
            <w:pPr>
              <w:widowControl w:val="0"/>
              <w:ind w:left="-279" w:right="63"/>
              <w:jc w:val="right"/>
              <w:rPr>
                <w:color w:val="000000"/>
                <w:sz w:val="20"/>
                <w:szCs w:val="20"/>
              </w:rPr>
            </w:pPr>
            <w:r w:rsidRPr="00075237">
              <w:rPr>
                <w:color w:val="000000"/>
                <w:sz w:val="20"/>
                <w:szCs w:val="20"/>
              </w:rPr>
              <w:t>54,20</w:t>
            </w:r>
          </w:p>
        </w:tc>
      </w:tr>
      <w:tr w:rsidR="00682B3A" w:rsidRPr="00075237" w14:paraId="0E144474" w14:textId="77777777" w:rsidTr="00C30F95">
        <w:tc>
          <w:tcPr>
            <w:tcW w:w="1741" w:type="pct"/>
            <w:shd w:val="clear" w:color="auto" w:fill="auto"/>
            <w:noWrap/>
            <w:tcMar>
              <w:left w:w="43" w:type="dxa"/>
              <w:right w:w="43" w:type="dxa"/>
            </w:tcMar>
            <w:vAlign w:val="center"/>
            <w:hideMark/>
          </w:tcPr>
          <w:p w14:paraId="2139D37E" w14:textId="77777777" w:rsidR="00682B3A" w:rsidRPr="00075237" w:rsidRDefault="00682B3A" w:rsidP="00C30F95">
            <w:pPr>
              <w:widowControl w:val="0"/>
              <w:ind w:left="98"/>
              <w:jc w:val="left"/>
              <w:rPr>
                <w:color w:val="000000"/>
                <w:sz w:val="20"/>
                <w:szCs w:val="20"/>
              </w:rPr>
            </w:pPr>
            <w:r w:rsidRPr="00075237">
              <w:rPr>
                <w:color w:val="000000"/>
                <w:sz w:val="20"/>
                <w:szCs w:val="20"/>
              </w:rPr>
              <w:t>HCFC-141b</w:t>
            </w:r>
          </w:p>
        </w:tc>
        <w:tc>
          <w:tcPr>
            <w:tcW w:w="652" w:type="pct"/>
            <w:shd w:val="clear" w:color="auto" w:fill="auto"/>
            <w:noWrap/>
            <w:vAlign w:val="center"/>
          </w:tcPr>
          <w:p w14:paraId="42734B4F" w14:textId="77777777" w:rsidR="00682B3A" w:rsidRPr="00075237" w:rsidRDefault="00682B3A" w:rsidP="00C30F95">
            <w:pPr>
              <w:widowControl w:val="0"/>
              <w:ind w:left="-279" w:right="63"/>
              <w:jc w:val="right"/>
              <w:rPr>
                <w:color w:val="000000"/>
                <w:sz w:val="20"/>
                <w:szCs w:val="20"/>
              </w:rPr>
            </w:pPr>
            <w:r w:rsidRPr="00075237">
              <w:rPr>
                <w:color w:val="000000"/>
                <w:sz w:val="20"/>
                <w:szCs w:val="20"/>
              </w:rPr>
              <w:t xml:space="preserve">6,60 </w:t>
            </w:r>
          </w:p>
        </w:tc>
        <w:tc>
          <w:tcPr>
            <w:tcW w:w="652" w:type="pct"/>
            <w:shd w:val="clear" w:color="auto" w:fill="auto"/>
            <w:noWrap/>
            <w:vAlign w:val="center"/>
          </w:tcPr>
          <w:p w14:paraId="5C1CFAED" w14:textId="77777777" w:rsidR="00682B3A" w:rsidRPr="00075237" w:rsidRDefault="00682B3A" w:rsidP="00C30F95">
            <w:pPr>
              <w:widowControl w:val="0"/>
              <w:ind w:left="-279" w:right="63"/>
              <w:jc w:val="right"/>
              <w:rPr>
                <w:color w:val="000000"/>
                <w:sz w:val="20"/>
                <w:szCs w:val="20"/>
              </w:rPr>
            </w:pPr>
            <w:r w:rsidRPr="00075237">
              <w:rPr>
                <w:color w:val="000000" w:themeColor="text1"/>
                <w:sz w:val="20"/>
                <w:szCs w:val="20"/>
              </w:rPr>
              <w:t>0,00</w:t>
            </w:r>
          </w:p>
        </w:tc>
        <w:tc>
          <w:tcPr>
            <w:tcW w:w="652" w:type="pct"/>
            <w:shd w:val="clear" w:color="auto" w:fill="auto"/>
            <w:noWrap/>
            <w:vAlign w:val="center"/>
          </w:tcPr>
          <w:p w14:paraId="5ED33F25" w14:textId="77777777" w:rsidR="00682B3A" w:rsidRPr="00075237" w:rsidRDefault="00682B3A" w:rsidP="00C30F95">
            <w:pPr>
              <w:widowControl w:val="0"/>
              <w:ind w:left="-279" w:right="63"/>
              <w:jc w:val="right"/>
              <w:rPr>
                <w:color w:val="000000"/>
                <w:sz w:val="20"/>
                <w:szCs w:val="20"/>
              </w:rPr>
            </w:pPr>
            <w:r w:rsidRPr="00075237">
              <w:rPr>
                <w:color w:val="000000" w:themeColor="text1"/>
                <w:sz w:val="20"/>
                <w:szCs w:val="20"/>
              </w:rPr>
              <w:t>0,00</w:t>
            </w:r>
          </w:p>
        </w:tc>
        <w:tc>
          <w:tcPr>
            <w:tcW w:w="652" w:type="pct"/>
            <w:shd w:val="clear" w:color="auto" w:fill="auto"/>
            <w:vAlign w:val="center"/>
          </w:tcPr>
          <w:p w14:paraId="692A619B" w14:textId="77777777" w:rsidR="00682B3A" w:rsidRPr="00075237" w:rsidRDefault="00682B3A" w:rsidP="00C30F95">
            <w:pPr>
              <w:widowControl w:val="0"/>
              <w:ind w:left="-279" w:right="63"/>
              <w:jc w:val="right"/>
              <w:rPr>
                <w:color w:val="000000"/>
                <w:sz w:val="20"/>
                <w:szCs w:val="20"/>
              </w:rPr>
            </w:pPr>
            <w:r w:rsidRPr="00075237">
              <w:rPr>
                <w:color w:val="000000" w:themeColor="text1"/>
                <w:sz w:val="20"/>
                <w:szCs w:val="20"/>
              </w:rPr>
              <w:t>0,00</w:t>
            </w:r>
          </w:p>
        </w:tc>
        <w:tc>
          <w:tcPr>
            <w:tcW w:w="652" w:type="pct"/>
          </w:tcPr>
          <w:p w14:paraId="19EF581E" w14:textId="77777777" w:rsidR="00682B3A" w:rsidRPr="00075237" w:rsidRDefault="00682B3A" w:rsidP="00C30F95">
            <w:pPr>
              <w:widowControl w:val="0"/>
              <w:ind w:left="-279" w:right="63"/>
              <w:jc w:val="right"/>
              <w:rPr>
                <w:color w:val="000000"/>
                <w:sz w:val="20"/>
                <w:szCs w:val="20"/>
              </w:rPr>
            </w:pPr>
            <w:r w:rsidRPr="00075237">
              <w:rPr>
                <w:color w:val="000000"/>
                <w:sz w:val="20"/>
                <w:szCs w:val="20"/>
              </w:rPr>
              <w:t>28,80</w:t>
            </w:r>
          </w:p>
        </w:tc>
      </w:tr>
      <w:tr w:rsidR="00682B3A" w:rsidRPr="00075237" w14:paraId="53FA5885" w14:textId="77777777" w:rsidTr="00C30F95">
        <w:tc>
          <w:tcPr>
            <w:tcW w:w="1741" w:type="pct"/>
            <w:shd w:val="clear" w:color="auto" w:fill="auto"/>
            <w:noWrap/>
            <w:tcMar>
              <w:left w:w="43" w:type="dxa"/>
              <w:right w:w="43" w:type="dxa"/>
            </w:tcMar>
            <w:hideMark/>
          </w:tcPr>
          <w:p w14:paraId="3A92C98B" w14:textId="77777777" w:rsidR="00682B3A" w:rsidRPr="00075237" w:rsidRDefault="00682B3A" w:rsidP="00C30F95">
            <w:pPr>
              <w:ind w:left="98"/>
              <w:jc w:val="left"/>
              <w:rPr>
                <w:rFonts w:eastAsiaTheme="minorHAnsi"/>
                <w:b/>
                <w:sz w:val="20"/>
                <w:szCs w:val="20"/>
              </w:rPr>
            </w:pPr>
            <w:r w:rsidRPr="00075237">
              <w:rPr>
                <w:b/>
                <w:sz w:val="20"/>
                <w:szCs w:val="20"/>
              </w:rPr>
              <w:t>Sous-total (tonnes PAO)</w:t>
            </w:r>
          </w:p>
        </w:tc>
        <w:tc>
          <w:tcPr>
            <w:tcW w:w="652" w:type="pct"/>
            <w:shd w:val="clear" w:color="auto" w:fill="auto"/>
            <w:noWrap/>
          </w:tcPr>
          <w:p w14:paraId="2C4AA433" w14:textId="77777777" w:rsidR="00682B3A" w:rsidRPr="00075237" w:rsidRDefault="00682B3A" w:rsidP="00C30F95">
            <w:pPr>
              <w:widowControl w:val="0"/>
              <w:ind w:left="-279" w:right="63"/>
              <w:jc w:val="right"/>
              <w:rPr>
                <w:b/>
                <w:color w:val="000000"/>
                <w:sz w:val="20"/>
                <w:szCs w:val="20"/>
              </w:rPr>
            </w:pPr>
            <w:r w:rsidRPr="00075237">
              <w:rPr>
                <w:b/>
                <w:color w:val="000000"/>
                <w:sz w:val="20"/>
                <w:szCs w:val="20"/>
              </w:rPr>
              <w:t>23,38</w:t>
            </w:r>
          </w:p>
        </w:tc>
        <w:tc>
          <w:tcPr>
            <w:tcW w:w="652" w:type="pct"/>
            <w:shd w:val="clear" w:color="auto" w:fill="auto"/>
            <w:noWrap/>
          </w:tcPr>
          <w:p w14:paraId="468A160A" w14:textId="77777777" w:rsidR="00682B3A" w:rsidRPr="00075237" w:rsidRDefault="00682B3A" w:rsidP="00C30F95">
            <w:pPr>
              <w:widowControl w:val="0"/>
              <w:ind w:left="-279" w:right="63"/>
              <w:jc w:val="right"/>
              <w:rPr>
                <w:b/>
                <w:color w:val="000000"/>
                <w:sz w:val="20"/>
                <w:szCs w:val="20"/>
              </w:rPr>
            </w:pPr>
            <w:r w:rsidRPr="00075237">
              <w:rPr>
                <w:b/>
                <w:color w:val="000000"/>
                <w:sz w:val="20"/>
                <w:szCs w:val="20"/>
              </w:rPr>
              <w:t>29,15</w:t>
            </w:r>
          </w:p>
        </w:tc>
        <w:tc>
          <w:tcPr>
            <w:tcW w:w="652" w:type="pct"/>
            <w:shd w:val="clear" w:color="auto" w:fill="auto"/>
            <w:noWrap/>
          </w:tcPr>
          <w:p w14:paraId="3A7C4B7C" w14:textId="77777777" w:rsidR="00682B3A" w:rsidRPr="00075237" w:rsidRDefault="00682B3A" w:rsidP="00C30F95">
            <w:pPr>
              <w:widowControl w:val="0"/>
              <w:ind w:left="-279" w:right="63"/>
              <w:jc w:val="right"/>
              <w:rPr>
                <w:b/>
                <w:color w:val="000000"/>
                <w:sz w:val="20"/>
                <w:szCs w:val="20"/>
              </w:rPr>
            </w:pPr>
            <w:r w:rsidRPr="00075237">
              <w:rPr>
                <w:b/>
                <w:color w:val="000000"/>
                <w:sz w:val="20"/>
                <w:szCs w:val="20"/>
              </w:rPr>
              <w:t>9,16</w:t>
            </w:r>
          </w:p>
        </w:tc>
        <w:tc>
          <w:tcPr>
            <w:tcW w:w="652" w:type="pct"/>
          </w:tcPr>
          <w:p w14:paraId="4D68A352" w14:textId="77777777" w:rsidR="00682B3A" w:rsidRPr="00075237" w:rsidRDefault="00682B3A" w:rsidP="00C30F95">
            <w:pPr>
              <w:ind w:left="-279" w:right="63"/>
              <w:jc w:val="right"/>
              <w:rPr>
                <w:b/>
                <w:color w:val="000000"/>
                <w:sz w:val="20"/>
                <w:szCs w:val="20"/>
              </w:rPr>
            </w:pPr>
            <w:r w:rsidRPr="00075237">
              <w:rPr>
                <w:b/>
                <w:color w:val="000000"/>
                <w:sz w:val="20"/>
                <w:szCs w:val="20"/>
              </w:rPr>
              <w:t>14,44</w:t>
            </w:r>
          </w:p>
        </w:tc>
        <w:tc>
          <w:tcPr>
            <w:tcW w:w="652" w:type="pct"/>
          </w:tcPr>
          <w:p w14:paraId="424E615F" w14:textId="77777777" w:rsidR="00682B3A" w:rsidRPr="00075237" w:rsidRDefault="00682B3A" w:rsidP="00C30F95">
            <w:pPr>
              <w:ind w:left="-279" w:right="63"/>
              <w:jc w:val="right"/>
              <w:rPr>
                <w:rFonts w:eastAsiaTheme="minorHAnsi"/>
                <w:b/>
                <w:color w:val="000000"/>
                <w:sz w:val="20"/>
                <w:szCs w:val="20"/>
              </w:rPr>
            </w:pPr>
            <w:r w:rsidRPr="00075237">
              <w:rPr>
                <w:b/>
                <w:color w:val="000000"/>
                <w:sz w:val="20"/>
                <w:szCs w:val="20"/>
              </w:rPr>
              <w:t>83,00</w:t>
            </w:r>
          </w:p>
        </w:tc>
      </w:tr>
      <w:tr w:rsidR="00682B3A" w:rsidRPr="00075237" w14:paraId="4F6B65A2" w14:textId="77777777" w:rsidTr="00C30F95">
        <w:tc>
          <w:tcPr>
            <w:tcW w:w="1741" w:type="pct"/>
            <w:shd w:val="clear" w:color="auto" w:fill="auto"/>
            <w:noWrap/>
            <w:tcMar>
              <w:left w:w="43" w:type="dxa"/>
              <w:right w:w="43" w:type="dxa"/>
            </w:tcMar>
            <w:hideMark/>
          </w:tcPr>
          <w:p w14:paraId="4622CC72" w14:textId="77777777" w:rsidR="00682B3A" w:rsidRPr="00075237" w:rsidRDefault="00682B3A" w:rsidP="00C30F95">
            <w:pPr>
              <w:ind w:left="98"/>
              <w:jc w:val="left"/>
              <w:rPr>
                <w:color w:val="000000"/>
                <w:sz w:val="20"/>
                <w:szCs w:val="20"/>
                <w:highlight w:val="magenta"/>
              </w:rPr>
            </w:pPr>
            <w:r w:rsidRPr="00075237">
              <w:rPr>
                <w:color w:val="000000"/>
                <w:sz w:val="20"/>
                <w:szCs w:val="20"/>
              </w:rPr>
              <w:t>HCFC-141b dans les polyols prémélangés importés*</w:t>
            </w:r>
          </w:p>
        </w:tc>
        <w:tc>
          <w:tcPr>
            <w:tcW w:w="652" w:type="pct"/>
            <w:shd w:val="clear" w:color="auto" w:fill="auto"/>
            <w:noWrap/>
          </w:tcPr>
          <w:p w14:paraId="4009FAFE" w14:textId="77777777" w:rsidR="00682B3A" w:rsidRPr="00075237" w:rsidRDefault="00682B3A" w:rsidP="00C30F95">
            <w:pPr>
              <w:ind w:left="-279" w:right="63"/>
              <w:jc w:val="right"/>
              <w:rPr>
                <w:rFonts w:eastAsiaTheme="minorHAnsi"/>
                <w:color w:val="000000"/>
                <w:sz w:val="20"/>
                <w:szCs w:val="20"/>
              </w:rPr>
            </w:pPr>
            <w:r w:rsidRPr="00075237">
              <w:rPr>
                <w:color w:val="000000"/>
                <w:sz w:val="20"/>
                <w:szCs w:val="20"/>
              </w:rPr>
              <w:t>24,88</w:t>
            </w:r>
          </w:p>
        </w:tc>
        <w:tc>
          <w:tcPr>
            <w:tcW w:w="652" w:type="pct"/>
            <w:shd w:val="clear" w:color="auto" w:fill="auto"/>
            <w:noWrap/>
          </w:tcPr>
          <w:p w14:paraId="59EECA59" w14:textId="77777777" w:rsidR="00682B3A" w:rsidRPr="00075237" w:rsidRDefault="00682B3A" w:rsidP="00C30F95">
            <w:pPr>
              <w:ind w:left="-279" w:right="63"/>
              <w:jc w:val="right"/>
              <w:rPr>
                <w:rFonts w:eastAsiaTheme="minorHAnsi"/>
                <w:color w:val="000000"/>
                <w:sz w:val="20"/>
                <w:szCs w:val="20"/>
              </w:rPr>
            </w:pPr>
            <w:r w:rsidRPr="00075237">
              <w:rPr>
                <w:color w:val="000000" w:themeColor="text1"/>
                <w:sz w:val="20"/>
                <w:szCs w:val="20"/>
              </w:rPr>
              <w:t>0,00</w:t>
            </w:r>
          </w:p>
        </w:tc>
        <w:tc>
          <w:tcPr>
            <w:tcW w:w="652" w:type="pct"/>
            <w:shd w:val="clear" w:color="auto" w:fill="auto"/>
            <w:noWrap/>
          </w:tcPr>
          <w:p w14:paraId="38D59DA3" w14:textId="77777777" w:rsidR="00682B3A" w:rsidRPr="00075237" w:rsidRDefault="00682B3A" w:rsidP="00C30F95">
            <w:pPr>
              <w:ind w:left="-279" w:right="63"/>
              <w:jc w:val="right"/>
              <w:rPr>
                <w:rFonts w:eastAsiaTheme="minorHAnsi"/>
                <w:color w:val="000000"/>
                <w:sz w:val="20"/>
                <w:szCs w:val="20"/>
              </w:rPr>
            </w:pPr>
            <w:r w:rsidRPr="00075237">
              <w:rPr>
                <w:color w:val="000000" w:themeColor="text1"/>
                <w:sz w:val="20"/>
                <w:szCs w:val="20"/>
              </w:rPr>
              <w:t>0,00</w:t>
            </w:r>
          </w:p>
        </w:tc>
        <w:tc>
          <w:tcPr>
            <w:tcW w:w="652" w:type="pct"/>
          </w:tcPr>
          <w:p w14:paraId="760D3FDE" w14:textId="77777777" w:rsidR="00682B3A" w:rsidRPr="00075237" w:rsidRDefault="00682B3A" w:rsidP="00C30F95">
            <w:pPr>
              <w:ind w:left="-279" w:right="63"/>
              <w:jc w:val="right"/>
              <w:rPr>
                <w:color w:val="000000"/>
                <w:sz w:val="20"/>
                <w:szCs w:val="20"/>
              </w:rPr>
            </w:pPr>
            <w:r w:rsidRPr="00075237">
              <w:rPr>
                <w:color w:val="000000" w:themeColor="text1"/>
                <w:sz w:val="20"/>
                <w:szCs w:val="20"/>
              </w:rPr>
              <w:t>0,00</w:t>
            </w:r>
          </w:p>
        </w:tc>
        <w:tc>
          <w:tcPr>
            <w:tcW w:w="652" w:type="pct"/>
          </w:tcPr>
          <w:p w14:paraId="755816B0" w14:textId="77777777" w:rsidR="00682B3A" w:rsidRPr="00075237" w:rsidRDefault="00682B3A" w:rsidP="00C30F95">
            <w:pPr>
              <w:ind w:left="-279" w:right="63"/>
              <w:jc w:val="right"/>
              <w:rPr>
                <w:rFonts w:eastAsiaTheme="minorHAnsi"/>
                <w:color w:val="000000"/>
                <w:sz w:val="20"/>
                <w:szCs w:val="20"/>
              </w:rPr>
            </w:pPr>
            <w:r w:rsidRPr="00075237">
              <w:rPr>
                <w:color w:val="000000"/>
                <w:sz w:val="20"/>
                <w:szCs w:val="20"/>
              </w:rPr>
              <w:t>11,31**</w:t>
            </w:r>
          </w:p>
        </w:tc>
      </w:tr>
    </w:tbl>
    <w:p w14:paraId="6626CFE4" w14:textId="77777777" w:rsidR="00682B3A" w:rsidRPr="00075237" w:rsidRDefault="00682B3A" w:rsidP="00682B3A">
      <w:pPr>
        <w:rPr>
          <w:iCs/>
          <w:sz w:val="19"/>
          <w:szCs w:val="19"/>
        </w:rPr>
      </w:pPr>
      <w:r w:rsidRPr="00075237">
        <w:rPr>
          <w:iCs/>
          <w:sz w:val="19"/>
          <w:szCs w:val="19"/>
        </w:rPr>
        <w:t>* Données du programme du pays</w:t>
      </w:r>
    </w:p>
    <w:p w14:paraId="7A024813" w14:textId="77777777" w:rsidR="00682B3A" w:rsidRPr="00075237" w:rsidRDefault="00682B3A" w:rsidP="00682B3A">
      <w:pPr>
        <w:rPr>
          <w:iCs/>
          <w:sz w:val="19"/>
          <w:szCs w:val="19"/>
        </w:rPr>
      </w:pPr>
      <w:r w:rsidRPr="00075237">
        <w:rPr>
          <w:iCs/>
          <w:sz w:val="19"/>
          <w:szCs w:val="19"/>
        </w:rPr>
        <w:t>** Consommation moyenne entre 2007 et 2009</w:t>
      </w:r>
    </w:p>
    <w:p w14:paraId="4493F078" w14:textId="77777777" w:rsidR="00682B3A" w:rsidRPr="00075237" w:rsidRDefault="00682B3A" w:rsidP="00682B3A">
      <w:pPr>
        <w:rPr>
          <w:iCs/>
        </w:rPr>
      </w:pPr>
    </w:p>
    <w:p w14:paraId="7A7D1743" w14:textId="77777777" w:rsidR="00682B3A" w:rsidRPr="00075237" w:rsidRDefault="00682B3A" w:rsidP="00682B3A">
      <w:pPr>
        <w:spacing w:after="240"/>
        <w:rPr>
          <w:i/>
        </w:rPr>
      </w:pPr>
      <w:r w:rsidRPr="00075237">
        <w:rPr>
          <w:i/>
        </w:rPr>
        <w:t>Rapport sur la mise en œuvre du programme du pays</w:t>
      </w:r>
    </w:p>
    <w:p w14:paraId="2BF26638" w14:textId="77777777" w:rsidR="00682B3A" w:rsidRPr="00075237" w:rsidRDefault="00682B3A" w:rsidP="00682B3A">
      <w:pPr>
        <w:pStyle w:val="Heading1"/>
      </w:pPr>
      <w:r w:rsidRPr="00075237">
        <w:t xml:space="preserve">Le gouvernement de la Jordanie a communiqué les données du secteur de la consommation des HCFC dans le cadre du rapport de mise en œuvre du programme du pays de 2022, et ces données correspondent aux données déclarées en vertu de l’Article 7 du Protocole de Montréal. </w:t>
      </w:r>
    </w:p>
    <w:p w14:paraId="0D483602" w14:textId="77777777" w:rsidR="00682B3A" w:rsidRPr="00075237" w:rsidRDefault="00682B3A" w:rsidP="00682B3A">
      <w:pPr>
        <w:rPr>
          <w:b/>
          <w:bCs/>
        </w:rPr>
      </w:pPr>
      <w:r w:rsidRPr="00075237">
        <w:rPr>
          <w:b/>
          <w:bCs/>
        </w:rPr>
        <w:t>Rapport périodique</w:t>
      </w:r>
    </w:p>
    <w:p w14:paraId="264C9F07" w14:textId="77777777" w:rsidR="00682B3A" w:rsidRPr="00075237" w:rsidRDefault="00682B3A" w:rsidP="00682B3A"/>
    <w:p w14:paraId="647DA123" w14:textId="3944BF2D" w:rsidR="00682B3A" w:rsidRPr="00075237" w:rsidRDefault="00682B3A" w:rsidP="00682B3A">
      <w:pPr>
        <w:pStyle w:val="Heading1"/>
        <w:spacing w:after="0"/>
      </w:pPr>
      <w:r w:rsidRPr="00075237">
        <w:t>Les activités suivantes ont été entreprises :</w:t>
      </w:r>
      <w:r w:rsidRPr="00075237">
        <w:cr/>
      </w:r>
    </w:p>
    <w:p w14:paraId="429BB480" w14:textId="77777777" w:rsidR="00682B3A" w:rsidRPr="00075237" w:rsidRDefault="00682B3A" w:rsidP="00682B3A">
      <w:pPr>
        <w:pStyle w:val="Heading2"/>
      </w:pPr>
      <w:r w:rsidRPr="00075237">
        <w:t>Le tableau qui suit résume l’état d’achèvement des projets pour les grandes entreprises dans le secteur de la fabrication de la mousse de polyuréthane (PU).</w:t>
      </w:r>
    </w:p>
    <w:tbl>
      <w:tblPr>
        <w:tblStyle w:val="TableGrid"/>
        <w:tblW w:w="4245" w:type="pct"/>
        <w:tblInd w:w="1413" w:type="dxa"/>
        <w:tblLook w:val="04A0" w:firstRow="1" w:lastRow="0" w:firstColumn="1" w:lastColumn="0" w:noHBand="0" w:noVBand="1"/>
      </w:tblPr>
      <w:tblGrid>
        <w:gridCol w:w="2692"/>
        <w:gridCol w:w="1748"/>
        <w:gridCol w:w="1748"/>
        <w:gridCol w:w="1750"/>
      </w:tblGrid>
      <w:tr w:rsidR="00682B3A" w:rsidRPr="00075237" w14:paraId="4AB7A1D3" w14:textId="77777777" w:rsidTr="00C30F95">
        <w:tc>
          <w:tcPr>
            <w:tcW w:w="1696" w:type="pct"/>
          </w:tcPr>
          <w:p w14:paraId="6A6864D8" w14:textId="77777777" w:rsidR="00682B3A" w:rsidRPr="00075237" w:rsidRDefault="00682B3A" w:rsidP="00C30F95">
            <w:pPr>
              <w:jc w:val="center"/>
              <w:rPr>
                <w:rFonts w:asciiTheme="majorBidi" w:hAnsiTheme="majorBidi" w:cstheme="majorBidi"/>
                <w:b/>
                <w:bCs/>
                <w:sz w:val="20"/>
                <w:szCs w:val="20"/>
              </w:rPr>
            </w:pPr>
            <w:r w:rsidRPr="00075237">
              <w:rPr>
                <w:b/>
                <w:bCs/>
                <w:color w:val="000000"/>
                <w:sz w:val="20"/>
                <w:szCs w:val="20"/>
              </w:rPr>
              <w:t>Nom de l’entreprise</w:t>
            </w:r>
          </w:p>
        </w:tc>
        <w:tc>
          <w:tcPr>
            <w:tcW w:w="1101" w:type="pct"/>
          </w:tcPr>
          <w:p w14:paraId="41F1A436" w14:textId="77777777" w:rsidR="00682B3A" w:rsidRPr="00075237" w:rsidRDefault="00682B3A" w:rsidP="00C30F95">
            <w:pPr>
              <w:jc w:val="center"/>
              <w:rPr>
                <w:rFonts w:asciiTheme="majorBidi" w:hAnsiTheme="majorBidi" w:cstheme="majorBidi"/>
                <w:b/>
                <w:bCs/>
                <w:sz w:val="20"/>
                <w:szCs w:val="20"/>
              </w:rPr>
            </w:pPr>
            <w:r w:rsidRPr="00075237">
              <w:rPr>
                <w:rFonts w:asciiTheme="majorBidi" w:hAnsiTheme="majorBidi"/>
                <w:b/>
                <w:bCs/>
                <w:sz w:val="20"/>
                <w:szCs w:val="20"/>
              </w:rPr>
              <w:t>Consommation de HFC-141b (kg)</w:t>
            </w:r>
          </w:p>
        </w:tc>
        <w:tc>
          <w:tcPr>
            <w:tcW w:w="1101" w:type="pct"/>
          </w:tcPr>
          <w:p w14:paraId="6E357B1D" w14:textId="77777777" w:rsidR="00682B3A" w:rsidRPr="00075237" w:rsidRDefault="00682B3A" w:rsidP="00C30F95">
            <w:pPr>
              <w:jc w:val="center"/>
              <w:rPr>
                <w:rFonts w:asciiTheme="majorBidi" w:hAnsiTheme="majorBidi" w:cstheme="majorBidi"/>
                <w:b/>
                <w:bCs/>
                <w:sz w:val="20"/>
                <w:szCs w:val="20"/>
              </w:rPr>
            </w:pPr>
            <w:r w:rsidRPr="00075237">
              <w:rPr>
                <w:rFonts w:asciiTheme="majorBidi" w:hAnsiTheme="majorBidi"/>
                <w:b/>
                <w:bCs/>
                <w:sz w:val="20"/>
                <w:szCs w:val="20"/>
              </w:rPr>
              <w:t>Technologie de remplacement utilisée</w:t>
            </w:r>
          </w:p>
        </w:tc>
        <w:tc>
          <w:tcPr>
            <w:tcW w:w="1102" w:type="pct"/>
          </w:tcPr>
          <w:p w14:paraId="14C0FD07" w14:textId="77777777" w:rsidR="00682B3A" w:rsidRPr="00075237" w:rsidRDefault="00682B3A" w:rsidP="00C30F95">
            <w:pPr>
              <w:jc w:val="center"/>
              <w:rPr>
                <w:rFonts w:asciiTheme="majorBidi" w:hAnsiTheme="majorBidi" w:cstheme="majorBidi"/>
                <w:b/>
                <w:bCs/>
                <w:sz w:val="20"/>
                <w:szCs w:val="20"/>
              </w:rPr>
            </w:pPr>
            <w:r w:rsidRPr="00075237">
              <w:rPr>
                <w:rFonts w:asciiTheme="majorBidi" w:hAnsiTheme="majorBidi"/>
                <w:b/>
                <w:bCs/>
                <w:sz w:val="20"/>
                <w:szCs w:val="20"/>
              </w:rPr>
              <w:t>État d’achèvement</w:t>
            </w:r>
          </w:p>
        </w:tc>
      </w:tr>
      <w:tr w:rsidR="00682B3A" w:rsidRPr="00075237" w14:paraId="6D055BC8" w14:textId="77777777" w:rsidTr="00C30F95">
        <w:tc>
          <w:tcPr>
            <w:tcW w:w="1696" w:type="pct"/>
          </w:tcPr>
          <w:p w14:paraId="01C802E8" w14:textId="77777777" w:rsidR="00682B3A" w:rsidRPr="00075237" w:rsidRDefault="00682B3A" w:rsidP="00C30F95">
            <w:pPr>
              <w:jc w:val="left"/>
              <w:rPr>
                <w:rFonts w:asciiTheme="majorBidi" w:hAnsiTheme="majorBidi" w:cstheme="majorBidi"/>
                <w:sz w:val="20"/>
                <w:szCs w:val="20"/>
              </w:rPr>
            </w:pPr>
            <w:r w:rsidRPr="00075237">
              <w:rPr>
                <w:rFonts w:asciiTheme="majorBidi" w:hAnsiTheme="majorBidi"/>
                <w:sz w:val="20"/>
                <w:szCs w:val="20"/>
              </w:rPr>
              <w:t>Al Qanadeel</w:t>
            </w:r>
          </w:p>
        </w:tc>
        <w:tc>
          <w:tcPr>
            <w:tcW w:w="1101" w:type="pct"/>
            <w:tcMar>
              <w:right w:w="255" w:type="dxa"/>
            </w:tcMar>
          </w:tcPr>
          <w:p w14:paraId="71243D4B" w14:textId="77777777" w:rsidR="00682B3A" w:rsidRPr="00075237" w:rsidRDefault="00682B3A" w:rsidP="00C30F95">
            <w:pPr>
              <w:jc w:val="right"/>
              <w:rPr>
                <w:rFonts w:asciiTheme="majorBidi" w:hAnsiTheme="majorBidi" w:cstheme="majorBidi"/>
                <w:sz w:val="20"/>
                <w:szCs w:val="20"/>
              </w:rPr>
            </w:pPr>
            <w:r w:rsidRPr="00075237">
              <w:rPr>
                <w:rFonts w:asciiTheme="majorBidi" w:hAnsiTheme="majorBidi"/>
                <w:sz w:val="20"/>
                <w:szCs w:val="20"/>
              </w:rPr>
              <w:t>12 000</w:t>
            </w:r>
          </w:p>
        </w:tc>
        <w:tc>
          <w:tcPr>
            <w:tcW w:w="1101" w:type="pct"/>
          </w:tcPr>
          <w:p w14:paraId="16505D3D" w14:textId="77777777" w:rsidR="00682B3A" w:rsidRPr="00075237" w:rsidRDefault="00682B3A" w:rsidP="00C30F95">
            <w:pPr>
              <w:jc w:val="center"/>
              <w:rPr>
                <w:rFonts w:asciiTheme="majorBidi" w:hAnsiTheme="majorBidi" w:cstheme="majorBidi"/>
                <w:sz w:val="20"/>
                <w:szCs w:val="20"/>
              </w:rPr>
            </w:pPr>
            <w:r w:rsidRPr="00075237">
              <w:rPr>
                <w:rFonts w:asciiTheme="majorBidi" w:hAnsiTheme="majorBidi"/>
                <w:sz w:val="20"/>
                <w:szCs w:val="20"/>
              </w:rPr>
              <w:t>HFO</w:t>
            </w:r>
          </w:p>
        </w:tc>
        <w:tc>
          <w:tcPr>
            <w:tcW w:w="1102" w:type="pct"/>
          </w:tcPr>
          <w:p w14:paraId="2415A270" w14:textId="77777777" w:rsidR="00682B3A" w:rsidRPr="00075237" w:rsidRDefault="00682B3A" w:rsidP="00C30F95">
            <w:pPr>
              <w:jc w:val="center"/>
              <w:rPr>
                <w:rFonts w:asciiTheme="majorBidi" w:hAnsiTheme="majorBidi" w:cstheme="majorBidi"/>
                <w:sz w:val="20"/>
                <w:szCs w:val="20"/>
              </w:rPr>
            </w:pPr>
            <w:r w:rsidRPr="00075237">
              <w:rPr>
                <w:rFonts w:asciiTheme="majorBidi" w:hAnsiTheme="majorBidi"/>
                <w:sz w:val="20"/>
                <w:szCs w:val="20"/>
              </w:rPr>
              <w:t>Achevé</w:t>
            </w:r>
          </w:p>
        </w:tc>
      </w:tr>
      <w:tr w:rsidR="00682B3A" w:rsidRPr="00075237" w14:paraId="2C19484A" w14:textId="77777777" w:rsidTr="00C30F95">
        <w:tc>
          <w:tcPr>
            <w:tcW w:w="1696" w:type="pct"/>
          </w:tcPr>
          <w:p w14:paraId="019EF13C" w14:textId="77777777" w:rsidR="00682B3A" w:rsidRPr="00075237" w:rsidRDefault="00682B3A" w:rsidP="00C30F95">
            <w:pPr>
              <w:jc w:val="left"/>
              <w:rPr>
                <w:rFonts w:asciiTheme="majorBidi" w:hAnsiTheme="majorBidi" w:cstheme="majorBidi"/>
                <w:sz w:val="20"/>
                <w:szCs w:val="20"/>
              </w:rPr>
            </w:pPr>
            <w:r w:rsidRPr="00075237">
              <w:rPr>
                <w:rFonts w:asciiTheme="majorBidi" w:hAnsiTheme="majorBidi"/>
                <w:sz w:val="20"/>
                <w:szCs w:val="20"/>
              </w:rPr>
              <w:t>Al Safa for Insulated Boards</w:t>
            </w:r>
          </w:p>
        </w:tc>
        <w:tc>
          <w:tcPr>
            <w:tcW w:w="1101" w:type="pct"/>
            <w:tcMar>
              <w:right w:w="255" w:type="dxa"/>
            </w:tcMar>
          </w:tcPr>
          <w:p w14:paraId="49993BBA" w14:textId="77777777" w:rsidR="00682B3A" w:rsidRPr="00075237" w:rsidRDefault="00682B3A" w:rsidP="00C30F95">
            <w:pPr>
              <w:jc w:val="right"/>
              <w:rPr>
                <w:rFonts w:asciiTheme="majorBidi" w:hAnsiTheme="majorBidi" w:cstheme="majorBidi"/>
                <w:sz w:val="20"/>
                <w:szCs w:val="20"/>
              </w:rPr>
            </w:pPr>
            <w:r w:rsidRPr="00075237">
              <w:rPr>
                <w:rFonts w:asciiTheme="majorBidi" w:hAnsiTheme="majorBidi"/>
                <w:sz w:val="20"/>
                <w:szCs w:val="20"/>
              </w:rPr>
              <w:t>35 000</w:t>
            </w:r>
          </w:p>
        </w:tc>
        <w:tc>
          <w:tcPr>
            <w:tcW w:w="1101" w:type="pct"/>
          </w:tcPr>
          <w:p w14:paraId="16951981" w14:textId="77777777" w:rsidR="00682B3A" w:rsidRPr="00075237" w:rsidRDefault="00682B3A" w:rsidP="00C30F95">
            <w:pPr>
              <w:jc w:val="center"/>
              <w:rPr>
                <w:rFonts w:asciiTheme="majorBidi" w:hAnsiTheme="majorBidi" w:cstheme="majorBidi"/>
                <w:sz w:val="20"/>
                <w:szCs w:val="20"/>
              </w:rPr>
            </w:pPr>
            <w:r w:rsidRPr="00075237">
              <w:rPr>
                <w:rFonts w:asciiTheme="majorBidi" w:hAnsiTheme="majorBidi"/>
                <w:sz w:val="20"/>
                <w:szCs w:val="20"/>
              </w:rPr>
              <w:t>Cyclopentane</w:t>
            </w:r>
          </w:p>
        </w:tc>
        <w:tc>
          <w:tcPr>
            <w:tcW w:w="1102" w:type="pct"/>
          </w:tcPr>
          <w:p w14:paraId="71001B03" w14:textId="77777777" w:rsidR="00682B3A" w:rsidRPr="00075237" w:rsidRDefault="00682B3A" w:rsidP="00C30F95">
            <w:pPr>
              <w:jc w:val="center"/>
              <w:rPr>
                <w:rFonts w:asciiTheme="majorBidi" w:hAnsiTheme="majorBidi" w:cstheme="majorBidi"/>
                <w:sz w:val="20"/>
                <w:szCs w:val="20"/>
              </w:rPr>
            </w:pPr>
            <w:r w:rsidRPr="00075237">
              <w:rPr>
                <w:rFonts w:asciiTheme="majorBidi" w:hAnsiTheme="majorBidi"/>
                <w:sz w:val="20"/>
                <w:szCs w:val="20"/>
              </w:rPr>
              <w:t>Achevé</w:t>
            </w:r>
          </w:p>
        </w:tc>
      </w:tr>
      <w:tr w:rsidR="00682B3A" w:rsidRPr="00075237" w14:paraId="7E000831" w14:textId="77777777" w:rsidTr="00C30F95">
        <w:tc>
          <w:tcPr>
            <w:tcW w:w="1696" w:type="pct"/>
          </w:tcPr>
          <w:p w14:paraId="60F6FEA5" w14:textId="77777777" w:rsidR="00682B3A" w:rsidRPr="00075237" w:rsidRDefault="00682B3A" w:rsidP="00C30F95">
            <w:pPr>
              <w:jc w:val="left"/>
              <w:rPr>
                <w:rFonts w:asciiTheme="majorBidi" w:hAnsiTheme="majorBidi" w:cstheme="majorBidi"/>
                <w:sz w:val="20"/>
                <w:szCs w:val="20"/>
              </w:rPr>
            </w:pPr>
            <w:r w:rsidRPr="00075237">
              <w:rPr>
                <w:rFonts w:asciiTheme="majorBidi" w:hAnsiTheme="majorBidi"/>
                <w:sz w:val="20"/>
                <w:szCs w:val="20"/>
              </w:rPr>
              <w:t>Prefabricated Building</w:t>
            </w:r>
          </w:p>
        </w:tc>
        <w:tc>
          <w:tcPr>
            <w:tcW w:w="1101" w:type="pct"/>
            <w:tcMar>
              <w:right w:w="255" w:type="dxa"/>
            </w:tcMar>
          </w:tcPr>
          <w:p w14:paraId="7E93EFE1" w14:textId="77777777" w:rsidR="00682B3A" w:rsidRPr="00075237" w:rsidRDefault="00682B3A" w:rsidP="00C30F95">
            <w:pPr>
              <w:jc w:val="right"/>
              <w:rPr>
                <w:rFonts w:asciiTheme="majorBidi" w:hAnsiTheme="majorBidi" w:cstheme="majorBidi"/>
                <w:sz w:val="20"/>
                <w:szCs w:val="20"/>
              </w:rPr>
            </w:pPr>
            <w:r w:rsidRPr="00075237">
              <w:rPr>
                <w:rFonts w:asciiTheme="majorBidi" w:hAnsiTheme="majorBidi"/>
                <w:sz w:val="20"/>
                <w:szCs w:val="20"/>
              </w:rPr>
              <w:t>11 829</w:t>
            </w:r>
          </w:p>
        </w:tc>
        <w:tc>
          <w:tcPr>
            <w:tcW w:w="1101" w:type="pct"/>
          </w:tcPr>
          <w:p w14:paraId="0C66992E" w14:textId="77777777" w:rsidR="00682B3A" w:rsidRPr="00075237" w:rsidRDefault="00682B3A" w:rsidP="00C30F95">
            <w:pPr>
              <w:jc w:val="center"/>
              <w:rPr>
                <w:rFonts w:asciiTheme="majorBidi" w:hAnsiTheme="majorBidi" w:cstheme="majorBidi"/>
                <w:sz w:val="20"/>
                <w:szCs w:val="20"/>
              </w:rPr>
            </w:pPr>
            <w:r w:rsidRPr="00075237">
              <w:rPr>
                <w:rFonts w:asciiTheme="majorBidi" w:hAnsiTheme="majorBidi"/>
                <w:sz w:val="20"/>
                <w:szCs w:val="20"/>
              </w:rPr>
              <w:t>Cyclopentane</w:t>
            </w:r>
          </w:p>
        </w:tc>
        <w:tc>
          <w:tcPr>
            <w:tcW w:w="1102" w:type="pct"/>
          </w:tcPr>
          <w:p w14:paraId="570F38B9" w14:textId="77777777" w:rsidR="00682B3A" w:rsidRPr="00075237" w:rsidRDefault="00682B3A" w:rsidP="00C30F95">
            <w:pPr>
              <w:jc w:val="center"/>
              <w:rPr>
                <w:rFonts w:asciiTheme="majorBidi" w:hAnsiTheme="majorBidi" w:cstheme="majorBidi"/>
                <w:sz w:val="20"/>
                <w:szCs w:val="20"/>
              </w:rPr>
            </w:pPr>
            <w:r w:rsidRPr="00075237">
              <w:rPr>
                <w:rFonts w:asciiTheme="majorBidi" w:hAnsiTheme="majorBidi"/>
                <w:sz w:val="20"/>
                <w:szCs w:val="20"/>
              </w:rPr>
              <w:t>Achevé</w:t>
            </w:r>
          </w:p>
        </w:tc>
      </w:tr>
      <w:tr w:rsidR="00682B3A" w:rsidRPr="00075237" w14:paraId="48BD59EC" w14:textId="77777777" w:rsidTr="00C30F95">
        <w:tc>
          <w:tcPr>
            <w:tcW w:w="1696" w:type="pct"/>
          </w:tcPr>
          <w:p w14:paraId="62472AB9" w14:textId="77777777" w:rsidR="00682B3A" w:rsidRPr="00075237" w:rsidRDefault="00682B3A" w:rsidP="00C30F95">
            <w:pPr>
              <w:jc w:val="left"/>
              <w:rPr>
                <w:rFonts w:asciiTheme="majorBidi" w:hAnsiTheme="majorBidi" w:cstheme="majorBidi"/>
                <w:sz w:val="20"/>
                <w:szCs w:val="20"/>
              </w:rPr>
            </w:pPr>
            <w:r w:rsidRPr="00075237">
              <w:rPr>
                <w:rFonts w:asciiTheme="majorBidi" w:hAnsiTheme="majorBidi"/>
                <w:sz w:val="20"/>
                <w:szCs w:val="20"/>
              </w:rPr>
              <w:t>Yousef Workshop</w:t>
            </w:r>
          </w:p>
        </w:tc>
        <w:tc>
          <w:tcPr>
            <w:tcW w:w="1101" w:type="pct"/>
            <w:tcMar>
              <w:right w:w="255" w:type="dxa"/>
            </w:tcMar>
          </w:tcPr>
          <w:p w14:paraId="5F3EDCD6" w14:textId="77777777" w:rsidR="00682B3A" w:rsidRPr="00075237" w:rsidRDefault="00682B3A" w:rsidP="00C30F95">
            <w:pPr>
              <w:jc w:val="right"/>
              <w:rPr>
                <w:rFonts w:asciiTheme="majorBidi" w:hAnsiTheme="majorBidi" w:cstheme="majorBidi"/>
                <w:sz w:val="20"/>
                <w:szCs w:val="20"/>
              </w:rPr>
            </w:pPr>
            <w:r w:rsidRPr="00075237">
              <w:rPr>
                <w:rFonts w:asciiTheme="majorBidi" w:hAnsiTheme="majorBidi"/>
                <w:sz w:val="20"/>
                <w:szCs w:val="20"/>
              </w:rPr>
              <w:t>15 500</w:t>
            </w:r>
          </w:p>
        </w:tc>
        <w:tc>
          <w:tcPr>
            <w:tcW w:w="1101" w:type="pct"/>
          </w:tcPr>
          <w:p w14:paraId="09AAF196" w14:textId="77777777" w:rsidR="00682B3A" w:rsidRPr="00075237" w:rsidRDefault="00682B3A" w:rsidP="00C30F95">
            <w:pPr>
              <w:jc w:val="center"/>
              <w:rPr>
                <w:rFonts w:asciiTheme="majorBidi" w:hAnsiTheme="majorBidi" w:cstheme="majorBidi"/>
                <w:sz w:val="20"/>
                <w:szCs w:val="20"/>
              </w:rPr>
            </w:pPr>
            <w:r w:rsidRPr="00075237">
              <w:rPr>
                <w:rFonts w:asciiTheme="majorBidi" w:hAnsiTheme="majorBidi"/>
                <w:sz w:val="20"/>
                <w:szCs w:val="20"/>
              </w:rPr>
              <w:t>Cyclopentane</w:t>
            </w:r>
          </w:p>
        </w:tc>
        <w:tc>
          <w:tcPr>
            <w:tcW w:w="1102" w:type="pct"/>
          </w:tcPr>
          <w:p w14:paraId="7E02B3EC" w14:textId="77777777" w:rsidR="00682B3A" w:rsidRPr="00075237" w:rsidRDefault="00682B3A" w:rsidP="00C30F95">
            <w:pPr>
              <w:jc w:val="center"/>
              <w:rPr>
                <w:rFonts w:asciiTheme="majorBidi" w:hAnsiTheme="majorBidi" w:cstheme="majorBidi"/>
                <w:sz w:val="20"/>
                <w:szCs w:val="20"/>
              </w:rPr>
            </w:pPr>
            <w:r w:rsidRPr="00075237">
              <w:rPr>
                <w:rFonts w:asciiTheme="majorBidi" w:hAnsiTheme="majorBidi"/>
                <w:sz w:val="20"/>
                <w:szCs w:val="20"/>
              </w:rPr>
              <w:t>Achevé</w:t>
            </w:r>
          </w:p>
        </w:tc>
      </w:tr>
      <w:tr w:rsidR="00682B3A" w:rsidRPr="00075237" w14:paraId="433D1BD1" w14:textId="77777777" w:rsidTr="00C30F95">
        <w:tc>
          <w:tcPr>
            <w:tcW w:w="1696" w:type="pct"/>
          </w:tcPr>
          <w:p w14:paraId="232F8FDF" w14:textId="77777777" w:rsidR="00682B3A" w:rsidRPr="00075237" w:rsidRDefault="00682B3A" w:rsidP="00C30F95">
            <w:pPr>
              <w:jc w:val="left"/>
              <w:rPr>
                <w:rFonts w:asciiTheme="majorBidi" w:hAnsiTheme="majorBidi" w:cstheme="majorBidi"/>
                <w:sz w:val="20"/>
                <w:szCs w:val="20"/>
              </w:rPr>
            </w:pPr>
            <w:r w:rsidRPr="00075237">
              <w:rPr>
                <w:rFonts w:asciiTheme="majorBidi" w:hAnsiTheme="majorBidi"/>
                <w:sz w:val="20"/>
                <w:szCs w:val="20"/>
              </w:rPr>
              <w:t>Jordan Pioneer</w:t>
            </w:r>
          </w:p>
        </w:tc>
        <w:tc>
          <w:tcPr>
            <w:tcW w:w="1101" w:type="pct"/>
            <w:tcMar>
              <w:right w:w="255" w:type="dxa"/>
            </w:tcMar>
          </w:tcPr>
          <w:p w14:paraId="72AF2F62" w14:textId="77777777" w:rsidR="00682B3A" w:rsidRPr="00075237" w:rsidRDefault="00682B3A" w:rsidP="00C30F95">
            <w:pPr>
              <w:jc w:val="right"/>
              <w:rPr>
                <w:rFonts w:asciiTheme="majorBidi" w:hAnsiTheme="majorBidi" w:cstheme="majorBidi"/>
                <w:sz w:val="20"/>
                <w:szCs w:val="20"/>
              </w:rPr>
            </w:pPr>
            <w:r w:rsidRPr="00075237">
              <w:rPr>
                <w:rFonts w:asciiTheme="majorBidi" w:hAnsiTheme="majorBidi"/>
                <w:sz w:val="20"/>
                <w:szCs w:val="20"/>
              </w:rPr>
              <w:t>23 800</w:t>
            </w:r>
          </w:p>
        </w:tc>
        <w:tc>
          <w:tcPr>
            <w:tcW w:w="1101" w:type="pct"/>
          </w:tcPr>
          <w:p w14:paraId="45B9A67B" w14:textId="77777777" w:rsidR="00682B3A" w:rsidRPr="00075237" w:rsidRDefault="00682B3A" w:rsidP="00C30F95">
            <w:pPr>
              <w:jc w:val="center"/>
              <w:rPr>
                <w:rFonts w:asciiTheme="majorBidi" w:hAnsiTheme="majorBidi" w:cstheme="majorBidi"/>
                <w:sz w:val="20"/>
                <w:szCs w:val="20"/>
              </w:rPr>
            </w:pPr>
            <w:r w:rsidRPr="00075237">
              <w:rPr>
                <w:rFonts w:asciiTheme="majorBidi" w:hAnsiTheme="majorBidi"/>
                <w:sz w:val="20"/>
                <w:szCs w:val="20"/>
              </w:rPr>
              <w:t>Cyclopentane</w:t>
            </w:r>
          </w:p>
        </w:tc>
        <w:tc>
          <w:tcPr>
            <w:tcW w:w="1102" w:type="pct"/>
          </w:tcPr>
          <w:p w14:paraId="7E349B77" w14:textId="77777777" w:rsidR="00682B3A" w:rsidRPr="00075237" w:rsidRDefault="00682B3A" w:rsidP="00C30F95">
            <w:pPr>
              <w:jc w:val="center"/>
              <w:rPr>
                <w:rFonts w:asciiTheme="majorBidi" w:hAnsiTheme="majorBidi" w:cstheme="majorBidi"/>
                <w:sz w:val="20"/>
                <w:szCs w:val="20"/>
              </w:rPr>
            </w:pPr>
            <w:r w:rsidRPr="00075237">
              <w:rPr>
                <w:rFonts w:asciiTheme="majorBidi" w:hAnsiTheme="majorBidi"/>
                <w:sz w:val="20"/>
                <w:szCs w:val="20"/>
              </w:rPr>
              <w:t>Achevé</w:t>
            </w:r>
          </w:p>
        </w:tc>
      </w:tr>
      <w:tr w:rsidR="00682B3A" w:rsidRPr="00075237" w14:paraId="703A2586" w14:textId="77777777" w:rsidTr="00C30F95">
        <w:tc>
          <w:tcPr>
            <w:tcW w:w="1696" w:type="pct"/>
          </w:tcPr>
          <w:p w14:paraId="1A60F6DF" w14:textId="77777777" w:rsidR="00682B3A" w:rsidRPr="00075237" w:rsidRDefault="00682B3A" w:rsidP="00C30F95">
            <w:pPr>
              <w:jc w:val="left"/>
              <w:rPr>
                <w:rFonts w:asciiTheme="majorBidi" w:hAnsiTheme="majorBidi" w:cstheme="majorBidi"/>
                <w:sz w:val="20"/>
                <w:szCs w:val="20"/>
              </w:rPr>
            </w:pPr>
            <w:r w:rsidRPr="00075237">
              <w:rPr>
                <w:rFonts w:asciiTheme="majorBidi" w:hAnsiTheme="majorBidi"/>
                <w:sz w:val="20"/>
                <w:szCs w:val="20"/>
              </w:rPr>
              <w:t>Abu Haltam</w:t>
            </w:r>
          </w:p>
        </w:tc>
        <w:tc>
          <w:tcPr>
            <w:tcW w:w="1101" w:type="pct"/>
            <w:tcMar>
              <w:right w:w="255" w:type="dxa"/>
            </w:tcMar>
          </w:tcPr>
          <w:p w14:paraId="14EB899A" w14:textId="77777777" w:rsidR="00682B3A" w:rsidRPr="00075237" w:rsidRDefault="00682B3A" w:rsidP="00C30F95">
            <w:pPr>
              <w:jc w:val="right"/>
              <w:rPr>
                <w:rFonts w:asciiTheme="majorBidi" w:hAnsiTheme="majorBidi" w:cstheme="majorBidi"/>
                <w:sz w:val="20"/>
                <w:szCs w:val="20"/>
              </w:rPr>
            </w:pPr>
            <w:r w:rsidRPr="00075237">
              <w:rPr>
                <w:rFonts w:asciiTheme="majorBidi" w:hAnsiTheme="majorBidi"/>
                <w:sz w:val="20"/>
                <w:szCs w:val="20"/>
              </w:rPr>
              <w:t>17 000</w:t>
            </w:r>
          </w:p>
        </w:tc>
        <w:tc>
          <w:tcPr>
            <w:tcW w:w="1101" w:type="pct"/>
          </w:tcPr>
          <w:p w14:paraId="2B0AA274" w14:textId="77777777" w:rsidR="00682B3A" w:rsidRPr="00075237" w:rsidRDefault="00682B3A" w:rsidP="00C30F95">
            <w:pPr>
              <w:jc w:val="center"/>
              <w:rPr>
                <w:rFonts w:asciiTheme="majorBidi" w:hAnsiTheme="majorBidi" w:cstheme="majorBidi"/>
                <w:sz w:val="20"/>
                <w:szCs w:val="20"/>
              </w:rPr>
            </w:pPr>
            <w:r w:rsidRPr="00075237">
              <w:rPr>
                <w:rFonts w:asciiTheme="majorBidi" w:hAnsiTheme="majorBidi"/>
                <w:sz w:val="20"/>
                <w:szCs w:val="20"/>
              </w:rPr>
              <w:t>Cyclopentane</w:t>
            </w:r>
          </w:p>
        </w:tc>
        <w:tc>
          <w:tcPr>
            <w:tcW w:w="1102" w:type="pct"/>
          </w:tcPr>
          <w:p w14:paraId="5206F6E2" w14:textId="77777777" w:rsidR="00682B3A" w:rsidRPr="00075237" w:rsidRDefault="00682B3A" w:rsidP="00C30F95">
            <w:pPr>
              <w:jc w:val="center"/>
              <w:rPr>
                <w:rFonts w:asciiTheme="majorBidi" w:hAnsiTheme="majorBidi" w:cstheme="majorBidi"/>
                <w:sz w:val="20"/>
                <w:szCs w:val="20"/>
              </w:rPr>
            </w:pPr>
            <w:r w:rsidRPr="00075237">
              <w:rPr>
                <w:rFonts w:asciiTheme="majorBidi" w:hAnsiTheme="majorBidi"/>
                <w:sz w:val="20"/>
                <w:szCs w:val="20"/>
              </w:rPr>
              <w:t>Achevé</w:t>
            </w:r>
          </w:p>
        </w:tc>
      </w:tr>
      <w:tr w:rsidR="00682B3A" w:rsidRPr="00075237" w14:paraId="632E8881" w14:textId="77777777" w:rsidTr="00C30F95">
        <w:tc>
          <w:tcPr>
            <w:tcW w:w="1696" w:type="pct"/>
          </w:tcPr>
          <w:p w14:paraId="01BE7554" w14:textId="77777777" w:rsidR="00682B3A" w:rsidRPr="00075237" w:rsidRDefault="00682B3A" w:rsidP="00C30F95">
            <w:pPr>
              <w:jc w:val="left"/>
              <w:rPr>
                <w:rFonts w:asciiTheme="majorBidi" w:hAnsiTheme="majorBidi" w:cstheme="majorBidi"/>
                <w:b/>
                <w:bCs/>
                <w:sz w:val="20"/>
                <w:szCs w:val="20"/>
              </w:rPr>
            </w:pPr>
            <w:r w:rsidRPr="00075237">
              <w:rPr>
                <w:rFonts w:asciiTheme="majorBidi" w:hAnsiTheme="majorBidi"/>
                <w:b/>
                <w:bCs/>
                <w:sz w:val="20"/>
                <w:szCs w:val="20"/>
              </w:rPr>
              <w:t>Total</w:t>
            </w:r>
          </w:p>
        </w:tc>
        <w:tc>
          <w:tcPr>
            <w:tcW w:w="1101" w:type="pct"/>
            <w:tcMar>
              <w:right w:w="255" w:type="dxa"/>
            </w:tcMar>
          </w:tcPr>
          <w:p w14:paraId="02A7BD82" w14:textId="77777777" w:rsidR="00682B3A" w:rsidRPr="00075237" w:rsidRDefault="00682B3A" w:rsidP="00C30F95">
            <w:pPr>
              <w:jc w:val="right"/>
              <w:rPr>
                <w:rFonts w:asciiTheme="majorBidi" w:hAnsiTheme="majorBidi" w:cstheme="majorBidi"/>
                <w:b/>
                <w:bCs/>
                <w:sz w:val="20"/>
                <w:szCs w:val="20"/>
              </w:rPr>
            </w:pPr>
            <w:r w:rsidRPr="00075237">
              <w:rPr>
                <w:rFonts w:asciiTheme="majorBidi" w:hAnsiTheme="majorBidi"/>
                <w:b/>
                <w:bCs/>
                <w:sz w:val="20"/>
                <w:szCs w:val="20"/>
              </w:rPr>
              <w:t>115 129</w:t>
            </w:r>
          </w:p>
        </w:tc>
        <w:tc>
          <w:tcPr>
            <w:tcW w:w="1101" w:type="pct"/>
          </w:tcPr>
          <w:p w14:paraId="781DDB39" w14:textId="77777777" w:rsidR="00682B3A" w:rsidRPr="00075237" w:rsidRDefault="00682B3A" w:rsidP="00C30F95">
            <w:pPr>
              <w:jc w:val="left"/>
              <w:rPr>
                <w:rFonts w:asciiTheme="majorBidi" w:hAnsiTheme="majorBidi" w:cstheme="majorBidi"/>
                <w:b/>
                <w:bCs/>
                <w:sz w:val="20"/>
                <w:szCs w:val="20"/>
              </w:rPr>
            </w:pPr>
          </w:p>
        </w:tc>
        <w:tc>
          <w:tcPr>
            <w:tcW w:w="1102" w:type="pct"/>
          </w:tcPr>
          <w:p w14:paraId="2C7016FC" w14:textId="77777777" w:rsidR="00682B3A" w:rsidRPr="00075237" w:rsidRDefault="00682B3A" w:rsidP="00C30F95">
            <w:pPr>
              <w:jc w:val="left"/>
              <w:rPr>
                <w:rFonts w:asciiTheme="majorBidi" w:hAnsiTheme="majorBidi" w:cstheme="majorBidi"/>
                <w:b/>
                <w:bCs/>
                <w:sz w:val="20"/>
                <w:szCs w:val="20"/>
              </w:rPr>
            </w:pPr>
          </w:p>
        </w:tc>
      </w:tr>
    </w:tbl>
    <w:p w14:paraId="0B37973B" w14:textId="77777777" w:rsidR="00682B3A" w:rsidRPr="00075237" w:rsidRDefault="00682B3A" w:rsidP="00682B3A"/>
    <w:p w14:paraId="6EB16828" w14:textId="5E379A7B" w:rsidR="00682B3A" w:rsidRPr="00075237" w:rsidRDefault="00682B3A" w:rsidP="00682B3A">
      <w:pPr>
        <w:pStyle w:val="Heading2"/>
      </w:pPr>
      <w:r w:rsidRPr="00075237">
        <w:t xml:space="preserve">Dans le cas de la conversion dans le secteur de la mousse pulvérisée, les six entreprises couvertes dans le cadre du projet se sont converties aux HFO avant la fin de novembre 2021. Un atelier a été organisé à Amman pour partager l’expérience acquise grâce à la mise en œuvre du plan dans le sous-secteur de la mousse pulvérisée et pour diffuser aux parties intéressées ainsi qu’aux secteurs privé et public de l’information sur l’importance de passer aux technologies de remplacement dans l’isolation des bâtiments </w:t>
      </w:r>
      <w:r w:rsidR="00605F7A" w:rsidRPr="00075237">
        <w:t>ainsi que</w:t>
      </w:r>
      <w:r w:rsidRPr="00075237">
        <w:t xml:space="preserve"> les retombées concernant le climat et les émissions de gaz à effet de serre, l’efficacité énergétique et la protection de la couche d’ozone.</w:t>
      </w:r>
    </w:p>
    <w:p w14:paraId="26F5A970" w14:textId="77777777" w:rsidR="00682B3A" w:rsidRPr="00075237" w:rsidRDefault="00682B3A" w:rsidP="00682B3A">
      <w:pPr>
        <w:pStyle w:val="Heading2"/>
      </w:pPr>
      <w:r w:rsidRPr="00075237">
        <w:t xml:space="preserve">En mars 2021, les instructions modifiées pour réglementer l’usage, l’importation et la réexportation des SAO ont été publiées dans le numéro 5706 de la Gazette officielle et, de ce fait, l’interdiction sur l’importation ou la réexportation du HCFC-141b et du HCFC-141b contenu dans les polyols prémélangés qui sont utilisés dans la mousse isolante est </w:t>
      </w:r>
      <w:r w:rsidRPr="00075237">
        <w:lastRenderedPageBreak/>
        <w:t>entrée en vigueur le 1</w:t>
      </w:r>
      <w:r w:rsidRPr="00075237">
        <w:rPr>
          <w:vertAlign w:val="superscript"/>
        </w:rPr>
        <w:t>er</w:t>
      </w:r>
      <w:r w:rsidRPr="00075237">
        <w:t> janvier 2022.</w:t>
      </w:r>
    </w:p>
    <w:p w14:paraId="3971FE89" w14:textId="699D2623" w:rsidR="00682B3A" w:rsidRPr="00075237" w:rsidRDefault="00682B3A" w:rsidP="00682B3A">
      <w:pPr>
        <w:pStyle w:val="Heading2"/>
      </w:pPr>
      <w:r w:rsidRPr="00075237">
        <w:t xml:space="preserve">L’assistance technique est fournie pour la conversion des petites et moyennes entreprises (PME) pour l’adoption de solutions de remplacement pour les agents moussants. En 2020, en raison des restrictions relatives à la pandémie de COVID-19, les activités ont été retardées et, en 2021, elles ont continué </w:t>
      </w:r>
      <w:r w:rsidR="00EE10A6" w:rsidRPr="00075237">
        <w:t xml:space="preserve">à </w:t>
      </w:r>
      <w:r w:rsidRPr="00075237">
        <w:t xml:space="preserve">être mises en œuvre avec le gouvernement mettant au point un contrat avec les entreprises de formulation régionales afin d’aider les PME à passer aux formules à base de HFO. En août 2022, les entreprises de formulation ont fourni des formules à base de HFO et à base d’eau afin de les tester du côté des utilisateurs et pour la production commerciale. Les formules seront fournies en trois lots, le premier essai de lot s’est conclu en septembre 2023 et l’achèvement des deux autres </w:t>
      </w:r>
      <w:r w:rsidR="00075237" w:rsidRPr="00075237">
        <w:t>sont</w:t>
      </w:r>
      <w:r w:rsidRPr="00075237">
        <w:t xml:space="preserve"> prévu pour septembre 2024. Sur les 42 entreprises du secteur de la mousse et les 22 entreprises de réfrigération commerciale qui devaient initialement recevoir de l’assistance pour la conversion du HCFC-141b vers des substituts, 31 entreprises du secteur de la mousse et 10 entreprises de la réfrigération commerciale ont participé à la conversion.</w:t>
      </w:r>
    </w:p>
    <w:p w14:paraId="653EA73B" w14:textId="77777777" w:rsidR="00682B3A" w:rsidRPr="00075237" w:rsidRDefault="00682B3A" w:rsidP="00682B3A">
      <w:pPr>
        <w:pStyle w:val="Heading2"/>
      </w:pPr>
      <w:r w:rsidRPr="00075237">
        <w:t>Actuellement, il n’y a pas d’agent moussant à base de HFC importé et utilisé en Jordanie. Le gouvernement continuera de surveiller les importations des agents moussants utilisant des HFC pour s’assurer de l’adoption durable des technologies à faible PRG.</w:t>
      </w:r>
    </w:p>
    <w:p w14:paraId="2FA27DFE" w14:textId="6CEC194A" w:rsidR="00682B3A" w:rsidRPr="00075237" w:rsidRDefault="00682B3A" w:rsidP="00682B3A">
      <w:pPr>
        <w:pStyle w:val="Heading1"/>
        <w:spacing w:after="0"/>
      </w:pPr>
      <w:r w:rsidRPr="00075237">
        <w:t>Dans le secteur de l’entretien, selon la stratégie nationale pour la mise en œuvre qui a été élaborée en 2019, les activités de formation pour les entreprises d’entretien sur les bonnes pratiques d’entretien et l’usage sûr des substituts inflammables ont été menées pour 20 formateurs et 140</w:t>
      </w:r>
      <w:r w:rsidR="00A2506A" w:rsidRPr="00075237">
        <w:t> </w:t>
      </w:r>
      <w:r w:rsidRPr="00075237">
        <w:t>techniciens. En outre, 20 agents d’application de la loi, 20</w:t>
      </w:r>
      <w:r w:rsidR="00701E85" w:rsidRPr="00075237">
        <w:t> </w:t>
      </w:r>
      <w:r w:rsidRPr="00075237">
        <w:t xml:space="preserve">agents des douanes et d’autres employés de l’Organisation normative et métrologique ont été formés sur le contrôle et la surveillance des HCFC, les réglementations relatives à l’importation et à la vente de HCFC au pays et d’autres exigences en matière de rapports. L’équipement de récupération et de recyclage acheté dans le cadre du projet devrait être distribué aux 55 ateliers après qu’ils </w:t>
      </w:r>
      <w:r w:rsidR="00075237" w:rsidRPr="00075237">
        <w:t>ont</w:t>
      </w:r>
      <w:r w:rsidRPr="00075237">
        <w:t xml:space="preserve"> suivi les procédures d’acceptation nécessaires. La quantité de HCFC récupérée sera surveillée. En outre, avec la disponibilité réduite et les prix plus élevés des HCFC, il est prévu qu’il y aura une augmentation dans la récupération et la réutilisation des HCFC.</w:t>
      </w:r>
    </w:p>
    <w:p w14:paraId="07C840E9" w14:textId="77777777" w:rsidR="00682B3A" w:rsidRPr="00075237" w:rsidRDefault="00682B3A" w:rsidP="00682B3A"/>
    <w:p w14:paraId="286ED0A3" w14:textId="3CC86F41" w:rsidR="00682B3A" w:rsidRPr="00075237" w:rsidRDefault="00DA621A" w:rsidP="00682B3A">
      <w:pPr>
        <w:pStyle w:val="Heading1"/>
        <w:keepNext/>
        <w:numPr>
          <w:ilvl w:val="0"/>
          <w:numId w:val="0"/>
        </w:numPr>
        <w:rPr>
          <w:i/>
          <w:iCs/>
        </w:rPr>
      </w:pPr>
      <w:r w:rsidRPr="00075237">
        <w:rPr>
          <w:i/>
          <w:iCs/>
        </w:rPr>
        <w:t>Taux</w:t>
      </w:r>
      <w:r w:rsidR="00682B3A" w:rsidRPr="00075237">
        <w:rPr>
          <w:i/>
          <w:iCs/>
        </w:rPr>
        <w:t xml:space="preserve"> d</w:t>
      </w:r>
      <w:r w:rsidRPr="00075237">
        <w:rPr>
          <w:i/>
          <w:iCs/>
        </w:rPr>
        <w:t>e</w:t>
      </w:r>
      <w:r w:rsidR="00682B3A" w:rsidRPr="00075237">
        <w:rPr>
          <w:i/>
          <w:iCs/>
        </w:rPr>
        <w:t xml:space="preserve"> décaissement des fonds</w:t>
      </w:r>
    </w:p>
    <w:p w14:paraId="3E46B436" w14:textId="7D888258" w:rsidR="00682B3A" w:rsidRPr="00075237" w:rsidRDefault="00682B3A" w:rsidP="00682B3A">
      <w:pPr>
        <w:pStyle w:val="Heading1"/>
        <w:keepNext/>
        <w:spacing w:after="0"/>
      </w:pPr>
      <w:r w:rsidRPr="00075237">
        <w:t xml:space="preserve">En date de mars 2024, sur le montant de 3 074 691 $ US approuvé pour la phase II, 2 074 394 $ US (67,5 pour cent) avaient été décaissés. Le solde de 1 000 297 $ US </w:t>
      </w:r>
      <w:r w:rsidR="00075237" w:rsidRPr="00075237">
        <w:t>aura</w:t>
      </w:r>
      <w:r w:rsidRPr="00075237">
        <w:t xml:space="preserve"> décaissé d’ici la fin de 2024.</w:t>
      </w:r>
      <w:r w:rsidRPr="00075237">
        <w:cr/>
      </w:r>
    </w:p>
    <w:p w14:paraId="397C61E5" w14:textId="77777777" w:rsidR="00682B3A" w:rsidRPr="00075237" w:rsidRDefault="00682B3A" w:rsidP="00682B3A">
      <w:pPr>
        <w:pStyle w:val="Heading1"/>
        <w:numPr>
          <w:ilvl w:val="0"/>
          <w:numId w:val="0"/>
        </w:numPr>
        <w:jc w:val="left"/>
      </w:pPr>
      <w:r w:rsidRPr="00075237">
        <w:rPr>
          <w:b/>
          <w:bCs/>
        </w:rPr>
        <w:t>Observations du Secrétariat</w:t>
      </w:r>
      <w:r w:rsidRPr="00075237">
        <w:t xml:space="preserve"> </w:t>
      </w:r>
    </w:p>
    <w:p w14:paraId="73C465B4" w14:textId="77777777" w:rsidR="00682B3A" w:rsidRPr="00075237" w:rsidRDefault="00682B3A" w:rsidP="00682B3A">
      <w:pPr>
        <w:pStyle w:val="Heading1"/>
      </w:pPr>
      <w:r w:rsidRPr="00075237">
        <w:t xml:space="preserve">Au sujet des fluctuations de consommation pour le HCFC-22, la Banque mondiale a expliqué qu’il pouvait y avoir plusieurs raisons, comme la disponibilité du HCFC-22 sur le marché provenant des importations des années précédentes, le rétablissement plus lent face aux effets économiques de la pandémie de COVID-19 au pays et la demande qui en résulte pour le HCFC-22 dans l’entretien. La consommation en 2022 était inférieure à la moyenne des importations de HCFC-22 pour 2020-2021, suggérant une tendance globale à la baisse dans les importations de HCFC-22. Aucune consommation de HCFC-141b dans les polyols prémélangés importés n’a été déclarée pour la période de 2020-2022. </w:t>
      </w:r>
    </w:p>
    <w:p w14:paraId="507EB096" w14:textId="4FC61667" w:rsidR="00682B3A" w:rsidRPr="00075237" w:rsidRDefault="00682B3A" w:rsidP="00682B3A">
      <w:pPr>
        <w:pStyle w:val="Heading1"/>
      </w:pPr>
      <w:r w:rsidRPr="00075237">
        <w:t xml:space="preserve">Sur le total des 64 entreprises proposées pour le financement dans le secteur de la fabrication de la mousse, 41 ont reçu de l’assistance et se sont converties du HCFC-141b au cyclopentane, aux formules à base de HFO et aux formules à expansion aqueuse dans les applications de mousse non isolante. Les entreprises restantes ont mis fin à leurs opérations en raison de l’incidence de la pandémie de COVID-19 et de changements dans leurs portefeuilles d’activités. </w:t>
      </w:r>
    </w:p>
    <w:p w14:paraId="2749509F" w14:textId="77777777" w:rsidR="00682B3A" w:rsidRPr="00075237" w:rsidRDefault="00682B3A" w:rsidP="00682B3A">
      <w:pPr>
        <w:pStyle w:val="Heading1"/>
      </w:pPr>
      <w:r w:rsidRPr="00075237">
        <w:lastRenderedPageBreak/>
        <w:t xml:space="preserve">Au sujet de la formation dans le secteur de l’entretien, la Banque mondiale a expliqué que les formations pour les formateurs, les techniciens et les agents des douanes et d’application de la loi ont été menées à l’aide d’un manuel de formation (« Pratiques exemplaires dans les secteurs de l’entretien ») ainsi que d’un programme d’études révisé par des experts nationaux; cela comprenait des séances diffusion d’information sur les frigorigènes inflammables et toxiques. En outre, le ministère de l’Environnement, de concert avec l’ONUDI, distribuera l’équipement de récupération et de recyclage avec des détecteurs de fuite à 55 ateliers. </w:t>
      </w:r>
    </w:p>
    <w:p w14:paraId="42A6AD57" w14:textId="77777777" w:rsidR="00682B3A" w:rsidRPr="00075237" w:rsidRDefault="00682B3A" w:rsidP="00682B3A">
      <w:pPr>
        <w:pStyle w:val="Heading1"/>
      </w:pPr>
      <w:r w:rsidRPr="00075237">
        <w:t>Les activités restantes dans le cadre de la phase II du PGEH dans le secteur de la fabrication de la mousse et dans le secteur de l’entretien devraient être achevées d’ici décembre 2024. La phase III du PGEH devrait être présentée à la 95</w:t>
      </w:r>
      <w:r w:rsidRPr="00075237">
        <w:rPr>
          <w:vertAlign w:val="superscript"/>
        </w:rPr>
        <w:t>e</w:t>
      </w:r>
      <w:r w:rsidRPr="00075237">
        <w:t> réunion.</w:t>
      </w:r>
    </w:p>
    <w:p w14:paraId="0F54CAAF" w14:textId="77777777" w:rsidR="00682B3A" w:rsidRPr="00075237" w:rsidRDefault="00682B3A" w:rsidP="007B0E8B">
      <w:pPr>
        <w:jc w:val="left"/>
        <w:rPr>
          <w:b/>
          <w:bCs/>
        </w:rPr>
      </w:pPr>
      <w:r w:rsidRPr="00075237">
        <w:rPr>
          <w:b/>
          <w:bCs/>
        </w:rPr>
        <w:t>Recommandation</w:t>
      </w:r>
    </w:p>
    <w:p w14:paraId="42F05A84" w14:textId="77777777" w:rsidR="00682B3A" w:rsidRPr="00075237" w:rsidRDefault="00682B3A" w:rsidP="007B0E8B">
      <w:pPr>
        <w:jc w:val="left"/>
      </w:pPr>
    </w:p>
    <w:p w14:paraId="19CD439C" w14:textId="77777777" w:rsidR="00682B3A" w:rsidRPr="00075237" w:rsidRDefault="00682B3A" w:rsidP="007B0E8B">
      <w:pPr>
        <w:pStyle w:val="Heading1"/>
      </w:pPr>
      <w:r w:rsidRPr="00075237">
        <w:t>Le Comité exécutif pourrait envisager de prendre note du rapport périodique sur la mise en œuvre du programme de travail associé à la troisième et dernière tranche de la phase II du plan de gestion de l’élimination des HCFC pour la Jordanie, tel que présenté par la Banque mondiale et contenu dans le document UNEP/OzL.Pro/ExCom/94/9.</w:t>
      </w:r>
    </w:p>
    <w:p w14:paraId="59AB30E2" w14:textId="150B73CB" w:rsidR="0016060A" w:rsidRPr="00075237" w:rsidRDefault="0016060A" w:rsidP="0016060A">
      <w:pPr>
        <w:ind w:left="720"/>
        <w:rPr>
          <w:b/>
          <w:bCs/>
          <w:u w:val="single"/>
        </w:rPr>
      </w:pPr>
      <w:r w:rsidRPr="00075237">
        <w:rPr>
          <w:b/>
          <w:bCs/>
          <w:u w:val="single"/>
        </w:rPr>
        <w:t xml:space="preserve">Kenya : Plan de gestion de l’élimination des HCFC (phase II – </w:t>
      </w:r>
      <w:r w:rsidR="0049332A" w:rsidRPr="00075237">
        <w:rPr>
          <w:b/>
          <w:bCs/>
          <w:u w:val="single"/>
        </w:rPr>
        <w:t>c</w:t>
      </w:r>
      <w:r w:rsidRPr="00075237">
        <w:rPr>
          <w:b/>
          <w:bCs/>
          <w:u w:val="single"/>
        </w:rPr>
        <w:t>hangement de technologie dans un supermarché (Quickmart))</w:t>
      </w:r>
      <w:r w:rsidRPr="00075237">
        <w:rPr>
          <w:b/>
          <w:bCs/>
        </w:rPr>
        <w:t xml:space="preserve"> (gouvernement de la France)</w:t>
      </w:r>
    </w:p>
    <w:p w14:paraId="177F31C2" w14:textId="77777777" w:rsidR="0016060A" w:rsidRPr="00075237" w:rsidRDefault="0016060A" w:rsidP="0016060A">
      <w:pPr>
        <w:ind w:left="720"/>
        <w:jc w:val="left"/>
        <w:rPr>
          <w:b/>
          <w:bCs/>
          <w:u w:val="single"/>
        </w:rPr>
      </w:pPr>
    </w:p>
    <w:p w14:paraId="05A4A949" w14:textId="77777777" w:rsidR="0016060A" w:rsidRPr="00075237" w:rsidRDefault="0016060A" w:rsidP="0016060A">
      <w:pPr>
        <w:jc w:val="left"/>
        <w:rPr>
          <w:b/>
          <w:bCs/>
        </w:rPr>
      </w:pPr>
      <w:r w:rsidRPr="00075237">
        <w:rPr>
          <w:b/>
          <w:bCs/>
        </w:rPr>
        <w:t>Contexte</w:t>
      </w:r>
    </w:p>
    <w:p w14:paraId="18FF05C7" w14:textId="77777777" w:rsidR="0016060A" w:rsidRPr="00075237" w:rsidRDefault="0016060A" w:rsidP="0016060A">
      <w:pPr>
        <w:jc w:val="left"/>
      </w:pPr>
    </w:p>
    <w:p w14:paraId="0A8D55E0" w14:textId="4A96512F" w:rsidR="0016060A" w:rsidRPr="00075237" w:rsidRDefault="0016060A" w:rsidP="00423216">
      <w:pPr>
        <w:pStyle w:val="Heading1"/>
      </w:pPr>
      <w:r w:rsidRPr="00075237">
        <w:t>À la 80</w:t>
      </w:r>
      <w:r w:rsidRPr="00075237">
        <w:rPr>
          <w:vertAlign w:val="superscript"/>
        </w:rPr>
        <w:t>e</w:t>
      </w:r>
      <w:r w:rsidRPr="00075237">
        <w:t xml:space="preserve"> réunion, le Comité exécutif a approuvé en principe la phase II du plan de gestion de l’élimination des HCFC (PGEH) pour le Kenya, pour la période de 2017 à 2030, en vue de l’élimination complète de la consommation des HCFC, </w:t>
      </w:r>
      <w:r w:rsidR="00F06A11" w:rsidRPr="00075237">
        <w:t>d’une somme</w:t>
      </w:r>
      <w:r w:rsidRPr="00075237">
        <w:t xml:space="preserve"> de 1 763 850 $ US, plus des coûts d’appui d’agence de 204 023 $ US, pour le gouvernement de la France, étant entendu qu’aucun autre financement ne sera offert au gouvernement du Kenya pour l’élimination des HCFC (décision 80/58).</w:t>
      </w:r>
    </w:p>
    <w:p w14:paraId="6B2416CA" w14:textId="77777777" w:rsidR="0016060A" w:rsidRPr="00075237" w:rsidRDefault="0016060A" w:rsidP="0016060A">
      <w:pPr>
        <w:pStyle w:val="Heading1"/>
      </w:pPr>
      <w:r w:rsidRPr="00075237">
        <w:t>La phase II du PGEH comprenait un régime incitatif pour le secteur de la réfrigération commerciale qui englobe notamment des systèmes centralisés utilisés dans les supermarchés et les épiceries, l’horticulture et la transformation alimentaire. Le financement a été approuvé pour appuyer l’adoption des systèmes de frigorigènes à base de CO</w:t>
      </w:r>
      <w:r w:rsidRPr="00075237">
        <w:rPr>
          <w:vertAlign w:val="subscript"/>
        </w:rPr>
        <w:t>2</w:t>
      </w:r>
      <w:r w:rsidRPr="00075237">
        <w:t xml:space="preserve"> dans deux supermarchés (au maximum) couvrant l’équipement avec une capacité de 40 à 50 tonnes de réfrigération (TR) chacun.</w:t>
      </w:r>
    </w:p>
    <w:p w14:paraId="628B27DC" w14:textId="797E97AD" w:rsidR="0016060A" w:rsidRPr="00075237" w:rsidRDefault="0016060A" w:rsidP="0016060A">
      <w:pPr>
        <w:pStyle w:val="Heading1"/>
        <w:rPr>
          <w:strike/>
        </w:rPr>
      </w:pPr>
      <w:r w:rsidRPr="00075237">
        <w:t xml:space="preserve">Pendant une mission au Kenya en 2023, huit supermarchés différents dans la grande région de Nairobi ont été évalués. Le projet pilote aura lieu à Nairobi pour une visibilité maximale au pays et à l’extérieur des frontières. La mission a conclu que presque tous les supermarchés s’étaient déjà convertis aux technologies de HFC, y compris le supermarché qui avait initialement été identifié pour le projet de conversion. La mission a cependant identifié un </w:t>
      </w:r>
      <w:r w:rsidR="00514007" w:rsidRPr="00075237">
        <w:t>super</w:t>
      </w:r>
      <w:r w:rsidRPr="00075237">
        <w:t>marché de la chaîne Quickmart qui utilise toujours le HCFC-22 et qui possède une capacité de refroidissement d’environ 60 kW; après un examen plus détaillé de la situation du supermarché, le constat était qu’une conversion du HCFC-22 vers le CO</w:t>
      </w:r>
      <w:r w:rsidRPr="00075237">
        <w:rPr>
          <w:vertAlign w:val="subscript"/>
        </w:rPr>
        <w:t>2</w:t>
      </w:r>
      <w:r w:rsidRPr="00075237">
        <w:t xml:space="preserve"> ne constitue pas une option faisable à cause de la conception du produit et de raisons techniques. En prenant note qu’il n’y a pas encore de supermarché au Kenya qui utilise des hydrocarbures (HC) comme frigorigène, et que la démonstration d’équipement fonctionnant aux HC pourrait permettre au secteur des supermarchés et du commerce de détail d’adopter cette technologie, il a été suggéré de faire une conversion vers les HC plutôt que le CO</w:t>
      </w:r>
      <w:r w:rsidRPr="00075237">
        <w:rPr>
          <w:vertAlign w:val="subscript"/>
        </w:rPr>
        <w:t>2</w:t>
      </w:r>
      <w:r w:rsidRPr="00075237">
        <w:t xml:space="preserve">, le premier étant un frigorigène à faible potentiel de réchauffement de la planète et respectueux de l’environnement. </w:t>
      </w:r>
    </w:p>
    <w:p w14:paraId="0F851318" w14:textId="77777777" w:rsidR="0016060A" w:rsidRPr="00075237" w:rsidRDefault="0016060A" w:rsidP="0016060A">
      <w:pPr>
        <w:pStyle w:val="Heading1"/>
      </w:pPr>
      <w:r w:rsidRPr="00075237">
        <w:t xml:space="preserve">Conformément à l’alinéa 7(a)vii) de l’Accord entre le gouvernement du Kenya et le Comité exécutif, le gouvernement du Kenya, par le biais du gouvernement de la France, a présenté une demande </w:t>
      </w:r>
      <w:r w:rsidRPr="00075237">
        <w:lastRenderedPageBreak/>
        <w:t>de changement de technologie dans la conversion du supermarché, du HCFC-22 au R-290 à la place de la technologie à base de CO</w:t>
      </w:r>
      <w:r w:rsidRPr="00075237">
        <w:rPr>
          <w:vertAlign w:val="subscript"/>
        </w:rPr>
        <w:t>2</w:t>
      </w:r>
      <w:r w:rsidRPr="00075237">
        <w:t>.</w:t>
      </w:r>
    </w:p>
    <w:p w14:paraId="7F3A2FF8" w14:textId="77777777" w:rsidR="0016060A" w:rsidRPr="00075237" w:rsidRDefault="0016060A" w:rsidP="0036562F">
      <w:pPr>
        <w:pStyle w:val="Heading1"/>
        <w:keepNext/>
        <w:numPr>
          <w:ilvl w:val="0"/>
          <w:numId w:val="0"/>
        </w:numPr>
      </w:pPr>
      <w:r w:rsidRPr="00075237">
        <w:rPr>
          <w:b/>
          <w:bCs/>
        </w:rPr>
        <w:t>Proposition révisée</w:t>
      </w:r>
    </w:p>
    <w:p w14:paraId="764F3C65" w14:textId="77777777" w:rsidR="0016060A" w:rsidRPr="00075237" w:rsidRDefault="0016060A" w:rsidP="0016060A">
      <w:pPr>
        <w:pStyle w:val="Heading1"/>
      </w:pPr>
      <w:r w:rsidRPr="00075237">
        <w:t>La proposition révisée comprend un projet de démonstration avec le R-290 chez Quickmart, ainsi que l’équipement de soutien</w:t>
      </w:r>
      <w:r w:rsidRPr="00075237">
        <w:rPr>
          <w:rStyle w:val="FootnoteReference"/>
        </w:rPr>
        <w:footnoteReference w:id="12"/>
      </w:r>
      <w:r w:rsidRPr="00075237">
        <w:t xml:space="preserve"> pour l’Institut de formation technique de Nairobi en plus de la formation pour 16 formateurs et autres techniciens par les formateurs, pour un montant total de 365 000 $ US</w:t>
      </w:r>
      <w:r w:rsidRPr="00075237">
        <w:rPr>
          <w:rStyle w:val="FootnoteReference"/>
        </w:rPr>
        <w:footnoteReference w:id="13"/>
      </w:r>
      <w:r w:rsidRPr="00075237">
        <w:t>, puisque le coût de l’équipement fonctionnant au R-290 est inférieur à celui de l’équipement proposé initialement utilisant une technologie à base de CO</w:t>
      </w:r>
      <w:r w:rsidRPr="00075237">
        <w:rPr>
          <w:vertAlign w:val="subscript"/>
        </w:rPr>
        <w:t>2</w:t>
      </w:r>
      <w:r w:rsidRPr="00075237">
        <w:t xml:space="preserve">. Les taux de cofinancement par le bénéficiaire demeureraient au même montant décrit dans le PGEH. </w:t>
      </w:r>
    </w:p>
    <w:p w14:paraId="58CCDFE8" w14:textId="77777777" w:rsidR="0016060A" w:rsidRPr="00075237" w:rsidRDefault="0016060A" w:rsidP="0016060A">
      <w:pPr>
        <w:pStyle w:val="Heading1"/>
        <w:keepNext/>
        <w:numPr>
          <w:ilvl w:val="0"/>
          <w:numId w:val="0"/>
        </w:numPr>
        <w:jc w:val="left"/>
      </w:pPr>
      <w:r w:rsidRPr="00075237">
        <w:rPr>
          <w:b/>
          <w:bCs/>
        </w:rPr>
        <w:t>Observations du Secrétariat</w:t>
      </w:r>
      <w:r w:rsidRPr="00075237">
        <w:t xml:space="preserve"> </w:t>
      </w:r>
    </w:p>
    <w:p w14:paraId="46B6B2CE" w14:textId="77777777" w:rsidR="0016060A" w:rsidRPr="00075237" w:rsidDel="001D5960" w:rsidRDefault="0016060A" w:rsidP="0016060A">
      <w:pPr>
        <w:pStyle w:val="Heading1"/>
      </w:pPr>
      <w:r w:rsidRPr="00075237">
        <w:t>Il a été précisé que le budget révisé de 365 000 $ US comprend 170 000 $ US pour le projet de démonstration chez Quickmart et 195 000 $ US pour l’équipement de soutien et les activités de formation pour les formateurs et les techniciens; le financement supplémentaire qui sera fourni au centre de formation de Nairobi entraînera une meilleure capacité nationale dans l’adoption des technologies à base de HC dans différentes applications de réfrigération et de climatisation. La contribution en nature de Quickmart est estimée à 100 000 $ US et concernerait le soutien technique pour la conception et l’installation de l’équipement fonctionnant au R-290, la formation des techniciens dans l’entretien et la maintenance de l’équipement, ainsi que le soutien pour les activités de sensibilisation et de diffusion, y compris la visite du site.</w:t>
      </w:r>
    </w:p>
    <w:p w14:paraId="69F65569" w14:textId="5BCE2085" w:rsidR="0016060A" w:rsidRPr="00075237" w:rsidRDefault="0016060A" w:rsidP="0016060A">
      <w:pPr>
        <w:pStyle w:val="Heading1"/>
      </w:pPr>
      <w:r w:rsidRPr="00075237">
        <w:t>Le Secrétariat a demandé des précisions supplémentaires sur la manière dont ce projet entraînera une augmentation de l’adoption de l’équipement fonctionnant au R-290 dans les supermarchés et chez les autres utilisateurs d’équipement de réfrigération commerciale. Le gouvernement de la France a expliqué que la technologie à base de R-290 dans les supermarchés est en cours d’adoption dans d’autres pays; ce projet de démonstration au Kenya stimulera et, dans le futur, accél</w:t>
      </w:r>
      <w:r w:rsidR="00753A6C" w:rsidRPr="00075237">
        <w:t>é</w:t>
      </w:r>
      <w:r w:rsidRPr="00075237">
        <w:t>rera l’adoption de cette technologie dans les supermarchés, en relevant que la chaîne Quickmart mettra en place 80 magasins supplémentaires dans les prochaines années et qu’il y a 150 supermarchés supplémentaires dans différentes parties du pays qui devraient également s’élargir et qui pourraient adopter de l’équipement de réfrigération fonctionnant aux HC. Au Kenya, dans le cadre du PGEH, le plan d’action national sur le refroidissement</w:t>
      </w:r>
      <w:r w:rsidR="00B50863" w:rsidRPr="00075237">
        <w:t>,</w:t>
      </w:r>
      <w:r w:rsidRPr="00075237">
        <w:t xml:space="preserve"> et dans le futur, dans le cadre du plan de mise en œuvre de l’Amendement de Kigali sur les HFC (KIP), différentes activités seront entreprises pour la diffusion de l’information technique ainsi que l’accroissement de la capacité et la formation des techniciens sur l’adoption sûre de la technologie à base de HC; d’autres activités régionales et tournées d’études seront réalisées pour démontrer son rendement. À la lumière des interventions ci-dessus, il est prévu que le Kenya et d’autres pays adopteront de plus en plus cette technologie.</w:t>
      </w:r>
    </w:p>
    <w:p w14:paraId="2A378F69" w14:textId="47BB181A" w:rsidR="0016060A" w:rsidRPr="00075237" w:rsidRDefault="0016060A" w:rsidP="0016060A">
      <w:pPr>
        <w:pStyle w:val="Heading1"/>
      </w:pPr>
      <w:r w:rsidRPr="00075237">
        <w:t>En ce qui concerne l’adoption sûre de cette technologie, le gouvernement de la France a expliqué que l’équipement sera certifié selon les normes IEC 60335-2-89 et EN 378; l’installation et l’entretien seront réalisés selon les normes de sécurité internationale et nationale KEN IEC 60335-2-89:2019, qui définissent les mesures de sécurité nécessaires pour travailler avec les frigorigènes inflammables; les entreprises d’entretien et les techniciens, ainsi que les opérateurs des équipements seront formés sur les pratiques sécuritaires de l’entretien. En outre, le soutien provenant des centres d’excellence régionaux (p.</w:t>
      </w:r>
      <w:r w:rsidR="001D4362" w:rsidRPr="00075237">
        <w:t> </w:t>
      </w:r>
      <w:r w:rsidRPr="00075237">
        <w:t xml:space="preserve">ex. le Centre d’excellence africain pour un refroidissement durable, au Rwanda) ainsi que la planification synergique et la mise en œuvre des activités de formation pour l’entretien sûr de l’équipement </w:t>
      </w:r>
      <w:r w:rsidRPr="00075237">
        <w:lastRenderedPageBreak/>
        <w:t xml:space="preserve">fonctionnant au R-290, en plus des activités en cours liées aux HCFC et des futures activités du KIP, devraient </w:t>
      </w:r>
      <w:r w:rsidR="003069D2" w:rsidRPr="00075237">
        <w:t>contribuer</w:t>
      </w:r>
      <w:r w:rsidRPr="00075237">
        <w:t xml:space="preserve"> à maximiser l’adoption sûre de la technologie fonctionnant aux HC.</w:t>
      </w:r>
    </w:p>
    <w:p w14:paraId="3085890F" w14:textId="5E085176" w:rsidR="0016060A" w:rsidRPr="00075237" w:rsidRDefault="0016060A" w:rsidP="0016060A">
      <w:pPr>
        <w:pStyle w:val="Heading1"/>
      </w:pPr>
      <w:r w:rsidRPr="00075237">
        <w:t>En accord avec les décisions 84/84(d) et 86/53(a)</w:t>
      </w:r>
      <w:r w:rsidRPr="00075237">
        <w:rPr>
          <w:rStyle w:val="FootnoteReference"/>
        </w:rPr>
        <w:footnoteReference w:id="14"/>
      </w:r>
      <w:r w:rsidRPr="00075237">
        <w:t>, le gouvernement de la France présentera des rapports détaillés sur les résultats du projet de démonstration susmentionné une fois qu’il sera achevé, afin de permettre au Secrétariat d’élaborer des fiches d’information pour éclairer de</w:t>
      </w:r>
      <w:r w:rsidR="00E808D5" w:rsidRPr="00075237">
        <w:t>s</w:t>
      </w:r>
      <w:r w:rsidRPr="00075237">
        <w:t xml:space="preserve"> projets</w:t>
      </w:r>
      <w:r w:rsidR="009704D4" w:rsidRPr="00075237">
        <w:t xml:space="preserve"> à venir</w:t>
      </w:r>
      <w:r w:rsidRPr="00075237">
        <w:t>.</w:t>
      </w:r>
    </w:p>
    <w:p w14:paraId="0DE7DD18" w14:textId="77777777" w:rsidR="0016060A" w:rsidRPr="00075237" w:rsidRDefault="0016060A" w:rsidP="0036562F">
      <w:pPr>
        <w:keepNext/>
        <w:keepLines/>
        <w:jc w:val="left"/>
        <w:rPr>
          <w:b/>
          <w:bCs/>
        </w:rPr>
      </w:pPr>
      <w:r w:rsidRPr="00075237">
        <w:rPr>
          <w:b/>
          <w:bCs/>
        </w:rPr>
        <w:t>Recommandation</w:t>
      </w:r>
    </w:p>
    <w:p w14:paraId="131990A0" w14:textId="77777777" w:rsidR="0016060A" w:rsidRPr="00075237" w:rsidRDefault="0016060A" w:rsidP="0036562F">
      <w:pPr>
        <w:keepNext/>
        <w:keepLines/>
        <w:jc w:val="left"/>
      </w:pPr>
    </w:p>
    <w:p w14:paraId="56CE18B9" w14:textId="77777777" w:rsidR="0016060A" w:rsidRPr="00075237" w:rsidRDefault="0016060A" w:rsidP="0036562F">
      <w:pPr>
        <w:pStyle w:val="Heading1"/>
        <w:keepNext/>
        <w:keepLines/>
      </w:pPr>
      <w:r w:rsidRPr="00075237">
        <w:t>Le Comité exécutif pourrait envisager :</w:t>
      </w:r>
    </w:p>
    <w:p w14:paraId="3B975FCD" w14:textId="00C7CF64" w:rsidR="0016060A" w:rsidRPr="00075237" w:rsidRDefault="0016060A" w:rsidP="0016060A">
      <w:pPr>
        <w:pStyle w:val="Heading2"/>
      </w:pPr>
      <w:r w:rsidRPr="00075237">
        <w:t xml:space="preserve">De prendre note de la demande présentée par le gouvernement de la France, au nom du gouvernement du Kenya, pour un changement de technologie dans la conversion d’un supermarché de la chaîne Quickmart, du HCFC-22 </w:t>
      </w:r>
      <w:r w:rsidR="00C25A29" w:rsidRPr="00075237">
        <w:t>vers le</w:t>
      </w:r>
      <w:r w:rsidRPr="00075237">
        <w:t xml:space="preserve"> R-290 à la place de la technologie fonctionnant au CO</w:t>
      </w:r>
      <w:r w:rsidRPr="00075237">
        <w:rPr>
          <w:vertAlign w:val="subscript"/>
        </w:rPr>
        <w:t>2</w:t>
      </w:r>
      <w:r w:rsidRPr="00075237">
        <w:t>, dans le cadre de la phase II du plan de gestion de l’élimination des HCFC pour le Kenya, telle que contenue dans le document UNEP/OzL.Pro/ExCom/94/9;</w:t>
      </w:r>
    </w:p>
    <w:p w14:paraId="39431935" w14:textId="20EC1FB0" w:rsidR="0016060A" w:rsidRPr="00075237" w:rsidRDefault="0016060A" w:rsidP="00AF4643">
      <w:pPr>
        <w:pStyle w:val="Heading2"/>
        <w:widowControl/>
      </w:pPr>
      <w:r w:rsidRPr="00075237">
        <w:t>D’approuver le changement de technologie mentionné à l’alinéa</w:t>
      </w:r>
      <w:r w:rsidR="0049332A" w:rsidRPr="00075237">
        <w:t> </w:t>
      </w:r>
      <w:r w:rsidRPr="00075237">
        <w:t xml:space="preserve">a) ci-dessus, à la condition que tous coûts supplémentaires pour la conversion soient couverts par le supermarché bénéficiaire. </w:t>
      </w:r>
    </w:p>
    <w:p w14:paraId="610A41C9" w14:textId="77777777" w:rsidR="002B75B4" w:rsidRPr="00075237" w:rsidRDefault="002B75B4" w:rsidP="002B75B4">
      <w:pPr>
        <w:ind w:left="720"/>
        <w:rPr>
          <w:b/>
          <w:bCs/>
        </w:rPr>
      </w:pPr>
      <w:r w:rsidRPr="00075237">
        <w:rPr>
          <w:b/>
          <w:bCs/>
          <w:u w:val="single"/>
        </w:rPr>
        <w:t>Pakistan : Plan de gestion de l’élimination des HCFC (phase II – rapport périodique sur la mise en œuvre des troisième et quatrième tranches)</w:t>
      </w:r>
      <w:r w:rsidRPr="00075237">
        <w:rPr>
          <w:b/>
          <w:bCs/>
        </w:rPr>
        <w:t xml:space="preserve"> (ONUDI et PNUE)</w:t>
      </w:r>
    </w:p>
    <w:p w14:paraId="618AAD9C" w14:textId="77777777" w:rsidR="002B75B4" w:rsidRPr="00075237" w:rsidRDefault="002B75B4" w:rsidP="002B75B4">
      <w:pPr>
        <w:ind w:left="720"/>
        <w:jc w:val="left"/>
        <w:rPr>
          <w:b/>
          <w:bCs/>
          <w:u w:val="single"/>
        </w:rPr>
      </w:pPr>
    </w:p>
    <w:p w14:paraId="2033219A" w14:textId="77777777" w:rsidR="002B75B4" w:rsidRPr="00075237" w:rsidRDefault="002B75B4" w:rsidP="002B75B4">
      <w:pPr>
        <w:jc w:val="left"/>
        <w:rPr>
          <w:b/>
          <w:bCs/>
        </w:rPr>
      </w:pPr>
      <w:r w:rsidRPr="00075237">
        <w:rPr>
          <w:b/>
          <w:bCs/>
        </w:rPr>
        <w:t>Contexte</w:t>
      </w:r>
    </w:p>
    <w:p w14:paraId="649CC1F2" w14:textId="77777777" w:rsidR="002B75B4" w:rsidRPr="00075237" w:rsidRDefault="002B75B4" w:rsidP="002B75B4">
      <w:pPr>
        <w:jc w:val="left"/>
      </w:pPr>
    </w:p>
    <w:p w14:paraId="6CC9592C" w14:textId="77777777" w:rsidR="002B75B4" w:rsidRPr="00075237" w:rsidRDefault="002B75B4" w:rsidP="002B75B4">
      <w:pPr>
        <w:pStyle w:val="Heading1"/>
      </w:pPr>
      <w:r w:rsidRPr="00075237">
        <w:t>À la 90</w:t>
      </w:r>
      <w:r w:rsidRPr="00075237">
        <w:rPr>
          <w:vertAlign w:val="superscript"/>
        </w:rPr>
        <w:t>e</w:t>
      </w:r>
      <w:r w:rsidRPr="00075237">
        <w:t xml:space="preserve"> réunion, le Comité exécutif a approuvé un changement de technologie pour la conversion de l’entreprise de fabrication de climatiseurs Dawlance, du R-290 vers le HFC-32; a approuvé la quatrième et dernière tranche associée de la phase II du plan de gestion de l’élimination des HCFC (PGEH) du Pakistan; et a demandé au gouvernement du Pakistan et à l’ONUDI de présenter des rapports périodiques sur la mise en œuvre du programme de travail associé aux troisième et quatrième tranches de la phase II du PGEH de façon annuelle jusqu’à l’achèvement du projet ainsi que le rapport d’achèvement de projet à la première réunion de 2025 (décision 90/47). </w:t>
      </w:r>
    </w:p>
    <w:p w14:paraId="036EDB48" w14:textId="2C4C5241" w:rsidR="002B75B4" w:rsidRPr="00075237" w:rsidRDefault="002B75B4" w:rsidP="002B75B4">
      <w:pPr>
        <w:pStyle w:val="Heading1"/>
      </w:pPr>
      <w:r w:rsidRPr="00075237">
        <w:t>À la 92</w:t>
      </w:r>
      <w:r w:rsidRPr="00075237">
        <w:rPr>
          <w:vertAlign w:val="superscript"/>
        </w:rPr>
        <w:t>e</w:t>
      </w:r>
      <w:r w:rsidRPr="00075237">
        <w:t xml:space="preserve"> réunion, le Comité exécutif a demandé au gouvernement du Pakistan, par le biais de l’ONUDI, de continuer à présenter des rapports périodiques sur la mise en œuvre du programme de travail associé aux troisième et </w:t>
      </w:r>
      <w:r w:rsidR="00075237" w:rsidRPr="00075237">
        <w:t>quatrième tranche</w:t>
      </w:r>
      <w:r w:rsidRPr="00075237">
        <w:t xml:space="preserve"> de la phase II du PGEH de façon annuelle jusqu’à l’achèvement du projet ainsi que le rapport d’achèvement de projet à la première réunion de 2025 (décision 92/15(b)).</w:t>
      </w:r>
    </w:p>
    <w:p w14:paraId="4EDF1B05" w14:textId="77777777" w:rsidR="002B75B4" w:rsidRPr="00075237" w:rsidRDefault="002B75B4" w:rsidP="002B75B4">
      <w:pPr>
        <w:pStyle w:val="Heading1"/>
      </w:pPr>
      <w:r w:rsidRPr="00075237">
        <w:t xml:space="preserve">L’ONUDI a présenté le rapport périodique à la réunion en cours, en accord avec les décisions 90/47 et 92/15(b). </w:t>
      </w:r>
    </w:p>
    <w:p w14:paraId="601C5BB1" w14:textId="77777777" w:rsidR="002B75B4" w:rsidRPr="00075237" w:rsidRDefault="002B75B4" w:rsidP="002B75B4">
      <w:pPr>
        <w:rPr>
          <w:b/>
          <w:bCs/>
        </w:rPr>
      </w:pPr>
      <w:r w:rsidRPr="00075237">
        <w:rPr>
          <w:b/>
          <w:bCs/>
        </w:rPr>
        <w:t>Rapport sur la consommation des HCFC</w:t>
      </w:r>
    </w:p>
    <w:p w14:paraId="3AF67D14" w14:textId="77777777" w:rsidR="002B75B4" w:rsidRPr="00075237" w:rsidRDefault="002B75B4" w:rsidP="002B75B4"/>
    <w:p w14:paraId="1D2931B3" w14:textId="01FB0A00" w:rsidR="002B75B4" w:rsidRPr="00075237" w:rsidRDefault="002B75B4" w:rsidP="002B75B4">
      <w:pPr>
        <w:pStyle w:val="Heading1"/>
      </w:pPr>
      <w:r w:rsidRPr="00075237">
        <w:t>Le gouvernement du Pakistan a communiqué, dans le cadre du rapport de mise en œuvre du programme du pays, une consommation de 118,94 tonnes PAO de HCFC en 2023, ce qui est 52 pour cent inférieur à la valeur de référence des HCFC pour la consommation et 4 pour cent sous les cibles de 124,06 tonnes PAO établies dans l’Accord avec le Comité exécutif. Les données de l’Article 7 pour 2023 n’ont pas encore été déclarées. La consommation de HCFC pour 2019-2023 est indiquée au tableau 4.</w:t>
      </w:r>
    </w:p>
    <w:p w14:paraId="506453CD" w14:textId="4E26266A" w:rsidR="002B75B4" w:rsidRPr="00075237" w:rsidRDefault="002B75B4" w:rsidP="002B75B4">
      <w:pPr>
        <w:rPr>
          <w:b/>
          <w:bCs/>
        </w:rPr>
      </w:pPr>
      <w:r w:rsidRPr="00075237">
        <w:rPr>
          <w:b/>
          <w:bCs/>
        </w:rPr>
        <w:lastRenderedPageBreak/>
        <w:t>Tableau 4. Consommation de HCFC au Pakistan (2019-2022, données de l’Article 7)</w:t>
      </w:r>
    </w:p>
    <w:tbl>
      <w:tblPr>
        <w:tblW w:w="4999" w:type="pct"/>
        <w:tblLayout w:type="fixed"/>
        <w:tblLook w:val="04A0" w:firstRow="1" w:lastRow="0" w:firstColumn="1" w:lastColumn="0" w:noHBand="0" w:noVBand="1"/>
      </w:tblPr>
      <w:tblGrid>
        <w:gridCol w:w="3119"/>
        <w:gridCol w:w="1042"/>
        <w:gridCol w:w="1039"/>
        <w:gridCol w:w="1039"/>
        <w:gridCol w:w="1036"/>
        <w:gridCol w:w="1039"/>
        <w:gridCol w:w="1034"/>
      </w:tblGrid>
      <w:tr w:rsidR="002B75B4" w:rsidRPr="00075237" w14:paraId="2F57300B" w14:textId="77777777" w:rsidTr="00C30F95">
        <w:trPr>
          <w:trHeight w:val="214"/>
          <w:tblHeader/>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3EFCD05" w14:textId="77777777" w:rsidR="002B75B4" w:rsidRPr="00075237" w:rsidRDefault="002B75B4" w:rsidP="00C30F95">
            <w:pPr>
              <w:widowControl w:val="0"/>
              <w:jc w:val="left"/>
              <w:rPr>
                <w:b/>
                <w:bCs/>
                <w:color w:val="000000"/>
                <w:sz w:val="20"/>
                <w:szCs w:val="20"/>
              </w:rPr>
            </w:pPr>
            <w:r w:rsidRPr="00075237">
              <w:rPr>
                <w:b/>
                <w:bCs/>
                <w:color w:val="000000"/>
                <w:sz w:val="20"/>
                <w:szCs w:val="20"/>
              </w:rPr>
              <w:t>HCFC</w:t>
            </w:r>
          </w:p>
        </w:tc>
        <w:tc>
          <w:tcPr>
            <w:tcW w:w="557" w:type="pct"/>
            <w:tcBorders>
              <w:top w:val="single" w:sz="4" w:space="0" w:color="auto"/>
              <w:left w:val="single" w:sz="4" w:space="0" w:color="auto"/>
              <w:bottom w:val="single" w:sz="4" w:space="0" w:color="auto"/>
              <w:right w:val="single" w:sz="4" w:space="0" w:color="auto"/>
            </w:tcBorders>
            <w:hideMark/>
          </w:tcPr>
          <w:p w14:paraId="119901BA" w14:textId="77777777" w:rsidR="002B75B4" w:rsidRPr="00075237" w:rsidRDefault="002B75B4" w:rsidP="00C30F95">
            <w:pPr>
              <w:widowControl w:val="0"/>
              <w:jc w:val="center"/>
              <w:rPr>
                <w:b/>
                <w:bCs/>
                <w:color w:val="000000"/>
                <w:sz w:val="20"/>
                <w:szCs w:val="20"/>
              </w:rPr>
            </w:pPr>
            <w:r w:rsidRPr="00075237">
              <w:rPr>
                <w:b/>
                <w:bCs/>
                <w:color w:val="000000"/>
                <w:sz w:val="20"/>
                <w:szCs w:val="20"/>
              </w:rPr>
              <w:t>2019</w:t>
            </w:r>
          </w:p>
        </w:tc>
        <w:tc>
          <w:tcPr>
            <w:tcW w:w="556" w:type="pct"/>
            <w:tcBorders>
              <w:top w:val="single" w:sz="4" w:space="0" w:color="auto"/>
              <w:left w:val="single" w:sz="4" w:space="0" w:color="auto"/>
              <w:bottom w:val="single" w:sz="4" w:space="0" w:color="auto"/>
              <w:right w:val="single" w:sz="4" w:space="0" w:color="auto"/>
            </w:tcBorders>
            <w:hideMark/>
          </w:tcPr>
          <w:p w14:paraId="35E3E5EF" w14:textId="77777777" w:rsidR="002B75B4" w:rsidRPr="00075237" w:rsidRDefault="002B75B4" w:rsidP="00C30F95">
            <w:pPr>
              <w:widowControl w:val="0"/>
              <w:jc w:val="center"/>
              <w:rPr>
                <w:b/>
                <w:bCs/>
                <w:color w:val="000000"/>
                <w:sz w:val="20"/>
                <w:szCs w:val="20"/>
              </w:rPr>
            </w:pPr>
            <w:r w:rsidRPr="00075237">
              <w:rPr>
                <w:b/>
                <w:bCs/>
                <w:color w:val="000000"/>
                <w:sz w:val="20"/>
                <w:szCs w:val="20"/>
              </w:rPr>
              <w:t>2020</w:t>
            </w:r>
          </w:p>
        </w:tc>
        <w:tc>
          <w:tcPr>
            <w:tcW w:w="556" w:type="pct"/>
            <w:tcBorders>
              <w:top w:val="single" w:sz="4" w:space="0" w:color="auto"/>
              <w:left w:val="single" w:sz="4" w:space="0" w:color="auto"/>
              <w:bottom w:val="single" w:sz="4" w:space="0" w:color="auto"/>
              <w:right w:val="single" w:sz="4" w:space="0" w:color="auto"/>
            </w:tcBorders>
            <w:hideMark/>
          </w:tcPr>
          <w:p w14:paraId="02F8BF7F" w14:textId="77777777" w:rsidR="002B75B4" w:rsidRPr="00075237" w:rsidRDefault="002B75B4" w:rsidP="00C30F95">
            <w:pPr>
              <w:widowControl w:val="0"/>
              <w:jc w:val="center"/>
              <w:rPr>
                <w:b/>
                <w:bCs/>
                <w:color w:val="000000"/>
                <w:sz w:val="20"/>
                <w:szCs w:val="20"/>
              </w:rPr>
            </w:pPr>
            <w:r w:rsidRPr="00075237">
              <w:rPr>
                <w:b/>
                <w:bCs/>
                <w:color w:val="000000"/>
                <w:sz w:val="20"/>
                <w:szCs w:val="20"/>
              </w:rPr>
              <w:t>2021</w:t>
            </w:r>
          </w:p>
        </w:tc>
        <w:tc>
          <w:tcPr>
            <w:tcW w:w="554" w:type="pct"/>
            <w:tcBorders>
              <w:top w:val="single" w:sz="4" w:space="0" w:color="auto"/>
              <w:left w:val="single" w:sz="4" w:space="0" w:color="auto"/>
              <w:bottom w:val="single" w:sz="4" w:space="0" w:color="auto"/>
              <w:right w:val="single" w:sz="4" w:space="0" w:color="auto"/>
            </w:tcBorders>
          </w:tcPr>
          <w:p w14:paraId="1BD70B0F" w14:textId="77777777" w:rsidR="002B75B4" w:rsidRPr="00075237" w:rsidRDefault="002B75B4" w:rsidP="00C30F95">
            <w:pPr>
              <w:widowControl w:val="0"/>
              <w:jc w:val="center"/>
              <w:rPr>
                <w:b/>
                <w:bCs/>
                <w:color w:val="000000"/>
                <w:sz w:val="20"/>
                <w:szCs w:val="20"/>
              </w:rPr>
            </w:pPr>
            <w:r w:rsidRPr="00075237">
              <w:rPr>
                <w:b/>
                <w:bCs/>
                <w:color w:val="000000"/>
                <w:sz w:val="20"/>
                <w:szCs w:val="20"/>
              </w:rPr>
              <w:t>2022</w:t>
            </w:r>
          </w:p>
        </w:tc>
        <w:tc>
          <w:tcPr>
            <w:tcW w:w="556" w:type="pct"/>
            <w:tcBorders>
              <w:top w:val="single" w:sz="4" w:space="0" w:color="auto"/>
              <w:left w:val="single" w:sz="4" w:space="0" w:color="auto"/>
              <w:bottom w:val="single" w:sz="4" w:space="0" w:color="auto"/>
              <w:right w:val="single" w:sz="4" w:space="0" w:color="auto"/>
            </w:tcBorders>
          </w:tcPr>
          <w:p w14:paraId="23D00077" w14:textId="77777777" w:rsidR="002B75B4" w:rsidRPr="00075237" w:rsidRDefault="002B75B4" w:rsidP="00C30F95">
            <w:pPr>
              <w:widowControl w:val="0"/>
              <w:jc w:val="center"/>
              <w:rPr>
                <w:b/>
                <w:bCs/>
                <w:color w:val="000000"/>
                <w:sz w:val="20"/>
                <w:szCs w:val="20"/>
              </w:rPr>
            </w:pPr>
            <w:r w:rsidRPr="00075237">
              <w:rPr>
                <w:b/>
                <w:bCs/>
                <w:color w:val="000000"/>
                <w:sz w:val="20"/>
                <w:szCs w:val="20"/>
              </w:rPr>
              <w:t>2023*</w:t>
            </w:r>
          </w:p>
        </w:tc>
        <w:tc>
          <w:tcPr>
            <w:tcW w:w="554" w:type="pct"/>
            <w:tcBorders>
              <w:top w:val="single" w:sz="4" w:space="0" w:color="auto"/>
              <w:left w:val="single" w:sz="4" w:space="0" w:color="auto"/>
              <w:bottom w:val="single" w:sz="4" w:space="0" w:color="auto"/>
              <w:right w:val="single" w:sz="4" w:space="0" w:color="auto"/>
            </w:tcBorders>
            <w:noWrap/>
            <w:vAlign w:val="center"/>
            <w:hideMark/>
          </w:tcPr>
          <w:p w14:paraId="7DAEA0AE" w14:textId="77777777" w:rsidR="002B75B4" w:rsidRPr="00075237" w:rsidRDefault="002B75B4" w:rsidP="00C30F95">
            <w:pPr>
              <w:widowControl w:val="0"/>
              <w:jc w:val="center"/>
              <w:rPr>
                <w:b/>
                <w:bCs/>
                <w:color w:val="000000"/>
                <w:sz w:val="20"/>
                <w:szCs w:val="20"/>
              </w:rPr>
            </w:pPr>
            <w:r w:rsidRPr="00075237">
              <w:rPr>
                <w:b/>
                <w:bCs/>
                <w:color w:val="000000"/>
                <w:sz w:val="20"/>
                <w:szCs w:val="20"/>
              </w:rPr>
              <w:t>Valeur de référence</w:t>
            </w:r>
          </w:p>
        </w:tc>
      </w:tr>
      <w:tr w:rsidR="002B75B4" w:rsidRPr="00075237" w14:paraId="51895667"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EDAE126" w14:textId="77777777" w:rsidR="002B75B4" w:rsidRPr="00075237" w:rsidRDefault="002B75B4" w:rsidP="00C30F95">
            <w:pPr>
              <w:widowControl w:val="0"/>
              <w:jc w:val="left"/>
              <w:rPr>
                <w:b/>
                <w:bCs/>
                <w:color w:val="000000"/>
                <w:sz w:val="20"/>
                <w:szCs w:val="20"/>
              </w:rPr>
            </w:pPr>
            <w:r w:rsidRPr="00075237">
              <w:rPr>
                <w:b/>
                <w:bCs/>
                <w:color w:val="000000"/>
                <w:sz w:val="20"/>
                <w:szCs w:val="20"/>
              </w:rPr>
              <w:t>Tonnes métriques</w:t>
            </w:r>
          </w:p>
        </w:tc>
        <w:tc>
          <w:tcPr>
            <w:tcW w:w="557" w:type="pct"/>
            <w:tcBorders>
              <w:top w:val="nil"/>
              <w:left w:val="single" w:sz="4" w:space="0" w:color="auto"/>
              <w:bottom w:val="single" w:sz="4" w:space="0" w:color="auto"/>
              <w:right w:val="single" w:sz="4" w:space="0" w:color="auto"/>
            </w:tcBorders>
          </w:tcPr>
          <w:p w14:paraId="6DFC4FC2" w14:textId="77777777" w:rsidR="002B75B4" w:rsidRPr="00075237" w:rsidRDefault="002B75B4" w:rsidP="00C30F95">
            <w:pPr>
              <w:widowControl w:val="0"/>
              <w:jc w:val="cente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038CC755" w14:textId="77777777" w:rsidR="002B75B4" w:rsidRPr="00075237" w:rsidRDefault="002B75B4" w:rsidP="00C30F95">
            <w:pPr>
              <w:widowControl w:val="0"/>
              <w:jc w:val="cente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4AC7B31D" w14:textId="77777777" w:rsidR="002B75B4" w:rsidRPr="00075237" w:rsidRDefault="002B75B4" w:rsidP="00C30F95">
            <w:pPr>
              <w:widowControl w:val="0"/>
              <w:jc w:val="center"/>
              <w:rPr>
                <w:b/>
                <w:bCs/>
                <w:color w:val="000000"/>
                <w:sz w:val="20"/>
                <w:szCs w:val="20"/>
              </w:rPr>
            </w:pPr>
          </w:p>
        </w:tc>
        <w:tc>
          <w:tcPr>
            <w:tcW w:w="554" w:type="pct"/>
            <w:tcBorders>
              <w:top w:val="nil"/>
              <w:left w:val="single" w:sz="4" w:space="0" w:color="auto"/>
              <w:bottom w:val="single" w:sz="4" w:space="0" w:color="auto"/>
              <w:right w:val="single" w:sz="4" w:space="0" w:color="auto"/>
            </w:tcBorders>
          </w:tcPr>
          <w:p w14:paraId="6A2F31F4" w14:textId="77777777" w:rsidR="002B75B4" w:rsidRPr="00075237" w:rsidRDefault="002B75B4" w:rsidP="00C30F95">
            <w:pP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2F9C565A" w14:textId="77777777" w:rsidR="002B75B4" w:rsidRPr="00075237" w:rsidRDefault="002B75B4" w:rsidP="00C30F95">
            <w:pPr>
              <w:rPr>
                <w:b/>
                <w:bCs/>
                <w:color w:val="000000"/>
                <w:sz w:val="20"/>
                <w:szCs w:val="20"/>
              </w:rPr>
            </w:pPr>
          </w:p>
        </w:tc>
        <w:tc>
          <w:tcPr>
            <w:tcW w:w="554" w:type="pct"/>
            <w:tcBorders>
              <w:top w:val="nil"/>
              <w:left w:val="single" w:sz="4" w:space="0" w:color="auto"/>
              <w:bottom w:val="single" w:sz="4" w:space="0" w:color="auto"/>
              <w:right w:val="single" w:sz="4" w:space="0" w:color="auto"/>
            </w:tcBorders>
            <w:noWrap/>
            <w:vAlign w:val="center"/>
            <w:hideMark/>
          </w:tcPr>
          <w:p w14:paraId="1BA98613" w14:textId="77777777" w:rsidR="002B75B4" w:rsidRPr="00075237" w:rsidRDefault="002B75B4" w:rsidP="00C30F95">
            <w:pPr>
              <w:rPr>
                <w:b/>
                <w:bCs/>
                <w:color w:val="000000"/>
                <w:sz w:val="20"/>
                <w:szCs w:val="20"/>
              </w:rPr>
            </w:pPr>
          </w:p>
        </w:tc>
      </w:tr>
      <w:tr w:rsidR="002B75B4" w:rsidRPr="00075237" w14:paraId="210B0BD1"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CC47C8B" w14:textId="77777777" w:rsidR="002B75B4" w:rsidRPr="00075237" w:rsidRDefault="002B75B4" w:rsidP="00C30F95">
            <w:pPr>
              <w:widowControl w:val="0"/>
              <w:jc w:val="left"/>
              <w:rPr>
                <w:color w:val="000000"/>
                <w:sz w:val="20"/>
                <w:szCs w:val="20"/>
              </w:rPr>
            </w:pPr>
            <w:r w:rsidRPr="00075237">
              <w:rPr>
                <w:color w:val="000000"/>
                <w:sz w:val="20"/>
                <w:szCs w:val="20"/>
              </w:rPr>
              <w:t>HCFC-22</w:t>
            </w:r>
          </w:p>
        </w:tc>
        <w:tc>
          <w:tcPr>
            <w:tcW w:w="557" w:type="pct"/>
            <w:tcBorders>
              <w:top w:val="nil"/>
              <w:left w:val="single" w:sz="4" w:space="0" w:color="auto"/>
              <w:bottom w:val="single" w:sz="4" w:space="0" w:color="auto"/>
              <w:right w:val="single" w:sz="4" w:space="0" w:color="auto"/>
            </w:tcBorders>
            <w:hideMark/>
          </w:tcPr>
          <w:p w14:paraId="38EAB325" w14:textId="77777777" w:rsidR="002B75B4" w:rsidRPr="00075237" w:rsidRDefault="002B75B4" w:rsidP="00C30F95">
            <w:pPr>
              <w:jc w:val="right"/>
              <w:rPr>
                <w:color w:val="000000"/>
                <w:sz w:val="20"/>
                <w:szCs w:val="20"/>
              </w:rPr>
            </w:pPr>
            <w:r w:rsidRPr="00075237">
              <w:rPr>
                <w:color w:val="000000"/>
                <w:sz w:val="20"/>
                <w:szCs w:val="20"/>
              </w:rPr>
              <w:t>2 752,41</w:t>
            </w:r>
          </w:p>
        </w:tc>
        <w:tc>
          <w:tcPr>
            <w:tcW w:w="556" w:type="pct"/>
            <w:tcBorders>
              <w:top w:val="nil"/>
              <w:left w:val="single" w:sz="4" w:space="0" w:color="auto"/>
              <w:bottom w:val="single" w:sz="4" w:space="0" w:color="auto"/>
              <w:right w:val="single" w:sz="4" w:space="0" w:color="auto"/>
            </w:tcBorders>
            <w:hideMark/>
          </w:tcPr>
          <w:p w14:paraId="1EE75355" w14:textId="77777777" w:rsidR="002B75B4" w:rsidRPr="00075237" w:rsidRDefault="002B75B4" w:rsidP="00C30F95">
            <w:pPr>
              <w:jc w:val="right"/>
              <w:rPr>
                <w:color w:val="000000"/>
                <w:sz w:val="20"/>
                <w:szCs w:val="20"/>
              </w:rPr>
            </w:pPr>
            <w:r w:rsidRPr="00075237">
              <w:rPr>
                <w:color w:val="000000"/>
                <w:sz w:val="20"/>
                <w:szCs w:val="20"/>
              </w:rPr>
              <w:t>2 021,71</w:t>
            </w:r>
          </w:p>
        </w:tc>
        <w:tc>
          <w:tcPr>
            <w:tcW w:w="556" w:type="pct"/>
            <w:tcBorders>
              <w:top w:val="nil"/>
              <w:left w:val="single" w:sz="4" w:space="0" w:color="auto"/>
              <w:bottom w:val="single" w:sz="4" w:space="0" w:color="auto"/>
              <w:right w:val="single" w:sz="4" w:space="0" w:color="auto"/>
            </w:tcBorders>
            <w:hideMark/>
          </w:tcPr>
          <w:p w14:paraId="2B74A2E5" w14:textId="77777777" w:rsidR="002B75B4" w:rsidRPr="00075237" w:rsidRDefault="002B75B4" w:rsidP="00C30F95">
            <w:pPr>
              <w:jc w:val="right"/>
              <w:rPr>
                <w:color w:val="000000"/>
                <w:sz w:val="20"/>
                <w:szCs w:val="20"/>
              </w:rPr>
            </w:pPr>
            <w:r w:rsidRPr="00075237">
              <w:rPr>
                <w:color w:val="000000"/>
                <w:sz w:val="20"/>
                <w:szCs w:val="20"/>
              </w:rPr>
              <w:t>2 045,99</w:t>
            </w:r>
          </w:p>
        </w:tc>
        <w:tc>
          <w:tcPr>
            <w:tcW w:w="554" w:type="pct"/>
            <w:tcBorders>
              <w:top w:val="nil"/>
              <w:left w:val="single" w:sz="4" w:space="0" w:color="auto"/>
              <w:bottom w:val="single" w:sz="4" w:space="0" w:color="auto"/>
              <w:right w:val="single" w:sz="4" w:space="0" w:color="auto"/>
            </w:tcBorders>
          </w:tcPr>
          <w:p w14:paraId="3499FBD1" w14:textId="77777777" w:rsidR="002B75B4" w:rsidRPr="00075237" w:rsidRDefault="002B75B4" w:rsidP="00C30F95">
            <w:pPr>
              <w:jc w:val="right"/>
              <w:rPr>
                <w:color w:val="000000"/>
                <w:sz w:val="20"/>
                <w:szCs w:val="20"/>
              </w:rPr>
            </w:pPr>
            <w:r w:rsidRPr="00075237">
              <w:rPr>
                <w:color w:val="000000"/>
                <w:sz w:val="20"/>
                <w:szCs w:val="20"/>
              </w:rPr>
              <w:t>2 032,85</w:t>
            </w:r>
          </w:p>
        </w:tc>
        <w:tc>
          <w:tcPr>
            <w:tcW w:w="556" w:type="pct"/>
            <w:tcBorders>
              <w:top w:val="nil"/>
              <w:left w:val="single" w:sz="4" w:space="0" w:color="auto"/>
              <w:bottom w:val="single" w:sz="4" w:space="0" w:color="auto"/>
              <w:right w:val="single" w:sz="4" w:space="0" w:color="auto"/>
            </w:tcBorders>
          </w:tcPr>
          <w:p w14:paraId="125E457D" w14:textId="77777777" w:rsidR="002B75B4" w:rsidRPr="00075237" w:rsidRDefault="002B75B4" w:rsidP="00C30F95">
            <w:pPr>
              <w:jc w:val="right"/>
              <w:rPr>
                <w:color w:val="000000"/>
                <w:sz w:val="20"/>
                <w:szCs w:val="20"/>
              </w:rPr>
            </w:pPr>
            <w:r w:rsidRPr="00075237">
              <w:rPr>
                <w:color w:val="000000"/>
                <w:sz w:val="20"/>
                <w:szCs w:val="20"/>
              </w:rPr>
              <w:t>2 030,21</w:t>
            </w:r>
          </w:p>
        </w:tc>
        <w:tc>
          <w:tcPr>
            <w:tcW w:w="554" w:type="pct"/>
            <w:tcBorders>
              <w:top w:val="nil"/>
              <w:left w:val="single" w:sz="4" w:space="0" w:color="auto"/>
              <w:bottom w:val="single" w:sz="4" w:space="0" w:color="auto"/>
              <w:right w:val="single" w:sz="4" w:space="0" w:color="auto"/>
            </w:tcBorders>
            <w:noWrap/>
            <w:hideMark/>
          </w:tcPr>
          <w:p w14:paraId="459C879A" w14:textId="77777777" w:rsidR="002B75B4" w:rsidRPr="00075237" w:rsidRDefault="002B75B4" w:rsidP="00C30F95">
            <w:pPr>
              <w:jc w:val="right"/>
              <w:rPr>
                <w:color w:val="000000"/>
                <w:sz w:val="20"/>
                <w:szCs w:val="20"/>
              </w:rPr>
            </w:pPr>
            <w:r w:rsidRPr="00075237">
              <w:rPr>
                <w:color w:val="000000"/>
                <w:sz w:val="20"/>
                <w:szCs w:val="20"/>
              </w:rPr>
              <w:t>1 908,25</w:t>
            </w:r>
          </w:p>
        </w:tc>
      </w:tr>
      <w:tr w:rsidR="002B75B4" w:rsidRPr="00075237" w14:paraId="78EAB35A"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FD127D8" w14:textId="77777777" w:rsidR="002B75B4" w:rsidRPr="00075237" w:rsidRDefault="002B75B4" w:rsidP="00C30F95">
            <w:pPr>
              <w:widowControl w:val="0"/>
              <w:jc w:val="left"/>
              <w:rPr>
                <w:color w:val="000000"/>
                <w:sz w:val="20"/>
                <w:szCs w:val="20"/>
              </w:rPr>
            </w:pPr>
            <w:r w:rsidRPr="00075237">
              <w:rPr>
                <w:color w:val="000000"/>
                <w:sz w:val="20"/>
                <w:szCs w:val="20"/>
              </w:rPr>
              <w:t>HCFC-123</w:t>
            </w:r>
          </w:p>
        </w:tc>
        <w:tc>
          <w:tcPr>
            <w:tcW w:w="557" w:type="pct"/>
            <w:tcBorders>
              <w:top w:val="nil"/>
              <w:left w:val="single" w:sz="4" w:space="0" w:color="auto"/>
              <w:bottom w:val="single" w:sz="4" w:space="0" w:color="auto"/>
              <w:right w:val="single" w:sz="4" w:space="0" w:color="auto"/>
            </w:tcBorders>
            <w:hideMark/>
          </w:tcPr>
          <w:p w14:paraId="55F257EB" w14:textId="77777777" w:rsidR="002B75B4" w:rsidRPr="00075237" w:rsidRDefault="002B75B4" w:rsidP="00C30F95">
            <w:pPr>
              <w:jc w:val="right"/>
              <w:rPr>
                <w:color w:val="000000"/>
                <w:sz w:val="20"/>
                <w:szCs w:val="20"/>
              </w:rPr>
            </w:pPr>
            <w:r w:rsidRPr="00075237">
              <w:rPr>
                <w:color w:val="000000"/>
                <w:sz w:val="20"/>
                <w:szCs w:val="20"/>
              </w:rPr>
              <w:t>0,00</w:t>
            </w:r>
          </w:p>
        </w:tc>
        <w:tc>
          <w:tcPr>
            <w:tcW w:w="556" w:type="pct"/>
            <w:tcBorders>
              <w:top w:val="nil"/>
              <w:left w:val="single" w:sz="4" w:space="0" w:color="auto"/>
              <w:bottom w:val="single" w:sz="4" w:space="0" w:color="auto"/>
              <w:right w:val="single" w:sz="4" w:space="0" w:color="auto"/>
            </w:tcBorders>
            <w:hideMark/>
          </w:tcPr>
          <w:p w14:paraId="4D23B307" w14:textId="77777777" w:rsidR="002B75B4" w:rsidRPr="00075237" w:rsidRDefault="002B75B4" w:rsidP="00C30F95">
            <w:pPr>
              <w:jc w:val="right"/>
              <w:rPr>
                <w:color w:val="000000"/>
                <w:sz w:val="20"/>
                <w:szCs w:val="20"/>
              </w:rPr>
            </w:pPr>
            <w:r w:rsidRPr="00075237">
              <w:rPr>
                <w:color w:val="000000"/>
                <w:sz w:val="20"/>
                <w:szCs w:val="20"/>
              </w:rPr>
              <w:t>0,00</w:t>
            </w:r>
          </w:p>
        </w:tc>
        <w:tc>
          <w:tcPr>
            <w:tcW w:w="556" w:type="pct"/>
            <w:tcBorders>
              <w:top w:val="nil"/>
              <w:left w:val="single" w:sz="4" w:space="0" w:color="auto"/>
              <w:bottom w:val="single" w:sz="4" w:space="0" w:color="auto"/>
              <w:right w:val="single" w:sz="4" w:space="0" w:color="auto"/>
            </w:tcBorders>
            <w:hideMark/>
          </w:tcPr>
          <w:p w14:paraId="6D97F985" w14:textId="77777777" w:rsidR="002B75B4" w:rsidRPr="00075237" w:rsidRDefault="002B75B4" w:rsidP="00C30F95">
            <w:pPr>
              <w:jc w:val="right"/>
              <w:rPr>
                <w:color w:val="000000"/>
                <w:sz w:val="20"/>
                <w:szCs w:val="20"/>
              </w:rPr>
            </w:pPr>
            <w:r w:rsidRPr="00075237">
              <w:rPr>
                <w:color w:val="000000"/>
                <w:sz w:val="20"/>
                <w:szCs w:val="20"/>
              </w:rPr>
              <w:t>0,00</w:t>
            </w:r>
          </w:p>
        </w:tc>
        <w:tc>
          <w:tcPr>
            <w:tcW w:w="554" w:type="pct"/>
            <w:tcBorders>
              <w:top w:val="nil"/>
              <w:left w:val="single" w:sz="4" w:space="0" w:color="auto"/>
              <w:bottom w:val="single" w:sz="4" w:space="0" w:color="auto"/>
              <w:right w:val="single" w:sz="4" w:space="0" w:color="auto"/>
            </w:tcBorders>
          </w:tcPr>
          <w:p w14:paraId="7A4C4552" w14:textId="77777777" w:rsidR="002B75B4" w:rsidRPr="00075237" w:rsidRDefault="002B75B4" w:rsidP="00C30F95">
            <w:pPr>
              <w:jc w:val="right"/>
              <w:rPr>
                <w:color w:val="000000"/>
                <w:sz w:val="20"/>
                <w:szCs w:val="20"/>
              </w:rPr>
            </w:pPr>
            <w:r w:rsidRPr="00075237">
              <w:rPr>
                <w:color w:val="000000"/>
                <w:sz w:val="20"/>
                <w:szCs w:val="20"/>
              </w:rPr>
              <w:t>1,00</w:t>
            </w:r>
          </w:p>
        </w:tc>
        <w:tc>
          <w:tcPr>
            <w:tcW w:w="556" w:type="pct"/>
            <w:tcBorders>
              <w:top w:val="nil"/>
              <w:left w:val="single" w:sz="4" w:space="0" w:color="auto"/>
              <w:bottom w:val="single" w:sz="4" w:space="0" w:color="auto"/>
              <w:right w:val="single" w:sz="4" w:space="0" w:color="auto"/>
            </w:tcBorders>
          </w:tcPr>
          <w:p w14:paraId="5B0C4B1B" w14:textId="77777777" w:rsidR="002B75B4" w:rsidRPr="00075237" w:rsidRDefault="002B75B4" w:rsidP="00C30F95">
            <w:pPr>
              <w:jc w:val="right"/>
              <w:rPr>
                <w:color w:val="000000"/>
                <w:sz w:val="20"/>
                <w:szCs w:val="20"/>
              </w:rPr>
            </w:pPr>
            <w:r w:rsidRPr="00075237">
              <w:rPr>
                <w:color w:val="000000"/>
                <w:sz w:val="20"/>
                <w:szCs w:val="20"/>
              </w:rPr>
              <w:t>1,00</w:t>
            </w:r>
          </w:p>
        </w:tc>
        <w:tc>
          <w:tcPr>
            <w:tcW w:w="554" w:type="pct"/>
            <w:tcBorders>
              <w:top w:val="nil"/>
              <w:left w:val="single" w:sz="4" w:space="0" w:color="auto"/>
              <w:bottom w:val="single" w:sz="4" w:space="0" w:color="auto"/>
              <w:right w:val="single" w:sz="4" w:space="0" w:color="auto"/>
            </w:tcBorders>
            <w:noWrap/>
            <w:hideMark/>
          </w:tcPr>
          <w:p w14:paraId="01AA2F71" w14:textId="77777777" w:rsidR="002B75B4" w:rsidRPr="00075237" w:rsidRDefault="002B75B4" w:rsidP="00C30F95">
            <w:pPr>
              <w:jc w:val="right"/>
              <w:rPr>
                <w:color w:val="000000"/>
                <w:sz w:val="20"/>
                <w:szCs w:val="20"/>
              </w:rPr>
            </w:pPr>
            <w:r w:rsidRPr="00075237">
              <w:rPr>
                <w:color w:val="000000"/>
                <w:sz w:val="20"/>
                <w:szCs w:val="20"/>
              </w:rPr>
              <w:t>0,00</w:t>
            </w:r>
          </w:p>
        </w:tc>
      </w:tr>
      <w:tr w:rsidR="002B75B4" w:rsidRPr="00075237" w14:paraId="3ACA2622"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EEF7177" w14:textId="77777777" w:rsidR="002B75B4" w:rsidRPr="00075237" w:rsidRDefault="002B75B4" w:rsidP="00C30F95">
            <w:pPr>
              <w:widowControl w:val="0"/>
              <w:jc w:val="left"/>
              <w:rPr>
                <w:color w:val="000000"/>
                <w:sz w:val="20"/>
                <w:szCs w:val="20"/>
              </w:rPr>
            </w:pPr>
            <w:r w:rsidRPr="00075237">
              <w:rPr>
                <w:color w:val="000000"/>
                <w:sz w:val="20"/>
                <w:szCs w:val="20"/>
              </w:rPr>
              <w:t>HCFC-141b</w:t>
            </w:r>
          </w:p>
        </w:tc>
        <w:tc>
          <w:tcPr>
            <w:tcW w:w="557" w:type="pct"/>
            <w:tcBorders>
              <w:top w:val="nil"/>
              <w:left w:val="single" w:sz="4" w:space="0" w:color="auto"/>
              <w:bottom w:val="single" w:sz="4" w:space="0" w:color="auto"/>
              <w:right w:val="single" w:sz="4" w:space="0" w:color="auto"/>
            </w:tcBorders>
            <w:hideMark/>
          </w:tcPr>
          <w:p w14:paraId="22E0CBA8" w14:textId="77777777" w:rsidR="002B75B4" w:rsidRPr="00075237" w:rsidRDefault="002B75B4" w:rsidP="00C30F95">
            <w:pPr>
              <w:jc w:val="right"/>
              <w:rPr>
                <w:color w:val="000000"/>
                <w:sz w:val="20"/>
                <w:szCs w:val="20"/>
              </w:rPr>
            </w:pPr>
            <w:r w:rsidRPr="00075237">
              <w:rPr>
                <w:color w:val="000000"/>
                <w:sz w:val="20"/>
                <w:szCs w:val="20"/>
              </w:rPr>
              <w:t>495,50</w:t>
            </w:r>
          </w:p>
        </w:tc>
        <w:tc>
          <w:tcPr>
            <w:tcW w:w="556" w:type="pct"/>
            <w:tcBorders>
              <w:top w:val="nil"/>
              <w:left w:val="single" w:sz="4" w:space="0" w:color="auto"/>
              <w:bottom w:val="single" w:sz="4" w:space="0" w:color="auto"/>
              <w:right w:val="single" w:sz="4" w:space="0" w:color="auto"/>
            </w:tcBorders>
            <w:hideMark/>
          </w:tcPr>
          <w:p w14:paraId="24F1B550" w14:textId="77777777" w:rsidR="002B75B4" w:rsidRPr="00075237" w:rsidRDefault="002B75B4" w:rsidP="00C30F95">
            <w:pPr>
              <w:jc w:val="right"/>
              <w:rPr>
                <w:color w:val="000000"/>
                <w:sz w:val="20"/>
                <w:szCs w:val="20"/>
              </w:rPr>
            </w:pPr>
            <w:r w:rsidRPr="00075237">
              <w:rPr>
                <w:color w:val="000000"/>
                <w:sz w:val="20"/>
                <w:szCs w:val="20"/>
              </w:rPr>
              <w:t>73,00</w:t>
            </w:r>
          </w:p>
        </w:tc>
        <w:tc>
          <w:tcPr>
            <w:tcW w:w="556" w:type="pct"/>
            <w:tcBorders>
              <w:top w:val="nil"/>
              <w:left w:val="single" w:sz="4" w:space="0" w:color="auto"/>
              <w:bottom w:val="single" w:sz="4" w:space="0" w:color="auto"/>
              <w:right w:val="single" w:sz="4" w:space="0" w:color="auto"/>
            </w:tcBorders>
            <w:hideMark/>
          </w:tcPr>
          <w:p w14:paraId="67C58A43" w14:textId="77777777" w:rsidR="002B75B4" w:rsidRPr="00075237" w:rsidRDefault="002B75B4" w:rsidP="00C30F95">
            <w:pPr>
              <w:jc w:val="right"/>
              <w:rPr>
                <w:color w:val="000000"/>
                <w:sz w:val="20"/>
                <w:szCs w:val="20"/>
              </w:rPr>
            </w:pPr>
            <w:r w:rsidRPr="00075237">
              <w:rPr>
                <w:color w:val="000000"/>
                <w:sz w:val="20"/>
                <w:szCs w:val="20"/>
              </w:rPr>
              <w:t>73,25</w:t>
            </w:r>
          </w:p>
        </w:tc>
        <w:tc>
          <w:tcPr>
            <w:tcW w:w="554" w:type="pct"/>
            <w:tcBorders>
              <w:top w:val="nil"/>
              <w:left w:val="single" w:sz="4" w:space="0" w:color="auto"/>
              <w:bottom w:val="single" w:sz="4" w:space="0" w:color="auto"/>
              <w:right w:val="single" w:sz="4" w:space="0" w:color="auto"/>
            </w:tcBorders>
          </w:tcPr>
          <w:p w14:paraId="20562221" w14:textId="77777777" w:rsidR="002B75B4" w:rsidRPr="00075237" w:rsidRDefault="002B75B4" w:rsidP="00C30F95">
            <w:pPr>
              <w:jc w:val="right"/>
              <w:rPr>
                <w:color w:val="000000"/>
                <w:sz w:val="20"/>
                <w:szCs w:val="20"/>
              </w:rPr>
            </w:pPr>
            <w:r w:rsidRPr="00075237">
              <w:rPr>
                <w:color w:val="000000"/>
                <w:sz w:val="20"/>
                <w:szCs w:val="20"/>
              </w:rPr>
              <w:t>66,00</w:t>
            </w:r>
          </w:p>
        </w:tc>
        <w:tc>
          <w:tcPr>
            <w:tcW w:w="556" w:type="pct"/>
            <w:tcBorders>
              <w:top w:val="nil"/>
              <w:left w:val="single" w:sz="4" w:space="0" w:color="auto"/>
              <w:bottom w:val="single" w:sz="4" w:space="0" w:color="auto"/>
              <w:right w:val="single" w:sz="4" w:space="0" w:color="auto"/>
            </w:tcBorders>
          </w:tcPr>
          <w:p w14:paraId="23681425" w14:textId="77777777" w:rsidR="002B75B4" w:rsidRPr="00075237" w:rsidRDefault="002B75B4" w:rsidP="00C30F95">
            <w:pPr>
              <w:jc w:val="right"/>
              <w:rPr>
                <w:color w:val="000000"/>
                <w:sz w:val="20"/>
                <w:szCs w:val="20"/>
              </w:rPr>
            </w:pPr>
            <w:r w:rsidRPr="00075237">
              <w:rPr>
                <w:color w:val="000000"/>
                <w:sz w:val="20"/>
                <w:szCs w:val="20"/>
              </w:rPr>
              <w:t>66,00</w:t>
            </w:r>
          </w:p>
        </w:tc>
        <w:tc>
          <w:tcPr>
            <w:tcW w:w="554" w:type="pct"/>
            <w:tcBorders>
              <w:top w:val="nil"/>
              <w:left w:val="single" w:sz="4" w:space="0" w:color="auto"/>
              <w:bottom w:val="single" w:sz="4" w:space="0" w:color="auto"/>
              <w:right w:val="single" w:sz="4" w:space="0" w:color="auto"/>
            </w:tcBorders>
            <w:noWrap/>
            <w:hideMark/>
          </w:tcPr>
          <w:p w14:paraId="6AD9A635" w14:textId="77777777" w:rsidR="002B75B4" w:rsidRPr="00075237" w:rsidRDefault="002B75B4" w:rsidP="00C30F95">
            <w:pPr>
              <w:jc w:val="right"/>
              <w:rPr>
                <w:color w:val="000000"/>
                <w:sz w:val="20"/>
                <w:szCs w:val="20"/>
              </w:rPr>
            </w:pPr>
            <w:r w:rsidRPr="00075237">
              <w:rPr>
                <w:color w:val="000000"/>
                <w:sz w:val="20"/>
                <w:szCs w:val="20"/>
              </w:rPr>
              <w:t>1 259,10</w:t>
            </w:r>
          </w:p>
        </w:tc>
      </w:tr>
      <w:tr w:rsidR="002B75B4" w:rsidRPr="00075237" w14:paraId="67DCAA43"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825A8F6" w14:textId="77777777" w:rsidR="002B75B4" w:rsidRPr="00075237" w:rsidRDefault="002B75B4" w:rsidP="00C30F95">
            <w:pPr>
              <w:widowControl w:val="0"/>
              <w:jc w:val="left"/>
              <w:rPr>
                <w:color w:val="000000"/>
                <w:sz w:val="20"/>
                <w:szCs w:val="20"/>
              </w:rPr>
            </w:pPr>
            <w:r w:rsidRPr="00075237">
              <w:rPr>
                <w:color w:val="000000"/>
                <w:sz w:val="20"/>
                <w:szCs w:val="20"/>
              </w:rPr>
              <w:t>HCFC-142b</w:t>
            </w:r>
          </w:p>
        </w:tc>
        <w:tc>
          <w:tcPr>
            <w:tcW w:w="557" w:type="pct"/>
            <w:tcBorders>
              <w:top w:val="nil"/>
              <w:left w:val="single" w:sz="4" w:space="0" w:color="auto"/>
              <w:bottom w:val="single" w:sz="4" w:space="0" w:color="auto"/>
              <w:right w:val="single" w:sz="4" w:space="0" w:color="auto"/>
            </w:tcBorders>
            <w:hideMark/>
          </w:tcPr>
          <w:p w14:paraId="57CFD190" w14:textId="77777777" w:rsidR="002B75B4" w:rsidRPr="00075237" w:rsidRDefault="002B75B4" w:rsidP="00C30F95">
            <w:pPr>
              <w:jc w:val="right"/>
              <w:rPr>
                <w:color w:val="000000"/>
                <w:sz w:val="20"/>
                <w:szCs w:val="20"/>
              </w:rPr>
            </w:pPr>
            <w:r w:rsidRPr="00075237">
              <w:rPr>
                <w:color w:val="000000"/>
                <w:sz w:val="20"/>
                <w:szCs w:val="20"/>
              </w:rPr>
              <w:t>44,00</w:t>
            </w:r>
          </w:p>
        </w:tc>
        <w:tc>
          <w:tcPr>
            <w:tcW w:w="556" w:type="pct"/>
            <w:tcBorders>
              <w:top w:val="nil"/>
              <w:left w:val="single" w:sz="4" w:space="0" w:color="auto"/>
              <w:bottom w:val="single" w:sz="4" w:space="0" w:color="auto"/>
              <w:right w:val="single" w:sz="4" w:space="0" w:color="auto"/>
            </w:tcBorders>
            <w:hideMark/>
          </w:tcPr>
          <w:p w14:paraId="5AA7663D" w14:textId="77777777" w:rsidR="002B75B4" w:rsidRPr="00075237" w:rsidRDefault="002B75B4" w:rsidP="00C30F95">
            <w:pPr>
              <w:jc w:val="right"/>
              <w:rPr>
                <w:color w:val="000000"/>
                <w:sz w:val="20"/>
                <w:szCs w:val="20"/>
              </w:rPr>
            </w:pPr>
            <w:r w:rsidRPr="00075237">
              <w:rPr>
                <w:color w:val="000000"/>
                <w:sz w:val="20"/>
                <w:szCs w:val="20"/>
              </w:rPr>
              <w:t>46,00</w:t>
            </w:r>
          </w:p>
        </w:tc>
        <w:tc>
          <w:tcPr>
            <w:tcW w:w="556" w:type="pct"/>
            <w:tcBorders>
              <w:top w:val="nil"/>
              <w:left w:val="single" w:sz="4" w:space="0" w:color="auto"/>
              <w:bottom w:val="single" w:sz="4" w:space="0" w:color="auto"/>
              <w:right w:val="single" w:sz="4" w:space="0" w:color="auto"/>
            </w:tcBorders>
            <w:hideMark/>
          </w:tcPr>
          <w:p w14:paraId="630A25B3" w14:textId="77777777" w:rsidR="002B75B4" w:rsidRPr="00075237" w:rsidRDefault="002B75B4" w:rsidP="00C30F95">
            <w:pPr>
              <w:jc w:val="right"/>
              <w:rPr>
                <w:color w:val="000000"/>
                <w:sz w:val="20"/>
                <w:szCs w:val="20"/>
              </w:rPr>
            </w:pPr>
            <w:r w:rsidRPr="00075237">
              <w:rPr>
                <w:color w:val="000000"/>
                <w:sz w:val="20"/>
                <w:szCs w:val="20"/>
              </w:rPr>
              <w:t>0,00</w:t>
            </w:r>
          </w:p>
        </w:tc>
        <w:tc>
          <w:tcPr>
            <w:tcW w:w="554" w:type="pct"/>
            <w:tcBorders>
              <w:top w:val="nil"/>
              <w:left w:val="single" w:sz="4" w:space="0" w:color="auto"/>
              <w:bottom w:val="single" w:sz="4" w:space="0" w:color="auto"/>
              <w:right w:val="single" w:sz="4" w:space="0" w:color="auto"/>
            </w:tcBorders>
          </w:tcPr>
          <w:p w14:paraId="17552151" w14:textId="77777777" w:rsidR="002B75B4" w:rsidRPr="00075237" w:rsidRDefault="002B75B4" w:rsidP="00C30F95">
            <w:pPr>
              <w:jc w:val="right"/>
              <w:rPr>
                <w:color w:val="000000"/>
                <w:sz w:val="20"/>
                <w:szCs w:val="20"/>
              </w:rPr>
            </w:pPr>
            <w:r w:rsidRPr="00075237">
              <w:rPr>
                <w:color w:val="000000"/>
                <w:sz w:val="20"/>
                <w:szCs w:val="20"/>
              </w:rPr>
              <w:t>0,00</w:t>
            </w:r>
          </w:p>
        </w:tc>
        <w:tc>
          <w:tcPr>
            <w:tcW w:w="556" w:type="pct"/>
            <w:tcBorders>
              <w:top w:val="nil"/>
              <w:left w:val="single" w:sz="4" w:space="0" w:color="auto"/>
              <w:bottom w:val="single" w:sz="4" w:space="0" w:color="auto"/>
              <w:right w:val="single" w:sz="4" w:space="0" w:color="auto"/>
            </w:tcBorders>
          </w:tcPr>
          <w:p w14:paraId="37EBD95F" w14:textId="77777777" w:rsidR="002B75B4" w:rsidRPr="00075237" w:rsidRDefault="002B75B4" w:rsidP="00C30F95">
            <w:pPr>
              <w:jc w:val="right"/>
              <w:rPr>
                <w:color w:val="000000"/>
                <w:sz w:val="20"/>
                <w:szCs w:val="20"/>
              </w:rPr>
            </w:pPr>
            <w:r w:rsidRPr="00075237">
              <w:rPr>
                <w:color w:val="000000"/>
                <w:sz w:val="20"/>
                <w:szCs w:val="20"/>
              </w:rPr>
              <w:t>0,00</w:t>
            </w:r>
          </w:p>
        </w:tc>
        <w:tc>
          <w:tcPr>
            <w:tcW w:w="554" w:type="pct"/>
            <w:tcBorders>
              <w:top w:val="nil"/>
              <w:left w:val="single" w:sz="4" w:space="0" w:color="auto"/>
              <w:bottom w:val="single" w:sz="4" w:space="0" w:color="auto"/>
              <w:right w:val="single" w:sz="4" w:space="0" w:color="auto"/>
            </w:tcBorders>
            <w:noWrap/>
            <w:hideMark/>
          </w:tcPr>
          <w:p w14:paraId="6DFEED26" w14:textId="77777777" w:rsidR="002B75B4" w:rsidRPr="00075237" w:rsidRDefault="002B75B4" w:rsidP="00C30F95">
            <w:pPr>
              <w:jc w:val="right"/>
              <w:rPr>
                <w:color w:val="000000"/>
                <w:sz w:val="20"/>
                <w:szCs w:val="20"/>
              </w:rPr>
            </w:pPr>
            <w:r w:rsidRPr="00075237">
              <w:rPr>
                <w:color w:val="000000"/>
                <w:sz w:val="20"/>
                <w:szCs w:val="20"/>
              </w:rPr>
              <w:t>71,55</w:t>
            </w:r>
          </w:p>
        </w:tc>
      </w:tr>
      <w:tr w:rsidR="002B75B4" w:rsidRPr="00075237" w14:paraId="0D15C019"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77CB611" w14:textId="77777777" w:rsidR="002B75B4" w:rsidRPr="00075237" w:rsidRDefault="002B75B4" w:rsidP="00C30F95">
            <w:pPr>
              <w:jc w:val="left"/>
              <w:rPr>
                <w:rFonts w:eastAsiaTheme="minorHAnsi"/>
                <w:b/>
                <w:color w:val="000000"/>
                <w:sz w:val="20"/>
                <w:szCs w:val="20"/>
              </w:rPr>
            </w:pPr>
            <w:r w:rsidRPr="00075237">
              <w:rPr>
                <w:b/>
                <w:color w:val="000000"/>
                <w:sz w:val="20"/>
                <w:szCs w:val="20"/>
              </w:rPr>
              <w:t>Total (tm)</w:t>
            </w:r>
          </w:p>
        </w:tc>
        <w:tc>
          <w:tcPr>
            <w:tcW w:w="557" w:type="pct"/>
            <w:tcBorders>
              <w:top w:val="nil"/>
              <w:left w:val="single" w:sz="4" w:space="0" w:color="auto"/>
              <w:bottom w:val="single" w:sz="4" w:space="0" w:color="auto"/>
              <w:right w:val="single" w:sz="4" w:space="0" w:color="auto"/>
            </w:tcBorders>
            <w:hideMark/>
          </w:tcPr>
          <w:p w14:paraId="266168F8" w14:textId="77777777" w:rsidR="002B75B4" w:rsidRPr="00075237" w:rsidRDefault="002B75B4" w:rsidP="00C30F95">
            <w:pPr>
              <w:jc w:val="right"/>
              <w:rPr>
                <w:b/>
                <w:bCs/>
                <w:color w:val="000000"/>
                <w:sz w:val="20"/>
                <w:szCs w:val="20"/>
              </w:rPr>
            </w:pPr>
            <w:r w:rsidRPr="00075237">
              <w:rPr>
                <w:b/>
                <w:bCs/>
                <w:color w:val="000000"/>
                <w:sz w:val="20"/>
                <w:szCs w:val="20"/>
              </w:rPr>
              <w:t>3 291,91</w:t>
            </w:r>
          </w:p>
        </w:tc>
        <w:tc>
          <w:tcPr>
            <w:tcW w:w="556" w:type="pct"/>
            <w:tcBorders>
              <w:top w:val="nil"/>
              <w:left w:val="single" w:sz="4" w:space="0" w:color="auto"/>
              <w:bottom w:val="single" w:sz="4" w:space="0" w:color="auto"/>
              <w:right w:val="single" w:sz="4" w:space="0" w:color="auto"/>
            </w:tcBorders>
            <w:hideMark/>
          </w:tcPr>
          <w:p w14:paraId="0204ADD1" w14:textId="77777777" w:rsidR="002B75B4" w:rsidRPr="00075237" w:rsidRDefault="002B75B4" w:rsidP="00C30F95">
            <w:pPr>
              <w:jc w:val="right"/>
              <w:rPr>
                <w:b/>
                <w:bCs/>
                <w:color w:val="000000"/>
                <w:sz w:val="20"/>
                <w:szCs w:val="20"/>
              </w:rPr>
            </w:pPr>
            <w:r w:rsidRPr="00075237">
              <w:rPr>
                <w:b/>
                <w:bCs/>
                <w:color w:val="000000"/>
                <w:sz w:val="20"/>
                <w:szCs w:val="20"/>
              </w:rPr>
              <w:t>2 140,71</w:t>
            </w:r>
          </w:p>
        </w:tc>
        <w:tc>
          <w:tcPr>
            <w:tcW w:w="556" w:type="pct"/>
            <w:tcBorders>
              <w:top w:val="nil"/>
              <w:left w:val="single" w:sz="4" w:space="0" w:color="auto"/>
              <w:bottom w:val="single" w:sz="4" w:space="0" w:color="auto"/>
              <w:right w:val="single" w:sz="4" w:space="0" w:color="auto"/>
            </w:tcBorders>
            <w:hideMark/>
          </w:tcPr>
          <w:p w14:paraId="088CD57D" w14:textId="77777777" w:rsidR="002B75B4" w:rsidRPr="00075237" w:rsidRDefault="002B75B4" w:rsidP="00C30F95">
            <w:pPr>
              <w:jc w:val="right"/>
              <w:rPr>
                <w:b/>
                <w:bCs/>
                <w:color w:val="000000"/>
                <w:sz w:val="20"/>
                <w:szCs w:val="20"/>
              </w:rPr>
            </w:pPr>
            <w:r w:rsidRPr="00075237">
              <w:rPr>
                <w:b/>
                <w:bCs/>
                <w:color w:val="000000"/>
                <w:sz w:val="20"/>
                <w:szCs w:val="20"/>
              </w:rPr>
              <w:t>2 119,24</w:t>
            </w:r>
          </w:p>
        </w:tc>
        <w:tc>
          <w:tcPr>
            <w:tcW w:w="554" w:type="pct"/>
            <w:tcBorders>
              <w:top w:val="nil"/>
              <w:left w:val="single" w:sz="4" w:space="0" w:color="auto"/>
              <w:bottom w:val="single" w:sz="4" w:space="0" w:color="auto"/>
              <w:right w:val="single" w:sz="4" w:space="0" w:color="auto"/>
            </w:tcBorders>
          </w:tcPr>
          <w:p w14:paraId="1DE6D67C" w14:textId="77777777" w:rsidR="002B75B4" w:rsidRPr="00075237" w:rsidRDefault="002B75B4" w:rsidP="00C30F95">
            <w:pPr>
              <w:jc w:val="right"/>
              <w:rPr>
                <w:b/>
                <w:bCs/>
                <w:color w:val="000000"/>
                <w:sz w:val="20"/>
                <w:szCs w:val="20"/>
              </w:rPr>
            </w:pPr>
            <w:r w:rsidRPr="00075237">
              <w:rPr>
                <w:b/>
                <w:bCs/>
                <w:color w:val="000000"/>
                <w:sz w:val="20"/>
                <w:szCs w:val="20"/>
              </w:rPr>
              <w:t>2 099,85</w:t>
            </w:r>
          </w:p>
        </w:tc>
        <w:tc>
          <w:tcPr>
            <w:tcW w:w="556" w:type="pct"/>
            <w:tcBorders>
              <w:top w:val="nil"/>
              <w:left w:val="single" w:sz="4" w:space="0" w:color="auto"/>
              <w:bottom w:val="single" w:sz="4" w:space="0" w:color="auto"/>
              <w:right w:val="single" w:sz="4" w:space="0" w:color="auto"/>
            </w:tcBorders>
          </w:tcPr>
          <w:p w14:paraId="3BBF14C0" w14:textId="77777777" w:rsidR="002B75B4" w:rsidRPr="00075237" w:rsidRDefault="002B75B4" w:rsidP="00C30F95">
            <w:pPr>
              <w:jc w:val="right"/>
              <w:rPr>
                <w:b/>
                <w:bCs/>
                <w:color w:val="000000"/>
                <w:sz w:val="20"/>
                <w:szCs w:val="20"/>
              </w:rPr>
            </w:pPr>
            <w:r w:rsidRPr="00075237">
              <w:rPr>
                <w:b/>
                <w:bCs/>
                <w:color w:val="000000"/>
                <w:sz w:val="20"/>
                <w:szCs w:val="20"/>
              </w:rPr>
              <w:t>2 097,21</w:t>
            </w:r>
          </w:p>
        </w:tc>
        <w:tc>
          <w:tcPr>
            <w:tcW w:w="554" w:type="pct"/>
            <w:tcBorders>
              <w:top w:val="nil"/>
              <w:left w:val="single" w:sz="4" w:space="0" w:color="auto"/>
              <w:bottom w:val="single" w:sz="4" w:space="0" w:color="auto"/>
              <w:right w:val="single" w:sz="4" w:space="0" w:color="auto"/>
            </w:tcBorders>
            <w:noWrap/>
            <w:hideMark/>
          </w:tcPr>
          <w:p w14:paraId="2C8BDFCF" w14:textId="77777777" w:rsidR="002B75B4" w:rsidRPr="00075237" w:rsidRDefault="002B75B4" w:rsidP="00C30F95">
            <w:pPr>
              <w:jc w:val="right"/>
              <w:rPr>
                <w:b/>
                <w:bCs/>
                <w:color w:val="000000"/>
                <w:sz w:val="20"/>
                <w:szCs w:val="20"/>
              </w:rPr>
            </w:pPr>
            <w:r w:rsidRPr="00075237">
              <w:rPr>
                <w:b/>
                <w:bCs/>
                <w:color w:val="000000"/>
                <w:sz w:val="20"/>
                <w:szCs w:val="20"/>
              </w:rPr>
              <w:t>3 238,90</w:t>
            </w:r>
          </w:p>
        </w:tc>
      </w:tr>
      <w:tr w:rsidR="002B75B4" w:rsidRPr="00075237" w14:paraId="553E91AA" w14:textId="77777777" w:rsidTr="00C30F95">
        <w:trPr>
          <w:trHeight w:val="170"/>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67745E4" w14:textId="77777777" w:rsidR="002B75B4" w:rsidRPr="00075237" w:rsidRDefault="002B75B4" w:rsidP="00C30F95">
            <w:pPr>
              <w:widowControl w:val="0"/>
              <w:jc w:val="left"/>
              <w:rPr>
                <w:b/>
                <w:bCs/>
                <w:color w:val="000000"/>
                <w:sz w:val="20"/>
                <w:szCs w:val="20"/>
              </w:rPr>
            </w:pPr>
            <w:r w:rsidRPr="00075237">
              <w:rPr>
                <w:color w:val="000000"/>
                <w:sz w:val="20"/>
                <w:szCs w:val="20"/>
              </w:rPr>
              <w:t>HCFC-141b dans les polyols prémélangés importés*</w:t>
            </w:r>
          </w:p>
        </w:tc>
        <w:tc>
          <w:tcPr>
            <w:tcW w:w="557" w:type="pct"/>
            <w:tcBorders>
              <w:top w:val="single" w:sz="4" w:space="0" w:color="auto"/>
              <w:left w:val="single" w:sz="4" w:space="0" w:color="auto"/>
              <w:bottom w:val="single" w:sz="4" w:space="0" w:color="auto"/>
              <w:right w:val="single" w:sz="4" w:space="0" w:color="auto"/>
            </w:tcBorders>
            <w:hideMark/>
          </w:tcPr>
          <w:p w14:paraId="78C10840" w14:textId="77777777" w:rsidR="002B75B4" w:rsidRPr="00075237" w:rsidRDefault="002B75B4" w:rsidP="00C30F95">
            <w:pPr>
              <w:widowControl w:val="0"/>
              <w:jc w:val="right"/>
              <w:rPr>
                <w:color w:val="000000"/>
                <w:sz w:val="20"/>
                <w:szCs w:val="20"/>
              </w:rPr>
            </w:pPr>
            <w:r w:rsidRPr="00075237">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206689F2" w14:textId="77777777" w:rsidR="002B75B4" w:rsidRPr="00075237" w:rsidRDefault="002B75B4" w:rsidP="00C30F95">
            <w:pPr>
              <w:widowControl w:val="0"/>
              <w:jc w:val="right"/>
              <w:rPr>
                <w:color w:val="000000"/>
                <w:sz w:val="20"/>
                <w:szCs w:val="20"/>
              </w:rPr>
            </w:pPr>
            <w:r w:rsidRPr="00075237">
              <w:rPr>
                <w:color w:val="000000"/>
                <w:sz w:val="20"/>
                <w:szCs w:val="20"/>
              </w:rPr>
              <w:t>690,00</w:t>
            </w:r>
          </w:p>
        </w:tc>
        <w:tc>
          <w:tcPr>
            <w:tcW w:w="556" w:type="pct"/>
            <w:tcBorders>
              <w:top w:val="single" w:sz="4" w:space="0" w:color="auto"/>
              <w:left w:val="single" w:sz="4" w:space="0" w:color="auto"/>
              <w:bottom w:val="single" w:sz="4" w:space="0" w:color="auto"/>
              <w:right w:val="single" w:sz="4" w:space="0" w:color="auto"/>
            </w:tcBorders>
            <w:hideMark/>
          </w:tcPr>
          <w:p w14:paraId="18C6C4C9" w14:textId="77777777" w:rsidR="002B75B4" w:rsidRPr="00075237" w:rsidRDefault="002B75B4" w:rsidP="00C30F95">
            <w:pPr>
              <w:widowControl w:val="0"/>
              <w:jc w:val="right"/>
              <w:rPr>
                <w:color w:val="000000"/>
                <w:sz w:val="20"/>
                <w:szCs w:val="20"/>
              </w:rPr>
            </w:pPr>
            <w:r w:rsidRPr="00075237">
              <w:rPr>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tcPr>
          <w:p w14:paraId="1C780B85" w14:textId="77777777" w:rsidR="002B75B4" w:rsidRPr="00075237" w:rsidRDefault="002B75B4" w:rsidP="00C30F95">
            <w:pPr>
              <w:widowControl w:val="0"/>
              <w:jc w:val="right"/>
              <w:rPr>
                <w:color w:val="000000"/>
                <w:sz w:val="20"/>
                <w:szCs w:val="20"/>
              </w:rPr>
            </w:pPr>
            <w:r w:rsidRPr="00075237">
              <w:rPr>
                <w:color w:val="000000"/>
                <w:sz w:val="20"/>
                <w:szCs w:val="20"/>
              </w:rPr>
              <w:t>119,00</w:t>
            </w:r>
          </w:p>
        </w:tc>
        <w:tc>
          <w:tcPr>
            <w:tcW w:w="556" w:type="pct"/>
            <w:tcBorders>
              <w:top w:val="single" w:sz="4" w:space="0" w:color="auto"/>
              <w:left w:val="single" w:sz="4" w:space="0" w:color="auto"/>
              <w:bottom w:val="single" w:sz="4" w:space="0" w:color="auto"/>
              <w:right w:val="single" w:sz="4" w:space="0" w:color="auto"/>
            </w:tcBorders>
          </w:tcPr>
          <w:p w14:paraId="445E9F25" w14:textId="77777777" w:rsidR="002B75B4" w:rsidRPr="00075237" w:rsidRDefault="002B75B4" w:rsidP="00C30F95">
            <w:pPr>
              <w:widowControl w:val="0"/>
              <w:jc w:val="right"/>
              <w:rPr>
                <w:color w:val="000000"/>
                <w:sz w:val="20"/>
                <w:szCs w:val="20"/>
              </w:rPr>
            </w:pPr>
            <w:r w:rsidRPr="00075237">
              <w:rPr>
                <w:color w:val="000000"/>
                <w:sz w:val="20"/>
                <w:szCs w:val="20"/>
              </w:rPr>
              <w:t>317,47</w:t>
            </w:r>
          </w:p>
        </w:tc>
        <w:tc>
          <w:tcPr>
            <w:tcW w:w="554" w:type="pct"/>
            <w:tcBorders>
              <w:top w:val="single" w:sz="4" w:space="0" w:color="auto"/>
              <w:left w:val="single" w:sz="4" w:space="0" w:color="auto"/>
              <w:bottom w:val="single" w:sz="4" w:space="0" w:color="auto"/>
              <w:right w:val="single" w:sz="4" w:space="0" w:color="auto"/>
            </w:tcBorders>
            <w:noWrap/>
            <w:hideMark/>
          </w:tcPr>
          <w:p w14:paraId="7D0C2042" w14:textId="77777777" w:rsidR="002B75B4" w:rsidRPr="00075237" w:rsidRDefault="002B75B4" w:rsidP="00C30F95">
            <w:pPr>
              <w:widowControl w:val="0"/>
              <w:jc w:val="right"/>
              <w:rPr>
                <w:color w:val="000000"/>
                <w:sz w:val="20"/>
                <w:szCs w:val="20"/>
              </w:rPr>
            </w:pPr>
            <w:r w:rsidRPr="00075237">
              <w:rPr>
                <w:color w:val="000000"/>
                <w:sz w:val="20"/>
                <w:szCs w:val="20"/>
              </w:rPr>
              <w:t>s. o.</w:t>
            </w:r>
          </w:p>
        </w:tc>
      </w:tr>
      <w:tr w:rsidR="002B75B4" w:rsidRPr="00075237" w14:paraId="42E2CD41"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C67132D" w14:textId="77777777" w:rsidR="002B75B4" w:rsidRPr="00075237" w:rsidRDefault="002B75B4" w:rsidP="00C30F95">
            <w:pPr>
              <w:widowControl w:val="0"/>
              <w:jc w:val="left"/>
              <w:rPr>
                <w:b/>
                <w:bCs/>
                <w:color w:val="000000"/>
                <w:sz w:val="20"/>
                <w:szCs w:val="20"/>
              </w:rPr>
            </w:pPr>
            <w:r w:rsidRPr="00075237">
              <w:rPr>
                <w:b/>
                <w:bCs/>
                <w:color w:val="000000"/>
                <w:sz w:val="20"/>
                <w:szCs w:val="20"/>
              </w:rPr>
              <w:t>Tonnes PAO</w:t>
            </w:r>
          </w:p>
        </w:tc>
        <w:tc>
          <w:tcPr>
            <w:tcW w:w="557" w:type="pct"/>
            <w:tcBorders>
              <w:top w:val="single" w:sz="4" w:space="0" w:color="auto"/>
              <w:left w:val="single" w:sz="4" w:space="0" w:color="auto"/>
              <w:bottom w:val="single" w:sz="4" w:space="0" w:color="auto"/>
              <w:right w:val="single" w:sz="4" w:space="0" w:color="auto"/>
            </w:tcBorders>
          </w:tcPr>
          <w:p w14:paraId="79579F2E" w14:textId="77777777" w:rsidR="002B75B4" w:rsidRPr="00075237" w:rsidRDefault="002B75B4" w:rsidP="00C30F95">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31828EE3" w14:textId="77777777" w:rsidR="002B75B4" w:rsidRPr="00075237" w:rsidRDefault="002B75B4" w:rsidP="00C30F95">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78B078F2" w14:textId="77777777" w:rsidR="002B75B4" w:rsidRPr="00075237" w:rsidRDefault="002B75B4" w:rsidP="00C30F95">
            <w:pPr>
              <w:widowControl w:val="0"/>
              <w:jc w:val="right"/>
              <w:rPr>
                <w:color w:val="000000"/>
                <w:sz w:val="20"/>
                <w:szCs w:val="20"/>
              </w:rPr>
            </w:pPr>
          </w:p>
        </w:tc>
        <w:tc>
          <w:tcPr>
            <w:tcW w:w="554" w:type="pct"/>
            <w:tcBorders>
              <w:top w:val="single" w:sz="4" w:space="0" w:color="auto"/>
              <w:left w:val="single" w:sz="4" w:space="0" w:color="auto"/>
              <w:bottom w:val="single" w:sz="4" w:space="0" w:color="auto"/>
              <w:right w:val="single" w:sz="4" w:space="0" w:color="auto"/>
            </w:tcBorders>
          </w:tcPr>
          <w:p w14:paraId="251CDDFE" w14:textId="77777777" w:rsidR="002B75B4" w:rsidRPr="00075237" w:rsidRDefault="002B75B4" w:rsidP="00C30F95">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5F7D1956" w14:textId="77777777" w:rsidR="002B75B4" w:rsidRPr="00075237" w:rsidRDefault="002B75B4" w:rsidP="00C30F95">
            <w:pPr>
              <w:widowControl w:val="0"/>
              <w:jc w:val="right"/>
              <w:rPr>
                <w:color w:val="000000"/>
                <w:sz w:val="20"/>
                <w:szCs w:val="20"/>
              </w:rPr>
            </w:pPr>
          </w:p>
        </w:tc>
        <w:tc>
          <w:tcPr>
            <w:tcW w:w="554" w:type="pct"/>
            <w:tcBorders>
              <w:top w:val="single" w:sz="4" w:space="0" w:color="auto"/>
              <w:left w:val="single" w:sz="4" w:space="0" w:color="auto"/>
              <w:bottom w:val="single" w:sz="4" w:space="0" w:color="auto"/>
              <w:right w:val="single" w:sz="4" w:space="0" w:color="auto"/>
            </w:tcBorders>
            <w:noWrap/>
          </w:tcPr>
          <w:p w14:paraId="5D41DDB2" w14:textId="77777777" w:rsidR="002B75B4" w:rsidRPr="00075237" w:rsidRDefault="002B75B4" w:rsidP="00C30F95">
            <w:pPr>
              <w:widowControl w:val="0"/>
              <w:jc w:val="right"/>
              <w:rPr>
                <w:color w:val="000000"/>
                <w:sz w:val="20"/>
                <w:szCs w:val="20"/>
              </w:rPr>
            </w:pPr>
          </w:p>
        </w:tc>
      </w:tr>
      <w:tr w:rsidR="002B75B4" w:rsidRPr="00075237" w14:paraId="45BA2E9E"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1E91D6B" w14:textId="77777777" w:rsidR="002B75B4" w:rsidRPr="00075237" w:rsidRDefault="002B75B4" w:rsidP="00C30F95">
            <w:pPr>
              <w:widowControl w:val="0"/>
              <w:jc w:val="left"/>
              <w:rPr>
                <w:color w:val="000000"/>
                <w:sz w:val="20"/>
                <w:szCs w:val="20"/>
              </w:rPr>
            </w:pPr>
            <w:r w:rsidRPr="00075237">
              <w:rPr>
                <w:color w:val="000000"/>
                <w:sz w:val="20"/>
                <w:szCs w:val="20"/>
              </w:rPr>
              <w:t>HCFC-22</w:t>
            </w:r>
          </w:p>
        </w:tc>
        <w:tc>
          <w:tcPr>
            <w:tcW w:w="557" w:type="pct"/>
            <w:tcBorders>
              <w:top w:val="single" w:sz="4" w:space="0" w:color="auto"/>
              <w:left w:val="single" w:sz="4" w:space="0" w:color="auto"/>
              <w:bottom w:val="single" w:sz="4" w:space="0" w:color="auto"/>
              <w:right w:val="single" w:sz="4" w:space="0" w:color="auto"/>
            </w:tcBorders>
            <w:hideMark/>
          </w:tcPr>
          <w:p w14:paraId="371A4D71" w14:textId="77777777" w:rsidR="002B75B4" w:rsidRPr="00075237" w:rsidRDefault="002B75B4" w:rsidP="00C30F95">
            <w:pPr>
              <w:jc w:val="right"/>
              <w:rPr>
                <w:color w:val="000000"/>
                <w:sz w:val="20"/>
                <w:szCs w:val="20"/>
              </w:rPr>
            </w:pPr>
            <w:r w:rsidRPr="00075237">
              <w:rPr>
                <w:color w:val="000000"/>
                <w:sz w:val="20"/>
                <w:szCs w:val="20"/>
              </w:rPr>
              <w:t>151,38</w:t>
            </w:r>
          </w:p>
        </w:tc>
        <w:tc>
          <w:tcPr>
            <w:tcW w:w="556" w:type="pct"/>
            <w:tcBorders>
              <w:top w:val="single" w:sz="4" w:space="0" w:color="auto"/>
              <w:left w:val="single" w:sz="4" w:space="0" w:color="auto"/>
              <w:bottom w:val="single" w:sz="4" w:space="0" w:color="auto"/>
              <w:right w:val="single" w:sz="4" w:space="0" w:color="auto"/>
            </w:tcBorders>
            <w:hideMark/>
          </w:tcPr>
          <w:p w14:paraId="0719AB0A" w14:textId="77777777" w:rsidR="002B75B4" w:rsidRPr="00075237" w:rsidRDefault="002B75B4" w:rsidP="00C30F95">
            <w:pPr>
              <w:jc w:val="right"/>
              <w:rPr>
                <w:color w:val="000000"/>
                <w:sz w:val="20"/>
                <w:szCs w:val="20"/>
              </w:rPr>
            </w:pPr>
            <w:r w:rsidRPr="00075237">
              <w:rPr>
                <w:color w:val="000000"/>
                <w:sz w:val="20"/>
                <w:szCs w:val="20"/>
              </w:rPr>
              <w:t>111,19</w:t>
            </w:r>
          </w:p>
        </w:tc>
        <w:tc>
          <w:tcPr>
            <w:tcW w:w="556" w:type="pct"/>
            <w:tcBorders>
              <w:top w:val="single" w:sz="4" w:space="0" w:color="auto"/>
              <w:left w:val="single" w:sz="4" w:space="0" w:color="auto"/>
              <w:bottom w:val="single" w:sz="4" w:space="0" w:color="auto"/>
              <w:right w:val="single" w:sz="4" w:space="0" w:color="auto"/>
            </w:tcBorders>
            <w:hideMark/>
          </w:tcPr>
          <w:p w14:paraId="7EC360F1" w14:textId="77777777" w:rsidR="002B75B4" w:rsidRPr="00075237" w:rsidRDefault="002B75B4" w:rsidP="00C30F95">
            <w:pPr>
              <w:jc w:val="right"/>
              <w:rPr>
                <w:color w:val="000000"/>
                <w:sz w:val="20"/>
                <w:szCs w:val="20"/>
              </w:rPr>
            </w:pPr>
            <w:r w:rsidRPr="00075237">
              <w:rPr>
                <w:color w:val="000000"/>
                <w:sz w:val="20"/>
                <w:szCs w:val="20"/>
              </w:rPr>
              <w:t>112,53</w:t>
            </w:r>
          </w:p>
        </w:tc>
        <w:tc>
          <w:tcPr>
            <w:tcW w:w="554" w:type="pct"/>
            <w:tcBorders>
              <w:top w:val="single" w:sz="4" w:space="0" w:color="auto"/>
              <w:left w:val="single" w:sz="4" w:space="0" w:color="auto"/>
              <w:bottom w:val="single" w:sz="4" w:space="0" w:color="auto"/>
              <w:right w:val="single" w:sz="4" w:space="0" w:color="auto"/>
            </w:tcBorders>
          </w:tcPr>
          <w:p w14:paraId="286AF43D" w14:textId="77777777" w:rsidR="002B75B4" w:rsidRPr="00075237" w:rsidRDefault="002B75B4" w:rsidP="00C30F95">
            <w:pPr>
              <w:jc w:val="right"/>
              <w:rPr>
                <w:color w:val="000000"/>
                <w:sz w:val="20"/>
                <w:szCs w:val="20"/>
              </w:rPr>
            </w:pPr>
            <w:r w:rsidRPr="00075237">
              <w:rPr>
                <w:color w:val="000000"/>
                <w:sz w:val="20"/>
                <w:szCs w:val="20"/>
              </w:rPr>
              <w:t>111,81</w:t>
            </w:r>
          </w:p>
        </w:tc>
        <w:tc>
          <w:tcPr>
            <w:tcW w:w="556" w:type="pct"/>
            <w:tcBorders>
              <w:top w:val="single" w:sz="4" w:space="0" w:color="auto"/>
              <w:left w:val="single" w:sz="4" w:space="0" w:color="auto"/>
              <w:bottom w:val="single" w:sz="4" w:space="0" w:color="auto"/>
              <w:right w:val="single" w:sz="4" w:space="0" w:color="auto"/>
            </w:tcBorders>
          </w:tcPr>
          <w:p w14:paraId="2A289736" w14:textId="77777777" w:rsidR="002B75B4" w:rsidRPr="00075237" w:rsidRDefault="002B75B4" w:rsidP="00C30F95">
            <w:pPr>
              <w:jc w:val="right"/>
              <w:rPr>
                <w:color w:val="000000"/>
                <w:sz w:val="20"/>
                <w:szCs w:val="20"/>
              </w:rPr>
            </w:pPr>
            <w:r w:rsidRPr="00075237">
              <w:rPr>
                <w:color w:val="000000"/>
                <w:sz w:val="20"/>
                <w:szCs w:val="20"/>
              </w:rPr>
              <w:t>111,66</w:t>
            </w:r>
          </w:p>
        </w:tc>
        <w:tc>
          <w:tcPr>
            <w:tcW w:w="554" w:type="pct"/>
            <w:tcBorders>
              <w:top w:val="single" w:sz="4" w:space="0" w:color="auto"/>
              <w:left w:val="single" w:sz="4" w:space="0" w:color="auto"/>
              <w:bottom w:val="single" w:sz="4" w:space="0" w:color="auto"/>
              <w:right w:val="single" w:sz="4" w:space="0" w:color="auto"/>
            </w:tcBorders>
            <w:noWrap/>
            <w:hideMark/>
          </w:tcPr>
          <w:p w14:paraId="723DBE4B" w14:textId="77777777" w:rsidR="002B75B4" w:rsidRPr="00075237" w:rsidRDefault="002B75B4" w:rsidP="00C30F95">
            <w:pPr>
              <w:jc w:val="right"/>
              <w:rPr>
                <w:color w:val="000000"/>
                <w:sz w:val="20"/>
                <w:szCs w:val="20"/>
              </w:rPr>
            </w:pPr>
            <w:r w:rsidRPr="00075237">
              <w:rPr>
                <w:color w:val="000000"/>
                <w:sz w:val="20"/>
                <w:szCs w:val="20"/>
              </w:rPr>
              <w:t>104,95</w:t>
            </w:r>
          </w:p>
        </w:tc>
      </w:tr>
      <w:tr w:rsidR="002B75B4" w:rsidRPr="00075237" w14:paraId="274158E1"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29B487B" w14:textId="77777777" w:rsidR="002B75B4" w:rsidRPr="00075237" w:rsidRDefault="002B75B4" w:rsidP="00C30F95">
            <w:pPr>
              <w:widowControl w:val="0"/>
              <w:jc w:val="left"/>
              <w:rPr>
                <w:color w:val="000000"/>
                <w:sz w:val="20"/>
                <w:szCs w:val="20"/>
              </w:rPr>
            </w:pPr>
            <w:r w:rsidRPr="00075237">
              <w:rPr>
                <w:color w:val="000000"/>
                <w:sz w:val="20"/>
                <w:szCs w:val="20"/>
              </w:rPr>
              <w:t>HCFC-123</w:t>
            </w:r>
          </w:p>
        </w:tc>
        <w:tc>
          <w:tcPr>
            <w:tcW w:w="557" w:type="pct"/>
            <w:tcBorders>
              <w:top w:val="single" w:sz="4" w:space="0" w:color="auto"/>
              <w:left w:val="single" w:sz="4" w:space="0" w:color="auto"/>
              <w:bottom w:val="single" w:sz="4" w:space="0" w:color="auto"/>
              <w:right w:val="single" w:sz="4" w:space="0" w:color="auto"/>
            </w:tcBorders>
            <w:hideMark/>
          </w:tcPr>
          <w:p w14:paraId="6A384B6E" w14:textId="77777777" w:rsidR="002B75B4" w:rsidRPr="00075237" w:rsidRDefault="002B75B4" w:rsidP="00C30F95">
            <w:pPr>
              <w:jc w:val="right"/>
              <w:rPr>
                <w:color w:val="000000"/>
                <w:sz w:val="20"/>
                <w:szCs w:val="20"/>
              </w:rPr>
            </w:pPr>
            <w:r w:rsidRPr="00075237">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0CB2B65F" w14:textId="77777777" w:rsidR="002B75B4" w:rsidRPr="00075237" w:rsidRDefault="002B75B4" w:rsidP="00C30F95">
            <w:pPr>
              <w:jc w:val="right"/>
              <w:rPr>
                <w:color w:val="000000"/>
                <w:sz w:val="20"/>
                <w:szCs w:val="20"/>
              </w:rPr>
            </w:pPr>
            <w:r w:rsidRPr="00075237">
              <w:rPr>
                <w:color w:val="000000"/>
                <w:sz w:val="20"/>
                <w:szCs w:val="20"/>
              </w:rPr>
              <w:t>0,00 </w:t>
            </w:r>
          </w:p>
        </w:tc>
        <w:tc>
          <w:tcPr>
            <w:tcW w:w="556" w:type="pct"/>
            <w:tcBorders>
              <w:top w:val="single" w:sz="4" w:space="0" w:color="auto"/>
              <w:left w:val="single" w:sz="4" w:space="0" w:color="auto"/>
              <w:bottom w:val="single" w:sz="4" w:space="0" w:color="auto"/>
              <w:right w:val="single" w:sz="4" w:space="0" w:color="auto"/>
            </w:tcBorders>
            <w:hideMark/>
          </w:tcPr>
          <w:p w14:paraId="3F0B1435" w14:textId="77777777" w:rsidR="002B75B4" w:rsidRPr="00075237" w:rsidRDefault="002B75B4" w:rsidP="00C30F95">
            <w:pPr>
              <w:jc w:val="right"/>
              <w:rPr>
                <w:color w:val="000000"/>
                <w:sz w:val="20"/>
                <w:szCs w:val="20"/>
              </w:rPr>
            </w:pPr>
            <w:r w:rsidRPr="00075237">
              <w:rPr>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tcPr>
          <w:p w14:paraId="271309DA" w14:textId="77777777" w:rsidR="002B75B4" w:rsidRPr="00075237" w:rsidRDefault="002B75B4" w:rsidP="00C30F95">
            <w:pPr>
              <w:jc w:val="right"/>
              <w:rPr>
                <w:color w:val="000000"/>
                <w:sz w:val="20"/>
                <w:szCs w:val="20"/>
              </w:rPr>
            </w:pPr>
            <w:r w:rsidRPr="00075237">
              <w:rPr>
                <w:color w:val="000000"/>
                <w:sz w:val="20"/>
                <w:szCs w:val="20"/>
              </w:rPr>
              <w:t>0,020</w:t>
            </w:r>
          </w:p>
        </w:tc>
        <w:tc>
          <w:tcPr>
            <w:tcW w:w="556" w:type="pct"/>
            <w:tcBorders>
              <w:top w:val="single" w:sz="4" w:space="0" w:color="auto"/>
              <w:left w:val="single" w:sz="4" w:space="0" w:color="auto"/>
              <w:bottom w:val="single" w:sz="4" w:space="0" w:color="auto"/>
              <w:right w:val="single" w:sz="4" w:space="0" w:color="auto"/>
            </w:tcBorders>
          </w:tcPr>
          <w:p w14:paraId="206DA672" w14:textId="77777777" w:rsidR="002B75B4" w:rsidRPr="00075237" w:rsidRDefault="002B75B4" w:rsidP="00C30F95">
            <w:pPr>
              <w:jc w:val="right"/>
              <w:rPr>
                <w:color w:val="000000"/>
                <w:sz w:val="20"/>
                <w:szCs w:val="20"/>
              </w:rPr>
            </w:pPr>
            <w:r w:rsidRPr="00075237">
              <w:rPr>
                <w:color w:val="000000"/>
                <w:sz w:val="20"/>
                <w:szCs w:val="20"/>
              </w:rPr>
              <w:t>0,020</w:t>
            </w:r>
          </w:p>
        </w:tc>
        <w:tc>
          <w:tcPr>
            <w:tcW w:w="554" w:type="pct"/>
            <w:tcBorders>
              <w:top w:val="single" w:sz="4" w:space="0" w:color="auto"/>
              <w:left w:val="single" w:sz="4" w:space="0" w:color="auto"/>
              <w:bottom w:val="single" w:sz="4" w:space="0" w:color="auto"/>
              <w:right w:val="single" w:sz="4" w:space="0" w:color="auto"/>
            </w:tcBorders>
            <w:noWrap/>
            <w:hideMark/>
          </w:tcPr>
          <w:p w14:paraId="29972A5F" w14:textId="77777777" w:rsidR="002B75B4" w:rsidRPr="00075237" w:rsidRDefault="002B75B4" w:rsidP="00C30F95">
            <w:pPr>
              <w:jc w:val="right"/>
              <w:rPr>
                <w:color w:val="000000"/>
                <w:sz w:val="20"/>
                <w:szCs w:val="20"/>
              </w:rPr>
            </w:pPr>
            <w:r w:rsidRPr="00075237">
              <w:rPr>
                <w:color w:val="000000"/>
                <w:sz w:val="20"/>
                <w:szCs w:val="20"/>
              </w:rPr>
              <w:t>0,00</w:t>
            </w:r>
          </w:p>
        </w:tc>
      </w:tr>
      <w:tr w:rsidR="002B75B4" w:rsidRPr="00075237" w14:paraId="08838D9D"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0FB6577" w14:textId="77777777" w:rsidR="002B75B4" w:rsidRPr="00075237" w:rsidRDefault="002B75B4" w:rsidP="00C30F95">
            <w:pPr>
              <w:widowControl w:val="0"/>
              <w:jc w:val="left"/>
              <w:rPr>
                <w:color w:val="000000"/>
                <w:sz w:val="20"/>
                <w:szCs w:val="20"/>
              </w:rPr>
            </w:pPr>
            <w:r w:rsidRPr="00075237">
              <w:rPr>
                <w:color w:val="000000"/>
                <w:sz w:val="20"/>
                <w:szCs w:val="20"/>
              </w:rPr>
              <w:t>HCFC-141b</w:t>
            </w:r>
          </w:p>
        </w:tc>
        <w:tc>
          <w:tcPr>
            <w:tcW w:w="557" w:type="pct"/>
            <w:tcBorders>
              <w:top w:val="single" w:sz="4" w:space="0" w:color="auto"/>
              <w:left w:val="single" w:sz="4" w:space="0" w:color="auto"/>
              <w:bottom w:val="single" w:sz="4" w:space="0" w:color="auto"/>
              <w:right w:val="single" w:sz="4" w:space="0" w:color="auto"/>
            </w:tcBorders>
            <w:hideMark/>
          </w:tcPr>
          <w:p w14:paraId="177042C6" w14:textId="77777777" w:rsidR="002B75B4" w:rsidRPr="00075237" w:rsidRDefault="002B75B4" w:rsidP="00C30F95">
            <w:pPr>
              <w:jc w:val="right"/>
              <w:rPr>
                <w:color w:val="000000"/>
                <w:sz w:val="20"/>
                <w:szCs w:val="20"/>
              </w:rPr>
            </w:pPr>
            <w:r w:rsidRPr="00075237">
              <w:rPr>
                <w:color w:val="000000"/>
                <w:sz w:val="20"/>
                <w:szCs w:val="20"/>
              </w:rPr>
              <w:t>54,51</w:t>
            </w:r>
          </w:p>
        </w:tc>
        <w:tc>
          <w:tcPr>
            <w:tcW w:w="556" w:type="pct"/>
            <w:tcBorders>
              <w:top w:val="single" w:sz="4" w:space="0" w:color="auto"/>
              <w:left w:val="single" w:sz="4" w:space="0" w:color="auto"/>
              <w:bottom w:val="single" w:sz="4" w:space="0" w:color="auto"/>
              <w:right w:val="single" w:sz="4" w:space="0" w:color="auto"/>
            </w:tcBorders>
            <w:hideMark/>
          </w:tcPr>
          <w:p w14:paraId="48BE76C7" w14:textId="77777777" w:rsidR="002B75B4" w:rsidRPr="00075237" w:rsidRDefault="002B75B4" w:rsidP="00C30F95">
            <w:pPr>
              <w:jc w:val="right"/>
              <w:rPr>
                <w:color w:val="000000"/>
                <w:sz w:val="20"/>
                <w:szCs w:val="20"/>
              </w:rPr>
            </w:pPr>
            <w:r w:rsidRPr="00075237">
              <w:rPr>
                <w:color w:val="000000"/>
                <w:sz w:val="20"/>
                <w:szCs w:val="20"/>
              </w:rPr>
              <w:t>8,03</w:t>
            </w:r>
          </w:p>
        </w:tc>
        <w:tc>
          <w:tcPr>
            <w:tcW w:w="556" w:type="pct"/>
            <w:tcBorders>
              <w:top w:val="single" w:sz="4" w:space="0" w:color="auto"/>
              <w:left w:val="single" w:sz="4" w:space="0" w:color="auto"/>
              <w:bottom w:val="single" w:sz="4" w:space="0" w:color="auto"/>
              <w:right w:val="single" w:sz="4" w:space="0" w:color="auto"/>
            </w:tcBorders>
            <w:hideMark/>
          </w:tcPr>
          <w:p w14:paraId="4DDF89C2" w14:textId="77777777" w:rsidR="002B75B4" w:rsidRPr="00075237" w:rsidRDefault="002B75B4" w:rsidP="00C30F95">
            <w:pPr>
              <w:jc w:val="right"/>
              <w:rPr>
                <w:color w:val="000000"/>
                <w:sz w:val="20"/>
                <w:szCs w:val="20"/>
              </w:rPr>
            </w:pPr>
            <w:r w:rsidRPr="00075237">
              <w:rPr>
                <w:color w:val="000000"/>
                <w:sz w:val="20"/>
                <w:szCs w:val="20"/>
              </w:rPr>
              <w:t>8,06</w:t>
            </w:r>
          </w:p>
        </w:tc>
        <w:tc>
          <w:tcPr>
            <w:tcW w:w="554" w:type="pct"/>
            <w:tcBorders>
              <w:top w:val="single" w:sz="4" w:space="0" w:color="auto"/>
              <w:left w:val="single" w:sz="4" w:space="0" w:color="auto"/>
              <w:bottom w:val="single" w:sz="4" w:space="0" w:color="auto"/>
              <w:right w:val="single" w:sz="4" w:space="0" w:color="auto"/>
            </w:tcBorders>
          </w:tcPr>
          <w:p w14:paraId="13B4ACAC" w14:textId="77777777" w:rsidR="002B75B4" w:rsidRPr="00075237" w:rsidRDefault="002B75B4" w:rsidP="00C30F95">
            <w:pPr>
              <w:jc w:val="right"/>
              <w:rPr>
                <w:color w:val="000000"/>
                <w:sz w:val="20"/>
                <w:szCs w:val="20"/>
              </w:rPr>
            </w:pPr>
            <w:r w:rsidRPr="00075237">
              <w:rPr>
                <w:color w:val="000000"/>
                <w:sz w:val="20"/>
                <w:szCs w:val="20"/>
              </w:rPr>
              <w:t>7,26</w:t>
            </w:r>
          </w:p>
        </w:tc>
        <w:tc>
          <w:tcPr>
            <w:tcW w:w="556" w:type="pct"/>
            <w:tcBorders>
              <w:top w:val="single" w:sz="4" w:space="0" w:color="auto"/>
              <w:left w:val="single" w:sz="4" w:space="0" w:color="auto"/>
              <w:bottom w:val="single" w:sz="4" w:space="0" w:color="auto"/>
              <w:right w:val="single" w:sz="4" w:space="0" w:color="auto"/>
            </w:tcBorders>
          </w:tcPr>
          <w:p w14:paraId="15510A1E" w14:textId="77777777" w:rsidR="002B75B4" w:rsidRPr="00075237" w:rsidRDefault="002B75B4" w:rsidP="00C30F95">
            <w:pPr>
              <w:jc w:val="right"/>
              <w:rPr>
                <w:color w:val="000000"/>
                <w:sz w:val="20"/>
                <w:szCs w:val="20"/>
              </w:rPr>
            </w:pPr>
            <w:r w:rsidRPr="00075237">
              <w:rPr>
                <w:color w:val="000000"/>
                <w:sz w:val="20"/>
                <w:szCs w:val="20"/>
              </w:rPr>
              <w:t>7,26</w:t>
            </w:r>
          </w:p>
        </w:tc>
        <w:tc>
          <w:tcPr>
            <w:tcW w:w="554" w:type="pct"/>
            <w:tcBorders>
              <w:top w:val="single" w:sz="4" w:space="0" w:color="auto"/>
              <w:left w:val="single" w:sz="4" w:space="0" w:color="auto"/>
              <w:bottom w:val="single" w:sz="4" w:space="0" w:color="auto"/>
              <w:right w:val="single" w:sz="4" w:space="0" w:color="auto"/>
            </w:tcBorders>
            <w:noWrap/>
            <w:hideMark/>
          </w:tcPr>
          <w:p w14:paraId="60FDED40" w14:textId="77777777" w:rsidR="002B75B4" w:rsidRPr="00075237" w:rsidRDefault="002B75B4" w:rsidP="00C30F95">
            <w:pPr>
              <w:jc w:val="right"/>
              <w:rPr>
                <w:color w:val="000000"/>
                <w:sz w:val="20"/>
                <w:szCs w:val="20"/>
              </w:rPr>
            </w:pPr>
            <w:r w:rsidRPr="00075237">
              <w:rPr>
                <w:color w:val="000000"/>
                <w:sz w:val="20"/>
                <w:szCs w:val="20"/>
              </w:rPr>
              <w:t>138,50</w:t>
            </w:r>
          </w:p>
        </w:tc>
      </w:tr>
      <w:tr w:rsidR="002B75B4" w:rsidRPr="00075237" w14:paraId="09553564"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9DC7FF3" w14:textId="77777777" w:rsidR="002B75B4" w:rsidRPr="00075237" w:rsidRDefault="002B75B4" w:rsidP="00C30F95">
            <w:pPr>
              <w:widowControl w:val="0"/>
              <w:jc w:val="left"/>
              <w:rPr>
                <w:color w:val="000000"/>
                <w:sz w:val="20"/>
                <w:szCs w:val="20"/>
              </w:rPr>
            </w:pPr>
            <w:r w:rsidRPr="00075237">
              <w:rPr>
                <w:color w:val="000000"/>
                <w:sz w:val="20"/>
                <w:szCs w:val="20"/>
              </w:rPr>
              <w:t>HCFC-142b</w:t>
            </w:r>
          </w:p>
        </w:tc>
        <w:tc>
          <w:tcPr>
            <w:tcW w:w="557" w:type="pct"/>
            <w:tcBorders>
              <w:top w:val="single" w:sz="4" w:space="0" w:color="auto"/>
              <w:left w:val="single" w:sz="4" w:space="0" w:color="auto"/>
              <w:bottom w:val="single" w:sz="4" w:space="0" w:color="auto"/>
              <w:right w:val="single" w:sz="4" w:space="0" w:color="auto"/>
            </w:tcBorders>
            <w:hideMark/>
          </w:tcPr>
          <w:p w14:paraId="5B2564CB" w14:textId="77777777" w:rsidR="002B75B4" w:rsidRPr="00075237" w:rsidRDefault="002B75B4" w:rsidP="00C30F95">
            <w:pPr>
              <w:jc w:val="right"/>
              <w:rPr>
                <w:color w:val="000000"/>
                <w:sz w:val="20"/>
                <w:szCs w:val="20"/>
              </w:rPr>
            </w:pPr>
            <w:r w:rsidRPr="00075237">
              <w:rPr>
                <w:color w:val="000000"/>
                <w:sz w:val="20"/>
                <w:szCs w:val="20"/>
              </w:rPr>
              <w:t>2,86</w:t>
            </w:r>
          </w:p>
        </w:tc>
        <w:tc>
          <w:tcPr>
            <w:tcW w:w="556" w:type="pct"/>
            <w:tcBorders>
              <w:top w:val="single" w:sz="4" w:space="0" w:color="auto"/>
              <w:left w:val="single" w:sz="4" w:space="0" w:color="auto"/>
              <w:bottom w:val="single" w:sz="4" w:space="0" w:color="auto"/>
              <w:right w:val="single" w:sz="4" w:space="0" w:color="auto"/>
            </w:tcBorders>
            <w:hideMark/>
          </w:tcPr>
          <w:p w14:paraId="44989F94" w14:textId="77777777" w:rsidR="002B75B4" w:rsidRPr="00075237" w:rsidRDefault="002B75B4" w:rsidP="00C30F95">
            <w:pPr>
              <w:jc w:val="right"/>
              <w:rPr>
                <w:color w:val="000000"/>
                <w:sz w:val="20"/>
                <w:szCs w:val="20"/>
              </w:rPr>
            </w:pPr>
            <w:r w:rsidRPr="00075237">
              <w:rPr>
                <w:color w:val="000000"/>
                <w:sz w:val="20"/>
                <w:szCs w:val="20"/>
              </w:rPr>
              <w:t>2,99</w:t>
            </w:r>
          </w:p>
        </w:tc>
        <w:tc>
          <w:tcPr>
            <w:tcW w:w="556" w:type="pct"/>
            <w:tcBorders>
              <w:top w:val="single" w:sz="4" w:space="0" w:color="auto"/>
              <w:left w:val="single" w:sz="4" w:space="0" w:color="auto"/>
              <w:bottom w:val="single" w:sz="4" w:space="0" w:color="auto"/>
              <w:right w:val="single" w:sz="4" w:space="0" w:color="auto"/>
            </w:tcBorders>
            <w:hideMark/>
          </w:tcPr>
          <w:p w14:paraId="2E2ED6D2" w14:textId="77777777" w:rsidR="002B75B4" w:rsidRPr="00075237" w:rsidRDefault="002B75B4" w:rsidP="00C30F95">
            <w:pPr>
              <w:jc w:val="right"/>
              <w:rPr>
                <w:color w:val="000000"/>
                <w:sz w:val="20"/>
                <w:szCs w:val="20"/>
              </w:rPr>
            </w:pPr>
            <w:r w:rsidRPr="00075237">
              <w:rPr>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tcPr>
          <w:p w14:paraId="55F3F8E6" w14:textId="77777777" w:rsidR="002B75B4" w:rsidRPr="00075237" w:rsidRDefault="002B75B4" w:rsidP="00C30F95">
            <w:pPr>
              <w:jc w:val="right"/>
              <w:rPr>
                <w:color w:val="000000"/>
                <w:sz w:val="20"/>
                <w:szCs w:val="20"/>
              </w:rPr>
            </w:pPr>
            <w:r w:rsidRPr="00075237">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tcPr>
          <w:p w14:paraId="0BA07BC1" w14:textId="77777777" w:rsidR="002B75B4" w:rsidRPr="00075237" w:rsidRDefault="002B75B4" w:rsidP="00C30F95">
            <w:pPr>
              <w:jc w:val="right"/>
              <w:rPr>
                <w:color w:val="000000"/>
                <w:sz w:val="20"/>
                <w:szCs w:val="20"/>
              </w:rPr>
            </w:pPr>
            <w:r w:rsidRPr="00075237">
              <w:rPr>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noWrap/>
            <w:hideMark/>
          </w:tcPr>
          <w:p w14:paraId="26B859AE" w14:textId="77777777" w:rsidR="002B75B4" w:rsidRPr="00075237" w:rsidRDefault="002B75B4" w:rsidP="00C30F95">
            <w:pPr>
              <w:jc w:val="right"/>
              <w:rPr>
                <w:color w:val="000000"/>
                <w:sz w:val="20"/>
                <w:szCs w:val="20"/>
              </w:rPr>
            </w:pPr>
            <w:r w:rsidRPr="00075237">
              <w:rPr>
                <w:color w:val="000000"/>
                <w:sz w:val="20"/>
                <w:szCs w:val="20"/>
              </w:rPr>
              <w:t>4,65</w:t>
            </w:r>
          </w:p>
        </w:tc>
      </w:tr>
      <w:tr w:rsidR="002B75B4" w:rsidRPr="00075237" w14:paraId="372E332C"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4EDF441" w14:textId="77777777" w:rsidR="002B75B4" w:rsidRPr="00075237" w:rsidRDefault="002B75B4" w:rsidP="00C30F95">
            <w:pPr>
              <w:jc w:val="left"/>
              <w:rPr>
                <w:rFonts w:eastAsiaTheme="minorHAnsi"/>
                <w:b/>
                <w:sz w:val="20"/>
                <w:szCs w:val="20"/>
              </w:rPr>
            </w:pPr>
            <w:r w:rsidRPr="00075237">
              <w:rPr>
                <w:b/>
                <w:sz w:val="20"/>
                <w:szCs w:val="20"/>
              </w:rPr>
              <w:t>Total (tonnes PAO)</w:t>
            </w:r>
          </w:p>
        </w:tc>
        <w:tc>
          <w:tcPr>
            <w:tcW w:w="557" w:type="pct"/>
            <w:tcBorders>
              <w:top w:val="single" w:sz="4" w:space="0" w:color="auto"/>
              <w:left w:val="single" w:sz="4" w:space="0" w:color="auto"/>
              <w:bottom w:val="single" w:sz="4" w:space="0" w:color="auto"/>
              <w:right w:val="single" w:sz="4" w:space="0" w:color="auto"/>
            </w:tcBorders>
            <w:hideMark/>
          </w:tcPr>
          <w:p w14:paraId="57C01A8F" w14:textId="77777777" w:rsidR="002B75B4" w:rsidRPr="00075237" w:rsidRDefault="002B75B4" w:rsidP="00C30F95">
            <w:pPr>
              <w:jc w:val="right"/>
              <w:rPr>
                <w:b/>
                <w:bCs/>
                <w:color w:val="000000"/>
                <w:sz w:val="20"/>
                <w:szCs w:val="20"/>
              </w:rPr>
            </w:pPr>
            <w:r w:rsidRPr="00075237">
              <w:rPr>
                <w:b/>
                <w:bCs/>
                <w:color w:val="000000"/>
                <w:sz w:val="20"/>
                <w:szCs w:val="20"/>
              </w:rPr>
              <w:t>208,75</w:t>
            </w:r>
          </w:p>
        </w:tc>
        <w:tc>
          <w:tcPr>
            <w:tcW w:w="556" w:type="pct"/>
            <w:tcBorders>
              <w:top w:val="single" w:sz="4" w:space="0" w:color="auto"/>
              <w:left w:val="single" w:sz="4" w:space="0" w:color="auto"/>
              <w:bottom w:val="single" w:sz="4" w:space="0" w:color="auto"/>
              <w:right w:val="single" w:sz="4" w:space="0" w:color="auto"/>
            </w:tcBorders>
            <w:hideMark/>
          </w:tcPr>
          <w:p w14:paraId="7FC7BB95" w14:textId="77777777" w:rsidR="002B75B4" w:rsidRPr="00075237" w:rsidRDefault="002B75B4" w:rsidP="00C30F95">
            <w:pPr>
              <w:jc w:val="right"/>
              <w:rPr>
                <w:b/>
                <w:bCs/>
                <w:color w:val="000000"/>
                <w:sz w:val="20"/>
                <w:szCs w:val="20"/>
              </w:rPr>
            </w:pPr>
            <w:r w:rsidRPr="00075237">
              <w:rPr>
                <w:b/>
                <w:bCs/>
                <w:color w:val="000000"/>
                <w:sz w:val="20"/>
                <w:szCs w:val="20"/>
              </w:rPr>
              <w:t>122,21</w:t>
            </w:r>
          </w:p>
        </w:tc>
        <w:tc>
          <w:tcPr>
            <w:tcW w:w="556" w:type="pct"/>
            <w:tcBorders>
              <w:top w:val="single" w:sz="4" w:space="0" w:color="auto"/>
              <w:left w:val="single" w:sz="4" w:space="0" w:color="auto"/>
              <w:bottom w:val="single" w:sz="4" w:space="0" w:color="auto"/>
              <w:right w:val="single" w:sz="4" w:space="0" w:color="auto"/>
            </w:tcBorders>
            <w:hideMark/>
          </w:tcPr>
          <w:p w14:paraId="2C7448F4" w14:textId="77777777" w:rsidR="002B75B4" w:rsidRPr="00075237" w:rsidRDefault="002B75B4" w:rsidP="00C30F95">
            <w:pPr>
              <w:jc w:val="right"/>
              <w:rPr>
                <w:b/>
                <w:bCs/>
                <w:color w:val="000000"/>
                <w:sz w:val="20"/>
                <w:szCs w:val="20"/>
              </w:rPr>
            </w:pPr>
            <w:r w:rsidRPr="00075237">
              <w:rPr>
                <w:b/>
                <w:bCs/>
                <w:color w:val="000000"/>
                <w:sz w:val="20"/>
                <w:szCs w:val="20"/>
              </w:rPr>
              <w:t>120,59</w:t>
            </w:r>
          </w:p>
        </w:tc>
        <w:tc>
          <w:tcPr>
            <w:tcW w:w="554" w:type="pct"/>
            <w:tcBorders>
              <w:top w:val="single" w:sz="4" w:space="0" w:color="auto"/>
              <w:left w:val="single" w:sz="4" w:space="0" w:color="auto"/>
              <w:bottom w:val="single" w:sz="4" w:space="0" w:color="auto"/>
              <w:right w:val="single" w:sz="4" w:space="0" w:color="auto"/>
            </w:tcBorders>
          </w:tcPr>
          <w:p w14:paraId="041F7C01" w14:textId="77777777" w:rsidR="002B75B4" w:rsidRPr="00075237" w:rsidRDefault="002B75B4" w:rsidP="00C30F95">
            <w:pPr>
              <w:jc w:val="right"/>
              <w:rPr>
                <w:rFonts w:eastAsiaTheme="minorHAnsi"/>
                <w:b/>
                <w:bCs/>
                <w:color w:val="000000"/>
                <w:sz w:val="20"/>
                <w:szCs w:val="20"/>
              </w:rPr>
            </w:pPr>
            <w:r w:rsidRPr="00075237">
              <w:rPr>
                <w:b/>
                <w:bCs/>
                <w:color w:val="000000"/>
                <w:sz w:val="20"/>
                <w:szCs w:val="20"/>
              </w:rPr>
              <w:t>119,09</w:t>
            </w:r>
          </w:p>
        </w:tc>
        <w:tc>
          <w:tcPr>
            <w:tcW w:w="556" w:type="pct"/>
            <w:tcBorders>
              <w:top w:val="single" w:sz="4" w:space="0" w:color="auto"/>
              <w:left w:val="single" w:sz="4" w:space="0" w:color="auto"/>
              <w:bottom w:val="single" w:sz="4" w:space="0" w:color="auto"/>
              <w:right w:val="single" w:sz="4" w:space="0" w:color="auto"/>
            </w:tcBorders>
          </w:tcPr>
          <w:p w14:paraId="46E4F127" w14:textId="77777777" w:rsidR="002B75B4" w:rsidRPr="00075237" w:rsidRDefault="002B75B4" w:rsidP="00C30F95">
            <w:pPr>
              <w:jc w:val="right"/>
              <w:rPr>
                <w:rFonts w:eastAsiaTheme="minorHAnsi"/>
                <w:b/>
                <w:bCs/>
                <w:color w:val="000000"/>
                <w:sz w:val="20"/>
                <w:szCs w:val="20"/>
              </w:rPr>
            </w:pPr>
            <w:r w:rsidRPr="00075237">
              <w:rPr>
                <w:b/>
                <w:bCs/>
                <w:color w:val="000000"/>
                <w:sz w:val="20"/>
                <w:szCs w:val="20"/>
              </w:rPr>
              <w:t>118,94</w:t>
            </w:r>
          </w:p>
        </w:tc>
        <w:tc>
          <w:tcPr>
            <w:tcW w:w="554" w:type="pct"/>
            <w:tcBorders>
              <w:top w:val="single" w:sz="4" w:space="0" w:color="auto"/>
              <w:left w:val="single" w:sz="4" w:space="0" w:color="auto"/>
              <w:bottom w:val="single" w:sz="4" w:space="0" w:color="auto"/>
              <w:right w:val="single" w:sz="4" w:space="0" w:color="auto"/>
            </w:tcBorders>
            <w:noWrap/>
            <w:hideMark/>
          </w:tcPr>
          <w:p w14:paraId="5804473F" w14:textId="77777777" w:rsidR="002B75B4" w:rsidRPr="00075237" w:rsidRDefault="002B75B4" w:rsidP="00C30F95">
            <w:pPr>
              <w:jc w:val="right"/>
              <w:rPr>
                <w:b/>
                <w:bCs/>
                <w:color w:val="000000"/>
                <w:sz w:val="20"/>
                <w:szCs w:val="20"/>
              </w:rPr>
            </w:pPr>
            <w:r w:rsidRPr="00075237">
              <w:rPr>
                <w:b/>
                <w:bCs/>
                <w:color w:val="000000"/>
                <w:sz w:val="20"/>
                <w:szCs w:val="20"/>
              </w:rPr>
              <w:t>248,11</w:t>
            </w:r>
          </w:p>
        </w:tc>
      </w:tr>
      <w:tr w:rsidR="002B75B4" w:rsidRPr="00075237" w14:paraId="71874B19" w14:textId="77777777" w:rsidTr="00C30F95">
        <w:trPr>
          <w:trHeight w:val="197"/>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26DFF6C" w14:textId="77777777" w:rsidR="002B75B4" w:rsidRPr="00075237" w:rsidRDefault="002B75B4" w:rsidP="00C30F95">
            <w:pPr>
              <w:jc w:val="left"/>
              <w:rPr>
                <w:b/>
                <w:bCs/>
                <w:sz w:val="20"/>
                <w:szCs w:val="20"/>
              </w:rPr>
            </w:pPr>
            <w:r w:rsidRPr="00075237">
              <w:rPr>
                <w:color w:val="000000"/>
                <w:sz w:val="20"/>
                <w:szCs w:val="20"/>
              </w:rPr>
              <w:t>HCFC-141b dans les polyols prémélangés importés*</w:t>
            </w:r>
          </w:p>
        </w:tc>
        <w:tc>
          <w:tcPr>
            <w:tcW w:w="557" w:type="pct"/>
            <w:tcBorders>
              <w:top w:val="single" w:sz="4" w:space="0" w:color="auto"/>
              <w:left w:val="single" w:sz="4" w:space="0" w:color="auto"/>
              <w:bottom w:val="single" w:sz="4" w:space="0" w:color="auto"/>
              <w:right w:val="single" w:sz="4" w:space="0" w:color="auto"/>
            </w:tcBorders>
            <w:hideMark/>
          </w:tcPr>
          <w:p w14:paraId="50EC7CF1" w14:textId="77777777" w:rsidR="002B75B4" w:rsidRPr="00075237" w:rsidRDefault="002B75B4" w:rsidP="00C30F95">
            <w:pPr>
              <w:jc w:val="right"/>
              <w:rPr>
                <w:rFonts w:eastAsiaTheme="minorHAnsi"/>
                <w:bCs/>
                <w:color w:val="000000"/>
                <w:sz w:val="20"/>
                <w:szCs w:val="20"/>
              </w:rPr>
            </w:pPr>
            <w:r w:rsidRPr="00075237">
              <w:rPr>
                <w:bCs/>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1B8217ED" w14:textId="77777777" w:rsidR="002B75B4" w:rsidRPr="00075237" w:rsidRDefault="002B75B4" w:rsidP="00C30F95">
            <w:pPr>
              <w:jc w:val="right"/>
              <w:rPr>
                <w:rFonts w:eastAsiaTheme="minorHAnsi"/>
                <w:bCs/>
                <w:color w:val="000000"/>
                <w:sz w:val="20"/>
                <w:szCs w:val="20"/>
              </w:rPr>
            </w:pPr>
            <w:r w:rsidRPr="00075237">
              <w:rPr>
                <w:bCs/>
                <w:color w:val="000000"/>
                <w:sz w:val="20"/>
                <w:szCs w:val="20"/>
              </w:rPr>
              <w:t>75,90</w:t>
            </w:r>
          </w:p>
        </w:tc>
        <w:tc>
          <w:tcPr>
            <w:tcW w:w="556" w:type="pct"/>
            <w:tcBorders>
              <w:top w:val="single" w:sz="4" w:space="0" w:color="auto"/>
              <w:left w:val="single" w:sz="4" w:space="0" w:color="auto"/>
              <w:bottom w:val="single" w:sz="4" w:space="0" w:color="auto"/>
              <w:right w:val="single" w:sz="4" w:space="0" w:color="auto"/>
            </w:tcBorders>
            <w:hideMark/>
          </w:tcPr>
          <w:p w14:paraId="68DC9891" w14:textId="77777777" w:rsidR="002B75B4" w:rsidRPr="00075237" w:rsidRDefault="002B75B4" w:rsidP="00C30F95">
            <w:pPr>
              <w:jc w:val="right"/>
              <w:rPr>
                <w:rFonts w:eastAsiaTheme="minorHAnsi"/>
                <w:bCs/>
                <w:color w:val="000000"/>
                <w:sz w:val="20"/>
                <w:szCs w:val="20"/>
              </w:rPr>
            </w:pPr>
            <w:r w:rsidRPr="00075237">
              <w:rPr>
                <w:bCs/>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tcPr>
          <w:p w14:paraId="71D5D8BA" w14:textId="77777777" w:rsidR="002B75B4" w:rsidRPr="00075237" w:rsidRDefault="002B75B4" w:rsidP="00C30F95">
            <w:pPr>
              <w:jc w:val="right"/>
              <w:rPr>
                <w:rFonts w:eastAsiaTheme="minorHAnsi"/>
                <w:bCs/>
                <w:color w:val="000000"/>
                <w:sz w:val="20"/>
                <w:szCs w:val="20"/>
              </w:rPr>
            </w:pPr>
            <w:r w:rsidRPr="00075237">
              <w:rPr>
                <w:bCs/>
                <w:color w:val="000000"/>
                <w:sz w:val="20"/>
                <w:szCs w:val="20"/>
              </w:rPr>
              <w:t>13,09</w:t>
            </w:r>
          </w:p>
        </w:tc>
        <w:tc>
          <w:tcPr>
            <w:tcW w:w="556" w:type="pct"/>
            <w:tcBorders>
              <w:top w:val="single" w:sz="4" w:space="0" w:color="auto"/>
              <w:left w:val="single" w:sz="4" w:space="0" w:color="auto"/>
              <w:bottom w:val="single" w:sz="4" w:space="0" w:color="auto"/>
              <w:right w:val="single" w:sz="4" w:space="0" w:color="auto"/>
            </w:tcBorders>
          </w:tcPr>
          <w:p w14:paraId="33E8408C" w14:textId="77777777" w:rsidR="002B75B4" w:rsidRPr="00075237" w:rsidRDefault="002B75B4" w:rsidP="00C30F95">
            <w:pPr>
              <w:jc w:val="right"/>
              <w:rPr>
                <w:rFonts w:eastAsiaTheme="minorHAnsi"/>
                <w:bCs/>
                <w:color w:val="000000"/>
                <w:sz w:val="20"/>
                <w:szCs w:val="20"/>
              </w:rPr>
            </w:pPr>
            <w:r w:rsidRPr="00075237">
              <w:rPr>
                <w:bCs/>
                <w:color w:val="000000"/>
                <w:sz w:val="20"/>
                <w:szCs w:val="20"/>
              </w:rPr>
              <w:t>34,92</w:t>
            </w:r>
          </w:p>
        </w:tc>
        <w:tc>
          <w:tcPr>
            <w:tcW w:w="554" w:type="pct"/>
            <w:tcBorders>
              <w:top w:val="single" w:sz="4" w:space="0" w:color="auto"/>
              <w:left w:val="single" w:sz="4" w:space="0" w:color="auto"/>
              <w:bottom w:val="single" w:sz="4" w:space="0" w:color="auto"/>
              <w:right w:val="single" w:sz="4" w:space="0" w:color="auto"/>
            </w:tcBorders>
            <w:noWrap/>
            <w:hideMark/>
          </w:tcPr>
          <w:p w14:paraId="700100C4" w14:textId="77777777" w:rsidR="002B75B4" w:rsidRPr="00075237" w:rsidRDefault="002B75B4" w:rsidP="00C30F95">
            <w:pPr>
              <w:jc w:val="right"/>
              <w:rPr>
                <w:rFonts w:eastAsiaTheme="minorHAnsi"/>
                <w:bCs/>
                <w:color w:val="000000"/>
                <w:sz w:val="20"/>
                <w:szCs w:val="20"/>
              </w:rPr>
            </w:pPr>
            <w:r w:rsidRPr="00075237">
              <w:rPr>
                <w:bCs/>
                <w:color w:val="000000"/>
                <w:sz w:val="20"/>
                <w:szCs w:val="20"/>
              </w:rPr>
              <w:t>s. o.</w:t>
            </w:r>
          </w:p>
        </w:tc>
      </w:tr>
    </w:tbl>
    <w:p w14:paraId="6E58ED7F" w14:textId="77777777" w:rsidR="002B75B4" w:rsidRPr="00075237" w:rsidRDefault="002B75B4" w:rsidP="002B75B4">
      <w:pPr>
        <w:rPr>
          <w:sz w:val="18"/>
          <w:szCs w:val="18"/>
        </w:rPr>
      </w:pPr>
      <w:r w:rsidRPr="00075237">
        <w:rPr>
          <w:sz w:val="18"/>
          <w:szCs w:val="18"/>
        </w:rPr>
        <w:t>* Données du programme du pays</w:t>
      </w:r>
    </w:p>
    <w:p w14:paraId="649C253C" w14:textId="77777777" w:rsidR="002B75B4" w:rsidRPr="00075237" w:rsidRDefault="002B75B4" w:rsidP="002B75B4"/>
    <w:p w14:paraId="554D51A0" w14:textId="77777777" w:rsidR="002B75B4" w:rsidRPr="00075237" w:rsidRDefault="002B75B4" w:rsidP="00CD7F5E">
      <w:pPr>
        <w:keepNext/>
        <w:rPr>
          <w:i/>
          <w:iCs/>
        </w:rPr>
      </w:pPr>
      <w:r w:rsidRPr="00075237">
        <w:rPr>
          <w:i/>
          <w:iCs/>
        </w:rPr>
        <w:t>Rapport sur la mise en œuvre du programme du pays</w:t>
      </w:r>
    </w:p>
    <w:p w14:paraId="1241575F" w14:textId="77777777" w:rsidR="002B75B4" w:rsidRPr="00075237" w:rsidRDefault="002B75B4" w:rsidP="00CD7F5E">
      <w:pPr>
        <w:keepNext/>
      </w:pPr>
    </w:p>
    <w:p w14:paraId="6FC18EBB" w14:textId="77777777" w:rsidR="002B75B4" w:rsidRPr="00075237" w:rsidRDefault="002B75B4" w:rsidP="002B75B4">
      <w:pPr>
        <w:pStyle w:val="Heading1"/>
      </w:pPr>
      <w:r w:rsidRPr="00075237">
        <w:t>Le gouvernement du Pakistan a communiqué des données du secteur de la consommation des HCFC dans le cadre du rapport de mise en œuvre du programme du pays de 2022, et ces données correspondent aux données déclarées en vertu de l’Article 7 du Protocole de Montréal.</w:t>
      </w:r>
    </w:p>
    <w:p w14:paraId="6F8D971D" w14:textId="77777777" w:rsidR="002B75B4" w:rsidRPr="00075237" w:rsidRDefault="002B75B4" w:rsidP="002B75B4">
      <w:pPr>
        <w:keepNext/>
        <w:rPr>
          <w:b/>
          <w:bCs/>
        </w:rPr>
      </w:pPr>
      <w:r w:rsidRPr="00075237">
        <w:rPr>
          <w:b/>
          <w:bCs/>
        </w:rPr>
        <w:t>Rapport périodique</w:t>
      </w:r>
    </w:p>
    <w:p w14:paraId="25EB250E" w14:textId="77777777" w:rsidR="002B75B4" w:rsidRPr="00075237" w:rsidRDefault="002B75B4" w:rsidP="002B75B4">
      <w:pPr>
        <w:keepNext/>
      </w:pPr>
    </w:p>
    <w:p w14:paraId="48F944C1" w14:textId="77777777" w:rsidR="002B75B4" w:rsidRPr="00075237" w:rsidRDefault="002B75B4" w:rsidP="002B75B4">
      <w:pPr>
        <w:pStyle w:val="Heading1"/>
        <w:keepNext/>
      </w:pPr>
      <w:r w:rsidRPr="00075237">
        <w:t>Les activités suivantes ont été mises en œuvre dans le cadre de la phase II du PGEH.</w:t>
      </w:r>
    </w:p>
    <w:p w14:paraId="1DCF8292" w14:textId="77777777" w:rsidR="002B75B4" w:rsidRPr="00075237" w:rsidRDefault="002B75B4" w:rsidP="002B75B4">
      <w:pPr>
        <w:rPr>
          <w:u w:val="single"/>
        </w:rPr>
      </w:pPr>
      <w:r w:rsidRPr="00075237">
        <w:rPr>
          <w:u w:val="single"/>
        </w:rPr>
        <w:t>Mise à jour sur l’avancement des conversions dans le secteur de la fabrication de la mousse</w:t>
      </w:r>
    </w:p>
    <w:p w14:paraId="3CD0E871" w14:textId="77777777" w:rsidR="002B75B4" w:rsidRPr="00075237" w:rsidRDefault="002B75B4" w:rsidP="002B75B4"/>
    <w:p w14:paraId="357202E1" w14:textId="77777777" w:rsidR="002B75B4" w:rsidRPr="00075237" w:rsidRDefault="002B75B4" w:rsidP="002B75B4">
      <w:pPr>
        <w:pStyle w:val="Heading1"/>
      </w:pPr>
      <w:r w:rsidRPr="00075237">
        <w:t>Parmi les entreprises couvertes dans le cadre de la phase II, la conversion est achevée chez les fabricants de mousse de polyuréthane (PU) et de mousse de polystyrène extrudé. Les fabricants de mousse pour la vaisselle isothermique rencontrent des difficultés à achever leurs conversions, puisque la technologie initiale, soit la technologie par expansion aqueuse, ne donnait pas la qualité désirée de produits. Ces entreprises travaillent sur des formules utilisant le formiate de méthyle pour achever leurs conversions. Elles devraient réaliser leur élimination complète d’ici décembre 2024.</w:t>
      </w:r>
    </w:p>
    <w:p w14:paraId="71E544AE" w14:textId="77777777" w:rsidR="002B75B4" w:rsidRPr="00075237" w:rsidRDefault="002B75B4" w:rsidP="002B75B4">
      <w:pPr>
        <w:rPr>
          <w:u w:val="single"/>
        </w:rPr>
      </w:pPr>
      <w:r w:rsidRPr="00075237">
        <w:rPr>
          <w:u w:val="single"/>
        </w:rPr>
        <w:t>Mise à jour sur l’avancement de la conversion dans le secteur de la fabrication des climatiseurs</w:t>
      </w:r>
    </w:p>
    <w:p w14:paraId="0388CA57" w14:textId="77777777" w:rsidR="002B75B4" w:rsidRPr="00075237" w:rsidRDefault="002B75B4" w:rsidP="002B75B4"/>
    <w:p w14:paraId="31C71A49" w14:textId="77777777" w:rsidR="002B75B4" w:rsidRPr="00075237" w:rsidRDefault="002B75B4" w:rsidP="002B75B4">
      <w:pPr>
        <w:pStyle w:val="Heading1"/>
      </w:pPr>
      <w:r w:rsidRPr="00075237">
        <w:t>Dawlance a installé tout l’équipement pour la fabrication de climatiseurs fonctionnant avec le HFC-32. En 2024, l’entreprise produira 80 pour cent de ses climatiseurs avec du HFC-32; en 2025, elle se sera entièrement convertie au HFC-32. Cent ensembles d’outils et d’équipements ont été livrés à l’entreprise. Elle a formé 800 techniciens d’entretien sur la manipulation sûre du HFC-32 pendant l’installation, l’entretien et la maintenance.</w:t>
      </w:r>
    </w:p>
    <w:p w14:paraId="3E484294" w14:textId="77777777" w:rsidR="002B75B4" w:rsidRPr="00075237" w:rsidRDefault="002B75B4" w:rsidP="002B75B4">
      <w:pPr>
        <w:rPr>
          <w:u w:val="single"/>
        </w:rPr>
      </w:pPr>
      <w:r w:rsidRPr="00075237">
        <w:rPr>
          <w:u w:val="single"/>
        </w:rPr>
        <w:t>Activités du secteur de l’entretien</w:t>
      </w:r>
    </w:p>
    <w:p w14:paraId="752EFC5B" w14:textId="77777777" w:rsidR="002B75B4" w:rsidRPr="00075237" w:rsidRDefault="002B75B4" w:rsidP="002B75B4"/>
    <w:p w14:paraId="26943209" w14:textId="627BB18D" w:rsidR="002B75B4" w:rsidRPr="00075237" w:rsidRDefault="002B75B4" w:rsidP="002B75B4">
      <w:pPr>
        <w:pStyle w:val="Heading1"/>
      </w:pPr>
      <w:r w:rsidRPr="00075237">
        <w:t xml:space="preserve">Dans le cadre des activités du secteur de l’entretien, l’unité nationale de l’ozone (UNO) prévoit mettre au point les trois formations des douanes et d’application de loi restantes pour un total de 73 agents ainsi qu’achever la formation sur les bonnes pratiques d’entretien pour 200 techniciens supplémentaires. </w:t>
      </w:r>
      <w:r w:rsidRPr="00075237">
        <w:lastRenderedPageBreak/>
        <w:t xml:space="preserve">Un consultant a été embauché pour mettre à jour le programme d’études sur la réfrigération et la climatisation ainsi qu’élaborer une feuille de route pour le projet pilote du système de certification des techniciens en réfrigération et climatisation. Une fois que le projet pilote du programme de certification sera mis au point et approuvé, 120 techniciens devraient être certifiés avant la fin de l’année. De plus, l’UNO imprimera et diffusera des documents informatifs qui ont été précédemment élaborés ou traduits ainsi </w:t>
      </w:r>
      <w:r w:rsidR="00F16C34" w:rsidRPr="00075237">
        <w:t xml:space="preserve">que </w:t>
      </w:r>
      <w:r w:rsidRPr="00075237">
        <w:t>des procédures opérationnelles normalisées pour les intervenants concernés. Toutes les activités seront achevées d’ici le 31 décembre 2024.</w:t>
      </w:r>
    </w:p>
    <w:p w14:paraId="1E504A3B" w14:textId="0A38DB43" w:rsidR="002B75B4" w:rsidRPr="00075237" w:rsidRDefault="00DA621A" w:rsidP="002B75B4">
      <w:pPr>
        <w:pStyle w:val="Heading1"/>
        <w:numPr>
          <w:ilvl w:val="0"/>
          <w:numId w:val="0"/>
        </w:numPr>
        <w:rPr>
          <w:u w:val="single"/>
        </w:rPr>
      </w:pPr>
      <w:r w:rsidRPr="00075237">
        <w:rPr>
          <w:u w:val="single"/>
        </w:rPr>
        <w:t>Taux</w:t>
      </w:r>
      <w:r w:rsidR="002B75B4" w:rsidRPr="00075237">
        <w:rPr>
          <w:u w:val="single"/>
        </w:rPr>
        <w:t xml:space="preserve"> d</w:t>
      </w:r>
      <w:r w:rsidRPr="00075237">
        <w:rPr>
          <w:u w:val="single"/>
        </w:rPr>
        <w:t>e</w:t>
      </w:r>
      <w:r w:rsidR="002B75B4" w:rsidRPr="00075237">
        <w:rPr>
          <w:u w:val="single"/>
        </w:rPr>
        <w:t xml:space="preserve"> décaissement des fonds</w:t>
      </w:r>
    </w:p>
    <w:p w14:paraId="093C6D70" w14:textId="77777777" w:rsidR="002B75B4" w:rsidRPr="00075237" w:rsidRDefault="002B75B4" w:rsidP="002B75B4">
      <w:pPr>
        <w:pStyle w:val="Heading1"/>
      </w:pPr>
      <w:r w:rsidRPr="00075237">
        <w:t>En mars 2024, sur le montant de 5 614 330 $ US approuvé, 5 252 091 $ US ont été décaissés (4 832 043 $ US pour l’ONUDI et 420 048 $ US pour le PNUE). Le solde de 362 239$ US sera décaissé en 2024.</w:t>
      </w:r>
    </w:p>
    <w:p w14:paraId="6E3F1769" w14:textId="77777777" w:rsidR="002B75B4" w:rsidRPr="00075237" w:rsidRDefault="002B75B4" w:rsidP="002B75B4">
      <w:pPr>
        <w:pStyle w:val="Heading1"/>
        <w:numPr>
          <w:ilvl w:val="0"/>
          <w:numId w:val="0"/>
        </w:numPr>
        <w:jc w:val="left"/>
        <w:rPr>
          <w:b/>
          <w:bCs/>
        </w:rPr>
      </w:pPr>
      <w:r w:rsidRPr="00075237">
        <w:rPr>
          <w:b/>
          <w:bCs/>
        </w:rPr>
        <w:t>Observations du Secrétariat</w:t>
      </w:r>
    </w:p>
    <w:p w14:paraId="0571FA0E" w14:textId="77777777" w:rsidR="002B75B4" w:rsidRPr="00075237" w:rsidRDefault="002B75B4" w:rsidP="002B75B4">
      <w:pPr>
        <w:pStyle w:val="Heading1"/>
      </w:pPr>
      <w:r w:rsidRPr="00075237">
        <w:t>Au sujet des difficultés technologiques associées à la conversion des fabricants de mousse pour la vaisselle isotherme, l’ONUDI a indiqué au Secrétariat qu’elle collabore étroitement avec le fournisseur de technologie sur les essais en cours avec la formule utilisant le formiate de méthyle. D’ici la deuxième moitié de 2024, la formule finale fondée sur les résultats des tests sera adoptée.</w:t>
      </w:r>
    </w:p>
    <w:p w14:paraId="00929593" w14:textId="1514F170" w:rsidR="002B75B4" w:rsidRPr="00075237" w:rsidRDefault="002B75B4" w:rsidP="002B75B4">
      <w:pPr>
        <w:pStyle w:val="Heading1"/>
      </w:pPr>
      <w:r w:rsidRPr="00075237">
        <w:t xml:space="preserve">En accord avec la décision 92/15(b), le gouvernement du Pakistan, par le biais de l’ONUDI, continuera de présenter des rapports périodiques sur la mise en œuvre du programme de travail associé aux troisième et </w:t>
      </w:r>
      <w:r w:rsidR="00075237" w:rsidRPr="00075237">
        <w:t>quatrième tranche</w:t>
      </w:r>
      <w:r w:rsidRPr="00075237">
        <w:t xml:space="preserve"> de la phase II du PGEH de façon annuelle jusqu’à l’achèvement du projet ainsi que le rapport d’achèvement de projet à la première réunion de 2025.</w:t>
      </w:r>
    </w:p>
    <w:p w14:paraId="1280DB82" w14:textId="77777777" w:rsidR="002B75B4" w:rsidRPr="00075237" w:rsidRDefault="002B75B4" w:rsidP="00423216">
      <w:pPr>
        <w:keepNext/>
        <w:keepLines/>
        <w:jc w:val="left"/>
        <w:rPr>
          <w:b/>
          <w:bCs/>
        </w:rPr>
      </w:pPr>
      <w:r w:rsidRPr="00075237">
        <w:rPr>
          <w:b/>
          <w:bCs/>
        </w:rPr>
        <w:t>Recommandation</w:t>
      </w:r>
    </w:p>
    <w:p w14:paraId="7471B90E" w14:textId="77777777" w:rsidR="002B75B4" w:rsidRPr="00075237" w:rsidRDefault="002B75B4" w:rsidP="00423216">
      <w:pPr>
        <w:keepNext/>
        <w:keepLines/>
        <w:jc w:val="left"/>
      </w:pPr>
    </w:p>
    <w:p w14:paraId="49D54795" w14:textId="287277B7" w:rsidR="002B75B4" w:rsidRPr="00075237" w:rsidRDefault="002B75B4" w:rsidP="00423216">
      <w:pPr>
        <w:pStyle w:val="Heading1"/>
        <w:keepNext/>
        <w:keepLines/>
      </w:pPr>
      <w:r w:rsidRPr="00075237">
        <w:t>Le Comité exécutif pourrait envisager de prendre note de la mise à jour sur l</w:t>
      </w:r>
      <w:r w:rsidR="001318E4" w:rsidRPr="00075237">
        <w:t>e niveau</w:t>
      </w:r>
      <w:r w:rsidRPr="00075237">
        <w:t xml:space="preserve"> d’avancement de la mise en œuvre des troisième et </w:t>
      </w:r>
      <w:r w:rsidR="00075237" w:rsidRPr="00075237">
        <w:t>quatrième tranche</w:t>
      </w:r>
      <w:r w:rsidRPr="00075237">
        <w:t xml:space="preserve"> de la phase II du plan de gestion de l’élimination des HCFC pour le Pakistan, présenté par l’ONUDI et contenu dans le document UNEP/OzL.Pro/ExCom/94/9.</w:t>
      </w:r>
    </w:p>
    <w:p w14:paraId="1627FA2B" w14:textId="77777777" w:rsidR="002B75B4" w:rsidRPr="00075237" w:rsidRDefault="002B75B4" w:rsidP="002B75B4">
      <w:pPr>
        <w:ind w:left="720"/>
        <w:rPr>
          <w:b/>
          <w:bCs/>
          <w:u w:val="single"/>
        </w:rPr>
      </w:pPr>
    </w:p>
    <w:p w14:paraId="16B511B3" w14:textId="77777777" w:rsidR="002B75B4" w:rsidRPr="00075237" w:rsidRDefault="002B75B4" w:rsidP="002B75B4">
      <w:pPr>
        <w:ind w:left="720"/>
        <w:rPr>
          <w:b/>
          <w:bCs/>
          <w:u w:val="single"/>
        </w:rPr>
      </w:pPr>
      <w:r w:rsidRPr="00075237">
        <w:rPr>
          <w:b/>
          <w:bCs/>
          <w:u w:val="single"/>
        </w:rPr>
        <w:t>Pakistan : Plan de gestion de l’élimination des HCFC (phase III – rapport de situation sur les importations de polyols prémélangés contenant du HCFC-141b et sur l’avancement de la mise en œuvre de l’assistance technique dans le secteur de la fabrication de la mousse)</w:t>
      </w:r>
      <w:r w:rsidRPr="00075237">
        <w:rPr>
          <w:b/>
          <w:bCs/>
        </w:rPr>
        <w:t xml:space="preserve"> (ONUDI et PNUE)</w:t>
      </w:r>
    </w:p>
    <w:p w14:paraId="3B74BDD8" w14:textId="77777777" w:rsidR="002B75B4" w:rsidRPr="00075237" w:rsidRDefault="002B75B4" w:rsidP="002B75B4">
      <w:pPr>
        <w:rPr>
          <w:b/>
          <w:bCs/>
          <w:u w:val="single"/>
        </w:rPr>
      </w:pPr>
    </w:p>
    <w:p w14:paraId="08A3DBB1" w14:textId="77777777" w:rsidR="002B75B4" w:rsidRPr="00075237" w:rsidRDefault="002B75B4" w:rsidP="002B75B4">
      <w:pPr>
        <w:rPr>
          <w:b/>
          <w:bCs/>
        </w:rPr>
      </w:pPr>
      <w:r w:rsidRPr="00075237">
        <w:rPr>
          <w:b/>
          <w:bCs/>
        </w:rPr>
        <w:t>Contexte</w:t>
      </w:r>
    </w:p>
    <w:p w14:paraId="112FCF13" w14:textId="77777777" w:rsidR="002B75B4" w:rsidRPr="00075237" w:rsidRDefault="002B75B4" w:rsidP="002B75B4"/>
    <w:p w14:paraId="7227C119" w14:textId="77777777" w:rsidR="002B75B4" w:rsidRPr="00075237" w:rsidRDefault="002B75B4" w:rsidP="002B75B4">
      <w:pPr>
        <w:pStyle w:val="Heading1"/>
      </w:pPr>
      <w:r w:rsidRPr="00075237">
        <w:t>À la 90</w:t>
      </w:r>
      <w:r w:rsidRPr="00075237">
        <w:rPr>
          <w:vertAlign w:val="superscript"/>
        </w:rPr>
        <w:t>e</w:t>
      </w:r>
      <w:r w:rsidRPr="00075237">
        <w:t> réunion, le Comité exécutif a approuvé la phase III du plan de gestion de l’élimination des HCFC (PGEH) pour le Pakistan et a demandé au gouvernement du Pakistan et à l’ONUDI de continuer à surveiller la situation sur les importations des polyols prémélangés contenant du HCFC-141b et à présenter un rapport annuel sur ces informations jusqu’à ce que l’interdiction de ces importations soit en place, ainsi qu’au sujet de l’avancement de la mise en œuvre de l’assistance technique pour le secteur de la fabrication de la mousse (décisions 90/43(a) et (g)ii)).</w:t>
      </w:r>
    </w:p>
    <w:p w14:paraId="7A27DAEF" w14:textId="77777777" w:rsidR="002B75B4" w:rsidRPr="00075237" w:rsidRDefault="002B75B4" w:rsidP="002B75B4">
      <w:pPr>
        <w:pStyle w:val="Heading1"/>
      </w:pPr>
      <w:r w:rsidRPr="00075237">
        <w:t>À la 92</w:t>
      </w:r>
      <w:r w:rsidRPr="00075237">
        <w:rPr>
          <w:vertAlign w:val="superscript"/>
        </w:rPr>
        <w:t>e</w:t>
      </w:r>
      <w:r w:rsidRPr="00075237">
        <w:t> réunion, le Comité exécutif a demandé au gouvernement du Pakistan, par le biais de l’ONUDI, de continuer à présenter des rapports d’information sur la situation des importations de polyols prémélangés contenant du HCFC-141b de façon annuelle jusqu’à ce que l’interdiction sur ces importations soit en place, ainsi qu’au sujet de l’avancement de la mise en œuvre de l’assistance technique pour le secteur de la fabrication de la mousse (décision 92/16(b)).</w:t>
      </w:r>
    </w:p>
    <w:p w14:paraId="6606F098" w14:textId="77777777" w:rsidR="002B75B4" w:rsidRPr="00075237" w:rsidRDefault="002B75B4" w:rsidP="002B75B4">
      <w:pPr>
        <w:pStyle w:val="Heading1"/>
      </w:pPr>
      <w:r w:rsidRPr="00075237">
        <w:lastRenderedPageBreak/>
        <w:t>En accord avec les décisions 90/43(a), g)ii) et 92/16(b), l’ONUDI a présenté un rapport périodique à la réunion en cours.</w:t>
      </w:r>
    </w:p>
    <w:p w14:paraId="3348D51B" w14:textId="77777777" w:rsidR="002B75B4" w:rsidRPr="00075237" w:rsidRDefault="002B75B4" w:rsidP="002B75B4">
      <w:pPr>
        <w:rPr>
          <w:b/>
          <w:bCs/>
        </w:rPr>
      </w:pPr>
      <w:r w:rsidRPr="00075237">
        <w:rPr>
          <w:b/>
          <w:bCs/>
        </w:rPr>
        <w:t>Rapport périodique</w:t>
      </w:r>
    </w:p>
    <w:p w14:paraId="0C243724" w14:textId="77777777" w:rsidR="002B75B4" w:rsidRPr="00075237" w:rsidRDefault="002B75B4" w:rsidP="002B75B4"/>
    <w:p w14:paraId="64641ABF" w14:textId="77777777" w:rsidR="002B75B4" w:rsidRPr="00075237" w:rsidRDefault="002B75B4" w:rsidP="002B75B4">
      <w:pPr>
        <w:rPr>
          <w:u w:val="single"/>
        </w:rPr>
      </w:pPr>
      <w:r w:rsidRPr="00075237">
        <w:rPr>
          <w:u w:val="single"/>
        </w:rPr>
        <w:t>Situation sur les importations de polyols prémélangés contenant du HCFC-141b</w:t>
      </w:r>
    </w:p>
    <w:p w14:paraId="6F62F3D7" w14:textId="77777777" w:rsidR="002B75B4" w:rsidRPr="00075237" w:rsidRDefault="002B75B4" w:rsidP="002B75B4"/>
    <w:p w14:paraId="423172DF" w14:textId="77777777" w:rsidR="002B75B4" w:rsidRPr="00075237" w:rsidRDefault="002B75B4" w:rsidP="002B75B4">
      <w:pPr>
        <w:pStyle w:val="Heading1"/>
      </w:pPr>
      <w:r w:rsidRPr="00075237">
        <w:t xml:space="preserve">L’importation totale de HCFC-141b contenu dans les polyols prémélangés pour 2022 et 2023 est respectivement de 13,09 tonnes PAO (119,0 tm) et 34,92 tonnes PAO (317,47 tm), et aucune importation n’a été déclarée pour 2021. </w:t>
      </w:r>
    </w:p>
    <w:p w14:paraId="7E10A0E9" w14:textId="6EB92151" w:rsidR="002B75B4" w:rsidRPr="00075237" w:rsidRDefault="002B75B4" w:rsidP="002B75B4">
      <w:pPr>
        <w:pStyle w:val="Heading1"/>
      </w:pPr>
      <w:r w:rsidRPr="00075237">
        <w:t>En réponse à la demande de la décision</w:t>
      </w:r>
      <w:r w:rsidR="002479F6" w:rsidRPr="00075237">
        <w:t> </w:t>
      </w:r>
      <w:r w:rsidRPr="00075237">
        <w:t xml:space="preserve">92/16(b), des efforts ont été déployés pour honorer le mandat de communiquer les informations sur la situation des importations de polyols prémélangés contenant du HCFC-141b. L’UNO s’est récemment entretenue avec les </w:t>
      </w:r>
      <w:r w:rsidR="00E74C28" w:rsidRPr="00075237">
        <w:t>parties prenantes</w:t>
      </w:r>
      <w:r w:rsidRPr="00075237">
        <w:t xml:space="preserve"> concernant l’interdiction sur l’importation de ces substances. Par conséquent, un projet de règlement a été préparé, indiquant une avancée vers la mise en œuvre de l’interdiction. Ces mesures proactives s’harmonisent à la demande stipulée et signifient qu’il y a un effort concerté vers la conformité et la gestion efficace de l’usage du HCFC-141b dans le secteur de la fabrication de la mousse. </w:t>
      </w:r>
    </w:p>
    <w:p w14:paraId="5EFA0AEC" w14:textId="77777777" w:rsidR="002B75B4" w:rsidRPr="00075237" w:rsidRDefault="002B75B4" w:rsidP="002B75B4">
      <w:pPr>
        <w:rPr>
          <w:u w:val="single"/>
        </w:rPr>
      </w:pPr>
      <w:r w:rsidRPr="00075237">
        <w:rPr>
          <w:u w:val="single"/>
        </w:rPr>
        <w:t>Mise en œuvre de l’assistance technique pour le secteur de la fabrication de la mousse dans le cadre de la phase III</w:t>
      </w:r>
    </w:p>
    <w:p w14:paraId="3981D860" w14:textId="77777777" w:rsidR="002B75B4" w:rsidRPr="00075237" w:rsidRDefault="002B75B4" w:rsidP="002B75B4"/>
    <w:p w14:paraId="4556B025" w14:textId="182593FE" w:rsidR="002B75B4" w:rsidRPr="00075237" w:rsidRDefault="002B75B4" w:rsidP="002B75B4">
      <w:pPr>
        <w:pStyle w:val="Heading1"/>
      </w:pPr>
      <w:r w:rsidRPr="00075237">
        <w:t xml:space="preserve">Depuis novembre 2023, du soutien technique a été fourni aux entreprises de mousse pulvérisée afin de tester la formule, y compris l’évaluation de la rentabilité de l’option proposée (soit le formiate de méthyle), ce qui a conduit à la mise au point et à l’adoption de la formule. Pour le secteur de la mousse de PU, la nouvelle machine de fabrication de mousse et de l’équipement de sécurité </w:t>
      </w:r>
      <w:r w:rsidR="00075237" w:rsidRPr="00075237">
        <w:t>a</w:t>
      </w:r>
      <w:r w:rsidRPr="00075237">
        <w:t xml:space="preserve"> été acquis et seront livrés à l’entreprise bénéficiaire dans plusieurs mois. Pour l’isolation de la tuyauterie, du soutien technique a été fourni en vue d’une conversion, du HCFC-141b vers des technologies à faible potentiel de réchauffement de la planète (PRG) qui sont rentables et conformes aux règlements nationaux. L’UNO, de concert avec l’ONUDI, suit étroitement la mise en œuvre des projets de conversion du HCFC-141b grâce à des visites sur les lieux. Pendant l’événement national de l’ozone en septembre 2023, l’UNO et l’ONUDI ont partagé les résultats positifs des projets convertis et diffusé de l’information sur les technologies de remplacement à faible PRG éprouvées dans l’industrie des mousses.</w:t>
      </w:r>
    </w:p>
    <w:p w14:paraId="29B04A0B" w14:textId="77777777" w:rsidR="002B75B4" w:rsidRPr="00075237" w:rsidRDefault="002B75B4" w:rsidP="002B75B4">
      <w:pPr>
        <w:keepNext/>
        <w:rPr>
          <w:b/>
          <w:bCs/>
        </w:rPr>
      </w:pPr>
      <w:r w:rsidRPr="00075237">
        <w:rPr>
          <w:b/>
          <w:bCs/>
        </w:rPr>
        <w:t>Observations du Secrétariat</w:t>
      </w:r>
    </w:p>
    <w:p w14:paraId="6B15503A" w14:textId="77777777" w:rsidR="002B75B4" w:rsidRPr="00075237" w:rsidRDefault="002B75B4" w:rsidP="002B75B4">
      <w:pPr>
        <w:keepNext/>
        <w:rPr>
          <w:b/>
          <w:bCs/>
        </w:rPr>
      </w:pPr>
    </w:p>
    <w:p w14:paraId="2BB39ECF" w14:textId="77777777" w:rsidR="002B75B4" w:rsidRPr="00075237" w:rsidRDefault="002B75B4" w:rsidP="007B0E8B">
      <w:pPr>
        <w:pStyle w:val="Heading1"/>
      </w:pPr>
      <w:r w:rsidRPr="00075237">
        <w:t>L’ONUDI a informé le Secrétariat que l’interdiction sur le HCFC-141b contenu dans les polyols prémélangés importés ne peut pas encore être appliquée en raison de retards dans la mise au point et l’approbation. L’entrée en vigueur est prévue en 2024. Le gouvernement a pleinement conscience de l’indisponibilité du HCFC-141b dans le futur en raison de la fermeture des installations de production du HCFC-141b d’ici 2025 et que les projets de conversion du HCFC-141b dans le secteur de la fabrication de la mousse pourraient être retardés si l’interdiction n’est pas appliquée. Par conséquent, il collabore étroitement avec l’industrie pour s’assurer que l’interdiction est mise en place à un moment aligné à l’élimination du HCFC-141b dans les projets de conversion dans le secteur de la fabrication de la mousse.</w:t>
      </w:r>
    </w:p>
    <w:p w14:paraId="24E027AB" w14:textId="77777777" w:rsidR="002B75B4" w:rsidRPr="00075237" w:rsidRDefault="002B75B4" w:rsidP="007B0E8B">
      <w:pPr>
        <w:keepNext/>
        <w:rPr>
          <w:b/>
          <w:bCs/>
        </w:rPr>
      </w:pPr>
      <w:r w:rsidRPr="00075237">
        <w:rPr>
          <w:b/>
          <w:bCs/>
        </w:rPr>
        <w:t>Recommandation</w:t>
      </w:r>
    </w:p>
    <w:p w14:paraId="465E9500" w14:textId="77777777" w:rsidR="002B75B4" w:rsidRPr="00075237" w:rsidRDefault="002B75B4" w:rsidP="007B0E8B">
      <w:pPr>
        <w:keepNext/>
        <w:rPr>
          <w:b/>
          <w:bCs/>
        </w:rPr>
      </w:pPr>
    </w:p>
    <w:p w14:paraId="3586FE96" w14:textId="77777777" w:rsidR="002B75B4" w:rsidRPr="00075237" w:rsidRDefault="002B75B4" w:rsidP="007B0E8B">
      <w:pPr>
        <w:pStyle w:val="Heading1"/>
        <w:keepNext/>
      </w:pPr>
      <w:r w:rsidRPr="00075237">
        <w:t>Le Comité exécutif pourrait envisager :</w:t>
      </w:r>
    </w:p>
    <w:p w14:paraId="16E19550" w14:textId="77777777" w:rsidR="002B75B4" w:rsidRPr="00075237" w:rsidRDefault="002B75B4" w:rsidP="002B75B4">
      <w:pPr>
        <w:pStyle w:val="Heading2"/>
        <w:numPr>
          <w:ilvl w:val="1"/>
          <w:numId w:val="1"/>
        </w:numPr>
      </w:pPr>
      <w:r w:rsidRPr="00075237">
        <w:t xml:space="preserve">De prendre note du rapport sur la situation des importations de polyols prémélangés contenant du HCFC-141b et de l’avancement de l’assistance technique pour le secteur de la fabrication de la mousse dans le cadre de la phase III du plan de gestion de l’élimination des HCFC pour le Pakistan, présenté par l’ONUDI, et contenu dans le </w:t>
      </w:r>
      <w:r w:rsidRPr="00075237">
        <w:lastRenderedPageBreak/>
        <w:t xml:space="preserve">document UNEP/OzL.Pro/ExCom/94/9; </w:t>
      </w:r>
    </w:p>
    <w:p w14:paraId="6729E937" w14:textId="77777777" w:rsidR="002B75B4" w:rsidRPr="00075237" w:rsidRDefault="002B75B4" w:rsidP="002B75B4">
      <w:pPr>
        <w:pStyle w:val="Heading2"/>
        <w:numPr>
          <w:ilvl w:val="1"/>
          <w:numId w:val="1"/>
        </w:numPr>
      </w:pPr>
      <w:r w:rsidRPr="00075237">
        <w:t>De demander au gouvernement du Pakistan, par le biais de l’ONUDI, de continuer à présenter des rapports :</w:t>
      </w:r>
    </w:p>
    <w:p w14:paraId="4DE4C3F0" w14:textId="77777777" w:rsidR="002B75B4" w:rsidRPr="00075237" w:rsidRDefault="002B75B4" w:rsidP="002B75B4">
      <w:pPr>
        <w:pStyle w:val="Heading3"/>
        <w:numPr>
          <w:ilvl w:val="2"/>
          <w:numId w:val="1"/>
        </w:numPr>
      </w:pPr>
      <w:r w:rsidRPr="00075237">
        <w:t>Sur la situation de l’interdiction sur les importations de HCFC-141b contenu dans les polyols prémélangés importés, en prenant note que l’interdiction devrait être appliquée en 2024;</w:t>
      </w:r>
    </w:p>
    <w:p w14:paraId="5C3DA9AC" w14:textId="77777777" w:rsidR="002B75B4" w:rsidRPr="00075237" w:rsidRDefault="002B75B4" w:rsidP="002B75B4">
      <w:pPr>
        <w:pStyle w:val="Heading3"/>
        <w:numPr>
          <w:ilvl w:val="2"/>
          <w:numId w:val="1"/>
        </w:numPr>
      </w:pPr>
      <w:r w:rsidRPr="00075237">
        <w:t>Sur la situation des importations de polyols prémélangés contenant du HCFC-141b de façon annuelle jusqu’à ce que l’interdiction sur ces importations soit en place et sur l’avancement de la mise en œuvre de l’assistance technique pour le secteur de la fabrication de la mousse.</w:t>
      </w:r>
    </w:p>
    <w:p w14:paraId="44A3235F" w14:textId="77777777" w:rsidR="002B75B4" w:rsidRPr="00075237" w:rsidRDefault="002B75B4" w:rsidP="002B75B4">
      <w:pPr>
        <w:pStyle w:val="Title1"/>
        <w:jc w:val="right"/>
        <w:rPr>
          <w:b w:val="0"/>
        </w:rPr>
      </w:pPr>
    </w:p>
    <w:p w14:paraId="53A8F2D1" w14:textId="77777777" w:rsidR="008314AA" w:rsidRPr="00075237" w:rsidRDefault="008314AA" w:rsidP="00B42DA1">
      <w:pPr>
        <w:spacing w:after="240"/>
        <w:ind w:left="709"/>
        <w:rPr>
          <w:b/>
          <w:bCs/>
        </w:rPr>
      </w:pPr>
      <w:r w:rsidRPr="00075237">
        <w:rPr>
          <w:b/>
          <w:bCs/>
          <w:u w:val="single"/>
        </w:rPr>
        <w:t>Afrique du Sud : Plan de gestion de l’élimination des HCFC (phase I – rapport périodique final sur la mise en œuvre de la cinquième et dernière tranche)</w:t>
      </w:r>
      <w:r w:rsidRPr="00075237">
        <w:rPr>
          <w:b/>
          <w:bCs/>
        </w:rPr>
        <w:t xml:space="preserve"> (ONUDI)</w:t>
      </w:r>
    </w:p>
    <w:p w14:paraId="1378134C" w14:textId="77777777" w:rsidR="008314AA" w:rsidRPr="00075237" w:rsidRDefault="008314AA" w:rsidP="008314AA">
      <w:pPr>
        <w:spacing w:before="240" w:after="240"/>
        <w:rPr>
          <w:b/>
        </w:rPr>
      </w:pPr>
      <w:r w:rsidRPr="00075237">
        <w:rPr>
          <w:b/>
        </w:rPr>
        <w:t>Contexte</w:t>
      </w:r>
    </w:p>
    <w:p w14:paraId="0088F626" w14:textId="62F3F3FF" w:rsidR="008314AA" w:rsidRPr="00075237" w:rsidRDefault="008314AA" w:rsidP="008314AA">
      <w:pPr>
        <w:pStyle w:val="Heading1"/>
      </w:pPr>
      <w:r w:rsidRPr="00075237">
        <w:t>La phase I du plan de gestion de l’élimination des HCFC (PGEH) pour l’Afrique du Sud a été approuvée à la 67</w:t>
      </w:r>
      <w:r w:rsidRPr="00075237">
        <w:rPr>
          <w:vertAlign w:val="superscript"/>
        </w:rPr>
        <w:t>e</w:t>
      </w:r>
      <w:r w:rsidRPr="00075237">
        <w:t> réunion</w:t>
      </w:r>
      <w:r w:rsidRPr="00075237">
        <w:rPr>
          <w:vertAlign w:val="superscript"/>
        </w:rPr>
        <w:footnoteReference w:id="15"/>
      </w:r>
      <w:r w:rsidRPr="00075237">
        <w:t xml:space="preserve"> pour éliminer 176,72 tonnes PAO de HCFC utilisées dans le secteur de la fabrication de la mousse de polyuréthane et le secteur de l’entretien de l’équipement de réfrigération et de climatisation, ainsi que pour respecter la réduction de 35 pour cent de la valeur de référence avant 2020, pour un montant total de 6 533 556 $ US, plus les coûts d’appui d’agence. À la 91</w:t>
      </w:r>
      <w:r w:rsidRPr="00075237">
        <w:rPr>
          <w:vertAlign w:val="superscript"/>
        </w:rPr>
        <w:t>e</w:t>
      </w:r>
      <w:r w:rsidRPr="00075237">
        <w:t> réunion, en approuvant la cinquième tranche de la phase I du PGEH, le Comité exécutif a approuvé une prolongation</w:t>
      </w:r>
      <w:r w:rsidRPr="00075237">
        <w:rPr>
          <w:rStyle w:val="FootnoteReference"/>
        </w:rPr>
        <w:footnoteReference w:id="16"/>
      </w:r>
      <w:r w:rsidRPr="00075237">
        <w:t xml:space="preserve"> de la phase jusqu’au 31 décembre 2023 et a notamment demandé à l’ONUDI de présenter un rapport périodique final sur la mise en œuvre sur programme de travail associé à la dernière tranche, et le rapport d’achèvement du projet à la deuxième réunion du Comité exécutif de 2024 (décision 91/41)</w:t>
      </w:r>
      <w:r w:rsidRPr="00075237">
        <w:rPr>
          <w:rStyle w:val="FootnoteReference"/>
        </w:rPr>
        <w:footnoteReference w:id="17"/>
      </w:r>
      <w:r w:rsidRPr="00075237">
        <w:t>.</w:t>
      </w:r>
    </w:p>
    <w:p w14:paraId="2157B160" w14:textId="77777777" w:rsidR="008314AA" w:rsidRPr="00075237" w:rsidRDefault="008314AA" w:rsidP="008314AA">
      <w:pPr>
        <w:pStyle w:val="Heading1"/>
        <w:suppressAutoHyphens/>
      </w:pPr>
      <w:r w:rsidRPr="00075237">
        <w:t>À la 93</w:t>
      </w:r>
      <w:r w:rsidRPr="00075237">
        <w:rPr>
          <w:vertAlign w:val="superscript"/>
        </w:rPr>
        <w:t>e</w:t>
      </w:r>
      <w:r w:rsidRPr="00075237">
        <w:t> réunion, le Comité exécutif a pris note de la présentation par l’ONUDI du rapport périodique, qui sera examiné et présenté par le Secrétariat à la 94</w:t>
      </w:r>
      <w:r w:rsidRPr="00075237">
        <w:rPr>
          <w:vertAlign w:val="superscript"/>
        </w:rPr>
        <w:t>e</w:t>
      </w:r>
      <w:r w:rsidRPr="00075237">
        <w:t> réunion</w:t>
      </w:r>
      <w:r w:rsidRPr="00075237">
        <w:rPr>
          <w:rStyle w:val="FootnoteReference"/>
        </w:rPr>
        <w:footnoteReference w:id="18"/>
      </w:r>
      <w:r w:rsidRPr="00075237">
        <w:t>.</w:t>
      </w:r>
      <w:bookmarkStart w:id="4" w:name="_Hlk104490205"/>
    </w:p>
    <w:p w14:paraId="3C3C71BD" w14:textId="77777777" w:rsidR="008314AA" w:rsidRPr="00075237" w:rsidRDefault="008314AA" w:rsidP="008314AA">
      <w:pPr>
        <w:pStyle w:val="Heading1"/>
        <w:numPr>
          <w:ilvl w:val="0"/>
          <w:numId w:val="0"/>
        </w:numPr>
        <w:rPr>
          <w:rFonts w:ascii="Times New Roman Bold" w:hAnsi="Times New Roman Bold"/>
          <w:b/>
          <w:bCs/>
          <w:spacing w:val="-4"/>
        </w:rPr>
      </w:pPr>
      <w:r w:rsidRPr="00075237">
        <w:rPr>
          <w:rFonts w:ascii="Times New Roman Bold" w:hAnsi="Times New Roman Bold"/>
          <w:b/>
          <w:bCs/>
        </w:rPr>
        <w:t>Rapport périodique sur la mise en œuvre de la cinquième tranche de la phase I du plan de gestion de l’élimination des HCFC</w:t>
      </w:r>
    </w:p>
    <w:p w14:paraId="75E43809" w14:textId="77777777" w:rsidR="008314AA" w:rsidRPr="00075237" w:rsidRDefault="008314AA" w:rsidP="008314AA">
      <w:pPr>
        <w:spacing w:after="240"/>
        <w:rPr>
          <w:iCs/>
          <w:u w:val="single"/>
        </w:rPr>
      </w:pPr>
      <w:r w:rsidRPr="00075237">
        <w:rPr>
          <w:iCs/>
          <w:u w:val="single"/>
        </w:rPr>
        <w:t>Rapport sur la consommation des HCFC</w:t>
      </w:r>
    </w:p>
    <w:p w14:paraId="4F46A7A8" w14:textId="77777777" w:rsidR="008314AA" w:rsidRPr="00075237" w:rsidRDefault="008314AA" w:rsidP="008314AA">
      <w:pPr>
        <w:pStyle w:val="Heading1"/>
      </w:pPr>
      <w:r w:rsidRPr="00075237">
        <w:t>Le gouvernement de l’Afrique du Sud a communiqué une consommation de 74,71 tonnes PAO de HCFC en 2023 aux termes de l’Article 7 du Protocole de Montréal, ce qui est 80 pour cent inférieur à la valeur de référence des HCFC du pays pour la conformité et 62 pour cent sous la consommation maximale autorisée pour la même année.</w:t>
      </w:r>
    </w:p>
    <w:p w14:paraId="649AB192" w14:textId="77777777" w:rsidR="008314AA" w:rsidRPr="00075237" w:rsidRDefault="008314AA" w:rsidP="007B0E8B">
      <w:pPr>
        <w:keepNext/>
        <w:spacing w:after="240"/>
        <w:rPr>
          <w:iCs/>
          <w:u w:val="single"/>
        </w:rPr>
      </w:pPr>
      <w:bookmarkStart w:id="5" w:name="_Hlk166343928"/>
      <w:bookmarkEnd w:id="4"/>
      <w:r w:rsidRPr="00075237">
        <w:rPr>
          <w:iCs/>
          <w:u w:val="single"/>
        </w:rPr>
        <w:t>Secteur de l’entretien de l’équipement de réfrigération</w:t>
      </w:r>
    </w:p>
    <w:bookmarkEnd w:id="5"/>
    <w:p w14:paraId="1D9B0A34" w14:textId="77777777" w:rsidR="008314AA" w:rsidRPr="00075237" w:rsidRDefault="008314AA" w:rsidP="008314AA">
      <w:pPr>
        <w:pStyle w:val="Heading1"/>
      </w:pPr>
      <w:r w:rsidRPr="00075237">
        <w:t>Le rapport indique que toutes les activités dans le cadre de la cinquième tranche ont été achevées comme ceci :</w:t>
      </w:r>
    </w:p>
    <w:p w14:paraId="5FE33066" w14:textId="77777777" w:rsidR="008314AA" w:rsidRPr="00075237" w:rsidRDefault="008314AA" w:rsidP="008314AA">
      <w:pPr>
        <w:pStyle w:val="Heading2"/>
        <w:widowControl/>
        <w:numPr>
          <w:ilvl w:val="1"/>
          <w:numId w:val="1"/>
        </w:numPr>
        <w:rPr>
          <w:rFonts w:cstheme="minorHAnsi"/>
          <w:kern w:val="36"/>
        </w:rPr>
      </w:pPr>
      <w:r w:rsidRPr="00075237">
        <w:rPr>
          <w:color w:val="1C1917"/>
        </w:rPr>
        <w:lastRenderedPageBreak/>
        <w:t xml:space="preserve">L’évaluation </w:t>
      </w:r>
      <w:r w:rsidRPr="00075237">
        <w:t xml:space="preserve">de l’impact potentiel de l’interdiction sur les importations des bonbonnes non rechargeables a été achevée, les résultats ont été présentés à l’Unité nationale de l’ozone (UNO) et une </w:t>
      </w:r>
      <w:r w:rsidRPr="00075237">
        <w:rPr>
          <w:color w:val="1C1917"/>
        </w:rPr>
        <w:t>enquête sur le stockage et la manutention des bonbonnes rechargeables par les techniciens</w:t>
      </w:r>
      <w:bookmarkStart w:id="6" w:name="_Hlk162112782"/>
      <w:r w:rsidRPr="00075237">
        <w:rPr>
          <w:color w:val="1C1917"/>
        </w:rPr>
        <w:t xml:space="preserve"> a été réalisée</w:t>
      </w:r>
      <w:r w:rsidRPr="00075237">
        <w:t>. Pendant la phase II du PGEH, l’UNO poursuivra ses consultations en cours avec les principaux intervenants sur la publication de l’interdiction, avec des résultats qui seront inclus dans le rapport périodique présenté avec la demande de la deuxième tranche;</w:t>
      </w:r>
    </w:p>
    <w:bookmarkEnd w:id="6"/>
    <w:p w14:paraId="29C4AC25" w14:textId="2CFB30E3" w:rsidR="008314AA" w:rsidRPr="00075237" w:rsidRDefault="008314AA" w:rsidP="008314AA">
      <w:pPr>
        <w:pStyle w:val="Heading2"/>
        <w:widowControl/>
        <w:numPr>
          <w:ilvl w:val="1"/>
          <w:numId w:val="1"/>
        </w:numPr>
        <w:spacing w:after="0"/>
        <w:rPr>
          <w:rFonts w:eastAsia="SimSun"/>
        </w:rPr>
      </w:pPr>
      <w:r w:rsidRPr="00075237">
        <w:t>Des ateliers de formation sur le permis électronique ont été mené</w:t>
      </w:r>
      <w:r w:rsidR="00891892" w:rsidRPr="00075237">
        <w:t>s</w:t>
      </w:r>
      <w:r w:rsidRPr="00075237">
        <w:t xml:space="preserve"> pour 150 fournisseurs d’entretien en réfrigération sur les systèmes électroniques de conformité à venir et les exigences en matière de données; sept ateliers de formation ont eu lieu pour un total de 140 agents nationaux des douanes et agents frontaliers des pays voisins, avec une attention sur la prévention des expéditions illicites de substances appauvrissant la couche d’ozone (SAO) et le renforcement de la coordination entre les frontières;</w:t>
      </w:r>
    </w:p>
    <w:p w14:paraId="790CE147" w14:textId="77777777" w:rsidR="008314AA" w:rsidRPr="00075237" w:rsidRDefault="008314AA" w:rsidP="008314AA">
      <w:pPr>
        <w:pStyle w:val="Heading2"/>
        <w:widowControl/>
        <w:numPr>
          <w:ilvl w:val="1"/>
          <w:numId w:val="1"/>
        </w:numPr>
        <w:spacing w:before="240"/>
        <w:rPr>
          <w:rFonts w:eastAsia="SimSun"/>
        </w:rPr>
      </w:pPr>
      <w:r w:rsidRPr="00075237">
        <w:t>Six ateliers de formation ont eu lieu pour 312 techniciens en réfrigération et climatisation partout au pays sur les pratiques d’excellence pour l’installation et l’entretien de l’équipement fonctionnant avec un fluide frigorigène sans SAO et à faible potentiel de réchauffement de la planète (PRG) pour optimiser l’efficacité énergétique et minimiser les fuites;</w:t>
      </w:r>
    </w:p>
    <w:p w14:paraId="7E2B58D3" w14:textId="77777777" w:rsidR="008314AA" w:rsidRPr="00075237" w:rsidRDefault="008314AA" w:rsidP="008314AA">
      <w:pPr>
        <w:pStyle w:val="Heading2"/>
        <w:widowControl/>
        <w:numPr>
          <w:ilvl w:val="1"/>
          <w:numId w:val="1"/>
        </w:numPr>
      </w:pPr>
      <w:bookmarkStart w:id="7" w:name="_Hlk162118020"/>
      <w:r w:rsidRPr="00075237">
        <w:t>De la formation a été dispensée à tous les exploitants des centres de récupération, recyclage et régénération (RRR) de frigorigènes existants sur les pratiques d’excellence et les méthodes de régénération responsable, de suivi et de production de rapport sur les données des SAO;</w:t>
      </w:r>
      <w:bookmarkEnd w:id="7"/>
    </w:p>
    <w:p w14:paraId="5FFB968E" w14:textId="6AEEBCE0" w:rsidR="008314AA" w:rsidRPr="00075237" w:rsidRDefault="008314AA" w:rsidP="008314AA">
      <w:pPr>
        <w:pStyle w:val="Heading2"/>
        <w:widowControl/>
        <w:numPr>
          <w:ilvl w:val="1"/>
          <w:numId w:val="1"/>
        </w:numPr>
        <w:rPr>
          <w:rFonts w:cstheme="minorHAnsi"/>
          <w:kern w:val="36"/>
        </w:rPr>
      </w:pPr>
      <w:bookmarkStart w:id="8" w:name="_Hlk162113244"/>
      <w:r w:rsidRPr="00075237">
        <w:t xml:space="preserve">Quatre projets pilotes pour démontrer les économies d’énergie et de coûts obtenues par l’exploitation de divers systèmes de réfrigération et de climatisation fonctionnant avec des frigorigènes sans SAO et à faible PRG </w:t>
      </w:r>
      <w:bookmarkStart w:id="9" w:name="_Hlk162114492"/>
      <w:bookmarkEnd w:id="8"/>
      <w:r w:rsidRPr="00075237">
        <w:t>ont été achevés, malgré les retards en raison d’une augmentation imprévue des coûts du projet. La répartition des coûts pour les quatre projets pilotes, les économies de frigorigènes et les détails du cofinancement est présentée au tableau 5.</w:t>
      </w:r>
    </w:p>
    <w:p w14:paraId="51CBA1D2" w14:textId="297A9E23" w:rsidR="008314AA" w:rsidRPr="00075237" w:rsidRDefault="008314AA" w:rsidP="008314AA">
      <w:pPr>
        <w:rPr>
          <w:b/>
          <w:bCs/>
        </w:rPr>
      </w:pPr>
      <w:r w:rsidRPr="00075237">
        <w:rPr>
          <w:b/>
          <w:bCs/>
        </w:rPr>
        <w:t>Tableau 5. Rapport périodique sur les projets de démonstration aux utilisateurs finaux</w:t>
      </w:r>
    </w:p>
    <w:tbl>
      <w:tblPr>
        <w:tblW w:w="5000" w:type="pct"/>
        <w:tblCellMar>
          <w:left w:w="0" w:type="dxa"/>
          <w:right w:w="0" w:type="dxa"/>
        </w:tblCellMar>
        <w:tblLook w:val="04A0" w:firstRow="1" w:lastRow="0" w:firstColumn="1" w:lastColumn="0" w:noHBand="0" w:noVBand="1"/>
      </w:tblPr>
      <w:tblGrid>
        <w:gridCol w:w="1425"/>
        <w:gridCol w:w="1096"/>
        <w:gridCol w:w="730"/>
        <w:gridCol w:w="831"/>
        <w:gridCol w:w="2854"/>
        <w:gridCol w:w="1228"/>
        <w:gridCol w:w="1186"/>
      </w:tblGrid>
      <w:tr w:rsidR="008314AA" w:rsidRPr="00075237" w14:paraId="2C7A0EB4" w14:textId="77777777" w:rsidTr="007B0E8B">
        <w:trPr>
          <w:cantSplit/>
          <w:trHeight w:val="146"/>
          <w:tblHeader/>
        </w:trPr>
        <w:tc>
          <w:tcPr>
            <w:tcW w:w="662"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0C0BE622" w14:textId="77777777" w:rsidR="008314AA" w:rsidRPr="00075237" w:rsidRDefault="008314AA" w:rsidP="00C30F95">
            <w:pPr>
              <w:jc w:val="center"/>
              <w:rPr>
                <w:b/>
                <w:bCs/>
                <w:color w:val="000000"/>
                <w:sz w:val="16"/>
                <w:szCs w:val="16"/>
              </w:rPr>
            </w:pPr>
            <w:r w:rsidRPr="00075237">
              <w:rPr>
                <w:b/>
                <w:bCs/>
                <w:color w:val="000000"/>
                <w:sz w:val="16"/>
                <w:szCs w:val="16"/>
              </w:rPr>
              <w:t>Bénéficiaire/sous-secteur</w:t>
            </w:r>
          </w:p>
        </w:tc>
        <w:tc>
          <w:tcPr>
            <w:tcW w:w="147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F886EF5" w14:textId="77777777" w:rsidR="008314AA" w:rsidRPr="00075237" w:rsidRDefault="008314AA" w:rsidP="00C30F95">
            <w:pPr>
              <w:jc w:val="center"/>
              <w:rPr>
                <w:b/>
                <w:bCs/>
                <w:color w:val="000000"/>
                <w:sz w:val="16"/>
                <w:szCs w:val="16"/>
              </w:rPr>
            </w:pPr>
            <w:r w:rsidRPr="00075237">
              <w:rPr>
                <w:b/>
                <w:bCs/>
                <w:color w:val="000000"/>
                <w:sz w:val="16"/>
                <w:szCs w:val="16"/>
              </w:rPr>
              <w:t>Équipement remplacé</w:t>
            </w:r>
          </w:p>
        </w:tc>
        <w:tc>
          <w:tcPr>
            <w:tcW w:w="1543" w:type="pct"/>
            <w:vMerge w:val="restart"/>
            <w:tcBorders>
              <w:top w:val="single" w:sz="4" w:space="0" w:color="auto"/>
              <w:left w:val="single" w:sz="4" w:space="0" w:color="auto"/>
              <w:right w:val="single" w:sz="4" w:space="0" w:color="auto"/>
            </w:tcBorders>
            <w:shd w:val="clear" w:color="auto" w:fill="auto"/>
            <w:vAlign w:val="center"/>
          </w:tcPr>
          <w:p w14:paraId="70158737" w14:textId="77777777" w:rsidR="008314AA" w:rsidRPr="00075237" w:rsidRDefault="008314AA" w:rsidP="00C30F95">
            <w:pPr>
              <w:jc w:val="center"/>
              <w:rPr>
                <w:b/>
                <w:bCs/>
                <w:color w:val="000000"/>
                <w:sz w:val="16"/>
                <w:szCs w:val="16"/>
              </w:rPr>
            </w:pPr>
            <w:r w:rsidRPr="00075237">
              <w:rPr>
                <w:b/>
                <w:bCs/>
                <w:color w:val="000000"/>
                <w:sz w:val="16"/>
                <w:szCs w:val="16"/>
              </w:rPr>
              <w:t>Solution de remplacement sélectionnée</w:t>
            </w:r>
          </w:p>
        </w:tc>
        <w:tc>
          <w:tcPr>
            <w:tcW w:w="673"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04F13D7F" w14:textId="77777777" w:rsidR="008314AA" w:rsidRPr="00075237" w:rsidRDefault="008314AA" w:rsidP="00C30F95">
            <w:pPr>
              <w:ind w:left="-183" w:right="-110"/>
              <w:jc w:val="center"/>
              <w:rPr>
                <w:b/>
                <w:bCs/>
                <w:color w:val="000000"/>
                <w:sz w:val="16"/>
                <w:szCs w:val="16"/>
              </w:rPr>
            </w:pPr>
            <w:r w:rsidRPr="00075237">
              <w:rPr>
                <w:b/>
                <w:bCs/>
                <w:color w:val="000000"/>
                <w:sz w:val="16"/>
                <w:szCs w:val="16"/>
              </w:rPr>
              <w:t>Coût total du remplacement y compris</w:t>
            </w:r>
            <w:r w:rsidRPr="00075237">
              <w:rPr>
                <w:b/>
                <w:bCs/>
                <w:color w:val="000000"/>
                <w:sz w:val="16"/>
                <w:szCs w:val="16"/>
              </w:rPr>
              <w:br/>
              <w:t>le cofinancement ($ US)</w:t>
            </w:r>
          </w:p>
        </w:tc>
        <w:tc>
          <w:tcPr>
            <w:tcW w:w="651"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35D0F5FF" w14:textId="77777777" w:rsidR="008314AA" w:rsidRPr="00075237" w:rsidRDefault="008314AA" w:rsidP="00C30F95">
            <w:pPr>
              <w:ind w:left="-99" w:right="-108"/>
              <w:jc w:val="center"/>
              <w:rPr>
                <w:b/>
                <w:bCs/>
                <w:color w:val="000000"/>
                <w:sz w:val="16"/>
                <w:szCs w:val="16"/>
              </w:rPr>
            </w:pPr>
            <w:r w:rsidRPr="00075237">
              <w:rPr>
                <w:b/>
                <w:bCs/>
                <w:color w:val="000000"/>
                <w:sz w:val="16"/>
                <w:szCs w:val="16"/>
              </w:rPr>
              <w:t>Cofinancement par</w:t>
            </w:r>
            <w:r w:rsidRPr="00075237">
              <w:rPr>
                <w:b/>
                <w:bCs/>
                <w:color w:val="000000"/>
                <w:sz w:val="16"/>
                <w:szCs w:val="16"/>
              </w:rPr>
              <w:br/>
              <w:t>bénéficiaire (%)</w:t>
            </w:r>
          </w:p>
        </w:tc>
      </w:tr>
      <w:tr w:rsidR="008314AA" w:rsidRPr="00075237" w14:paraId="27D1E586" w14:textId="77777777" w:rsidTr="00C30F95">
        <w:trPr>
          <w:trHeight w:val="618"/>
        </w:trPr>
        <w:tc>
          <w:tcPr>
            <w:tcW w:w="662"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192EBC7" w14:textId="77777777" w:rsidR="008314AA" w:rsidRPr="00075237" w:rsidRDefault="008314AA" w:rsidP="00C30F95">
            <w:pPr>
              <w:jc w:val="center"/>
              <w:rPr>
                <w:b/>
                <w:bCs/>
                <w:color w:val="000000"/>
                <w:sz w:val="16"/>
                <w:szCs w:val="16"/>
              </w:rPr>
            </w:pP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C6C09B5" w14:textId="77777777" w:rsidR="008314AA" w:rsidRPr="00075237" w:rsidRDefault="008314AA" w:rsidP="00C30F95">
            <w:pPr>
              <w:jc w:val="center"/>
              <w:rPr>
                <w:b/>
                <w:bCs/>
                <w:color w:val="000000"/>
                <w:sz w:val="16"/>
                <w:szCs w:val="16"/>
              </w:rPr>
            </w:pPr>
            <w:r w:rsidRPr="00075237">
              <w:rPr>
                <w:b/>
                <w:bCs/>
                <w:color w:val="000000"/>
                <w:sz w:val="16"/>
                <w:szCs w:val="16"/>
              </w:rPr>
              <w:t>Technologie de référence</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7BD4B7B" w14:textId="77777777" w:rsidR="008314AA" w:rsidRPr="00075237" w:rsidRDefault="008314AA" w:rsidP="00C30F95">
            <w:pPr>
              <w:ind w:left="-115" w:right="-102"/>
              <w:jc w:val="center"/>
              <w:rPr>
                <w:b/>
                <w:bCs/>
                <w:color w:val="000000"/>
                <w:sz w:val="16"/>
                <w:szCs w:val="16"/>
              </w:rPr>
            </w:pPr>
            <w:r w:rsidRPr="00075237">
              <w:rPr>
                <w:b/>
                <w:bCs/>
                <w:color w:val="000000"/>
                <w:sz w:val="16"/>
                <w:szCs w:val="16"/>
              </w:rPr>
              <w:t>Charge unitaire</w:t>
            </w:r>
            <w:r w:rsidRPr="00075237">
              <w:rPr>
                <w:b/>
                <w:bCs/>
                <w:color w:val="000000"/>
                <w:sz w:val="16"/>
                <w:szCs w:val="16"/>
              </w:rPr>
              <w:br/>
              <w:t>(kg)</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40588A5" w14:textId="77777777" w:rsidR="008314AA" w:rsidRPr="00075237" w:rsidRDefault="008314AA" w:rsidP="00C30F95">
            <w:pPr>
              <w:ind w:left="-120" w:right="-83"/>
              <w:jc w:val="center"/>
              <w:rPr>
                <w:b/>
                <w:bCs/>
                <w:color w:val="000000"/>
                <w:sz w:val="16"/>
                <w:szCs w:val="16"/>
              </w:rPr>
            </w:pPr>
            <w:r w:rsidRPr="00075237">
              <w:rPr>
                <w:b/>
                <w:bCs/>
                <w:color w:val="000000"/>
                <w:sz w:val="16"/>
                <w:szCs w:val="16"/>
              </w:rPr>
              <w:t>Usage annuel de HCFC (kg)</w:t>
            </w:r>
          </w:p>
        </w:tc>
        <w:tc>
          <w:tcPr>
            <w:tcW w:w="1543"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3580F6A" w14:textId="77777777" w:rsidR="008314AA" w:rsidRPr="00075237" w:rsidRDefault="008314AA" w:rsidP="00C30F95">
            <w:pPr>
              <w:jc w:val="center"/>
              <w:rPr>
                <w:b/>
                <w:bCs/>
                <w:color w:val="000000"/>
                <w:sz w:val="16"/>
                <w:szCs w:val="16"/>
              </w:rPr>
            </w:pPr>
          </w:p>
        </w:tc>
        <w:tc>
          <w:tcPr>
            <w:tcW w:w="673"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4541785" w14:textId="77777777" w:rsidR="008314AA" w:rsidRPr="00075237" w:rsidRDefault="008314AA" w:rsidP="00C30F95">
            <w:pPr>
              <w:jc w:val="center"/>
              <w:rPr>
                <w:b/>
                <w:bCs/>
                <w:color w:val="000000"/>
                <w:sz w:val="16"/>
                <w:szCs w:val="16"/>
              </w:rPr>
            </w:pPr>
          </w:p>
        </w:tc>
        <w:tc>
          <w:tcPr>
            <w:tcW w:w="651"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9172422" w14:textId="77777777" w:rsidR="008314AA" w:rsidRPr="00075237" w:rsidRDefault="008314AA" w:rsidP="00C30F95">
            <w:pPr>
              <w:jc w:val="center"/>
              <w:rPr>
                <w:b/>
                <w:bCs/>
                <w:color w:val="000000"/>
                <w:sz w:val="16"/>
                <w:szCs w:val="16"/>
              </w:rPr>
            </w:pPr>
          </w:p>
        </w:tc>
      </w:tr>
      <w:tr w:rsidR="008314AA" w:rsidRPr="00075237" w14:paraId="46B3042A" w14:textId="77777777" w:rsidTr="002A641D">
        <w:trPr>
          <w:trHeight w:val="503"/>
        </w:trPr>
        <w:tc>
          <w:tcPr>
            <w:tcW w:w="6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A5F0FDC" w14:textId="77777777" w:rsidR="008314AA" w:rsidRPr="00075237" w:rsidRDefault="008314AA" w:rsidP="00C30F95">
            <w:pPr>
              <w:ind w:right="-23"/>
              <w:jc w:val="left"/>
              <w:rPr>
                <w:sz w:val="16"/>
                <w:szCs w:val="16"/>
              </w:rPr>
            </w:pPr>
            <w:r w:rsidRPr="00075237">
              <w:rPr>
                <w:sz w:val="16"/>
                <w:szCs w:val="16"/>
              </w:rPr>
              <w:t>Industrie laitière</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BF03E04" w14:textId="77777777" w:rsidR="008314AA" w:rsidRPr="00075237" w:rsidRDefault="008314AA" w:rsidP="00C30F95">
            <w:pPr>
              <w:ind w:right="-105"/>
              <w:jc w:val="left"/>
              <w:rPr>
                <w:sz w:val="16"/>
                <w:szCs w:val="16"/>
              </w:rPr>
            </w:pPr>
            <w:r w:rsidRPr="00075237">
              <w:rPr>
                <w:sz w:val="16"/>
                <w:szCs w:val="16"/>
              </w:rPr>
              <w:t>HCFC-22 DX*</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A880A26" w14:textId="77777777" w:rsidR="008314AA" w:rsidRPr="00075237" w:rsidRDefault="008314AA" w:rsidP="00C30F95">
            <w:pPr>
              <w:jc w:val="center"/>
              <w:rPr>
                <w:sz w:val="16"/>
                <w:szCs w:val="16"/>
              </w:rPr>
            </w:pPr>
            <w:r w:rsidRPr="00075237">
              <w:rPr>
                <w:sz w:val="16"/>
                <w:szCs w:val="16"/>
              </w:rPr>
              <w:t>800</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FFA46D2" w14:textId="77777777" w:rsidR="008314AA" w:rsidRPr="00075237" w:rsidRDefault="008314AA" w:rsidP="00C30F95">
            <w:pPr>
              <w:jc w:val="center"/>
              <w:rPr>
                <w:sz w:val="16"/>
                <w:szCs w:val="16"/>
              </w:rPr>
            </w:pPr>
            <w:r w:rsidRPr="00075237">
              <w:rPr>
                <w:sz w:val="16"/>
                <w:szCs w:val="16"/>
              </w:rPr>
              <w:t>498</w:t>
            </w:r>
          </w:p>
        </w:tc>
        <w:tc>
          <w:tcPr>
            <w:tcW w:w="154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F7BB93C" w14:textId="77777777" w:rsidR="008314AA" w:rsidRPr="00075237" w:rsidRDefault="008314AA" w:rsidP="00C30F95">
            <w:pPr>
              <w:jc w:val="left"/>
              <w:rPr>
                <w:sz w:val="16"/>
                <w:szCs w:val="16"/>
              </w:rPr>
            </w:pPr>
            <w:r w:rsidRPr="00075237">
              <w:rPr>
                <w:sz w:val="16"/>
                <w:szCs w:val="16"/>
              </w:rPr>
              <w:t>R-717/glycol/système en cascade au R-744**</w:t>
            </w:r>
          </w:p>
          <w:p w14:paraId="147BB38F" w14:textId="77777777" w:rsidR="00115751" w:rsidRPr="00075237" w:rsidRDefault="00115751" w:rsidP="00C30F95">
            <w:pPr>
              <w:jc w:val="left"/>
              <w:rPr>
                <w:sz w:val="16"/>
                <w:szCs w:val="16"/>
              </w:rPr>
            </w:pPr>
          </w:p>
          <w:p w14:paraId="587E0F8F" w14:textId="77777777" w:rsidR="008314AA" w:rsidRPr="00075237" w:rsidRDefault="008314AA" w:rsidP="00C30F95">
            <w:pPr>
              <w:jc w:val="left"/>
              <w:rPr>
                <w:sz w:val="16"/>
                <w:szCs w:val="16"/>
              </w:rPr>
            </w:pPr>
            <w:r w:rsidRPr="00075237">
              <w:rPr>
                <w:sz w:val="16"/>
                <w:szCs w:val="16"/>
                <w:u w:val="single"/>
              </w:rPr>
              <w:t>Capacité de refroidissement</w:t>
            </w:r>
            <w:r w:rsidRPr="00075237">
              <w:rPr>
                <w:sz w:val="16"/>
                <w:szCs w:val="16"/>
              </w:rPr>
              <w:t> :</w:t>
            </w:r>
          </w:p>
          <w:p w14:paraId="7727B5D7" w14:textId="28284FB2" w:rsidR="008314AA" w:rsidRPr="00075237" w:rsidRDefault="008314AA" w:rsidP="00C30F95">
            <w:pPr>
              <w:jc w:val="left"/>
              <w:rPr>
                <w:sz w:val="16"/>
                <w:szCs w:val="16"/>
              </w:rPr>
            </w:pPr>
            <w:r w:rsidRPr="00075237">
              <w:rPr>
                <w:sz w:val="16"/>
                <w:szCs w:val="16"/>
              </w:rPr>
              <w:t>R-717 MT : 582</w:t>
            </w:r>
            <w:r w:rsidR="005A3F68" w:rsidRPr="00075237">
              <w:rPr>
                <w:sz w:val="16"/>
                <w:szCs w:val="16"/>
              </w:rPr>
              <w:t> </w:t>
            </w:r>
            <w:r w:rsidRPr="00075237">
              <w:rPr>
                <w:sz w:val="16"/>
                <w:szCs w:val="16"/>
              </w:rPr>
              <w:t>kW</w:t>
            </w:r>
            <w:r w:rsidRPr="00075237">
              <w:rPr>
                <w:sz w:val="16"/>
                <w:szCs w:val="16"/>
              </w:rPr>
              <w:br/>
              <w:t>R-744 LT : 67 kW</w:t>
            </w:r>
          </w:p>
        </w:tc>
        <w:tc>
          <w:tcPr>
            <w:tcW w:w="67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977F197" w14:textId="77777777" w:rsidR="008314AA" w:rsidRPr="00075237" w:rsidRDefault="008314AA" w:rsidP="00C30F95">
            <w:pPr>
              <w:jc w:val="right"/>
              <w:rPr>
                <w:sz w:val="16"/>
                <w:szCs w:val="16"/>
              </w:rPr>
            </w:pPr>
            <w:r w:rsidRPr="00075237">
              <w:rPr>
                <w:sz w:val="16"/>
                <w:szCs w:val="16"/>
              </w:rPr>
              <w:t>871 267</w:t>
            </w:r>
          </w:p>
        </w:tc>
        <w:tc>
          <w:tcPr>
            <w:tcW w:w="65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97C0AB2" w14:textId="77777777" w:rsidR="008314AA" w:rsidRPr="00075237" w:rsidRDefault="008314AA" w:rsidP="00C30F95">
            <w:pPr>
              <w:jc w:val="center"/>
              <w:rPr>
                <w:sz w:val="16"/>
                <w:szCs w:val="16"/>
              </w:rPr>
            </w:pPr>
            <w:r w:rsidRPr="00075237">
              <w:rPr>
                <w:sz w:val="16"/>
                <w:szCs w:val="16"/>
              </w:rPr>
              <w:t>87</w:t>
            </w:r>
          </w:p>
        </w:tc>
      </w:tr>
      <w:tr w:rsidR="008314AA" w:rsidRPr="00075237" w14:paraId="2467775C" w14:textId="77777777" w:rsidTr="00C30F95">
        <w:trPr>
          <w:trHeight w:val="621"/>
        </w:trPr>
        <w:tc>
          <w:tcPr>
            <w:tcW w:w="6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CB38D42" w14:textId="77777777" w:rsidR="008314AA" w:rsidRPr="00075237" w:rsidRDefault="008314AA" w:rsidP="00C30F95">
            <w:pPr>
              <w:ind w:right="-23"/>
              <w:rPr>
                <w:sz w:val="16"/>
                <w:szCs w:val="16"/>
              </w:rPr>
            </w:pPr>
            <w:r w:rsidRPr="00075237">
              <w:rPr>
                <w:sz w:val="16"/>
                <w:szCs w:val="16"/>
              </w:rPr>
              <w:t>Supermarché</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F3EFA2F" w14:textId="77777777" w:rsidR="008314AA" w:rsidRPr="00075237" w:rsidRDefault="008314AA" w:rsidP="00C30F95">
            <w:pPr>
              <w:ind w:right="-105"/>
              <w:jc w:val="left"/>
              <w:rPr>
                <w:sz w:val="16"/>
                <w:szCs w:val="16"/>
              </w:rPr>
            </w:pPr>
            <w:r w:rsidRPr="00075237">
              <w:rPr>
                <w:sz w:val="16"/>
                <w:szCs w:val="16"/>
              </w:rPr>
              <w:t>HCFC-22 DX</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E10DBC7" w14:textId="77777777" w:rsidR="008314AA" w:rsidRPr="00075237" w:rsidRDefault="008314AA" w:rsidP="00C30F95">
            <w:pPr>
              <w:jc w:val="center"/>
              <w:rPr>
                <w:sz w:val="16"/>
                <w:szCs w:val="16"/>
              </w:rPr>
            </w:pPr>
            <w:r w:rsidRPr="00075237">
              <w:rPr>
                <w:sz w:val="16"/>
                <w:szCs w:val="16"/>
              </w:rPr>
              <w:t>270</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7CC4120" w14:textId="77777777" w:rsidR="008314AA" w:rsidRPr="00075237" w:rsidRDefault="008314AA" w:rsidP="00C30F95">
            <w:pPr>
              <w:jc w:val="center"/>
              <w:rPr>
                <w:sz w:val="16"/>
                <w:szCs w:val="16"/>
              </w:rPr>
            </w:pPr>
            <w:r w:rsidRPr="00075237">
              <w:rPr>
                <w:sz w:val="16"/>
                <w:szCs w:val="16"/>
              </w:rPr>
              <w:t>336</w:t>
            </w:r>
          </w:p>
        </w:tc>
        <w:tc>
          <w:tcPr>
            <w:tcW w:w="154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01EB4EAE" w14:textId="77777777" w:rsidR="008314AA" w:rsidRPr="00075237" w:rsidRDefault="008314AA" w:rsidP="00C30F95">
            <w:pPr>
              <w:jc w:val="left"/>
              <w:rPr>
                <w:sz w:val="16"/>
                <w:szCs w:val="16"/>
              </w:rPr>
            </w:pPr>
            <w:r w:rsidRPr="00075237">
              <w:rPr>
                <w:sz w:val="16"/>
                <w:szCs w:val="16"/>
              </w:rPr>
              <w:t>Systèmes fonctionnant au R-290 avec une charge inférieure à 500 g liés par un système sur boucle d’eau</w:t>
            </w:r>
          </w:p>
          <w:p w14:paraId="3B362BD3" w14:textId="77777777" w:rsidR="008314AA" w:rsidRPr="00075237" w:rsidRDefault="008314AA" w:rsidP="00C30F95">
            <w:pPr>
              <w:jc w:val="left"/>
              <w:rPr>
                <w:sz w:val="16"/>
                <w:szCs w:val="16"/>
              </w:rPr>
            </w:pPr>
            <w:r w:rsidRPr="00075237">
              <w:rPr>
                <w:sz w:val="16"/>
                <w:szCs w:val="16"/>
                <w:u w:val="single"/>
              </w:rPr>
              <w:t>Capacité de refroidissement</w:t>
            </w:r>
            <w:r w:rsidRPr="00075237">
              <w:rPr>
                <w:sz w:val="16"/>
                <w:szCs w:val="16"/>
              </w:rPr>
              <w:t> :</w:t>
            </w:r>
          </w:p>
          <w:p w14:paraId="283C037D" w14:textId="77777777" w:rsidR="008314AA" w:rsidRPr="00075237" w:rsidRDefault="008314AA" w:rsidP="00C30F95">
            <w:pPr>
              <w:jc w:val="left"/>
              <w:rPr>
                <w:sz w:val="16"/>
                <w:szCs w:val="16"/>
              </w:rPr>
            </w:pPr>
            <w:r w:rsidRPr="00075237">
              <w:rPr>
                <w:sz w:val="16"/>
                <w:szCs w:val="16"/>
              </w:rPr>
              <w:t>R-290 : ca.100 kW</w:t>
            </w:r>
          </w:p>
        </w:tc>
        <w:tc>
          <w:tcPr>
            <w:tcW w:w="67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15EA7FB" w14:textId="77777777" w:rsidR="008314AA" w:rsidRPr="00075237" w:rsidRDefault="008314AA" w:rsidP="00C30F95">
            <w:pPr>
              <w:jc w:val="right"/>
              <w:rPr>
                <w:sz w:val="16"/>
                <w:szCs w:val="16"/>
              </w:rPr>
            </w:pPr>
            <w:r w:rsidRPr="00075237">
              <w:rPr>
                <w:sz w:val="16"/>
                <w:szCs w:val="16"/>
              </w:rPr>
              <w:t>136 171</w:t>
            </w:r>
          </w:p>
        </w:tc>
        <w:tc>
          <w:tcPr>
            <w:tcW w:w="65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75F0C4B" w14:textId="77777777" w:rsidR="008314AA" w:rsidRPr="00075237" w:rsidRDefault="008314AA" w:rsidP="00C30F95">
            <w:pPr>
              <w:jc w:val="center"/>
              <w:rPr>
                <w:sz w:val="16"/>
                <w:szCs w:val="16"/>
              </w:rPr>
            </w:pPr>
            <w:r w:rsidRPr="00075237">
              <w:rPr>
                <w:sz w:val="16"/>
                <w:szCs w:val="16"/>
              </w:rPr>
              <w:t>87</w:t>
            </w:r>
          </w:p>
        </w:tc>
      </w:tr>
      <w:tr w:rsidR="008314AA" w:rsidRPr="00075237" w14:paraId="5DA8AB25" w14:textId="77777777" w:rsidTr="00C30F95">
        <w:trPr>
          <w:trHeight w:val="701"/>
        </w:trPr>
        <w:tc>
          <w:tcPr>
            <w:tcW w:w="6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05ABD4B" w14:textId="77777777" w:rsidR="008314AA" w:rsidRPr="00075237" w:rsidRDefault="008314AA" w:rsidP="00C30F95">
            <w:pPr>
              <w:ind w:right="-23"/>
              <w:rPr>
                <w:sz w:val="16"/>
                <w:szCs w:val="16"/>
              </w:rPr>
            </w:pPr>
            <w:r w:rsidRPr="00075237">
              <w:rPr>
                <w:sz w:val="16"/>
                <w:szCs w:val="16"/>
              </w:rPr>
              <w:t>Supermarché</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41CBAEB" w14:textId="77777777" w:rsidR="008314AA" w:rsidRPr="00075237" w:rsidRDefault="008314AA" w:rsidP="00C30F95">
            <w:pPr>
              <w:ind w:right="129"/>
              <w:rPr>
                <w:sz w:val="16"/>
                <w:szCs w:val="16"/>
              </w:rPr>
            </w:pPr>
            <w:r w:rsidRPr="00075237">
              <w:rPr>
                <w:sz w:val="16"/>
                <w:szCs w:val="16"/>
              </w:rPr>
              <w:t>HCFC-22 DX</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D3B8696" w14:textId="77777777" w:rsidR="008314AA" w:rsidRPr="00075237" w:rsidRDefault="008314AA" w:rsidP="00C30F95">
            <w:pPr>
              <w:jc w:val="center"/>
              <w:rPr>
                <w:sz w:val="16"/>
                <w:szCs w:val="16"/>
              </w:rPr>
            </w:pPr>
            <w:r w:rsidRPr="00075237">
              <w:rPr>
                <w:sz w:val="16"/>
                <w:szCs w:val="16"/>
              </w:rPr>
              <w:t>500</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FA711B0" w14:textId="77777777" w:rsidR="008314AA" w:rsidRPr="00075237" w:rsidRDefault="008314AA" w:rsidP="00C30F95">
            <w:pPr>
              <w:jc w:val="center"/>
              <w:rPr>
                <w:sz w:val="16"/>
                <w:szCs w:val="16"/>
              </w:rPr>
            </w:pPr>
            <w:r w:rsidRPr="00075237">
              <w:rPr>
                <w:sz w:val="16"/>
                <w:szCs w:val="16"/>
              </w:rPr>
              <w:t>192</w:t>
            </w:r>
          </w:p>
        </w:tc>
        <w:tc>
          <w:tcPr>
            <w:tcW w:w="154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75E8E09" w14:textId="77777777" w:rsidR="008314AA" w:rsidRPr="00075237" w:rsidRDefault="008314AA" w:rsidP="00C30F95">
            <w:pPr>
              <w:jc w:val="left"/>
              <w:rPr>
                <w:sz w:val="16"/>
                <w:szCs w:val="16"/>
              </w:rPr>
            </w:pPr>
            <w:r w:rsidRPr="00075237">
              <w:rPr>
                <w:sz w:val="16"/>
                <w:szCs w:val="16"/>
              </w:rPr>
              <w:t>Système MT/LT fonctionnant au R-744 transcritique</w:t>
            </w:r>
          </w:p>
          <w:p w14:paraId="017BEE47" w14:textId="77777777" w:rsidR="008314AA" w:rsidRPr="00075237" w:rsidRDefault="008314AA" w:rsidP="00C30F95">
            <w:pPr>
              <w:jc w:val="left"/>
              <w:rPr>
                <w:sz w:val="16"/>
                <w:szCs w:val="16"/>
              </w:rPr>
            </w:pPr>
            <w:r w:rsidRPr="00075237">
              <w:rPr>
                <w:sz w:val="16"/>
                <w:szCs w:val="16"/>
                <w:u w:val="single"/>
              </w:rPr>
              <w:t>Capacité de refroidissement</w:t>
            </w:r>
            <w:r w:rsidRPr="00075237">
              <w:rPr>
                <w:sz w:val="16"/>
                <w:szCs w:val="16"/>
              </w:rPr>
              <w:t> :</w:t>
            </w:r>
          </w:p>
          <w:p w14:paraId="0A70C8C7" w14:textId="0D7EE7E6" w:rsidR="008314AA" w:rsidRPr="00075237" w:rsidRDefault="008314AA" w:rsidP="00C30F95">
            <w:pPr>
              <w:jc w:val="left"/>
              <w:rPr>
                <w:sz w:val="16"/>
                <w:szCs w:val="16"/>
              </w:rPr>
            </w:pPr>
            <w:r w:rsidRPr="00075237">
              <w:rPr>
                <w:sz w:val="16"/>
                <w:szCs w:val="16"/>
              </w:rPr>
              <w:t>MT : 255</w:t>
            </w:r>
            <w:r w:rsidR="005A3F68" w:rsidRPr="00075237">
              <w:rPr>
                <w:sz w:val="16"/>
                <w:szCs w:val="16"/>
              </w:rPr>
              <w:t> </w:t>
            </w:r>
            <w:r w:rsidRPr="00075237">
              <w:rPr>
                <w:sz w:val="16"/>
                <w:szCs w:val="16"/>
              </w:rPr>
              <w:t>kW</w:t>
            </w:r>
          </w:p>
          <w:p w14:paraId="23D32980" w14:textId="1CCCAD93" w:rsidR="008314AA" w:rsidRPr="00075237" w:rsidRDefault="008314AA" w:rsidP="00C30F95">
            <w:pPr>
              <w:jc w:val="left"/>
              <w:rPr>
                <w:sz w:val="16"/>
                <w:szCs w:val="16"/>
              </w:rPr>
            </w:pPr>
            <w:r w:rsidRPr="00075237">
              <w:rPr>
                <w:sz w:val="16"/>
                <w:szCs w:val="16"/>
              </w:rPr>
              <w:t>LT : 50</w:t>
            </w:r>
            <w:r w:rsidR="005A3F68" w:rsidRPr="00075237">
              <w:rPr>
                <w:sz w:val="16"/>
                <w:szCs w:val="16"/>
              </w:rPr>
              <w:t> </w:t>
            </w:r>
            <w:r w:rsidRPr="00075237">
              <w:rPr>
                <w:sz w:val="16"/>
                <w:szCs w:val="16"/>
              </w:rPr>
              <w:t>kW</w:t>
            </w:r>
          </w:p>
        </w:tc>
        <w:tc>
          <w:tcPr>
            <w:tcW w:w="67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6EBE31C" w14:textId="77777777" w:rsidR="008314AA" w:rsidRPr="00075237" w:rsidRDefault="008314AA" w:rsidP="00C30F95">
            <w:pPr>
              <w:jc w:val="right"/>
              <w:rPr>
                <w:sz w:val="16"/>
                <w:szCs w:val="16"/>
              </w:rPr>
            </w:pPr>
            <w:r w:rsidRPr="00075237">
              <w:rPr>
                <w:sz w:val="16"/>
                <w:szCs w:val="16"/>
              </w:rPr>
              <w:t>409 422</w:t>
            </w:r>
          </w:p>
        </w:tc>
        <w:tc>
          <w:tcPr>
            <w:tcW w:w="651" w:type="pc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527495EE" w14:textId="77777777" w:rsidR="008314AA" w:rsidRPr="00075237" w:rsidRDefault="008314AA" w:rsidP="00C30F95">
            <w:pPr>
              <w:jc w:val="center"/>
              <w:rPr>
                <w:sz w:val="16"/>
                <w:szCs w:val="16"/>
              </w:rPr>
            </w:pPr>
            <w:r w:rsidRPr="00075237">
              <w:rPr>
                <w:sz w:val="16"/>
                <w:szCs w:val="16"/>
              </w:rPr>
              <w:t>87</w:t>
            </w:r>
          </w:p>
        </w:tc>
      </w:tr>
      <w:tr w:rsidR="008314AA" w:rsidRPr="00075237" w14:paraId="7E172CC4" w14:textId="77777777" w:rsidTr="00C30F95">
        <w:trPr>
          <w:trHeight w:val="417"/>
        </w:trPr>
        <w:tc>
          <w:tcPr>
            <w:tcW w:w="6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ABA828F" w14:textId="77777777" w:rsidR="008314AA" w:rsidRPr="00075237" w:rsidRDefault="008314AA" w:rsidP="00C30F95">
            <w:pPr>
              <w:ind w:right="-23"/>
              <w:rPr>
                <w:sz w:val="16"/>
                <w:szCs w:val="16"/>
              </w:rPr>
            </w:pPr>
            <w:r w:rsidRPr="00075237">
              <w:rPr>
                <w:sz w:val="16"/>
                <w:szCs w:val="16"/>
              </w:rPr>
              <w:t>Hôpital</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02F72CD" w14:textId="77777777" w:rsidR="008314AA" w:rsidRPr="00075237" w:rsidRDefault="008314AA" w:rsidP="00C30F95">
            <w:pPr>
              <w:jc w:val="left"/>
              <w:rPr>
                <w:sz w:val="16"/>
                <w:szCs w:val="16"/>
              </w:rPr>
            </w:pPr>
            <w:r w:rsidRPr="00075237">
              <w:rPr>
                <w:sz w:val="16"/>
                <w:szCs w:val="16"/>
              </w:rPr>
              <w:t>HCFC-22 sur boucle d’eau</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7540DEB" w14:textId="77777777" w:rsidR="008314AA" w:rsidRPr="00075237" w:rsidRDefault="008314AA" w:rsidP="00C30F95">
            <w:pPr>
              <w:jc w:val="center"/>
              <w:rPr>
                <w:sz w:val="16"/>
                <w:szCs w:val="16"/>
              </w:rPr>
            </w:pPr>
            <w:r w:rsidRPr="00075237">
              <w:rPr>
                <w:sz w:val="16"/>
                <w:szCs w:val="16"/>
              </w:rPr>
              <w:t>61</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EA6DC57" w14:textId="77777777" w:rsidR="008314AA" w:rsidRPr="00075237" w:rsidRDefault="008314AA" w:rsidP="00C30F95">
            <w:pPr>
              <w:jc w:val="center"/>
              <w:rPr>
                <w:sz w:val="16"/>
                <w:szCs w:val="16"/>
              </w:rPr>
            </w:pPr>
            <w:r w:rsidRPr="00075237">
              <w:rPr>
                <w:sz w:val="16"/>
                <w:szCs w:val="16"/>
              </w:rPr>
              <w:t>30</w:t>
            </w:r>
          </w:p>
        </w:tc>
        <w:tc>
          <w:tcPr>
            <w:tcW w:w="154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25FEBFE" w14:textId="77777777" w:rsidR="008314AA" w:rsidRPr="00075237" w:rsidRDefault="008314AA" w:rsidP="00C30F95">
            <w:pPr>
              <w:jc w:val="left"/>
              <w:rPr>
                <w:sz w:val="16"/>
                <w:szCs w:val="16"/>
              </w:rPr>
            </w:pPr>
            <w:r w:rsidRPr="00075237">
              <w:rPr>
                <w:sz w:val="16"/>
                <w:szCs w:val="16"/>
              </w:rPr>
              <w:t>Refroidisseur à eau froide avec R-290</w:t>
            </w:r>
          </w:p>
          <w:p w14:paraId="14ED48D1" w14:textId="77777777" w:rsidR="008314AA" w:rsidRPr="00075237" w:rsidRDefault="008314AA" w:rsidP="00C30F95">
            <w:pPr>
              <w:jc w:val="left"/>
              <w:rPr>
                <w:sz w:val="16"/>
                <w:szCs w:val="16"/>
              </w:rPr>
            </w:pPr>
            <w:r w:rsidRPr="00075237">
              <w:rPr>
                <w:sz w:val="16"/>
                <w:szCs w:val="16"/>
                <w:u w:val="single"/>
              </w:rPr>
              <w:t>Capacité de refroidissement</w:t>
            </w:r>
            <w:r w:rsidRPr="00075237">
              <w:rPr>
                <w:sz w:val="16"/>
                <w:szCs w:val="16"/>
              </w:rPr>
              <w:t> :</w:t>
            </w:r>
          </w:p>
          <w:p w14:paraId="6E0F2FB9" w14:textId="77777777" w:rsidR="008314AA" w:rsidRPr="00075237" w:rsidRDefault="008314AA" w:rsidP="00C30F95">
            <w:pPr>
              <w:ind w:right="-196"/>
              <w:jc w:val="left"/>
              <w:rPr>
                <w:sz w:val="16"/>
                <w:szCs w:val="16"/>
              </w:rPr>
            </w:pPr>
            <w:r w:rsidRPr="00075237">
              <w:rPr>
                <w:sz w:val="16"/>
                <w:szCs w:val="16"/>
              </w:rPr>
              <w:t>Eau froide (6 °C/12 °C) : 100 kW</w:t>
            </w:r>
          </w:p>
        </w:tc>
        <w:tc>
          <w:tcPr>
            <w:tcW w:w="67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7A6B614" w14:textId="77777777" w:rsidR="008314AA" w:rsidRPr="00075237" w:rsidRDefault="008314AA" w:rsidP="00C30F95">
            <w:pPr>
              <w:jc w:val="right"/>
              <w:rPr>
                <w:sz w:val="16"/>
                <w:szCs w:val="16"/>
              </w:rPr>
            </w:pPr>
            <w:r w:rsidRPr="00075237">
              <w:rPr>
                <w:sz w:val="16"/>
                <w:szCs w:val="16"/>
              </w:rPr>
              <w:t>120 000</w:t>
            </w:r>
          </w:p>
        </w:tc>
        <w:tc>
          <w:tcPr>
            <w:tcW w:w="65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1A4106E" w14:textId="77777777" w:rsidR="008314AA" w:rsidRPr="00075237" w:rsidRDefault="008314AA" w:rsidP="00C30F95">
            <w:pPr>
              <w:jc w:val="center"/>
              <w:rPr>
                <w:sz w:val="16"/>
                <w:szCs w:val="16"/>
              </w:rPr>
            </w:pPr>
            <w:r w:rsidRPr="00075237">
              <w:rPr>
                <w:sz w:val="16"/>
                <w:szCs w:val="16"/>
              </w:rPr>
              <w:t>15</w:t>
            </w:r>
          </w:p>
        </w:tc>
      </w:tr>
    </w:tbl>
    <w:p w14:paraId="5A1D4F1E" w14:textId="77777777" w:rsidR="008314AA" w:rsidRPr="00075237" w:rsidRDefault="008314AA" w:rsidP="008314AA">
      <w:pPr>
        <w:rPr>
          <w:sz w:val="18"/>
          <w:szCs w:val="18"/>
        </w:rPr>
      </w:pPr>
      <w:r w:rsidRPr="00075237">
        <w:rPr>
          <w:sz w:val="18"/>
          <w:szCs w:val="18"/>
        </w:rPr>
        <w:t>* DX = détente directe</w:t>
      </w:r>
    </w:p>
    <w:p w14:paraId="31710BBD" w14:textId="77777777" w:rsidR="008314AA" w:rsidRPr="00075237" w:rsidRDefault="008314AA" w:rsidP="008314AA">
      <w:pPr>
        <w:spacing w:after="240"/>
        <w:rPr>
          <w:sz w:val="18"/>
          <w:szCs w:val="18"/>
        </w:rPr>
      </w:pPr>
      <w:r w:rsidRPr="00075237">
        <w:rPr>
          <w:sz w:val="18"/>
          <w:szCs w:val="18"/>
        </w:rPr>
        <w:t>** R-717 = ammoniac; R-744 = dioxyde de carbone</w:t>
      </w:r>
    </w:p>
    <w:p w14:paraId="58DC2355" w14:textId="77777777" w:rsidR="008314AA" w:rsidRPr="00075237" w:rsidRDefault="008314AA" w:rsidP="008314AA">
      <w:pPr>
        <w:pStyle w:val="Heading2"/>
        <w:widowControl/>
        <w:numPr>
          <w:ilvl w:val="1"/>
          <w:numId w:val="1"/>
        </w:numPr>
        <w:rPr>
          <w:rFonts w:eastAsia="SimSun"/>
        </w:rPr>
      </w:pPr>
      <w:r w:rsidRPr="00075237">
        <w:lastRenderedPageBreak/>
        <w:t>Un système de surveillance a été mis sur pied pour mesurer l’utilisation énergétique chez les bénéficiaires de projets pilotes au cours des 12 à 34 mois de fonctionnement; les données pertinentes seront communiquées au moment de la demande pour la deuxième tranche de la phase II du PGEH;</w:t>
      </w:r>
    </w:p>
    <w:p w14:paraId="10444D46" w14:textId="77777777" w:rsidR="008314AA" w:rsidRPr="00075237" w:rsidRDefault="008314AA" w:rsidP="008314AA">
      <w:pPr>
        <w:pStyle w:val="Heading2"/>
        <w:widowControl/>
        <w:numPr>
          <w:ilvl w:val="1"/>
          <w:numId w:val="1"/>
        </w:numPr>
        <w:spacing w:before="240"/>
        <w:rPr>
          <w:rFonts w:cstheme="minorHAnsi"/>
          <w:color w:val="1C1917"/>
          <w:kern w:val="36"/>
        </w:rPr>
      </w:pPr>
      <w:r w:rsidRPr="00075237">
        <w:t>Environ 200 </w:t>
      </w:r>
      <w:r w:rsidRPr="00075237">
        <w:rPr>
          <w:color w:val="1C1917"/>
        </w:rPr>
        <w:t>membres de parties prenantes</w:t>
      </w:r>
      <w:r w:rsidRPr="00075237">
        <w:t xml:space="preserve"> </w:t>
      </w:r>
      <w:r w:rsidRPr="00075237">
        <w:rPr>
          <w:color w:val="1C1917"/>
        </w:rPr>
        <w:t xml:space="preserve">de l’industrie et du gouvernement </w:t>
      </w:r>
      <w:r w:rsidRPr="00075237">
        <w:t>ont partagé leurs expériences</w:t>
      </w:r>
      <w:r w:rsidRPr="00075237">
        <w:rPr>
          <w:color w:val="1C1917"/>
        </w:rPr>
        <w:t xml:space="preserve"> et ont participé à des </w:t>
      </w:r>
      <w:r w:rsidRPr="00075237">
        <w:t xml:space="preserve">séances informatives sur la transition vers les solutions de remplacement à faible PRG, tenues au cours de conférences sur la gestion de la chaîne du froid et </w:t>
      </w:r>
      <w:r w:rsidRPr="00075237">
        <w:rPr>
          <w:color w:val="1C1917"/>
        </w:rPr>
        <w:t>de salons de l’industrie pertinents;</w:t>
      </w:r>
    </w:p>
    <w:bookmarkEnd w:id="9"/>
    <w:p w14:paraId="27551E4B" w14:textId="77777777" w:rsidR="008314AA" w:rsidRPr="00075237" w:rsidRDefault="008314AA" w:rsidP="008314AA">
      <w:pPr>
        <w:pStyle w:val="Heading2"/>
        <w:widowControl/>
        <w:numPr>
          <w:ilvl w:val="1"/>
          <w:numId w:val="1"/>
        </w:numPr>
        <w:rPr>
          <w:rFonts w:eastAsia="SimSun"/>
        </w:rPr>
      </w:pPr>
      <w:r w:rsidRPr="00075237">
        <w:t>Trois ateliers conçus pour accroître la collaboration du secteur privé ont été menés pour 150 participants provenant des entreprises de réfrigération et climatisation afin de communiquer et ressembler des commentaires sur les plans réglementaires à venir, les technologies de remplacement à faible PRG et les possibilités d’élimination des HCFC.</w:t>
      </w:r>
    </w:p>
    <w:p w14:paraId="0777EF01" w14:textId="4E93AA3E" w:rsidR="008314AA" w:rsidRPr="00075237" w:rsidRDefault="005B0E1A" w:rsidP="008314AA">
      <w:pPr>
        <w:keepNext/>
        <w:spacing w:after="240"/>
        <w:rPr>
          <w:iCs/>
          <w:u w:val="single"/>
        </w:rPr>
      </w:pPr>
      <w:r w:rsidRPr="00075237">
        <w:rPr>
          <w:iCs/>
          <w:u w:val="single"/>
        </w:rPr>
        <w:t xml:space="preserve">Taux </w:t>
      </w:r>
      <w:r w:rsidR="008314AA" w:rsidRPr="00075237">
        <w:rPr>
          <w:iCs/>
          <w:u w:val="single"/>
        </w:rPr>
        <w:t>d</w:t>
      </w:r>
      <w:r w:rsidRPr="00075237">
        <w:rPr>
          <w:iCs/>
          <w:u w:val="single"/>
        </w:rPr>
        <w:t>e</w:t>
      </w:r>
      <w:r w:rsidR="008314AA" w:rsidRPr="00075237">
        <w:rPr>
          <w:iCs/>
          <w:u w:val="single"/>
        </w:rPr>
        <w:t xml:space="preserve"> décaissement des fonds</w:t>
      </w:r>
    </w:p>
    <w:p w14:paraId="1F189EFB" w14:textId="05F9CF4F" w:rsidR="008314AA" w:rsidRPr="00075237" w:rsidRDefault="008314AA" w:rsidP="008314AA">
      <w:pPr>
        <w:pStyle w:val="Heading1"/>
      </w:pPr>
      <w:r w:rsidRPr="00075237">
        <w:t>En décembre 2023, sur le montant de 6 533 556 $ US approuvé pour la phase I, 6 500 556 $ US (99 pour cent) avaient été décaissés par l’ONUDI, comme l’indique le tableau 6.</w:t>
      </w:r>
    </w:p>
    <w:p w14:paraId="0E97BDB5" w14:textId="51E57DFA" w:rsidR="008314AA" w:rsidRPr="00075237" w:rsidRDefault="008314AA" w:rsidP="008314AA">
      <w:pPr>
        <w:keepNext/>
      </w:pPr>
      <w:r w:rsidRPr="00075237">
        <w:rPr>
          <w:b/>
        </w:rPr>
        <w:t>Tableau 6. Rapport financier de la phase I du PGEH pour l’Afrique du Sud ($ US)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1871"/>
        <w:gridCol w:w="1871"/>
        <w:gridCol w:w="1871"/>
        <w:gridCol w:w="1871"/>
      </w:tblGrid>
      <w:tr w:rsidR="008314AA" w:rsidRPr="00075237" w14:paraId="23C50D79" w14:textId="77777777" w:rsidTr="00C30F95">
        <w:trPr>
          <w:tblHeader/>
        </w:trPr>
        <w:tc>
          <w:tcPr>
            <w:tcW w:w="1871" w:type="dxa"/>
            <w:vAlign w:val="center"/>
            <w:hideMark/>
          </w:tcPr>
          <w:p w14:paraId="6E5576E8" w14:textId="77777777" w:rsidR="008314AA" w:rsidRPr="00075237" w:rsidRDefault="008314AA" w:rsidP="00C30F95">
            <w:pPr>
              <w:keepNext/>
              <w:jc w:val="center"/>
              <w:rPr>
                <w:b/>
                <w:bCs/>
                <w:sz w:val="20"/>
                <w:szCs w:val="20"/>
              </w:rPr>
            </w:pPr>
            <w:r w:rsidRPr="00075237">
              <w:rPr>
                <w:b/>
                <w:bCs/>
                <w:sz w:val="20"/>
                <w:szCs w:val="20"/>
              </w:rPr>
              <w:t>Tranche de financement</w:t>
            </w:r>
          </w:p>
        </w:tc>
        <w:tc>
          <w:tcPr>
            <w:tcW w:w="1871" w:type="dxa"/>
            <w:vAlign w:val="center"/>
            <w:hideMark/>
          </w:tcPr>
          <w:p w14:paraId="5FBF9E49" w14:textId="77777777" w:rsidR="008314AA" w:rsidRPr="00075237" w:rsidRDefault="008314AA" w:rsidP="00C30F95">
            <w:pPr>
              <w:keepNext/>
              <w:jc w:val="center"/>
              <w:rPr>
                <w:b/>
                <w:bCs/>
                <w:sz w:val="20"/>
                <w:szCs w:val="20"/>
              </w:rPr>
            </w:pPr>
            <w:r w:rsidRPr="00075237">
              <w:rPr>
                <w:b/>
                <w:bCs/>
                <w:sz w:val="20"/>
                <w:szCs w:val="20"/>
              </w:rPr>
              <w:t>Fonds approuvés</w:t>
            </w:r>
          </w:p>
        </w:tc>
        <w:tc>
          <w:tcPr>
            <w:tcW w:w="1871" w:type="dxa"/>
            <w:vAlign w:val="center"/>
            <w:hideMark/>
          </w:tcPr>
          <w:p w14:paraId="55284809" w14:textId="77777777" w:rsidR="008314AA" w:rsidRPr="00075237" w:rsidRDefault="008314AA" w:rsidP="00C30F95">
            <w:pPr>
              <w:keepNext/>
              <w:jc w:val="center"/>
              <w:rPr>
                <w:b/>
                <w:bCs/>
                <w:sz w:val="20"/>
                <w:szCs w:val="20"/>
              </w:rPr>
            </w:pPr>
            <w:r w:rsidRPr="00075237">
              <w:rPr>
                <w:b/>
                <w:bCs/>
                <w:sz w:val="20"/>
                <w:szCs w:val="20"/>
              </w:rPr>
              <w:t>Fonds décaissés</w:t>
            </w:r>
          </w:p>
        </w:tc>
        <w:tc>
          <w:tcPr>
            <w:tcW w:w="1871" w:type="dxa"/>
            <w:vAlign w:val="center"/>
            <w:hideMark/>
          </w:tcPr>
          <w:p w14:paraId="0560623B" w14:textId="77777777" w:rsidR="008314AA" w:rsidRPr="00075237" w:rsidRDefault="008314AA" w:rsidP="00C30F95">
            <w:pPr>
              <w:keepNext/>
              <w:jc w:val="center"/>
              <w:rPr>
                <w:b/>
                <w:sz w:val="20"/>
                <w:szCs w:val="20"/>
              </w:rPr>
            </w:pPr>
            <w:r w:rsidRPr="00075237">
              <w:rPr>
                <w:b/>
                <w:bCs/>
                <w:sz w:val="20"/>
                <w:szCs w:val="20"/>
              </w:rPr>
              <w:t>Solde</w:t>
            </w:r>
          </w:p>
        </w:tc>
        <w:tc>
          <w:tcPr>
            <w:tcW w:w="1871" w:type="dxa"/>
            <w:vAlign w:val="center"/>
            <w:hideMark/>
          </w:tcPr>
          <w:p w14:paraId="5DA5268E" w14:textId="77777777" w:rsidR="008314AA" w:rsidRPr="00075237" w:rsidRDefault="008314AA" w:rsidP="00C30F95">
            <w:pPr>
              <w:keepNext/>
              <w:jc w:val="center"/>
              <w:rPr>
                <w:b/>
                <w:bCs/>
                <w:sz w:val="20"/>
                <w:szCs w:val="20"/>
              </w:rPr>
            </w:pPr>
            <w:r w:rsidRPr="00075237">
              <w:rPr>
                <w:b/>
                <w:sz w:val="20"/>
                <w:szCs w:val="20"/>
              </w:rPr>
              <w:t>Taux de décaissement (en %)</w:t>
            </w:r>
          </w:p>
        </w:tc>
      </w:tr>
      <w:tr w:rsidR="008314AA" w:rsidRPr="00075237" w14:paraId="37B9034B" w14:textId="77777777" w:rsidTr="00C30F95">
        <w:tc>
          <w:tcPr>
            <w:tcW w:w="1871" w:type="dxa"/>
          </w:tcPr>
          <w:p w14:paraId="59A2A669" w14:textId="77777777" w:rsidR="008314AA" w:rsidRPr="00075237" w:rsidRDefault="008314AA" w:rsidP="00C30F95">
            <w:pPr>
              <w:rPr>
                <w:sz w:val="20"/>
                <w:szCs w:val="20"/>
                <w:highlight w:val="yellow"/>
              </w:rPr>
            </w:pPr>
            <w:r w:rsidRPr="00075237">
              <w:rPr>
                <w:sz w:val="20"/>
              </w:rPr>
              <w:t>Première</w:t>
            </w:r>
          </w:p>
        </w:tc>
        <w:tc>
          <w:tcPr>
            <w:tcW w:w="1871" w:type="dxa"/>
            <w:tcMar>
              <w:top w:w="0" w:type="dxa"/>
              <w:left w:w="115" w:type="dxa"/>
              <w:bottom w:w="0" w:type="dxa"/>
              <w:right w:w="216" w:type="dxa"/>
            </w:tcMar>
            <w:vAlign w:val="center"/>
          </w:tcPr>
          <w:p w14:paraId="4FD6E09C" w14:textId="77777777" w:rsidR="008314AA" w:rsidRPr="00075237" w:rsidRDefault="008314AA" w:rsidP="00C30F95">
            <w:pPr>
              <w:jc w:val="right"/>
              <w:rPr>
                <w:sz w:val="20"/>
                <w:szCs w:val="20"/>
              </w:rPr>
            </w:pPr>
            <w:r w:rsidRPr="00075237">
              <w:rPr>
                <w:sz w:val="20"/>
                <w:szCs w:val="20"/>
              </w:rPr>
              <w:t>1 960 229</w:t>
            </w:r>
          </w:p>
        </w:tc>
        <w:tc>
          <w:tcPr>
            <w:tcW w:w="1871" w:type="dxa"/>
            <w:tcMar>
              <w:top w:w="0" w:type="dxa"/>
              <w:left w:w="115" w:type="dxa"/>
              <w:bottom w:w="0" w:type="dxa"/>
              <w:right w:w="216" w:type="dxa"/>
            </w:tcMar>
            <w:vAlign w:val="center"/>
          </w:tcPr>
          <w:p w14:paraId="0173B20B" w14:textId="77777777" w:rsidR="008314AA" w:rsidRPr="00075237" w:rsidRDefault="008314AA" w:rsidP="00C30F95">
            <w:pPr>
              <w:jc w:val="right"/>
              <w:rPr>
                <w:sz w:val="20"/>
                <w:szCs w:val="20"/>
              </w:rPr>
            </w:pPr>
            <w:r w:rsidRPr="00075237">
              <w:rPr>
                <w:sz w:val="20"/>
                <w:szCs w:val="20"/>
              </w:rPr>
              <w:t>1 960 229</w:t>
            </w:r>
          </w:p>
        </w:tc>
        <w:tc>
          <w:tcPr>
            <w:tcW w:w="1871" w:type="dxa"/>
            <w:tcMar>
              <w:top w:w="0" w:type="dxa"/>
              <w:left w:w="115" w:type="dxa"/>
              <w:bottom w:w="0" w:type="dxa"/>
              <w:right w:w="216" w:type="dxa"/>
            </w:tcMar>
          </w:tcPr>
          <w:p w14:paraId="4E81FCA7" w14:textId="77777777" w:rsidR="008314AA" w:rsidRPr="00075237" w:rsidRDefault="008314AA" w:rsidP="00C30F95">
            <w:pPr>
              <w:jc w:val="right"/>
              <w:rPr>
                <w:sz w:val="20"/>
                <w:szCs w:val="20"/>
              </w:rPr>
            </w:pPr>
            <w:r w:rsidRPr="00075237">
              <w:rPr>
                <w:sz w:val="20"/>
                <w:szCs w:val="20"/>
              </w:rPr>
              <w:t>0</w:t>
            </w:r>
          </w:p>
        </w:tc>
        <w:tc>
          <w:tcPr>
            <w:tcW w:w="1871" w:type="dxa"/>
          </w:tcPr>
          <w:p w14:paraId="6BC67665" w14:textId="77777777" w:rsidR="008314AA" w:rsidRPr="00075237" w:rsidRDefault="008314AA" w:rsidP="00C30F95">
            <w:pPr>
              <w:ind w:right="38"/>
              <w:jc w:val="center"/>
              <w:rPr>
                <w:sz w:val="20"/>
                <w:szCs w:val="20"/>
              </w:rPr>
            </w:pPr>
            <w:r w:rsidRPr="00075237">
              <w:rPr>
                <w:sz w:val="20"/>
                <w:szCs w:val="20"/>
              </w:rPr>
              <w:t>100</w:t>
            </w:r>
          </w:p>
        </w:tc>
      </w:tr>
      <w:tr w:rsidR="008314AA" w:rsidRPr="00075237" w14:paraId="0B957689" w14:textId="77777777" w:rsidTr="00C30F95">
        <w:tc>
          <w:tcPr>
            <w:tcW w:w="1871" w:type="dxa"/>
          </w:tcPr>
          <w:p w14:paraId="4FC01ECD" w14:textId="77777777" w:rsidR="008314AA" w:rsidRPr="00075237" w:rsidRDefault="008314AA" w:rsidP="00C30F95">
            <w:pPr>
              <w:rPr>
                <w:sz w:val="20"/>
                <w:szCs w:val="20"/>
                <w:highlight w:val="yellow"/>
              </w:rPr>
            </w:pPr>
            <w:r w:rsidRPr="00075237">
              <w:rPr>
                <w:sz w:val="20"/>
              </w:rPr>
              <w:t>Deuxième</w:t>
            </w:r>
          </w:p>
        </w:tc>
        <w:tc>
          <w:tcPr>
            <w:tcW w:w="1871" w:type="dxa"/>
            <w:tcMar>
              <w:top w:w="0" w:type="dxa"/>
              <w:left w:w="115" w:type="dxa"/>
              <w:bottom w:w="0" w:type="dxa"/>
              <w:right w:w="216" w:type="dxa"/>
            </w:tcMar>
            <w:vAlign w:val="center"/>
          </w:tcPr>
          <w:p w14:paraId="186A6E0D" w14:textId="77777777" w:rsidR="008314AA" w:rsidRPr="00075237" w:rsidRDefault="008314AA" w:rsidP="00C30F95">
            <w:pPr>
              <w:jc w:val="right"/>
              <w:rPr>
                <w:sz w:val="20"/>
                <w:szCs w:val="20"/>
              </w:rPr>
            </w:pPr>
            <w:r w:rsidRPr="00075237">
              <w:rPr>
                <w:sz w:val="20"/>
                <w:szCs w:val="20"/>
              </w:rPr>
              <w:t>2 592 620</w:t>
            </w:r>
          </w:p>
        </w:tc>
        <w:tc>
          <w:tcPr>
            <w:tcW w:w="1871" w:type="dxa"/>
            <w:tcMar>
              <w:top w:w="0" w:type="dxa"/>
              <w:left w:w="115" w:type="dxa"/>
              <w:bottom w:w="0" w:type="dxa"/>
              <w:right w:w="216" w:type="dxa"/>
            </w:tcMar>
            <w:vAlign w:val="center"/>
          </w:tcPr>
          <w:p w14:paraId="460C9874" w14:textId="77777777" w:rsidR="008314AA" w:rsidRPr="00075237" w:rsidRDefault="008314AA" w:rsidP="00C30F95">
            <w:pPr>
              <w:jc w:val="right"/>
              <w:rPr>
                <w:sz w:val="20"/>
                <w:szCs w:val="20"/>
              </w:rPr>
            </w:pPr>
            <w:r w:rsidRPr="00075237">
              <w:rPr>
                <w:sz w:val="20"/>
                <w:szCs w:val="20"/>
              </w:rPr>
              <w:t>2 592 620</w:t>
            </w:r>
          </w:p>
        </w:tc>
        <w:tc>
          <w:tcPr>
            <w:tcW w:w="1871" w:type="dxa"/>
            <w:tcMar>
              <w:top w:w="0" w:type="dxa"/>
              <w:left w:w="115" w:type="dxa"/>
              <w:bottom w:w="0" w:type="dxa"/>
              <w:right w:w="216" w:type="dxa"/>
            </w:tcMar>
          </w:tcPr>
          <w:p w14:paraId="6C4168AA" w14:textId="77777777" w:rsidR="008314AA" w:rsidRPr="00075237" w:rsidRDefault="008314AA" w:rsidP="00C30F95">
            <w:pPr>
              <w:jc w:val="right"/>
              <w:rPr>
                <w:sz w:val="20"/>
                <w:szCs w:val="20"/>
              </w:rPr>
            </w:pPr>
            <w:r w:rsidRPr="00075237">
              <w:rPr>
                <w:sz w:val="20"/>
                <w:szCs w:val="20"/>
              </w:rPr>
              <w:t>0</w:t>
            </w:r>
          </w:p>
        </w:tc>
        <w:tc>
          <w:tcPr>
            <w:tcW w:w="1871" w:type="dxa"/>
          </w:tcPr>
          <w:p w14:paraId="24592963" w14:textId="77777777" w:rsidR="008314AA" w:rsidRPr="00075237" w:rsidRDefault="008314AA" w:rsidP="00C30F95">
            <w:pPr>
              <w:ind w:right="38"/>
              <w:jc w:val="center"/>
              <w:rPr>
                <w:sz w:val="20"/>
                <w:szCs w:val="20"/>
              </w:rPr>
            </w:pPr>
            <w:r w:rsidRPr="00075237">
              <w:rPr>
                <w:sz w:val="20"/>
                <w:szCs w:val="20"/>
              </w:rPr>
              <w:t>100</w:t>
            </w:r>
          </w:p>
        </w:tc>
      </w:tr>
      <w:tr w:rsidR="008314AA" w:rsidRPr="00075237" w14:paraId="13E9022B" w14:textId="77777777" w:rsidTr="00C30F95">
        <w:tc>
          <w:tcPr>
            <w:tcW w:w="1871" w:type="dxa"/>
          </w:tcPr>
          <w:p w14:paraId="7FF128C0" w14:textId="77777777" w:rsidR="008314AA" w:rsidRPr="00075237" w:rsidRDefault="008314AA" w:rsidP="00C30F95">
            <w:pPr>
              <w:rPr>
                <w:sz w:val="20"/>
                <w:szCs w:val="20"/>
                <w:highlight w:val="yellow"/>
              </w:rPr>
            </w:pPr>
            <w:r w:rsidRPr="00075237">
              <w:rPr>
                <w:sz w:val="20"/>
              </w:rPr>
              <w:t>Troisième</w:t>
            </w:r>
          </w:p>
        </w:tc>
        <w:tc>
          <w:tcPr>
            <w:tcW w:w="1871" w:type="dxa"/>
            <w:tcMar>
              <w:top w:w="0" w:type="dxa"/>
              <w:left w:w="115" w:type="dxa"/>
              <w:bottom w:w="0" w:type="dxa"/>
              <w:right w:w="216" w:type="dxa"/>
            </w:tcMar>
            <w:vAlign w:val="center"/>
          </w:tcPr>
          <w:p w14:paraId="61B55CC9" w14:textId="77777777" w:rsidR="008314AA" w:rsidRPr="00075237" w:rsidRDefault="008314AA" w:rsidP="00C30F95">
            <w:pPr>
              <w:jc w:val="right"/>
              <w:rPr>
                <w:sz w:val="20"/>
                <w:szCs w:val="20"/>
              </w:rPr>
            </w:pPr>
            <w:r w:rsidRPr="00075237">
              <w:rPr>
                <w:sz w:val="20"/>
                <w:szCs w:val="20"/>
              </w:rPr>
              <w:t>1 302 335</w:t>
            </w:r>
          </w:p>
        </w:tc>
        <w:tc>
          <w:tcPr>
            <w:tcW w:w="1871" w:type="dxa"/>
            <w:tcMar>
              <w:top w:w="0" w:type="dxa"/>
              <w:left w:w="115" w:type="dxa"/>
              <w:bottom w:w="0" w:type="dxa"/>
              <w:right w:w="216" w:type="dxa"/>
            </w:tcMar>
            <w:vAlign w:val="center"/>
          </w:tcPr>
          <w:p w14:paraId="05B581C9" w14:textId="77777777" w:rsidR="008314AA" w:rsidRPr="00075237" w:rsidRDefault="008314AA" w:rsidP="00C30F95">
            <w:pPr>
              <w:jc w:val="right"/>
              <w:rPr>
                <w:sz w:val="20"/>
                <w:szCs w:val="20"/>
              </w:rPr>
            </w:pPr>
            <w:r w:rsidRPr="00075237">
              <w:rPr>
                <w:sz w:val="20"/>
                <w:szCs w:val="20"/>
              </w:rPr>
              <w:t>1 302 335</w:t>
            </w:r>
          </w:p>
        </w:tc>
        <w:tc>
          <w:tcPr>
            <w:tcW w:w="1871" w:type="dxa"/>
            <w:tcMar>
              <w:top w:w="0" w:type="dxa"/>
              <w:left w:w="115" w:type="dxa"/>
              <w:bottom w:w="0" w:type="dxa"/>
              <w:right w:w="216" w:type="dxa"/>
            </w:tcMar>
          </w:tcPr>
          <w:p w14:paraId="1F40ABAD" w14:textId="77777777" w:rsidR="008314AA" w:rsidRPr="00075237" w:rsidRDefault="008314AA" w:rsidP="00C30F95">
            <w:pPr>
              <w:jc w:val="right"/>
              <w:rPr>
                <w:sz w:val="20"/>
                <w:szCs w:val="20"/>
              </w:rPr>
            </w:pPr>
            <w:r w:rsidRPr="00075237">
              <w:rPr>
                <w:sz w:val="20"/>
                <w:szCs w:val="20"/>
              </w:rPr>
              <w:t>0</w:t>
            </w:r>
          </w:p>
        </w:tc>
        <w:tc>
          <w:tcPr>
            <w:tcW w:w="1871" w:type="dxa"/>
          </w:tcPr>
          <w:p w14:paraId="0F06D368" w14:textId="77777777" w:rsidR="008314AA" w:rsidRPr="00075237" w:rsidRDefault="008314AA" w:rsidP="00C30F95">
            <w:pPr>
              <w:ind w:right="38"/>
              <w:jc w:val="center"/>
              <w:rPr>
                <w:sz w:val="20"/>
                <w:szCs w:val="20"/>
              </w:rPr>
            </w:pPr>
            <w:r w:rsidRPr="00075237">
              <w:rPr>
                <w:sz w:val="20"/>
                <w:szCs w:val="20"/>
              </w:rPr>
              <w:t>100</w:t>
            </w:r>
          </w:p>
        </w:tc>
      </w:tr>
      <w:tr w:rsidR="008314AA" w:rsidRPr="00075237" w14:paraId="21B7ED80" w14:textId="77777777" w:rsidTr="00C30F95">
        <w:tc>
          <w:tcPr>
            <w:tcW w:w="1871" w:type="dxa"/>
          </w:tcPr>
          <w:p w14:paraId="6D04E6BD" w14:textId="77777777" w:rsidR="008314AA" w:rsidRPr="00075237" w:rsidRDefault="008314AA" w:rsidP="00C30F95">
            <w:pPr>
              <w:rPr>
                <w:b/>
                <w:bCs/>
                <w:sz w:val="20"/>
                <w:szCs w:val="20"/>
                <w:highlight w:val="yellow"/>
              </w:rPr>
            </w:pPr>
            <w:r w:rsidRPr="00075237">
              <w:rPr>
                <w:sz w:val="20"/>
              </w:rPr>
              <w:t>Quatrième</w:t>
            </w:r>
          </w:p>
        </w:tc>
        <w:tc>
          <w:tcPr>
            <w:tcW w:w="1871" w:type="dxa"/>
            <w:tcMar>
              <w:top w:w="0" w:type="dxa"/>
              <w:left w:w="115" w:type="dxa"/>
              <w:bottom w:w="0" w:type="dxa"/>
              <w:right w:w="216" w:type="dxa"/>
            </w:tcMar>
            <w:vAlign w:val="center"/>
          </w:tcPr>
          <w:p w14:paraId="7014C68F" w14:textId="77777777" w:rsidR="008314AA" w:rsidRPr="00075237" w:rsidRDefault="008314AA" w:rsidP="00C30F95">
            <w:pPr>
              <w:jc w:val="right"/>
              <w:rPr>
                <w:b/>
                <w:bCs/>
                <w:sz w:val="20"/>
                <w:szCs w:val="20"/>
              </w:rPr>
            </w:pPr>
            <w:r w:rsidRPr="00075237">
              <w:rPr>
                <w:sz w:val="20"/>
                <w:szCs w:val="20"/>
              </w:rPr>
              <w:t>499 612</w:t>
            </w:r>
          </w:p>
        </w:tc>
        <w:tc>
          <w:tcPr>
            <w:tcW w:w="1871" w:type="dxa"/>
            <w:tcMar>
              <w:top w:w="0" w:type="dxa"/>
              <w:left w:w="115" w:type="dxa"/>
              <w:bottom w:w="0" w:type="dxa"/>
              <w:right w:w="216" w:type="dxa"/>
            </w:tcMar>
            <w:vAlign w:val="center"/>
          </w:tcPr>
          <w:p w14:paraId="68125D59" w14:textId="77777777" w:rsidR="008314AA" w:rsidRPr="00075237" w:rsidRDefault="008314AA" w:rsidP="00C30F95">
            <w:pPr>
              <w:jc w:val="right"/>
              <w:rPr>
                <w:b/>
                <w:bCs/>
                <w:sz w:val="20"/>
                <w:szCs w:val="20"/>
              </w:rPr>
            </w:pPr>
            <w:r w:rsidRPr="00075237">
              <w:rPr>
                <w:sz w:val="20"/>
                <w:szCs w:val="20"/>
              </w:rPr>
              <w:t>499 612</w:t>
            </w:r>
          </w:p>
        </w:tc>
        <w:tc>
          <w:tcPr>
            <w:tcW w:w="1871" w:type="dxa"/>
            <w:tcMar>
              <w:top w:w="0" w:type="dxa"/>
              <w:left w:w="115" w:type="dxa"/>
              <w:bottom w:w="0" w:type="dxa"/>
              <w:right w:w="216" w:type="dxa"/>
            </w:tcMar>
          </w:tcPr>
          <w:p w14:paraId="239413D9" w14:textId="77777777" w:rsidR="008314AA" w:rsidRPr="00075237" w:rsidRDefault="008314AA" w:rsidP="00C30F95">
            <w:pPr>
              <w:jc w:val="right"/>
              <w:rPr>
                <w:sz w:val="20"/>
                <w:szCs w:val="20"/>
              </w:rPr>
            </w:pPr>
            <w:r w:rsidRPr="00075237">
              <w:rPr>
                <w:sz w:val="20"/>
                <w:szCs w:val="20"/>
              </w:rPr>
              <w:t>0</w:t>
            </w:r>
          </w:p>
        </w:tc>
        <w:tc>
          <w:tcPr>
            <w:tcW w:w="1871" w:type="dxa"/>
          </w:tcPr>
          <w:p w14:paraId="02CA309F" w14:textId="77777777" w:rsidR="008314AA" w:rsidRPr="00075237" w:rsidRDefault="008314AA" w:rsidP="00C30F95">
            <w:pPr>
              <w:ind w:right="38"/>
              <w:jc w:val="center"/>
              <w:rPr>
                <w:b/>
                <w:sz w:val="20"/>
                <w:szCs w:val="20"/>
              </w:rPr>
            </w:pPr>
            <w:r w:rsidRPr="00075237">
              <w:rPr>
                <w:sz w:val="20"/>
                <w:szCs w:val="20"/>
              </w:rPr>
              <w:t>100</w:t>
            </w:r>
          </w:p>
        </w:tc>
      </w:tr>
      <w:tr w:rsidR="008314AA" w:rsidRPr="00075237" w14:paraId="70B56F67" w14:textId="77777777" w:rsidTr="00C30F95">
        <w:tc>
          <w:tcPr>
            <w:tcW w:w="1871" w:type="dxa"/>
          </w:tcPr>
          <w:p w14:paraId="281F01A6" w14:textId="77777777" w:rsidR="008314AA" w:rsidRPr="00075237" w:rsidRDefault="008314AA" w:rsidP="00C30F95">
            <w:pPr>
              <w:rPr>
                <w:b/>
                <w:bCs/>
                <w:sz w:val="20"/>
                <w:szCs w:val="20"/>
                <w:highlight w:val="yellow"/>
              </w:rPr>
            </w:pPr>
            <w:r w:rsidRPr="00075237">
              <w:rPr>
                <w:sz w:val="20"/>
              </w:rPr>
              <w:t>Cinquième</w:t>
            </w:r>
          </w:p>
        </w:tc>
        <w:tc>
          <w:tcPr>
            <w:tcW w:w="1871" w:type="dxa"/>
            <w:tcMar>
              <w:top w:w="0" w:type="dxa"/>
              <w:left w:w="115" w:type="dxa"/>
              <w:bottom w:w="0" w:type="dxa"/>
              <w:right w:w="216" w:type="dxa"/>
            </w:tcMar>
            <w:vAlign w:val="center"/>
          </w:tcPr>
          <w:p w14:paraId="488F05FC" w14:textId="77777777" w:rsidR="008314AA" w:rsidRPr="00075237" w:rsidRDefault="008314AA" w:rsidP="00C30F95">
            <w:pPr>
              <w:jc w:val="right"/>
              <w:rPr>
                <w:b/>
                <w:bCs/>
                <w:sz w:val="20"/>
                <w:szCs w:val="20"/>
              </w:rPr>
            </w:pPr>
            <w:r w:rsidRPr="00075237">
              <w:rPr>
                <w:sz w:val="20"/>
                <w:szCs w:val="20"/>
              </w:rPr>
              <w:t>178 760</w:t>
            </w:r>
          </w:p>
        </w:tc>
        <w:tc>
          <w:tcPr>
            <w:tcW w:w="1871" w:type="dxa"/>
            <w:tcMar>
              <w:top w:w="0" w:type="dxa"/>
              <w:left w:w="115" w:type="dxa"/>
              <w:bottom w:w="0" w:type="dxa"/>
              <w:right w:w="216" w:type="dxa"/>
            </w:tcMar>
          </w:tcPr>
          <w:p w14:paraId="31E575BB" w14:textId="77777777" w:rsidR="008314AA" w:rsidRPr="00075237" w:rsidRDefault="008314AA" w:rsidP="00C30F95">
            <w:pPr>
              <w:jc w:val="right"/>
              <w:rPr>
                <w:b/>
                <w:bCs/>
                <w:sz w:val="20"/>
                <w:szCs w:val="20"/>
              </w:rPr>
            </w:pPr>
            <w:r w:rsidRPr="00075237">
              <w:rPr>
                <w:sz w:val="20"/>
              </w:rPr>
              <w:t>145 760</w:t>
            </w:r>
          </w:p>
        </w:tc>
        <w:tc>
          <w:tcPr>
            <w:tcW w:w="1871" w:type="dxa"/>
            <w:tcMar>
              <w:top w:w="0" w:type="dxa"/>
              <w:left w:w="115" w:type="dxa"/>
              <w:bottom w:w="0" w:type="dxa"/>
              <w:right w:w="216" w:type="dxa"/>
            </w:tcMar>
          </w:tcPr>
          <w:p w14:paraId="4AE250F6" w14:textId="77777777" w:rsidR="008314AA" w:rsidRPr="00075237" w:rsidRDefault="008314AA" w:rsidP="00C30F95">
            <w:pPr>
              <w:jc w:val="right"/>
              <w:rPr>
                <w:sz w:val="20"/>
                <w:szCs w:val="20"/>
              </w:rPr>
            </w:pPr>
            <w:r w:rsidRPr="00075237">
              <w:rPr>
                <w:sz w:val="20"/>
                <w:szCs w:val="20"/>
              </w:rPr>
              <w:t>33 000</w:t>
            </w:r>
          </w:p>
        </w:tc>
        <w:tc>
          <w:tcPr>
            <w:tcW w:w="1871" w:type="dxa"/>
          </w:tcPr>
          <w:p w14:paraId="6748D8E3" w14:textId="77777777" w:rsidR="008314AA" w:rsidRPr="00075237" w:rsidRDefault="008314AA" w:rsidP="00C30F95">
            <w:pPr>
              <w:ind w:right="38"/>
              <w:jc w:val="center"/>
              <w:rPr>
                <w:bCs/>
                <w:sz w:val="20"/>
                <w:szCs w:val="20"/>
              </w:rPr>
            </w:pPr>
            <w:r w:rsidRPr="00075237">
              <w:rPr>
                <w:bCs/>
                <w:sz w:val="20"/>
                <w:szCs w:val="20"/>
              </w:rPr>
              <w:t>82</w:t>
            </w:r>
          </w:p>
        </w:tc>
      </w:tr>
      <w:tr w:rsidR="008314AA" w:rsidRPr="00075237" w14:paraId="0A88DB12" w14:textId="77777777" w:rsidTr="00C30F95">
        <w:tc>
          <w:tcPr>
            <w:tcW w:w="1871" w:type="dxa"/>
          </w:tcPr>
          <w:p w14:paraId="7B7FB4AE" w14:textId="77777777" w:rsidR="008314AA" w:rsidRPr="00075237" w:rsidRDefault="008314AA" w:rsidP="00C30F95">
            <w:pPr>
              <w:rPr>
                <w:b/>
                <w:bCs/>
                <w:sz w:val="20"/>
                <w:szCs w:val="20"/>
                <w:highlight w:val="yellow"/>
              </w:rPr>
            </w:pPr>
            <w:r w:rsidRPr="00075237">
              <w:rPr>
                <w:b/>
                <w:bCs/>
                <w:sz w:val="20"/>
              </w:rPr>
              <w:t>Total</w:t>
            </w:r>
          </w:p>
        </w:tc>
        <w:tc>
          <w:tcPr>
            <w:tcW w:w="1871" w:type="dxa"/>
            <w:tcMar>
              <w:top w:w="0" w:type="dxa"/>
              <w:left w:w="115" w:type="dxa"/>
              <w:bottom w:w="0" w:type="dxa"/>
              <w:right w:w="216" w:type="dxa"/>
            </w:tcMar>
          </w:tcPr>
          <w:p w14:paraId="6D437790" w14:textId="77777777" w:rsidR="008314AA" w:rsidRPr="00075237" w:rsidRDefault="008314AA" w:rsidP="00C30F95">
            <w:pPr>
              <w:jc w:val="right"/>
              <w:rPr>
                <w:b/>
                <w:bCs/>
                <w:sz w:val="20"/>
                <w:szCs w:val="20"/>
              </w:rPr>
            </w:pPr>
            <w:r w:rsidRPr="00075237">
              <w:rPr>
                <w:b/>
                <w:bCs/>
                <w:sz w:val="20"/>
                <w:szCs w:val="20"/>
              </w:rPr>
              <w:t>6 533 556</w:t>
            </w:r>
          </w:p>
        </w:tc>
        <w:tc>
          <w:tcPr>
            <w:tcW w:w="1871" w:type="dxa"/>
            <w:tcMar>
              <w:top w:w="0" w:type="dxa"/>
              <w:left w:w="115" w:type="dxa"/>
              <w:bottom w:w="0" w:type="dxa"/>
              <w:right w:w="216" w:type="dxa"/>
            </w:tcMar>
          </w:tcPr>
          <w:p w14:paraId="504EAEFF" w14:textId="77777777" w:rsidR="008314AA" w:rsidRPr="00075237" w:rsidRDefault="008314AA" w:rsidP="00C30F95">
            <w:pPr>
              <w:jc w:val="right"/>
              <w:rPr>
                <w:b/>
                <w:bCs/>
                <w:sz w:val="20"/>
                <w:szCs w:val="20"/>
              </w:rPr>
            </w:pPr>
            <w:r w:rsidRPr="00075237">
              <w:rPr>
                <w:b/>
                <w:bCs/>
                <w:sz w:val="20"/>
              </w:rPr>
              <w:t>6 500 556</w:t>
            </w:r>
          </w:p>
        </w:tc>
        <w:tc>
          <w:tcPr>
            <w:tcW w:w="1871" w:type="dxa"/>
            <w:tcMar>
              <w:top w:w="0" w:type="dxa"/>
              <w:left w:w="115" w:type="dxa"/>
              <w:bottom w:w="0" w:type="dxa"/>
              <w:right w:w="216" w:type="dxa"/>
            </w:tcMar>
          </w:tcPr>
          <w:p w14:paraId="759C44D3" w14:textId="77777777" w:rsidR="008314AA" w:rsidRPr="00075237" w:rsidRDefault="008314AA" w:rsidP="00C30F95">
            <w:pPr>
              <w:jc w:val="right"/>
              <w:rPr>
                <w:b/>
                <w:bCs/>
                <w:sz w:val="20"/>
                <w:szCs w:val="20"/>
              </w:rPr>
            </w:pPr>
            <w:r w:rsidRPr="00075237">
              <w:rPr>
                <w:b/>
                <w:bCs/>
                <w:sz w:val="20"/>
                <w:szCs w:val="20"/>
              </w:rPr>
              <w:t>33 000</w:t>
            </w:r>
          </w:p>
        </w:tc>
        <w:tc>
          <w:tcPr>
            <w:tcW w:w="1871" w:type="dxa"/>
          </w:tcPr>
          <w:p w14:paraId="07094AD7" w14:textId="77777777" w:rsidR="008314AA" w:rsidRPr="00075237" w:rsidRDefault="008314AA" w:rsidP="00C30F95">
            <w:pPr>
              <w:ind w:right="38"/>
              <w:jc w:val="center"/>
              <w:rPr>
                <w:b/>
                <w:bCs/>
                <w:sz w:val="20"/>
                <w:szCs w:val="20"/>
              </w:rPr>
            </w:pPr>
            <w:r w:rsidRPr="00075237">
              <w:rPr>
                <w:b/>
                <w:bCs/>
                <w:sz w:val="20"/>
                <w:szCs w:val="20"/>
              </w:rPr>
              <w:t>99</w:t>
            </w:r>
          </w:p>
        </w:tc>
      </w:tr>
    </w:tbl>
    <w:p w14:paraId="3F490786" w14:textId="77777777" w:rsidR="008314AA" w:rsidRPr="00075237" w:rsidRDefault="008314AA" w:rsidP="002A641D">
      <w:pPr>
        <w:pStyle w:val="Heading1"/>
        <w:keepNext/>
        <w:numPr>
          <w:ilvl w:val="0"/>
          <w:numId w:val="0"/>
        </w:numPr>
        <w:spacing w:before="360"/>
        <w:rPr>
          <w:b/>
        </w:rPr>
      </w:pPr>
      <w:r w:rsidRPr="00075237">
        <w:rPr>
          <w:b/>
        </w:rPr>
        <w:t>Observations du Secrétariat</w:t>
      </w:r>
    </w:p>
    <w:p w14:paraId="6FB26C2E" w14:textId="77777777" w:rsidR="008314AA" w:rsidRPr="00075237" w:rsidRDefault="008314AA" w:rsidP="008314AA">
      <w:pPr>
        <w:pStyle w:val="Heading1"/>
      </w:pPr>
      <w:r w:rsidRPr="00075237">
        <w:t>Toutes les activités prévues dans le cadre de la cinquième et dernière tranche de la phase I ont été achevées. L’ONUDI a confirmé que la phase I du PGEH pour l’Afrique du Sud a été achevée le 31 décembre 2023, en accord avec la décision 91/41, et que le solde restant de 33 000 $ US sera renvoyé à la 95</w:t>
      </w:r>
      <w:r w:rsidRPr="00075237">
        <w:rPr>
          <w:vertAlign w:val="superscript"/>
        </w:rPr>
        <w:t>e</w:t>
      </w:r>
      <w:r w:rsidRPr="00075237">
        <w:t> réunion. Le rapport d’achèvement de projet sera présenté à la deuxième réunion du Comité exécutif en 2024.</w:t>
      </w:r>
    </w:p>
    <w:p w14:paraId="2AED0C03" w14:textId="24BB43F4" w:rsidR="008314AA" w:rsidRPr="00075237" w:rsidRDefault="008314AA" w:rsidP="008314AA">
      <w:pPr>
        <w:pStyle w:val="Heading1"/>
        <w:spacing w:after="120"/>
      </w:pPr>
      <w:r w:rsidRPr="00075237">
        <w:t>Le Secrétariat note avec satisfaction les résultats atteints jusqu’ici par les quatre projets pilotes pour démontrer les économies d’énergie et de coût obtenues grâce à l’utilisation des technologies à faible PRG dans diverses application</w:t>
      </w:r>
      <w:r w:rsidR="00EA79D4" w:rsidRPr="00075237">
        <w:t>s</w:t>
      </w:r>
      <w:r w:rsidRPr="00075237">
        <w:t>. En prenant note que le suivi de leurs résultats est toujours en cours et que les résultats finaux serviront à renseigner les utilisateurs finaux dans d’autres pays, le Secrétariat suggère, en accord avec la décision 92/36(g), qu’à l’achèvement des projets de démonstration compris dans la phase I, l’ONUDI présente un rapport final sur leur mise en œuvre en accord avec la décision</w:t>
      </w:r>
      <w:r w:rsidR="004C0E85" w:rsidRPr="00075237">
        <w:t> </w:t>
      </w:r>
      <w:r w:rsidRPr="00075237">
        <w:t>92/36(g), comprenant l’élimination des HCFC et les gains en efficacité énergétique obtenus.</w:t>
      </w:r>
    </w:p>
    <w:p w14:paraId="62F286C2" w14:textId="77777777" w:rsidR="008314AA" w:rsidRPr="00075237" w:rsidRDefault="008314AA" w:rsidP="008314AA">
      <w:pPr>
        <w:widowControl w:val="0"/>
        <w:tabs>
          <w:tab w:val="left" w:pos="720"/>
        </w:tabs>
        <w:spacing w:before="240" w:after="240"/>
        <w:outlineLvl w:val="0"/>
        <w:rPr>
          <w:b/>
        </w:rPr>
      </w:pPr>
      <w:r w:rsidRPr="00075237">
        <w:rPr>
          <w:b/>
        </w:rPr>
        <w:t>Recommandation</w:t>
      </w:r>
    </w:p>
    <w:p w14:paraId="0D28BF1C" w14:textId="77777777" w:rsidR="008314AA" w:rsidRPr="00075237" w:rsidRDefault="008314AA" w:rsidP="008314AA">
      <w:pPr>
        <w:pStyle w:val="Heading1"/>
      </w:pPr>
      <w:r w:rsidRPr="00075237">
        <w:t>Le Comité exécutif pourrait envisager de prendre note :</w:t>
      </w:r>
    </w:p>
    <w:p w14:paraId="6F384799" w14:textId="77777777" w:rsidR="008314AA" w:rsidRPr="00075237" w:rsidRDefault="008314AA" w:rsidP="008314AA">
      <w:pPr>
        <w:pStyle w:val="Heading2"/>
        <w:numPr>
          <w:ilvl w:val="1"/>
          <w:numId w:val="1"/>
        </w:numPr>
      </w:pPr>
      <w:r w:rsidRPr="00075237">
        <w:t xml:space="preserve">Du rapport périodique final sur la mise en œuvre de la cinquième et dernière tranche de la phase I du plan de gestion de l’élimination des HCFC (PGEH) pour l’Afrique du Sud, </w:t>
      </w:r>
      <w:r w:rsidRPr="00075237">
        <w:lastRenderedPageBreak/>
        <w:t>présenté par l’ONUDI et contenu dans le document UNEP/OzL.Pro/ExCom/94/9;</w:t>
      </w:r>
    </w:p>
    <w:p w14:paraId="5D1F9BC9" w14:textId="61B5E4B8" w:rsidR="008314AA" w:rsidRPr="00075237" w:rsidRDefault="008314AA" w:rsidP="008314AA">
      <w:pPr>
        <w:pStyle w:val="Heading2"/>
        <w:numPr>
          <w:ilvl w:val="1"/>
          <w:numId w:val="1"/>
        </w:numPr>
      </w:pPr>
      <w:r w:rsidRPr="00075237">
        <w:t>Qu’un solde inutilisé de 33 000 $</w:t>
      </w:r>
      <w:r w:rsidR="00B213A4" w:rsidRPr="00075237">
        <w:t> </w:t>
      </w:r>
      <w:r w:rsidRPr="00075237">
        <w:t>US provenant de la phase I du PGEH sera renvoyé à la 95</w:t>
      </w:r>
      <w:r w:rsidRPr="00075237">
        <w:rPr>
          <w:vertAlign w:val="superscript"/>
        </w:rPr>
        <w:t>e</w:t>
      </w:r>
      <w:r w:rsidRPr="00075237">
        <w:t> réunion;</w:t>
      </w:r>
    </w:p>
    <w:p w14:paraId="20A85ABE" w14:textId="77777777" w:rsidR="008314AA" w:rsidRPr="00075237" w:rsidRDefault="008314AA" w:rsidP="008314AA">
      <w:pPr>
        <w:pStyle w:val="Heading2"/>
        <w:numPr>
          <w:ilvl w:val="1"/>
          <w:numId w:val="1"/>
        </w:numPr>
      </w:pPr>
      <w:r w:rsidRPr="00075237">
        <w:t>Qu’à l’achèvement des projets de démonstration pour les utilisateurs finaux compris dans la phase I du PGEH, l’ONUDI présentera un rapport final sur leur mise en œuvre, y compris l’élimination des HCFC et les gains d’efficacité énergétique obtenus, en accord avec la décision 92/36(g).</w:t>
      </w:r>
    </w:p>
    <w:p w14:paraId="4190BEF7" w14:textId="77777777" w:rsidR="002B75B4" w:rsidRPr="00075237" w:rsidRDefault="002B75B4" w:rsidP="002B75B4">
      <w:pPr>
        <w:pStyle w:val="Title1"/>
        <w:jc w:val="both"/>
        <w:rPr>
          <w:b w:val="0"/>
          <w:bCs/>
        </w:rPr>
      </w:pPr>
    </w:p>
    <w:p w14:paraId="76D1494F" w14:textId="1A1457FD" w:rsidR="001C2731" w:rsidRPr="00075237" w:rsidRDefault="001C2731" w:rsidP="001C2731">
      <w:pPr>
        <w:ind w:left="720"/>
        <w:rPr>
          <w:b/>
          <w:bCs/>
          <w:u w:val="single"/>
        </w:rPr>
      </w:pPr>
      <w:r w:rsidRPr="00075237">
        <w:rPr>
          <w:b/>
          <w:bCs/>
          <w:u w:val="single"/>
        </w:rPr>
        <w:t>Uruguay</w:t>
      </w:r>
      <w:r w:rsidR="00B213A4" w:rsidRPr="00075237">
        <w:rPr>
          <w:b/>
          <w:bCs/>
          <w:u w:val="single"/>
        </w:rPr>
        <w:t> </w:t>
      </w:r>
      <w:r w:rsidRPr="00075237">
        <w:rPr>
          <w:b/>
          <w:bCs/>
          <w:u w:val="single"/>
        </w:rPr>
        <w:t>: Plan de gestion de l’élimination des HCFC (phase II – rapport périodique sur la mise en œuvre de la conversion dans le secteur de la fabrication de la mousse) (PNUD)</w:t>
      </w:r>
    </w:p>
    <w:p w14:paraId="55F66065" w14:textId="77777777" w:rsidR="001C2731" w:rsidRPr="00075237" w:rsidRDefault="001C2731" w:rsidP="001C2731">
      <w:pPr>
        <w:pStyle w:val="StyleBold"/>
        <w:keepNext/>
        <w:keepLines/>
        <w:spacing w:before="240"/>
      </w:pPr>
      <w:r w:rsidRPr="00075237">
        <w:t>Contexte</w:t>
      </w:r>
    </w:p>
    <w:p w14:paraId="67DCF6E7" w14:textId="5CDF7831" w:rsidR="001C2731" w:rsidRPr="00075237" w:rsidRDefault="001C2731" w:rsidP="001C2731">
      <w:pPr>
        <w:pStyle w:val="Heading1"/>
      </w:pPr>
      <w:r w:rsidRPr="00075237">
        <w:t>La phase II du plan de gestion de l’élimination des HCFC (PGEH) pour l’Uruguay a été approuvée à la 77</w:t>
      </w:r>
      <w:r w:rsidRPr="00075237">
        <w:rPr>
          <w:vertAlign w:val="superscript"/>
        </w:rPr>
        <w:t>e</w:t>
      </w:r>
      <w:r w:rsidRPr="00075237">
        <w:t> réunion</w:t>
      </w:r>
      <w:r w:rsidRPr="00075237">
        <w:rPr>
          <w:rStyle w:val="FootnoteReference"/>
        </w:rPr>
        <w:footnoteReference w:id="19"/>
      </w:r>
      <w:r w:rsidRPr="00075237">
        <w:t xml:space="preserve"> et la deuxième tranche, qui comprenait une demande pour la mise en œuvre d’un projet de conversion chez 21 petites et moyennes entreprises (PME) de fabrication de la mousse pour l’élimination de 5,53 tonnes SAO (50,24 tonnes métriques (tm)) de HCFC-141b contenu dans les polyols prémélangés importés vers la technologie des hydrofluoroléfines (HFO), a été approuvée à la 82</w:t>
      </w:r>
      <w:r w:rsidRPr="00075237">
        <w:rPr>
          <w:vertAlign w:val="superscript"/>
        </w:rPr>
        <w:t>e</w:t>
      </w:r>
      <w:r w:rsidRPr="00075237">
        <w:t> réunion</w:t>
      </w:r>
      <w:r w:rsidRPr="00075237">
        <w:rPr>
          <w:rStyle w:val="FootnoteReference"/>
        </w:rPr>
        <w:footnoteReference w:id="20"/>
      </w:r>
      <w:r w:rsidRPr="00075237">
        <w:t xml:space="preserve">. En approuvant la tranche, le Comité exécutif </w:t>
      </w:r>
      <w:r w:rsidR="00F55215" w:rsidRPr="00075237">
        <w:t>a</w:t>
      </w:r>
      <w:r w:rsidRPr="00075237">
        <w:t xml:space="preserve"> demandé au PNUD de communiquer l’avancement dans la mise en œuvre de la conversion des PME et la disponibilité des HFO ou des formulations de polyuréthane (PU) à base de HFO, ainsi que les composantes connexes à la 84</w:t>
      </w:r>
      <w:r w:rsidRPr="00075237">
        <w:rPr>
          <w:vertAlign w:val="superscript"/>
        </w:rPr>
        <w:t>e</w:t>
      </w:r>
      <w:r w:rsidRPr="00075237">
        <w:t> réunion (décision 82/76(b)ii)). Après cela, le Comité exécutif a demandé au PNUD de continuer à présenter des rapports sur la mise en œuvre des conversions lors des réunions subséquentes</w:t>
      </w:r>
      <w:r w:rsidRPr="00075237">
        <w:rPr>
          <w:rStyle w:val="FootnoteReference"/>
        </w:rPr>
        <w:footnoteReference w:id="21"/>
      </w:r>
      <w:r w:rsidRPr="00075237">
        <w:t xml:space="preserve">. </w:t>
      </w:r>
    </w:p>
    <w:p w14:paraId="22F8F18F" w14:textId="77777777" w:rsidR="001C2731" w:rsidRPr="00075237" w:rsidRDefault="001C2731" w:rsidP="001C2731">
      <w:pPr>
        <w:pStyle w:val="Heading1"/>
      </w:pPr>
      <w:r w:rsidRPr="00075237">
        <w:t>À la 91</w:t>
      </w:r>
      <w:r w:rsidRPr="00075237">
        <w:rPr>
          <w:vertAlign w:val="superscript"/>
        </w:rPr>
        <w:t>e</w:t>
      </w:r>
      <w:r w:rsidRPr="00075237">
        <w:t> réunion, le PNUD a déclaré que seules deux des conversions chez les 21 PME admissibles participantes au projet avaient été achevées</w:t>
      </w:r>
      <w:r w:rsidRPr="00075237">
        <w:rPr>
          <w:vertAlign w:val="superscript"/>
        </w:rPr>
        <w:footnoteReference w:id="22"/>
      </w:r>
      <w:r w:rsidRPr="00075237">
        <w:t>; quatre entreprises se sont retirées du projet et la consommation associée de 0,09 tonne PAO (0,79 tm) de HCFC-141b a été considérée comme éliminée; qu’il y avait toujours très peu de HFO disponible sur le marché avec de longs délais dans l’approvisionnement du matériel pour les essais et les tests, en raison des problèmes persistants dans la chaîne mondiale d’approvisionnement; que le coût élevé des formulations de HFO était un défi pour la création des formulations, en particulier pour les applications de mousse pulvérisée, où la concentration de l’agent moussant est plus élevée, ce qui affecte le coût du produit final; que tous les fournisseurs, en particulier Polyser (le principal fournisseur dans le sous-secteur de la mousse pulvérisée), avaient réaffirmé leur engagement à passer aux solutions de remplacement à faible PRG, mais qu’ils continuaient à éprouver des difficultés et avaient exprimé la nécessité de mener des essais supplémentaires à l’hiver 2023; et que l’interdiction sur l’importation de HCFC-141b initialement prévue pour le 1</w:t>
      </w:r>
      <w:r w:rsidRPr="00075237">
        <w:rPr>
          <w:vertAlign w:val="superscript"/>
        </w:rPr>
        <w:t>er</w:t>
      </w:r>
      <w:r w:rsidRPr="00075237">
        <w:t> janvier 2021 serait appliquée à partir du 1</w:t>
      </w:r>
      <w:r w:rsidRPr="00075237">
        <w:rPr>
          <w:vertAlign w:val="superscript"/>
        </w:rPr>
        <w:t>er</w:t>
      </w:r>
      <w:r w:rsidRPr="00075237">
        <w:t xml:space="preserve"> janvier 2023, et que les importations de HCFC-141b contenu dans les polyols prémélangés seraient permises jusqu’au 31 décembre 2023.  </w:t>
      </w:r>
    </w:p>
    <w:p w14:paraId="4357B52B" w14:textId="44D80EC7" w:rsidR="001C2731" w:rsidRPr="00075237" w:rsidRDefault="001C2731" w:rsidP="001C2731">
      <w:pPr>
        <w:pStyle w:val="Heading1"/>
      </w:pPr>
      <w:r w:rsidRPr="00075237">
        <w:t xml:space="preserve">Par conséquent, le Comité exécutif a notamment décidé : </w:t>
      </w:r>
    </w:p>
    <w:p w14:paraId="16CE11A2" w14:textId="2D911E70" w:rsidR="001C2731" w:rsidRPr="00075237" w:rsidRDefault="0043356A" w:rsidP="002A641D">
      <w:pPr>
        <w:pStyle w:val="Heading2"/>
      </w:pPr>
      <w:r w:rsidRPr="00075237">
        <w:t>D’a</w:t>
      </w:r>
      <w:r w:rsidR="001C2731" w:rsidRPr="00075237">
        <w:t xml:space="preserve">pprouver, de façon exceptionnelle, une autre prolongation, jusqu’au 31 décembre 2023, de la date d’achèvement de la phase II du PGEH pour l’Uruguay, compte tenu du retard dans l’achèvement des conversions des entreprises restantes du secteur de la fabrication de mousse en raison du manque de disponibilité de la solution de remplacement et des </w:t>
      </w:r>
      <w:r w:rsidR="001C2731" w:rsidRPr="00075237">
        <w:lastRenderedPageBreak/>
        <w:t>interruptions dans la chaîne d’approvisionnement;</w:t>
      </w:r>
    </w:p>
    <w:p w14:paraId="7A87339D" w14:textId="4C4F051B" w:rsidR="001C2731" w:rsidRPr="00075237" w:rsidRDefault="00A93CD5" w:rsidP="004E6271">
      <w:pPr>
        <w:pStyle w:val="Heading2"/>
      </w:pPr>
      <w:r w:rsidRPr="00075237">
        <w:t>De p</w:t>
      </w:r>
      <w:r w:rsidR="001C2731" w:rsidRPr="00075237">
        <w:t>rendre note que l’interdiction sur les importations de HCFC-141b pur serait appliquée le 1</w:t>
      </w:r>
      <w:r w:rsidR="001C2731" w:rsidRPr="00075237">
        <w:rPr>
          <w:vertAlign w:val="superscript"/>
        </w:rPr>
        <w:t>er</w:t>
      </w:r>
      <w:r w:rsidR="001C2731" w:rsidRPr="00075237">
        <w:t> janvier 2023 et que l’interdiction sur le HCFC-141b contenu dans les polyols prémélangés importés entrerait en vigueur à partir du 1</w:t>
      </w:r>
      <w:r w:rsidR="001C2731" w:rsidRPr="00075237">
        <w:rPr>
          <w:vertAlign w:val="superscript"/>
        </w:rPr>
        <w:t>er</w:t>
      </w:r>
      <w:r w:rsidR="001C2731" w:rsidRPr="00075237">
        <w:t> janvier 2024;</w:t>
      </w:r>
    </w:p>
    <w:p w14:paraId="2FD3FDFB" w14:textId="4D988A2E" w:rsidR="001C2731" w:rsidRPr="00075237" w:rsidRDefault="001C2731" w:rsidP="001C2731">
      <w:pPr>
        <w:pStyle w:val="Heading2"/>
        <w:numPr>
          <w:ilvl w:val="1"/>
          <w:numId w:val="1"/>
        </w:numPr>
      </w:pPr>
      <w:r w:rsidRPr="00075237">
        <w:t>D</w:t>
      </w:r>
      <w:r w:rsidR="00A93CD5" w:rsidRPr="00075237">
        <w:t>e d</w:t>
      </w:r>
      <w:r w:rsidRPr="00075237">
        <w:t>emander au gouvernement de l’Uruguay, par le biais du PNUD, de présenter :</w:t>
      </w:r>
    </w:p>
    <w:p w14:paraId="72C3480B" w14:textId="77777777" w:rsidR="001C2731" w:rsidRPr="00075237" w:rsidRDefault="001C2731" w:rsidP="007B0E8B">
      <w:pPr>
        <w:pStyle w:val="Heading3"/>
        <w:widowControl/>
        <w:numPr>
          <w:ilvl w:val="2"/>
          <w:numId w:val="1"/>
        </w:numPr>
      </w:pPr>
      <w:r w:rsidRPr="00075237">
        <w:t>À la 93</w:t>
      </w:r>
      <w:r w:rsidRPr="00075237">
        <w:rPr>
          <w:vertAlign w:val="superscript"/>
        </w:rPr>
        <w:t>e</w:t>
      </w:r>
      <w:r w:rsidRPr="00075237">
        <w:t> réunion, un rapport périodique sur la mise en œuvre de la conversion des entreprises de fabrication de mousse, sur la disponibilité des HFO et des formulations de PU à base de HFO ainsi que sur la situation de la législation pour interdire l’importation et l’usage du HCFC-141b et du HCFC-141b contenu dans les polyols prémélangés importés.</w:t>
      </w:r>
    </w:p>
    <w:p w14:paraId="48AFC13C" w14:textId="69270E47" w:rsidR="001C2731" w:rsidRPr="00075237" w:rsidRDefault="001C2731" w:rsidP="001C2731">
      <w:pPr>
        <w:pStyle w:val="Heading1"/>
      </w:pPr>
      <w:r w:rsidRPr="00075237">
        <w:t>À la 93</w:t>
      </w:r>
      <w:r w:rsidRPr="00075237">
        <w:rPr>
          <w:vertAlign w:val="superscript"/>
        </w:rPr>
        <w:t>e</w:t>
      </w:r>
      <w:r w:rsidRPr="00075237">
        <w:t> réunion, le Comité exécutif a demandé au PNUD de fournir, à la 94</w:t>
      </w:r>
      <w:r w:rsidRPr="00075237">
        <w:rPr>
          <w:vertAlign w:val="superscript"/>
        </w:rPr>
        <w:t>e</w:t>
      </w:r>
      <w:r w:rsidRPr="00075237">
        <w:t> réunion, un rapport périodique à jour, complémentaire à celui qui a été présenté à la 93</w:t>
      </w:r>
      <w:r w:rsidRPr="00075237">
        <w:rPr>
          <w:vertAlign w:val="superscript"/>
        </w:rPr>
        <w:t>e</w:t>
      </w:r>
      <w:r w:rsidRPr="00075237">
        <w:t> réunion, sur la mise en œuvre du projet pour la conversion des entreprises de fabrication de mousse et la disponibilité des HFO et des formulations de PU à base de HFO et des composantes connexes, ainsi que sur la situation concernant la législation pour interdire l’importation et l’usage du HCFC-141b et du HCFC-141b contenu dans les polyols prémélangés financées dans le cadre de la phase II du PGEH de l’Uruguay (décision 93/19).</w:t>
      </w:r>
    </w:p>
    <w:p w14:paraId="199502BA" w14:textId="77777777" w:rsidR="001C2731" w:rsidRPr="00075237" w:rsidRDefault="001C2731" w:rsidP="001C2731">
      <w:pPr>
        <w:pStyle w:val="StyleBold"/>
        <w:keepNext/>
      </w:pPr>
      <w:r w:rsidRPr="00075237">
        <w:t>Rapport périodique</w:t>
      </w:r>
    </w:p>
    <w:p w14:paraId="04964A94" w14:textId="501109FA" w:rsidR="001C2731" w:rsidRPr="00075237" w:rsidRDefault="001C2731" w:rsidP="001C2731">
      <w:pPr>
        <w:pStyle w:val="Heading1"/>
      </w:pPr>
      <w:r w:rsidRPr="00075237">
        <w:t>En accord avec la décision 93/19, le PNUD a déclaré à la 94</w:t>
      </w:r>
      <w:r w:rsidRPr="00075237">
        <w:rPr>
          <w:vertAlign w:val="superscript"/>
        </w:rPr>
        <w:t>e</w:t>
      </w:r>
      <w:r w:rsidRPr="00075237">
        <w:t> réunion que deux entreprises supplémentaires avaient achevé leurs conversions vers les HFO, soit Warners, une entreprise de chauffe-eau, et Reyes Refrigeraci</w:t>
      </w:r>
      <w:r w:rsidRPr="00075237">
        <w:rPr>
          <w:rStyle w:val="normaltextrun"/>
          <w:color w:val="000000"/>
          <w:bdr w:val="none" w:sz="0" w:space="0" w:color="auto" w:frame="1"/>
        </w:rPr>
        <w:t>ó</w:t>
      </w:r>
      <w:r w:rsidRPr="00075237">
        <w:t xml:space="preserve">n, une entreprise de mousse pulvérisée, éliminant 0,26 tonne PAO (2,30 tm) de HCFC-141b, pour un total de quatre entreprises converties. Les conversions chez les 17 PME admissibles restantes qui participent au projet n’ont pas été achevées. En raison du coût élevé des formulations à base de HFO, les entreprises ont perdu l’intérêt pour le projet et n’ont pas achevé les tests ainsi que la conversion, et elles ne souhaitaient pas s’engager à éviter l’usage des formulations de PU à base de HFC. </w:t>
      </w:r>
    </w:p>
    <w:p w14:paraId="14B7BB4D" w14:textId="2C5D7A87" w:rsidR="001C2731" w:rsidRPr="00075237" w:rsidRDefault="001C2731" w:rsidP="001C2731">
      <w:pPr>
        <w:pStyle w:val="Heading1"/>
      </w:pPr>
      <w:r w:rsidRPr="00075237">
        <w:t>À la 91</w:t>
      </w:r>
      <w:r w:rsidRPr="00075237">
        <w:rPr>
          <w:vertAlign w:val="superscript"/>
        </w:rPr>
        <w:t>e</w:t>
      </w:r>
      <w:r w:rsidRPr="00075237">
        <w:t xml:space="preserve"> réunion, l’UNO a tenu des réunions avec les différents fournisseurs qui avaient exprimé leur intérêt pour le projet; toutefois, le PNUD a indiqué que la disponibilité des HFO demeure irrégulière avec de longs délais dans l’approvisionnement du matériel pour les essais et les tests. Les principaux défis pour s’assurer d’un approvisionnement continu de formulations de PU à base de HFO ont été la stabilité des formulations (en raison de la dégradation du catalyseur qui réduit la durée de vie du produit) ainsi que le coût élevé qui affecte la formule </w:t>
      </w:r>
      <w:r w:rsidR="00C1035F" w:rsidRPr="00075237">
        <w:t>pour l</w:t>
      </w:r>
      <w:r w:rsidRPr="00075237">
        <w:t>es applications de mousse pulvérisée, qui constituent la majorité du marché uruguayen.</w:t>
      </w:r>
    </w:p>
    <w:p w14:paraId="679940E7" w14:textId="77777777" w:rsidR="001C2731" w:rsidRPr="00075237" w:rsidRDefault="001C2731" w:rsidP="001C2731">
      <w:pPr>
        <w:pStyle w:val="Heading1"/>
      </w:pPr>
      <w:r w:rsidRPr="00075237">
        <w:t>L’UNO s’est entretenue avec des importateurs et des fournisseurs au sujet de l’interdiction sur les importations de HCFC-141b et de HCFC-141b contenu dans les polyols prémélangés. Aucune importation de HCFC-141b pur n’a été autorisée depuis le 1</w:t>
      </w:r>
      <w:r w:rsidRPr="00075237">
        <w:rPr>
          <w:vertAlign w:val="superscript"/>
        </w:rPr>
        <w:t>er</w:t>
      </w:r>
      <w:r w:rsidRPr="00075237">
        <w:t> janvier 2023. Les importations de HCFC-141b contenu dans les polyols prémélangés étaient autorisées jusqu’au 31 décembre 2023, de sorte que les importateurs pouvaient compléter les bons de commande en cours qui avaient été retardés en raison de problèmes logistiques et de production ainsi que de l’approvisionnement du marché, tandis que l’introduction des technologies de remplacement est achevée.</w:t>
      </w:r>
    </w:p>
    <w:p w14:paraId="7D5BC624" w14:textId="5D887DAE" w:rsidR="004D663F" w:rsidRPr="00075237" w:rsidRDefault="001C2731" w:rsidP="001C2731">
      <w:pPr>
        <w:pStyle w:val="Heading1"/>
      </w:pPr>
      <w:r w:rsidRPr="00075237">
        <w:t>Le projet a été achevé sur le plan opérationnel à la fin de 2023 et le solde de 309 186 $</w:t>
      </w:r>
      <w:r w:rsidR="00A679F5" w:rsidRPr="00075237">
        <w:t> </w:t>
      </w:r>
      <w:r w:rsidRPr="00075237">
        <w:t>US en coûts différentiels d’exploitation non dépensés associés aux PME qui ne se sont pas converties vers les solutions de remplacement à faible PRG sera renvoyé au Fonds multilatéral à la 96</w:t>
      </w:r>
      <w:r w:rsidRPr="00075237">
        <w:rPr>
          <w:vertAlign w:val="superscript"/>
        </w:rPr>
        <w:t>e</w:t>
      </w:r>
      <w:r w:rsidRPr="00075237">
        <w:t> réunion, à l’achèvement financier de la phase II du PGEH.</w:t>
      </w:r>
    </w:p>
    <w:p w14:paraId="72A275A7" w14:textId="37527CB4" w:rsidR="001C2731" w:rsidRPr="00075237" w:rsidRDefault="004D663F" w:rsidP="004D663F">
      <w:pPr>
        <w:jc w:val="left"/>
      </w:pPr>
      <w:r w:rsidRPr="00075237">
        <w:br w:type="page"/>
      </w:r>
    </w:p>
    <w:p w14:paraId="44CD4651" w14:textId="77777777" w:rsidR="001C2731" w:rsidRPr="00075237" w:rsidRDefault="001C2731" w:rsidP="001C2731">
      <w:pPr>
        <w:pStyle w:val="StyleBold"/>
      </w:pPr>
      <w:r w:rsidRPr="00075237">
        <w:lastRenderedPageBreak/>
        <w:t>Observations du Secrétariat</w:t>
      </w:r>
    </w:p>
    <w:p w14:paraId="120F795B" w14:textId="09F2320F" w:rsidR="001C2731" w:rsidRPr="00075237" w:rsidRDefault="001C2731" w:rsidP="001C2731">
      <w:pPr>
        <w:pStyle w:val="Heading1"/>
      </w:pPr>
      <w:r w:rsidRPr="00075237">
        <w:t>En prenant note que les principaux problèmes rencontrés dans le cadre du projet étaient le prix et la disponibilité de la technologie sélectionnée, le Secrétariat a demandé si le PNUD et les entreprises de fabrication de mousse de PU avaient envisagé d’autres technologies à faible PRG pendant la mise en œuvre du projet. Le PNUD a indiqué qu’une seule entreprise avait été disposée à assumer un investissement supplémentaire (James) et à adopter la technologie à base d’hydrocarbures (cyclopentane). La technologie à base d’eau a été testée pour d’autres entreprises, mais la performance s’est avérée faible et la mousse, de mauvaise qualité; cette option n’a donc été adoptée que de façon limitée.</w:t>
      </w:r>
    </w:p>
    <w:p w14:paraId="76AF490F" w14:textId="77777777" w:rsidR="001C2731" w:rsidRPr="00075237" w:rsidRDefault="001C2731" w:rsidP="001C2731">
      <w:pPr>
        <w:pStyle w:val="Heading1"/>
      </w:pPr>
      <w:r w:rsidRPr="00075237">
        <w:t xml:space="preserve">En ce qui concerne les HFO, le PNUD n’avait pas accès aux prix locaux, indiquant qu’il n’y a pas d’entreprises de formulation en Uruguay et que le pays n’importe que des formulations de polyol prémélangé. La disponibilité pour les panneaux est limitée pour les trois entreprises qui se sont converties et il n’y a pas de disponibilité en quantités commerciales pour la mousse pulvérisée, la principale application au pays. Le PNUD a aussi expliqué que comme les fournisseurs argentins ne fournissent pas de formulations à base de HFO, les importations proviennent de Chine ou d’Europe, ce qui représente une difficulté compte tenu de la durée de vie moyenne des formulations de PU avec le HFO-1233zs(E), qui est inférieure à six mois. </w:t>
      </w:r>
    </w:p>
    <w:p w14:paraId="3D92BCB6" w14:textId="0A2D1058" w:rsidR="001C2731" w:rsidRPr="00075237" w:rsidRDefault="001C2731" w:rsidP="001C2731">
      <w:pPr>
        <w:pStyle w:val="Heading1"/>
      </w:pPr>
      <w:r w:rsidRPr="00075237">
        <w:t>En résumé, quatre entreprises ont achevé leurs conversions comme ceci</w:t>
      </w:r>
      <w:r w:rsidR="00C550E4" w:rsidRPr="00075237">
        <w:t> </w:t>
      </w:r>
      <w:r w:rsidRPr="00075237">
        <w:t xml:space="preserve">: James vers le cyclopentane, ainsi que Warners, Rivomark et Reyes </w:t>
      </w:r>
      <w:r w:rsidRPr="00075237">
        <w:rPr>
          <w:rStyle w:val="normaltextrun"/>
          <w:color w:val="000000"/>
          <w:bdr w:val="none" w:sz="0" w:space="0" w:color="auto" w:frame="1"/>
        </w:rPr>
        <w:t>Refrigeración</w:t>
      </w:r>
      <w:r w:rsidRPr="00075237">
        <w:t xml:space="preserve"> vers les HFO. Les 17 PME restantes ont reçu de l’assistance technique et ont réalisé des essais pour adopter les HFO, mais n’ont pas achevé leurs conversions en raison du manque de disponibilité des formulations à base de HFO. Un résumé des fonds décaissés dans le cadre du projet et des soldes inutilisés qui seront renvoyés au Fonds se trouve au tableau 7. </w:t>
      </w:r>
    </w:p>
    <w:p w14:paraId="415E5A20" w14:textId="4DAACD13" w:rsidR="001C2731" w:rsidRPr="00075237" w:rsidRDefault="001C2731" w:rsidP="001C2731">
      <w:pPr>
        <w:pStyle w:val="Heading1"/>
        <w:numPr>
          <w:ilvl w:val="0"/>
          <w:numId w:val="0"/>
        </w:numPr>
        <w:spacing w:after="0"/>
        <w:rPr>
          <w:b/>
          <w:bCs/>
        </w:rPr>
      </w:pPr>
      <w:r w:rsidRPr="00075237">
        <w:rPr>
          <w:b/>
          <w:bCs/>
        </w:rPr>
        <w:t xml:space="preserve">Tableau 7. Fonds décaissés dans le projet de mousse de PU en Uruguay (US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9"/>
        <w:gridCol w:w="2031"/>
        <w:gridCol w:w="1965"/>
        <w:gridCol w:w="1965"/>
      </w:tblGrid>
      <w:tr w:rsidR="001C2731" w:rsidRPr="00075237" w14:paraId="7F819F16" w14:textId="77777777" w:rsidTr="00C30F95">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5BB44674" w14:textId="77777777" w:rsidR="001C2731" w:rsidRPr="00075237" w:rsidRDefault="001C2731" w:rsidP="00C30F95">
            <w:pPr>
              <w:spacing w:line="256" w:lineRule="auto"/>
              <w:rPr>
                <w:b/>
                <w:bCs/>
                <w:kern w:val="2"/>
                <w:sz w:val="20"/>
                <w:szCs w:val="20"/>
              </w:rPr>
            </w:pPr>
            <w:r w:rsidRPr="00075237">
              <w:rPr>
                <w:b/>
                <w:bCs/>
                <w:sz w:val="20"/>
                <w:szCs w:val="20"/>
              </w:rPr>
              <w:t>Article</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2DFFBF43" w14:textId="77777777" w:rsidR="001C2731" w:rsidRPr="00075237" w:rsidRDefault="001C2731" w:rsidP="00C30F95">
            <w:pPr>
              <w:spacing w:line="256" w:lineRule="auto"/>
              <w:jc w:val="center"/>
              <w:rPr>
                <w:b/>
                <w:bCs/>
                <w:kern w:val="2"/>
                <w:sz w:val="20"/>
                <w:szCs w:val="20"/>
              </w:rPr>
            </w:pPr>
            <w:r w:rsidRPr="00075237">
              <w:rPr>
                <w:b/>
                <w:bCs/>
                <w:sz w:val="20"/>
                <w:szCs w:val="20"/>
              </w:rPr>
              <w:t>Approuvé</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47592F20" w14:textId="77777777" w:rsidR="001C2731" w:rsidRPr="00075237" w:rsidRDefault="001C2731" w:rsidP="00C30F95">
            <w:pPr>
              <w:spacing w:line="256" w:lineRule="auto"/>
              <w:jc w:val="center"/>
              <w:rPr>
                <w:b/>
                <w:bCs/>
                <w:kern w:val="2"/>
                <w:sz w:val="20"/>
                <w:szCs w:val="20"/>
              </w:rPr>
            </w:pPr>
            <w:r w:rsidRPr="00075237">
              <w:rPr>
                <w:b/>
                <w:bCs/>
                <w:sz w:val="20"/>
                <w:szCs w:val="20"/>
              </w:rPr>
              <w:t>Décaissé</w:t>
            </w:r>
          </w:p>
        </w:tc>
        <w:tc>
          <w:tcPr>
            <w:tcW w:w="1051" w:type="pct"/>
            <w:tcBorders>
              <w:top w:val="single" w:sz="4" w:space="0" w:color="auto"/>
              <w:left w:val="single" w:sz="4" w:space="0" w:color="auto"/>
              <w:bottom w:val="single" w:sz="4" w:space="0" w:color="auto"/>
              <w:right w:val="single" w:sz="4" w:space="0" w:color="auto"/>
            </w:tcBorders>
            <w:vAlign w:val="center"/>
          </w:tcPr>
          <w:p w14:paraId="4371CAE6" w14:textId="77777777" w:rsidR="001C2731" w:rsidRPr="00075237" w:rsidRDefault="001C2731" w:rsidP="00C30F95">
            <w:pPr>
              <w:spacing w:line="256" w:lineRule="auto"/>
              <w:jc w:val="center"/>
              <w:rPr>
                <w:b/>
                <w:bCs/>
                <w:kern w:val="2"/>
                <w:sz w:val="20"/>
                <w:szCs w:val="20"/>
              </w:rPr>
            </w:pPr>
            <w:r w:rsidRPr="00075237">
              <w:rPr>
                <w:b/>
                <w:bCs/>
                <w:sz w:val="20"/>
                <w:szCs w:val="20"/>
              </w:rPr>
              <w:t>Solde</w:t>
            </w:r>
          </w:p>
        </w:tc>
      </w:tr>
      <w:tr w:rsidR="001C2731" w:rsidRPr="00075237" w14:paraId="1ADEB212" w14:textId="77777777" w:rsidTr="00C30F95">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2AC0FE6A" w14:textId="77777777" w:rsidR="001C2731" w:rsidRPr="00075237" w:rsidRDefault="001C2731" w:rsidP="00C30F95">
            <w:pPr>
              <w:spacing w:line="256" w:lineRule="auto"/>
              <w:rPr>
                <w:kern w:val="2"/>
                <w:sz w:val="20"/>
                <w:szCs w:val="20"/>
              </w:rPr>
            </w:pPr>
            <w:r w:rsidRPr="00075237">
              <w:rPr>
                <w:sz w:val="20"/>
                <w:szCs w:val="20"/>
              </w:rPr>
              <w:t xml:space="preserve">CDI </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48ECDFE1" w14:textId="77777777" w:rsidR="001C2731" w:rsidRPr="00075237" w:rsidRDefault="001C2731" w:rsidP="00C30F95">
            <w:pPr>
              <w:spacing w:line="256" w:lineRule="auto"/>
              <w:jc w:val="right"/>
              <w:rPr>
                <w:kern w:val="2"/>
                <w:sz w:val="20"/>
                <w:szCs w:val="20"/>
              </w:rPr>
            </w:pPr>
            <w:r w:rsidRPr="00075237">
              <w:rPr>
                <w:sz w:val="20"/>
                <w:szCs w:val="20"/>
              </w:rPr>
              <w:t>106 180</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42559D7E" w14:textId="77777777" w:rsidR="001C2731" w:rsidRPr="00075237" w:rsidRDefault="001C2731" w:rsidP="00C30F95">
            <w:pPr>
              <w:spacing w:line="256" w:lineRule="auto"/>
              <w:jc w:val="right"/>
              <w:rPr>
                <w:kern w:val="2"/>
                <w:sz w:val="20"/>
                <w:szCs w:val="20"/>
              </w:rPr>
            </w:pPr>
            <w:r w:rsidRPr="00075237">
              <w:rPr>
                <w:sz w:val="20"/>
                <w:szCs w:val="20"/>
              </w:rPr>
              <w:t>106 180</w:t>
            </w:r>
          </w:p>
        </w:tc>
        <w:tc>
          <w:tcPr>
            <w:tcW w:w="1051" w:type="pct"/>
            <w:tcBorders>
              <w:top w:val="single" w:sz="4" w:space="0" w:color="auto"/>
              <w:left w:val="single" w:sz="4" w:space="0" w:color="auto"/>
              <w:bottom w:val="single" w:sz="4" w:space="0" w:color="auto"/>
              <w:right w:val="single" w:sz="4" w:space="0" w:color="auto"/>
            </w:tcBorders>
            <w:vAlign w:val="center"/>
          </w:tcPr>
          <w:p w14:paraId="6987D40C" w14:textId="77777777" w:rsidR="001C2731" w:rsidRPr="00075237" w:rsidRDefault="001C2731" w:rsidP="00C30F95">
            <w:pPr>
              <w:spacing w:line="256" w:lineRule="auto"/>
              <w:jc w:val="right"/>
              <w:rPr>
                <w:kern w:val="2"/>
                <w:sz w:val="20"/>
                <w:szCs w:val="20"/>
              </w:rPr>
            </w:pPr>
            <w:r w:rsidRPr="00075237">
              <w:rPr>
                <w:sz w:val="20"/>
                <w:szCs w:val="20"/>
              </w:rPr>
              <w:t>0</w:t>
            </w:r>
          </w:p>
        </w:tc>
      </w:tr>
      <w:tr w:rsidR="001C2731" w:rsidRPr="00075237" w14:paraId="72A53F2D" w14:textId="77777777" w:rsidTr="00C30F95">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6C620A9E" w14:textId="77777777" w:rsidR="001C2731" w:rsidRPr="00075237" w:rsidRDefault="001C2731" w:rsidP="00C30F95">
            <w:pPr>
              <w:spacing w:line="256" w:lineRule="auto"/>
              <w:rPr>
                <w:kern w:val="2"/>
                <w:sz w:val="20"/>
                <w:szCs w:val="20"/>
              </w:rPr>
            </w:pPr>
            <w:r w:rsidRPr="00075237">
              <w:rPr>
                <w:sz w:val="20"/>
                <w:szCs w:val="20"/>
              </w:rPr>
              <w:t xml:space="preserve">CDE </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083E4471" w14:textId="77777777" w:rsidR="001C2731" w:rsidRPr="00075237" w:rsidRDefault="001C2731" w:rsidP="00C30F95">
            <w:pPr>
              <w:spacing w:line="256" w:lineRule="auto"/>
              <w:jc w:val="right"/>
              <w:rPr>
                <w:kern w:val="2"/>
                <w:sz w:val="20"/>
                <w:szCs w:val="20"/>
              </w:rPr>
            </w:pPr>
            <w:r w:rsidRPr="00075237">
              <w:rPr>
                <w:sz w:val="20"/>
                <w:szCs w:val="20"/>
              </w:rPr>
              <w:t>416 709</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57D44C09" w14:textId="77777777" w:rsidR="001C2731" w:rsidRPr="00075237" w:rsidRDefault="001C2731" w:rsidP="00C30F95">
            <w:pPr>
              <w:spacing w:line="256" w:lineRule="auto"/>
              <w:jc w:val="right"/>
              <w:rPr>
                <w:kern w:val="2"/>
                <w:sz w:val="20"/>
                <w:szCs w:val="20"/>
              </w:rPr>
            </w:pPr>
            <w:r w:rsidRPr="00075237">
              <w:rPr>
                <w:sz w:val="20"/>
                <w:szCs w:val="20"/>
              </w:rPr>
              <w:t>107 523</w:t>
            </w:r>
          </w:p>
        </w:tc>
        <w:tc>
          <w:tcPr>
            <w:tcW w:w="1051" w:type="pct"/>
            <w:tcBorders>
              <w:top w:val="single" w:sz="4" w:space="0" w:color="auto"/>
              <w:left w:val="single" w:sz="4" w:space="0" w:color="auto"/>
              <w:bottom w:val="single" w:sz="4" w:space="0" w:color="auto"/>
              <w:right w:val="single" w:sz="4" w:space="0" w:color="auto"/>
            </w:tcBorders>
            <w:vAlign w:val="center"/>
          </w:tcPr>
          <w:p w14:paraId="0675DCD3" w14:textId="77777777" w:rsidR="001C2731" w:rsidRPr="00075237" w:rsidRDefault="001C2731" w:rsidP="00C30F95">
            <w:pPr>
              <w:spacing w:line="256" w:lineRule="auto"/>
              <w:jc w:val="right"/>
              <w:rPr>
                <w:kern w:val="2"/>
                <w:sz w:val="20"/>
                <w:szCs w:val="20"/>
              </w:rPr>
            </w:pPr>
            <w:r w:rsidRPr="00075237">
              <w:rPr>
                <w:sz w:val="20"/>
                <w:szCs w:val="20"/>
              </w:rPr>
              <w:t>309 186</w:t>
            </w:r>
          </w:p>
        </w:tc>
      </w:tr>
      <w:tr w:rsidR="001C2731" w:rsidRPr="00075237" w14:paraId="6AFC5E3E" w14:textId="77777777" w:rsidTr="00C30F95">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487587D9" w14:textId="77777777" w:rsidR="001C2731" w:rsidRPr="00075237" w:rsidRDefault="001C2731" w:rsidP="00C30F95">
            <w:pPr>
              <w:spacing w:line="256" w:lineRule="auto"/>
              <w:rPr>
                <w:b/>
                <w:bCs/>
                <w:kern w:val="2"/>
                <w:sz w:val="20"/>
                <w:szCs w:val="20"/>
              </w:rPr>
            </w:pPr>
            <w:r w:rsidRPr="00075237">
              <w:rPr>
                <w:b/>
                <w:bCs/>
                <w:sz w:val="20"/>
                <w:szCs w:val="20"/>
              </w:rPr>
              <w:t>Total</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5FE97C40" w14:textId="77777777" w:rsidR="001C2731" w:rsidRPr="00075237" w:rsidRDefault="001C2731" w:rsidP="00C30F95">
            <w:pPr>
              <w:spacing w:line="256" w:lineRule="auto"/>
              <w:jc w:val="right"/>
              <w:rPr>
                <w:b/>
                <w:bCs/>
                <w:kern w:val="2"/>
                <w:sz w:val="20"/>
                <w:szCs w:val="20"/>
              </w:rPr>
            </w:pPr>
            <w:r w:rsidRPr="00075237">
              <w:rPr>
                <w:b/>
                <w:bCs/>
                <w:sz w:val="20"/>
                <w:szCs w:val="20"/>
              </w:rPr>
              <w:t>522 889</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1B509D16" w14:textId="77777777" w:rsidR="001C2731" w:rsidRPr="00075237" w:rsidRDefault="001C2731" w:rsidP="00C30F95">
            <w:pPr>
              <w:spacing w:line="256" w:lineRule="auto"/>
              <w:jc w:val="right"/>
              <w:rPr>
                <w:b/>
                <w:bCs/>
                <w:kern w:val="2"/>
                <w:sz w:val="20"/>
                <w:szCs w:val="20"/>
              </w:rPr>
            </w:pPr>
            <w:r w:rsidRPr="00075237">
              <w:rPr>
                <w:b/>
                <w:bCs/>
                <w:sz w:val="20"/>
                <w:szCs w:val="20"/>
              </w:rPr>
              <w:t>213 703</w:t>
            </w:r>
          </w:p>
        </w:tc>
        <w:tc>
          <w:tcPr>
            <w:tcW w:w="1051" w:type="pct"/>
            <w:tcBorders>
              <w:top w:val="single" w:sz="4" w:space="0" w:color="auto"/>
              <w:left w:val="single" w:sz="4" w:space="0" w:color="auto"/>
              <w:bottom w:val="single" w:sz="4" w:space="0" w:color="auto"/>
              <w:right w:val="single" w:sz="4" w:space="0" w:color="auto"/>
            </w:tcBorders>
            <w:vAlign w:val="center"/>
          </w:tcPr>
          <w:p w14:paraId="7EA715CD" w14:textId="77777777" w:rsidR="001C2731" w:rsidRPr="00075237" w:rsidRDefault="001C2731" w:rsidP="00C30F95">
            <w:pPr>
              <w:spacing w:line="256" w:lineRule="auto"/>
              <w:jc w:val="right"/>
              <w:rPr>
                <w:b/>
                <w:bCs/>
                <w:kern w:val="2"/>
                <w:sz w:val="20"/>
                <w:szCs w:val="20"/>
              </w:rPr>
            </w:pPr>
            <w:r w:rsidRPr="00075237">
              <w:rPr>
                <w:b/>
                <w:bCs/>
                <w:sz w:val="20"/>
                <w:szCs w:val="20"/>
              </w:rPr>
              <w:t>309 186</w:t>
            </w:r>
          </w:p>
        </w:tc>
      </w:tr>
    </w:tbl>
    <w:p w14:paraId="6EB86BA1" w14:textId="77777777" w:rsidR="001C2731" w:rsidRPr="00075237" w:rsidRDefault="001C2731" w:rsidP="001C2731">
      <w:pPr>
        <w:pStyle w:val="Heading1"/>
        <w:spacing w:before="240"/>
      </w:pPr>
      <w:r w:rsidRPr="00075237">
        <w:t>En relevant qu’aucune importation de HCFC-141b pur n’a été autorisée depuis le 1</w:t>
      </w:r>
      <w:r w:rsidRPr="00075237">
        <w:rPr>
          <w:vertAlign w:val="superscript"/>
        </w:rPr>
        <w:t>er</w:t>
      </w:r>
      <w:r w:rsidRPr="00075237">
        <w:t> janvier 2023 et qu’aucune importation de HCFC-141b contenu dans les polyols prémélangés n’a été autorisée depuis le 1</w:t>
      </w:r>
      <w:r w:rsidRPr="00075237">
        <w:rPr>
          <w:vertAlign w:val="superscript"/>
        </w:rPr>
        <w:t>er</w:t>
      </w:r>
      <w:r w:rsidRPr="00075237">
        <w:t> janvier 2024, le PNUD a expliqué que l’importateur de HCFC-141b dispose de stocks pour environ six mois, selon la demande. Certaines des entreprises qui n’avaient pas achevé leur projet utiliseront du HFC-365mfc et du HFC-245fa, de l’eau (en quantité moindre) et, en très petite quantité, des HFO.</w:t>
      </w:r>
    </w:p>
    <w:p w14:paraId="3405EA1D" w14:textId="77777777" w:rsidR="001C2731" w:rsidRPr="00075237" w:rsidRDefault="001C2731" w:rsidP="001C2731">
      <w:pPr>
        <w:pStyle w:val="Heading1"/>
        <w:spacing w:before="240"/>
      </w:pPr>
      <w:r w:rsidRPr="00075237">
        <w:t xml:space="preserve">Le PNUD a aussi confirmé que toutes les activités de fond dans le cadre du projet ont été achevées avant le 31 décembre 2023, conformément à la date de prolongation pour l’achèvement de la phase, et l’achèvement financier aura lieu le 31 décembre 2024.  </w:t>
      </w:r>
    </w:p>
    <w:p w14:paraId="61F3204B" w14:textId="77777777" w:rsidR="001C2731" w:rsidRPr="00075237" w:rsidRDefault="001C2731" w:rsidP="001C2731">
      <w:pPr>
        <w:pStyle w:val="Heading1"/>
      </w:pPr>
      <w:r w:rsidRPr="00075237">
        <w:t>En prenant note que le problème de disponibilité des substituts pour la fabrication de la mousse de PU fera l’objet d’une discussion au point 10 de l’ordre du jour de la 94</w:t>
      </w:r>
      <w:r w:rsidRPr="00075237">
        <w:rPr>
          <w:vertAlign w:val="superscript"/>
        </w:rPr>
        <w:t>e</w:t>
      </w:r>
      <w:r w:rsidRPr="00075237">
        <w:t> réunion, le Secrétariat a inclus les informations relatives au projet de la fabrication de la mousse de PU de l’Uruguay dans le document UNEP/OzL.Pro/ExCom/94/58.</w:t>
      </w:r>
    </w:p>
    <w:p w14:paraId="472ABB35" w14:textId="77777777" w:rsidR="001C2731" w:rsidRPr="00075237" w:rsidRDefault="001C2731" w:rsidP="001C2731">
      <w:pPr>
        <w:pStyle w:val="Heading1"/>
        <w:widowControl w:val="0"/>
        <w:numPr>
          <w:ilvl w:val="0"/>
          <w:numId w:val="0"/>
        </w:numPr>
        <w:rPr>
          <w:b/>
        </w:rPr>
      </w:pPr>
      <w:r w:rsidRPr="00075237">
        <w:rPr>
          <w:b/>
        </w:rPr>
        <w:t xml:space="preserve">Recommandation </w:t>
      </w:r>
    </w:p>
    <w:p w14:paraId="4D5CB18D" w14:textId="77777777" w:rsidR="001C2731" w:rsidRPr="00075237" w:rsidRDefault="001C2731" w:rsidP="001C2731">
      <w:pPr>
        <w:pStyle w:val="Heading1"/>
      </w:pPr>
      <w:r w:rsidRPr="00075237">
        <w:t>Le Comité exécutif pourrait envisager de prendre note :</w:t>
      </w:r>
    </w:p>
    <w:p w14:paraId="78144B21" w14:textId="701EFFB7" w:rsidR="001C2731" w:rsidRPr="00075237" w:rsidRDefault="001C2731" w:rsidP="001C2731">
      <w:pPr>
        <w:pStyle w:val="Heading2"/>
        <w:numPr>
          <w:ilvl w:val="1"/>
          <w:numId w:val="1"/>
        </w:numPr>
      </w:pPr>
      <w:r w:rsidRPr="00075237">
        <w:t xml:space="preserve">Du rapport sur l’avancement dans la mise en œuvre de la conversion des entreprises de </w:t>
      </w:r>
      <w:r w:rsidRPr="00075237">
        <w:lastRenderedPageBreak/>
        <w:t>fabrication de mousse et la disponibilité de l’hydrofloroléfine (HFO) et des formulations de polyuréthane (PU) à base de HFO ainsi que leurs composantes associées financées dans le cadre de la phase</w:t>
      </w:r>
      <w:r w:rsidR="006A0E54" w:rsidRPr="00075237">
        <w:t> </w:t>
      </w:r>
      <w:r w:rsidRPr="00075237">
        <w:t>II du plan de gestion de l’élimination des HCFC (PGEH) pour l’Uruguay.</w:t>
      </w:r>
    </w:p>
    <w:p w14:paraId="3D933A2F" w14:textId="77777777" w:rsidR="001C2731" w:rsidRPr="00075237" w:rsidRDefault="001C2731" w:rsidP="001C2731">
      <w:pPr>
        <w:pStyle w:val="Heading2"/>
        <w:numPr>
          <w:ilvl w:val="1"/>
          <w:numId w:val="1"/>
        </w:numPr>
      </w:pPr>
      <w:r w:rsidRPr="00075237">
        <w:t>Que l’interdiction sur les importations de HCFC-141b pur a été mise en œuvre à partir du 1</w:t>
      </w:r>
      <w:r w:rsidRPr="00075237">
        <w:rPr>
          <w:vertAlign w:val="superscript"/>
        </w:rPr>
        <w:t>er</w:t>
      </w:r>
      <w:r w:rsidRPr="00075237">
        <w:t> janvier 2023 et que l’interdiction sur le HCFC-141b contenu dans les polyols prémélangés importés est en vigueur depuis le 1</w:t>
      </w:r>
      <w:r w:rsidRPr="00075237">
        <w:rPr>
          <w:vertAlign w:val="superscript"/>
        </w:rPr>
        <w:t>er</w:t>
      </w:r>
      <w:r w:rsidRPr="00075237">
        <w:t> janvier 2024;</w:t>
      </w:r>
    </w:p>
    <w:p w14:paraId="542BE707" w14:textId="6443EB69" w:rsidR="001C2731" w:rsidRPr="00075237" w:rsidRDefault="001C2731" w:rsidP="001C2731">
      <w:pPr>
        <w:pStyle w:val="Heading2"/>
        <w:numPr>
          <w:ilvl w:val="1"/>
          <w:numId w:val="1"/>
        </w:numPr>
        <w:rPr>
          <w:rFonts w:eastAsia="MS Mincho"/>
        </w:rPr>
      </w:pPr>
      <w:r w:rsidRPr="00075237">
        <w:t>De l’achèvement de la phase</w:t>
      </w:r>
      <w:r w:rsidR="004D3340" w:rsidRPr="00075237">
        <w:t> </w:t>
      </w:r>
      <w:r w:rsidRPr="00075237">
        <w:t xml:space="preserve">II du plan de gestion de l’élimination des HCFC (PGEH) pour l’Uruguay et du fait que les coûts différentiels d’exploitation non dépensés, </w:t>
      </w:r>
      <w:r w:rsidR="00ED2726" w:rsidRPr="00075237">
        <w:t>d’une somme</w:t>
      </w:r>
      <w:r w:rsidRPr="00075237">
        <w:t xml:space="preserve"> de 309 186 $ US, plus des coûts d’appui d’agence de 21 643 $ US, associés aux entreprises de fabrication de la mousse de PU non converties, seront renvoyés au Fonds multilatéral à la 96</w:t>
      </w:r>
      <w:r w:rsidRPr="00075237">
        <w:rPr>
          <w:vertAlign w:val="superscript"/>
        </w:rPr>
        <w:t>e</w:t>
      </w:r>
      <w:r w:rsidRPr="00075237">
        <w:t> réunion.</w:t>
      </w:r>
    </w:p>
    <w:p w14:paraId="16ECB451" w14:textId="77777777" w:rsidR="005A26AD" w:rsidRPr="00075237" w:rsidRDefault="005A26AD" w:rsidP="005A26AD">
      <w:pPr>
        <w:spacing w:before="240" w:after="240"/>
        <w:ind w:left="851"/>
        <w:rPr>
          <w:b/>
          <w:bCs/>
          <w:u w:val="single"/>
        </w:rPr>
      </w:pPr>
      <w:r w:rsidRPr="00075237">
        <w:rPr>
          <w:b/>
          <w:bCs/>
          <w:u w:val="single"/>
        </w:rPr>
        <w:t xml:space="preserve"> Viet Nam : Plan de gestion de l’élimination des HCFC (phase II – rapport périodique) (Banque mondiale et gouvernement du Japon)  </w:t>
      </w:r>
    </w:p>
    <w:p w14:paraId="11CE397B" w14:textId="77777777" w:rsidR="005A26AD" w:rsidRPr="00075237" w:rsidRDefault="005A26AD" w:rsidP="005A26AD">
      <w:pPr>
        <w:spacing w:before="240" w:after="240"/>
        <w:rPr>
          <w:b/>
          <w:bCs/>
        </w:rPr>
      </w:pPr>
      <w:r w:rsidRPr="00075237">
        <w:rPr>
          <w:b/>
          <w:bCs/>
        </w:rPr>
        <w:t>Contexte</w:t>
      </w:r>
    </w:p>
    <w:p w14:paraId="585C7B52" w14:textId="21F69FF8" w:rsidR="005A26AD" w:rsidRPr="00075237" w:rsidRDefault="005A26AD" w:rsidP="005A26AD">
      <w:pPr>
        <w:pStyle w:val="Heading1"/>
        <w:rPr>
          <w:b/>
          <w:bCs/>
        </w:rPr>
      </w:pPr>
      <w:r w:rsidRPr="00075237">
        <w:t xml:space="preserve">En approuvant la quatrième et dernière tranche de la phase II du plan de gestion de l’élimination des HCFC (PGEH) pour le Viet Nam, le Comité exécutif a également demandé au gouvernement du Viet Nam, à la Banque mondiale et au gouvernement du Japon de présenter, à la première réunion de 2024, un rapport périodique sur la mise en œuvre de la dernière tranche de la phase II du PGEH (décision 91/57(c)).  </w:t>
      </w:r>
    </w:p>
    <w:p w14:paraId="1DD55A47" w14:textId="0D63B27B" w:rsidR="005A26AD" w:rsidRPr="00075237" w:rsidRDefault="005A26AD" w:rsidP="005A26AD">
      <w:pPr>
        <w:pStyle w:val="ListParagraph"/>
        <w:spacing w:before="240" w:after="240"/>
        <w:ind w:left="0"/>
        <w:outlineLvl w:val="0"/>
        <w:rPr>
          <w:b/>
          <w:bCs/>
        </w:rPr>
      </w:pPr>
      <w:r w:rsidRPr="00075237">
        <w:rPr>
          <w:b/>
          <w:bCs/>
        </w:rPr>
        <w:t>Observations du Secrétariat</w:t>
      </w:r>
    </w:p>
    <w:p w14:paraId="044B35E0" w14:textId="0F85C629" w:rsidR="005A26AD" w:rsidRPr="00075237" w:rsidRDefault="005A26AD" w:rsidP="005A26AD">
      <w:pPr>
        <w:pStyle w:val="Heading1"/>
        <w:rPr>
          <w:b/>
          <w:bCs/>
        </w:rPr>
      </w:pPr>
      <w:r w:rsidRPr="00075237">
        <w:t>Le Secrétariat a reçu le rapport périodique final sur la phase II du PGEH pour le Viet Nam le 8 avril 2024. Compte tenu de la date de réception, le Secrétariat fournira un résumé de ce rapport à la 95</w:t>
      </w:r>
      <w:r w:rsidRPr="00075237">
        <w:rPr>
          <w:vertAlign w:val="superscript"/>
        </w:rPr>
        <w:t>e</w:t>
      </w:r>
      <w:r w:rsidRPr="00075237">
        <w:t xml:space="preserve"> réunion. </w:t>
      </w:r>
    </w:p>
    <w:p w14:paraId="545E75D1" w14:textId="77777777" w:rsidR="005A26AD" w:rsidRPr="00075237" w:rsidRDefault="005A26AD" w:rsidP="005A26AD">
      <w:pPr>
        <w:pStyle w:val="ListParagraph"/>
        <w:ind w:left="0"/>
        <w:outlineLvl w:val="0"/>
        <w:rPr>
          <w:b/>
          <w:bCs/>
        </w:rPr>
      </w:pPr>
      <w:r w:rsidRPr="00075237">
        <w:rPr>
          <w:b/>
          <w:bCs/>
        </w:rPr>
        <w:t xml:space="preserve">Recommandation </w:t>
      </w:r>
    </w:p>
    <w:p w14:paraId="46DAA98B" w14:textId="77777777" w:rsidR="005A26AD" w:rsidRPr="00075237" w:rsidRDefault="005A26AD" w:rsidP="005A26AD">
      <w:pPr>
        <w:pStyle w:val="ListParagraph"/>
        <w:ind w:left="0"/>
        <w:outlineLvl w:val="0"/>
        <w:rPr>
          <w:b/>
          <w:bCs/>
        </w:rPr>
      </w:pPr>
    </w:p>
    <w:p w14:paraId="5E2AE902" w14:textId="65710534" w:rsidR="0016060A" w:rsidRPr="00075237" w:rsidRDefault="005A26AD" w:rsidP="00184CC5">
      <w:pPr>
        <w:pStyle w:val="Heading1"/>
      </w:pPr>
      <w:r w:rsidRPr="00075237">
        <w:t>Le Comité exécutif pourrait envisager de prendre note de la présentation par la Banque mondiale du rapport périodique final sur la phase II du PGEH pour le Viet Nam, qui sera examiné et présenté par le Secrétariat à la 95</w:t>
      </w:r>
      <w:r w:rsidRPr="00075237">
        <w:rPr>
          <w:vertAlign w:val="superscript"/>
        </w:rPr>
        <w:t>e</w:t>
      </w:r>
      <w:r w:rsidRPr="00075237">
        <w:t> réunion.</w:t>
      </w:r>
    </w:p>
    <w:p w14:paraId="57F171E6" w14:textId="54AD3898" w:rsidR="005A26AD" w:rsidRPr="00075237" w:rsidRDefault="00734C41" w:rsidP="005A26AD">
      <w:pPr>
        <w:pStyle w:val="StyleHeader4Para4Left0Firstline0"/>
        <w:numPr>
          <w:ilvl w:val="0"/>
          <w:numId w:val="0"/>
        </w:numPr>
        <w:tabs>
          <w:tab w:val="clear" w:pos="2880"/>
          <w:tab w:val="clear" w:pos="5760"/>
        </w:tabs>
        <w:jc w:val="left"/>
        <w:rPr>
          <w:b/>
          <w:sz w:val="22"/>
        </w:rPr>
      </w:pPr>
      <w:r w:rsidRPr="00075237">
        <w:rPr>
          <w:b/>
          <w:sz w:val="22"/>
        </w:rPr>
        <w:t>B.</w:t>
      </w:r>
      <w:r w:rsidRPr="00075237">
        <w:rPr>
          <w:b/>
          <w:sz w:val="22"/>
        </w:rPr>
        <w:tab/>
        <w:t>Rapport relatif à un projet sur les HFC</w:t>
      </w:r>
    </w:p>
    <w:p w14:paraId="5B70DE5C" w14:textId="77777777" w:rsidR="005A26AD" w:rsidRPr="00075237" w:rsidRDefault="005A26AD" w:rsidP="005A26AD">
      <w:pPr>
        <w:spacing w:before="240" w:after="240"/>
        <w:ind w:left="851"/>
        <w:rPr>
          <w:b/>
          <w:bCs/>
          <w:u w:val="single"/>
        </w:rPr>
      </w:pPr>
      <w:r w:rsidRPr="00075237">
        <w:rPr>
          <w:b/>
          <w:bCs/>
          <w:u w:val="single"/>
        </w:rPr>
        <w:t>Jordanie : Rapport sur les ventes annuelles de grands climatiseurs de toit monoblocs commerciaux (décision 90/25(b)ii)) (ONUDI)</w:t>
      </w:r>
    </w:p>
    <w:p w14:paraId="140F6822" w14:textId="77777777" w:rsidR="005A26AD" w:rsidRPr="00075237" w:rsidRDefault="005A26AD" w:rsidP="005A26AD">
      <w:pPr>
        <w:spacing w:before="240" w:after="240"/>
        <w:rPr>
          <w:b/>
          <w:bCs/>
        </w:rPr>
      </w:pPr>
      <w:r w:rsidRPr="00075237">
        <w:rPr>
          <w:b/>
          <w:bCs/>
        </w:rPr>
        <w:t>Contexte</w:t>
      </w:r>
    </w:p>
    <w:p w14:paraId="2E1AABBB" w14:textId="6952064F" w:rsidR="004D663F" w:rsidRPr="00075237" w:rsidRDefault="005A26AD" w:rsidP="005A26AD">
      <w:pPr>
        <w:pStyle w:val="Heading1"/>
      </w:pPr>
      <w:r w:rsidRPr="00075237">
        <w:t>En examinant le rapport sur le projet pour la conversion du HFC au R-290 de l’installation fabriquant de grands climatiseurs de toit monoblocs commerciaux pouvant atteindre jusqu’à 400 kW, chez Petra Engineering Industries Co., présenté par l’ONUDI à la 90</w:t>
      </w:r>
      <w:r w:rsidRPr="00075237">
        <w:rPr>
          <w:vertAlign w:val="superscript"/>
        </w:rPr>
        <w:t>e</w:t>
      </w:r>
      <w:r w:rsidRPr="00075237">
        <w:t xml:space="preserve"> réunion, le Comité exécutif a relevé que Petra Engineering Industries Co. produirait un rapport, par le biais de l’ONUDI, séparément et pour chaque année, jusqu’à l’achèvement du projet, sur les ventes annuelles de grands climatiseurs de toit monoblocs commerciaux fonctionnant au R-290 dans les pays visés à l’Artcicle 5 et ceux non visés à l’Article 5 (décision 90/25(b)ii)). </w:t>
      </w:r>
    </w:p>
    <w:p w14:paraId="6CC8AAEC" w14:textId="5AE53993" w:rsidR="005A26AD" w:rsidRPr="00075237" w:rsidRDefault="004D663F" w:rsidP="004D663F">
      <w:pPr>
        <w:jc w:val="left"/>
      </w:pPr>
      <w:r w:rsidRPr="00075237">
        <w:br w:type="page"/>
      </w:r>
    </w:p>
    <w:p w14:paraId="503AF46F" w14:textId="77777777" w:rsidR="005A26AD" w:rsidRPr="00075237" w:rsidRDefault="005A26AD" w:rsidP="005A26AD">
      <w:pPr>
        <w:spacing w:after="240"/>
        <w:outlineLvl w:val="0"/>
        <w:rPr>
          <w:b/>
          <w:bCs/>
        </w:rPr>
      </w:pPr>
      <w:r w:rsidRPr="00075237">
        <w:rPr>
          <w:b/>
          <w:bCs/>
        </w:rPr>
        <w:lastRenderedPageBreak/>
        <w:t>Observations du Secrétariat</w:t>
      </w:r>
    </w:p>
    <w:p w14:paraId="6403AF6C" w14:textId="4030DA00" w:rsidR="005A26AD" w:rsidRPr="00075237" w:rsidRDefault="005A26AD" w:rsidP="005A26AD">
      <w:pPr>
        <w:pStyle w:val="Heading1"/>
        <w:rPr>
          <w:b/>
          <w:bCs/>
        </w:rPr>
      </w:pPr>
      <w:r w:rsidRPr="00075237">
        <w:t>Le Secrétariat a reçu le 27 mars 2024 le rapport annuel des ventes de grands climatiseurs de toit monoblocs commerciaux fonctionnant au R-290 dans les pays visés à l’Article 5 et ceux non visés à l’Article 5, conformément à la décision 90/25(b)ii) pour la Jordanie. Compte tenu de la date de réception, le Secrétariat fournira un résumé de ce rapport à la 95</w:t>
      </w:r>
      <w:r w:rsidRPr="00075237">
        <w:rPr>
          <w:vertAlign w:val="superscript"/>
        </w:rPr>
        <w:t>e</w:t>
      </w:r>
      <w:r w:rsidRPr="00075237">
        <w:t xml:space="preserve"> réunion. </w:t>
      </w:r>
    </w:p>
    <w:p w14:paraId="7C6DA97C" w14:textId="77777777" w:rsidR="005A26AD" w:rsidRPr="00075237" w:rsidRDefault="005A26AD" w:rsidP="005A26AD">
      <w:pPr>
        <w:pStyle w:val="ListParagraph"/>
        <w:ind w:left="0"/>
        <w:outlineLvl w:val="0"/>
        <w:rPr>
          <w:b/>
          <w:bCs/>
        </w:rPr>
      </w:pPr>
      <w:r w:rsidRPr="00075237">
        <w:rPr>
          <w:b/>
          <w:bCs/>
        </w:rPr>
        <w:t xml:space="preserve">Recommandation </w:t>
      </w:r>
    </w:p>
    <w:p w14:paraId="160BEAE4" w14:textId="77777777" w:rsidR="005A26AD" w:rsidRPr="00075237" w:rsidRDefault="005A26AD" w:rsidP="005A26AD">
      <w:pPr>
        <w:pStyle w:val="ListParagraph"/>
        <w:ind w:left="0"/>
        <w:outlineLvl w:val="0"/>
        <w:rPr>
          <w:b/>
          <w:bCs/>
          <w:highlight w:val="yellow"/>
        </w:rPr>
      </w:pPr>
    </w:p>
    <w:p w14:paraId="1D120404" w14:textId="23B13C4D" w:rsidR="001630E4" w:rsidRPr="00075237" w:rsidRDefault="005A26AD" w:rsidP="004E7415">
      <w:pPr>
        <w:pStyle w:val="Heading1"/>
      </w:pPr>
      <w:r w:rsidRPr="00075237">
        <w:t>Le Comité exécutif pourrait envisager de prendre note de la présentation par l’ONUDI, au nom de Petra Engineering Industries Co., du rapport sur les ventes annuelles de grands climatiseurs de toit monoblocs commerciaux fonctionnant au R-290 dans les pays visés à l’Article 5 et ceux non visés à l’Article 5, qui sera examiné et présenté par le Secrétariat à la 95</w:t>
      </w:r>
      <w:r w:rsidRPr="00075237">
        <w:rPr>
          <w:vertAlign w:val="superscript"/>
        </w:rPr>
        <w:t>e</w:t>
      </w:r>
      <w:r w:rsidRPr="00075237">
        <w:t> réunion.</w:t>
      </w:r>
    </w:p>
    <w:p w14:paraId="08516F00" w14:textId="77777777" w:rsidR="001630E4" w:rsidRPr="00075237" w:rsidRDefault="001630E4" w:rsidP="001630E4"/>
    <w:p w14:paraId="2582C217" w14:textId="77777777" w:rsidR="007B0E8B" w:rsidRPr="00075237" w:rsidRDefault="007B0E8B" w:rsidP="00C61E15">
      <w:pPr>
        <w:jc w:val="center"/>
        <w:rPr>
          <w:b/>
        </w:rPr>
        <w:sectPr w:rsidR="007B0E8B" w:rsidRPr="00075237" w:rsidSect="00527F13">
          <w:headerReference w:type="even" r:id="rId13"/>
          <w:headerReference w:type="default" r:id="rId14"/>
          <w:footerReference w:type="even" r:id="rId15"/>
          <w:footerReference w:type="default" r:id="rId16"/>
          <w:pgSz w:w="12240" w:h="15840" w:code="1"/>
          <w:pgMar w:top="720" w:right="1440" w:bottom="864" w:left="1440" w:header="720" w:footer="475" w:gutter="0"/>
          <w:pgNumType w:start="1"/>
          <w:cols w:space="720"/>
          <w:titlePg/>
          <w:docGrid w:linePitch="299"/>
        </w:sectPr>
      </w:pPr>
    </w:p>
    <w:p w14:paraId="1D639916" w14:textId="39D9A309" w:rsidR="00C61E15" w:rsidRPr="00075237" w:rsidRDefault="00C61E15" w:rsidP="00C61E15">
      <w:pPr>
        <w:jc w:val="center"/>
        <w:rPr>
          <w:b/>
        </w:rPr>
      </w:pPr>
      <w:r w:rsidRPr="00075237">
        <w:rPr>
          <w:b/>
        </w:rPr>
        <w:lastRenderedPageBreak/>
        <w:t>Annexe</w:t>
      </w:r>
      <w:r w:rsidR="000D19BB" w:rsidRPr="00075237">
        <w:rPr>
          <w:b/>
        </w:rPr>
        <w:t> </w:t>
      </w:r>
      <w:r w:rsidRPr="00075237">
        <w:rPr>
          <w:b/>
        </w:rPr>
        <w:t>I</w:t>
      </w:r>
    </w:p>
    <w:p w14:paraId="10F48FC0" w14:textId="77777777" w:rsidR="00C61E15" w:rsidRPr="00075237" w:rsidRDefault="00C61E15" w:rsidP="00C61E15">
      <w:pPr>
        <w:jc w:val="center"/>
        <w:rPr>
          <w:b/>
        </w:rPr>
      </w:pPr>
    </w:p>
    <w:p w14:paraId="113B796B" w14:textId="77777777" w:rsidR="00C61E15" w:rsidRPr="00075237" w:rsidRDefault="00C61E15" w:rsidP="00C61E15">
      <w:pPr>
        <w:pStyle w:val="StyleHeader4Para4Left0Firstline0"/>
        <w:numPr>
          <w:ilvl w:val="0"/>
          <w:numId w:val="0"/>
        </w:numPr>
        <w:jc w:val="center"/>
        <w:rPr>
          <w:b/>
          <w:caps/>
          <w:sz w:val="22"/>
        </w:rPr>
      </w:pPr>
      <w:r w:rsidRPr="00075237">
        <w:rPr>
          <w:b/>
          <w:caps/>
          <w:sz w:val="22"/>
        </w:rPr>
        <w:t>PROJETS DANS LESQUELS « QUELQUES AVANCÉES » ONT ÉTÉ ACCOMPLIES et pour lesquels le maintien du suivi est recommandé</w:t>
      </w:r>
    </w:p>
    <w:tbl>
      <w:tblPr>
        <w:tblW w:w="9682" w:type="dxa"/>
        <w:tblInd w:w="-147" w:type="dxa"/>
        <w:tblLook w:val="04A0" w:firstRow="1" w:lastRow="0" w:firstColumn="1" w:lastColumn="0" w:noHBand="0" w:noVBand="1"/>
      </w:tblPr>
      <w:tblGrid>
        <w:gridCol w:w="1399"/>
        <w:gridCol w:w="2161"/>
        <w:gridCol w:w="5135"/>
        <w:gridCol w:w="987"/>
      </w:tblGrid>
      <w:tr w:rsidR="00C61E15" w:rsidRPr="00075237" w14:paraId="0493BE3D" w14:textId="77777777" w:rsidTr="00C30F95">
        <w:trPr>
          <w:trHeight w:val="97"/>
          <w:tblHeader/>
        </w:trPr>
        <w:tc>
          <w:tcPr>
            <w:tcW w:w="1399" w:type="dxa"/>
            <w:tcBorders>
              <w:top w:val="single" w:sz="4" w:space="0" w:color="auto"/>
              <w:left w:val="single" w:sz="4" w:space="0" w:color="auto"/>
              <w:bottom w:val="single" w:sz="4" w:space="0" w:color="auto"/>
              <w:right w:val="single" w:sz="4" w:space="0" w:color="auto"/>
            </w:tcBorders>
            <w:shd w:val="clear" w:color="auto" w:fill="auto"/>
            <w:hideMark/>
          </w:tcPr>
          <w:p w14:paraId="31ADA7FB" w14:textId="77777777" w:rsidR="00C61E15" w:rsidRPr="00075237" w:rsidRDefault="00C61E15" w:rsidP="00C30F95">
            <w:pPr>
              <w:jc w:val="center"/>
              <w:rPr>
                <w:b/>
                <w:bCs/>
                <w:sz w:val="20"/>
                <w:szCs w:val="20"/>
              </w:rPr>
            </w:pPr>
            <w:r w:rsidRPr="00075237">
              <w:rPr>
                <w:b/>
                <w:bCs/>
                <w:sz w:val="20"/>
                <w:szCs w:val="20"/>
              </w:rPr>
              <w:t>Pays</w:t>
            </w:r>
          </w:p>
        </w:tc>
        <w:tc>
          <w:tcPr>
            <w:tcW w:w="2161" w:type="dxa"/>
            <w:tcBorders>
              <w:top w:val="single" w:sz="4" w:space="0" w:color="auto"/>
              <w:left w:val="nil"/>
              <w:bottom w:val="single" w:sz="4" w:space="0" w:color="auto"/>
              <w:right w:val="single" w:sz="4" w:space="0" w:color="auto"/>
            </w:tcBorders>
            <w:shd w:val="clear" w:color="auto" w:fill="auto"/>
            <w:hideMark/>
          </w:tcPr>
          <w:p w14:paraId="6E12252B" w14:textId="77777777" w:rsidR="00C61E15" w:rsidRPr="00075237" w:rsidRDefault="00C61E15" w:rsidP="00C30F95">
            <w:pPr>
              <w:jc w:val="center"/>
              <w:rPr>
                <w:b/>
                <w:bCs/>
                <w:sz w:val="20"/>
                <w:szCs w:val="20"/>
              </w:rPr>
            </w:pPr>
            <w:r w:rsidRPr="00075237">
              <w:rPr>
                <w:b/>
                <w:bCs/>
                <w:sz w:val="20"/>
                <w:szCs w:val="20"/>
              </w:rPr>
              <w:t>Code</w:t>
            </w:r>
          </w:p>
        </w:tc>
        <w:tc>
          <w:tcPr>
            <w:tcW w:w="5135" w:type="dxa"/>
            <w:tcBorders>
              <w:top w:val="single" w:sz="4" w:space="0" w:color="auto"/>
              <w:left w:val="nil"/>
              <w:bottom w:val="single" w:sz="4" w:space="0" w:color="auto"/>
              <w:right w:val="single" w:sz="4" w:space="0" w:color="auto"/>
            </w:tcBorders>
            <w:shd w:val="clear" w:color="auto" w:fill="auto"/>
            <w:hideMark/>
          </w:tcPr>
          <w:p w14:paraId="4928CC6B" w14:textId="77777777" w:rsidR="00C61E15" w:rsidRPr="00075237" w:rsidRDefault="00C61E15" w:rsidP="00C30F95">
            <w:pPr>
              <w:jc w:val="center"/>
              <w:rPr>
                <w:b/>
                <w:bCs/>
                <w:sz w:val="20"/>
                <w:szCs w:val="20"/>
              </w:rPr>
            </w:pPr>
            <w:r w:rsidRPr="00075237">
              <w:rPr>
                <w:b/>
                <w:bCs/>
                <w:sz w:val="20"/>
                <w:szCs w:val="20"/>
              </w:rPr>
              <w:t>Titre du projet</w:t>
            </w:r>
          </w:p>
        </w:tc>
        <w:tc>
          <w:tcPr>
            <w:tcW w:w="987" w:type="dxa"/>
            <w:tcBorders>
              <w:top w:val="single" w:sz="4" w:space="0" w:color="auto"/>
              <w:left w:val="nil"/>
              <w:bottom w:val="single" w:sz="4" w:space="0" w:color="auto"/>
              <w:right w:val="single" w:sz="4" w:space="0" w:color="auto"/>
            </w:tcBorders>
            <w:shd w:val="clear" w:color="auto" w:fill="auto"/>
            <w:hideMark/>
          </w:tcPr>
          <w:p w14:paraId="3D3710FE" w14:textId="77777777" w:rsidR="00C61E15" w:rsidRPr="00075237" w:rsidRDefault="00C61E15" w:rsidP="00C30F95">
            <w:pPr>
              <w:jc w:val="center"/>
              <w:rPr>
                <w:b/>
                <w:bCs/>
                <w:sz w:val="20"/>
                <w:szCs w:val="20"/>
              </w:rPr>
            </w:pPr>
            <w:r w:rsidRPr="00075237">
              <w:rPr>
                <w:b/>
                <w:bCs/>
                <w:sz w:val="20"/>
                <w:szCs w:val="20"/>
              </w:rPr>
              <w:t>Agence</w:t>
            </w:r>
          </w:p>
        </w:tc>
      </w:tr>
      <w:tr w:rsidR="00C61E15" w:rsidRPr="00075237" w14:paraId="017AEDB6" w14:textId="77777777" w:rsidTr="00C30F95">
        <w:trPr>
          <w:trHeight w:val="128"/>
        </w:trPr>
        <w:tc>
          <w:tcPr>
            <w:tcW w:w="1399" w:type="dxa"/>
            <w:tcBorders>
              <w:top w:val="nil"/>
              <w:left w:val="single" w:sz="4" w:space="0" w:color="auto"/>
              <w:bottom w:val="single" w:sz="4" w:space="0" w:color="auto"/>
              <w:right w:val="single" w:sz="4" w:space="0" w:color="auto"/>
            </w:tcBorders>
            <w:shd w:val="clear" w:color="auto" w:fill="auto"/>
            <w:hideMark/>
          </w:tcPr>
          <w:p w14:paraId="32F5D518" w14:textId="77777777" w:rsidR="00C61E15" w:rsidRPr="00075237" w:rsidRDefault="00C61E15" w:rsidP="00C30F95">
            <w:pPr>
              <w:jc w:val="left"/>
              <w:rPr>
                <w:sz w:val="20"/>
                <w:szCs w:val="20"/>
              </w:rPr>
            </w:pPr>
            <w:r w:rsidRPr="00075237">
              <w:rPr>
                <w:sz w:val="20"/>
                <w:szCs w:val="20"/>
              </w:rPr>
              <w:t>Afghanistan</w:t>
            </w:r>
          </w:p>
        </w:tc>
        <w:tc>
          <w:tcPr>
            <w:tcW w:w="2161" w:type="dxa"/>
            <w:tcBorders>
              <w:top w:val="nil"/>
              <w:left w:val="nil"/>
              <w:bottom w:val="single" w:sz="4" w:space="0" w:color="auto"/>
              <w:right w:val="single" w:sz="4" w:space="0" w:color="auto"/>
            </w:tcBorders>
            <w:shd w:val="clear" w:color="auto" w:fill="auto"/>
            <w:hideMark/>
          </w:tcPr>
          <w:p w14:paraId="1BFCD6A2" w14:textId="77777777" w:rsidR="00C61E15" w:rsidRPr="00075237" w:rsidRDefault="00C61E15" w:rsidP="00C30F95">
            <w:pPr>
              <w:jc w:val="left"/>
              <w:rPr>
                <w:sz w:val="20"/>
                <w:szCs w:val="20"/>
              </w:rPr>
            </w:pPr>
            <w:r w:rsidRPr="00075237">
              <w:rPr>
                <w:sz w:val="20"/>
                <w:szCs w:val="20"/>
              </w:rPr>
              <w:t>AFG/PHA/79/INV/22</w:t>
            </w:r>
          </w:p>
        </w:tc>
        <w:tc>
          <w:tcPr>
            <w:tcW w:w="5135" w:type="dxa"/>
            <w:tcBorders>
              <w:top w:val="nil"/>
              <w:left w:val="nil"/>
              <w:bottom w:val="single" w:sz="4" w:space="0" w:color="auto"/>
              <w:right w:val="single" w:sz="4" w:space="0" w:color="auto"/>
            </w:tcBorders>
            <w:shd w:val="clear" w:color="auto" w:fill="auto"/>
            <w:hideMark/>
          </w:tcPr>
          <w:p w14:paraId="4DC2C151" w14:textId="77777777" w:rsidR="00C61E15" w:rsidRPr="00075237" w:rsidRDefault="00C61E15" w:rsidP="00C30F95">
            <w:pPr>
              <w:jc w:val="left"/>
              <w:rPr>
                <w:sz w:val="20"/>
                <w:szCs w:val="20"/>
              </w:rPr>
            </w:pPr>
            <w:r w:rsidRPr="00075237">
              <w:rPr>
                <w:sz w:val="20"/>
                <w:szCs w:val="20"/>
              </w:rPr>
              <w:t>Plan de gestion de l’élimination des HCFC (phase I, troisième tranche)</w:t>
            </w:r>
          </w:p>
        </w:tc>
        <w:tc>
          <w:tcPr>
            <w:tcW w:w="987" w:type="dxa"/>
            <w:tcBorders>
              <w:top w:val="nil"/>
              <w:left w:val="nil"/>
              <w:bottom w:val="single" w:sz="4" w:space="0" w:color="auto"/>
              <w:right w:val="single" w:sz="4" w:space="0" w:color="auto"/>
            </w:tcBorders>
            <w:shd w:val="clear" w:color="auto" w:fill="auto"/>
            <w:hideMark/>
          </w:tcPr>
          <w:p w14:paraId="437F30AB" w14:textId="77777777" w:rsidR="00C61E15" w:rsidRPr="00075237" w:rsidRDefault="00C61E15" w:rsidP="00C30F95">
            <w:pPr>
              <w:jc w:val="left"/>
              <w:rPr>
                <w:sz w:val="20"/>
                <w:szCs w:val="20"/>
              </w:rPr>
            </w:pPr>
            <w:r w:rsidRPr="00075237">
              <w:rPr>
                <w:sz w:val="20"/>
                <w:szCs w:val="20"/>
              </w:rPr>
              <w:t>ONUDI</w:t>
            </w:r>
          </w:p>
        </w:tc>
      </w:tr>
      <w:tr w:rsidR="00C61E15" w:rsidRPr="00075237" w14:paraId="07399058" w14:textId="77777777" w:rsidTr="00C30F95">
        <w:trPr>
          <w:trHeight w:val="220"/>
        </w:trPr>
        <w:tc>
          <w:tcPr>
            <w:tcW w:w="1399" w:type="dxa"/>
            <w:tcBorders>
              <w:top w:val="nil"/>
              <w:left w:val="single" w:sz="4" w:space="0" w:color="auto"/>
              <w:bottom w:val="single" w:sz="4" w:space="0" w:color="auto"/>
              <w:right w:val="single" w:sz="4" w:space="0" w:color="auto"/>
            </w:tcBorders>
            <w:shd w:val="clear" w:color="auto" w:fill="auto"/>
            <w:hideMark/>
          </w:tcPr>
          <w:p w14:paraId="63FE0D92" w14:textId="77777777" w:rsidR="00C61E15" w:rsidRPr="00075237" w:rsidRDefault="00C61E15" w:rsidP="00C30F95">
            <w:pPr>
              <w:jc w:val="left"/>
              <w:rPr>
                <w:sz w:val="20"/>
                <w:szCs w:val="20"/>
              </w:rPr>
            </w:pPr>
            <w:r w:rsidRPr="00075237">
              <w:rPr>
                <w:sz w:val="20"/>
                <w:szCs w:val="20"/>
              </w:rPr>
              <w:t>Afghanistan</w:t>
            </w:r>
          </w:p>
        </w:tc>
        <w:tc>
          <w:tcPr>
            <w:tcW w:w="2161" w:type="dxa"/>
            <w:tcBorders>
              <w:top w:val="nil"/>
              <w:left w:val="nil"/>
              <w:bottom w:val="single" w:sz="4" w:space="0" w:color="auto"/>
              <w:right w:val="single" w:sz="4" w:space="0" w:color="auto"/>
            </w:tcBorders>
            <w:shd w:val="clear" w:color="auto" w:fill="auto"/>
            <w:hideMark/>
          </w:tcPr>
          <w:p w14:paraId="245B8B8F" w14:textId="77777777" w:rsidR="00C61E15" w:rsidRPr="00075237" w:rsidRDefault="00C61E15" w:rsidP="00C30F95">
            <w:pPr>
              <w:jc w:val="left"/>
              <w:rPr>
                <w:sz w:val="20"/>
                <w:szCs w:val="20"/>
              </w:rPr>
            </w:pPr>
            <w:r w:rsidRPr="00075237">
              <w:rPr>
                <w:sz w:val="20"/>
                <w:szCs w:val="20"/>
              </w:rPr>
              <w:t>AFG/PHA/85/INV/28</w:t>
            </w:r>
          </w:p>
        </w:tc>
        <w:tc>
          <w:tcPr>
            <w:tcW w:w="5135" w:type="dxa"/>
            <w:tcBorders>
              <w:top w:val="nil"/>
              <w:left w:val="nil"/>
              <w:bottom w:val="single" w:sz="4" w:space="0" w:color="auto"/>
              <w:right w:val="single" w:sz="4" w:space="0" w:color="auto"/>
            </w:tcBorders>
            <w:shd w:val="clear" w:color="auto" w:fill="auto"/>
            <w:hideMark/>
          </w:tcPr>
          <w:p w14:paraId="6705B301" w14:textId="77777777" w:rsidR="00C61E15" w:rsidRPr="00075237" w:rsidRDefault="00C61E15" w:rsidP="00C30F95">
            <w:pPr>
              <w:jc w:val="left"/>
              <w:rPr>
                <w:sz w:val="20"/>
                <w:szCs w:val="20"/>
              </w:rPr>
            </w:pPr>
            <w:r w:rsidRPr="00075237">
              <w:rPr>
                <w:sz w:val="20"/>
                <w:szCs w:val="20"/>
              </w:rPr>
              <w:t>Plan de gestion de l’élimination des HCFC (phase I, quatrième tranche)</w:t>
            </w:r>
          </w:p>
        </w:tc>
        <w:tc>
          <w:tcPr>
            <w:tcW w:w="987" w:type="dxa"/>
            <w:tcBorders>
              <w:top w:val="nil"/>
              <w:left w:val="nil"/>
              <w:bottom w:val="single" w:sz="4" w:space="0" w:color="auto"/>
              <w:right w:val="single" w:sz="4" w:space="0" w:color="auto"/>
            </w:tcBorders>
            <w:shd w:val="clear" w:color="auto" w:fill="auto"/>
            <w:hideMark/>
          </w:tcPr>
          <w:p w14:paraId="60B12732" w14:textId="77777777" w:rsidR="00C61E15" w:rsidRPr="00075237" w:rsidRDefault="00C61E15" w:rsidP="00C30F95">
            <w:pPr>
              <w:jc w:val="left"/>
              <w:rPr>
                <w:sz w:val="20"/>
                <w:szCs w:val="20"/>
              </w:rPr>
            </w:pPr>
            <w:r w:rsidRPr="00075237">
              <w:rPr>
                <w:sz w:val="20"/>
                <w:szCs w:val="20"/>
              </w:rPr>
              <w:t>ONUDI</w:t>
            </w:r>
          </w:p>
        </w:tc>
      </w:tr>
      <w:tr w:rsidR="00C61E15" w:rsidRPr="00075237" w14:paraId="6C977E46" w14:textId="77777777" w:rsidTr="00C30F95">
        <w:trPr>
          <w:trHeight w:val="64"/>
        </w:trPr>
        <w:tc>
          <w:tcPr>
            <w:tcW w:w="1399" w:type="dxa"/>
            <w:tcBorders>
              <w:top w:val="nil"/>
              <w:left w:val="single" w:sz="4" w:space="0" w:color="auto"/>
              <w:bottom w:val="single" w:sz="4" w:space="0" w:color="auto"/>
              <w:right w:val="single" w:sz="4" w:space="0" w:color="auto"/>
            </w:tcBorders>
            <w:shd w:val="clear" w:color="auto" w:fill="auto"/>
            <w:hideMark/>
          </w:tcPr>
          <w:p w14:paraId="46633804" w14:textId="77777777" w:rsidR="00C61E15" w:rsidRPr="00075237" w:rsidRDefault="00C61E15" w:rsidP="00C30F95">
            <w:pPr>
              <w:jc w:val="left"/>
              <w:rPr>
                <w:sz w:val="20"/>
                <w:szCs w:val="20"/>
              </w:rPr>
            </w:pPr>
            <w:r w:rsidRPr="00075237">
              <w:rPr>
                <w:sz w:val="20"/>
                <w:szCs w:val="20"/>
              </w:rPr>
              <w:t>Afghanistan</w:t>
            </w:r>
          </w:p>
        </w:tc>
        <w:tc>
          <w:tcPr>
            <w:tcW w:w="2161" w:type="dxa"/>
            <w:tcBorders>
              <w:top w:val="nil"/>
              <w:left w:val="nil"/>
              <w:bottom w:val="single" w:sz="4" w:space="0" w:color="auto"/>
              <w:right w:val="single" w:sz="4" w:space="0" w:color="auto"/>
            </w:tcBorders>
            <w:shd w:val="clear" w:color="auto" w:fill="auto"/>
            <w:hideMark/>
          </w:tcPr>
          <w:p w14:paraId="6768C632" w14:textId="77777777" w:rsidR="00C61E15" w:rsidRPr="00075237" w:rsidRDefault="00C61E15" w:rsidP="00C30F95">
            <w:pPr>
              <w:jc w:val="left"/>
              <w:rPr>
                <w:sz w:val="20"/>
                <w:szCs w:val="20"/>
              </w:rPr>
            </w:pPr>
            <w:r w:rsidRPr="00075237">
              <w:rPr>
                <w:sz w:val="20"/>
                <w:szCs w:val="20"/>
              </w:rPr>
              <w:t>AFG/PHA/85/INV/30</w:t>
            </w:r>
          </w:p>
        </w:tc>
        <w:tc>
          <w:tcPr>
            <w:tcW w:w="5135" w:type="dxa"/>
            <w:tcBorders>
              <w:top w:val="nil"/>
              <w:left w:val="nil"/>
              <w:bottom w:val="single" w:sz="4" w:space="0" w:color="auto"/>
              <w:right w:val="single" w:sz="4" w:space="0" w:color="auto"/>
            </w:tcBorders>
            <w:shd w:val="clear" w:color="auto" w:fill="auto"/>
            <w:hideMark/>
          </w:tcPr>
          <w:p w14:paraId="398856B6" w14:textId="77777777" w:rsidR="00C61E15" w:rsidRPr="00075237" w:rsidRDefault="00C61E15" w:rsidP="00C30F95">
            <w:pPr>
              <w:jc w:val="left"/>
              <w:rPr>
                <w:sz w:val="20"/>
                <w:szCs w:val="20"/>
              </w:rPr>
            </w:pPr>
            <w:r w:rsidRPr="00075237">
              <w:rPr>
                <w:sz w:val="20"/>
                <w:szCs w:val="20"/>
              </w:rPr>
              <w:t>Plan de gestion de l’élimination des HCFC (phase II, première tranche)</w:t>
            </w:r>
          </w:p>
        </w:tc>
        <w:tc>
          <w:tcPr>
            <w:tcW w:w="987" w:type="dxa"/>
            <w:tcBorders>
              <w:top w:val="nil"/>
              <w:left w:val="nil"/>
              <w:bottom w:val="single" w:sz="4" w:space="0" w:color="auto"/>
              <w:right w:val="single" w:sz="4" w:space="0" w:color="auto"/>
            </w:tcBorders>
            <w:shd w:val="clear" w:color="auto" w:fill="auto"/>
            <w:hideMark/>
          </w:tcPr>
          <w:p w14:paraId="3E736932" w14:textId="77777777" w:rsidR="00C61E15" w:rsidRPr="00075237" w:rsidRDefault="00C61E15" w:rsidP="00C30F95">
            <w:pPr>
              <w:jc w:val="left"/>
              <w:rPr>
                <w:sz w:val="20"/>
                <w:szCs w:val="20"/>
              </w:rPr>
            </w:pPr>
            <w:r w:rsidRPr="00075237">
              <w:rPr>
                <w:sz w:val="20"/>
                <w:szCs w:val="20"/>
              </w:rPr>
              <w:t>ONUDI</w:t>
            </w:r>
          </w:p>
        </w:tc>
      </w:tr>
      <w:tr w:rsidR="00C61E15" w:rsidRPr="00075237" w14:paraId="2F2C2C8B" w14:textId="77777777" w:rsidTr="00C30F95">
        <w:trPr>
          <w:trHeight w:val="560"/>
        </w:trPr>
        <w:tc>
          <w:tcPr>
            <w:tcW w:w="1399" w:type="dxa"/>
            <w:tcBorders>
              <w:top w:val="nil"/>
              <w:left w:val="single" w:sz="4" w:space="0" w:color="auto"/>
              <w:bottom w:val="single" w:sz="4" w:space="0" w:color="auto"/>
              <w:right w:val="single" w:sz="4" w:space="0" w:color="auto"/>
            </w:tcBorders>
            <w:shd w:val="clear" w:color="auto" w:fill="auto"/>
            <w:hideMark/>
          </w:tcPr>
          <w:p w14:paraId="0AD43ED7" w14:textId="77777777" w:rsidR="00C61E15" w:rsidRPr="00075237" w:rsidRDefault="00C61E15" w:rsidP="00C30F95">
            <w:pPr>
              <w:jc w:val="left"/>
              <w:rPr>
                <w:sz w:val="20"/>
                <w:szCs w:val="20"/>
              </w:rPr>
            </w:pPr>
            <w:r w:rsidRPr="00075237">
              <w:rPr>
                <w:sz w:val="20"/>
                <w:szCs w:val="20"/>
              </w:rPr>
              <w:t>Algérie</w:t>
            </w:r>
          </w:p>
        </w:tc>
        <w:tc>
          <w:tcPr>
            <w:tcW w:w="2161" w:type="dxa"/>
            <w:tcBorders>
              <w:top w:val="nil"/>
              <w:left w:val="nil"/>
              <w:bottom w:val="single" w:sz="4" w:space="0" w:color="auto"/>
              <w:right w:val="single" w:sz="4" w:space="0" w:color="auto"/>
            </w:tcBorders>
            <w:shd w:val="clear" w:color="auto" w:fill="auto"/>
            <w:hideMark/>
          </w:tcPr>
          <w:p w14:paraId="0B7B77E1" w14:textId="77777777" w:rsidR="00C61E15" w:rsidRPr="00075237" w:rsidRDefault="00C61E15" w:rsidP="00C30F95">
            <w:pPr>
              <w:jc w:val="left"/>
              <w:rPr>
                <w:sz w:val="20"/>
                <w:szCs w:val="20"/>
              </w:rPr>
            </w:pPr>
            <w:r w:rsidRPr="00075237">
              <w:rPr>
                <w:sz w:val="20"/>
                <w:szCs w:val="20"/>
              </w:rPr>
              <w:t>ALG/PHA/66/INV/76</w:t>
            </w:r>
          </w:p>
        </w:tc>
        <w:tc>
          <w:tcPr>
            <w:tcW w:w="5135" w:type="dxa"/>
            <w:tcBorders>
              <w:top w:val="nil"/>
              <w:left w:val="nil"/>
              <w:bottom w:val="single" w:sz="4" w:space="0" w:color="auto"/>
              <w:right w:val="single" w:sz="4" w:space="0" w:color="auto"/>
            </w:tcBorders>
            <w:shd w:val="clear" w:color="auto" w:fill="auto"/>
            <w:hideMark/>
          </w:tcPr>
          <w:p w14:paraId="1AB2A7F1" w14:textId="77777777" w:rsidR="00C61E15" w:rsidRPr="00075237" w:rsidRDefault="00C61E15" w:rsidP="00C30F95">
            <w:pPr>
              <w:jc w:val="left"/>
              <w:rPr>
                <w:sz w:val="20"/>
                <w:szCs w:val="20"/>
              </w:rPr>
            </w:pPr>
            <w:r w:rsidRPr="00075237">
              <w:rPr>
                <w:sz w:val="20"/>
                <w:szCs w:val="20"/>
              </w:rPr>
              <w:t>Plan de gestion de l’élimination des HCFC (phase I, première tranche) (conversion du HCFC-22 dans la fabrication de climatiseurs résidentiels chez Condor)</w:t>
            </w:r>
          </w:p>
        </w:tc>
        <w:tc>
          <w:tcPr>
            <w:tcW w:w="987" w:type="dxa"/>
            <w:tcBorders>
              <w:top w:val="nil"/>
              <w:left w:val="nil"/>
              <w:bottom w:val="single" w:sz="4" w:space="0" w:color="auto"/>
              <w:right w:val="single" w:sz="4" w:space="0" w:color="auto"/>
            </w:tcBorders>
            <w:shd w:val="clear" w:color="auto" w:fill="auto"/>
            <w:hideMark/>
          </w:tcPr>
          <w:p w14:paraId="52E17AAD" w14:textId="77777777" w:rsidR="00C61E15" w:rsidRPr="00075237" w:rsidRDefault="00C61E15" w:rsidP="00C30F95">
            <w:pPr>
              <w:jc w:val="left"/>
              <w:rPr>
                <w:sz w:val="20"/>
                <w:szCs w:val="20"/>
              </w:rPr>
            </w:pPr>
            <w:r w:rsidRPr="00075237">
              <w:rPr>
                <w:sz w:val="20"/>
                <w:szCs w:val="20"/>
              </w:rPr>
              <w:t>ONUDI</w:t>
            </w:r>
          </w:p>
        </w:tc>
      </w:tr>
      <w:tr w:rsidR="00C61E15" w:rsidRPr="00075237" w14:paraId="54CE3205" w14:textId="77777777" w:rsidTr="00C30F95">
        <w:trPr>
          <w:trHeight w:val="712"/>
        </w:trPr>
        <w:tc>
          <w:tcPr>
            <w:tcW w:w="1399" w:type="dxa"/>
            <w:tcBorders>
              <w:top w:val="nil"/>
              <w:left w:val="single" w:sz="4" w:space="0" w:color="auto"/>
              <w:bottom w:val="single" w:sz="4" w:space="0" w:color="auto"/>
              <w:right w:val="single" w:sz="4" w:space="0" w:color="auto"/>
            </w:tcBorders>
            <w:shd w:val="clear" w:color="auto" w:fill="auto"/>
            <w:hideMark/>
          </w:tcPr>
          <w:p w14:paraId="4CB5A756" w14:textId="77777777" w:rsidR="00C61E15" w:rsidRPr="00075237" w:rsidRDefault="00C61E15" w:rsidP="00C30F95">
            <w:pPr>
              <w:jc w:val="left"/>
              <w:rPr>
                <w:sz w:val="20"/>
                <w:szCs w:val="20"/>
              </w:rPr>
            </w:pPr>
            <w:r w:rsidRPr="00075237">
              <w:rPr>
                <w:sz w:val="20"/>
                <w:szCs w:val="20"/>
              </w:rPr>
              <w:t>Algérie</w:t>
            </w:r>
          </w:p>
        </w:tc>
        <w:tc>
          <w:tcPr>
            <w:tcW w:w="2161" w:type="dxa"/>
            <w:tcBorders>
              <w:top w:val="nil"/>
              <w:left w:val="nil"/>
              <w:bottom w:val="single" w:sz="4" w:space="0" w:color="auto"/>
              <w:right w:val="single" w:sz="4" w:space="0" w:color="auto"/>
            </w:tcBorders>
            <w:shd w:val="clear" w:color="auto" w:fill="auto"/>
            <w:hideMark/>
          </w:tcPr>
          <w:p w14:paraId="6FE17C16" w14:textId="77777777" w:rsidR="00C61E15" w:rsidRPr="00075237" w:rsidRDefault="00C61E15" w:rsidP="00C30F95">
            <w:pPr>
              <w:jc w:val="left"/>
              <w:rPr>
                <w:sz w:val="20"/>
                <w:szCs w:val="20"/>
              </w:rPr>
            </w:pPr>
            <w:r w:rsidRPr="00075237">
              <w:rPr>
                <w:sz w:val="20"/>
                <w:szCs w:val="20"/>
              </w:rPr>
              <w:t>ALG/PHA/66/INV/77</w:t>
            </w:r>
          </w:p>
        </w:tc>
        <w:tc>
          <w:tcPr>
            <w:tcW w:w="5135" w:type="dxa"/>
            <w:tcBorders>
              <w:top w:val="nil"/>
              <w:left w:val="nil"/>
              <w:bottom w:val="single" w:sz="4" w:space="0" w:color="auto"/>
              <w:right w:val="single" w:sz="4" w:space="0" w:color="auto"/>
            </w:tcBorders>
            <w:shd w:val="clear" w:color="auto" w:fill="auto"/>
            <w:hideMark/>
          </w:tcPr>
          <w:p w14:paraId="38623CC6" w14:textId="77777777" w:rsidR="00C61E15" w:rsidRPr="00075237" w:rsidRDefault="00C61E15" w:rsidP="00C30F95">
            <w:pPr>
              <w:jc w:val="left"/>
              <w:rPr>
                <w:sz w:val="20"/>
                <w:szCs w:val="20"/>
              </w:rPr>
            </w:pPr>
            <w:r w:rsidRPr="00075237">
              <w:rPr>
                <w:sz w:val="20"/>
                <w:szCs w:val="20"/>
              </w:rPr>
              <w:t>Plan de gestion de l’élimination des HCFC (phase I, première tranche) (activités dans le secteur de l’entretien des équipements de réfrigération, y compris l’élimination du HCFC-141b utilisé pour le rinçage, et suivi de projet)</w:t>
            </w:r>
          </w:p>
        </w:tc>
        <w:tc>
          <w:tcPr>
            <w:tcW w:w="987" w:type="dxa"/>
            <w:tcBorders>
              <w:top w:val="nil"/>
              <w:left w:val="nil"/>
              <w:bottom w:val="single" w:sz="4" w:space="0" w:color="auto"/>
              <w:right w:val="single" w:sz="4" w:space="0" w:color="auto"/>
            </w:tcBorders>
            <w:shd w:val="clear" w:color="auto" w:fill="auto"/>
            <w:hideMark/>
          </w:tcPr>
          <w:p w14:paraId="2BC2373F" w14:textId="77777777" w:rsidR="00C61E15" w:rsidRPr="00075237" w:rsidRDefault="00C61E15" w:rsidP="00C30F95">
            <w:pPr>
              <w:jc w:val="left"/>
              <w:rPr>
                <w:sz w:val="20"/>
                <w:szCs w:val="20"/>
              </w:rPr>
            </w:pPr>
            <w:r w:rsidRPr="00075237">
              <w:rPr>
                <w:sz w:val="20"/>
                <w:szCs w:val="20"/>
              </w:rPr>
              <w:t>ONUDI</w:t>
            </w:r>
          </w:p>
        </w:tc>
      </w:tr>
      <w:tr w:rsidR="00C61E15" w:rsidRPr="00075237" w14:paraId="18E45DCF" w14:textId="77777777" w:rsidTr="00C30F95">
        <w:trPr>
          <w:trHeight w:val="62"/>
        </w:trPr>
        <w:tc>
          <w:tcPr>
            <w:tcW w:w="1399" w:type="dxa"/>
            <w:tcBorders>
              <w:top w:val="nil"/>
              <w:left w:val="single" w:sz="4" w:space="0" w:color="auto"/>
              <w:bottom w:val="single" w:sz="4" w:space="0" w:color="auto"/>
              <w:right w:val="single" w:sz="4" w:space="0" w:color="auto"/>
            </w:tcBorders>
            <w:shd w:val="clear" w:color="auto" w:fill="auto"/>
            <w:hideMark/>
          </w:tcPr>
          <w:p w14:paraId="0561C442" w14:textId="77777777" w:rsidR="00C61E15" w:rsidRPr="00075237" w:rsidRDefault="00C61E15" w:rsidP="00C30F95">
            <w:pPr>
              <w:jc w:val="left"/>
              <w:rPr>
                <w:sz w:val="20"/>
                <w:szCs w:val="20"/>
              </w:rPr>
            </w:pPr>
            <w:r w:rsidRPr="00075237">
              <w:rPr>
                <w:sz w:val="20"/>
                <w:szCs w:val="20"/>
              </w:rPr>
              <w:t xml:space="preserve">Barbade </w:t>
            </w:r>
          </w:p>
        </w:tc>
        <w:tc>
          <w:tcPr>
            <w:tcW w:w="2161" w:type="dxa"/>
            <w:tcBorders>
              <w:top w:val="nil"/>
              <w:left w:val="nil"/>
              <w:bottom w:val="single" w:sz="4" w:space="0" w:color="auto"/>
              <w:right w:val="single" w:sz="4" w:space="0" w:color="auto"/>
            </w:tcBorders>
            <w:shd w:val="clear" w:color="auto" w:fill="auto"/>
            <w:hideMark/>
          </w:tcPr>
          <w:p w14:paraId="12B2D4AC" w14:textId="77777777" w:rsidR="00C61E15" w:rsidRPr="00075237" w:rsidRDefault="00C61E15" w:rsidP="00C30F95">
            <w:pPr>
              <w:jc w:val="left"/>
              <w:rPr>
                <w:sz w:val="20"/>
                <w:szCs w:val="20"/>
              </w:rPr>
            </w:pPr>
            <w:r w:rsidRPr="00075237">
              <w:rPr>
                <w:sz w:val="20"/>
                <w:szCs w:val="20"/>
              </w:rPr>
              <w:t>BAR/PHA/84/TAS/29</w:t>
            </w:r>
          </w:p>
        </w:tc>
        <w:tc>
          <w:tcPr>
            <w:tcW w:w="5135" w:type="dxa"/>
            <w:tcBorders>
              <w:top w:val="nil"/>
              <w:left w:val="nil"/>
              <w:bottom w:val="single" w:sz="4" w:space="0" w:color="auto"/>
              <w:right w:val="single" w:sz="4" w:space="0" w:color="auto"/>
            </w:tcBorders>
            <w:shd w:val="clear" w:color="auto" w:fill="auto"/>
            <w:hideMark/>
          </w:tcPr>
          <w:p w14:paraId="719582E7" w14:textId="77777777" w:rsidR="00C61E15" w:rsidRPr="00075237" w:rsidRDefault="00C61E15" w:rsidP="00C30F95">
            <w:pPr>
              <w:jc w:val="left"/>
              <w:rPr>
                <w:sz w:val="20"/>
                <w:szCs w:val="20"/>
              </w:rPr>
            </w:pPr>
            <w:r w:rsidRPr="00075237">
              <w:rPr>
                <w:sz w:val="20"/>
                <w:szCs w:val="20"/>
              </w:rPr>
              <w:t>Plan de gestion de l’élimination des HCFC (phase I, troisième tranche)</w:t>
            </w:r>
          </w:p>
        </w:tc>
        <w:tc>
          <w:tcPr>
            <w:tcW w:w="987" w:type="dxa"/>
            <w:tcBorders>
              <w:top w:val="nil"/>
              <w:left w:val="nil"/>
              <w:bottom w:val="single" w:sz="4" w:space="0" w:color="auto"/>
              <w:right w:val="single" w:sz="4" w:space="0" w:color="auto"/>
            </w:tcBorders>
            <w:shd w:val="clear" w:color="auto" w:fill="auto"/>
            <w:hideMark/>
          </w:tcPr>
          <w:p w14:paraId="0FCBCF82" w14:textId="77777777" w:rsidR="00C61E15" w:rsidRPr="00075237" w:rsidRDefault="00C61E15" w:rsidP="00C30F95">
            <w:pPr>
              <w:jc w:val="left"/>
              <w:rPr>
                <w:sz w:val="20"/>
                <w:szCs w:val="20"/>
              </w:rPr>
            </w:pPr>
            <w:r w:rsidRPr="00075237">
              <w:rPr>
                <w:sz w:val="20"/>
                <w:szCs w:val="20"/>
              </w:rPr>
              <w:t>PNUE</w:t>
            </w:r>
          </w:p>
        </w:tc>
      </w:tr>
      <w:tr w:rsidR="00C61E15" w:rsidRPr="00075237" w14:paraId="081D0FE4" w14:textId="77777777" w:rsidTr="00C30F95">
        <w:trPr>
          <w:trHeight w:val="209"/>
        </w:trPr>
        <w:tc>
          <w:tcPr>
            <w:tcW w:w="1399" w:type="dxa"/>
            <w:tcBorders>
              <w:top w:val="nil"/>
              <w:left w:val="single" w:sz="4" w:space="0" w:color="auto"/>
              <w:bottom w:val="single" w:sz="4" w:space="0" w:color="auto"/>
              <w:right w:val="single" w:sz="4" w:space="0" w:color="auto"/>
            </w:tcBorders>
            <w:shd w:val="clear" w:color="auto" w:fill="auto"/>
            <w:hideMark/>
          </w:tcPr>
          <w:p w14:paraId="0BEF8ECA" w14:textId="77777777" w:rsidR="00C61E15" w:rsidRPr="00075237" w:rsidRDefault="00C61E15" w:rsidP="00C30F95">
            <w:pPr>
              <w:jc w:val="left"/>
              <w:rPr>
                <w:sz w:val="20"/>
                <w:szCs w:val="20"/>
              </w:rPr>
            </w:pPr>
            <w:r w:rsidRPr="00075237">
              <w:rPr>
                <w:sz w:val="20"/>
                <w:szCs w:val="20"/>
              </w:rPr>
              <w:t xml:space="preserve">Botswana </w:t>
            </w:r>
          </w:p>
        </w:tc>
        <w:tc>
          <w:tcPr>
            <w:tcW w:w="2161" w:type="dxa"/>
            <w:tcBorders>
              <w:top w:val="nil"/>
              <w:left w:val="nil"/>
              <w:bottom w:val="single" w:sz="4" w:space="0" w:color="auto"/>
              <w:right w:val="single" w:sz="4" w:space="0" w:color="auto"/>
            </w:tcBorders>
            <w:shd w:val="clear" w:color="auto" w:fill="auto"/>
            <w:hideMark/>
          </w:tcPr>
          <w:p w14:paraId="0045A4E4" w14:textId="77777777" w:rsidR="00C61E15" w:rsidRPr="00075237" w:rsidRDefault="00C61E15" w:rsidP="00C30F95">
            <w:pPr>
              <w:jc w:val="left"/>
              <w:rPr>
                <w:sz w:val="20"/>
                <w:szCs w:val="20"/>
              </w:rPr>
            </w:pPr>
            <w:r w:rsidRPr="00075237">
              <w:rPr>
                <w:sz w:val="20"/>
                <w:szCs w:val="20"/>
              </w:rPr>
              <w:t>BOT/PHA/82/INV/21</w:t>
            </w:r>
          </w:p>
        </w:tc>
        <w:tc>
          <w:tcPr>
            <w:tcW w:w="5135" w:type="dxa"/>
            <w:tcBorders>
              <w:top w:val="nil"/>
              <w:left w:val="nil"/>
              <w:bottom w:val="single" w:sz="4" w:space="0" w:color="auto"/>
              <w:right w:val="single" w:sz="4" w:space="0" w:color="auto"/>
            </w:tcBorders>
            <w:shd w:val="clear" w:color="auto" w:fill="auto"/>
            <w:hideMark/>
          </w:tcPr>
          <w:p w14:paraId="0AD37993" w14:textId="77777777" w:rsidR="00C61E15" w:rsidRPr="00075237" w:rsidRDefault="00C61E15" w:rsidP="00C30F95">
            <w:pPr>
              <w:jc w:val="left"/>
              <w:rPr>
                <w:sz w:val="20"/>
                <w:szCs w:val="20"/>
              </w:rPr>
            </w:pPr>
            <w:r w:rsidRPr="00075237">
              <w:rPr>
                <w:sz w:val="20"/>
                <w:szCs w:val="20"/>
              </w:rPr>
              <w:t>Plan de gestion de l’élimination des HCFC (phase I, deuxième tranche)</w:t>
            </w:r>
          </w:p>
        </w:tc>
        <w:tc>
          <w:tcPr>
            <w:tcW w:w="987" w:type="dxa"/>
            <w:tcBorders>
              <w:top w:val="nil"/>
              <w:left w:val="nil"/>
              <w:bottom w:val="single" w:sz="4" w:space="0" w:color="auto"/>
              <w:right w:val="single" w:sz="4" w:space="0" w:color="auto"/>
            </w:tcBorders>
            <w:shd w:val="clear" w:color="auto" w:fill="auto"/>
            <w:hideMark/>
          </w:tcPr>
          <w:p w14:paraId="6DEBBF76" w14:textId="77777777" w:rsidR="00C61E15" w:rsidRPr="00075237" w:rsidRDefault="00C61E15" w:rsidP="00C30F95">
            <w:pPr>
              <w:jc w:val="left"/>
              <w:rPr>
                <w:sz w:val="20"/>
                <w:szCs w:val="20"/>
              </w:rPr>
            </w:pPr>
            <w:r w:rsidRPr="00075237">
              <w:rPr>
                <w:sz w:val="20"/>
                <w:szCs w:val="20"/>
              </w:rPr>
              <w:t>ONUDI</w:t>
            </w:r>
          </w:p>
        </w:tc>
      </w:tr>
      <w:tr w:rsidR="00C61E15" w:rsidRPr="00075237" w14:paraId="21ECC8F1" w14:textId="77777777" w:rsidTr="00C30F95">
        <w:trPr>
          <w:trHeight w:val="98"/>
        </w:trPr>
        <w:tc>
          <w:tcPr>
            <w:tcW w:w="1399" w:type="dxa"/>
            <w:tcBorders>
              <w:top w:val="nil"/>
              <w:left w:val="single" w:sz="4" w:space="0" w:color="auto"/>
              <w:bottom w:val="single" w:sz="4" w:space="0" w:color="auto"/>
              <w:right w:val="single" w:sz="4" w:space="0" w:color="auto"/>
            </w:tcBorders>
            <w:shd w:val="clear" w:color="auto" w:fill="auto"/>
            <w:hideMark/>
          </w:tcPr>
          <w:p w14:paraId="5DF75619" w14:textId="77777777" w:rsidR="00C61E15" w:rsidRPr="00075237" w:rsidRDefault="00C61E15" w:rsidP="00C30F95">
            <w:pPr>
              <w:jc w:val="left"/>
              <w:rPr>
                <w:sz w:val="20"/>
                <w:szCs w:val="20"/>
              </w:rPr>
            </w:pPr>
            <w:r w:rsidRPr="00075237">
              <w:rPr>
                <w:sz w:val="20"/>
                <w:szCs w:val="20"/>
              </w:rPr>
              <w:t xml:space="preserve">Botswana </w:t>
            </w:r>
          </w:p>
        </w:tc>
        <w:tc>
          <w:tcPr>
            <w:tcW w:w="2161" w:type="dxa"/>
            <w:tcBorders>
              <w:top w:val="nil"/>
              <w:left w:val="nil"/>
              <w:bottom w:val="single" w:sz="4" w:space="0" w:color="auto"/>
              <w:right w:val="single" w:sz="4" w:space="0" w:color="auto"/>
            </w:tcBorders>
            <w:shd w:val="clear" w:color="auto" w:fill="auto"/>
            <w:hideMark/>
          </w:tcPr>
          <w:p w14:paraId="74AEE6BA" w14:textId="77777777" w:rsidR="00C61E15" w:rsidRPr="00075237" w:rsidRDefault="00C61E15" w:rsidP="00C30F95">
            <w:pPr>
              <w:jc w:val="left"/>
              <w:rPr>
                <w:sz w:val="20"/>
                <w:szCs w:val="20"/>
              </w:rPr>
            </w:pPr>
            <w:r w:rsidRPr="00075237">
              <w:rPr>
                <w:sz w:val="20"/>
                <w:szCs w:val="20"/>
              </w:rPr>
              <w:t>BOT/PHA/86/INV/27</w:t>
            </w:r>
          </w:p>
        </w:tc>
        <w:tc>
          <w:tcPr>
            <w:tcW w:w="5135" w:type="dxa"/>
            <w:tcBorders>
              <w:top w:val="nil"/>
              <w:left w:val="nil"/>
              <w:bottom w:val="single" w:sz="4" w:space="0" w:color="auto"/>
              <w:right w:val="single" w:sz="4" w:space="0" w:color="auto"/>
            </w:tcBorders>
            <w:shd w:val="clear" w:color="auto" w:fill="auto"/>
            <w:hideMark/>
          </w:tcPr>
          <w:p w14:paraId="74D6721E" w14:textId="77777777" w:rsidR="00C61E15" w:rsidRPr="00075237" w:rsidRDefault="00C61E15" w:rsidP="00C30F95">
            <w:pPr>
              <w:jc w:val="left"/>
              <w:rPr>
                <w:sz w:val="20"/>
                <w:szCs w:val="20"/>
              </w:rPr>
            </w:pPr>
            <w:r w:rsidRPr="00075237">
              <w:rPr>
                <w:sz w:val="20"/>
                <w:szCs w:val="20"/>
              </w:rPr>
              <w:t>Plan de gestion de l’élimination des HCFC (phase II, première tranche)</w:t>
            </w:r>
          </w:p>
        </w:tc>
        <w:tc>
          <w:tcPr>
            <w:tcW w:w="987" w:type="dxa"/>
            <w:tcBorders>
              <w:top w:val="nil"/>
              <w:left w:val="nil"/>
              <w:bottom w:val="single" w:sz="4" w:space="0" w:color="auto"/>
              <w:right w:val="single" w:sz="4" w:space="0" w:color="auto"/>
            </w:tcBorders>
            <w:shd w:val="clear" w:color="auto" w:fill="auto"/>
            <w:hideMark/>
          </w:tcPr>
          <w:p w14:paraId="61E4CF2C" w14:textId="77777777" w:rsidR="00C61E15" w:rsidRPr="00075237" w:rsidRDefault="00C61E15" w:rsidP="00C30F95">
            <w:pPr>
              <w:jc w:val="left"/>
              <w:rPr>
                <w:sz w:val="20"/>
                <w:szCs w:val="20"/>
              </w:rPr>
            </w:pPr>
            <w:r w:rsidRPr="00075237">
              <w:rPr>
                <w:sz w:val="20"/>
                <w:szCs w:val="20"/>
              </w:rPr>
              <w:t>ONUDI</w:t>
            </w:r>
          </w:p>
        </w:tc>
      </w:tr>
      <w:tr w:rsidR="00C61E15" w:rsidRPr="00075237" w14:paraId="796F793F" w14:textId="77777777" w:rsidTr="00C30F95">
        <w:trPr>
          <w:trHeight w:val="145"/>
        </w:trPr>
        <w:tc>
          <w:tcPr>
            <w:tcW w:w="1399" w:type="dxa"/>
            <w:tcBorders>
              <w:top w:val="nil"/>
              <w:left w:val="single" w:sz="4" w:space="0" w:color="auto"/>
              <w:bottom w:val="single" w:sz="4" w:space="0" w:color="auto"/>
              <w:right w:val="single" w:sz="4" w:space="0" w:color="auto"/>
            </w:tcBorders>
            <w:shd w:val="clear" w:color="auto" w:fill="auto"/>
            <w:hideMark/>
          </w:tcPr>
          <w:p w14:paraId="13E585FE" w14:textId="77777777" w:rsidR="00C61E15" w:rsidRPr="00075237" w:rsidRDefault="00C61E15" w:rsidP="00C30F95">
            <w:pPr>
              <w:jc w:val="left"/>
              <w:rPr>
                <w:sz w:val="20"/>
                <w:szCs w:val="20"/>
              </w:rPr>
            </w:pPr>
            <w:r w:rsidRPr="00075237">
              <w:rPr>
                <w:sz w:val="20"/>
                <w:szCs w:val="20"/>
              </w:rPr>
              <w:t xml:space="preserve">Cameroun </w:t>
            </w:r>
          </w:p>
        </w:tc>
        <w:tc>
          <w:tcPr>
            <w:tcW w:w="2161" w:type="dxa"/>
            <w:tcBorders>
              <w:top w:val="nil"/>
              <w:left w:val="nil"/>
              <w:bottom w:val="single" w:sz="4" w:space="0" w:color="auto"/>
              <w:right w:val="single" w:sz="4" w:space="0" w:color="auto"/>
            </w:tcBorders>
            <w:shd w:val="clear" w:color="auto" w:fill="auto"/>
            <w:hideMark/>
          </w:tcPr>
          <w:p w14:paraId="67521CD7" w14:textId="77777777" w:rsidR="00C61E15" w:rsidRPr="00075237" w:rsidRDefault="00C61E15" w:rsidP="00C30F95">
            <w:pPr>
              <w:jc w:val="left"/>
              <w:rPr>
                <w:sz w:val="20"/>
                <w:szCs w:val="20"/>
              </w:rPr>
            </w:pPr>
            <w:r w:rsidRPr="00075237">
              <w:rPr>
                <w:sz w:val="20"/>
                <w:szCs w:val="20"/>
              </w:rPr>
              <w:t>CMR/PHA/82/INV/45</w:t>
            </w:r>
          </w:p>
        </w:tc>
        <w:tc>
          <w:tcPr>
            <w:tcW w:w="5135" w:type="dxa"/>
            <w:tcBorders>
              <w:top w:val="nil"/>
              <w:left w:val="nil"/>
              <w:bottom w:val="single" w:sz="4" w:space="0" w:color="auto"/>
              <w:right w:val="single" w:sz="4" w:space="0" w:color="auto"/>
            </w:tcBorders>
            <w:shd w:val="clear" w:color="auto" w:fill="auto"/>
            <w:hideMark/>
          </w:tcPr>
          <w:p w14:paraId="54294D74" w14:textId="77777777" w:rsidR="00C61E15" w:rsidRPr="00075237" w:rsidRDefault="00C61E15" w:rsidP="00C30F95">
            <w:pPr>
              <w:jc w:val="left"/>
              <w:rPr>
                <w:sz w:val="20"/>
                <w:szCs w:val="20"/>
              </w:rPr>
            </w:pPr>
            <w:r w:rsidRPr="00075237">
              <w:rPr>
                <w:sz w:val="20"/>
                <w:szCs w:val="20"/>
              </w:rPr>
              <w:t>Plan de gestion de l’élimination des HCFC (phase II, première tranche)</w:t>
            </w:r>
          </w:p>
        </w:tc>
        <w:tc>
          <w:tcPr>
            <w:tcW w:w="987" w:type="dxa"/>
            <w:tcBorders>
              <w:top w:val="nil"/>
              <w:left w:val="nil"/>
              <w:bottom w:val="single" w:sz="4" w:space="0" w:color="auto"/>
              <w:right w:val="single" w:sz="4" w:space="0" w:color="auto"/>
            </w:tcBorders>
            <w:shd w:val="clear" w:color="auto" w:fill="auto"/>
            <w:hideMark/>
          </w:tcPr>
          <w:p w14:paraId="4F8D43D1" w14:textId="77777777" w:rsidR="00C61E15" w:rsidRPr="00075237" w:rsidRDefault="00C61E15" w:rsidP="00C30F95">
            <w:pPr>
              <w:jc w:val="left"/>
              <w:rPr>
                <w:sz w:val="20"/>
                <w:szCs w:val="20"/>
              </w:rPr>
            </w:pPr>
            <w:r w:rsidRPr="00075237">
              <w:rPr>
                <w:sz w:val="20"/>
                <w:szCs w:val="20"/>
              </w:rPr>
              <w:t>ONUDI</w:t>
            </w:r>
          </w:p>
        </w:tc>
      </w:tr>
      <w:tr w:rsidR="00C61E15" w:rsidRPr="00075237" w14:paraId="6B69138A" w14:textId="77777777" w:rsidTr="00C30F95">
        <w:trPr>
          <w:trHeight w:val="79"/>
        </w:trPr>
        <w:tc>
          <w:tcPr>
            <w:tcW w:w="1399" w:type="dxa"/>
            <w:tcBorders>
              <w:top w:val="nil"/>
              <w:left w:val="single" w:sz="4" w:space="0" w:color="auto"/>
              <w:bottom w:val="single" w:sz="4" w:space="0" w:color="auto"/>
              <w:right w:val="single" w:sz="4" w:space="0" w:color="auto"/>
            </w:tcBorders>
            <w:shd w:val="clear" w:color="auto" w:fill="auto"/>
            <w:hideMark/>
          </w:tcPr>
          <w:p w14:paraId="448B5B4D" w14:textId="77777777" w:rsidR="00C61E15" w:rsidRPr="00075237" w:rsidRDefault="00C61E15" w:rsidP="00C30F95">
            <w:pPr>
              <w:jc w:val="left"/>
              <w:rPr>
                <w:sz w:val="20"/>
                <w:szCs w:val="20"/>
              </w:rPr>
            </w:pPr>
            <w:r w:rsidRPr="00075237">
              <w:rPr>
                <w:sz w:val="20"/>
                <w:szCs w:val="20"/>
              </w:rPr>
              <w:t>Dominique</w:t>
            </w:r>
          </w:p>
        </w:tc>
        <w:tc>
          <w:tcPr>
            <w:tcW w:w="2161" w:type="dxa"/>
            <w:tcBorders>
              <w:top w:val="nil"/>
              <w:left w:val="nil"/>
              <w:bottom w:val="single" w:sz="4" w:space="0" w:color="auto"/>
              <w:right w:val="single" w:sz="4" w:space="0" w:color="auto"/>
            </w:tcBorders>
            <w:shd w:val="clear" w:color="auto" w:fill="auto"/>
            <w:hideMark/>
          </w:tcPr>
          <w:p w14:paraId="313A64BA" w14:textId="77777777" w:rsidR="00C61E15" w:rsidRPr="00075237" w:rsidRDefault="00C61E15" w:rsidP="00C30F95">
            <w:pPr>
              <w:jc w:val="left"/>
              <w:rPr>
                <w:sz w:val="20"/>
                <w:szCs w:val="20"/>
              </w:rPr>
            </w:pPr>
            <w:r w:rsidRPr="00075237">
              <w:rPr>
                <w:sz w:val="20"/>
                <w:szCs w:val="20"/>
              </w:rPr>
              <w:t>DMI/PHA/62/TAS/19</w:t>
            </w:r>
          </w:p>
        </w:tc>
        <w:tc>
          <w:tcPr>
            <w:tcW w:w="5135" w:type="dxa"/>
            <w:tcBorders>
              <w:top w:val="nil"/>
              <w:left w:val="nil"/>
              <w:bottom w:val="single" w:sz="4" w:space="0" w:color="auto"/>
              <w:right w:val="single" w:sz="4" w:space="0" w:color="auto"/>
            </w:tcBorders>
            <w:shd w:val="clear" w:color="auto" w:fill="auto"/>
            <w:hideMark/>
          </w:tcPr>
          <w:p w14:paraId="2836FF8D" w14:textId="77777777" w:rsidR="00C61E15" w:rsidRPr="00075237" w:rsidRDefault="00C61E15" w:rsidP="00C30F95">
            <w:pPr>
              <w:jc w:val="left"/>
              <w:rPr>
                <w:sz w:val="20"/>
                <w:szCs w:val="20"/>
              </w:rPr>
            </w:pPr>
            <w:r w:rsidRPr="00075237">
              <w:rPr>
                <w:sz w:val="20"/>
                <w:szCs w:val="20"/>
              </w:rPr>
              <w:t>Plan de gestion de l’élimination des HCFC (phase I, première tranche)</w:t>
            </w:r>
          </w:p>
        </w:tc>
        <w:tc>
          <w:tcPr>
            <w:tcW w:w="987" w:type="dxa"/>
            <w:tcBorders>
              <w:top w:val="nil"/>
              <w:left w:val="nil"/>
              <w:bottom w:val="single" w:sz="4" w:space="0" w:color="auto"/>
              <w:right w:val="single" w:sz="4" w:space="0" w:color="auto"/>
            </w:tcBorders>
            <w:shd w:val="clear" w:color="auto" w:fill="auto"/>
            <w:hideMark/>
          </w:tcPr>
          <w:p w14:paraId="60F67EBD" w14:textId="77777777" w:rsidR="00C61E15" w:rsidRPr="00075237" w:rsidRDefault="00C61E15" w:rsidP="00C30F95">
            <w:pPr>
              <w:jc w:val="left"/>
              <w:rPr>
                <w:sz w:val="20"/>
                <w:szCs w:val="20"/>
              </w:rPr>
            </w:pPr>
            <w:r w:rsidRPr="00075237">
              <w:rPr>
                <w:sz w:val="20"/>
                <w:szCs w:val="20"/>
              </w:rPr>
              <w:t>PNUE</w:t>
            </w:r>
          </w:p>
        </w:tc>
      </w:tr>
      <w:tr w:rsidR="00C61E15" w:rsidRPr="00075237" w14:paraId="6E100785" w14:textId="77777777" w:rsidTr="00C30F95">
        <w:trPr>
          <w:trHeight w:val="35"/>
        </w:trPr>
        <w:tc>
          <w:tcPr>
            <w:tcW w:w="1399" w:type="dxa"/>
            <w:tcBorders>
              <w:top w:val="nil"/>
              <w:left w:val="single" w:sz="4" w:space="0" w:color="auto"/>
              <w:bottom w:val="single" w:sz="4" w:space="0" w:color="auto"/>
              <w:right w:val="single" w:sz="4" w:space="0" w:color="auto"/>
            </w:tcBorders>
            <w:shd w:val="clear" w:color="auto" w:fill="auto"/>
            <w:hideMark/>
          </w:tcPr>
          <w:p w14:paraId="391F9124" w14:textId="77777777" w:rsidR="00C61E15" w:rsidRPr="00075237" w:rsidRDefault="00C61E15" w:rsidP="00C30F95">
            <w:pPr>
              <w:jc w:val="left"/>
              <w:rPr>
                <w:sz w:val="20"/>
                <w:szCs w:val="20"/>
              </w:rPr>
            </w:pPr>
            <w:r w:rsidRPr="00075237">
              <w:rPr>
                <w:sz w:val="20"/>
                <w:szCs w:val="20"/>
              </w:rPr>
              <w:t>Dominique</w:t>
            </w:r>
          </w:p>
        </w:tc>
        <w:tc>
          <w:tcPr>
            <w:tcW w:w="2161" w:type="dxa"/>
            <w:tcBorders>
              <w:top w:val="nil"/>
              <w:left w:val="nil"/>
              <w:bottom w:val="single" w:sz="4" w:space="0" w:color="auto"/>
              <w:right w:val="single" w:sz="4" w:space="0" w:color="auto"/>
            </w:tcBorders>
            <w:shd w:val="clear" w:color="auto" w:fill="auto"/>
            <w:hideMark/>
          </w:tcPr>
          <w:p w14:paraId="0B0FDD3C" w14:textId="77777777" w:rsidR="00C61E15" w:rsidRPr="00075237" w:rsidRDefault="00C61E15" w:rsidP="00C30F95">
            <w:pPr>
              <w:jc w:val="left"/>
              <w:rPr>
                <w:sz w:val="20"/>
                <w:szCs w:val="20"/>
              </w:rPr>
            </w:pPr>
            <w:r w:rsidRPr="00075237">
              <w:rPr>
                <w:sz w:val="20"/>
                <w:szCs w:val="20"/>
              </w:rPr>
              <w:t>DMI/PHA/84/TAS/25</w:t>
            </w:r>
          </w:p>
        </w:tc>
        <w:tc>
          <w:tcPr>
            <w:tcW w:w="5135" w:type="dxa"/>
            <w:tcBorders>
              <w:top w:val="nil"/>
              <w:left w:val="nil"/>
              <w:bottom w:val="single" w:sz="4" w:space="0" w:color="auto"/>
              <w:right w:val="single" w:sz="4" w:space="0" w:color="auto"/>
            </w:tcBorders>
            <w:shd w:val="clear" w:color="auto" w:fill="auto"/>
            <w:hideMark/>
          </w:tcPr>
          <w:p w14:paraId="7AA70163" w14:textId="77777777" w:rsidR="00C61E15" w:rsidRPr="00075237" w:rsidRDefault="00C61E15" w:rsidP="00C30F95">
            <w:pPr>
              <w:jc w:val="left"/>
              <w:rPr>
                <w:sz w:val="20"/>
                <w:szCs w:val="20"/>
              </w:rPr>
            </w:pPr>
            <w:r w:rsidRPr="00075237">
              <w:rPr>
                <w:sz w:val="20"/>
                <w:szCs w:val="20"/>
              </w:rPr>
              <w:t>Plan de gestion de l’élimination des HCFC (phase I, deuxième tranche)</w:t>
            </w:r>
          </w:p>
        </w:tc>
        <w:tc>
          <w:tcPr>
            <w:tcW w:w="987" w:type="dxa"/>
            <w:tcBorders>
              <w:top w:val="nil"/>
              <w:left w:val="nil"/>
              <w:bottom w:val="single" w:sz="4" w:space="0" w:color="auto"/>
              <w:right w:val="single" w:sz="4" w:space="0" w:color="auto"/>
            </w:tcBorders>
            <w:shd w:val="clear" w:color="auto" w:fill="auto"/>
            <w:hideMark/>
          </w:tcPr>
          <w:p w14:paraId="73ED34D0" w14:textId="77777777" w:rsidR="00C61E15" w:rsidRPr="00075237" w:rsidRDefault="00C61E15" w:rsidP="00C30F95">
            <w:pPr>
              <w:jc w:val="left"/>
              <w:rPr>
                <w:sz w:val="20"/>
                <w:szCs w:val="20"/>
              </w:rPr>
            </w:pPr>
            <w:r w:rsidRPr="00075237">
              <w:rPr>
                <w:sz w:val="20"/>
                <w:szCs w:val="20"/>
              </w:rPr>
              <w:t>PNUE</w:t>
            </w:r>
          </w:p>
        </w:tc>
      </w:tr>
      <w:tr w:rsidR="00C61E15" w:rsidRPr="00075237" w14:paraId="65494F36" w14:textId="77777777" w:rsidTr="00C30F95">
        <w:trPr>
          <w:trHeight w:val="387"/>
        </w:trPr>
        <w:tc>
          <w:tcPr>
            <w:tcW w:w="1399" w:type="dxa"/>
            <w:tcBorders>
              <w:top w:val="nil"/>
              <w:left w:val="single" w:sz="4" w:space="0" w:color="auto"/>
              <w:bottom w:val="single" w:sz="4" w:space="0" w:color="auto"/>
              <w:right w:val="single" w:sz="4" w:space="0" w:color="auto"/>
            </w:tcBorders>
            <w:shd w:val="clear" w:color="auto" w:fill="auto"/>
            <w:hideMark/>
          </w:tcPr>
          <w:p w14:paraId="77FD722C" w14:textId="77777777" w:rsidR="00C61E15" w:rsidRPr="00075237" w:rsidRDefault="00C61E15" w:rsidP="00C30F95">
            <w:pPr>
              <w:jc w:val="left"/>
              <w:rPr>
                <w:sz w:val="20"/>
                <w:szCs w:val="20"/>
              </w:rPr>
            </w:pPr>
            <w:r w:rsidRPr="00075237">
              <w:rPr>
                <w:sz w:val="20"/>
                <w:szCs w:val="20"/>
              </w:rPr>
              <w:t>Dominique</w:t>
            </w:r>
          </w:p>
        </w:tc>
        <w:tc>
          <w:tcPr>
            <w:tcW w:w="2161" w:type="dxa"/>
            <w:tcBorders>
              <w:top w:val="nil"/>
              <w:left w:val="nil"/>
              <w:bottom w:val="single" w:sz="4" w:space="0" w:color="auto"/>
              <w:right w:val="single" w:sz="4" w:space="0" w:color="auto"/>
            </w:tcBorders>
            <w:shd w:val="clear" w:color="auto" w:fill="auto"/>
            <w:hideMark/>
          </w:tcPr>
          <w:p w14:paraId="511201BD" w14:textId="77777777" w:rsidR="00C61E15" w:rsidRPr="00075237" w:rsidRDefault="00C61E15" w:rsidP="00C30F95">
            <w:pPr>
              <w:jc w:val="left"/>
              <w:rPr>
                <w:sz w:val="20"/>
                <w:szCs w:val="20"/>
              </w:rPr>
            </w:pPr>
            <w:r w:rsidRPr="00075237">
              <w:rPr>
                <w:sz w:val="20"/>
                <w:szCs w:val="20"/>
              </w:rPr>
              <w:t>DMI/PHA/86/TAS/26</w:t>
            </w:r>
          </w:p>
        </w:tc>
        <w:tc>
          <w:tcPr>
            <w:tcW w:w="5135" w:type="dxa"/>
            <w:tcBorders>
              <w:top w:val="nil"/>
              <w:left w:val="nil"/>
              <w:bottom w:val="single" w:sz="4" w:space="0" w:color="auto"/>
              <w:right w:val="single" w:sz="4" w:space="0" w:color="auto"/>
            </w:tcBorders>
            <w:shd w:val="clear" w:color="auto" w:fill="auto"/>
            <w:hideMark/>
          </w:tcPr>
          <w:p w14:paraId="3AD97DF6" w14:textId="23C702E0" w:rsidR="00C61E15" w:rsidRPr="00075237" w:rsidRDefault="00C61E15" w:rsidP="00C30F95">
            <w:pPr>
              <w:jc w:val="left"/>
              <w:rPr>
                <w:sz w:val="20"/>
                <w:szCs w:val="20"/>
              </w:rPr>
            </w:pPr>
            <w:r w:rsidRPr="00075237">
              <w:rPr>
                <w:sz w:val="20"/>
                <w:szCs w:val="20"/>
              </w:rPr>
              <w:t>Rapport de vérification sur la mise en œuvre de la phase I du plan de gestion de l’élimination des HCFC</w:t>
            </w:r>
          </w:p>
        </w:tc>
        <w:tc>
          <w:tcPr>
            <w:tcW w:w="987" w:type="dxa"/>
            <w:tcBorders>
              <w:top w:val="nil"/>
              <w:left w:val="nil"/>
              <w:bottom w:val="single" w:sz="4" w:space="0" w:color="auto"/>
              <w:right w:val="single" w:sz="4" w:space="0" w:color="auto"/>
            </w:tcBorders>
            <w:shd w:val="clear" w:color="auto" w:fill="auto"/>
            <w:hideMark/>
          </w:tcPr>
          <w:p w14:paraId="44C21917" w14:textId="77777777" w:rsidR="00C61E15" w:rsidRPr="00075237" w:rsidRDefault="00C61E15" w:rsidP="00C30F95">
            <w:pPr>
              <w:jc w:val="left"/>
              <w:rPr>
                <w:sz w:val="20"/>
                <w:szCs w:val="20"/>
              </w:rPr>
            </w:pPr>
            <w:r w:rsidRPr="00075237">
              <w:rPr>
                <w:sz w:val="20"/>
                <w:szCs w:val="20"/>
              </w:rPr>
              <w:t>PNUE</w:t>
            </w:r>
          </w:p>
        </w:tc>
      </w:tr>
      <w:tr w:rsidR="00C61E15" w:rsidRPr="00075237" w14:paraId="67C8EEBF" w14:textId="77777777" w:rsidTr="00C30F95">
        <w:trPr>
          <w:trHeight w:val="93"/>
        </w:trPr>
        <w:tc>
          <w:tcPr>
            <w:tcW w:w="1399" w:type="dxa"/>
            <w:tcBorders>
              <w:top w:val="nil"/>
              <w:left w:val="single" w:sz="4" w:space="0" w:color="auto"/>
              <w:bottom w:val="single" w:sz="4" w:space="0" w:color="auto"/>
              <w:right w:val="single" w:sz="4" w:space="0" w:color="auto"/>
            </w:tcBorders>
            <w:shd w:val="clear" w:color="auto" w:fill="auto"/>
            <w:hideMark/>
          </w:tcPr>
          <w:p w14:paraId="4870ABE0" w14:textId="77777777" w:rsidR="00C61E15" w:rsidRPr="00075237" w:rsidRDefault="00C61E15" w:rsidP="00C30F95">
            <w:pPr>
              <w:jc w:val="left"/>
              <w:rPr>
                <w:sz w:val="20"/>
                <w:szCs w:val="20"/>
              </w:rPr>
            </w:pPr>
            <w:r w:rsidRPr="00075237">
              <w:rPr>
                <w:sz w:val="20"/>
                <w:szCs w:val="20"/>
              </w:rPr>
              <w:t>Guyane</w:t>
            </w:r>
          </w:p>
        </w:tc>
        <w:tc>
          <w:tcPr>
            <w:tcW w:w="2161" w:type="dxa"/>
            <w:tcBorders>
              <w:top w:val="nil"/>
              <w:left w:val="nil"/>
              <w:bottom w:val="single" w:sz="4" w:space="0" w:color="auto"/>
              <w:right w:val="single" w:sz="4" w:space="0" w:color="auto"/>
            </w:tcBorders>
            <w:shd w:val="clear" w:color="auto" w:fill="auto"/>
            <w:hideMark/>
          </w:tcPr>
          <w:p w14:paraId="257E8160" w14:textId="77777777" w:rsidR="00C61E15" w:rsidRPr="00075237" w:rsidRDefault="00C61E15" w:rsidP="00C30F95">
            <w:pPr>
              <w:jc w:val="left"/>
              <w:rPr>
                <w:sz w:val="20"/>
                <w:szCs w:val="20"/>
              </w:rPr>
            </w:pPr>
            <w:r w:rsidRPr="00075237">
              <w:rPr>
                <w:sz w:val="20"/>
                <w:szCs w:val="20"/>
              </w:rPr>
              <w:t>GUY/PHA/83/TAS/31</w:t>
            </w:r>
          </w:p>
        </w:tc>
        <w:tc>
          <w:tcPr>
            <w:tcW w:w="5135" w:type="dxa"/>
            <w:tcBorders>
              <w:top w:val="nil"/>
              <w:left w:val="nil"/>
              <w:bottom w:val="single" w:sz="4" w:space="0" w:color="auto"/>
              <w:right w:val="single" w:sz="4" w:space="0" w:color="auto"/>
            </w:tcBorders>
            <w:shd w:val="clear" w:color="auto" w:fill="auto"/>
            <w:hideMark/>
          </w:tcPr>
          <w:p w14:paraId="013600EB" w14:textId="77777777" w:rsidR="00C61E15" w:rsidRPr="00075237" w:rsidRDefault="00C61E15" w:rsidP="00C30F95">
            <w:pPr>
              <w:jc w:val="left"/>
              <w:rPr>
                <w:sz w:val="20"/>
                <w:szCs w:val="20"/>
              </w:rPr>
            </w:pPr>
            <w:r w:rsidRPr="00075237">
              <w:rPr>
                <w:sz w:val="20"/>
                <w:szCs w:val="20"/>
              </w:rPr>
              <w:t>Plan de gestion de l’élimination des HCFC (phase II, deuxième tranche)</w:t>
            </w:r>
          </w:p>
        </w:tc>
        <w:tc>
          <w:tcPr>
            <w:tcW w:w="987" w:type="dxa"/>
            <w:tcBorders>
              <w:top w:val="nil"/>
              <w:left w:val="nil"/>
              <w:bottom w:val="single" w:sz="4" w:space="0" w:color="auto"/>
              <w:right w:val="single" w:sz="4" w:space="0" w:color="auto"/>
            </w:tcBorders>
            <w:shd w:val="clear" w:color="auto" w:fill="auto"/>
            <w:hideMark/>
          </w:tcPr>
          <w:p w14:paraId="0FCDDDF6" w14:textId="77777777" w:rsidR="00C61E15" w:rsidRPr="00075237" w:rsidRDefault="00C61E15" w:rsidP="00C30F95">
            <w:pPr>
              <w:jc w:val="left"/>
              <w:rPr>
                <w:sz w:val="20"/>
                <w:szCs w:val="20"/>
              </w:rPr>
            </w:pPr>
            <w:r w:rsidRPr="00075237">
              <w:rPr>
                <w:sz w:val="20"/>
                <w:szCs w:val="20"/>
              </w:rPr>
              <w:t>PNUE</w:t>
            </w:r>
          </w:p>
        </w:tc>
      </w:tr>
      <w:tr w:rsidR="00C61E15" w:rsidRPr="00075237" w14:paraId="7DA2781C" w14:textId="77777777" w:rsidTr="00C30F95">
        <w:trPr>
          <w:trHeight w:val="330"/>
        </w:trPr>
        <w:tc>
          <w:tcPr>
            <w:tcW w:w="1399" w:type="dxa"/>
            <w:tcBorders>
              <w:top w:val="nil"/>
              <w:left w:val="single" w:sz="4" w:space="0" w:color="auto"/>
              <w:bottom w:val="single" w:sz="4" w:space="0" w:color="auto"/>
              <w:right w:val="single" w:sz="4" w:space="0" w:color="auto"/>
            </w:tcBorders>
            <w:shd w:val="clear" w:color="auto" w:fill="auto"/>
            <w:hideMark/>
          </w:tcPr>
          <w:p w14:paraId="227C0C90" w14:textId="77777777" w:rsidR="00C61E15" w:rsidRPr="00075237" w:rsidRDefault="00C61E15" w:rsidP="00C30F95">
            <w:pPr>
              <w:jc w:val="left"/>
              <w:rPr>
                <w:sz w:val="20"/>
                <w:szCs w:val="20"/>
              </w:rPr>
            </w:pPr>
            <w:r w:rsidRPr="00075237">
              <w:rPr>
                <w:sz w:val="20"/>
                <w:szCs w:val="20"/>
              </w:rPr>
              <w:t>Indonésie</w:t>
            </w:r>
          </w:p>
        </w:tc>
        <w:tc>
          <w:tcPr>
            <w:tcW w:w="2161" w:type="dxa"/>
            <w:tcBorders>
              <w:top w:val="nil"/>
              <w:left w:val="nil"/>
              <w:bottom w:val="single" w:sz="4" w:space="0" w:color="auto"/>
              <w:right w:val="single" w:sz="4" w:space="0" w:color="auto"/>
            </w:tcBorders>
            <w:shd w:val="clear" w:color="auto" w:fill="auto"/>
            <w:hideMark/>
          </w:tcPr>
          <w:p w14:paraId="0BFAB327" w14:textId="77777777" w:rsidR="00C61E15" w:rsidRPr="00075237" w:rsidRDefault="00C61E15" w:rsidP="00C30F95">
            <w:pPr>
              <w:jc w:val="left"/>
              <w:rPr>
                <w:sz w:val="20"/>
                <w:szCs w:val="20"/>
              </w:rPr>
            </w:pPr>
            <w:r w:rsidRPr="00075237">
              <w:rPr>
                <w:sz w:val="20"/>
                <w:szCs w:val="20"/>
              </w:rPr>
              <w:t>IDS/PHA/81/INV/213</w:t>
            </w:r>
          </w:p>
        </w:tc>
        <w:tc>
          <w:tcPr>
            <w:tcW w:w="5135" w:type="dxa"/>
            <w:tcBorders>
              <w:top w:val="nil"/>
              <w:left w:val="nil"/>
              <w:bottom w:val="single" w:sz="4" w:space="0" w:color="auto"/>
              <w:right w:val="single" w:sz="4" w:space="0" w:color="auto"/>
            </w:tcBorders>
            <w:shd w:val="clear" w:color="auto" w:fill="auto"/>
            <w:hideMark/>
          </w:tcPr>
          <w:p w14:paraId="2BB7938B" w14:textId="77777777" w:rsidR="00C61E15" w:rsidRPr="00075237" w:rsidRDefault="00C61E15" w:rsidP="00C30F95">
            <w:pPr>
              <w:jc w:val="left"/>
              <w:rPr>
                <w:sz w:val="20"/>
                <w:szCs w:val="20"/>
              </w:rPr>
            </w:pPr>
            <w:r w:rsidRPr="00075237">
              <w:rPr>
                <w:sz w:val="20"/>
                <w:szCs w:val="20"/>
              </w:rPr>
              <w:t>Plan de gestion de l’élimination des HCFC (phase II, deuxième tranche) (secteur de l’entretien des appareils de réfrigération)</w:t>
            </w:r>
          </w:p>
        </w:tc>
        <w:tc>
          <w:tcPr>
            <w:tcW w:w="987" w:type="dxa"/>
            <w:tcBorders>
              <w:top w:val="nil"/>
              <w:left w:val="nil"/>
              <w:bottom w:val="single" w:sz="4" w:space="0" w:color="auto"/>
              <w:right w:val="single" w:sz="4" w:space="0" w:color="auto"/>
            </w:tcBorders>
            <w:shd w:val="clear" w:color="auto" w:fill="auto"/>
            <w:hideMark/>
          </w:tcPr>
          <w:p w14:paraId="3CA41410" w14:textId="77777777" w:rsidR="00C61E15" w:rsidRPr="00075237" w:rsidRDefault="00C61E15" w:rsidP="00C30F95">
            <w:pPr>
              <w:jc w:val="left"/>
              <w:rPr>
                <w:sz w:val="20"/>
                <w:szCs w:val="20"/>
              </w:rPr>
            </w:pPr>
            <w:r w:rsidRPr="00075237">
              <w:rPr>
                <w:sz w:val="20"/>
                <w:szCs w:val="20"/>
              </w:rPr>
              <w:t>PNUD</w:t>
            </w:r>
          </w:p>
        </w:tc>
      </w:tr>
      <w:tr w:rsidR="00C61E15" w:rsidRPr="00075237" w14:paraId="5A7C3B04" w14:textId="77777777" w:rsidTr="00C30F95">
        <w:trPr>
          <w:trHeight w:val="200"/>
        </w:trPr>
        <w:tc>
          <w:tcPr>
            <w:tcW w:w="1399" w:type="dxa"/>
            <w:tcBorders>
              <w:top w:val="nil"/>
              <w:left w:val="single" w:sz="4" w:space="0" w:color="auto"/>
              <w:bottom w:val="single" w:sz="4" w:space="0" w:color="auto"/>
              <w:right w:val="single" w:sz="4" w:space="0" w:color="auto"/>
            </w:tcBorders>
            <w:shd w:val="clear" w:color="auto" w:fill="auto"/>
            <w:hideMark/>
          </w:tcPr>
          <w:p w14:paraId="5CE6C341" w14:textId="77777777" w:rsidR="00C61E15" w:rsidRPr="00075237" w:rsidRDefault="00C61E15" w:rsidP="00C30F95">
            <w:pPr>
              <w:jc w:val="left"/>
              <w:rPr>
                <w:sz w:val="20"/>
                <w:szCs w:val="20"/>
              </w:rPr>
            </w:pPr>
            <w:r w:rsidRPr="00075237">
              <w:rPr>
                <w:sz w:val="20"/>
                <w:szCs w:val="20"/>
              </w:rPr>
              <w:t>Jamaïque</w:t>
            </w:r>
          </w:p>
        </w:tc>
        <w:tc>
          <w:tcPr>
            <w:tcW w:w="2161" w:type="dxa"/>
            <w:tcBorders>
              <w:top w:val="nil"/>
              <w:left w:val="nil"/>
              <w:bottom w:val="single" w:sz="4" w:space="0" w:color="auto"/>
              <w:right w:val="single" w:sz="4" w:space="0" w:color="auto"/>
            </w:tcBorders>
            <w:shd w:val="clear" w:color="auto" w:fill="auto"/>
            <w:hideMark/>
          </w:tcPr>
          <w:p w14:paraId="1BDD82D6" w14:textId="77777777" w:rsidR="00C61E15" w:rsidRPr="00075237" w:rsidRDefault="00C61E15" w:rsidP="00C30F95">
            <w:pPr>
              <w:jc w:val="left"/>
              <w:rPr>
                <w:sz w:val="20"/>
                <w:szCs w:val="20"/>
              </w:rPr>
            </w:pPr>
            <w:r w:rsidRPr="00075237">
              <w:rPr>
                <w:sz w:val="20"/>
                <w:szCs w:val="20"/>
              </w:rPr>
              <w:t>JAM/PHA/86/INV/43</w:t>
            </w:r>
          </w:p>
        </w:tc>
        <w:tc>
          <w:tcPr>
            <w:tcW w:w="5135" w:type="dxa"/>
            <w:tcBorders>
              <w:top w:val="nil"/>
              <w:left w:val="nil"/>
              <w:bottom w:val="single" w:sz="4" w:space="0" w:color="auto"/>
              <w:right w:val="single" w:sz="4" w:space="0" w:color="auto"/>
            </w:tcBorders>
            <w:shd w:val="clear" w:color="auto" w:fill="auto"/>
            <w:hideMark/>
          </w:tcPr>
          <w:p w14:paraId="1BF106A3" w14:textId="77777777" w:rsidR="00C61E15" w:rsidRPr="00075237" w:rsidRDefault="00C61E15" w:rsidP="00C30F95">
            <w:pPr>
              <w:jc w:val="left"/>
              <w:rPr>
                <w:sz w:val="20"/>
                <w:szCs w:val="20"/>
              </w:rPr>
            </w:pPr>
            <w:r w:rsidRPr="00075237">
              <w:rPr>
                <w:sz w:val="20"/>
                <w:szCs w:val="20"/>
              </w:rPr>
              <w:t>Plan de gestion de l’élimination des HCFC (phase II, première tranche)</w:t>
            </w:r>
          </w:p>
        </w:tc>
        <w:tc>
          <w:tcPr>
            <w:tcW w:w="987" w:type="dxa"/>
            <w:tcBorders>
              <w:top w:val="nil"/>
              <w:left w:val="nil"/>
              <w:bottom w:val="single" w:sz="4" w:space="0" w:color="auto"/>
              <w:right w:val="single" w:sz="4" w:space="0" w:color="auto"/>
            </w:tcBorders>
            <w:shd w:val="clear" w:color="auto" w:fill="auto"/>
            <w:hideMark/>
          </w:tcPr>
          <w:p w14:paraId="08986C37" w14:textId="77777777" w:rsidR="00C61E15" w:rsidRPr="00075237" w:rsidRDefault="00C61E15" w:rsidP="00C30F95">
            <w:pPr>
              <w:jc w:val="left"/>
              <w:rPr>
                <w:sz w:val="20"/>
                <w:szCs w:val="20"/>
              </w:rPr>
            </w:pPr>
            <w:r w:rsidRPr="00075237">
              <w:rPr>
                <w:sz w:val="20"/>
                <w:szCs w:val="20"/>
              </w:rPr>
              <w:t>PNUD</w:t>
            </w:r>
          </w:p>
        </w:tc>
      </w:tr>
      <w:tr w:rsidR="00C61E15" w:rsidRPr="00075237" w14:paraId="7B14182A" w14:textId="77777777" w:rsidTr="00C30F95">
        <w:trPr>
          <w:trHeight w:val="274"/>
        </w:trPr>
        <w:tc>
          <w:tcPr>
            <w:tcW w:w="1399" w:type="dxa"/>
            <w:tcBorders>
              <w:top w:val="nil"/>
              <w:left w:val="single" w:sz="4" w:space="0" w:color="auto"/>
              <w:bottom w:val="single" w:sz="4" w:space="0" w:color="auto"/>
              <w:right w:val="single" w:sz="4" w:space="0" w:color="auto"/>
            </w:tcBorders>
            <w:shd w:val="clear" w:color="auto" w:fill="auto"/>
            <w:hideMark/>
          </w:tcPr>
          <w:p w14:paraId="6AF0FBC4" w14:textId="77777777" w:rsidR="00C61E15" w:rsidRPr="00075237" w:rsidRDefault="00C61E15" w:rsidP="00C30F95">
            <w:pPr>
              <w:jc w:val="left"/>
              <w:rPr>
                <w:sz w:val="20"/>
                <w:szCs w:val="20"/>
              </w:rPr>
            </w:pPr>
            <w:r w:rsidRPr="00075237">
              <w:rPr>
                <w:sz w:val="20"/>
                <w:szCs w:val="20"/>
              </w:rPr>
              <w:t>Mexique</w:t>
            </w:r>
          </w:p>
        </w:tc>
        <w:tc>
          <w:tcPr>
            <w:tcW w:w="2161" w:type="dxa"/>
            <w:tcBorders>
              <w:top w:val="nil"/>
              <w:left w:val="nil"/>
              <w:bottom w:val="single" w:sz="4" w:space="0" w:color="auto"/>
              <w:right w:val="single" w:sz="4" w:space="0" w:color="auto"/>
            </w:tcBorders>
            <w:shd w:val="clear" w:color="auto" w:fill="auto"/>
            <w:hideMark/>
          </w:tcPr>
          <w:p w14:paraId="39F77CF3" w14:textId="77777777" w:rsidR="00C61E15" w:rsidRPr="00075237" w:rsidRDefault="00C61E15" w:rsidP="00C30F95">
            <w:pPr>
              <w:jc w:val="left"/>
              <w:rPr>
                <w:sz w:val="20"/>
                <w:szCs w:val="20"/>
              </w:rPr>
            </w:pPr>
            <w:r w:rsidRPr="00075237">
              <w:rPr>
                <w:sz w:val="20"/>
                <w:szCs w:val="20"/>
              </w:rPr>
              <w:t>MEX/PHA/77/INV/180</w:t>
            </w:r>
          </w:p>
        </w:tc>
        <w:tc>
          <w:tcPr>
            <w:tcW w:w="5135" w:type="dxa"/>
            <w:tcBorders>
              <w:top w:val="nil"/>
              <w:left w:val="nil"/>
              <w:bottom w:val="single" w:sz="4" w:space="0" w:color="auto"/>
              <w:right w:val="single" w:sz="4" w:space="0" w:color="auto"/>
            </w:tcBorders>
            <w:shd w:val="clear" w:color="auto" w:fill="auto"/>
            <w:hideMark/>
          </w:tcPr>
          <w:p w14:paraId="66813BBC" w14:textId="77777777" w:rsidR="00C61E15" w:rsidRPr="00075237" w:rsidRDefault="00C61E15" w:rsidP="00C30F95">
            <w:pPr>
              <w:jc w:val="left"/>
              <w:rPr>
                <w:sz w:val="20"/>
                <w:szCs w:val="20"/>
              </w:rPr>
            </w:pPr>
            <w:r w:rsidRPr="00075237">
              <w:rPr>
                <w:sz w:val="20"/>
                <w:szCs w:val="20"/>
              </w:rPr>
              <w:t>Plan de gestion de l’élimination des HCFC (phase II, deuxième tranche) (élimination de l’agent nettoyant dans le secteur de l’entretien de l’équipement de réfrigération)</w:t>
            </w:r>
          </w:p>
        </w:tc>
        <w:tc>
          <w:tcPr>
            <w:tcW w:w="987" w:type="dxa"/>
            <w:tcBorders>
              <w:top w:val="nil"/>
              <w:left w:val="nil"/>
              <w:bottom w:val="single" w:sz="4" w:space="0" w:color="auto"/>
              <w:right w:val="single" w:sz="4" w:space="0" w:color="auto"/>
            </w:tcBorders>
            <w:shd w:val="clear" w:color="auto" w:fill="auto"/>
            <w:hideMark/>
          </w:tcPr>
          <w:p w14:paraId="06DD83C0" w14:textId="77777777" w:rsidR="00C61E15" w:rsidRPr="00075237" w:rsidRDefault="00C61E15" w:rsidP="00C30F95">
            <w:pPr>
              <w:jc w:val="left"/>
              <w:rPr>
                <w:sz w:val="20"/>
                <w:szCs w:val="20"/>
              </w:rPr>
            </w:pPr>
            <w:r w:rsidRPr="00075237">
              <w:rPr>
                <w:sz w:val="20"/>
                <w:szCs w:val="20"/>
              </w:rPr>
              <w:t>Espagne</w:t>
            </w:r>
          </w:p>
        </w:tc>
      </w:tr>
      <w:tr w:rsidR="00C61E15" w:rsidRPr="00075237" w14:paraId="469D46C8" w14:textId="77777777" w:rsidTr="00C30F95">
        <w:trPr>
          <w:trHeight w:val="408"/>
        </w:trPr>
        <w:tc>
          <w:tcPr>
            <w:tcW w:w="1399" w:type="dxa"/>
            <w:tcBorders>
              <w:top w:val="nil"/>
              <w:left w:val="single" w:sz="4" w:space="0" w:color="auto"/>
              <w:bottom w:val="single" w:sz="4" w:space="0" w:color="auto"/>
              <w:right w:val="single" w:sz="4" w:space="0" w:color="auto"/>
            </w:tcBorders>
            <w:shd w:val="clear" w:color="auto" w:fill="auto"/>
            <w:hideMark/>
          </w:tcPr>
          <w:p w14:paraId="4CF00508" w14:textId="77777777" w:rsidR="00C61E15" w:rsidRPr="00075237" w:rsidRDefault="00C61E15" w:rsidP="00C30F95">
            <w:pPr>
              <w:jc w:val="left"/>
              <w:rPr>
                <w:sz w:val="20"/>
                <w:szCs w:val="20"/>
              </w:rPr>
            </w:pPr>
            <w:r w:rsidRPr="00075237">
              <w:rPr>
                <w:sz w:val="20"/>
                <w:szCs w:val="20"/>
              </w:rPr>
              <w:t>Mexique</w:t>
            </w:r>
          </w:p>
        </w:tc>
        <w:tc>
          <w:tcPr>
            <w:tcW w:w="2161" w:type="dxa"/>
            <w:tcBorders>
              <w:top w:val="nil"/>
              <w:left w:val="nil"/>
              <w:bottom w:val="single" w:sz="4" w:space="0" w:color="auto"/>
              <w:right w:val="single" w:sz="4" w:space="0" w:color="auto"/>
            </w:tcBorders>
            <w:shd w:val="clear" w:color="auto" w:fill="auto"/>
            <w:hideMark/>
          </w:tcPr>
          <w:p w14:paraId="2EFDF4D3" w14:textId="77777777" w:rsidR="00C61E15" w:rsidRPr="00075237" w:rsidRDefault="00C61E15" w:rsidP="00C30F95">
            <w:pPr>
              <w:jc w:val="left"/>
              <w:rPr>
                <w:sz w:val="20"/>
                <w:szCs w:val="20"/>
              </w:rPr>
            </w:pPr>
            <w:r w:rsidRPr="00075237">
              <w:rPr>
                <w:sz w:val="20"/>
                <w:szCs w:val="20"/>
              </w:rPr>
              <w:t>MEX/PHA/77/INV/185</w:t>
            </w:r>
          </w:p>
        </w:tc>
        <w:tc>
          <w:tcPr>
            <w:tcW w:w="5135" w:type="dxa"/>
            <w:tcBorders>
              <w:top w:val="nil"/>
              <w:left w:val="nil"/>
              <w:bottom w:val="single" w:sz="4" w:space="0" w:color="auto"/>
              <w:right w:val="single" w:sz="4" w:space="0" w:color="auto"/>
            </w:tcBorders>
            <w:shd w:val="clear" w:color="auto" w:fill="auto"/>
            <w:hideMark/>
          </w:tcPr>
          <w:p w14:paraId="5FA61239" w14:textId="77777777" w:rsidR="00C61E15" w:rsidRPr="00075237" w:rsidRDefault="00C61E15" w:rsidP="00C30F95">
            <w:pPr>
              <w:jc w:val="left"/>
              <w:rPr>
                <w:sz w:val="20"/>
                <w:szCs w:val="20"/>
              </w:rPr>
            </w:pPr>
            <w:r w:rsidRPr="00075237">
              <w:rPr>
                <w:sz w:val="20"/>
                <w:szCs w:val="20"/>
              </w:rPr>
              <w:t>Plan de gestion de l’élimination des HCFC (phase II, deuxième tranche) (secteur de l’entretien de l’équipement de réfrigération)</w:t>
            </w:r>
          </w:p>
        </w:tc>
        <w:tc>
          <w:tcPr>
            <w:tcW w:w="987" w:type="dxa"/>
            <w:tcBorders>
              <w:top w:val="nil"/>
              <w:left w:val="nil"/>
              <w:bottom w:val="single" w:sz="4" w:space="0" w:color="auto"/>
              <w:right w:val="single" w:sz="4" w:space="0" w:color="auto"/>
            </w:tcBorders>
            <w:shd w:val="clear" w:color="auto" w:fill="auto"/>
            <w:hideMark/>
          </w:tcPr>
          <w:p w14:paraId="0116112B" w14:textId="77777777" w:rsidR="00C61E15" w:rsidRPr="00075237" w:rsidRDefault="00C61E15" w:rsidP="00C30F95">
            <w:pPr>
              <w:jc w:val="left"/>
              <w:rPr>
                <w:sz w:val="20"/>
                <w:szCs w:val="20"/>
              </w:rPr>
            </w:pPr>
            <w:r w:rsidRPr="00075237">
              <w:rPr>
                <w:sz w:val="20"/>
                <w:szCs w:val="20"/>
              </w:rPr>
              <w:t>Espagne</w:t>
            </w:r>
          </w:p>
        </w:tc>
      </w:tr>
      <w:tr w:rsidR="00C61E15" w:rsidRPr="00075237" w14:paraId="2F93CA4D" w14:textId="77777777" w:rsidTr="00C30F95">
        <w:trPr>
          <w:trHeight w:val="358"/>
        </w:trPr>
        <w:tc>
          <w:tcPr>
            <w:tcW w:w="1399" w:type="dxa"/>
            <w:tcBorders>
              <w:top w:val="nil"/>
              <w:left w:val="single" w:sz="4" w:space="0" w:color="auto"/>
              <w:bottom w:val="single" w:sz="4" w:space="0" w:color="auto"/>
              <w:right w:val="single" w:sz="4" w:space="0" w:color="auto"/>
            </w:tcBorders>
            <w:shd w:val="clear" w:color="auto" w:fill="auto"/>
            <w:hideMark/>
          </w:tcPr>
          <w:p w14:paraId="1AB14E49" w14:textId="77777777" w:rsidR="00C61E15" w:rsidRPr="00075237" w:rsidRDefault="00C61E15" w:rsidP="00C30F95">
            <w:pPr>
              <w:jc w:val="left"/>
              <w:rPr>
                <w:sz w:val="20"/>
                <w:szCs w:val="20"/>
              </w:rPr>
            </w:pPr>
            <w:r w:rsidRPr="00075237">
              <w:rPr>
                <w:sz w:val="20"/>
                <w:szCs w:val="20"/>
              </w:rPr>
              <w:t>Mexique</w:t>
            </w:r>
          </w:p>
        </w:tc>
        <w:tc>
          <w:tcPr>
            <w:tcW w:w="2161" w:type="dxa"/>
            <w:tcBorders>
              <w:top w:val="nil"/>
              <w:left w:val="nil"/>
              <w:bottom w:val="single" w:sz="4" w:space="0" w:color="auto"/>
              <w:right w:val="single" w:sz="4" w:space="0" w:color="auto"/>
            </w:tcBorders>
            <w:shd w:val="clear" w:color="auto" w:fill="auto"/>
            <w:hideMark/>
          </w:tcPr>
          <w:p w14:paraId="1F150D7B" w14:textId="77777777" w:rsidR="00C61E15" w:rsidRPr="00075237" w:rsidRDefault="00C61E15" w:rsidP="00C30F95">
            <w:pPr>
              <w:jc w:val="left"/>
              <w:rPr>
                <w:sz w:val="20"/>
                <w:szCs w:val="20"/>
              </w:rPr>
            </w:pPr>
            <w:r w:rsidRPr="00075237">
              <w:rPr>
                <w:sz w:val="20"/>
                <w:szCs w:val="20"/>
              </w:rPr>
              <w:t>MEX/PHA/81/TAS/190</w:t>
            </w:r>
          </w:p>
        </w:tc>
        <w:tc>
          <w:tcPr>
            <w:tcW w:w="5135" w:type="dxa"/>
            <w:tcBorders>
              <w:top w:val="nil"/>
              <w:left w:val="nil"/>
              <w:bottom w:val="single" w:sz="4" w:space="0" w:color="auto"/>
              <w:right w:val="single" w:sz="4" w:space="0" w:color="auto"/>
            </w:tcBorders>
            <w:shd w:val="clear" w:color="auto" w:fill="auto"/>
            <w:hideMark/>
          </w:tcPr>
          <w:p w14:paraId="05B2DBB0" w14:textId="77777777" w:rsidR="00C61E15" w:rsidRPr="00075237" w:rsidRDefault="00C61E15" w:rsidP="00C30F95">
            <w:pPr>
              <w:jc w:val="left"/>
              <w:rPr>
                <w:sz w:val="20"/>
                <w:szCs w:val="20"/>
              </w:rPr>
            </w:pPr>
            <w:r w:rsidRPr="00075237">
              <w:rPr>
                <w:sz w:val="20"/>
                <w:szCs w:val="20"/>
              </w:rPr>
              <w:t>Plan de gestion de l’élimination des HCFC (phase II, troisième tranche) (secteur de l’entretien de l’équipement de réfrigération)</w:t>
            </w:r>
          </w:p>
        </w:tc>
        <w:tc>
          <w:tcPr>
            <w:tcW w:w="987" w:type="dxa"/>
            <w:tcBorders>
              <w:top w:val="nil"/>
              <w:left w:val="nil"/>
              <w:bottom w:val="single" w:sz="4" w:space="0" w:color="auto"/>
              <w:right w:val="single" w:sz="4" w:space="0" w:color="auto"/>
            </w:tcBorders>
            <w:shd w:val="clear" w:color="auto" w:fill="auto"/>
            <w:hideMark/>
          </w:tcPr>
          <w:p w14:paraId="39A2A4A9" w14:textId="77777777" w:rsidR="00C61E15" w:rsidRPr="00075237" w:rsidRDefault="00C61E15" w:rsidP="00C30F95">
            <w:pPr>
              <w:jc w:val="left"/>
              <w:rPr>
                <w:sz w:val="20"/>
                <w:szCs w:val="20"/>
              </w:rPr>
            </w:pPr>
            <w:r w:rsidRPr="00075237">
              <w:rPr>
                <w:sz w:val="20"/>
                <w:szCs w:val="20"/>
              </w:rPr>
              <w:t>Espagne</w:t>
            </w:r>
          </w:p>
        </w:tc>
      </w:tr>
      <w:tr w:rsidR="00C61E15" w:rsidRPr="00075237" w14:paraId="362B893B" w14:textId="77777777" w:rsidTr="00C30F95">
        <w:trPr>
          <w:trHeight w:val="322"/>
        </w:trPr>
        <w:tc>
          <w:tcPr>
            <w:tcW w:w="1399" w:type="dxa"/>
            <w:tcBorders>
              <w:top w:val="nil"/>
              <w:left w:val="single" w:sz="4" w:space="0" w:color="auto"/>
              <w:bottom w:val="single" w:sz="4" w:space="0" w:color="auto"/>
              <w:right w:val="single" w:sz="4" w:space="0" w:color="auto"/>
            </w:tcBorders>
            <w:shd w:val="clear" w:color="auto" w:fill="auto"/>
            <w:hideMark/>
          </w:tcPr>
          <w:p w14:paraId="53C4BCD2" w14:textId="77777777" w:rsidR="00C61E15" w:rsidRPr="00075237" w:rsidRDefault="00C61E15" w:rsidP="00C30F95">
            <w:pPr>
              <w:jc w:val="left"/>
              <w:rPr>
                <w:sz w:val="20"/>
                <w:szCs w:val="20"/>
              </w:rPr>
            </w:pPr>
            <w:r w:rsidRPr="00075237">
              <w:rPr>
                <w:sz w:val="20"/>
                <w:szCs w:val="20"/>
              </w:rPr>
              <w:t>Mozambique</w:t>
            </w:r>
          </w:p>
        </w:tc>
        <w:tc>
          <w:tcPr>
            <w:tcW w:w="2161" w:type="dxa"/>
            <w:tcBorders>
              <w:top w:val="nil"/>
              <w:left w:val="nil"/>
              <w:bottom w:val="single" w:sz="4" w:space="0" w:color="auto"/>
              <w:right w:val="single" w:sz="4" w:space="0" w:color="auto"/>
            </w:tcBorders>
            <w:shd w:val="clear" w:color="auto" w:fill="auto"/>
            <w:hideMark/>
          </w:tcPr>
          <w:p w14:paraId="3D8C9DC1" w14:textId="77777777" w:rsidR="00C61E15" w:rsidRPr="00075237" w:rsidRDefault="00C61E15" w:rsidP="00C30F95">
            <w:pPr>
              <w:jc w:val="left"/>
              <w:rPr>
                <w:sz w:val="20"/>
                <w:szCs w:val="20"/>
              </w:rPr>
            </w:pPr>
            <w:r w:rsidRPr="00075237">
              <w:rPr>
                <w:sz w:val="20"/>
                <w:szCs w:val="20"/>
              </w:rPr>
              <w:t>MOZ/PHA/83/INV/31</w:t>
            </w:r>
          </w:p>
        </w:tc>
        <w:tc>
          <w:tcPr>
            <w:tcW w:w="5135" w:type="dxa"/>
            <w:tcBorders>
              <w:top w:val="nil"/>
              <w:left w:val="nil"/>
              <w:bottom w:val="single" w:sz="4" w:space="0" w:color="auto"/>
              <w:right w:val="single" w:sz="4" w:space="0" w:color="auto"/>
            </w:tcBorders>
            <w:shd w:val="clear" w:color="auto" w:fill="auto"/>
            <w:hideMark/>
          </w:tcPr>
          <w:p w14:paraId="568CCA4E" w14:textId="77777777" w:rsidR="00C61E15" w:rsidRPr="00075237" w:rsidRDefault="00C61E15" w:rsidP="00C30F95">
            <w:pPr>
              <w:jc w:val="left"/>
              <w:rPr>
                <w:sz w:val="20"/>
                <w:szCs w:val="20"/>
              </w:rPr>
            </w:pPr>
            <w:r w:rsidRPr="00075237">
              <w:rPr>
                <w:sz w:val="20"/>
                <w:szCs w:val="20"/>
              </w:rPr>
              <w:t>Plan de gestion de l’élimination des HCFC (phase I, troisième et quatrième tranches)</w:t>
            </w:r>
          </w:p>
        </w:tc>
        <w:tc>
          <w:tcPr>
            <w:tcW w:w="987" w:type="dxa"/>
            <w:tcBorders>
              <w:top w:val="nil"/>
              <w:left w:val="nil"/>
              <w:bottom w:val="single" w:sz="4" w:space="0" w:color="auto"/>
              <w:right w:val="single" w:sz="4" w:space="0" w:color="auto"/>
            </w:tcBorders>
            <w:shd w:val="clear" w:color="auto" w:fill="auto"/>
            <w:hideMark/>
          </w:tcPr>
          <w:p w14:paraId="723A0054" w14:textId="77777777" w:rsidR="00C61E15" w:rsidRPr="00075237" w:rsidRDefault="00C61E15" w:rsidP="00C30F95">
            <w:pPr>
              <w:jc w:val="left"/>
              <w:rPr>
                <w:sz w:val="20"/>
                <w:szCs w:val="20"/>
              </w:rPr>
            </w:pPr>
            <w:r w:rsidRPr="00075237">
              <w:rPr>
                <w:sz w:val="20"/>
                <w:szCs w:val="20"/>
              </w:rPr>
              <w:t>ONUDI</w:t>
            </w:r>
          </w:p>
        </w:tc>
      </w:tr>
      <w:tr w:rsidR="00C61E15" w:rsidRPr="00075237" w14:paraId="4E2F698F" w14:textId="77777777" w:rsidTr="00C30F95">
        <w:trPr>
          <w:trHeight w:val="272"/>
        </w:trPr>
        <w:tc>
          <w:tcPr>
            <w:tcW w:w="1399" w:type="dxa"/>
            <w:tcBorders>
              <w:top w:val="nil"/>
              <w:left w:val="single" w:sz="4" w:space="0" w:color="auto"/>
              <w:bottom w:val="single" w:sz="4" w:space="0" w:color="auto"/>
              <w:right w:val="single" w:sz="4" w:space="0" w:color="auto"/>
            </w:tcBorders>
            <w:shd w:val="clear" w:color="auto" w:fill="auto"/>
            <w:hideMark/>
          </w:tcPr>
          <w:p w14:paraId="3F3C79DF" w14:textId="77777777" w:rsidR="00C61E15" w:rsidRPr="00075237" w:rsidRDefault="00C61E15" w:rsidP="00C30F95">
            <w:pPr>
              <w:jc w:val="left"/>
              <w:rPr>
                <w:sz w:val="20"/>
                <w:szCs w:val="20"/>
              </w:rPr>
            </w:pPr>
            <w:r w:rsidRPr="00075237">
              <w:rPr>
                <w:sz w:val="20"/>
                <w:szCs w:val="20"/>
              </w:rPr>
              <w:t>Pakistan</w:t>
            </w:r>
          </w:p>
        </w:tc>
        <w:tc>
          <w:tcPr>
            <w:tcW w:w="2161" w:type="dxa"/>
            <w:tcBorders>
              <w:top w:val="nil"/>
              <w:left w:val="nil"/>
              <w:bottom w:val="single" w:sz="4" w:space="0" w:color="auto"/>
              <w:right w:val="single" w:sz="4" w:space="0" w:color="auto"/>
            </w:tcBorders>
            <w:shd w:val="clear" w:color="auto" w:fill="auto"/>
            <w:hideMark/>
          </w:tcPr>
          <w:p w14:paraId="0E1C26E6" w14:textId="77777777" w:rsidR="00C61E15" w:rsidRPr="00075237" w:rsidRDefault="00C61E15" w:rsidP="00C30F95">
            <w:pPr>
              <w:jc w:val="left"/>
              <w:rPr>
                <w:sz w:val="20"/>
                <w:szCs w:val="20"/>
              </w:rPr>
            </w:pPr>
            <w:r w:rsidRPr="00075237">
              <w:rPr>
                <w:sz w:val="20"/>
                <w:szCs w:val="20"/>
              </w:rPr>
              <w:t>PAK/PHA/76/INV/94</w:t>
            </w:r>
          </w:p>
        </w:tc>
        <w:tc>
          <w:tcPr>
            <w:tcW w:w="5135" w:type="dxa"/>
            <w:tcBorders>
              <w:top w:val="nil"/>
              <w:left w:val="nil"/>
              <w:bottom w:val="single" w:sz="4" w:space="0" w:color="auto"/>
              <w:right w:val="single" w:sz="4" w:space="0" w:color="auto"/>
            </w:tcBorders>
            <w:shd w:val="clear" w:color="auto" w:fill="auto"/>
            <w:hideMark/>
          </w:tcPr>
          <w:p w14:paraId="690CF296" w14:textId="77777777" w:rsidR="00C61E15" w:rsidRPr="00075237" w:rsidRDefault="00C61E15" w:rsidP="00C30F95">
            <w:pPr>
              <w:jc w:val="left"/>
              <w:rPr>
                <w:sz w:val="20"/>
                <w:szCs w:val="20"/>
              </w:rPr>
            </w:pPr>
            <w:r w:rsidRPr="00075237">
              <w:rPr>
                <w:sz w:val="20"/>
                <w:szCs w:val="20"/>
              </w:rPr>
              <w:t>Plan de gestion de l’élimination des HCFC (phase II, première tranche) (secteur de la mousse de polyuréthane)</w:t>
            </w:r>
          </w:p>
        </w:tc>
        <w:tc>
          <w:tcPr>
            <w:tcW w:w="987" w:type="dxa"/>
            <w:tcBorders>
              <w:top w:val="nil"/>
              <w:left w:val="nil"/>
              <w:bottom w:val="single" w:sz="4" w:space="0" w:color="auto"/>
              <w:right w:val="single" w:sz="4" w:space="0" w:color="auto"/>
            </w:tcBorders>
            <w:shd w:val="clear" w:color="auto" w:fill="auto"/>
            <w:hideMark/>
          </w:tcPr>
          <w:p w14:paraId="30C344B4" w14:textId="77777777" w:rsidR="00C61E15" w:rsidRPr="00075237" w:rsidRDefault="00C61E15" w:rsidP="00C30F95">
            <w:pPr>
              <w:jc w:val="left"/>
              <w:rPr>
                <w:sz w:val="20"/>
                <w:szCs w:val="20"/>
              </w:rPr>
            </w:pPr>
            <w:r w:rsidRPr="00075237">
              <w:rPr>
                <w:sz w:val="20"/>
                <w:szCs w:val="20"/>
              </w:rPr>
              <w:t>ONUDI</w:t>
            </w:r>
          </w:p>
        </w:tc>
      </w:tr>
      <w:tr w:rsidR="00C61E15" w:rsidRPr="00075237" w14:paraId="0D95FBAE" w14:textId="77777777" w:rsidTr="00C30F95">
        <w:trPr>
          <w:trHeight w:val="378"/>
        </w:trPr>
        <w:tc>
          <w:tcPr>
            <w:tcW w:w="1399" w:type="dxa"/>
            <w:tcBorders>
              <w:top w:val="nil"/>
              <w:left w:val="single" w:sz="4" w:space="0" w:color="auto"/>
              <w:bottom w:val="single" w:sz="4" w:space="0" w:color="auto"/>
              <w:right w:val="single" w:sz="4" w:space="0" w:color="auto"/>
            </w:tcBorders>
            <w:shd w:val="clear" w:color="auto" w:fill="auto"/>
            <w:hideMark/>
          </w:tcPr>
          <w:p w14:paraId="0BF16752" w14:textId="77777777" w:rsidR="00C61E15" w:rsidRPr="00075237" w:rsidRDefault="00C61E15" w:rsidP="00C30F95">
            <w:pPr>
              <w:jc w:val="left"/>
              <w:rPr>
                <w:sz w:val="20"/>
                <w:szCs w:val="20"/>
              </w:rPr>
            </w:pPr>
            <w:r w:rsidRPr="00075237">
              <w:rPr>
                <w:sz w:val="20"/>
                <w:szCs w:val="20"/>
              </w:rPr>
              <w:t>Pakistan</w:t>
            </w:r>
          </w:p>
        </w:tc>
        <w:tc>
          <w:tcPr>
            <w:tcW w:w="2161" w:type="dxa"/>
            <w:tcBorders>
              <w:top w:val="nil"/>
              <w:left w:val="nil"/>
              <w:bottom w:val="single" w:sz="4" w:space="0" w:color="auto"/>
              <w:right w:val="single" w:sz="4" w:space="0" w:color="auto"/>
            </w:tcBorders>
            <w:shd w:val="clear" w:color="auto" w:fill="auto"/>
            <w:hideMark/>
          </w:tcPr>
          <w:p w14:paraId="47157C7F" w14:textId="77777777" w:rsidR="00C61E15" w:rsidRPr="00075237" w:rsidRDefault="00C61E15" w:rsidP="00C30F95">
            <w:pPr>
              <w:jc w:val="left"/>
              <w:rPr>
                <w:sz w:val="20"/>
                <w:szCs w:val="20"/>
              </w:rPr>
            </w:pPr>
            <w:r w:rsidRPr="00075237">
              <w:rPr>
                <w:sz w:val="20"/>
                <w:szCs w:val="20"/>
              </w:rPr>
              <w:t>PAK/PHA/83/INV/102</w:t>
            </w:r>
          </w:p>
        </w:tc>
        <w:tc>
          <w:tcPr>
            <w:tcW w:w="5135" w:type="dxa"/>
            <w:tcBorders>
              <w:top w:val="nil"/>
              <w:left w:val="nil"/>
              <w:bottom w:val="single" w:sz="4" w:space="0" w:color="auto"/>
              <w:right w:val="single" w:sz="4" w:space="0" w:color="auto"/>
            </w:tcBorders>
            <w:shd w:val="clear" w:color="auto" w:fill="auto"/>
            <w:hideMark/>
          </w:tcPr>
          <w:p w14:paraId="1E55E776" w14:textId="77777777" w:rsidR="00C61E15" w:rsidRPr="00075237" w:rsidRDefault="00C61E15" w:rsidP="00C30F95">
            <w:pPr>
              <w:jc w:val="left"/>
              <w:rPr>
                <w:sz w:val="20"/>
                <w:szCs w:val="20"/>
              </w:rPr>
            </w:pPr>
            <w:r w:rsidRPr="00075237">
              <w:rPr>
                <w:sz w:val="20"/>
                <w:szCs w:val="20"/>
              </w:rPr>
              <w:t>Plan de gestion de l’élimination des HCFC (phase II, deuxième tranche) (secteur de la mousse de polyuréthane)</w:t>
            </w:r>
          </w:p>
        </w:tc>
        <w:tc>
          <w:tcPr>
            <w:tcW w:w="987" w:type="dxa"/>
            <w:tcBorders>
              <w:top w:val="nil"/>
              <w:left w:val="nil"/>
              <w:bottom w:val="single" w:sz="4" w:space="0" w:color="auto"/>
              <w:right w:val="single" w:sz="4" w:space="0" w:color="auto"/>
            </w:tcBorders>
            <w:shd w:val="clear" w:color="auto" w:fill="auto"/>
            <w:hideMark/>
          </w:tcPr>
          <w:p w14:paraId="609D4CBE" w14:textId="77777777" w:rsidR="00C61E15" w:rsidRPr="00075237" w:rsidRDefault="00C61E15" w:rsidP="00C30F95">
            <w:pPr>
              <w:jc w:val="left"/>
              <w:rPr>
                <w:sz w:val="20"/>
                <w:szCs w:val="20"/>
              </w:rPr>
            </w:pPr>
            <w:r w:rsidRPr="00075237">
              <w:rPr>
                <w:sz w:val="20"/>
                <w:szCs w:val="20"/>
              </w:rPr>
              <w:t>ONUDI</w:t>
            </w:r>
          </w:p>
        </w:tc>
      </w:tr>
      <w:tr w:rsidR="00C61E15" w:rsidRPr="00075237" w14:paraId="6019149A" w14:textId="77777777" w:rsidTr="00C30F95">
        <w:trPr>
          <w:trHeight w:val="328"/>
        </w:trPr>
        <w:tc>
          <w:tcPr>
            <w:tcW w:w="1399" w:type="dxa"/>
            <w:tcBorders>
              <w:top w:val="nil"/>
              <w:left w:val="single" w:sz="4" w:space="0" w:color="auto"/>
              <w:bottom w:val="single" w:sz="4" w:space="0" w:color="auto"/>
              <w:right w:val="single" w:sz="4" w:space="0" w:color="auto"/>
            </w:tcBorders>
            <w:shd w:val="clear" w:color="auto" w:fill="auto"/>
            <w:hideMark/>
          </w:tcPr>
          <w:p w14:paraId="4DE4EFD7" w14:textId="77777777" w:rsidR="00C61E15" w:rsidRPr="00075237" w:rsidRDefault="00C61E15" w:rsidP="00C30F95">
            <w:pPr>
              <w:jc w:val="left"/>
              <w:rPr>
                <w:sz w:val="20"/>
                <w:szCs w:val="20"/>
              </w:rPr>
            </w:pPr>
            <w:r w:rsidRPr="00075237">
              <w:rPr>
                <w:sz w:val="20"/>
                <w:szCs w:val="20"/>
              </w:rPr>
              <w:t>Pakistan</w:t>
            </w:r>
          </w:p>
        </w:tc>
        <w:tc>
          <w:tcPr>
            <w:tcW w:w="2161" w:type="dxa"/>
            <w:tcBorders>
              <w:top w:val="nil"/>
              <w:left w:val="nil"/>
              <w:bottom w:val="single" w:sz="4" w:space="0" w:color="auto"/>
              <w:right w:val="single" w:sz="4" w:space="0" w:color="auto"/>
            </w:tcBorders>
            <w:shd w:val="clear" w:color="auto" w:fill="auto"/>
            <w:hideMark/>
          </w:tcPr>
          <w:p w14:paraId="62D1FCB2" w14:textId="77777777" w:rsidR="00C61E15" w:rsidRPr="00075237" w:rsidRDefault="00C61E15" w:rsidP="00C30F95">
            <w:pPr>
              <w:jc w:val="left"/>
              <w:rPr>
                <w:sz w:val="20"/>
                <w:szCs w:val="20"/>
              </w:rPr>
            </w:pPr>
            <w:r w:rsidRPr="00075237">
              <w:rPr>
                <w:sz w:val="20"/>
                <w:szCs w:val="20"/>
              </w:rPr>
              <w:t>PAK/PHA/83/TAS/100</w:t>
            </w:r>
          </w:p>
        </w:tc>
        <w:tc>
          <w:tcPr>
            <w:tcW w:w="5135" w:type="dxa"/>
            <w:tcBorders>
              <w:top w:val="nil"/>
              <w:left w:val="nil"/>
              <w:bottom w:val="single" w:sz="4" w:space="0" w:color="auto"/>
              <w:right w:val="single" w:sz="4" w:space="0" w:color="auto"/>
            </w:tcBorders>
            <w:shd w:val="clear" w:color="auto" w:fill="auto"/>
            <w:hideMark/>
          </w:tcPr>
          <w:p w14:paraId="2CD82097" w14:textId="77777777" w:rsidR="00C61E15" w:rsidRPr="00075237" w:rsidRDefault="00C61E15" w:rsidP="00C30F95">
            <w:pPr>
              <w:jc w:val="left"/>
              <w:rPr>
                <w:sz w:val="20"/>
                <w:szCs w:val="20"/>
              </w:rPr>
            </w:pPr>
            <w:r w:rsidRPr="00075237">
              <w:rPr>
                <w:sz w:val="20"/>
                <w:szCs w:val="20"/>
              </w:rPr>
              <w:t>Plan de gestion de l’élimination des HCFC (phase II, deuxième tranche) (unité de gestion de projet)</w:t>
            </w:r>
          </w:p>
        </w:tc>
        <w:tc>
          <w:tcPr>
            <w:tcW w:w="987" w:type="dxa"/>
            <w:tcBorders>
              <w:top w:val="nil"/>
              <w:left w:val="nil"/>
              <w:bottom w:val="single" w:sz="4" w:space="0" w:color="auto"/>
              <w:right w:val="single" w:sz="4" w:space="0" w:color="auto"/>
            </w:tcBorders>
            <w:shd w:val="clear" w:color="auto" w:fill="auto"/>
            <w:hideMark/>
          </w:tcPr>
          <w:p w14:paraId="7A671838" w14:textId="77777777" w:rsidR="00C61E15" w:rsidRPr="00075237" w:rsidRDefault="00C61E15" w:rsidP="00C30F95">
            <w:pPr>
              <w:jc w:val="left"/>
              <w:rPr>
                <w:sz w:val="20"/>
                <w:szCs w:val="20"/>
              </w:rPr>
            </w:pPr>
            <w:r w:rsidRPr="00075237">
              <w:rPr>
                <w:sz w:val="20"/>
                <w:szCs w:val="20"/>
              </w:rPr>
              <w:t>ONUDI</w:t>
            </w:r>
          </w:p>
        </w:tc>
      </w:tr>
    </w:tbl>
    <w:p w14:paraId="23ABD1AA" w14:textId="77777777" w:rsidR="00C61E15" w:rsidRPr="00075237" w:rsidRDefault="00C61E15" w:rsidP="004E7F9C">
      <w:pPr>
        <w:pStyle w:val="StyleHeader4Para4Left0Firstline0"/>
        <w:numPr>
          <w:ilvl w:val="0"/>
          <w:numId w:val="0"/>
        </w:numPr>
        <w:rPr>
          <w:sz w:val="22"/>
        </w:rPr>
        <w:sectPr w:rsidR="00C61E15" w:rsidRPr="00075237" w:rsidSect="00527F13">
          <w:headerReference w:type="default" r:id="rId17"/>
          <w:pgSz w:w="12240" w:h="15840" w:code="1"/>
          <w:pgMar w:top="720" w:right="1440" w:bottom="864" w:left="1440" w:header="720" w:footer="475" w:gutter="0"/>
          <w:pgNumType w:start="1"/>
          <w:cols w:space="720"/>
          <w:docGrid w:linePitch="299"/>
        </w:sectPr>
      </w:pPr>
    </w:p>
    <w:p w14:paraId="69B83058" w14:textId="36704FEC" w:rsidR="00BE62F2" w:rsidRPr="00075237" w:rsidRDefault="00BE62F2" w:rsidP="00BE62F2">
      <w:pPr>
        <w:jc w:val="center"/>
        <w:rPr>
          <w:b/>
        </w:rPr>
      </w:pPr>
      <w:r w:rsidRPr="00075237">
        <w:rPr>
          <w:b/>
        </w:rPr>
        <w:lastRenderedPageBreak/>
        <w:t>Annexe</w:t>
      </w:r>
      <w:r w:rsidR="000D19BB" w:rsidRPr="00075237">
        <w:rPr>
          <w:b/>
        </w:rPr>
        <w:t> </w:t>
      </w:r>
      <w:r w:rsidRPr="00075237">
        <w:rPr>
          <w:b/>
        </w:rPr>
        <w:t>II</w:t>
      </w:r>
    </w:p>
    <w:p w14:paraId="5A23905C" w14:textId="77777777" w:rsidR="00BE62F2" w:rsidRPr="00075237" w:rsidRDefault="00BE62F2" w:rsidP="00BE62F2">
      <w:pPr>
        <w:jc w:val="center"/>
        <w:rPr>
          <w:b/>
        </w:rPr>
      </w:pPr>
    </w:p>
    <w:p w14:paraId="216604F2" w14:textId="77777777" w:rsidR="00BE62F2" w:rsidRPr="00075237" w:rsidRDefault="00BE62F2" w:rsidP="00BE62F2">
      <w:pPr>
        <w:pStyle w:val="StyleHeader4Para4Left0Firstline0"/>
        <w:numPr>
          <w:ilvl w:val="0"/>
          <w:numId w:val="0"/>
        </w:numPr>
        <w:jc w:val="center"/>
        <w:rPr>
          <w:b/>
          <w:caps/>
          <w:sz w:val="22"/>
        </w:rPr>
      </w:pPr>
      <w:r w:rsidRPr="00075237">
        <w:rPr>
          <w:b/>
          <w:caps/>
          <w:sz w:val="22"/>
        </w:rPr>
        <w:t>PROJETS DANS LESQUELS « AUCUNE AVANCÉE » N’A ÉTÉ ACCOMPLIE et pour lesquels le maintien du suivi est recommandé</w:t>
      </w:r>
    </w:p>
    <w:tbl>
      <w:tblPr>
        <w:tblW w:w="9592" w:type="dxa"/>
        <w:tblInd w:w="-147" w:type="dxa"/>
        <w:tblLook w:val="04A0" w:firstRow="1" w:lastRow="0" w:firstColumn="1" w:lastColumn="0" w:noHBand="0" w:noVBand="1"/>
      </w:tblPr>
      <w:tblGrid>
        <w:gridCol w:w="1398"/>
        <w:gridCol w:w="2017"/>
        <w:gridCol w:w="5083"/>
        <w:gridCol w:w="1094"/>
      </w:tblGrid>
      <w:tr w:rsidR="00BE62F2" w:rsidRPr="00075237" w14:paraId="40330BF4" w14:textId="77777777" w:rsidTr="00C30F95">
        <w:trPr>
          <w:trHeight w:val="111"/>
        </w:trPr>
        <w:tc>
          <w:tcPr>
            <w:tcW w:w="1399" w:type="dxa"/>
            <w:tcBorders>
              <w:top w:val="single" w:sz="4" w:space="0" w:color="auto"/>
              <w:left w:val="single" w:sz="4" w:space="0" w:color="auto"/>
              <w:bottom w:val="single" w:sz="4" w:space="0" w:color="auto"/>
              <w:right w:val="single" w:sz="4" w:space="0" w:color="auto"/>
            </w:tcBorders>
            <w:shd w:val="clear" w:color="auto" w:fill="auto"/>
            <w:hideMark/>
          </w:tcPr>
          <w:p w14:paraId="61D8847D" w14:textId="77777777" w:rsidR="00BE62F2" w:rsidRPr="00075237" w:rsidRDefault="00BE62F2" w:rsidP="00C30F95">
            <w:pPr>
              <w:jc w:val="center"/>
              <w:rPr>
                <w:b/>
                <w:bCs/>
                <w:sz w:val="20"/>
                <w:szCs w:val="20"/>
              </w:rPr>
            </w:pPr>
            <w:r w:rsidRPr="00075237">
              <w:rPr>
                <w:b/>
                <w:bCs/>
                <w:sz w:val="20"/>
                <w:szCs w:val="20"/>
              </w:rPr>
              <w:t>Pays</w:t>
            </w:r>
          </w:p>
        </w:tc>
        <w:tc>
          <w:tcPr>
            <w:tcW w:w="2017" w:type="dxa"/>
            <w:tcBorders>
              <w:top w:val="single" w:sz="4" w:space="0" w:color="auto"/>
              <w:left w:val="nil"/>
              <w:bottom w:val="single" w:sz="4" w:space="0" w:color="auto"/>
              <w:right w:val="single" w:sz="4" w:space="0" w:color="auto"/>
            </w:tcBorders>
            <w:shd w:val="clear" w:color="auto" w:fill="auto"/>
            <w:hideMark/>
          </w:tcPr>
          <w:p w14:paraId="4A5FA1AD" w14:textId="77777777" w:rsidR="00BE62F2" w:rsidRPr="00075237" w:rsidRDefault="00BE62F2" w:rsidP="00C30F95">
            <w:pPr>
              <w:jc w:val="center"/>
              <w:rPr>
                <w:b/>
                <w:bCs/>
                <w:sz w:val="20"/>
                <w:szCs w:val="20"/>
              </w:rPr>
            </w:pPr>
            <w:r w:rsidRPr="00075237">
              <w:rPr>
                <w:b/>
                <w:bCs/>
                <w:sz w:val="20"/>
                <w:szCs w:val="20"/>
              </w:rPr>
              <w:t>Code</w:t>
            </w:r>
          </w:p>
        </w:tc>
        <w:tc>
          <w:tcPr>
            <w:tcW w:w="5096" w:type="dxa"/>
            <w:tcBorders>
              <w:top w:val="single" w:sz="4" w:space="0" w:color="auto"/>
              <w:left w:val="nil"/>
              <w:bottom w:val="single" w:sz="4" w:space="0" w:color="auto"/>
              <w:right w:val="single" w:sz="4" w:space="0" w:color="auto"/>
            </w:tcBorders>
            <w:shd w:val="clear" w:color="auto" w:fill="auto"/>
            <w:hideMark/>
          </w:tcPr>
          <w:p w14:paraId="51CA43C3" w14:textId="77777777" w:rsidR="00BE62F2" w:rsidRPr="00075237" w:rsidRDefault="00BE62F2" w:rsidP="00C30F95">
            <w:pPr>
              <w:jc w:val="center"/>
              <w:rPr>
                <w:b/>
                <w:bCs/>
                <w:sz w:val="20"/>
                <w:szCs w:val="20"/>
              </w:rPr>
            </w:pPr>
            <w:r w:rsidRPr="00075237">
              <w:rPr>
                <w:b/>
                <w:bCs/>
                <w:sz w:val="20"/>
                <w:szCs w:val="20"/>
              </w:rPr>
              <w:t>Titre du projet</w:t>
            </w:r>
          </w:p>
        </w:tc>
        <w:tc>
          <w:tcPr>
            <w:tcW w:w="1080" w:type="dxa"/>
            <w:tcBorders>
              <w:top w:val="single" w:sz="4" w:space="0" w:color="auto"/>
              <w:left w:val="nil"/>
              <w:bottom w:val="single" w:sz="4" w:space="0" w:color="auto"/>
              <w:right w:val="single" w:sz="4" w:space="0" w:color="auto"/>
            </w:tcBorders>
            <w:shd w:val="clear" w:color="auto" w:fill="auto"/>
            <w:hideMark/>
          </w:tcPr>
          <w:p w14:paraId="5796687B" w14:textId="77777777" w:rsidR="00BE62F2" w:rsidRPr="00075237" w:rsidRDefault="00BE62F2" w:rsidP="00C30F95">
            <w:pPr>
              <w:jc w:val="center"/>
              <w:rPr>
                <w:b/>
                <w:bCs/>
                <w:sz w:val="20"/>
                <w:szCs w:val="20"/>
              </w:rPr>
            </w:pPr>
            <w:r w:rsidRPr="00075237">
              <w:rPr>
                <w:b/>
                <w:bCs/>
                <w:sz w:val="20"/>
                <w:szCs w:val="20"/>
              </w:rPr>
              <w:t>Agence</w:t>
            </w:r>
          </w:p>
        </w:tc>
      </w:tr>
      <w:tr w:rsidR="00BE62F2" w:rsidRPr="00075237" w14:paraId="4F33F3EA" w14:textId="77777777" w:rsidTr="00C30F95">
        <w:trPr>
          <w:trHeight w:val="865"/>
        </w:trPr>
        <w:tc>
          <w:tcPr>
            <w:tcW w:w="1399" w:type="dxa"/>
            <w:tcBorders>
              <w:top w:val="nil"/>
              <w:left w:val="single" w:sz="4" w:space="0" w:color="auto"/>
              <w:bottom w:val="single" w:sz="4" w:space="0" w:color="auto"/>
              <w:right w:val="single" w:sz="4" w:space="0" w:color="auto"/>
            </w:tcBorders>
            <w:shd w:val="clear" w:color="auto" w:fill="auto"/>
            <w:hideMark/>
          </w:tcPr>
          <w:p w14:paraId="015E5E3F" w14:textId="77777777" w:rsidR="00BE62F2" w:rsidRPr="00075237" w:rsidRDefault="00BE62F2" w:rsidP="00C30F95">
            <w:pPr>
              <w:jc w:val="left"/>
              <w:rPr>
                <w:sz w:val="20"/>
                <w:szCs w:val="20"/>
              </w:rPr>
            </w:pPr>
            <w:r w:rsidRPr="00075237">
              <w:rPr>
                <w:sz w:val="20"/>
                <w:szCs w:val="20"/>
              </w:rPr>
              <w:t>Jordanie</w:t>
            </w:r>
          </w:p>
        </w:tc>
        <w:tc>
          <w:tcPr>
            <w:tcW w:w="2017" w:type="dxa"/>
            <w:tcBorders>
              <w:top w:val="nil"/>
              <w:left w:val="nil"/>
              <w:bottom w:val="single" w:sz="4" w:space="0" w:color="auto"/>
              <w:right w:val="single" w:sz="4" w:space="0" w:color="auto"/>
            </w:tcBorders>
            <w:shd w:val="clear" w:color="auto" w:fill="auto"/>
            <w:hideMark/>
          </w:tcPr>
          <w:p w14:paraId="1C5238C2" w14:textId="77777777" w:rsidR="00BE62F2" w:rsidRPr="00075237" w:rsidRDefault="00BE62F2" w:rsidP="00C30F95">
            <w:pPr>
              <w:jc w:val="left"/>
              <w:rPr>
                <w:sz w:val="20"/>
                <w:szCs w:val="20"/>
              </w:rPr>
            </w:pPr>
            <w:r w:rsidRPr="00075237">
              <w:rPr>
                <w:sz w:val="20"/>
                <w:szCs w:val="20"/>
              </w:rPr>
              <w:t>JOR/REF/81/INV/103</w:t>
            </w:r>
          </w:p>
        </w:tc>
        <w:tc>
          <w:tcPr>
            <w:tcW w:w="5096" w:type="dxa"/>
            <w:tcBorders>
              <w:top w:val="nil"/>
              <w:left w:val="nil"/>
              <w:bottom w:val="single" w:sz="4" w:space="0" w:color="auto"/>
              <w:right w:val="single" w:sz="4" w:space="0" w:color="auto"/>
            </w:tcBorders>
            <w:shd w:val="clear" w:color="auto" w:fill="auto"/>
            <w:hideMark/>
          </w:tcPr>
          <w:p w14:paraId="195821DA" w14:textId="77777777" w:rsidR="00BE62F2" w:rsidRPr="00075237" w:rsidRDefault="00BE62F2" w:rsidP="00C30F95">
            <w:pPr>
              <w:jc w:val="left"/>
              <w:rPr>
                <w:sz w:val="20"/>
                <w:szCs w:val="20"/>
              </w:rPr>
            </w:pPr>
            <w:r w:rsidRPr="00075237">
              <w:rPr>
                <w:sz w:val="20"/>
                <w:szCs w:val="20"/>
              </w:rPr>
              <w:t>Conversion de l’installation fabriquant de grands climatiseurs de toit monoblocs commerciaux pouvant atteindre 400 kW des HFC (R-134a, R407c, R-410a) vers le propane R-290 comme frigorigène chez Petra Engineering Industries Co.</w:t>
            </w:r>
          </w:p>
        </w:tc>
        <w:tc>
          <w:tcPr>
            <w:tcW w:w="1080" w:type="dxa"/>
            <w:tcBorders>
              <w:top w:val="nil"/>
              <w:left w:val="nil"/>
              <w:bottom w:val="single" w:sz="4" w:space="0" w:color="auto"/>
              <w:right w:val="single" w:sz="4" w:space="0" w:color="auto"/>
            </w:tcBorders>
            <w:shd w:val="clear" w:color="auto" w:fill="auto"/>
            <w:hideMark/>
          </w:tcPr>
          <w:p w14:paraId="65177016" w14:textId="77777777" w:rsidR="00BE62F2" w:rsidRPr="00075237" w:rsidRDefault="00BE62F2" w:rsidP="00C30F95">
            <w:pPr>
              <w:jc w:val="left"/>
              <w:rPr>
                <w:sz w:val="20"/>
                <w:szCs w:val="20"/>
              </w:rPr>
            </w:pPr>
            <w:r w:rsidRPr="00075237">
              <w:rPr>
                <w:sz w:val="20"/>
                <w:szCs w:val="20"/>
              </w:rPr>
              <w:t>ONUDI</w:t>
            </w:r>
          </w:p>
        </w:tc>
      </w:tr>
      <w:tr w:rsidR="00BE62F2" w:rsidRPr="00075237" w14:paraId="3CD9B1D1" w14:textId="77777777" w:rsidTr="00C30F95">
        <w:trPr>
          <w:trHeight w:val="71"/>
        </w:trPr>
        <w:tc>
          <w:tcPr>
            <w:tcW w:w="1399" w:type="dxa"/>
            <w:tcBorders>
              <w:top w:val="nil"/>
              <w:left w:val="single" w:sz="4" w:space="0" w:color="auto"/>
              <w:bottom w:val="single" w:sz="4" w:space="0" w:color="auto"/>
              <w:right w:val="single" w:sz="4" w:space="0" w:color="auto"/>
            </w:tcBorders>
            <w:shd w:val="clear" w:color="auto" w:fill="auto"/>
            <w:hideMark/>
          </w:tcPr>
          <w:p w14:paraId="17213A2B" w14:textId="77777777" w:rsidR="00BE62F2" w:rsidRPr="00075237" w:rsidRDefault="00BE62F2" w:rsidP="00C30F95">
            <w:pPr>
              <w:jc w:val="left"/>
              <w:rPr>
                <w:sz w:val="20"/>
                <w:szCs w:val="20"/>
              </w:rPr>
            </w:pPr>
            <w:r w:rsidRPr="00075237">
              <w:rPr>
                <w:sz w:val="20"/>
                <w:szCs w:val="20"/>
              </w:rPr>
              <w:t>Seychelles</w:t>
            </w:r>
          </w:p>
        </w:tc>
        <w:tc>
          <w:tcPr>
            <w:tcW w:w="2017" w:type="dxa"/>
            <w:tcBorders>
              <w:top w:val="nil"/>
              <w:left w:val="nil"/>
              <w:bottom w:val="single" w:sz="4" w:space="0" w:color="auto"/>
              <w:right w:val="single" w:sz="4" w:space="0" w:color="auto"/>
            </w:tcBorders>
            <w:shd w:val="clear" w:color="auto" w:fill="auto"/>
            <w:hideMark/>
          </w:tcPr>
          <w:p w14:paraId="70C13525" w14:textId="77777777" w:rsidR="00BE62F2" w:rsidRPr="00075237" w:rsidRDefault="00BE62F2" w:rsidP="00C30F95">
            <w:pPr>
              <w:jc w:val="left"/>
              <w:rPr>
                <w:sz w:val="20"/>
                <w:szCs w:val="20"/>
              </w:rPr>
            </w:pPr>
            <w:r w:rsidRPr="00075237">
              <w:rPr>
                <w:sz w:val="20"/>
                <w:szCs w:val="20"/>
              </w:rPr>
              <w:t>SEY/PHA/70/INV/19</w:t>
            </w:r>
          </w:p>
        </w:tc>
        <w:tc>
          <w:tcPr>
            <w:tcW w:w="5096" w:type="dxa"/>
            <w:tcBorders>
              <w:top w:val="nil"/>
              <w:left w:val="nil"/>
              <w:bottom w:val="single" w:sz="4" w:space="0" w:color="auto"/>
              <w:right w:val="single" w:sz="4" w:space="0" w:color="auto"/>
            </w:tcBorders>
            <w:shd w:val="clear" w:color="auto" w:fill="auto"/>
            <w:hideMark/>
          </w:tcPr>
          <w:p w14:paraId="3F20CF1E" w14:textId="77777777" w:rsidR="00BE62F2" w:rsidRPr="00075237" w:rsidRDefault="00BE62F2" w:rsidP="00C30F95">
            <w:pPr>
              <w:jc w:val="left"/>
              <w:rPr>
                <w:sz w:val="20"/>
                <w:szCs w:val="20"/>
              </w:rPr>
            </w:pPr>
            <w:r w:rsidRPr="00075237">
              <w:rPr>
                <w:sz w:val="20"/>
                <w:szCs w:val="20"/>
              </w:rPr>
              <w:t>Plan de gestion de l’élimination des HCFC (deuxième tranche)</w:t>
            </w:r>
          </w:p>
        </w:tc>
        <w:tc>
          <w:tcPr>
            <w:tcW w:w="1080" w:type="dxa"/>
            <w:tcBorders>
              <w:top w:val="nil"/>
              <w:left w:val="nil"/>
              <w:bottom w:val="single" w:sz="4" w:space="0" w:color="auto"/>
              <w:right w:val="single" w:sz="4" w:space="0" w:color="auto"/>
            </w:tcBorders>
            <w:shd w:val="clear" w:color="auto" w:fill="auto"/>
            <w:hideMark/>
          </w:tcPr>
          <w:p w14:paraId="68B68358" w14:textId="77777777" w:rsidR="00BE62F2" w:rsidRPr="00075237" w:rsidRDefault="00BE62F2" w:rsidP="00C30F95">
            <w:pPr>
              <w:jc w:val="left"/>
              <w:rPr>
                <w:sz w:val="20"/>
                <w:szCs w:val="20"/>
              </w:rPr>
            </w:pPr>
            <w:r w:rsidRPr="00075237">
              <w:rPr>
                <w:sz w:val="20"/>
                <w:szCs w:val="20"/>
              </w:rPr>
              <w:t>Allemagne</w:t>
            </w:r>
          </w:p>
        </w:tc>
      </w:tr>
      <w:tr w:rsidR="00BE62F2" w:rsidRPr="00075237" w14:paraId="134D2C68" w14:textId="77777777" w:rsidTr="00C30F95">
        <w:trPr>
          <w:trHeight w:val="258"/>
        </w:trPr>
        <w:tc>
          <w:tcPr>
            <w:tcW w:w="1399" w:type="dxa"/>
            <w:tcBorders>
              <w:top w:val="nil"/>
              <w:left w:val="single" w:sz="4" w:space="0" w:color="auto"/>
              <w:bottom w:val="single" w:sz="4" w:space="0" w:color="auto"/>
              <w:right w:val="single" w:sz="4" w:space="0" w:color="auto"/>
            </w:tcBorders>
            <w:shd w:val="clear" w:color="auto" w:fill="auto"/>
            <w:hideMark/>
          </w:tcPr>
          <w:p w14:paraId="06877985" w14:textId="77777777" w:rsidR="00BE62F2" w:rsidRPr="00075237" w:rsidRDefault="00BE62F2" w:rsidP="00C30F95">
            <w:pPr>
              <w:jc w:val="left"/>
              <w:rPr>
                <w:sz w:val="20"/>
                <w:szCs w:val="20"/>
              </w:rPr>
            </w:pPr>
            <w:r w:rsidRPr="00075237">
              <w:rPr>
                <w:sz w:val="20"/>
                <w:szCs w:val="20"/>
              </w:rPr>
              <w:t>Soudan (le)</w:t>
            </w:r>
          </w:p>
        </w:tc>
        <w:tc>
          <w:tcPr>
            <w:tcW w:w="2017" w:type="dxa"/>
            <w:tcBorders>
              <w:top w:val="nil"/>
              <w:left w:val="nil"/>
              <w:bottom w:val="single" w:sz="4" w:space="0" w:color="auto"/>
              <w:right w:val="single" w:sz="4" w:space="0" w:color="auto"/>
            </w:tcBorders>
            <w:shd w:val="clear" w:color="auto" w:fill="auto"/>
            <w:hideMark/>
          </w:tcPr>
          <w:p w14:paraId="164D8796" w14:textId="77777777" w:rsidR="00BE62F2" w:rsidRPr="00075237" w:rsidRDefault="00BE62F2" w:rsidP="00C30F95">
            <w:pPr>
              <w:jc w:val="left"/>
              <w:rPr>
                <w:sz w:val="20"/>
                <w:szCs w:val="20"/>
              </w:rPr>
            </w:pPr>
            <w:r w:rsidRPr="00075237">
              <w:rPr>
                <w:sz w:val="20"/>
                <w:szCs w:val="20"/>
              </w:rPr>
              <w:t>SUD/PHA/75/INV/38</w:t>
            </w:r>
          </w:p>
        </w:tc>
        <w:tc>
          <w:tcPr>
            <w:tcW w:w="5096" w:type="dxa"/>
            <w:tcBorders>
              <w:top w:val="nil"/>
              <w:left w:val="nil"/>
              <w:bottom w:val="single" w:sz="4" w:space="0" w:color="auto"/>
              <w:right w:val="single" w:sz="4" w:space="0" w:color="auto"/>
            </w:tcBorders>
            <w:shd w:val="clear" w:color="auto" w:fill="auto"/>
            <w:hideMark/>
          </w:tcPr>
          <w:p w14:paraId="375735AC" w14:textId="77777777" w:rsidR="00BE62F2" w:rsidRPr="00075237" w:rsidRDefault="00BE62F2" w:rsidP="00C30F95">
            <w:pPr>
              <w:jc w:val="left"/>
              <w:rPr>
                <w:sz w:val="20"/>
                <w:szCs w:val="20"/>
              </w:rPr>
            </w:pPr>
            <w:r w:rsidRPr="00075237">
              <w:rPr>
                <w:sz w:val="20"/>
                <w:szCs w:val="20"/>
              </w:rPr>
              <w:t>Plan de gestion de l’élimination des HCFC (phase II, première tranche) (secteur des mousses)</w:t>
            </w:r>
          </w:p>
        </w:tc>
        <w:tc>
          <w:tcPr>
            <w:tcW w:w="1080" w:type="dxa"/>
            <w:tcBorders>
              <w:top w:val="nil"/>
              <w:left w:val="nil"/>
              <w:bottom w:val="single" w:sz="4" w:space="0" w:color="auto"/>
              <w:right w:val="single" w:sz="4" w:space="0" w:color="auto"/>
            </w:tcBorders>
            <w:shd w:val="clear" w:color="auto" w:fill="auto"/>
            <w:hideMark/>
          </w:tcPr>
          <w:p w14:paraId="27B2D975" w14:textId="77777777" w:rsidR="00BE62F2" w:rsidRPr="00075237" w:rsidRDefault="00BE62F2" w:rsidP="00C30F95">
            <w:pPr>
              <w:jc w:val="left"/>
              <w:rPr>
                <w:sz w:val="20"/>
                <w:szCs w:val="20"/>
              </w:rPr>
            </w:pPr>
            <w:r w:rsidRPr="00075237">
              <w:rPr>
                <w:sz w:val="20"/>
                <w:szCs w:val="20"/>
              </w:rPr>
              <w:t>ONUDI</w:t>
            </w:r>
          </w:p>
        </w:tc>
      </w:tr>
    </w:tbl>
    <w:p w14:paraId="12AD4F86" w14:textId="77777777" w:rsidR="00BE62F2" w:rsidRPr="00075237" w:rsidRDefault="00BE62F2" w:rsidP="00BE62F2">
      <w:pPr>
        <w:pStyle w:val="StyleHeader4Para4Left0Firstline0"/>
        <w:numPr>
          <w:ilvl w:val="0"/>
          <w:numId w:val="0"/>
        </w:numPr>
        <w:jc w:val="center"/>
        <w:rPr>
          <w:b/>
          <w:caps/>
          <w:sz w:val="22"/>
        </w:rPr>
      </w:pPr>
    </w:p>
    <w:p w14:paraId="738E9262" w14:textId="77777777" w:rsidR="00BE62F2" w:rsidRPr="00075237" w:rsidRDefault="00BE62F2" w:rsidP="004E7F9C">
      <w:pPr>
        <w:pStyle w:val="StyleHeader4Para4Left0Firstline0"/>
        <w:numPr>
          <w:ilvl w:val="0"/>
          <w:numId w:val="0"/>
        </w:numPr>
        <w:rPr>
          <w:sz w:val="22"/>
        </w:rPr>
        <w:sectPr w:rsidR="00BE62F2" w:rsidRPr="00075237" w:rsidSect="00527F13">
          <w:headerReference w:type="default" r:id="rId18"/>
          <w:pgSz w:w="12240" w:h="15840" w:code="1"/>
          <w:pgMar w:top="720" w:right="1440" w:bottom="864" w:left="1440" w:header="720" w:footer="475" w:gutter="0"/>
          <w:pgNumType w:start="1"/>
          <w:cols w:space="720"/>
          <w:docGrid w:linePitch="299"/>
        </w:sectPr>
      </w:pPr>
    </w:p>
    <w:p w14:paraId="5905D82E" w14:textId="38C3278C" w:rsidR="00F84564" w:rsidRPr="00075237" w:rsidRDefault="00F84564" w:rsidP="00F84564">
      <w:pPr>
        <w:autoSpaceDE w:val="0"/>
        <w:autoSpaceDN w:val="0"/>
        <w:adjustRightInd w:val="0"/>
        <w:jc w:val="center"/>
        <w:rPr>
          <w:b/>
          <w:bCs/>
        </w:rPr>
      </w:pPr>
      <w:r w:rsidRPr="00075237">
        <w:rPr>
          <w:b/>
          <w:bCs/>
        </w:rPr>
        <w:lastRenderedPageBreak/>
        <w:t>Annexe</w:t>
      </w:r>
      <w:r w:rsidR="000D19BB" w:rsidRPr="00075237">
        <w:rPr>
          <w:b/>
          <w:bCs/>
        </w:rPr>
        <w:t> </w:t>
      </w:r>
      <w:r w:rsidRPr="00075237">
        <w:rPr>
          <w:b/>
          <w:bCs/>
        </w:rPr>
        <w:t>III</w:t>
      </w:r>
    </w:p>
    <w:p w14:paraId="50434FCD" w14:textId="77777777" w:rsidR="00F84564" w:rsidRPr="00075237" w:rsidRDefault="00F84564" w:rsidP="00F84564">
      <w:pPr>
        <w:autoSpaceDE w:val="0"/>
        <w:autoSpaceDN w:val="0"/>
        <w:adjustRightInd w:val="0"/>
        <w:rPr>
          <w:b/>
          <w:bCs/>
        </w:rPr>
      </w:pPr>
    </w:p>
    <w:p w14:paraId="41594550" w14:textId="77777777" w:rsidR="00F84564" w:rsidRPr="00075237" w:rsidRDefault="00F84564" w:rsidP="00F84564">
      <w:pPr>
        <w:keepNext/>
        <w:spacing w:after="240"/>
        <w:jc w:val="center"/>
        <w:rPr>
          <w:b/>
          <w:bCs/>
        </w:rPr>
      </w:pPr>
      <w:r w:rsidRPr="00075237">
        <w:rPr>
          <w:b/>
          <w:bCs/>
        </w:rPr>
        <w:t>PROJETS POUR LESQUELS DES RAPPORTS DE SITUATION SUPPLÉMENTAIRES ONT ÉTÉ DEMANDÉS</w:t>
      </w:r>
    </w:p>
    <w:tbl>
      <w:tblPr>
        <w:tblW w:w="14310" w:type="dxa"/>
        <w:tblInd w:w="-5" w:type="dxa"/>
        <w:tblLook w:val="04A0" w:firstRow="1" w:lastRow="0" w:firstColumn="1" w:lastColumn="0" w:noHBand="0" w:noVBand="1"/>
      </w:tblPr>
      <w:tblGrid>
        <w:gridCol w:w="1980"/>
        <w:gridCol w:w="2250"/>
        <w:gridCol w:w="3200"/>
        <w:gridCol w:w="1122"/>
        <w:gridCol w:w="5758"/>
      </w:tblGrid>
      <w:tr w:rsidR="00F84564" w:rsidRPr="00075237" w14:paraId="586BCD0F" w14:textId="77777777" w:rsidTr="00C30F95">
        <w:trPr>
          <w:trHeight w:val="262"/>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18C4DFBD" w14:textId="77777777" w:rsidR="00F84564" w:rsidRPr="00075237" w:rsidRDefault="00F84564" w:rsidP="00C30F95">
            <w:pPr>
              <w:jc w:val="center"/>
              <w:rPr>
                <w:b/>
                <w:bCs/>
                <w:sz w:val="20"/>
                <w:szCs w:val="20"/>
              </w:rPr>
            </w:pPr>
            <w:r w:rsidRPr="00075237">
              <w:rPr>
                <w:b/>
                <w:bCs/>
                <w:sz w:val="20"/>
                <w:szCs w:val="20"/>
              </w:rPr>
              <w:t>Pays</w:t>
            </w:r>
          </w:p>
        </w:tc>
        <w:tc>
          <w:tcPr>
            <w:tcW w:w="2250" w:type="dxa"/>
            <w:tcBorders>
              <w:top w:val="single" w:sz="4" w:space="0" w:color="auto"/>
              <w:left w:val="nil"/>
              <w:bottom w:val="single" w:sz="4" w:space="0" w:color="auto"/>
              <w:right w:val="single" w:sz="4" w:space="0" w:color="auto"/>
            </w:tcBorders>
            <w:shd w:val="clear" w:color="auto" w:fill="auto"/>
            <w:hideMark/>
          </w:tcPr>
          <w:p w14:paraId="53C808AF" w14:textId="77777777" w:rsidR="00F84564" w:rsidRPr="00075237" w:rsidRDefault="00F84564" w:rsidP="00C30F95">
            <w:pPr>
              <w:jc w:val="center"/>
              <w:rPr>
                <w:b/>
                <w:bCs/>
                <w:sz w:val="20"/>
                <w:szCs w:val="20"/>
              </w:rPr>
            </w:pPr>
            <w:r w:rsidRPr="00075237">
              <w:rPr>
                <w:b/>
                <w:bCs/>
                <w:sz w:val="20"/>
                <w:szCs w:val="20"/>
              </w:rPr>
              <w:t>Code</w:t>
            </w:r>
          </w:p>
        </w:tc>
        <w:tc>
          <w:tcPr>
            <w:tcW w:w="3200" w:type="dxa"/>
            <w:tcBorders>
              <w:top w:val="single" w:sz="4" w:space="0" w:color="auto"/>
              <w:left w:val="nil"/>
              <w:bottom w:val="single" w:sz="4" w:space="0" w:color="auto"/>
              <w:right w:val="single" w:sz="4" w:space="0" w:color="auto"/>
            </w:tcBorders>
            <w:shd w:val="clear" w:color="auto" w:fill="auto"/>
            <w:hideMark/>
          </w:tcPr>
          <w:p w14:paraId="3C02162A" w14:textId="77777777" w:rsidR="00F84564" w:rsidRPr="00075237" w:rsidRDefault="00F84564" w:rsidP="00C30F95">
            <w:pPr>
              <w:jc w:val="center"/>
              <w:rPr>
                <w:b/>
                <w:bCs/>
                <w:sz w:val="20"/>
                <w:szCs w:val="20"/>
              </w:rPr>
            </w:pPr>
            <w:r w:rsidRPr="00075237">
              <w:rPr>
                <w:b/>
                <w:bCs/>
                <w:sz w:val="20"/>
                <w:szCs w:val="20"/>
              </w:rPr>
              <w:t>Titre du projet</w:t>
            </w:r>
          </w:p>
        </w:tc>
        <w:tc>
          <w:tcPr>
            <w:tcW w:w="1122" w:type="dxa"/>
            <w:tcBorders>
              <w:top w:val="single" w:sz="4" w:space="0" w:color="auto"/>
              <w:left w:val="nil"/>
              <w:bottom w:val="single" w:sz="4" w:space="0" w:color="auto"/>
              <w:right w:val="single" w:sz="4" w:space="0" w:color="auto"/>
            </w:tcBorders>
            <w:shd w:val="clear" w:color="auto" w:fill="auto"/>
            <w:hideMark/>
          </w:tcPr>
          <w:p w14:paraId="37191503" w14:textId="77777777" w:rsidR="00F84564" w:rsidRPr="00075237" w:rsidRDefault="00F84564" w:rsidP="00C30F95">
            <w:pPr>
              <w:jc w:val="center"/>
              <w:rPr>
                <w:b/>
                <w:bCs/>
                <w:sz w:val="20"/>
                <w:szCs w:val="20"/>
              </w:rPr>
            </w:pPr>
            <w:r w:rsidRPr="00075237">
              <w:rPr>
                <w:b/>
                <w:bCs/>
                <w:sz w:val="20"/>
                <w:szCs w:val="20"/>
              </w:rPr>
              <w:t>Agence</w:t>
            </w:r>
          </w:p>
        </w:tc>
        <w:tc>
          <w:tcPr>
            <w:tcW w:w="5758" w:type="dxa"/>
            <w:tcBorders>
              <w:top w:val="single" w:sz="4" w:space="0" w:color="auto"/>
              <w:left w:val="nil"/>
              <w:bottom w:val="single" w:sz="4" w:space="0" w:color="auto"/>
              <w:right w:val="single" w:sz="4" w:space="0" w:color="auto"/>
            </w:tcBorders>
            <w:shd w:val="clear" w:color="auto" w:fill="auto"/>
            <w:hideMark/>
          </w:tcPr>
          <w:p w14:paraId="5847E011" w14:textId="77777777" w:rsidR="00F84564" w:rsidRPr="00075237" w:rsidRDefault="00F84564" w:rsidP="00C30F95">
            <w:pPr>
              <w:jc w:val="center"/>
              <w:rPr>
                <w:b/>
                <w:bCs/>
                <w:sz w:val="20"/>
                <w:szCs w:val="20"/>
              </w:rPr>
            </w:pPr>
            <w:r w:rsidRPr="00075237">
              <w:rPr>
                <w:b/>
                <w:bCs/>
                <w:sz w:val="20"/>
                <w:szCs w:val="20"/>
              </w:rPr>
              <w:t>Recommandation</w:t>
            </w:r>
          </w:p>
        </w:tc>
      </w:tr>
      <w:tr w:rsidR="00F84564" w:rsidRPr="00075237" w14:paraId="20EF2D28" w14:textId="77777777" w:rsidTr="00C30F95">
        <w:trPr>
          <w:trHeight w:val="561"/>
        </w:trPr>
        <w:tc>
          <w:tcPr>
            <w:tcW w:w="1980" w:type="dxa"/>
            <w:tcBorders>
              <w:top w:val="nil"/>
              <w:left w:val="single" w:sz="4" w:space="0" w:color="auto"/>
              <w:bottom w:val="single" w:sz="4" w:space="0" w:color="auto"/>
              <w:right w:val="single" w:sz="4" w:space="0" w:color="auto"/>
            </w:tcBorders>
            <w:shd w:val="clear" w:color="auto" w:fill="auto"/>
            <w:hideMark/>
          </w:tcPr>
          <w:p w14:paraId="3AA68CF8" w14:textId="77777777" w:rsidR="00F84564" w:rsidRPr="00075237" w:rsidRDefault="00F84564" w:rsidP="00C30F95">
            <w:pPr>
              <w:jc w:val="left"/>
              <w:rPr>
                <w:sz w:val="20"/>
                <w:szCs w:val="20"/>
              </w:rPr>
            </w:pPr>
            <w:r w:rsidRPr="00075237">
              <w:rPr>
                <w:sz w:val="20"/>
                <w:szCs w:val="20"/>
              </w:rPr>
              <w:t>Algérie</w:t>
            </w:r>
          </w:p>
        </w:tc>
        <w:tc>
          <w:tcPr>
            <w:tcW w:w="2250" w:type="dxa"/>
            <w:tcBorders>
              <w:top w:val="nil"/>
              <w:left w:val="nil"/>
              <w:bottom w:val="single" w:sz="4" w:space="0" w:color="auto"/>
              <w:right w:val="single" w:sz="4" w:space="0" w:color="auto"/>
            </w:tcBorders>
            <w:shd w:val="clear" w:color="auto" w:fill="auto"/>
            <w:hideMark/>
          </w:tcPr>
          <w:p w14:paraId="227ADBBD" w14:textId="77777777" w:rsidR="00F84564" w:rsidRPr="00075237" w:rsidRDefault="00F84564" w:rsidP="00C30F95">
            <w:pPr>
              <w:jc w:val="left"/>
              <w:rPr>
                <w:sz w:val="20"/>
                <w:szCs w:val="20"/>
              </w:rPr>
            </w:pPr>
            <w:r w:rsidRPr="00075237">
              <w:rPr>
                <w:sz w:val="20"/>
                <w:szCs w:val="20"/>
              </w:rPr>
              <w:t>ALG/SEV/90/INS/87</w:t>
            </w:r>
          </w:p>
        </w:tc>
        <w:tc>
          <w:tcPr>
            <w:tcW w:w="3200" w:type="dxa"/>
            <w:tcBorders>
              <w:top w:val="nil"/>
              <w:left w:val="nil"/>
              <w:bottom w:val="single" w:sz="4" w:space="0" w:color="auto"/>
              <w:right w:val="single" w:sz="4" w:space="0" w:color="auto"/>
            </w:tcBorders>
            <w:shd w:val="clear" w:color="auto" w:fill="auto"/>
            <w:hideMark/>
          </w:tcPr>
          <w:p w14:paraId="5E4CACBD" w14:textId="77777777" w:rsidR="00F84564" w:rsidRPr="00075237" w:rsidRDefault="00F84564" w:rsidP="00C30F95">
            <w:pPr>
              <w:jc w:val="left"/>
              <w:rPr>
                <w:sz w:val="20"/>
                <w:szCs w:val="20"/>
              </w:rPr>
            </w:pPr>
            <w:r w:rsidRPr="00075237">
              <w:rPr>
                <w:sz w:val="20"/>
                <w:szCs w:val="20"/>
              </w:rPr>
              <w:t>Prolongation du projet de renforcement institutionnel (phase VII : août 2022 – juin 2024)</w:t>
            </w:r>
          </w:p>
        </w:tc>
        <w:tc>
          <w:tcPr>
            <w:tcW w:w="1122" w:type="dxa"/>
            <w:tcBorders>
              <w:top w:val="nil"/>
              <w:left w:val="nil"/>
              <w:bottom w:val="single" w:sz="4" w:space="0" w:color="auto"/>
              <w:right w:val="single" w:sz="4" w:space="0" w:color="auto"/>
            </w:tcBorders>
            <w:shd w:val="clear" w:color="auto" w:fill="auto"/>
            <w:hideMark/>
          </w:tcPr>
          <w:p w14:paraId="3E8BA8A6" w14:textId="77777777" w:rsidR="00F84564" w:rsidRPr="00075237" w:rsidRDefault="00F84564" w:rsidP="00C30F95">
            <w:pPr>
              <w:jc w:val="left"/>
              <w:rPr>
                <w:sz w:val="20"/>
                <w:szCs w:val="20"/>
              </w:rPr>
            </w:pPr>
            <w:r w:rsidRPr="00075237">
              <w:rPr>
                <w:sz w:val="20"/>
                <w:szCs w:val="20"/>
              </w:rPr>
              <w:t>PNUE</w:t>
            </w:r>
          </w:p>
        </w:tc>
        <w:tc>
          <w:tcPr>
            <w:tcW w:w="5758" w:type="dxa"/>
            <w:tcBorders>
              <w:top w:val="nil"/>
              <w:left w:val="nil"/>
              <w:bottom w:val="single" w:sz="4" w:space="0" w:color="auto"/>
              <w:right w:val="single" w:sz="4" w:space="0" w:color="auto"/>
            </w:tcBorders>
            <w:shd w:val="clear" w:color="auto" w:fill="auto"/>
            <w:hideMark/>
          </w:tcPr>
          <w:p w14:paraId="0ED1C7EB" w14:textId="77777777" w:rsidR="00F84564" w:rsidRPr="00075237" w:rsidRDefault="00F84564" w:rsidP="00C30F95">
            <w:pPr>
              <w:jc w:val="left"/>
              <w:rPr>
                <w:sz w:val="20"/>
                <w:szCs w:val="20"/>
              </w:rPr>
            </w:pPr>
            <w:r w:rsidRPr="00075237">
              <w:rPr>
                <w:sz w:val="20"/>
                <w:szCs w:val="20"/>
              </w:rPr>
              <w:t>Demander au PNUE de présenter un rapport de situation à la 95</w:t>
            </w:r>
            <w:r w:rsidRPr="00075237">
              <w:rPr>
                <w:sz w:val="20"/>
                <w:szCs w:val="20"/>
                <w:vertAlign w:val="superscript"/>
              </w:rPr>
              <w:t>e</w:t>
            </w:r>
            <w:r w:rsidRPr="00075237">
              <w:rPr>
                <w:sz w:val="20"/>
                <w:szCs w:val="20"/>
              </w:rPr>
              <w:t> réunion sur les progrès de la mise en œuvre des activités</w:t>
            </w:r>
          </w:p>
        </w:tc>
      </w:tr>
      <w:tr w:rsidR="00F84564" w:rsidRPr="00075237" w14:paraId="5F486864" w14:textId="77777777" w:rsidTr="00C30F95">
        <w:trPr>
          <w:trHeight w:val="271"/>
        </w:trPr>
        <w:tc>
          <w:tcPr>
            <w:tcW w:w="1980" w:type="dxa"/>
            <w:tcBorders>
              <w:top w:val="nil"/>
              <w:left w:val="single" w:sz="4" w:space="0" w:color="auto"/>
              <w:bottom w:val="single" w:sz="4" w:space="0" w:color="auto"/>
              <w:right w:val="single" w:sz="4" w:space="0" w:color="auto"/>
            </w:tcBorders>
            <w:shd w:val="clear" w:color="auto" w:fill="auto"/>
            <w:hideMark/>
          </w:tcPr>
          <w:p w14:paraId="12A42682" w14:textId="77777777" w:rsidR="00F84564" w:rsidRPr="00075237" w:rsidRDefault="00F84564" w:rsidP="00C30F95">
            <w:pPr>
              <w:jc w:val="left"/>
              <w:rPr>
                <w:sz w:val="20"/>
                <w:szCs w:val="20"/>
              </w:rPr>
            </w:pPr>
            <w:r w:rsidRPr="00075237">
              <w:rPr>
                <w:sz w:val="20"/>
                <w:szCs w:val="20"/>
              </w:rPr>
              <w:t>Antigua-et-Barbuda</w:t>
            </w:r>
          </w:p>
        </w:tc>
        <w:tc>
          <w:tcPr>
            <w:tcW w:w="2250" w:type="dxa"/>
            <w:tcBorders>
              <w:top w:val="nil"/>
              <w:left w:val="nil"/>
              <w:bottom w:val="single" w:sz="4" w:space="0" w:color="auto"/>
              <w:right w:val="single" w:sz="4" w:space="0" w:color="auto"/>
            </w:tcBorders>
            <w:shd w:val="clear" w:color="auto" w:fill="auto"/>
            <w:hideMark/>
          </w:tcPr>
          <w:p w14:paraId="3E660DF0" w14:textId="77777777" w:rsidR="00F84564" w:rsidRPr="00075237" w:rsidRDefault="00F84564" w:rsidP="00C30F95">
            <w:pPr>
              <w:jc w:val="left"/>
              <w:rPr>
                <w:sz w:val="20"/>
                <w:szCs w:val="20"/>
              </w:rPr>
            </w:pPr>
            <w:r w:rsidRPr="00075237">
              <w:rPr>
                <w:sz w:val="20"/>
                <w:szCs w:val="20"/>
              </w:rPr>
              <w:t>ANT/PHA/73/PRP/17</w:t>
            </w:r>
          </w:p>
        </w:tc>
        <w:tc>
          <w:tcPr>
            <w:tcW w:w="3200" w:type="dxa"/>
            <w:tcBorders>
              <w:top w:val="nil"/>
              <w:left w:val="nil"/>
              <w:bottom w:val="single" w:sz="4" w:space="0" w:color="auto"/>
              <w:right w:val="single" w:sz="4" w:space="0" w:color="auto"/>
            </w:tcBorders>
            <w:shd w:val="clear" w:color="auto" w:fill="auto"/>
            <w:hideMark/>
          </w:tcPr>
          <w:p w14:paraId="6C317951" w14:textId="77777777" w:rsidR="00F84564" w:rsidRPr="00075237" w:rsidRDefault="00F84564" w:rsidP="00C30F95">
            <w:pPr>
              <w:jc w:val="left"/>
              <w:rPr>
                <w:sz w:val="20"/>
                <w:szCs w:val="20"/>
              </w:rPr>
            </w:pPr>
            <w:r w:rsidRPr="00075237">
              <w:rPr>
                <w:sz w:val="20"/>
                <w:szCs w:val="20"/>
              </w:rPr>
              <w:t>Préparation d’un plan de gestion de l’élimination des HCFC (phase II)</w:t>
            </w:r>
          </w:p>
        </w:tc>
        <w:tc>
          <w:tcPr>
            <w:tcW w:w="1122" w:type="dxa"/>
            <w:tcBorders>
              <w:top w:val="nil"/>
              <w:left w:val="nil"/>
              <w:bottom w:val="single" w:sz="4" w:space="0" w:color="auto"/>
              <w:right w:val="single" w:sz="4" w:space="0" w:color="auto"/>
            </w:tcBorders>
            <w:shd w:val="clear" w:color="auto" w:fill="auto"/>
            <w:hideMark/>
          </w:tcPr>
          <w:p w14:paraId="4107FD0E" w14:textId="77777777" w:rsidR="00F84564" w:rsidRPr="00075237" w:rsidRDefault="00F84564" w:rsidP="00C30F95">
            <w:pPr>
              <w:jc w:val="left"/>
              <w:rPr>
                <w:sz w:val="20"/>
                <w:szCs w:val="20"/>
              </w:rPr>
            </w:pPr>
            <w:r w:rsidRPr="00075237">
              <w:rPr>
                <w:sz w:val="20"/>
                <w:szCs w:val="20"/>
              </w:rPr>
              <w:t>PNUE</w:t>
            </w:r>
          </w:p>
        </w:tc>
        <w:tc>
          <w:tcPr>
            <w:tcW w:w="5758" w:type="dxa"/>
            <w:tcBorders>
              <w:top w:val="nil"/>
              <w:left w:val="nil"/>
              <w:bottom w:val="single" w:sz="4" w:space="0" w:color="auto"/>
              <w:right w:val="single" w:sz="4" w:space="0" w:color="auto"/>
            </w:tcBorders>
            <w:shd w:val="clear" w:color="auto" w:fill="auto"/>
            <w:hideMark/>
          </w:tcPr>
          <w:p w14:paraId="6A83D9D3" w14:textId="77777777" w:rsidR="00F84564" w:rsidRPr="00075237" w:rsidRDefault="00F84564" w:rsidP="00C30F95">
            <w:pPr>
              <w:jc w:val="left"/>
              <w:rPr>
                <w:sz w:val="20"/>
                <w:szCs w:val="20"/>
              </w:rPr>
            </w:pPr>
            <w:r w:rsidRPr="00075237">
              <w:rPr>
                <w:sz w:val="20"/>
                <w:szCs w:val="20"/>
              </w:rPr>
              <w:t>Demander au PNUE de présenter un rapport de situation à la 95</w:t>
            </w:r>
            <w:r w:rsidRPr="00075237">
              <w:rPr>
                <w:sz w:val="20"/>
                <w:szCs w:val="20"/>
                <w:vertAlign w:val="superscript"/>
              </w:rPr>
              <w:t>e</w:t>
            </w:r>
            <w:r w:rsidRPr="00075237">
              <w:rPr>
                <w:sz w:val="20"/>
                <w:szCs w:val="20"/>
              </w:rPr>
              <w:t> réunion sur les progrès dans la préparation de la phase II du PGEH</w:t>
            </w:r>
          </w:p>
        </w:tc>
      </w:tr>
      <w:tr w:rsidR="00F84564" w:rsidRPr="00075237" w14:paraId="6BAEDAE3" w14:textId="77777777" w:rsidTr="00C30F95">
        <w:trPr>
          <w:trHeight w:val="234"/>
        </w:trPr>
        <w:tc>
          <w:tcPr>
            <w:tcW w:w="1980" w:type="dxa"/>
            <w:tcBorders>
              <w:top w:val="nil"/>
              <w:left w:val="single" w:sz="4" w:space="0" w:color="auto"/>
              <w:bottom w:val="single" w:sz="4" w:space="0" w:color="auto"/>
              <w:right w:val="single" w:sz="4" w:space="0" w:color="auto"/>
            </w:tcBorders>
            <w:shd w:val="clear" w:color="auto" w:fill="auto"/>
            <w:hideMark/>
          </w:tcPr>
          <w:p w14:paraId="77D99E04" w14:textId="77777777" w:rsidR="00F84564" w:rsidRPr="00075237" w:rsidRDefault="00F84564" w:rsidP="00C30F95">
            <w:pPr>
              <w:jc w:val="left"/>
              <w:rPr>
                <w:sz w:val="20"/>
                <w:szCs w:val="20"/>
              </w:rPr>
            </w:pPr>
            <w:r w:rsidRPr="00075237">
              <w:rPr>
                <w:sz w:val="20"/>
                <w:szCs w:val="20"/>
              </w:rPr>
              <w:t>Namibie</w:t>
            </w:r>
          </w:p>
        </w:tc>
        <w:tc>
          <w:tcPr>
            <w:tcW w:w="2250" w:type="dxa"/>
            <w:tcBorders>
              <w:top w:val="nil"/>
              <w:left w:val="nil"/>
              <w:bottom w:val="single" w:sz="4" w:space="0" w:color="auto"/>
              <w:right w:val="single" w:sz="4" w:space="0" w:color="auto"/>
            </w:tcBorders>
            <w:shd w:val="clear" w:color="auto" w:fill="auto"/>
            <w:hideMark/>
          </w:tcPr>
          <w:p w14:paraId="728FE98C" w14:textId="77777777" w:rsidR="00F84564" w:rsidRPr="00075237" w:rsidRDefault="00F84564" w:rsidP="00C30F95">
            <w:pPr>
              <w:jc w:val="left"/>
              <w:rPr>
                <w:sz w:val="20"/>
                <w:szCs w:val="20"/>
              </w:rPr>
            </w:pPr>
            <w:r w:rsidRPr="00075237">
              <w:rPr>
                <w:sz w:val="20"/>
                <w:szCs w:val="20"/>
              </w:rPr>
              <w:t>NAM/PHA/79/INV/23</w:t>
            </w:r>
          </w:p>
        </w:tc>
        <w:tc>
          <w:tcPr>
            <w:tcW w:w="3200" w:type="dxa"/>
            <w:tcBorders>
              <w:top w:val="nil"/>
              <w:left w:val="nil"/>
              <w:bottom w:val="single" w:sz="4" w:space="0" w:color="auto"/>
              <w:right w:val="single" w:sz="4" w:space="0" w:color="auto"/>
            </w:tcBorders>
            <w:shd w:val="clear" w:color="auto" w:fill="auto"/>
            <w:hideMark/>
          </w:tcPr>
          <w:p w14:paraId="15FFA7DB" w14:textId="77777777" w:rsidR="00F84564" w:rsidRPr="00075237" w:rsidRDefault="00F84564" w:rsidP="00C30F95">
            <w:pPr>
              <w:jc w:val="left"/>
              <w:rPr>
                <w:sz w:val="20"/>
                <w:szCs w:val="20"/>
              </w:rPr>
            </w:pPr>
            <w:r w:rsidRPr="00075237">
              <w:rPr>
                <w:sz w:val="20"/>
                <w:szCs w:val="20"/>
              </w:rPr>
              <w:t>Plan de gestion de l’élimination des HCFC (troisième tranche)</w:t>
            </w:r>
          </w:p>
        </w:tc>
        <w:tc>
          <w:tcPr>
            <w:tcW w:w="1122" w:type="dxa"/>
            <w:tcBorders>
              <w:top w:val="nil"/>
              <w:left w:val="nil"/>
              <w:bottom w:val="single" w:sz="4" w:space="0" w:color="auto"/>
              <w:right w:val="single" w:sz="4" w:space="0" w:color="auto"/>
            </w:tcBorders>
            <w:shd w:val="clear" w:color="auto" w:fill="auto"/>
            <w:hideMark/>
          </w:tcPr>
          <w:p w14:paraId="0BD74A1D" w14:textId="77777777" w:rsidR="00F84564" w:rsidRPr="00075237" w:rsidRDefault="00F84564" w:rsidP="00C30F95">
            <w:pPr>
              <w:jc w:val="left"/>
              <w:rPr>
                <w:sz w:val="20"/>
                <w:szCs w:val="20"/>
              </w:rPr>
            </w:pPr>
            <w:r w:rsidRPr="00075237">
              <w:rPr>
                <w:sz w:val="20"/>
                <w:szCs w:val="20"/>
              </w:rPr>
              <w:t>Allemagne</w:t>
            </w:r>
          </w:p>
        </w:tc>
        <w:tc>
          <w:tcPr>
            <w:tcW w:w="5758" w:type="dxa"/>
            <w:tcBorders>
              <w:top w:val="nil"/>
              <w:left w:val="nil"/>
              <w:bottom w:val="single" w:sz="4" w:space="0" w:color="auto"/>
              <w:right w:val="single" w:sz="4" w:space="0" w:color="auto"/>
            </w:tcBorders>
            <w:shd w:val="clear" w:color="auto" w:fill="auto"/>
            <w:hideMark/>
          </w:tcPr>
          <w:p w14:paraId="5D42EDEF" w14:textId="77777777" w:rsidR="00F84564" w:rsidRPr="00075237" w:rsidRDefault="00F84564" w:rsidP="00C30F95">
            <w:pPr>
              <w:jc w:val="left"/>
              <w:rPr>
                <w:sz w:val="20"/>
                <w:szCs w:val="20"/>
              </w:rPr>
            </w:pPr>
            <w:r w:rsidRPr="00075237">
              <w:rPr>
                <w:sz w:val="20"/>
                <w:szCs w:val="20"/>
              </w:rPr>
              <w:t>Demander au gouvernement de l’Allemagne de présenter un rapport de situation à la 95</w:t>
            </w:r>
            <w:r w:rsidRPr="00075237">
              <w:rPr>
                <w:sz w:val="20"/>
                <w:szCs w:val="20"/>
                <w:vertAlign w:val="superscript"/>
              </w:rPr>
              <w:t>e</w:t>
            </w:r>
            <w:r w:rsidRPr="00075237">
              <w:rPr>
                <w:sz w:val="20"/>
                <w:szCs w:val="20"/>
              </w:rPr>
              <w:t> réunion sur les progrès de la mise en œuvre des activités</w:t>
            </w:r>
          </w:p>
        </w:tc>
      </w:tr>
      <w:tr w:rsidR="00F84564" w:rsidRPr="00075237" w14:paraId="5950F3BA" w14:textId="77777777" w:rsidTr="00C30F95">
        <w:trPr>
          <w:trHeight w:val="182"/>
        </w:trPr>
        <w:tc>
          <w:tcPr>
            <w:tcW w:w="1980" w:type="dxa"/>
            <w:tcBorders>
              <w:top w:val="nil"/>
              <w:left w:val="single" w:sz="4" w:space="0" w:color="auto"/>
              <w:bottom w:val="single" w:sz="4" w:space="0" w:color="auto"/>
              <w:right w:val="single" w:sz="4" w:space="0" w:color="auto"/>
            </w:tcBorders>
            <w:shd w:val="clear" w:color="auto" w:fill="auto"/>
            <w:hideMark/>
          </w:tcPr>
          <w:p w14:paraId="2E103A57" w14:textId="77777777" w:rsidR="00F84564" w:rsidRPr="00075237" w:rsidRDefault="00F84564" w:rsidP="00C30F95">
            <w:pPr>
              <w:jc w:val="left"/>
              <w:rPr>
                <w:sz w:val="20"/>
                <w:szCs w:val="20"/>
              </w:rPr>
            </w:pPr>
            <w:r w:rsidRPr="00075237">
              <w:rPr>
                <w:sz w:val="20"/>
                <w:szCs w:val="20"/>
              </w:rPr>
              <w:t xml:space="preserve">Sao Tomé-et-Principe </w:t>
            </w:r>
          </w:p>
        </w:tc>
        <w:tc>
          <w:tcPr>
            <w:tcW w:w="2250" w:type="dxa"/>
            <w:tcBorders>
              <w:top w:val="nil"/>
              <w:left w:val="nil"/>
              <w:bottom w:val="single" w:sz="4" w:space="0" w:color="auto"/>
              <w:right w:val="single" w:sz="4" w:space="0" w:color="auto"/>
            </w:tcBorders>
            <w:shd w:val="clear" w:color="auto" w:fill="auto"/>
            <w:hideMark/>
          </w:tcPr>
          <w:p w14:paraId="3F9AE975" w14:textId="77777777" w:rsidR="00F84564" w:rsidRPr="00075237" w:rsidRDefault="00F84564" w:rsidP="00C30F95">
            <w:pPr>
              <w:jc w:val="left"/>
              <w:rPr>
                <w:sz w:val="20"/>
                <w:szCs w:val="20"/>
              </w:rPr>
            </w:pPr>
            <w:r w:rsidRPr="00075237">
              <w:rPr>
                <w:sz w:val="20"/>
                <w:szCs w:val="20"/>
              </w:rPr>
              <w:t>STP/PHA/81/PRP/28</w:t>
            </w:r>
          </w:p>
        </w:tc>
        <w:tc>
          <w:tcPr>
            <w:tcW w:w="3200" w:type="dxa"/>
            <w:tcBorders>
              <w:top w:val="nil"/>
              <w:left w:val="nil"/>
              <w:bottom w:val="single" w:sz="4" w:space="0" w:color="auto"/>
              <w:right w:val="single" w:sz="4" w:space="0" w:color="auto"/>
            </w:tcBorders>
            <w:shd w:val="clear" w:color="auto" w:fill="auto"/>
            <w:hideMark/>
          </w:tcPr>
          <w:p w14:paraId="34FAFCC7" w14:textId="77777777" w:rsidR="00F84564" w:rsidRPr="00075237" w:rsidRDefault="00F84564" w:rsidP="00C30F95">
            <w:pPr>
              <w:jc w:val="left"/>
              <w:rPr>
                <w:sz w:val="20"/>
                <w:szCs w:val="20"/>
              </w:rPr>
            </w:pPr>
            <w:r w:rsidRPr="00075237">
              <w:rPr>
                <w:sz w:val="20"/>
                <w:szCs w:val="20"/>
              </w:rPr>
              <w:t>Préparation d’un plan de gestion de l’élimination des HCFC (phase II)</w:t>
            </w:r>
          </w:p>
        </w:tc>
        <w:tc>
          <w:tcPr>
            <w:tcW w:w="1122" w:type="dxa"/>
            <w:tcBorders>
              <w:top w:val="nil"/>
              <w:left w:val="nil"/>
              <w:bottom w:val="single" w:sz="4" w:space="0" w:color="auto"/>
              <w:right w:val="single" w:sz="4" w:space="0" w:color="auto"/>
            </w:tcBorders>
            <w:shd w:val="clear" w:color="auto" w:fill="auto"/>
            <w:hideMark/>
          </w:tcPr>
          <w:p w14:paraId="1BC03EE1" w14:textId="77777777" w:rsidR="00F84564" w:rsidRPr="00075237" w:rsidRDefault="00F84564" w:rsidP="00C30F95">
            <w:pPr>
              <w:jc w:val="left"/>
              <w:rPr>
                <w:sz w:val="20"/>
                <w:szCs w:val="20"/>
              </w:rPr>
            </w:pPr>
            <w:r w:rsidRPr="00075237">
              <w:rPr>
                <w:sz w:val="20"/>
                <w:szCs w:val="20"/>
              </w:rPr>
              <w:t>PNUE</w:t>
            </w:r>
          </w:p>
        </w:tc>
        <w:tc>
          <w:tcPr>
            <w:tcW w:w="5758" w:type="dxa"/>
            <w:tcBorders>
              <w:top w:val="nil"/>
              <w:left w:val="nil"/>
              <w:bottom w:val="single" w:sz="4" w:space="0" w:color="auto"/>
              <w:right w:val="single" w:sz="4" w:space="0" w:color="auto"/>
            </w:tcBorders>
            <w:shd w:val="clear" w:color="auto" w:fill="auto"/>
            <w:hideMark/>
          </w:tcPr>
          <w:p w14:paraId="3938F663" w14:textId="77777777" w:rsidR="00F84564" w:rsidRPr="00075237" w:rsidRDefault="00F84564" w:rsidP="00C30F95">
            <w:pPr>
              <w:jc w:val="left"/>
              <w:rPr>
                <w:sz w:val="20"/>
                <w:szCs w:val="20"/>
              </w:rPr>
            </w:pPr>
            <w:r w:rsidRPr="00075237">
              <w:rPr>
                <w:sz w:val="20"/>
                <w:szCs w:val="20"/>
              </w:rPr>
              <w:t>Demander au PNUE de présenter un rapport de situation à la 95</w:t>
            </w:r>
            <w:r w:rsidRPr="00075237">
              <w:rPr>
                <w:sz w:val="20"/>
                <w:szCs w:val="20"/>
                <w:vertAlign w:val="superscript"/>
              </w:rPr>
              <w:t>e</w:t>
            </w:r>
            <w:r w:rsidRPr="00075237">
              <w:rPr>
                <w:sz w:val="20"/>
                <w:szCs w:val="20"/>
              </w:rPr>
              <w:t> réunion sur les progrès dans la préparation de la phase II du PGEH</w:t>
            </w:r>
          </w:p>
        </w:tc>
      </w:tr>
      <w:tr w:rsidR="00F84564" w:rsidRPr="00075237" w14:paraId="43C86B7C" w14:textId="77777777" w:rsidTr="00C30F95">
        <w:trPr>
          <w:trHeight w:val="279"/>
        </w:trPr>
        <w:tc>
          <w:tcPr>
            <w:tcW w:w="1980" w:type="dxa"/>
            <w:tcBorders>
              <w:top w:val="nil"/>
              <w:left w:val="single" w:sz="4" w:space="0" w:color="auto"/>
              <w:bottom w:val="single" w:sz="4" w:space="0" w:color="auto"/>
              <w:right w:val="single" w:sz="4" w:space="0" w:color="auto"/>
            </w:tcBorders>
            <w:shd w:val="clear" w:color="auto" w:fill="auto"/>
            <w:hideMark/>
          </w:tcPr>
          <w:p w14:paraId="11A31684" w14:textId="77777777" w:rsidR="00F84564" w:rsidRPr="00075237" w:rsidRDefault="00F84564" w:rsidP="00C30F95">
            <w:pPr>
              <w:jc w:val="left"/>
              <w:rPr>
                <w:sz w:val="20"/>
                <w:szCs w:val="20"/>
              </w:rPr>
            </w:pPr>
            <w:r w:rsidRPr="00075237">
              <w:rPr>
                <w:sz w:val="20"/>
                <w:szCs w:val="20"/>
              </w:rPr>
              <w:t>Seychelles</w:t>
            </w:r>
          </w:p>
        </w:tc>
        <w:tc>
          <w:tcPr>
            <w:tcW w:w="2250" w:type="dxa"/>
            <w:tcBorders>
              <w:top w:val="nil"/>
              <w:left w:val="nil"/>
              <w:bottom w:val="single" w:sz="4" w:space="0" w:color="auto"/>
              <w:right w:val="single" w:sz="4" w:space="0" w:color="auto"/>
            </w:tcBorders>
            <w:shd w:val="clear" w:color="auto" w:fill="auto"/>
            <w:hideMark/>
          </w:tcPr>
          <w:p w14:paraId="38A387AA" w14:textId="77777777" w:rsidR="00F84564" w:rsidRPr="00075237" w:rsidRDefault="00F84564" w:rsidP="00C30F95">
            <w:pPr>
              <w:jc w:val="left"/>
              <w:rPr>
                <w:sz w:val="20"/>
                <w:szCs w:val="20"/>
              </w:rPr>
            </w:pPr>
            <w:r w:rsidRPr="00075237">
              <w:rPr>
                <w:sz w:val="20"/>
                <w:szCs w:val="20"/>
              </w:rPr>
              <w:t>SEY/PHA/75/INV/23</w:t>
            </w:r>
          </w:p>
        </w:tc>
        <w:tc>
          <w:tcPr>
            <w:tcW w:w="3200" w:type="dxa"/>
            <w:tcBorders>
              <w:top w:val="nil"/>
              <w:left w:val="nil"/>
              <w:bottom w:val="single" w:sz="4" w:space="0" w:color="auto"/>
              <w:right w:val="single" w:sz="4" w:space="0" w:color="auto"/>
            </w:tcBorders>
            <w:shd w:val="clear" w:color="auto" w:fill="auto"/>
            <w:hideMark/>
          </w:tcPr>
          <w:p w14:paraId="74986A0F" w14:textId="77777777" w:rsidR="00F84564" w:rsidRPr="00075237" w:rsidRDefault="00F84564" w:rsidP="00C30F95">
            <w:pPr>
              <w:jc w:val="left"/>
              <w:rPr>
                <w:sz w:val="20"/>
                <w:szCs w:val="20"/>
              </w:rPr>
            </w:pPr>
            <w:r w:rsidRPr="00075237">
              <w:rPr>
                <w:sz w:val="20"/>
                <w:szCs w:val="20"/>
              </w:rPr>
              <w:t>Plan de gestion de l’élimination des HCFC (troisième tranche)</w:t>
            </w:r>
          </w:p>
        </w:tc>
        <w:tc>
          <w:tcPr>
            <w:tcW w:w="1122" w:type="dxa"/>
            <w:tcBorders>
              <w:top w:val="nil"/>
              <w:left w:val="nil"/>
              <w:bottom w:val="single" w:sz="4" w:space="0" w:color="auto"/>
              <w:right w:val="single" w:sz="4" w:space="0" w:color="auto"/>
            </w:tcBorders>
            <w:shd w:val="clear" w:color="auto" w:fill="auto"/>
            <w:hideMark/>
          </w:tcPr>
          <w:p w14:paraId="1629B178" w14:textId="77777777" w:rsidR="00F84564" w:rsidRPr="00075237" w:rsidRDefault="00F84564" w:rsidP="00C30F95">
            <w:pPr>
              <w:jc w:val="left"/>
              <w:rPr>
                <w:sz w:val="20"/>
                <w:szCs w:val="20"/>
              </w:rPr>
            </w:pPr>
            <w:r w:rsidRPr="00075237">
              <w:rPr>
                <w:sz w:val="20"/>
                <w:szCs w:val="20"/>
              </w:rPr>
              <w:t>Allemagne</w:t>
            </w:r>
          </w:p>
        </w:tc>
        <w:tc>
          <w:tcPr>
            <w:tcW w:w="5758" w:type="dxa"/>
            <w:tcBorders>
              <w:top w:val="nil"/>
              <w:left w:val="nil"/>
              <w:bottom w:val="single" w:sz="4" w:space="0" w:color="auto"/>
              <w:right w:val="single" w:sz="4" w:space="0" w:color="auto"/>
            </w:tcBorders>
            <w:shd w:val="clear" w:color="auto" w:fill="auto"/>
            <w:hideMark/>
          </w:tcPr>
          <w:p w14:paraId="588A1159" w14:textId="77777777" w:rsidR="00F84564" w:rsidRPr="00075237" w:rsidRDefault="00F84564" w:rsidP="00C30F95">
            <w:pPr>
              <w:jc w:val="left"/>
              <w:rPr>
                <w:sz w:val="20"/>
                <w:szCs w:val="20"/>
              </w:rPr>
            </w:pPr>
            <w:r w:rsidRPr="00075237">
              <w:rPr>
                <w:sz w:val="20"/>
                <w:szCs w:val="20"/>
              </w:rPr>
              <w:t>Demander au gouvernement de l’Allemagne de présenter un rapport de situation à la 95</w:t>
            </w:r>
            <w:r w:rsidRPr="00075237">
              <w:rPr>
                <w:sz w:val="20"/>
                <w:szCs w:val="20"/>
                <w:vertAlign w:val="superscript"/>
              </w:rPr>
              <w:t>e</w:t>
            </w:r>
            <w:r w:rsidRPr="00075237">
              <w:rPr>
                <w:sz w:val="20"/>
                <w:szCs w:val="20"/>
              </w:rPr>
              <w:t> réunion sur les progrès de la mise en œuvre des activités</w:t>
            </w:r>
          </w:p>
        </w:tc>
      </w:tr>
      <w:tr w:rsidR="00F84564" w:rsidRPr="00075237" w14:paraId="626F560C" w14:textId="77777777" w:rsidTr="00C30F95">
        <w:trPr>
          <w:trHeight w:val="375"/>
        </w:trPr>
        <w:tc>
          <w:tcPr>
            <w:tcW w:w="1980" w:type="dxa"/>
            <w:tcBorders>
              <w:top w:val="nil"/>
              <w:left w:val="single" w:sz="4" w:space="0" w:color="auto"/>
              <w:bottom w:val="single" w:sz="4" w:space="0" w:color="auto"/>
              <w:right w:val="single" w:sz="4" w:space="0" w:color="auto"/>
            </w:tcBorders>
            <w:shd w:val="clear" w:color="auto" w:fill="auto"/>
            <w:hideMark/>
          </w:tcPr>
          <w:p w14:paraId="7AD039F4" w14:textId="77777777" w:rsidR="00F84564" w:rsidRPr="00075237" w:rsidRDefault="00F84564" w:rsidP="00C30F95">
            <w:pPr>
              <w:jc w:val="left"/>
              <w:rPr>
                <w:sz w:val="20"/>
                <w:szCs w:val="20"/>
              </w:rPr>
            </w:pPr>
            <w:r w:rsidRPr="00075237">
              <w:rPr>
                <w:sz w:val="20"/>
                <w:szCs w:val="20"/>
              </w:rPr>
              <w:t>Soudan du Sud</w:t>
            </w:r>
          </w:p>
        </w:tc>
        <w:tc>
          <w:tcPr>
            <w:tcW w:w="2250" w:type="dxa"/>
            <w:tcBorders>
              <w:top w:val="nil"/>
              <w:left w:val="nil"/>
              <w:bottom w:val="single" w:sz="4" w:space="0" w:color="auto"/>
              <w:right w:val="single" w:sz="4" w:space="0" w:color="auto"/>
            </w:tcBorders>
            <w:shd w:val="clear" w:color="auto" w:fill="auto"/>
            <w:hideMark/>
          </w:tcPr>
          <w:p w14:paraId="214C318A" w14:textId="77777777" w:rsidR="00F84564" w:rsidRPr="00075237" w:rsidRDefault="00F84564" w:rsidP="00C30F95">
            <w:pPr>
              <w:jc w:val="left"/>
              <w:rPr>
                <w:sz w:val="20"/>
                <w:szCs w:val="20"/>
              </w:rPr>
            </w:pPr>
            <w:r w:rsidRPr="00075237">
              <w:rPr>
                <w:sz w:val="20"/>
                <w:szCs w:val="20"/>
              </w:rPr>
              <w:t>SSD/SEV/76/INS/03</w:t>
            </w:r>
          </w:p>
        </w:tc>
        <w:tc>
          <w:tcPr>
            <w:tcW w:w="3200" w:type="dxa"/>
            <w:tcBorders>
              <w:top w:val="nil"/>
              <w:left w:val="nil"/>
              <w:bottom w:val="single" w:sz="4" w:space="0" w:color="auto"/>
              <w:right w:val="single" w:sz="4" w:space="0" w:color="auto"/>
            </w:tcBorders>
            <w:shd w:val="clear" w:color="auto" w:fill="auto"/>
            <w:hideMark/>
          </w:tcPr>
          <w:p w14:paraId="03154431" w14:textId="77777777" w:rsidR="00F84564" w:rsidRPr="00075237" w:rsidRDefault="00F84564" w:rsidP="00C30F95">
            <w:pPr>
              <w:jc w:val="left"/>
              <w:rPr>
                <w:sz w:val="20"/>
                <w:szCs w:val="20"/>
              </w:rPr>
            </w:pPr>
            <w:r w:rsidRPr="00075237">
              <w:rPr>
                <w:sz w:val="20"/>
                <w:szCs w:val="20"/>
              </w:rPr>
              <w:t>Projet de renforcement institutionnel (phase I : mai 2016 – avril 2018)</w:t>
            </w:r>
          </w:p>
        </w:tc>
        <w:tc>
          <w:tcPr>
            <w:tcW w:w="1122" w:type="dxa"/>
            <w:tcBorders>
              <w:top w:val="nil"/>
              <w:left w:val="nil"/>
              <w:bottom w:val="single" w:sz="4" w:space="0" w:color="auto"/>
              <w:right w:val="single" w:sz="4" w:space="0" w:color="auto"/>
            </w:tcBorders>
            <w:shd w:val="clear" w:color="auto" w:fill="auto"/>
            <w:hideMark/>
          </w:tcPr>
          <w:p w14:paraId="61E5C319" w14:textId="77777777" w:rsidR="00F84564" w:rsidRPr="00075237" w:rsidRDefault="00F84564" w:rsidP="00C30F95">
            <w:pPr>
              <w:jc w:val="left"/>
              <w:rPr>
                <w:sz w:val="20"/>
                <w:szCs w:val="20"/>
              </w:rPr>
            </w:pPr>
            <w:r w:rsidRPr="00075237">
              <w:rPr>
                <w:sz w:val="20"/>
                <w:szCs w:val="20"/>
              </w:rPr>
              <w:t>PNUE</w:t>
            </w:r>
          </w:p>
        </w:tc>
        <w:tc>
          <w:tcPr>
            <w:tcW w:w="5758" w:type="dxa"/>
            <w:tcBorders>
              <w:top w:val="nil"/>
              <w:left w:val="nil"/>
              <w:bottom w:val="single" w:sz="4" w:space="0" w:color="auto"/>
              <w:right w:val="single" w:sz="4" w:space="0" w:color="auto"/>
            </w:tcBorders>
            <w:shd w:val="clear" w:color="auto" w:fill="auto"/>
            <w:hideMark/>
          </w:tcPr>
          <w:p w14:paraId="467A71DF" w14:textId="77777777" w:rsidR="00F84564" w:rsidRPr="00075237" w:rsidRDefault="00F84564" w:rsidP="00C30F95">
            <w:pPr>
              <w:jc w:val="left"/>
              <w:rPr>
                <w:sz w:val="20"/>
                <w:szCs w:val="20"/>
              </w:rPr>
            </w:pPr>
            <w:r w:rsidRPr="00075237">
              <w:rPr>
                <w:sz w:val="20"/>
                <w:szCs w:val="20"/>
              </w:rPr>
              <w:t>Demander au PNUE de présenter un rapport de situation à la 95</w:t>
            </w:r>
            <w:r w:rsidRPr="00075237">
              <w:rPr>
                <w:sz w:val="20"/>
                <w:szCs w:val="20"/>
                <w:vertAlign w:val="superscript"/>
              </w:rPr>
              <w:t>e</w:t>
            </w:r>
            <w:r w:rsidRPr="00075237">
              <w:rPr>
                <w:sz w:val="20"/>
                <w:szCs w:val="20"/>
              </w:rPr>
              <w:t> réunion sur les progrès de la mise en œuvre des activités</w:t>
            </w:r>
          </w:p>
        </w:tc>
      </w:tr>
      <w:tr w:rsidR="00F84564" w:rsidRPr="00075237" w14:paraId="65FF2F2F" w14:textId="77777777" w:rsidTr="00C30F95">
        <w:trPr>
          <w:trHeight w:val="337"/>
        </w:trPr>
        <w:tc>
          <w:tcPr>
            <w:tcW w:w="1980" w:type="dxa"/>
            <w:tcBorders>
              <w:top w:val="nil"/>
              <w:left w:val="single" w:sz="4" w:space="0" w:color="auto"/>
              <w:bottom w:val="single" w:sz="4" w:space="0" w:color="auto"/>
              <w:right w:val="single" w:sz="4" w:space="0" w:color="auto"/>
            </w:tcBorders>
            <w:shd w:val="clear" w:color="auto" w:fill="auto"/>
            <w:hideMark/>
          </w:tcPr>
          <w:p w14:paraId="6444E29F" w14:textId="77777777" w:rsidR="00F84564" w:rsidRPr="00075237" w:rsidRDefault="00F84564" w:rsidP="00C30F95">
            <w:pPr>
              <w:jc w:val="left"/>
              <w:rPr>
                <w:sz w:val="20"/>
                <w:szCs w:val="20"/>
              </w:rPr>
            </w:pPr>
            <w:r w:rsidRPr="00075237">
              <w:rPr>
                <w:sz w:val="20"/>
                <w:szCs w:val="20"/>
              </w:rPr>
              <w:t>Soudan (le)</w:t>
            </w:r>
          </w:p>
        </w:tc>
        <w:tc>
          <w:tcPr>
            <w:tcW w:w="2250" w:type="dxa"/>
            <w:tcBorders>
              <w:top w:val="nil"/>
              <w:left w:val="nil"/>
              <w:bottom w:val="single" w:sz="4" w:space="0" w:color="auto"/>
              <w:right w:val="single" w:sz="4" w:space="0" w:color="auto"/>
            </w:tcBorders>
            <w:shd w:val="clear" w:color="auto" w:fill="auto"/>
            <w:hideMark/>
          </w:tcPr>
          <w:p w14:paraId="41B6ECEA" w14:textId="77777777" w:rsidR="00F84564" w:rsidRPr="00075237" w:rsidRDefault="00F84564" w:rsidP="00C30F95">
            <w:pPr>
              <w:jc w:val="left"/>
              <w:rPr>
                <w:sz w:val="20"/>
                <w:szCs w:val="20"/>
              </w:rPr>
            </w:pPr>
            <w:r w:rsidRPr="00075237">
              <w:rPr>
                <w:sz w:val="20"/>
                <w:szCs w:val="20"/>
              </w:rPr>
              <w:t>SUD/PHA/88/INV/48</w:t>
            </w:r>
          </w:p>
        </w:tc>
        <w:tc>
          <w:tcPr>
            <w:tcW w:w="3200" w:type="dxa"/>
            <w:tcBorders>
              <w:top w:val="nil"/>
              <w:left w:val="nil"/>
              <w:bottom w:val="single" w:sz="4" w:space="0" w:color="auto"/>
              <w:right w:val="single" w:sz="4" w:space="0" w:color="auto"/>
            </w:tcBorders>
            <w:shd w:val="clear" w:color="auto" w:fill="auto"/>
            <w:hideMark/>
          </w:tcPr>
          <w:p w14:paraId="21ABB037" w14:textId="77777777" w:rsidR="00F84564" w:rsidRPr="00075237" w:rsidRDefault="00F84564" w:rsidP="00C30F95">
            <w:pPr>
              <w:jc w:val="left"/>
              <w:rPr>
                <w:sz w:val="20"/>
                <w:szCs w:val="20"/>
              </w:rPr>
            </w:pPr>
            <w:r w:rsidRPr="00075237">
              <w:rPr>
                <w:sz w:val="20"/>
                <w:szCs w:val="20"/>
              </w:rPr>
              <w:t>Plan de gestion de l’élimination des HCFC (phase III, première tranche)</w:t>
            </w:r>
          </w:p>
        </w:tc>
        <w:tc>
          <w:tcPr>
            <w:tcW w:w="1122" w:type="dxa"/>
            <w:tcBorders>
              <w:top w:val="nil"/>
              <w:left w:val="nil"/>
              <w:bottom w:val="single" w:sz="4" w:space="0" w:color="auto"/>
              <w:right w:val="single" w:sz="4" w:space="0" w:color="auto"/>
            </w:tcBorders>
            <w:shd w:val="clear" w:color="auto" w:fill="auto"/>
            <w:hideMark/>
          </w:tcPr>
          <w:p w14:paraId="5293F456" w14:textId="77777777" w:rsidR="00F84564" w:rsidRPr="00075237" w:rsidRDefault="00F84564" w:rsidP="00C30F95">
            <w:pPr>
              <w:jc w:val="left"/>
              <w:rPr>
                <w:sz w:val="20"/>
                <w:szCs w:val="20"/>
              </w:rPr>
            </w:pPr>
            <w:r w:rsidRPr="00075237">
              <w:rPr>
                <w:sz w:val="20"/>
                <w:szCs w:val="20"/>
              </w:rPr>
              <w:t>ONUDI</w:t>
            </w:r>
          </w:p>
        </w:tc>
        <w:tc>
          <w:tcPr>
            <w:tcW w:w="5758" w:type="dxa"/>
            <w:tcBorders>
              <w:top w:val="nil"/>
              <w:left w:val="nil"/>
              <w:bottom w:val="single" w:sz="4" w:space="0" w:color="auto"/>
              <w:right w:val="single" w:sz="4" w:space="0" w:color="auto"/>
            </w:tcBorders>
            <w:shd w:val="clear" w:color="auto" w:fill="auto"/>
            <w:hideMark/>
          </w:tcPr>
          <w:p w14:paraId="11117697" w14:textId="462B773F" w:rsidR="00F84564" w:rsidRPr="00075237" w:rsidRDefault="00F84564" w:rsidP="00C30F95">
            <w:pPr>
              <w:jc w:val="left"/>
              <w:rPr>
                <w:sz w:val="20"/>
                <w:szCs w:val="20"/>
              </w:rPr>
            </w:pPr>
            <w:r w:rsidRPr="00075237">
              <w:rPr>
                <w:sz w:val="20"/>
                <w:szCs w:val="20"/>
              </w:rPr>
              <w:t>Demander l’ONUDI de présenter un rapport de situation à la 95</w:t>
            </w:r>
            <w:r w:rsidRPr="00075237">
              <w:rPr>
                <w:sz w:val="20"/>
                <w:szCs w:val="20"/>
                <w:vertAlign w:val="superscript"/>
              </w:rPr>
              <w:t>e</w:t>
            </w:r>
            <w:r w:rsidRPr="00075237">
              <w:rPr>
                <w:sz w:val="20"/>
                <w:szCs w:val="20"/>
              </w:rPr>
              <w:t> réunion sur les progrès de la mise en œuvre des activités</w:t>
            </w:r>
          </w:p>
        </w:tc>
      </w:tr>
    </w:tbl>
    <w:p w14:paraId="56F0843E" w14:textId="77777777" w:rsidR="00E85409" w:rsidRPr="00075237" w:rsidRDefault="00E85409" w:rsidP="004E7F9C"/>
    <w:p w14:paraId="08526B41" w14:textId="77777777" w:rsidR="00115751" w:rsidRPr="00075237" w:rsidRDefault="00115751"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50"/>
        <w:gridCol w:w="2850"/>
        <w:gridCol w:w="2850"/>
      </w:tblGrid>
      <w:tr w:rsidR="00115751" w:rsidRPr="00075237" w14:paraId="06A4DC0B" w14:textId="77777777" w:rsidTr="002A641D">
        <w:tc>
          <w:tcPr>
            <w:tcW w:w="2849" w:type="dxa"/>
          </w:tcPr>
          <w:p w14:paraId="4B07C3BD" w14:textId="77777777" w:rsidR="00115751" w:rsidRPr="00075237" w:rsidRDefault="00115751" w:rsidP="004E7F9C"/>
        </w:tc>
        <w:tc>
          <w:tcPr>
            <w:tcW w:w="2849" w:type="dxa"/>
          </w:tcPr>
          <w:p w14:paraId="03ED182F" w14:textId="77777777" w:rsidR="00115751" w:rsidRPr="00075237" w:rsidRDefault="00115751" w:rsidP="004E7F9C"/>
        </w:tc>
        <w:tc>
          <w:tcPr>
            <w:tcW w:w="2850" w:type="dxa"/>
            <w:tcBorders>
              <w:bottom w:val="single" w:sz="4" w:space="0" w:color="auto"/>
            </w:tcBorders>
          </w:tcPr>
          <w:p w14:paraId="39C5737B" w14:textId="77777777" w:rsidR="00115751" w:rsidRPr="00075237" w:rsidRDefault="00115751" w:rsidP="004E7F9C">
            <w:pPr>
              <w:rPr>
                <w:u w:val="single"/>
              </w:rPr>
            </w:pPr>
          </w:p>
        </w:tc>
        <w:tc>
          <w:tcPr>
            <w:tcW w:w="2850" w:type="dxa"/>
          </w:tcPr>
          <w:p w14:paraId="66EBF632" w14:textId="77777777" w:rsidR="00115751" w:rsidRPr="00075237" w:rsidRDefault="00115751" w:rsidP="004E7F9C"/>
        </w:tc>
        <w:tc>
          <w:tcPr>
            <w:tcW w:w="2850" w:type="dxa"/>
          </w:tcPr>
          <w:p w14:paraId="0550C511" w14:textId="77777777" w:rsidR="00115751" w:rsidRPr="00075237" w:rsidRDefault="00115751" w:rsidP="004E7F9C"/>
        </w:tc>
      </w:tr>
    </w:tbl>
    <w:p w14:paraId="0DD2E4F4" w14:textId="77777777" w:rsidR="00115751" w:rsidRPr="00075237" w:rsidRDefault="00115751" w:rsidP="004E7F9C"/>
    <w:sectPr w:rsidR="00115751" w:rsidRPr="00075237" w:rsidSect="00527F13">
      <w:headerReference w:type="default" r:id="rId19"/>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97511B" w14:textId="77777777" w:rsidR="000E1065" w:rsidRDefault="000E1065" w:rsidP="004A504B">
      <w:r>
        <w:separator/>
      </w:r>
    </w:p>
  </w:endnote>
  <w:endnote w:type="continuationSeparator" w:id="0">
    <w:p w14:paraId="5004FA6D" w14:textId="77777777" w:rsidR="000E1065" w:rsidRDefault="000E10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C311B" w14:textId="54787278" w:rsidR="00115751" w:rsidRDefault="00115751" w:rsidP="002A641D">
    <w:pPr>
      <w:jc w:val="center"/>
    </w:pPr>
    <w:r>
      <w:fldChar w:fldCharType="begin"/>
    </w:r>
    <w:r>
      <w:instrText xml:space="preserve"> PAGE </w:instrText>
    </w:r>
    <w:r>
      <w:fldChar w:fldCharType="separate"/>
    </w:r>
    <w:r>
      <w:t>23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81F7E" w14:textId="77777777" w:rsidR="0050161F" w:rsidRPr="0033525D" w:rsidRDefault="0050161F">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B12155" w14:textId="77777777" w:rsidR="000E1065" w:rsidRDefault="000E1065" w:rsidP="004A504B">
      <w:r>
        <w:separator/>
      </w:r>
    </w:p>
  </w:footnote>
  <w:footnote w:type="continuationSeparator" w:id="0">
    <w:p w14:paraId="371D5118" w14:textId="77777777" w:rsidR="000E1065" w:rsidRDefault="000E1065" w:rsidP="004A504B">
      <w:r>
        <w:continuationSeparator/>
      </w:r>
    </w:p>
  </w:footnote>
  <w:footnote w:id="1">
    <w:p w14:paraId="1A61D881" w14:textId="77777777" w:rsidR="0079781A" w:rsidRPr="001E1147" w:rsidRDefault="0079781A" w:rsidP="0079781A">
      <w:pPr>
        <w:pStyle w:val="FootnoteText"/>
      </w:pPr>
      <w:r>
        <w:rPr>
          <w:rStyle w:val="FootnoteReference"/>
        </w:rPr>
        <w:footnoteRef/>
      </w:r>
      <w:r>
        <w:t xml:space="preserve"> UNEP/OzL.Pro/ExCom/94/1</w:t>
      </w:r>
    </w:p>
  </w:footnote>
  <w:footnote w:id="2">
    <w:p w14:paraId="1F40A9BA" w14:textId="77777777" w:rsidR="00FA7379" w:rsidRDefault="00FA7379" w:rsidP="00FA7379">
      <w:pPr>
        <w:pStyle w:val="FootnoteText"/>
      </w:pPr>
      <w:r>
        <w:rPr>
          <w:rStyle w:val="FootnoteReference"/>
        </w:rPr>
        <w:footnoteRef/>
      </w:r>
      <w:r>
        <w:t xml:space="preserve"> Cinq des 16 projets recommandés pour des rapports de situation supplémentaires ont également été classés comme projets présentant des retards de mise en œuvre. L’examen de ces projets est inclus dans la section relative aux retards de mise en œuvre.</w:t>
      </w:r>
    </w:p>
  </w:footnote>
  <w:footnote w:id="3">
    <w:p w14:paraId="579D9119" w14:textId="77777777" w:rsidR="00EE5A7D" w:rsidRDefault="00EE5A7D" w:rsidP="00EE5A7D">
      <w:pPr>
        <w:pStyle w:val="FootnoteText"/>
      </w:pPr>
      <w:r>
        <w:rPr>
          <w:rStyle w:val="FootnoteReference"/>
        </w:rPr>
        <w:footnoteRef/>
      </w:r>
      <w:r>
        <w:t> Décision 76/37</w:t>
      </w:r>
    </w:p>
  </w:footnote>
  <w:footnote w:id="4">
    <w:p w14:paraId="52D46265" w14:textId="6B52A9B1" w:rsidR="00EE5A7D" w:rsidRDefault="00EE5A7D" w:rsidP="00EE5A7D">
      <w:pPr>
        <w:pStyle w:val="FootnoteText"/>
      </w:pPr>
      <w:r>
        <w:rPr>
          <w:rStyle w:val="FootnoteReference"/>
        </w:rPr>
        <w:footnoteRef/>
      </w:r>
      <w:r>
        <w:t xml:space="preserve"> Décision 85/22, Annexe IV, document</w:t>
      </w:r>
      <w:r w:rsidR="008B798F">
        <w:t> </w:t>
      </w:r>
      <w:r>
        <w:t>UNEP/OzL.Pro/ExCom/85/67</w:t>
      </w:r>
    </w:p>
  </w:footnote>
  <w:footnote w:id="5">
    <w:p w14:paraId="38CF8F43" w14:textId="77777777" w:rsidR="00EE5A7D" w:rsidRPr="008E12C7" w:rsidRDefault="00EE5A7D" w:rsidP="00EE5A7D">
      <w:pPr>
        <w:pStyle w:val="FootnoteText"/>
      </w:pPr>
      <w:r>
        <w:rPr>
          <w:rStyle w:val="FootnoteReference"/>
        </w:rPr>
        <w:footnoteRef/>
      </w:r>
      <w:r>
        <w:t xml:space="preserve"> Décisions 90/10(c) et (d)</w:t>
      </w:r>
    </w:p>
  </w:footnote>
  <w:footnote w:id="6">
    <w:p w14:paraId="0DB7DDA0" w14:textId="04A75D91" w:rsidR="00EE5A7D" w:rsidRPr="008D659A" w:rsidRDefault="00EE5A7D" w:rsidP="00EE5A7D">
      <w:pPr>
        <w:pStyle w:val="Heading1"/>
        <w:numPr>
          <w:ilvl w:val="0"/>
          <w:numId w:val="0"/>
        </w:numPr>
        <w:rPr>
          <w:sz w:val="20"/>
          <w:szCs w:val="20"/>
        </w:rPr>
      </w:pPr>
      <w:r>
        <w:rPr>
          <w:rStyle w:val="FootnoteReference"/>
          <w:sz w:val="20"/>
          <w:szCs w:val="20"/>
        </w:rPr>
        <w:footnoteRef/>
      </w:r>
      <w:r>
        <w:rPr>
          <w:sz w:val="20"/>
          <w:szCs w:val="20"/>
        </w:rPr>
        <w:t xml:space="preserve"> Le registre en ligne contient de l’information sur les produits et l</w:t>
      </w:r>
      <w:r w:rsidR="008767FC">
        <w:rPr>
          <w:sz w:val="20"/>
          <w:szCs w:val="20"/>
        </w:rPr>
        <w:t xml:space="preserve">es </w:t>
      </w:r>
      <w:r>
        <w:rPr>
          <w:sz w:val="20"/>
          <w:szCs w:val="20"/>
        </w:rPr>
        <w:t>équipement</w:t>
      </w:r>
      <w:r w:rsidR="008767FC">
        <w:rPr>
          <w:sz w:val="20"/>
          <w:szCs w:val="20"/>
        </w:rPr>
        <w:t>s</w:t>
      </w:r>
      <w:r>
        <w:rPr>
          <w:sz w:val="20"/>
          <w:szCs w:val="20"/>
        </w:rPr>
        <w:t>, incluant la marque, le modèle, le type de HCFC, la quantité de HCFC et le type d’utilisation (frigorigène, isolation, etc.). Le registre contient des renseignements soumis par les producteurs, importateurs et exportateurs nationaux sur les produits et les équipements qui contiennent ou utilisent des HCFC.</w:t>
      </w:r>
    </w:p>
    <w:p w14:paraId="61BE0642" w14:textId="77777777" w:rsidR="00EE5A7D" w:rsidRPr="005D2A5E" w:rsidRDefault="00EE5A7D" w:rsidP="00EE5A7D">
      <w:pPr>
        <w:pStyle w:val="FootnoteText"/>
      </w:pPr>
    </w:p>
  </w:footnote>
  <w:footnote w:id="7">
    <w:p w14:paraId="52030896" w14:textId="77777777" w:rsidR="00EE5A7D" w:rsidRPr="00B615DD" w:rsidRDefault="00EE5A7D" w:rsidP="00EE5A7D">
      <w:pPr>
        <w:pStyle w:val="FootnoteText"/>
      </w:pPr>
      <w:r>
        <w:rPr>
          <w:rStyle w:val="FootnoteReference"/>
        </w:rPr>
        <w:footnoteRef/>
      </w:r>
      <w:r>
        <w:t xml:space="preserve"> Danica Termoindustrial, Inema S.A., Poliuretanos Polchile Ltda, Refricentro S.A. et Superfrigo ingenieria y Refrigeracion Ltda.</w:t>
      </w:r>
    </w:p>
  </w:footnote>
  <w:footnote w:id="8">
    <w:p w14:paraId="596D50EF" w14:textId="77777777" w:rsidR="00EE5A7D" w:rsidRDefault="00EE5A7D" w:rsidP="00EE5A7D">
      <w:pPr>
        <w:pStyle w:val="FootnoteText"/>
      </w:pPr>
      <w:r>
        <w:rPr>
          <w:rStyle w:val="FootnoteReference"/>
        </w:rPr>
        <w:footnoteRef/>
      </w:r>
      <w:r>
        <w:t xml:space="preserve"> Sans nécessiter de financement supplémentaire provenant du Fonds multilatéral.</w:t>
      </w:r>
    </w:p>
  </w:footnote>
  <w:footnote w:id="9">
    <w:p w14:paraId="51C6D6FC" w14:textId="4D4ABC1C" w:rsidR="00EE5A7D" w:rsidRDefault="00EE5A7D" w:rsidP="00EE5A7D">
      <w:pPr>
        <w:pStyle w:val="FootnoteText"/>
      </w:pPr>
      <w:r>
        <w:rPr>
          <w:rStyle w:val="FootnoteReference"/>
        </w:rPr>
        <w:footnoteRef/>
      </w:r>
      <w:r>
        <w:t xml:space="preserve"> L’annexe VIII du document</w:t>
      </w:r>
      <w:r w:rsidR="00AB14FE">
        <w:t> </w:t>
      </w:r>
      <w:r>
        <w:t xml:space="preserve">90/40 renvoyait le financement en se fondant sur la décision 90/10(d) des cinq entreprises qui s’étaient retirées du projet, moins le coût des trois entreprises qui se sont jointes au projet et les coûts d’appui d’agence connexes. </w:t>
      </w:r>
    </w:p>
  </w:footnote>
  <w:footnote w:id="10">
    <w:p w14:paraId="54326C8B" w14:textId="77777777" w:rsidR="00EE5A7D" w:rsidRPr="003B3F7F" w:rsidRDefault="00EE5A7D" w:rsidP="00EE5A7D">
      <w:pPr>
        <w:pStyle w:val="FootnoteText"/>
      </w:pPr>
      <w:r>
        <w:rPr>
          <w:rStyle w:val="FootnoteReference"/>
        </w:rPr>
        <w:footnoteRef/>
      </w:r>
      <w:r>
        <w:t xml:space="preserve"> Voir l’annexe IV du document UNEP/OzL.Pro/ExCom/94/4</w:t>
      </w:r>
    </w:p>
  </w:footnote>
  <w:footnote w:id="11">
    <w:p w14:paraId="72A78059" w14:textId="77777777" w:rsidR="00682B3A" w:rsidRPr="00E44981" w:rsidRDefault="00682B3A" w:rsidP="00682B3A">
      <w:pPr>
        <w:pStyle w:val="FootnoteText"/>
      </w:pPr>
      <w:r>
        <w:rPr>
          <w:rStyle w:val="FootnoteReference"/>
        </w:rPr>
        <w:footnoteRef/>
      </w:r>
      <w:r>
        <w:t xml:space="preserve"> Disposition contenue à l’annexe XVI du document UNEP/OzL.Pro/ExCom/91/72.</w:t>
      </w:r>
    </w:p>
  </w:footnote>
  <w:footnote w:id="12">
    <w:p w14:paraId="2F39DB01" w14:textId="59DF0167" w:rsidR="0016060A" w:rsidRPr="00875F93" w:rsidRDefault="0016060A" w:rsidP="0016060A">
      <w:pPr>
        <w:pStyle w:val="FootnoteText"/>
      </w:pPr>
      <w:r>
        <w:rPr>
          <w:rStyle w:val="FootnoteReference"/>
        </w:rPr>
        <w:footnoteRef/>
      </w:r>
      <w:r>
        <w:t xml:space="preserve"> L’équipement inclurait de l’équipement de réfrigération commerciale </w:t>
      </w:r>
      <w:r w:rsidR="00946030">
        <w:t>fonctionnant aux</w:t>
      </w:r>
      <w:r>
        <w:t xml:space="preserve"> HC pour la formation, des détecteurs de gaz, des bonbonnes, des outils de formation et des accessoires pour l’usage sûr des HC.</w:t>
      </w:r>
    </w:p>
  </w:footnote>
  <w:footnote w:id="13">
    <w:p w14:paraId="599370B5" w14:textId="77777777" w:rsidR="0016060A" w:rsidRPr="00875F93" w:rsidRDefault="0016060A" w:rsidP="0016060A">
      <w:pPr>
        <w:pStyle w:val="FootnoteText"/>
      </w:pPr>
      <w:r>
        <w:rPr>
          <w:rStyle w:val="FootnoteReference"/>
        </w:rPr>
        <w:footnoteRef/>
      </w:r>
      <w:r>
        <w:t xml:space="preserve"> Le financement initialement approuvé est de 365 000 $ US pour le régime incitatif dans le cadre de la phase II du PGEH.</w:t>
      </w:r>
    </w:p>
  </w:footnote>
  <w:footnote w:id="14">
    <w:p w14:paraId="0857A434" w14:textId="77777777" w:rsidR="0016060A" w:rsidRPr="00875F93" w:rsidRDefault="0016060A" w:rsidP="0016060A">
      <w:pPr>
        <w:pStyle w:val="FootnoteText"/>
      </w:pPr>
      <w:r>
        <w:rPr>
          <w:rStyle w:val="FootnoteReference"/>
        </w:rPr>
        <w:footnoteRef/>
      </w:r>
      <w:r>
        <w:t xml:space="preserve"> Décision d’approbation générale.</w:t>
      </w:r>
    </w:p>
  </w:footnote>
  <w:footnote w:id="15">
    <w:p w14:paraId="75ADF400" w14:textId="77777777" w:rsidR="008314AA" w:rsidRPr="00A13F85" w:rsidRDefault="008314AA" w:rsidP="008314AA">
      <w:pPr>
        <w:pStyle w:val="FootnoteText"/>
      </w:pPr>
      <w:r>
        <w:rPr>
          <w:rStyle w:val="FootnoteReference"/>
        </w:rPr>
        <w:footnoteRef/>
      </w:r>
      <w:r>
        <w:t> Décision 67/30</w:t>
      </w:r>
    </w:p>
  </w:footnote>
  <w:footnote w:id="16">
    <w:p w14:paraId="2D76A10F" w14:textId="77777777" w:rsidR="008314AA" w:rsidRPr="00E41E2C" w:rsidRDefault="008314AA" w:rsidP="008314AA">
      <w:pPr>
        <w:pStyle w:val="FootnoteText"/>
      </w:pPr>
      <w:r>
        <w:rPr>
          <w:rStyle w:val="FootnoteReference"/>
        </w:rPr>
        <w:footnoteRef/>
      </w:r>
      <w:r>
        <w:t xml:space="preserve"> Prolongation demandée pour finaliser les activités et les décaissements retardés en raison de l’impact de la pandémie de COVID-19, parmi d’autres facteurs.</w:t>
      </w:r>
    </w:p>
  </w:footnote>
  <w:footnote w:id="17">
    <w:p w14:paraId="3B0D7612" w14:textId="3B916BFE" w:rsidR="008314AA" w:rsidRPr="008C245C" w:rsidRDefault="008314AA" w:rsidP="008314AA">
      <w:pPr>
        <w:pStyle w:val="FootnoteText"/>
      </w:pPr>
      <w:r>
        <w:rPr>
          <w:rStyle w:val="FootnoteReference"/>
        </w:rPr>
        <w:footnoteRef/>
      </w:r>
      <w:r>
        <w:t xml:space="preserve"> Selon les paragraphes</w:t>
      </w:r>
      <w:r w:rsidR="00A06D0F">
        <w:t> </w:t>
      </w:r>
      <w:r>
        <w:t>24 et 25 du document UNEP/OzL.Pro/ExCom/91/51.</w:t>
      </w:r>
    </w:p>
  </w:footnote>
  <w:footnote w:id="18">
    <w:p w14:paraId="0E775E2B" w14:textId="0AF82D10" w:rsidR="008314AA" w:rsidRPr="001329D1" w:rsidRDefault="008314AA" w:rsidP="008314AA">
      <w:pPr>
        <w:pStyle w:val="FootnoteText"/>
      </w:pPr>
      <w:r>
        <w:rPr>
          <w:rStyle w:val="FootnoteReference"/>
        </w:rPr>
        <w:footnoteRef/>
      </w:r>
      <w:r>
        <w:t xml:space="preserve"> Paragraphe</w:t>
      </w:r>
      <w:r w:rsidR="00E03446">
        <w:t> </w:t>
      </w:r>
      <w:r>
        <w:t>78 du document UNEP/OzL.Pro/ExCom/93/105.</w:t>
      </w:r>
    </w:p>
  </w:footnote>
  <w:footnote w:id="19">
    <w:p w14:paraId="334ADC19" w14:textId="77777777" w:rsidR="001C2731" w:rsidRDefault="001C2731" w:rsidP="001C2731">
      <w:pPr>
        <w:pStyle w:val="FootnoteText"/>
      </w:pPr>
      <w:r>
        <w:rPr>
          <w:rStyle w:val="FootnoteReference"/>
        </w:rPr>
        <w:footnoteRef/>
      </w:r>
      <w:r>
        <w:t xml:space="preserve"> UNEP/OzL.Pro/ExCom/77/67 et Annexe XXIV du document UNEP/OzL.Pro/ExCom/77/76</w:t>
      </w:r>
    </w:p>
  </w:footnote>
  <w:footnote w:id="20">
    <w:p w14:paraId="59EA7BC7" w14:textId="77777777" w:rsidR="001C2731" w:rsidRDefault="001C2731" w:rsidP="001C2731">
      <w:pPr>
        <w:pStyle w:val="FootnoteText"/>
      </w:pPr>
      <w:r>
        <w:rPr>
          <w:rStyle w:val="FootnoteReference"/>
        </w:rPr>
        <w:footnoteRef/>
      </w:r>
      <w:r>
        <w:t xml:space="preserve"> UNEP/OzL.Pro/ExCom/82/61.</w:t>
      </w:r>
    </w:p>
  </w:footnote>
  <w:footnote w:id="21">
    <w:p w14:paraId="139B7330" w14:textId="77777777" w:rsidR="001C2731" w:rsidRDefault="001C2731" w:rsidP="001C2731">
      <w:pPr>
        <w:pStyle w:val="FootnoteText"/>
        <w:jc w:val="left"/>
      </w:pPr>
      <w:r>
        <w:rPr>
          <w:rStyle w:val="FootnoteReference"/>
        </w:rPr>
        <w:footnoteRef/>
      </w:r>
      <w:r>
        <w:t xml:space="preserve"> Décisions 84/37(b), 87/20(e) et 90/19(b)</w:t>
      </w:r>
    </w:p>
  </w:footnote>
  <w:footnote w:id="22">
    <w:p w14:paraId="4D9EAF82" w14:textId="4F0D6D3E" w:rsidR="001C2731" w:rsidRDefault="001C2731" w:rsidP="001C2731">
      <w:pPr>
        <w:pStyle w:val="FootnoteText"/>
      </w:pPr>
      <w:r>
        <w:rPr>
          <w:rStyle w:val="FootnoteReference"/>
        </w:rPr>
        <w:footnoteRef/>
      </w:r>
      <w:r>
        <w:t xml:space="preserve"> James vers le cyclopentane et Rivomark vers les HFO, avec une élimination associée de 1,14 tonne PAO (10,42 tm) de HCFC-141b.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E3EBE" w14:textId="77777777" w:rsidR="007B0E8B" w:rsidRPr="009A3920" w:rsidRDefault="00000000" w:rsidP="007B0E8B">
    <w:pPr>
      <w:jc w:val="left"/>
      <w:rPr>
        <w:sz w:val="24"/>
        <w:szCs w:val="24"/>
      </w:rPr>
    </w:pPr>
    <w:r w:rsidRPr="009A3920">
      <w:rPr>
        <w:sz w:val="24"/>
        <w:szCs w:val="24"/>
      </w:rPr>
      <w:fldChar w:fldCharType="begin"/>
    </w:r>
    <w:r w:rsidRPr="009A3920">
      <w:rPr>
        <w:sz w:val="24"/>
        <w:szCs w:val="24"/>
      </w:rPr>
      <w:instrText xml:space="preserve"> DOCPROPERTY "Document number"  \* MERGEFORMAT </w:instrText>
    </w:r>
    <w:r w:rsidRPr="009A3920">
      <w:rPr>
        <w:sz w:val="24"/>
        <w:szCs w:val="24"/>
      </w:rPr>
      <w:fldChar w:fldCharType="separate"/>
    </w:r>
    <w:r w:rsidR="007B0E8B" w:rsidRPr="009A3920">
      <w:rPr>
        <w:sz w:val="24"/>
        <w:szCs w:val="24"/>
      </w:rPr>
      <w:t>UNEP/OzL.Pro/ExCom/94/9</w:t>
    </w:r>
    <w:r w:rsidRPr="009A3920">
      <w:rPr>
        <w:sz w:val="24"/>
        <w:szCs w:val="24"/>
      </w:rPr>
      <w:fldChar w:fldCharType="end"/>
    </w:r>
  </w:p>
  <w:p w14:paraId="75D888E5" w14:textId="77777777" w:rsidR="007B0E8B" w:rsidRDefault="007B0E8B" w:rsidP="007B0E8B">
    <w:pPr>
      <w:pStyle w:val="Header"/>
    </w:pPr>
  </w:p>
  <w:p w14:paraId="2E3F16C8" w14:textId="77777777" w:rsidR="00115751" w:rsidRPr="007B0E8B" w:rsidRDefault="00115751" w:rsidP="007B0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 w:name="_Hlk166514109"/>
  <w:p w14:paraId="761E0F81" w14:textId="77777777" w:rsidR="00855944" w:rsidRPr="009A3920" w:rsidRDefault="00855944">
    <w:pPr>
      <w:jc w:val="right"/>
      <w:rPr>
        <w:sz w:val="24"/>
        <w:szCs w:val="24"/>
      </w:rPr>
    </w:pPr>
    <w:r w:rsidRPr="009A3920">
      <w:rPr>
        <w:sz w:val="24"/>
        <w:szCs w:val="24"/>
      </w:rPr>
      <w:fldChar w:fldCharType="begin"/>
    </w:r>
    <w:r w:rsidRPr="009A3920">
      <w:rPr>
        <w:sz w:val="24"/>
        <w:szCs w:val="24"/>
      </w:rPr>
      <w:instrText xml:space="preserve"> DOCPROPERTY "Document number"  \* MERGEFORMAT </w:instrText>
    </w:r>
    <w:r w:rsidRPr="009A3920">
      <w:rPr>
        <w:sz w:val="24"/>
        <w:szCs w:val="24"/>
      </w:rPr>
      <w:fldChar w:fldCharType="separate"/>
    </w:r>
    <w:r w:rsidRPr="009A3920">
      <w:rPr>
        <w:sz w:val="24"/>
        <w:szCs w:val="24"/>
      </w:rPr>
      <w:t>UNEP/OzL.Pro/ExCom/94/9</w:t>
    </w:r>
    <w:r w:rsidRPr="009A3920">
      <w:rPr>
        <w:sz w:val="24"/>
        <w:szCs w:val="24"/>
      </w:rPr>
      <w:fldChar w:fldCharType="end"/>
    </w:r>
  </w:p>
  <w:bookmarkEnd w:id="10"/>
  <w:p w14:paraId="7A45C3CB" w14:textId="7B1B04DF" w:rsidR="00855944" w:rsidRDefault="00855944" w:rsidP="00855944">
    <w:pPr>
      <w:pStyle w:val="Header"/>
      <w:jc w:val="right"/>
    </w:pPr>
  </w:p>
  <w:p w14:paraId="1671271F" w14:textId="77777777" w:rsidR="00115751" w:rsidRPr="0033525D" w:rsidRDefault="00115751" w:rsidP="0085594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2DCC4" w14:textId="77777777" w:rsidR="007B0E8B" w:rsidRPr="009A3920" w:rsidRDefault="007B0E8B" w:rsidP="00075237">
    <w:pPr>
      <w:jc w:val="left"/>
      <w:rPr>
        <w:sz w:val="24"/>
        <w:szCs w:val="24"/>
        <w:lang w:val="en-CA"/>
      </w:rPr>
    </w:pPr>
    <w:r w:rsidRPr="009A3920">
      <w:rPr>
        <w:sz w:val="24"/>
        <w:szCs w:val="24"/>
      </w:rPr>
      <w:fldChar w:fldCharType="begin"/>
    </w:r>
    <w:r w:rsidRPr="009A3920">
      <w:rPr>
        <w:sz w:val="24"/>
        <w:szCs w:val="24"/>
        <w:lang w:val="en-CA"/>
      </w:rPr>
      <w:instrText xml:space="preserve"> DOCPROPERTY "Document number"  \* MERGEFORMAT </w:instrText>
    </w:r>
    <w:r w:rsidRPr="009A3920">
      <w:rPr>
        <w:sz w:val="24"/>
        <w:szCs w:val="24"/>
      </w:rPr>
      <w:fldChar w:fldCharType="separate"/>
    </w:r>
    <w:r w:rsidRPr="009A3920">
      <w:rPr>
        <w:sz w:val="24"/>
        <w:szCs w:val="24"/>
        <w:lang w:val="en-CA"/>
      </w:rPr>
      <w:t>UNEP/OzL.Pro/ExCom/94/9</w:t>
    </w:r>
    <w:r w:rsidRPr="009A3920">
      <w:rPr>
        <w:sz w:val="24"/>
        <w:szCs w:val="24"/>
      </w:rPr>
      <w:fldChar w:fldCharType="end"/>
    </w:r>
  </w:p>
  <w:p w14:paraId="187C0161" w14:textId="77777777" w:rsidR="007B0E8B" w:rsidRPr="009A3920" w:rsidRDefault="007B0E8B" w:rsidP="00075237">
    <w:pPr>
      <w:pStyle w:val="Header"/>
      <w:jc w:val="left"/>
      <w:rPr>
        <w:sz w:val="24"/>
        <w:szCs w:val="24"/>
        <w:lang w:val="en-CA"/>
      </w:rPr>
    </w:pPr>
    <w:r w:rsidRPr="009A3920">
      <w:rPr>
        <w:sz w:val="24"/>
        <w:szCs w:val="24"/>
        <w:lang w:val="en-CA"/>
      </w:rPr>
      <w:t>Annexe I</w:t>
    </w:r>
  </w:p>
  <w:p w14:paraId="76CC3C7F" w14:textId="77777777" w:rsidR="00115751" w:rsidRPr="00052214" w:rsidRDefault="00115751" w:rsidP="00075237">
    <w:pPr>
      <w:pStyle w:val="Header"/>
      <w:jc w:val="lef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FDD72" w14:textId="77777777" w:rsidR="00C61E15" w:rsidRPr="009A3920" w:rsidRDefault="00C61E15">
    <w:pPr>
      <w:jc w:val="right"/>
      <w:rPr>
        <w:sz w:val="24"/>
        <w:szCs w:val="24"/>
        <w:lang w:val="en-CA"/>
      </w:rPr>
    </w:pPr>
    <w:r w:rsidRPr="009A3920">
      <w:rPr>
        <w:sz w:val="24"/>
        <w:szCs w:val="24"/>
      </w:rPr>
      <w:fldChar w:fldCharType="begin"/>
    </w:r>
    <w:r w:rsidRPr="009A3920">
      <w:rPr>
        <w:sz w:val="24"/>
        <w:szCs w:val="24"/>
        <w:lang w:val="en-CA"/>
      </w:rPr>
      <w:instrText xml:space="preserve"> DOCPROPERTY "Document number"  \* MERGEFORMAT </w:instrText>
    </w:r>
    <w:r w:rsidRPr="009A3920">
      <w:rPr>
        <w:sz w:val="24"/>
        <w:szCs w:val="24"/>
      </w:rPr>
      <w:fldChar w:fldCharType="separate"/>
    </w:r>
    <w:r w:rsidRPr="009A3920">
      <w:rPr>
        <w:sz w:val="24"/>
        <w:szCs w:val="24"/>
        <w:lang w:val="en-CA"/>
      </w:rPr>
      <w:t>UNEP/OzL.Pro/ExCom/94/9</w:t>
    </w:r>
    <w:r w:rsidRPr="009A3920">
      <w:rPr>
        <w:sz w:val="24"/>
        <w:szCs w:val="24"/>
      </w:rPr>
      <w:fldChar w:fldCharType="end"/>
    </w:r>
  </w:p>
  <w:p w14:paraId="0A1F0D3F" w14:textId="3374FE24" w:rsidR="00C61E15" w:rsidRPr="009A3920" w:rsidRDefault="00C61E15" w:rsidP="0050161F">
    <w:pPr>
      <w:jc w:val="right"/>
      <w:rPr>
        <w:sz w:val="24"/>
        <w:szCs w:val="24"/>
        <w:lang w:val="en-CA"/>
      </w:rPr>
    </w:pPr>
    <w:r w:rsidRPr="009A3920">
      <w:rPr>
        <w:sz w:val="24"/>
        <w:szCs w:val="24"/>
        <w:lang w:val="en-CA"/>
      </w:rPr>
      <w:t>Annexe II</w:t>
    </w:r>
  </w:p>
  <w:p w14:paraId="644BF184" w14:textId="77777777" w:rsidR="00C61E15" w:rsidRPr="00052214" w:rsidRDefault="00C61E15">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D82CE" w14:textId="77777777" w:rsidR="00BE62F2" w:rsidRPr="009A3920" w:rsidRDefault="00BE62F2" w:rsidP="00075237">
    <w:pPr>
      <w:jc w:val="left"/>
      <w:rPr>
        <w:sz w:val="24"/>
        <w:szCs w:val="24"/>
        <w:lang w:val="en-CA"/>
      </w:rPr>
    </w:pPr>
    <w:r w:rsidRPr="009A3920">
      <w:rPr>
        <w:sz w:val="24"/>
        <w:szCs w:val="24"/>
      </w:rPr>
      <w:fldChar w:fldCharType="begin"/>
    </w:r>
    <w:r w:rsidRPr="009A3920">
      <w:rPr>
        <w:sz w:val="24"/>
        <w:szCs w:val="24"/>
        <w:lang w:val="en-CA"/>
      </w:rPr>
      <w:instrText xml:space="preserve"> DOCPROPERTY "Document number"  \* MERGEFORMAT </w:instrText>
    </w:r>
    <w:r w:rsidRPr="009A3920">
      <w:rPr>
        <w:sz w:val="24"/>
        <w:szCs w:val="24"/>
      </w:rPr>
      <w:fldChar w:fldCharType="separate"/>
    </w:r>
    <w:r w:rsidRPr="009A3920">
      <w:rPr>
        <w:sz w:val="24"/>
        <w:szCs w:val="24"/>
        <w:lang w:val="en-CA"/>
      </w:rPr>
      <w:t>UNEP/OzL.Pro/ExCom/94/9</w:t>
    </w:r>
    <w:r w:rsidRPr="009A3920">
      <w:rPr>
        <w:sz w:val="24"/>
        <w:szCs w:val="24"/>
      </w:rPr>
      <w:fldChar w:fldCharType="end"/>
    </w:r>
  </w:p>
  <w:p w14:paraId="62CFEC01" w14:textId="77777777" w:rsidR="00BE62F2" w:rsidRPr="009A3920" w:rsidRDefault="00BE62F2" w:rsidP="00075237">
    <w:pPr>
      <w:jc w:val="left"/>
      <w:rPr>
        <w:sz w:val="24"/>
        <w:szCs w:val="24"/>
        <w:lang w:val="en-CA"/>
      </w:rPr>
    </w:pPr>
    <w:r w:rsidRPr="009A3920">
      <w:rPr>
        <w:sz w:val="24"/>
        <w:szCs w:val="24"/>
        <w:lang w:val="en-CA"/>
      </w:rPr>
      <w:t>Annexe III</w:t>
    </w:r>
  </w:p>
  <w:p w14:paraId="5D9DD407" w14:textId="77777777" w:rsidR="00BE62F2" w:rsidRPr="00052214" w:rsidRDefault="00BE62F2" w:rsidP="00075237">
    <w:pPr>
      <w:pStyle w:val="Header"/>
      <w:jc w:val="lef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4ECC8B4"/>
    <w:lvl w:ilvl="0">
      <w:start w:val="1"/>
      <w:numFmt w:val="decimal"/>
      <w:pStyle w:val="Heading1"/>
      <w:lvlText w:val="%1."/>
      <w:lvlJc w:val="left"/>
      <w:pPr>
        <w:tabs>
          <w:tab w:val="num" w:pos="284"/>
        </w:tabs>
        <w:ind w:left="284" w:firstLine="0"/>
      </w:pPr>
      <w:rPr>
        <w:b w:val="0"/>
        <w:bCs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4220362"/>
    <w:multiLevelType w:val="hybridMultilevel"/>
    <w:tmpl w:val="3C52A8DA"/>
    <w:lvl w:ilvl="0" w:tplc="3ACAD7B4">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2E763CF"/>
    <w:multiLevelType w:val="hybridMultilevel"/>
    <w:tmpl w:val="EAA68868"/>
    <w:lvl w:ilvl="0" w:tplc="740A0D94">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4"/>
  </w:num>
  <w:num w:numId="21" w16cid:durableId="284964895">
    <w:abstractNumId w:val="13"/>
  </w:num>
  <w:num w:numId="22" w16cid:durableId="342047548">
    <w:abstractNumId w:val="18"/>
  </w:num>
  <w:num w:numId="23" w16cid:durableId="609434000">
    <w:abstractNumId w:val="11"/>
  </w:num>
  <w:num w:numId="24" w16cid:durableId="1230113547">
    <w:abstractNumId w:val="15"/>
  </w:num>
  <w:num w:numId="25" w16cid:durableId="9026387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3388140">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393580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9864837">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7119198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B2B75"/>
    <w:rsid w:val="00000FED"/>
    <w:rsid w:val="0000434E"/>
    <w:rsid w:val="00020016"/>
    <w:rsid w:val="000211A9"/>
    <w:rsid w:val="00021238"/>
    <w:rsid w:val="00022071"/>
    <w:rsid w:val="00030761"/>
    <w:rsid w:val="00031260"/>
    <w:rsid w:val="00032041"/>
    <w:rsid w:val="0003681A"/>
    <w:rsid w:val="000372B7"/>
    <w:rsid w:val="00050F6E"/>
    <w:rsid w:val="00052214"/>
    <w:rsid w:val="00061EC2"/>
    <w:rsid w:val="00066CE8"/>
    <w:rsid w:val="00072091"/>
    <w:rsid w:val="00075237"/>
    <w:rsid w:val="00080ED0"/>
    <w:rsid w:val="00085B8F"/>
    <w:rsid w:val="00090481"/>
    <w:rsid w:val="000957B8"/>
    <w:rsid w:val="000A3826"/>
    <w:rsid w:val="000A51B5"/>
    <w:rsid w:val="000A6C26"/>
    <w:rsid w:val="000B06AD"/>
    <w:rsid w:val="000B36C8"/>
    <w:rsid w:val="000D19BB"/>
    <w:rsid w:val="000D52A4"/>
    <w:rsid w:val="000D7B34"/>
    <w:rsid w:val="000D7BFA"/>
    <w:rsid w:val="000E07BC"/>
    <w:rsid w:val="000E1065"/>
    <w:rsid w:val="000E2E21"/>
    <w:rsid w:val="000E58F8"/>
    <w:rsid w:val="000E6112"/>
    <w:rsid w:val="000F1CD4"/>
    <w:rsid w:val="000F4103"/>
    <w:rsid w:val="000F47C6"/>
    <w:rsid w:val="000F70A7"/>
    <w:rsid w:val="0011308F"/>
    <w:rsid w:val="00113CCA"/>
    <w:rsid w:val="00114BEE"/>
    <w:rsid w:val="00115751"/>
    <w:rsid w:val="001225D0"/>
    <w:rsid w:val="00122F25"/>
    <w:rsid w:val="001318E4"/>
    <w:rsid w:val="00135980"/>
    <w:rsid w:val="0013786F"/>
    <w:rsid w:val="00154FBA"/>
    <w:rsid w:val="0016060A"/>
    <w:rsid w:val="001630E4"/>
    <w:rsid w:val="00164719"/>
    <w:rsid w:val="00166FC4"/>
    <w:rsid w:val="001677AC"/>
    <w:rsid w:val="00175E8D"/>
    <w:rsid w:val="001804EA"/>
    <w:rsid w:val="0018228B"/>
    <w:rsid w:val="00182FF3"/>
    <w:rsid w:val="00183163"/>
    <w:rsid w:val="00184CC5"/>
    <w:rsid w:val="00190A61"/>
    <w:rsid w:val="001931A0"/>
    <w:rsid w:val="00197179"/>
    <w:rsid w:val="001A2215"/>
    <w:rsid w:val="001A3342"/>
    <w:rsid w:val="001A3E3D"/>
    <w:rsid w:val="001A7049"/>
    <w:rsid w:val="001B1E40"/>
    <w:rsid w:val="001C0B08"/>
    <w:rsid w:val="001C2731"/>
    <w:rsid w:val="001C3709"/>
    <w:rsid w:val="001C764E"/>
    <w:rsid w:val="001D4362"/>
    <w:rsid w:val="001E1052"/>
    <w:rsid w:val="001E21B1"/>
    <w:rsid w:val="001E2F93"/>
    <w:rsid w:val="001E4554"/>
    <w:rsid w:val="001E61E5"/>
    <w:rsid w:val="001F2159"/>
    <w:rsid w:val="001F53FD"/>
    <w:rsid w:val="00210B8B"/>
    <w:rsid w:val="00210D9E"/>
    <w:rsid w:val="00212B71"/>
    <w:rsid w:val="00214863"/>
    <w:rsid w:val="002156B4"/>
    <w:rsid w:val="002175AF"/>
    <w:rsid w:val="00224FCD"/>
    <w:rsid w:val="002334A1"/>
    <w:rsid w:val="002479F6"/>
    <w:rsid w:val="00253222"/>
    <w:rsid w:val="00254615"/>
    <w:rsid w:val="00261C13"/>
    <w:rsid w:val="00262847"/>
    <w:rsid w:val="00281BB2"/>
    <w:rsid w:val="002A03C3"/>
    <w:rsid w:val="002A641D"/>
    <w:rsid w:val="002B254E"/>
    <w:rsid w:val="002B2B75"/>
    <w:rsid w:val="002B4CE8"/>
    <w:rsid w:val="002B72E9"/>
    <w:rsid w:val="002B75B4"/>
    <w:rsid w:val="002C2D34"/>
    <w:rsid w:val="002C3C6E"/>
    <w:rsid w:val="002C72C2"/>
    <w:rsid w:val="002C7998"/>
    <w:rsid w:val="002D0EAD"/>
    <w:rsid w:val="002F1E53"/>
    <w:rsid w:val="002F2CAA"/>
    <w:rsid w:val="002F2FCE"/>
    <w:rsid w:val="002F62D4"/>
    <w:rsid w:val="0030052C"/>
    <w:rsid w:val="00300945"/>
    <w:rsid w:val="00301CFE"/>
    <w:rsid w:val="003069D2"/>
    <w:rsid w:val="003142C6"/>
    <w:rsid w:val="00322DAB"/>
    <w:rsid w:val="003306E1"/>
    <w:rsid w:val="003320E4"/>
    <w:rsid w:val="0033525D"/>
    <w:rsid w:val="00336107"/>
    <w:rsid w:val="00336F81"/>
    <w:rsid w:val="003414F3"/>
    <w:rsid w:val="003466AE"/>
    <w:rsid w:val="0035613E"/>
    <w:rsid w:val="00361BB1"/>
    <w:rsid w:val="00363EE9"/>
    <w:rsid w:val="0036562F"/>
    <w:rsid w:val="00376128"/>
    <w:rsid w:val="0037742E"/>
    <w:rsid w:val="00377D56"/>
    <w:rsid w:val="003812DF"/>
    <w:rsid w:val="0038141E"/>
    <w:rsid w:val="0038245A"/>
    <w:rsid w:val="003840E6"/>
    <w:rsid w:val="00385CFC"/>
    <w:rsid w:val="0039337A"/>
    <w:rsid w:val="00393C42"/>
    <w:rsid w:val="003A3189"/>
    <w:rsid w:val="003A3CA7"/>
    <w:rsid w:val="003B33BD"/>
    <w:rsid w:val="003B569D"/>
    <w:rsid w:val="003C3C0E"/>
    <w:rsid w:val="003D1E13"/>
    <w:rsid w:val="003D42A6"/>
    <w:rsid w:val="003D4F21"/>
    <w:rsid w:val="003D4FAC"/>
    <w:rsid w:val="003E1885"/>
    <w:rsid w:val="003E7906"/>
    <w:rsid w:val="003E79CA"/>
    <w:rsid w:val="003F000F"/>
    <w:rsid w:val="003F2FE1"/>
    <w:rsid w:val="003F3C50"/>
    <w:rsid w:val="00406202"/>
    <w:rsid w:val="00406A32"/>
    <w:rsid w:val="00406A6A"/>
    <w:rsid w:val="00406B22"/>
    <w:rsid w:val="00407147"/>
    <w:rsid w:val="004078FA"/>
    <w:rsid w:val="004147BE"/>
    <w:rsid w:val="00423216"/>
    <w:rsid w:val="00430FE8"/>
    <w:rsid w:val="00431E08"/>
    <w:rsid w:val="004328A7"/>
    <w:rsid w:val="0043356A"/>
    <w:rsid w:val="00434C74"/>
    <w:rsid w:val="00456EB4"/>
    <w:rsid w:val="00457827"/>
    <w:rsid w:val="00463C75"/>
    <w:rsid w:val="0046677D"/>
    <w:rsid w:val="004718F3"/>
    <w:rsid w:val="00475040"/>
    <w:rsid w:val="004840AF"/>
    <w:rsid w:val="00490C06"/>
    <w:rsid w:val="0049332A"/>
    <w:rsid w:val="00493D40"/>
    <w:rsid w:val="00493EE3"/>
    <w:rsid w:val="004967B6"/>
    <w:rsid w:val="004A504B"/>
    <w:rsid w:val="004A6911"/>
    <w:rsid w:val="004B3652"/>
    <w:rsid w:val="004B54E0"/>
    <w:rsid w:val="004B7384"/>
    <w:rsid w:val="004B7E17"/>
    <w:rsid w:val="004C09A6"/>
    <w:rsid w:val="004C0E85"/>
    <w:rsid w:val="004C4269"/>
    <w:rsid w:val="004D3340"/>
    <w:rsid w:val="004D6236"/>
    <w:rsid w:val="004D663F"/>
    <w:rsid w:val="004D7F90"/>
    <w:rsid w:val="004E4DBB"/>
    <w:rsid w:val="004E4E41"/>
    <w:rsid w:val="004E6271"/>
    <w:rsid w:val="004E73DB"/>
    <w:rsid w:val="004E7F9C"/>
    <w:rsid w:val="004F3493"/>
    <w:rsid w:val="004F42F7"/>
    <w:rsid w:val="004F5143"/>
    <w:rsid w:val="0050161F"/>
    <w:rsid w:val="00512B09"/>
    <w:rsid w:val="00514007"/>
    <w:rsid w:val="005220ED"/>
    <w:rsid w:val="00523DE9"/>
    <w:rsid w:val="00525105"/>
    <w:rsid w:val="00527F13"/>
    <w:rsid w:val="00533796"/>
    <w:rsid w:val="0053463A"/>
    <w:rsid w:val="00537343"/>
    <w:rsid w:val="005516F3"/>
    <w:rsid w:val="005553B6"/>
    <w:rsid w:val="00555D75"/>
    <w:rsid w:val="00560DF0"/>
    <w:rsid w:val="005624A4"/>
    <w:rsid w:val="0056759C"/>
    <w:rsid w:val="00572843"/>
    <w:rsid w:val="00592C4D"/>
    <w:rsid w:val="0059513E"/>
    <w:rsid w:val="005A26AD"/>
    <w:rsid w:val="005A3F68"/>
    <w:rsid w:val="005A6AA4"/>
    <w:rsid w:val="005A6D9F"/>
    <w:rsid w:val="005B0E1A"/>
    <w:rsid w:val="005B48FF"/>
    <w:rsid w:val="005C1E32"/>
    <w:rsid w:val="005C670D"/>
    <w:rsid w:val="005D363F"/>
    <w:rsid w:val="005D6DD5"/>
    <w:rsid w:val="005E35DC"/>
    <w:rsid w:val="005E51BA"/>
    <w:rsid w:val="005E56CF"/>
    <w:rsid w:val="00604C15"/>
    <w:rsid w:val="00605F7A"/>
    <w:rsid w:val="006127EB"/>
    <w:rsid w:val="00614F20"/>
    <w:rsid w:val="006158D5"/>
    <w:rsid w:val="00624ADB"/>
    <w:rsid w:val="00625D83"/>
    <w:rsid w:val="00651984"/>
    <w:rsid w:val="006623E7"/>
    <w:rsid w:val="00662B80"/>
    <w:rsid w:val="0066768F"/>
    <w:rsid w:val="00670F6C"/>
    <w:rsid w:val="00676E58"/>
    <w:rsid w:val="00682B3A"/>
    <w:rsid w:val="00683BED"/>
    <w:rsid w:val="006852C7"/>
    <w:rsid w:val="006852CE"/>
    <w:rsid w:val="00692D14"/>
    <w:rsid w:val="006932E6"/>
    <w:rsid w:val="006A0E54"/>
    <w:rsid w:val="006A1CD5"/>
    <w:rsid w:val="006A7A3B"/>
    <w:rsid w:val="006B02B0"/>
    <w:rsid w:val="006B17B4"/>
    <w:rsid w:val="006B5296"/>
    <w:rsid w:val="006B65C7"/>
    <w:rsid w:val="006C1727"/>
    <w:rsid w:val="006C32FD"/>
    <w:rsid w:val="006C39CE"/>
    <w:rsid w:val="006D0FCC"/>
    <w:rsid w:val="006D21F5"/>
    <w:rsid w:val="006D3089"/>
    <w:rsid w:val="006E0380"/>
    <w:rsid w:val="006E126D"/>
    <w:rsid w:val="006E1ECD"/>
    <w:rsid w:val="006E1FC3"/>
    <w:rsid w:val="006E32EE"/>
    <w:rsid w:val="006F20E9"/>
    <w:rsid w:val="006F350C"/>
    <w:rsid w:val="006F3FBD"/>
    <w:rsid w:val="00701E85"/>
    <w:rsid w:val="00704CE9"/>
    <w:rsid w:val="0070616B"/>
    <w:rsid w:val="00706295"/>
    <w:rsid w:val="00706FDA"/>
    <w:rsid w:val="00711F9A"/>
    <w:rsid w:val="00713810"/>
    <w:rsid w:val="00713967"/>
    <w:rsid w:val="00720F95"/>
    <w:rsid w:val="007303A5"/>
    <w:rsid w:val="0073042A"/>
    <w:rsid w:val="00730898"/>
    <w:rsid w:val="00730B3E"/>
    <w:rsid w:val="0073420B"/>
    <w:rsid w:val="00734C41"/>
    <w:rsid w:val="00736367"/>
    <w:rsid w:val="0074760E"/>
    <w:rsid w:val="00753A6C"/>
    <w:rsid w:val="00754ABA"/>
    <w:rsid w:val="007665B1"/>
    <w:rsid w:val="00782B0D"/>
    <w:rsid w:val="007934B5"/>
    <w:rsid w:val="0079603B"/>
    <w:rsid w:val="00796BFF"/>
    <w:rsid w:val="0079781A"/>
    <w:rsid w:val="007A1546"/>
    <w:rsid w:val="007A228C"/>
    <w:rsid w:val="007A368E"/>
    <w:rsid w:val="007A5868"/>
    <w:rsid w:val="007B04CE"/>
    <w:rsid w:val="007B0E8B"/>
    <w:rsid w:val="007B6849"/>
    <w:rsid w:val="007B6871"/>
    <w:rsid w:val="007B6EF3"/>
    <w:rsid w:val="007B7A2F"/>
    <w:rsid w:val="007C32EE"/>
    <w:rsid w:val="007C3D33"/>
    <w:rsid w:val="007D294A"/>
    <w:rsid w:val="007D47D2"/>
    <w:rsid w:val="007D6EC0"/>
    <w:rsid w:val="007D7E1D"/>
    <w:rsid w:val="007E503C"/>
    <w:rsid w:val="008001E8"/>
    <w:rsid w:val="0080092A"/>
    <w:rsid w:val="0080345C"/>
    <w:rsid w:val="00807B87"/>
    <w:rsid w:val="0082522F"/>
    <w:rsid w:val="008314AA"/>
    <w:rsid w:val="00831979"/>
    <w:rsid w:val="008353A8"/>
    <w:rsid w:val="00842BCF"/>
    <w:rsid w:val="00844490"/>
    <w:rsid w:val="0084750B"/>
    <w:rsid w:val="008477A4"/>
    <w:rsid w:val="00850875"/>
    <w:rsid w:val="00851352"/>
    <w:rsid w:val="00855944"/>
    <w:rsid w:val="00857077"/>
    <w:rsid w:val="00863230"/>
    <w:rsid w:val="00865BD0"/>
    <w:rsid w:val="008705BA"/>
    <w:rsid w:val="008717D8"/>
    <w:rsid w:val="00871AC7"/>
    <w:rsid w:val="0087215C"/>
    <w:rsid w:val="00875D25"/>
    <w:rsid w:val="008767FC"/>
    <w:rsid w:val="00880E35"/>
    <w:rsid w:val="008875FE"/>
    <w:rsid w:val="00887F8E"/>
    <w:rsid w:val="00891892"/>
    <w:rsid w:val="00896234"/>
    <w:rsid w:val="00897E43"/>
    <w:rsid w:val="008A2F5C"/>
    <w:rsid w:val="008A341A"/>
    <w:rsid w:val="008B0C2F"/>
    <w:rsid w:val="008B798F"/>
    <w:rsid w:val="008C222B"/>
    <w:rsid w:val="008C5738"/>
    <w:rsid w:val="008C7EAD"/>
    <w:rsid w:val="008D0CFE"/>
    <w:rsid w:val="008D28CA"/>
    <w:rsid w:val="008D6152"/>
    <w:rsid w:val="008E7BA9"/>
    <w:rsid w:val="008F0F81"/>
    <w:rsid w:val="008F27BF"/>
    <w:rsid w:val="008F2E64"/>
    <w:rsid w:val="008F41CF"/>
    <w:rsid w:val="00904E13"/>
    <w:rsid w:val="00911939"/>
    <w:rsid w:val="009142EC"/>
    <w:rsid w:val="009145E4"/>
    <w:rsid w:val="009154C3"/>
    <w:rsid w:val="00923540"/>
    <w:rsid w:val="00926767"/>
    <w:rsid w:val="00926C13"/>
    <w:rsid w:val="009361D5"/>
    <w:rsid w:val="009428A4"/>
    <w:rsid w:val="00946030"/>
    <w:rsid w:val="00955128"/>
    <w:rsid w:val="00957B95"/>
    <w:rsid w:val="00960A8E"/>
    <w:rsid w:val="009659F4"/>
    <w:rsid w:val="009704D4"/>
    <w:rsid w:val="00970D60"/>
    <w:rsid w:val="00973A4C"/>
    <w:rsid w:val="00984CCB"/>
    <w:rsid w:val="0099390E"/>
    <w:rsid w:val="00994F0A"/>
    <w:rsid w:val="009960E5"/>
    <w:rsid w:val="00996811"/>
    <w:rsid w:val="009A3920"/>
    <w:rsid w:val="009A61B8"/>
    <w:rsid w:val="009A6802"/>
    <w:rsid w:val="009A7ADC"/>
    <w:rsid w:val="009B0D30"/>
    <w:rsid w:val="009C19B7"/>
    <w:rsid w:val="009C5ABB"/>
    <w:rsid w:val="009D7C51"/>
    <w:rsid w:val="009E196C"/>
    <w:rsid w:val="009E6A0A"/>
    <w:rsid w:val="009F36BF"/>
    <w:rsid w:val="00A06D0F"/>
    <w:rsid w:val="00A111B6"/>
    <w:rsid w:val="00A149F3"/>
    <w:rsid w:val="00A2506A"/>
    <w:rsid w:val="00A26D27"/>
    <w:rsid w:val="00A3529E"/>
    <w:rsid w:val="00A376EE"/>
    <w:rsid w:val="00A42A99"/>
    <w:rsid w:val="00A5151A"/>
    <w:rsid w:val="00A57E0A"/>
    <w:rsid w:val="00A62418"/>
    <w:rsid w:val="00A6325A"/>
    <w:rsid w:val="00A679F5"/>
    <w:rsid w:val="00A77919"/>
    <w:rsid w:val="00A8208E"/>
    <w:rsid w:val="00A823F6"/>
    <w:rsid w:val="00A8719E"/>
    <w:rsid w:val="00A93CD5"/>
    <w:rsid w:val="00A94289"/>
    <w:rsid w:val="00A947CC"/>
    <w:rsid w:val="00AA0A89"/>
    <w:rsid w:val="00AA5368"/>
    <w:rsid w:val="00AA6429"/>
    <w:rsid w:val="00AA7946"/>
    <w:rsid w:val="00AB14FE"/>
    <w:rsid w:val="00AB3471"/>
    <w:rsid w:val="00AC01AA"/>
    <w:rsid w:val="00AC4F72"/>
    <w:rsid w:val="00AC5041"/>
    <w:rsid w:val="00AE482E"/>
    <w:rsid w:val="00AF4643"/>
    <w:rsid w:val="00AF741A"/>
    <w:rsid w:val="00B01ADB"/>
    <w:rsid w:val="00B04161"/>
    <w:rsid w:val="00B056F9"/>
    <w:rsid w:val="00B11E3D"/>
    <w:rsid w:val="00B1495E"/>
    <w:rsid w:val="00B14D2C"/>
    <w:rsid w:val="00B17E82"/>
    <w:rsid w:val="00B213A4"/>
    <w:rsid w:val="00B2754A"/>
    <w:rsid w:val="00B42DA1"/>
    <w:rsid w:val="00B4575A"/>
    <w:rsid w:val="00B50863"/>
    <w:rsid w:val="00B5193B"/>
    <w:rsid w:val="00B5383B"/>
    <w:rsid w:val="00B575BA"/>
    <w:rsid w:val="00B615DD"/>
    <w:rsid w:val="00B65465"/>
    <w:rsid w:val="00B71608"/>
    <w:rsid w:val="00B76429"/>
    <w:rsid w:val="00B86471"/>
    <w:rsid w:val="00B9406B"/>
    <w:rsid w:val="00B94B6A"/>
    <w:rsid w:val="00B956D4"/>
    <w:rsid w:val="00B97446"/>
    <w:rsid w:val="00BA56A6"/>
    <w:rsid w:val="00BA7432"/>
    <w:rsid w:val="00BB11AD"/>
    <w:rsid w:val="00BB2764"/>
    <w:rsid w:val="00BC0FA6"/>
    <w:rsid w:val="00BC1AA0"/>
    <w:rsid w:val="00BC2495"/>
    <w:rsid w:val="00BC314A"/>
    <w:rsid w:val="00BC3E14"/>
    <w:rsid w:val="00BC7EB9"/>
    <w:rsid w:val="00BD1E61"/>
    <w:rsid w:val="00BD20E4"/>
    <w:rsid w:val="00BD2643"/>
    <w:rsid w:val="00BD56B1"/>
    <w:rsid w:val="00BD6558"/>
    <w:rsid w:val="00BE62F2"/>
    <w:rsid w:val="00BF1076"/>
    <w:rsid w:val="00BF2AD7"/>
    <w:rsid w:val="00BF2F76"/>
    <w:rsid w:val="00BF3022"/>
    <w:rsid w:val="00BF3214"/>
    <w:rsid w:val="00BF5573"/>
    <w:rsid w:val="00C1035F"/>
    <w:rsid w:val="00C10A11"/>
    <w:rsid w:val="00C15867"/>
    <w:rsid w:val="00C16991"/>
    <w:rsid w:val="00C22398"/>
    <w:rsid w:val="00C2296D"/>
    <w:rsid w:val="00C23155"/>
    <w:rsid w:val="00C25A29"/>
    <w:rsid w:val="00C40C41"/>
    <w:rsid w:val="00C45885"/>
    <w:rsid w:val="00C50F22"/>
    <w:rsid w:val="00C550E4"/>
    <w:rsid w:val="00C57971"/>
    <w:rsid w:val="00C61E15"/>
    <w:rsid w:val="00C65BD7"/>
    <w:rsid w:val="00C76BA4"/>
    <w:rsid w:val="00C838CF"/>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D7F5E"/>
    <w:rsid w:val="00CE4C22"/>
    <w:rsid w:val="00CE76E5"/>
    <w:rsid w:val="00CF0A20"/>
    <w:rsid w:val="00CF15DE"/>
    <w:rsid w:val="00CF3A4A"/>
    <w:rsid w:val="00CF41EC"/>
    <w:rsid w:val="00CF5D04"/>
    <w:rsid w:val="00D04DE4"/>
    <w:rsid w:val="00D063F1"/>
    <w:rsid w:val="00D14F22"/>
    <w:rsid w:val="00D2656A"/>
    <w:rsid w:val="00D26B6B"/>
    <w:rsid w:val="00D37391"/>
    <w:rsid w:val="00D4741C"/>
    <w:rsid w:val="00D51CDD"/>
    <w:rsid w:val="00D57918"/>
    <w:rsid w:val="00D73DC6"/>
    <w:rsid w:val="00D74C1A"/>
    <w:rsid w:val="00D754C1"/>
    <w:rsid w:val="00D7606A"/>
    <w:rsid w:val="00D77393"/>
    <w:rsid w:val="00D77A35"/>
    <w:rsid w:val="00D81B3E"/>
    <w:rsid w:val="00D903FB"/>
    <w:rsid w:val="00D90C70"/>
    <w:rsid w:val="00D90E49"/>
    <w:rsid w:val="00D96ADE"/>
    <w:rsid w:val="00D97051"/>
    <w:rsid w:val="00DA0CE2"/>
    <w:rsid w:val="00DA2387"/>
    <w:rsid w:val="00DA621A"/>
    <w:rsid w:val="00DA7683"/>
    <w:rsid w:val="00DC524C"/>
    <w:rsid w:val="00DC6A10"/>
    <w:rsid w:val="00DD7EA0"/>
    <w:rsid w:val="00DE657E"/>
    <w:rsid w:val="00DF4704"/>
    <w:rsid w:val="00E024AA"/>
    <w:rsid w:val="00E03446"/>
    <w:rsid w:val="00E11E32"/>
    <w:rsid w:val="00E15C77"/>
    <w:rsid w:val="00E204AD"/>
    <w:rsid w:val="00E250F1"/>
    <w:rsid w:val="00E3550D"/>
    <w:rsid w:val="00E40291"/>
    <w:rsid w:val="00E52838"/>
    <w:rsid w:val="00E614E0"/>
    <w:rsid w:val="00E644D0"/>
    <w:rsid w:val="00E73F7F"/>
    <w:rsid w:val="00E74C28"/>
    <w:rsid w:val="00E753E8"/>
    <w:rsid w:val="00E808D5"/>
    <w:rsid w:val="00E85409"/>
    <w:rsid w:val="00E956C4"/>
    <w:rsid w:val="00EA35D5"/>
    <w:rsid w:val="00EA429F"/>
    <w:rsid w:val="00EA4F9E"/>
    <w:rsid w:val="00EA63CA"/>
    <w:rsid w:val="00EA6D3B"/>
    <w:rsid w:val="00EA70C2"/>
    <w:rsid w:val="00EA79D4"/>
    <w:rsid w:val="00EB00AD"/>
    <w:rsid w:val="00EB136C"/>
    <w:rsid w:val="00EB40F3"/>
    <w:rsid w:val="00EB480E"/>
    <w:rsid w:val="00EB5EC6"/>
    <w:rsid w:val="00EB7FC9"/>
    <w:rsid w:val="00ED1ACF"/>
    <w:rsid w:val="00ED2726"/>
    <w:rsid w:val="00ED27E8"/>
    <w:rsid w:val="00ED7137"/>
    <w:rsid w:val="00EE10A6"/>
    <w:rsid w:val="00EE2E5B"/>
    <w:rsid w:val="00EE2FA2"/>
    <w:rsid w:val="00EE56EA"/>
    <w:rsid w:val="00EE5A7D"/>
    <w:rsid w:val="00EF06EA"/>
    <w:rsid w:val="00F06A11"/>
    <w:rsid w:val="00F07604"/>
    <w:rsid w:val="00F16A30"/>
    <w:rsid w:val="00F16C34"/>
    <w:rsid w:val="00F21088"/>
    <w:rsid w:val="00F326BF"/>
    <w:rsid w:val="00F327E7"/>
    <w:rsid w:val="00F35746"/>
    <w:rsid w:val="00F41C0A"/>
    <w:rsid w:val="00F447C7"/>
    <w:rsid w:val="00F459B4"/>
    <w:rsid w:val="00F46D96"/>
    <w:rsid w:val="00F5211B"/>
    <w:rsid w:val="00F55215"/>
    <w:rsid w:val="00F554A9"/>
    <w:rsid w:val="00F60209"/>
    <w:rsid w:val="00F6096B"/>
    <w:rsid w:val="00F716FD"/>
    <w:rsid w:val="00F80355"/>
    <w:rsid w:val="00F84564"/>
    <w:rsid w:val="00F87C43"/>
    <w:rsid w:val="00F87E4D"/>
    <w:rsid w:val="00F95985"/>
    <w:rsid w:val="00FA5722"/>
    <w:rsid w:val="00FA57E8"/>
    <w:rsid w:val="00FA7379"/>
    <w:rsid w:val="00FB0C81"/>
    <w:rsid w:val="00FC2200"/>
    <w:rsid w:val="00FC2540"/>
    <w:rsid w:val="00FD3D6B"/>
    <w:rsid w:val="00FE4660"/>
    <w:rsid w:val="00FF0204"/>
    <w:rsid w:val="00FF0ACC"/>
    <w:rsid w:val="00FF3AED"/>
    <w:rsid w:val="00FF47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6065B"/>
  <w15:docId w15:val="{B53AAAAB-0589-4A50-8BD6-12BFA0C7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9CA"/>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2B2B75"/>
    <w:pPr>
      <w:ind w:left="720"/>
      <w:contextualSpacing/>
    </w:pPr>
  </w:style>
  <w:style w:type="character" w:customStyle="1" w:styleId="Style4Char">
    <w:name w:val="Style 4 Char"/>
    <w:basedOn w:val="DefaultParagraphFont"/>
    <w:link w:val="Style4"/>
    <w:locked/>
    <w:rsid w:val="00FD3D6B"/>
    <w:rPr>
      <w:b/>
      <w:sz w:val="22"/>
      <w:szCs w:val="22"/>
      <w:lang w:val="fr-CA"/>
    </w:rPr>
  </w:style>
  <w:style w:type="paragraph" w:customStyle="1" w:styleId="Style4">
    <w:name w:val="Style 4"/>
    <w:basedOn w:val="Normal"/>
    <w:link w:val="Style4Char"/>
    <w:autoRedefine/>
    <w:qFormat/>
    <w:rsid w:val="00FD3D6B"/>
    <w:pPr>
      <w:numPr>
        <w:numId w:val="23"/>
      </w:numPr>
      <w:spacing w:after="240"/>
      <w:ind w:hanging="720"/>
    </w:pPr>
    <w:rPr>
      <w: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A7379"/>
    <w:rPr>
      <w:sz w:val="22"/>
      <w:szCs w:val="22"/>
      <w:lang w:val="fr-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FA7379"/>
    <w:rPr>
      <w:sz w:val="22"/>
      <w:szCs w:val="22"/>
      <w:lang w:val="fr-CA"/>
    </w:rPr>
  </w:style>
  <w:style w:type="paragraph" w:customStyle="1" w:styleId="a--">
    <w:name w:val="a-(-)"/>
    <w:basedOn w:val="Normal"/>
    <w:rsid w:val="00FA7379"/>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BVIfnrChar">
    <w:name w:val="BVI fnr Char"/>
    <w:aliases w:val="BVI fnr Car Car Char,BVI fnr Car Char,BVI fnr Car Car Car Car Char,4_G Char Char"/>
    <w:basedOn w:val="Normal"/>
    <w:link w:val="FootnoteReference"/>
    <w:uiPriority w:val="99"/>
    <w:rsid w:val="001C2731"/>
    <w:pPr>
      <w:spacing w:after="160" w:line="240" w:lineRule="exact"/>
      <w:jc w:val="left"/>
    </w:pPr>
    <w:rPr>
      <w:sz w:val="20"/>
      <w:szCs w:val="20"/>
      <w:vertAlign w:val="superscript"/>
    </w:rPr>
  </w:style>
  <w:style w:type="character" w:customStyle="1" w:styleId="StyleBoldChar">
    <w:name w:val="Style Bold Char"/>
    <w:basedOn w:val="DefaultParagraphFont"/>
    <w:link w:val="StyleBold"/>
    <w:locked/>
    <w:rsid w:val="001C2731"/>
    <w:rPr>
      <w:b/>
      <w:bCs/>
      <w:sz w:val="22"/>
      <w:lang w:val="fr-CA"/>
    </w:rPr>
  </w:style>
  <w:style w:type="paragraph" w:customStyle="1" w:styleId="StyleBold">
    <w:name w:val="Style Bold"/>
    <w:basedOn w:val="Normal"/>
    <w:link w:val="StyleBoldChar"/>
    <w:qFormat/>
    <w:rsid w:val="001C2731"/>
    <w:pPr>
      <w:spacing w:after="240"/>
    </w:pPr>
    <w:rPr>
      <w:b/>
      <w:bCs/>
      <w:szCs w:val="20"/>
    </w:rPr>
  </w:style>
  <w:style w:type="character" w:customStyle="1" w:styleId="normaltextrun">
    <w:name w:val="normaltextrun"/>
    <w:basedOn w:val="DefaultParagraphFont"/>
    <w:rsid w:val="001C2731"/>
  </w:style>
  <w:style w:type="paragraph" w:styleId="Revision">
    <w:name w:val="Revision"/>
    <w:hidden/>
    <w:uiPriority w:val="99"/>
    <w:semiHidden/>
    <w:rsid w:val="00B615D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738421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ona\United%20Nations\UNEP-UNMFS-Shared_drives%20-%20General\DRAFTS\LionaDavies\94th%20meeting\_SRRs\reference\Eec94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BD35782C18C74DBAD8055D8C6EED33" ma:contentTypeVersion="5" ma:contentTypeDescription="Create a new document." ma:contentTypeScope="" ma:versionID="86895d6f9d7f63d059a3aaf2226725f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AF949E3D-F88F-4EDF-96C7-B412236D7E7A}"/>
</file>

<file path=docProps/app.xml><?xml version="1.0" encoding="utf-8"?>
<Properties xmlns="http://schemas.openxmlformats.org/officeDocument/2006/extended-properties" xmlns:vt="http://schemas.openxmlformats.org/officeDocument/2006/docPropsVTypes">
  <Template>Eec94G (1)</Template>
  <TotalTime>249</TotalTime>
  <Pages>31</Pages>
  <Words>12247</Words>
  <Characters>69811</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Rapports De Situation Et Rapports Sur Les Projets Comportant Des Exigences Particulières De Remise De Rapports</vt:lpstr>
    </vt:vector>
  </TitlesOfParts>
  <Company>UNMFS</Company>
  <LinksUpToDate>false</LinksUpToDate>
  <CharactersWithSpaces>81895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de situation et rapports sur les projets comportant des exigences particulières de remise de rapports                                                             .</dc:title>
  <dc:creator>Liona Gabriele DAVIES</dc:creator>
  <cp:lastModifiedBy>Elias Sarkis</cp:lastModifiedBy>
  <cp:revision>91</cp:revision>
  <cp:lastPrinted>2001-05-26T16:40:00Z</cp:lastPrinted>
  <dcterms:created xsi:type="dcterms:W3CDTF">2024-05-13T23:39:00Z</dcterms:created>
  <dcterms:modified xsi:type="dcterms:W3CDTF">2024-05-21T14:59:00Z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UNEP/OzL.Pro/ExCom/94/9</vt:lpwstr>
  </property>
  <property fmtid="{D5CDD505-2E9C-101B-9397-08002B2CF9AE}" pid="3" name="Revision date">
    <vt:lpwstr>21 May 2024</vt:lpwstr>
  </property>
  <property fmtid="{D5CDD505-2E9C-101B-9397-08002B2CF9AE}" pid="4" name="ContentTypeId">
    <vt:lpwstr>0x01010038BD35782C18C74DBAD8055D8C6EED33</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