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32" w:type="dxa"/>
        <w:tblInd w:w="-284" w:type="dxa"/>
        <w:tblLayout w:type="fixed"/>
        <w:tblLook w:val="0000" w:firstRow="0" w:lastRow="0" w:firstColumn="0" w:lastColumn="0" w:noHBand="0" w:noVBand="0"/>
      </w:tblPr>
      <w:tblGrid>
        <w:gridCol w:w="1985"/>
        <w:gridCol w:w="4077"/>
        <w:gridCol w:w="3870"/>
      </w:tblGrid>
      <w:tr w:rsidR="00793CF8" w:rsidRPr="00F96FB4" w14:paraId="112F8CA2" w14:textId="77777777" w:rsidTr="00B31C3F">
        <w:trPr>
          <w:trHeight w:val="720"/>
        </w:trPr>
        <w:tc>
          <w:tcPr>
            <w:tcW w:w="6062" w:type="dxa"/>
            <w:gridSpan w:val="2"/>
            <w:tcBorders>
              <w:bottom w:val="single" w:sz="18" w:space="0" w:color="auto"/>
            </w:tcBorders>
          </w:tcPr>
          <w:p w14:paraId="3B7A365A" w14:textId="77777777" w:rsidR="00793CF8" w:rsidRPr="00F96FB4" w:rsidRDefault="00793CF8" w:rsidP="00B31C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6"/>
                <w:lang w:val="es-ES_tradnl"/>
              </w:rPr>
            </w:pPr>
            <w:r w:rsidRPr="00F96FB4">
              <w:rPr>
                <w:rFonts w:ascii="Univers" w:hAnsi="Univers"/>
                <w:b/>
                <w:sz w:val="28"/>
                <w:szCs w:val="26"/>
                <w:lang w:val="es-ES_tradnl"/>
              </w:rPr>
              <w:t>NACIONES</w:t>
            </w:r>
            <w:r w:rsidRPr="00F96FB4">
              <w:rPr>
                <w:rFonts w:ascii="Univers" w:hAnsi="Univers"/>
                <w:b/>
                <w:sz w:val="28"/>
                <w:szCs w:val="26"/>
                <w:lang w:val="es-ES_tradnl"/>
              </w:rPr>
              <w:br/>
              <w:t>UNIDAS</w:t>
            </w:r>
          </w:p>
        </w:tc>
        <w:tc>
          <w:tcPr>
            <w:tcW w:w="3870" w:type="dxa"/>
            <w:tcBorders>
              <w:bottom w:val="single" w:sz="18" w:space="0" w:color="auto"/>
            </w:tcBorders>
          </w:tcPr>
          <w:p w14:paraId="5A83E686" w14:textId="77777777" w:rsidR="00793CF8" w:rsidRPr="00F96FB4" w:rsidRDefault="00793CF8" w:rsidP="00B31C3F">
            <w:pPr>
              <w:jc w:val="right"/>
              <w:rPr>
                <w:sz w:val="52"/>
                <w:szCs w:val="48"/>
                <w:lang w:val="es-ES_tradnl"/>
              </w:rPr>
            </w:pPr>
            <w:r w:rsidRPr="00F96FB4">
              <w:rPr>
                <w:rFonts w:ascii="Univers Bold" w:hAnsi="Univers Bold"/>
                <w:b/>
                <w:sz w:val="72"/>
                <w:lang w:val="es-ES_tradnl"/>
              </w:rPr>
              <w:t>EP</w:t>
            </w:r>
          </w:p>
        </w:tc>
      </w:tr>
      <w:tr w:rsidR="00793CF8" w:rsidRPr="008C4568" w14:paraId="2DCD035C" w14:textId="77777777" w:rsidTr="00B31C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832D02E" w14:textId="77777777" w:rsidR="00793CF8" w:rsidRPr="00F96FB4" w:rsidRDefault="00793CF8" w:rsidP="00B31C3F">
            <w:pPr>
              <w:spacing w:before="120"/>
              <w:ind w:left="-9"/>
              <w:rPr>
                <w:lang w:val="es-ES_tradnl"/>
              </w:rPr>
            </w:pPr>
            <w:r w:rsidRPr="00F96FB4">
              <w:rPr>
                <w:noProof/>
                <w:lang w:val="en-US"/>
              </w:rPr>
              <mc:AlternateContent>
                <mc:Choice Requires="wpg">
                  <w:drawing>
                    <wp:inline distT="0" distB="0" distL="0" distR="0" wp14:anchorId="2D06AC67" wp14:editId="7410BCF0">
                      <wp:extent cx="828963" cy="1575268"/>
                      <wp:effectExtent l="0" t="0" r="9525" b="6350"/>
                      <wp:docPr id="1161016084" name="Group 1161016084"/>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1619560220" name="Picture 1619560220"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75751436" name="Picture 97575143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143E2E9D" id="Group 1161016084"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19560220"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">
                        <v:imagedata r:id="rId13" o:title="UNEP" croptop="-23f" cropbottom="47f" cropright="4f"/>
                        <o:lock v:ext="edit" aspectratio="f"/>
                      </v:shape>
                      <v:shape id="Picture 97575143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">
                        <v:imagedata r:id="rId14" o:title=""/>
                        <o:lock v:ext="edit" aspectratio="f"/>
                      </v:shape>
                      <w10:anchorlock/>
                    </v:group>
                  </w:pict>
                </mc:Fallback>
              </mc:AlternateContent>
            </w:r>
          </w:p>
        </w:tc>
        <w:tc>
          <w:tcPr>
            <w:tcW w:w="4077" w:type="dxa"/>
            <w:tcBorders>
              <w:top w:val="nil"/>
              <w:left w:val="nil"/>
              <w:bottom w:val="single" w:sz="36" w:space="0" w:color="auto"/>
              <w:right w:val="nil"/>
            </w:tcBorders>
          </w:tcPr>
          <w:p w14:paraId="006970CC" w14:textId="77777777" w:rsidR="00793CF8" w:rsidRPr="00F96FB4" w:rsidRDefault="00793CF8" w:rsidP="00B31C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1"/>
                <w:szCs w:val="29"/>
                <w:lang w:val="es-ES_tradnl"/>
              </w:rPr>
            </w:pPr>
          </w:p>
          <w:p w14:paraId="6818EDCA" w14:textId="77777777" w:rsidR="00793CF8" w:rsidRPr="00F96FB4" w:rsidRDefault="00793CF8" w:rsidP="00B31C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1"/>
                <w:szCs w:val="29"/>
                <w:lang w:val="es-ES_tradnl"/>
              </w:rPr>
            </w:pPr>
            <w:r w:rsidRPr="00F96FB4">
              <w:rPr>
                <w:rFonts w:ascii="Univers" w:hAnsi="Univers"/>
                <w:b/>
                <w:sz w:val="31"/>
                <w:szCs w:val="29"/>
                <w:lang w:val="es-ES_tradnl"/>
              </w:rPr>
              <w:t>Programa de las</w:t>
            </w:r>
          </w:p>
          <w:p w14:paraId="1F675A9E" w14:textId="77777777" w:rsidR="00793CF8" w:rsidRPr="00F96FB4" w:rsidRDefault="00793CF8" w:rsidP="00B31C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1"/>
                <w:szCs w:val="29"/>
                <w:lang w:val="es-ES_tradnl"/>
              </w:rPr>
            </w:pPr>
            <w:r w:rsidRPr="00F96FB4">
              <w:rPr>
                <w:rFonts w:ascii="Univers" w:hAnsi="Univers"/>
                <w:b/>
                <w:sz w:val="31"/>
                <w:szCs w:val="29"/>
                <w:lang w:val="es-ES_tradnl"/>
              </w:rPr>
              <w:t>Naciones Unidas</w:t>
            </w:r>
          </w:p>
          <w:p w14:paraId="5B0C2767" w14:textId="77777777" w:rsidR="00793CF8" w:rsidRPr="00F96FB4" w:rsidRDefault="00793CF8" w:rsidP="00B31C3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1"/>
                <w:szCs w:val="29"/>
                <w:lang w:val="es-ES_tradnl"/>
              </w:rPr>
            </w:pPr>
            <w:r w:rsidRPr="00F96FB4">
              <w:rPr>
                <w:rFonts w:ascii="Univers" w:hAnsi="Univers"/>
                <w:b/>
                <w:sz w:val="31"/>
                <w:szCs w:val="29"/>
                <w:lang w:val="es-ES_tradnl"/>
              </w:rPr>
              <w:t>para el Medio Ambiente</w:t>
            </w:r>
          </w:p>
        </w:tc>
        <w:tc>
          <w:tcPr>
            <w:tcW w:w="3870" w:type="dxa"/>
            <w:tcBorders>
              <w:top w:val="nil"/>
              <w:left w:val="nil"/>
              <w:bottom w:val="single" w:sz="36" w:space="0" w:color="auto"/>
              <w:right w:val="nil"/>
            </w:tcBorders>
          </w:tcPr>
          <w:p w14:paraId="7C50899C" w14:textId="77777777" w:rsidR="00793CF8" w:rsidRPr="00F96FB4" w:rsidRDefault="00793CF8" w:rsidP="00B31C3F">
            <w:pPr>
              <w:rPr>
                <w:lang w:val="es-ES_tradnl"/>
              </w:rPr>
            </w:pPr>
          </w:p>
          <w:p w14:paraId="38BC14CB" w14:textId="77777777" w:rsidR="00793CF8" w:rsidRPr="00F96FB4" w:rsidRDefault="00793CF8" w:rsidP="00B31C3F">
            <w:pPr>
              <w:rPr>
                <w:lang w:val="es-ES_tradnl"/>
              </w:rPr>
            </w:pPr>
            <w:proofErr w:type="spellStart"/>
            <w:r w:rsidRPr="00F96FB4">
              <w:rPr>
                <w:lang w:val="es-ES_tradnl"/>
              </w:rPr>
              <w:t>Distr</w:t>
            </w:r>
            <w:proofErr w:type="spellEnd"/>
            <w:r w:rsidRPr="00F96FB4">
              <w:rPr>
                <w:lang w:val="es-ES_tradnl"/>
              </w:rPr>
              <w:t>.</w:t>
            </w:r>
          </w:p>
          <w:p w14:paraId="2276719C" w14:textId="77777777" w:rsidR="00793CF8" w:rsidRPr="00F96FB4" w:rsidRDefault="00793CF8" w:rsidP="00B31C3F">
            <w:pPr>
              <w:rPr>
                <w:lang w:val="es-ES_tradnl"/>
              </w:rPr>
            </w:pPr>
            <w:r w:rsidRPr="00F96FB4">
              <w:rPr>
                <w:lang w:val="es-ES_tradnl"/>
              </w:rPr>
              <w:t>GENERAL</w:t>
            </w:r>
          </w:p>
          <w:p w14:paraId="34F13A8D" w14:textId="77777777" w:rsidR="00793CF8" w:rsidRPr="00F96FB4" w:rsidRDefault="00793CF8" w:rsidP="00B31C3F">
            <w:pPr>
              <w:rPr>
                <w:lang w:val="es-ES_tradnl"/>
              </w:rPr>
            </w:pPr>
          </w:p>
          <w:p w14:paraId="00D6FF84" w14:textId="4FCCE814" w:rsidR="00793CF8" w:rsidRPr="009B0D30" w:rsidRDefault="00793CF8" w:rsidP="00793CF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/95/83</w:t>
            </w:r>
            <w:r>
              <w:fldChar w:fldCharType="end"/>
            </w:r>
          </w:p>
          <w:p w14:paraId="53152A31" w14:textId="77777777" w:rsidR="00793CF8" w:rsidRPr="009B0D30" w:rsidRDefault="00793CF8" w:rsidP="00793CF8">
            <w:r>
              <w:t>13 de noviembre de 2024</w:t>
            </w:r>
          </w:p>
          <w:p w14:paraId="3928C615" w14:textId="77777777" w:rsidR="00793CF8" w:rsidRPr="00793CF8" w:rsidRDefault="00793CF8" w:rsidP="00B31C3F">
            <w:pPr>
              <w:rPr>
                <w:caps/>
              </w:rPr>
            </w:pPr>
          </w:p>
          <w:p w14:paraId="6C43DAE2" w14:textId="77777777" w:rsidR="00793CF8" w:rsidRPr="00F96FB4" w:rsidRDefault="00793CF8" w:rsidP="00B31C3F">
            <w:pPr>
              <w:rPr>
                <w:lang w:val="es-ES_tradnl"/>
              </w:rPr>
            </w:pPr>
            <w:r w:rsidRPr="00F96FB4">
              <w:rPr>
                <w:lang w:val="es-ES_tradnl"/>
              </w:rPr>
              <w:t>ESPAÑOL</w:t>
            </w:r>
          </w:p>
          <w:p w14:paraId="02310658" w14:textId="77777777" w:rsidR="00793CF8" w:rsidRPr="00F96FB4" w:rsidRDefault="00793CF8" w:rsidP="00B31C3F">
            <w:pPr>
              <w:rPr>
                <w:lang w:val="es-ES_tradnl"/>
              </w:rPr>
            </w:pPr>
            <w:r w:rsidRPr="00F96FB4">
              <w:rPr>
                <w:lang w:val="es-ES_tradnl"/>
              </w:rPr>
              <w:t>ORIGINAL: INGLÉS</w:t>
            </w:r>
          </w:p>
        </w:tc>
      </w:tr>
    </w:tbl>
    <w:p w14:paraId="0F9D81A3" w14:textId="77777777" w:rsidR="00CA59FB" w:rsidRDefault="00C15867" w:rsidP="00CA59FB">
      <w:pPr>
        <w:jc w:val="left"/>
      </w:pPr>
      <w:r>
        <w:t>COMITÉ EJECUTIVO DEL FONDO MULTILATERAL</w:t>
      </w:r>
      <w:r>
        <w:br/>
        <w:t xml:space="preserve"> PARA LA APLICACIÓN DEL</w:t>
      </w:r>
      <w:r>
        <w:br/>
        <w:t xml:space="preserve"> PROTOCOLO DE MONTREAL</w:t>
      </w:r>
      <w:r>
        <w:br/>
        <w:t>Nonagésima quinta reunión</w:t>
      </w:r>
    </w:p>
    <w:p w14:paraId="2883070F" w14:textId="77777777" w:rsidR="00CA59FB" w:rsidRDefault="00CA59FB" w:rsidP="00CA59FB">
      <w:pPr>
        <w:jc w:val="left"/>
      </w:pPr>
      <w:r>
        <w:t>Montreal, 4-8 de diciembre de 2024</w:t>
      </w:r>
    </w:p>
    <w:p w14:paraId="45B290CF" w14:textId="5B5B0956" w:rsidR="0079781A" w:rsidRDefault="0079781A" w:rsidP="0079781A">
      <w:pPr>
        <w:jc w:val="left"/>
      </w:pPr>
      <w:r>
        <w:t>Punto 9(e) del orden del día provisional</w:t>
      </w:r>
      <w:r w:rsidRPr="00512BEF">
        <w:rPr>
          <w:rStyle w:val="FootnoteReference"/>
        </w:rPr>
        <w:footnoteReference w:id="2"/>
      </w:r>
    </w:p>
    <w:p w14:paraId="6E6A1E2D" w14:textId="77777777" w:rsidR="00C15867" w:rsidRPr="009B0D30" w:rsidRDefault="00C15867" w:rsidP="00CA59FB">
      <w:pPr>
        <w:jc w:val="left"/>
      </w:pPr>
    </w:p>
    <w:p w14:paraId="4A80CC67" w14:textId="77777777" w:rsidR="00066CE8" w:rsidRPr="009B0D30" w:rsidRDefault="00066CE8" w:rsidP="00857077">
      <w:pPr>
        <w:jc w:val="left"/>
      </w:pPr>
    </w:p>
    <w:p w14:paraId="440096FC" w14:textId="5E3E376F" w:rsidR="0072703E" w:rsidRDefault="00793CF8" w:rsidP="0072703E">
      <w:pPr>
        <w:pStyle w:val="StyleHeader4Para4Left0Firstline0"/>
        <w:numPr>
          <w:ilvl w:val="0"/>
          <w:numId w:val="0"/>
        </w:numPr>
        <w:tabs>
          <w:tab w:val="left" w:pos="488"/>
          <w:tab w:val="center" w:pos="4680"/>
        </w:tabs>
        <w:jc w:val="center"/>
        <w:rPr>
          <w:b/>
          <w:sz w:val="22"/>
        </w:rPr>
      </w:pPr>
      <w:r>
        <w:rPr>
          <w:b/>
          <w:sz w:val="22"/>
        </w:rPr>
        <w:t>PRESUPUESTO DEL PROGRAMA DE ASISTENCIA AL CUMPLIMIENTO DEL PNUMA PARA 2025</w:t>
      </w:r>
    </w:p>
    <w:p w14:paraId="65AD2BF1" w14:textId="77777777" w:rsidR="0072703E" w:rsidRPr="00506311" w:rsidRDefault="0072703E" w:rsidP="0072703E">
      <w:pPr>
        <w:pStyle w:val="StyleHeader4Para4Left0Firstline0"/>
        <w:numPr>
          <w:ilvl w:val="0"/>
          <w:numId w:val="0"/>
        </w:numPr>
        <w:tabs>
          <w:tab w:val="left" w:pos="488"/>
          <w:tab w:val="center" w:pos="4680"/>
        </w:tabs>
        <w:rPr>
          <w:b/>
          <w:sz w:val="24"/>
          <w:szCs w:val="24"/>
        </w:rPr>
      </w:pPr>
      <w:r>
        <w:rPr>
          <w:b/>
          <w:sz w:val="24"/>
          <w:szCs w:val="24"/>
        </w:rPr>
        <w:t>Introducción</w:t>
      </w:r>
    </w:p>
    <w:p w14:paraId="3F7BBA0E" w14:textId="11949B46" w:rsidR="0072703E" w:rsidRPr="0000667E" w:rsidRDefault="0072703E" w:rsidP="0072703E">
      <w:pPr>
        <w:pStyle w:val="Heading1"/>
        <w:rPr>
          <w:u w:val="single"/>
        </w:rPr>
      </w:pPr>
      <w:r>
        <w:t>El PNUMA presentó el presupuesto de su Programa de Asistencia al Cumplimiento (PAC) para 2025 con un costo total de USD 11.191.331, más gastos de apoyo del organismo de USD 895.306</w:t>
      </w:r>
      <w:r w:rsidRPr="0000667E">
        <w:rPr>
          <w:rStyle w:val="FootnoteReference"/>
        </w:rPr>
        <w:footnoteReference w:id="3"/>
      </w:r>
      <w:r>
        <w:t xml:space="preserve">. Se adjuntan al presente documento el informe sobre la marcha de las actividades de 2024 y el programa de trabajo para 2025. </w:t>
      </w:r>
    </w:p>
    <w:p w14:paraId="089D8E72" w14:textId="548B60A9" w:rsidR="0072703E" w:rsidRPr="006C4CEA" w:rsidRDefault="0072703E" w:rsidP="0072703E">
      <w:pPr>
        <w:pStyle w:val="Heading1"/>
        <w:rPr>
          <w:u w:val="single"/>
        </w:rPr>
      </w:pPr>
      <w:r>
        <w:t xml:space="preserve">El plan de trabajo del PAC de 2025 propuesto se presenta para el segundo año de la estrategia trienal del PAC para 2024-2026. </w:t>
      </w:r>
    </w:p>
    <w:p w14:paraId="1F6E5959" w14:textId="3848BCC2" w:rsidR="0072703E" w:rsidRPr="006C4CEA" w:rsidRDefault="0072703E" w:rsidP="0072703E">
      <w:pPr>
        <w:pStyle w:val="Heading1"/>
        <w:numPr>
          <w:ilvl w:val="0"/>
          <w:numId w:val="0"/>
        </w:numPr>
        <w:tabs>
          <w:tab w:val="left" w:pos="720"/>
        </w:tabs>
        <w:rPr>
          <w:b/>
          <w:bCs/>
          <w:sz w:val="24"/>
          <w:szCs w:val="24"/>
        </w:rPr>
      </w:pPr>
      <w:r>
        <w:rPr>
          <w:b/>
          <w:bCs/>
          <w:sz w:val="24"/>
          <w:szCs w:val="24"/>
        </w:rPr>
        <w:t>Informe sobre la marcha de las actividades del PAC de 2024</w:t>
      </w:r>
    </w:p>
    <w:p w14:paraId="67666C11" w14:textId="75BF97C5" w:rsidR="0072703E" w:rsidRPr="00031990" w:rsidRDefault="0072703E" w:rsidP="0072703E">
      <w:pPr>
        <w:pStyle w:val="Heading1"/>
      </w:pPr>
      <w:r>
        <w:t>El informe completo sobre la marcha de las actividades figura en la parte II de la comunicación adjunta al presente documento. La presentación incluye referencias a resultados e impactos pertinentes. A continuación se resumen las actividades ejecutadas entre septiembre de 2023 y agosto de 2024:</w:t>
      </w:r>
    </w:p>
    <w:p w14:paraId="5F4CC5FB" w14:textId="054E32BA" w:rsidR="0072703E" w:rsidRPr="00C15C9E" w:rsidRDefault="0072703E" w:rsidP="0072703E">
      <w:pPr>
        <w:pStyle w:val="Heading2"/>
        <w:keepNext/>
        <w:widowControl/>
        <w:numPr>
          <w:ilvl w:val="1"/>
          <w:numId w:val="1"/>
        </w:numPr>
      </w:pPr>
      <w:r>
        <w:t>Se prestó asistencia para el cumplimiento a 147 países del artículo 5 y se prestaron servicios personalizados de asistencia para el cumplimiento en 75 países; se apoyó la ejecución de proyectos de fortalecimiento institucional en 103 países y se supervisó periódicamente la situación de la notificación de datos del artículo 7 y de los programas país, adoptándose las medidas de seguimiento necesarias; y se fomentó la participación de las oficinas nacionales del ozono (ONO) en los procesos nacionales de toma de decisiones;</w:t>
      </w:r>
    </w:p>
    <w:p w14:paraId="7E79C82B" w14:textId="23FCC5D1" w:rsidR="00C4674A" w:rsidRPr="00DF3E42" w:rsidRDefault="00B4739E" w:rsidP="00C4674A">
      <w:pPr>
        <w:pStyle w:val="Heading2"/>
        <w:numPr>
          <w:ilvl w:val="1"/>
          <w:numId w:val="1"/>
        </w:numPr>
      </w:pPr>
      <w:r>
        <w:t xml:space="preserve">Se apoyó a los distintos países para que actualizaran, supervisaran y aplicaran las leyes y normativas pertinentes, por ejemplo ayudando a los países a establecer o mejorar los </w:t>
      </w:r>
      <w:r>
        <w:lastRenderedPageBreak/>
        <w:t>sistemas de licencias y cuotas de HFC y a reforzar el sistema normativo de control de los HCFC y de lucha contra el comercio ilegal; se continuó la colaboración con la Organización Mundial de Aduanas (OMA) para proporcionar información adecuada y material de capacitación a los funcionarios de aduanas y a los encargados nacionales del ozono (ENO) sobre cuestiones relacionadas con el comercio de sustancias controladas, las operaciones de ejecución, las mejores prácticas y los enfoques innovadores, y las formas de luchar contra el comercio ilegal de sustancias controladas;</w:t>
      </w:r>
    </w:p>
    <w:p w14:paraId="0826E555" w14:textId="46F92226" w:rsidR="004F4051" w:rsidRPr="006261E9" w:rsidRDefault="004F4051" w:rsidP="004F4051">
      <w:pPr>
        <w:pStyle w:val="Heading2"/>
        <w:numPr>
          <w:ilvl w:val="1"/>
          <w:numId w:val="1"/>
        </w:numPr>
      </w:pPr>
      <w:r>
        <w:t>Se apoyó la preparación y/o presentación, y la ejecución de planes de gestión para la eliminación de HCFC (PGEH) en 105 países (77 como organismo principal y 28 como organismo cooperante), de planes de aplicación de la Enmienda de Kigali relativa a los HFC (PAK) en 24 países (10 como organismo principal y 14 como organismo cooperante);</w:t>
      </w:r>
    </w:p>
    <w:p w14:paraId="7B389025" w14:textId="3AE97F34" w:rsidR="00311025" w:rsidRPr="006261E9" w:rsidRDefault="008E6F35" w:rsidP="00504B51">
      <w:pPr>
        <w:pStyle w:val="Heading2"/>
        <w:numPr>
          <w:ilvl w:val="1"/>
          <w:numId w:val="1"/>
        </w:numPr>
      </w:pPr>
      <w:r>
        <w:t xml:space="preserve">Además, se prestó asistencia en la preparación y/o presentación de proyectos aprobados en las reuniones 93ª y 94ª, incluidos 13 informes de verificación de PGEH, 39 proyectos de fortalecimiento institucional, 15 proyectos relacionados con la eficiencia energética en virtud de la decisión 89/6, dos en virtud de la decisión 91/65, y 27 sobre inventarios nacionales de bancos de sustancias controladas no deseadas y planes de acción, en consonancia con la decisión 91/66; </w:t>
      </w:r>
    </w:p>
    <w:p w14:paraId="79A1E701" w14:textId="0EF9686D" w:rsidR="0072703E" w:rsidRPr="00B4048D" w:rsidRDefault="0072703E" w:rsidP="0072703E">
      <w:pPr>
        <w:pStyle w:val="Heading2"/>
        <w:numPr>
          <w:ilvl w:val="1"/>
          <w:numId w:val="1"/>
        </w:numPr>
        <w:rPr>
          <w:i/>
          <w:iCs/>
        </w:rPr>
      </w:pPr>
      <w:r>
        <w:t>Se continuó con el funcionamiento de las redes regionales de ENO y se organizaron un total de 20 reuniones temáticas y de red, así como otras 29 reuniones (principalmente presenciales, pero también híbridas y en línea) sobre diversos temas relacionados con el cumplimiento del Protocolo de Montreal y su Enmienda de Kigali; se impartió capacitación a 35 nuevos ENO y asistentes (incluidas 21 mujeres) en seis regiones a través del programa de capacitación de ENO para aumentar la capacidad de las ONO de abordar cuestiones emergentes y facilitar el intercambio de información y mejores prácticas; y se pusieron a prueba dos nuevas sesiones y materiales de capacitación avanzada de ENO para 17 ENO experimentados (incluidas 11 mujeres);</w:t>
      </w:r>
    </w:p>
    <w:p w14:paraId="598ECAF0" w14:textId="1127D546" w:rsidR="004141BE" w:rsidRPr="004141BE" w:rsidRDefault="0072703E" w:rsidP="0072703E">
      <w:pPr>
        <w:pStyle w:val="Heading2"/>
        <w:numPr>
          <w:ilvl w:val="1"/>
          <w:numId w:val="1"/>
        </w:numPr>
      </w:pPr>
      <w:r>
        <w:t>Se ha seguido promoviendo el programa del Permiso de Conducción de Refrigerantes (RDL), que se puso en marcha en julio de 2023, y actualmente se trabaja con los socios y los miembros del consejo asesor para transformar los recursos desarrollados en el marco del programa en un conjunto de documentos útiles para que los países los incorporen a sus sistemas nacionales de certificación existentes y nuevos. En el marco del programa mundial de capacitación para el sector de los servicios de refrigeración, el PNUMA organizó cursos de capacitación sobre refrigerantes y conocimientos básicos de eficiencia energética, que contaron con 156 inscripciones, y el curso universitario sobre gestión de refrigerantes para estudiantes de ingeniería fue solicitado por 23 instituciones educativas de los países del artículo 5;</w:t>
      </w:r>
    </w:p>
    <w:p w14:paraId="6B257630" w14:textId="066B6E65" w:rsidR="000A5CEE" w:rsidRPr="00990836" w:rsidRDefault="000A5CEE" w:rsidP="001B14E0">
      <w:pPr>
        <w:pStyle w:val="Heading2"/>
        <w:numPr>
          <w:ilvl w:val="1"/>
          <w:numId w:val="1"/>
        </w:numPr>
      </w:pPr>
      <w:r>
        <w:t>Se desarrollaron productos y servicios de creación de capacidades e información a escala regional y mundial, incluidas fichas informativas, publicaciones, aplicaciones para computadoras de escritorio y teléfonos inteligentes, y manuales de capacitación; se mantuvo actualizado el sitio web de Acción por el Ozono; se prepararon y difundieron 22</w:t>
      </w:r>
      <w:r w:rsidR="00793CF8">
        <w:t> </w:t>
      </w:r>
      <w:r>
        <w:t xml:space="preserve">boletines quincenales </w:t>
      </w:r>
      <w:proofErr w:type="spellStart"/>
      <w:r>
        <w:t>OzoNews</w:t>
      </w:r>
      <w:proofErr w:type="spellEnd"/>
      <w:r>
        <w:t xml:space="preserve"> y tres ediciones especiales para aumentar la sensibilización pública en los países asistidos mediante la celebración del Día Mundial del Ozono, y se cooperó con la Secretaría del Día Mundial del Frío y las asociaciones industriales de todo el mundo para celebrar el Día Mundial del Frío bajo el lema de la campaña de 2024 «La temperatura importa: Absolutamente», y Acción por el Ozono lo promocionó con mensajes en las redes sociales como “4 razones por las que la temperatura importa”;</w:t>
      </w:r>
    </w:p>
    <w:p w14:paraId="2D8FF185" w14:textId="6A0CAEDC" w:rsidR="00D67ED5" w:rsidRPr="00F77D81" w:rsidRDefault="0072703E" w:rsidP="00B60F81">
      <w:pPr>
        <w:pStyle w:val="Heading2"/>
        <w:keepNext/>
        <w:widowControl/>
      </w:pPr>
      <w:r>
        <w:lastRenderedPageBreak/>
        <w:t>Se mantuvieron y ampliaron las colaboraciones con varias asociaciones industriales</w:t>
      </w:r>
      <w:r w:rsidR="00D67ED5" w:rsidRPr="00D67ED5">
        <w:rPr>
          <w:rStyle w:val="FootnoteReference"/>
        </w:rPr>
        <w:footnoteReference w:id="4"/>
      </w:r>
      <w:r>
        <w:t>; en cooperación con la Asociación Europea de Aire Acondicionado y Refrigeración (AREA), se elaboró un módulo de capacitación adicional sobre eficiencia energética para el manual de capacitación elaborado conjuntamente sobre mantenimiento de refrigerantes y mejores prácticas, diseñado en un formato modular que permite a los usuarios adaptar sus programas de capacitación en función de las necesidades locales; y se tradujeron los módulos existentes al español; se actualizó la base de datos Whatgas para reflejar la información más reciente sobre las sustancias; se desarrolló un kit de recopilación de datos para el sector de los servicios de aire acondicionado vehicular; y se ayudó a los ENO con opciones normativas y políticas para mejorar la eficiencia energética y aplicar normas mínimas de eficiencia energética con herramientas como los sistemas de registro de productos; y</w:t>
      </w:r>
    </w:p>
    <w:p w14:paraId="7375B553" w14:textId="5F4E3683" w:rsidR="00AF0154" w:rsidRDefault="0072703E" w:rsidP="00377BFE">
      <w:pPr>
        <w:pStyle w:val="Heading2"/>
      </w:pPr>
      <w:r>
        <w:t>Se apoyó la aplicación de la política operativa del Fondo Multilateral sobre la incorporación de la perspectiva de género en los proyectos y en los servicios del PAC mediante la inclusión de recursos sobre la incorporación de la perspectiva de género en el sitio web de Acción para el Ozono; se elaboró y tradujo a cuatro idiomas de las Naciones Unidas una guía para ayudar a las ONO a incorporar la perspectiva de género en la aplicación del Protocolo de Montreal; se organizó un taller regional para técnicas y varios talleres regionales sobre la incorporación de la perspectiva de género en la red de ENO y/o en reuniones temáticas; se siguió organizando los eventos de la Red Internacional de Mujeres en la Refrigeración para hacer participar a las mujeres, promover oportunidades profesionales y aumentar su participación general en el sector de la refrigeración y el aire acondicionado; y se organizó una campaña para el Día Internacional de la Mujer 2024 bajo el lema «Invierte en las mujeres, acelera el progreso», en la que se presentaron casos de éxito de nueve mujeres de la comunidad del Protocolo de Montreal, en representación de diferentes instituciones, ONO y partes interesadas, mostrando su liderazgo y su papel en la protección del medio ambiente.</w:t>
      </w:r>
    </w:p>
    <w:p w14:paraId="29106531" w14:textId="568E18FA" w:rsidR="00235DB9" w:rsidRPr="00501B8F" w:rsidRDefault="00E37F04" w:rsidP="00235DB9">
      <w:pPr>
        <w:pStyle w:val="Heading2"/>
        <w:numPr>
          <w:ilvl w:val="0"/>
          <w:numId w:val="0"/>
        </w:numPr>
        <w:rPr>
          <w:u w:val="single"/>
        </w:rPr>
      </w:pPr>
      <w:r>
        <w:rPr>
          <w:u w:val="single"/>
        </w:rPr>
        <w:t>Informe sobre el apoyo técnico y político a los países consumidores de bajo volumen para apoyar la aplicación del PAK</w:t>
      </w:r>
    </w:p>
    <w:p w14:paraId="3AA51ABD" w14:textId="59169253" w:rsidR="005E45FE" w:rsidRDefault="00A11274" w:rsidP="00235DB9">
      <w:pPr>
        <w:pStyle w:val="Heading1"/>
        <w:spacing w:before="240"/>
      </w:pPr>
      <w:r>
        <w:t xml:space="preserve">Mediante la decisión 93/95(d), el Comité Ejecutivo aprobó un aumento del presupuesto del PAC para 2024, 2025 y 2026 con el fin de proporcionar asistencia técnica y política a los países de bajo consumo para apoyar la aplicación del PAK, en el entendimiento, entre otras cosas, de que el PNUMA informaría sobre las actividades de asistencia técnica y política proporcionadas a los países de bajo consumo y su impacto como parte de los informes anuales sobre la marcha de las actividades del PAC. </w:t>
      </w:r>
    </w:p>
    <w:p w14:paraId="2C8325F3" w14:textId="2B352F47" w:rsidR="005216E1" w:rsidRDefault="005E45FE" w:rsidP="00DF02B4">
      <w:pPr>
        <w:pStyle w:val="Heading1"/>
      </w:pPr>
      <w:r>
        <w:t xml:space="preserve">De acuerdo con la decisión 93/95 d) ii), el PNUMA informó sobre las actividades de apoyo a los países de bajo consumo. En el momento de la presentación del informe anual del PAC, el PNUMA había establecido cuatro áreas prioritarias para proporcionar asistencia especial a los países de bajo consumo. Estas áreas son: i) el fortalecimiento de la capacidad de los países de bajo consumo para aplicar sistemas de concesión de licencias y cuotas para los HFC y para recopilar datos sobre las tendencias de consumo de HFC; ii) el desarrollo de la capacidad de las ONO en el sector del aire acondicionado vehicular para la adopción de medidas tempranas y la evaluación de las tendencias de consumo; iii) la ayuda a las ONO para identificar el consumo en el subsector de la instalación y el montaje locales y para convertir las empresas de este subsector a alternativas de bajo potencial de calentamiento atmosférico (PCA) mediante actividades sin inversión; y iv) capacitación para el personal del PAC sobre eficiencia energética y normas mínimas de </w:t>
      </w:r>
      <w:r>
        <w:lastRenderedPageBreak/>
        <w:t xml:space="preserve">eficiencia energética, con el objetivo de contar con personal mejor equipado para proporcionar asistencia adecuada a las ONO y a las partes interesadas en los países de bajo consumo, identificar las necesidades y oportunidades de eficiencia energética, y apoyar el desarrollo y la implementación de políticas y medidas adecuadas de eficiencia energética en los países de bajo consumo. </w:t>
      </w:r>
    </w:p>
    <w:p w14:paraId="281E2F7C" w14:textId="727000FD" w:rsidR="00235DB9" w:rsidRPr="00DF02B4" w:rsidRDefault="00041A76" w:rsidP="00C82452">
      <w:pPr>
        <w:pStyle w:val="Heading1"/>
      </w:pPr>
      <w:r>
        <w:t>Para las tres primeras áreas prioritarias, se están ultimando los términos de referencia de los consultores que apoyarán la realización de las actividades pertinentes y se espera que los consultores estén contratados para diciembre de 2024. Se espera que todas las actividades concluyan antes de finales de 2025, de acuerdo con el plazo de 24 meses para el uso de la asignación de fondos para 2024 en virtud de la decisión.</w:t>
      </w:r>
    </w:p>
    <w:p w14:paraId="56A80C32" w14:textId="4A872CF1" w:rsidR="0072703E" w:rsidRPr="00E6714F" w:rsidRDefault="00660D10" w:rsidP="0072703E">
      <w:pPr>
        <w:rPr>
          <w:u w:val="single"/>
        </w:rPr>
      </w:pPr>
      <w:r>
        <w:rPr>
          <w:u w:val="single"/>
        </w:rPr>
        <w:t xml:space="preserve">Informe sobre el proyecto global de asistencia técnica para la articulación de los encargados del ozono y las autoridades en materia de políticas de eficiencia energética en apoyo de los objetos de la Enmienda de Kigali </w:t>
      </w:r>
    </w:p>
    <w:p w14:paraId="57B5BA9D" w14:textId="6513E180" w:rsidR="007708B0" w:rsidRDefault="0072703E" w:rsidP="0072703E">
      <w:pPr>
        <w:pStyle w:val="Heading1"/>
        <w:spacing w:before="240"/>
      </w:pPr>
      <w:r>
        <w:t>En la 91ª reunión, el Comité Ejecutivo aprobó la fase I (2023-2024) del proyecto global de asistencia técnica para la articulación de los ENO y las autoridades nacionales en materia energética en apoyo de los objetivos de la Enmienda de Kigali</w:t>
      </w:r>
      <w:r w:rsidR="00CE5D08">
        <w:rPr>
          <w:rStyle w:val="FootnoteReference"/>
        </w:rPr>
        <w:footnoteReference w:id="5"/>
      </w:r>
      <w:r>
        <w:t xml:space="preserve"> (en lo sucesivo, el proyecto de articulación). En virtud de la decisión 93/91(e), se pidió al PNUMA que presentara un informe final en el que se detallaran las experiencias recogidas de la ejecución de la primera fase del proyecto de articulación, cuando presentara la segunda fase del proyecto en la segunda reunión de 2024.</w:t>
      </w:r>
    </w:p>
    <w:p w14:paraId="07E8B056" w14:textId="0E2470DF" w:rsidR="0072703E" w:rsidRPr="003A1363" w:rsidRDefault="002C620B" w:rsidP="0072703E">
      <w:pPr>
        <w:pStyle w:val="Heading1"/>
        <w:spacing w:before="240"/>
      </w:pPr>
      <w:r>
        <w:t>Dado que el proyecto sigue en fase de ejecución y que la fecha de finalización es el 31 de diciembre de 2024, el PNUMA presentó una actualización de los progresos realizados desde el informe intermedio presentado a la 93ª reunión, que abarcaba el período comprendido entre el 1 de septiembre de 2023 y el 31</w:t>
      </w:r>
      <w:r w:rsidR="004E4583">
        <w:t> </w:t>
      </w:r>
      <w:r>
        <w:t xml:space="preserve">de agosto de 2024. </w:t>
      </w:r>
    </w:p>
    <w:p w14:paraId="2BDE5E87" w14:textId="74E2AC57" w:rsidR="005124A7" w:rsidRDefault="009D7E73" w:rsidP="0072703E">
      <w:pPr>
        <w:pStyle w:val="Heading1"/>
      </w:pPr>
      <w:r>
        <w:t>El PNUMA informó de que había logrado hitos significativos en áreas clave, incluida la exitosa celebración de ocho talleres de articulación celebrados en paralelo a las reuniones de la red durante el periodo del informe. El primer taller de articulación se celebró para Europa y Asia Central, y Asia Occidental, antes de la 93ª reunión. Desde entonces, se han celebrado otras siete reuniones para las islas del Pacífico, el sur de Asia, el sudeste asiático, el Caribe, América Latina y las regiones africanas anglófona y francófona. Se está elaborando el informe del último taller de la Red Africana Francófona, celebrado los días 10 y 11 de octubre de 2024, y se han completado los informes de todos los talleres anteriores, que se incorporarán al informe final de la fase I que se está elaborando actualmente. Los informes individuales presentarán los resultados de cada taller, sus principales conclusiones y recomendaciones, y guiarán la formulación de estrategias para futuras fases del proyecto, garantizando la integración efectiva de las experiencias recogidas. El informe final presentará información que servirá de base para una segunda fase y reflejará los retos y oportunidades identificados durante la primera, ya que la segunda fase tendrá como objetivo ampliar el impacto del proyecto y seguir reforzando la capacidad de los países del artículo 5 para cumplir sus compromisos relacionados con el ozono al tiempo que abordan la acción por el clima.</w:t>
      </w:r>
    </w:p>
    <w:p w14:paraId="593A4AB0" w14:textId="27BB44C2" w:rsidR="00CB3969" w:rsidRPr="00C82452" w:rsidRDefault="004305E1" w:rsidP="00C82452">
      <w:pPr>
        <w:pStyle w:val="Heading1"/>
        <w:rPr>
          <w:sz w:val="24"/>
          <w:szCs w:val="24"/>
        </w:rPr>
      </w:pPr>
      <w:r>
        <w:t xml:space="preserve">Los talleres destacaron el papel fundamental de la integración de la eficiencia energética en los esfuerzos de protección de la capa de ozono y la acción por el clima, ofreciendo a los participantes una visión práctica de casos exitosos, tecnologías emergentes y marcos políticos innovadores. En un resumen de los resultados del proyecto y de las principales conclusiones iniciales, el PNUMA indicó que los talleres han allanado el camino para avances sostenidos en soluciones sostenibles de refrigeración y han fomentado un compromiso compartido para abordar los retos interconectados de la protección de la capa de ozono, la acción por el clima y la eficiencia energética. Los talleres también han puesto de relieve el papel fundamental del compromiso de las partes interesadas y la participación del sector privado para impulsar la adopción de tecnologías de bajo PCA y prácticas de eficiencia energética. Entre los principales resultados </w:t>
      </w:r>
      <w:r>
        <w:lastRenderedPageBreak/>
        <w:t>de los talleres cabe citar el refuerzo de la colaboración nacional, regional e internacional; el reconocimiento de la necesidad de desarrollar marcos políticos estratégicos, en los que un enfoque regional es esencial para superar las barreras a la eficiencia energética y a la reducción e introducción progresivas de refrigerantes; el reconocimiento del valor de adoptar y hacer cumplir las normas mínimas de eficiencia energética y el etiquetado energético como herramientas cruciales para transformar los mercados y reducir las emisiones de gases de efecto invernadero; y el reconocimiento de que son necesarios unos sistemas sólidos de recopilación y gestión de datos para la elaboración y el seguimiento eficaces de las políticas.</w:t>
      </w:r>
    </w:p>
    <w:p w14:paraId="142EAF08" w14:textId="65B20FC6" w:rsidR="00A96758" w:rsidRPr="002A6F62" w:rsidRDefault="00ED1742" w:rsidP="0072703E">
      <w:pPr>
        <w:pStyle w:val="Heading1"/>
      </w:pPr>
      <w:r>
        <w:t>El PNUMA someterá a la consideración de la 96ª reunión el informe final, en el que se detallarán las experiencias recogidas, junto con la propuesta para la segunda fase.</w:t>
      </w:r>
    </w:p>
    <w:p w14:paraId="4081A771" w14:textId="5FC5659E" w:rsidR="0072703E" w:rsidRPr="007A4BA7" w:rsidRDefault="0072703E" w:rsidP="007A4BA7">
      <w:pPr>
        <w:keepNext/>
        <w:widowControl w:val="0"/>
        <w:spacing w:after="240"/>
        <w:rPr>
          <w:b/>
          <w:bCs/>
          <w:sz w:val="24"/>
          <w:szCs w:val="24"/>
        </w:rPr>
      </w:pPr>
      <w:r>
        <w:rPr>
          <w:b/>
          <w:bCs/>
          <w:sz w:val="24"/>
          <w:szCs w:val="24"/>
        </w:rPr>
        <w:t>Programa de trabajo para el PAC de 2025</w:t>
      </w:r>
    </w:p>
    <w:p w14:paraId="490170BE" w14:textId="01BCB024" w:rsidR="0072703E" w:rsidRPr="007A4BA7" w:rsidRDefault="000023C6" w:rsidP="00324B37">
      <w:pPr>
        <w:pStyle w:val="Heading1"/>
        <w:widowControl w:val="0"/>
      </w:pPr>
      <w:r>
        <w:t>El plan de trabajo 2025 se ha elaborado en el contexto de la estrategia 2024-2026 señalada en la decisión 93/91 a). El PNUMA llevará a cabo las siguientes actividades en apoyo de los resultados identificados en la estrategia trienal y los específicos para 2025, incluidos en el plan de trabajo completo que figura en la parte I de la presentación adjunta:</w:t>
      </w:r>
    </w:p>
    <w:p w14:paraId="2D3D99F2" w14:textId="64357BF9" w:rsidR="00CC4C98" w:rsidRPr="007A4BA7" w:rsidRDefault="0072703E" w:rsidP="002766AA">
      <w:pPr>
        <w:pStyle w:val="Heading2"/>
        <w:numPr>
          <w:ilvl w:val="1"/>
          <w:numId w:val="1"/>
        </w:numPr>
        <w:spacing w:before="240"/>
      </w:pPr>
      <w:r>
        <w:t>Seguir prestando asistencia técnica en el seguimiento, la presentación de informes y la ejecución de proyectos de fortalecimiento institucional y, previa solicitud, asistencia específica a los países del artículo 5 para abordar cuestiones técnicas, políticas u operativas concretas; organizar reuniones de la red en las 10 regiones y subregiones para abordar cuestiones prioritarias solicitadas por los países miembros de la red, intercambiar información y compartir experiencias; seguir desarrollando capacidades mediante la capacitación de todos los nuevos ENO y asistentes y la formación avanzada de los funcionarios interesados para mejorar la gestión de las ONO y desarrollar y poner a prueba una breve capacitación sobre técnicas de negociación del Protocolo de Montreal para que los ENO participen eficazmente en las reuniones del Protocolo de Montreal y del Fondo Multilateral;</w:t>
      </w:r>
    </w:p>
    <w:p w14:paraId="0E167F7C" w14:textId="72E1F012" w:rsidR="0072703E" w:rsidRPr="002E7D75" w:rsidRDefault="00CC4C98" w:rsidP="00514980">
      <w:pPr>
        <w:pStyle w:val="Heading2"/>
        <w:numPr>
          <w:ilvl w:val="1"/>
          <w:numId w:val="1"/>
        </w:numPr>
        <w:spacing w:before="240"/>
      </w:pPr>
      <w:r>
        <w:t>Ayudar a las ONO interesadas a comprender la metodología para establecer inventarios de bancos de sustancias reguladas usadas o no deseadas y la identificación de posibles estrategias y modelos empresariales para el final de la vida útil de dichas sustancias; fomentar las actividades de país a país para necesidades específicas y promover la cooperación sur-sur; y apoyar a las ONO en la exploración de sinergias relacionadas con la aplicación de la Enmienda de Kigali;</w:t>
      </w:r>
    </w:p>
    <w:p w14:paraId="0405585B" w14:textId="60C3E2F7" w:rsidR="002450B9" w:rsidRPr="007D4033" w:rsidRDefault="002450B9" w:rsidP="002450B9">
      <w:pPr>
        <w:pStyle w:val="Heading2"/>
        <w:numPr>
          <w:ilvl w:val="1"/>
          <w:numId w:val="1"/>
        </w:numPr>
      </w:pPr>
      <w:r>
        <w:t>Supervisar y apoyar los requisitos de notificación de datos y apoyar a las ONO en el uso de sistemas de notificación en línea; seguir apoyando a los países del artículo 5 para que identifiquen y adopten las mejores prácticas de recopilación de datos, comprobación cruzada, conciliación y notificación, especialmente para los HFC, y ayudar a las dependencias nacionales del ozono, según sea necesario, a comprender los cálculos de referencia de los HFC y los puntos de partida para las reducciones acumulativas sostenidas; desarrollar una herramienta para ayudar a las ONO en el seguimiento y la supervisión de la utilización de las cuotas de HFC en toneladas de CO2 equivalente;</w:t>
      </w:r>
    </w:p>
    <w:p w14:paraId="08415258" w14:textId="1E827D8C" w:rsidR="0072703E" w:rsidRPr="004C1E51" w:rsidRDefault="00BE54AF" w:rsidP="0072703E">
      <w:pPr>
        <w:pStyle w:val="Heading2"/>
        <w:numPr>
          <w:ilvl w:val="1"/>
          <w:numId w:val="1"/>
        </w:numPr>
      </w:pPr>
      <w:r>
        <w:t xml:space="preserve">Seguir prestando asistencia a los países del artículo 5 en la elaboración, revisión y aplicación de políticas y reglamentos, incluidos los relacionados con la aplicación o el refuerzo de los sistemas de concesión de licencias y cuotas para los HFC, y la mejora de la supervisión, notificación, verificación y aplicación para los HCFC; seguir promoviendo las herramientas existentes (por ejemplo, manual para la notificación de datos, consentimiento informado previo informal, calculadoras de cuotas, entre otros) y promover la adopción de sistemas electrónicos de concesión de licencias; ayudar a los países del artículo 5 que aún </w:t>
      </w:r>
      <w:r>
        <w:lastRenderedPageBreak/>
        <w:t>no han ratificado la Enmienda de Kigali a ratificarla, y apoyar a estos países en la introducción de sistemas de concesión de licencias y cuotas para los HFC; y fomentar la adopción de medidas políticas relacionadas con la extinción de incendios y la gestión del ciclo de vida de los refrigerantes;</w:t>
      </w:r>
    </w:p>
    <w:p w14:paraId="64CEEA42" w14:textId="046B49F8" w:rsidR="00175CE7" w:rsidRDefault="0072703E" w:rsidP="0072703E">
      <w:pPr>
        <w:pStyle w:val="Heading2"/>
        <w:numPr>
          <w:ilvl w:val="1"/>
          <w:numId w:val="1"/>
        </w:numPr>
      </w:pPr>
      <w:r>
        <w:t>Seguir colaborando con las aduanas y los organismos encargados de hacer cumplir la ley para integrar el trabajo relacionado con el Protocolo de Montreal en sus diversas operaciones y flujos de trabajo, y promover herramientas y materiales de formación (por ejemplo, la aplicación HCFC Quota and Licence Tracker Desktop); apoyar la capacitación de los funcionarios encargados de hacer cumplir la ley y fomentar la colaboración con los agentes de aduanas sobre la clasificación adecuada de los refrigerantes; colaborar con las organizaciones regionales y/o subregionales y las autoridades aduaneras para aplicar los códigos del Sistema Armonizado (SA) 2027; alentar a las ONO a que apoyen la participación de sus aduanas en el programa de la OMA para el tráfico transfronterizo de residuos y sustancias que agotan la capa de ozono; y promover el concepto de aduanas verdes e incluir una sesión al respecto en las reuniones sobre cumplimiento de la ley;</w:t>
      </w:r>
    </w:p>
    <w:p w14:paraId="2F2D1306" w14:textId="51F85EC8" w:rsidR="0072703E" w:rsidRPr="008D7853" w:rsidRDefault="0072703E" w:rsidP="00FA3D44">
      <w:pPr>
        <w:pStyle w:val="Heading2"/>
        <w:numPr>
          <w:ilvl w:val="1"/>
          <w:numId w:val="1"/>
        </w:numPr>
      </w:pPr>
      <w:r>
        <w:t>Seguir ejecutando las actividades del centro mundial de intercambio de información mediante la publicación de resúmenes técnicos sobre refrigerantes y tecnologías alternativos; el mantenimiento del sitio web Acción por el Ozono y la difusión de la publicación quincenal OzoNews y de tres publicaciones especiales de actualidad; promover el apoyo al Protocolo de Montreal mediante actividades regionales de sensibilización acordadas por los países en las reuniones de la red; y animar a las ONO y a las autoridades aduaneras a participar en el Día Mundial del Frío y en el Día Mundial de las Aduanas para mostrar el trabajo de supervisión y ejecución;</w:t>
      </w:r>
    </w:p>
    <w:p w14:paraId="6F3FAC56" w14:textId="4058F653" w:rsidR="0072703E" w:rsidRPr="00816686" w:rsidRDefault="0072703E" w:rsidP="002E5CFE">
      <w:pPr>
        <w:pStyle w:val="Heading2"/>
        <w:widowControl/>
        <w:numPr>
          <w:ilvl w:val="1"/>
          <w:numId w:val="1"/>
        </w:numPr>
      </w:pPr>
      <w:r>
        <w:t>Apoyar a todas las ONO en la capacitación en el sector de servicios de refrigeración mediante el suministro de productos y herramientas de capacitación e información sobre refrigerantes y tecnologías alternativas, gestión racional de refrigerantes y el sector local de instalación y montaje; continuar las actividades de creación de capacidad asistidas por el PNUMA para técnicos de servicios; ayudar a las universidades interesadas a integrar cursos de gestión de refrigerantes en sus planes de estudios de ingeniería; proporcionar orientación a las ONO sobre el establecimiento o la mejora de programas de certificación de técnicos; promover mesas redondas y exposiciones itinerantes de Ozone2Climate; y continuar apoyando la capacidad de las ONO en relación con los HFC y las alternativas utilizadas en los sectores del aire acondicionado vehicular y de la cadena de frío;</w:t>
      </w:r>
    </w:p>
    <w:p w14:paraId="78C3534E" w14:textId="2FEE958F" w:rsidR="0072703E" w:rsidRPr="00DF18BB" w:rsidRDefault="006A4DAF" w:rsidP="0072703E">
      <w:pPr>
        <w:pStyle w:val="Heading2"/>
        <w:numPr>
          <w:ilvl w:val="1"/>
          <w:numId w:val="1"/>
        </w:numPr>
      </w:pPr>
      <w:r>
        <w:t>Desarrollar nuevos materiales de capacitación relacionados con la eficiencia energética y los refrigerantes de bajo PCA, o compartir los existentes, basándose en las necesidades identificadas en los talleres de articulación, y realizar un seguimiento de las recomendaciones de la fase I de este programa; fomentar el uso de refrigerantes y tecnologías de bajo PCA y ecoenergéticos; apoyar la cooperación entre las ONO y los responsables nacionales de la formulación de políticas de eficiencia energética; seguir proporcionando planes de capacitación actualizados para técnicos sobre la instalación y el mantenimiento de equipos de RAC ecoenergéticos y apoyar a las ONO en el establecimiento de políticas o normativas para mejorar la eficiencia energética de los equipos de RAC;</w:t>
      </w:r>
    </w:p>
    <w:p w14:paraId="785FBF1C" w14:textId="48442A5B" w:rsidR="0072703E" w:rsidRPr="00DF18BB" w:rsidRDefault="0072703E" w:rsidP="002C367C">
      <w:pPr>
        <w:pStyle w:val="Heading2"/>
        <w:numPr>
          <w:ilvl w:val="1"/>
          <w:numId w:val="1"/>
        </w:numPr>
      </w:pPr>
      <w:r>
        <w:t xml:space="preserve">Apoyar a las ONO para que completen las evaluaciones de género, según se requiera, como parte de los requisitos obligatorios para la aplicación de la política de integración de la perspectiva de género del Fondo Multilateral; animar y ayudar a todas las ONO a promover la participación y la capacitación de las mujeres en el sector de la RAC a través de la sensibilización, la información y la capacitación; seguir incluyendo la integración de la </w:t>
      </w:r>
      <w:r>
        <w:lastRenderedPageBreak/>
        <w:t>perspectiva de género como tema en las reuniones de las redes regionales; y ofrecer oportunidades de creación de redes y tutoría a través de la Red Internacional de Mujeres en la Refrigeración; y</w:t>
      </w:r>
    </w:p>
    <w:p w14:paraId="0C33850B" w14:textId="341079D1" w:rsidR="0072703E" w:rsidRPr="00BC4362" w:rsidRDefault="0072703E" w:rsidP="0072703E">
      <w:pPr>
        <w:pStyle w:val="Heading2"/>
        <w:numPr>
          <w:ilvl w:val="1"/>
          <w:numId w:val="1"/>
        </w:numPr>
      </w:pPr>
      <w:r>
        <w:t>Continuar apoyando la preparación de PAK, proyectos para mejorar o mantener la eficiencia energética en equipos RAC y proyectos para apoyar la preparación de inventarios nacionales de bancos de sustancias controladas usadas o no deseadas; la implementación de PAK aprobados y PGEH en curso; y la preparación de informes de verificación.</w:t>
      </w:r>
    </w:p>
    <w:p w14:paraId="2F83B1D1" w14:textId="4AB0D8B5" w:rsidR="0072703E" w:rsidRPr="00BC4362" w:rsidRDefault="0072703E" w:rsidP="0072703E">
      <w:pPr>
        <w:pStyle w:val="Heading1"/>
        <w:keepNext/>
        <w:numPr>
          <w:ilvl w:val="0"/>
          <w:numId w:val="0"/>
        </w:numPr>
        <w:tabs>
          <w:tab w:val="left" w:pos="720"/>
        </w:tabs>
        <w:rPr>
          <w:u w:val="single"/>
        </w:rPr>
      </w:pPr>
      <w:r>
        <w:rPr>
          <w:u w:val="single"/>
        </w:rPr>
        <w:t>Cambios en el presupuesto del PAC de 2025</w:t>
      </w:r>
    </w:p>
    <w:p w14:paraId="55C1DBE9" w14:textId="69069CA6" w:rsidR="00B17A9A" w:rsidRDefault="0072703E" w:rsidP="0052245C">
      <w:pPr>
        <w:pStyle w:val="Heading1"/>
        <w:widowControl w:val="0"/>
      </w:pPr>
      <w:r>
        <w:t>El presupuesto del PAC propuesto para 2025, que asciende a USD 11.191.331, más USD 895.306 (8%) en concepto de gastos de apoyo al organismo, figura en la parte III del documento adjunto. La solicitud presupuestaria global del PAC antes de aplicar la asignación adicional de USD 150.000 de la decisión 93/95 (es decir, USD 11.041.331, más los gastos de apoyo al organismo), es un 5,85 % superior al presupuesto aprobado en 2024 (es decir, USD 10.431.200, más los gastos de apoyo al organismo, excluida la asignación adicional de USD 200.000 de la decisión 93/95). El presupuesto propuesto supera en USD 297.195 el incremento presupuestario máximo anual del 3 % permitido por la decisión 47/24 a) iii)</w:t>
      </w:r>
      <w:r w:rsidR="00F739C5" w:rsidRPr="006261E9">
        <w:rPr>
          <w:rStyle w:val="FootnoteReference"/>
          <w:lang w:val="en-US"/>
        </w:rPr>
        <w:footnoteReference w:id="6"/>
      </w:r>
      <w:r>
        <w:t>, si no se tienen en cuenta las asignaciones adicionales para 2024 y 2025. El PNUMA solicita la aprobación de este aumento con carácter excepcional, basándose en una revisión en profundidad de los gastos y en la información facilitada por los países del artículo 5 sobre el nivel de apoyo necesario con el objetivo de eliminación del 67,5 % de los HCFC en 2025, la congelación de los HFC en 2024 y los próximos objetivos de reducción, así como otros acontecimientos recientes en el marco del Fondo Multilateral.</w:t>
      </w:r>
    </w:p>
    <w:p w14:paraId="08813700" w14:textId="77777777" w:rsidR="00A06126" w:rsidRPr="00C57ED1" w:rsidRDefault="00A06126" w:rsidP="0052245C">
      <w:pPr>
        <w:pStyle w:val="Heading1"/>
        <w:widowControl w:val="0"/>
        <w:numPr>
          <w:ilvl w:val="0"/>
          <w:numId w:val="0"/>
        </w:numPr>
        <w:tabs>
          <w:tab w:val="left" w:pos="720"/>
        </w:tabs>
      </w:pPr>
      <w:r>
        <w:rPr>
          <w:i/>
        </w:rPr>
        <w:t>Cambios en el presupuesto del programa</w:t>
      </w:r>
      <w:r w:rsidRPr="00C57ED1">
        <w:rPr>
          <w:rStyle w:val="FootnoteReference"/>
          <w:lang w:val="en-US"/>
        </w:rPr>
        <w:footnoteReference w:id="7"/>
      </w:r>
    </w:p>
    <w:p w14:paraId="287F0947" w14:textId="4ADED346" w:rsidR="00DC442B" w:rsidRDefault="007B019D" w:rsidP="0052245C">
      <w:pPr>
        <w:pStyle w:val="Heading1"/>
        <w:widowControl w:val="0"/>
      </w:pPr>
      <w:r>
        <w:t xml:space="preserve">El presupuesto propuesto representa, entre otras cosas, aumentos en las partidas de plantilla y personal del 2,99 % para cubrir principalmente los costos inflacionarios de los puestos ocupados; un aumento del 5 % en los gastos de viaje; un 20 % en los costos de las actividades y reuniones regionales; y un 13,33 % en los costos de los servicios globales. </w:t>
      </w:r>
    </w:p>
    <w:p w14:paraId="1D4C442A" w14:textId="392DAE28" w:rsidR="0072703E" w:rsidRPr="002E5CFE" w:rsidRDefault="0072703E" w:rsidP="005169EA">
      <w:pPr>
        <w:pStyle w:val="Heading1"/>
        <w:keepNext/>
        <w:keepLines/>
        <w:numPr>
          <w:ilvl w:val="0"/>
          <w:numId w:val="0"/>
        </w:numPr>
        <w:rPr>
          <w:i/>
        </w:rPr>
      </w:pPr>
      <w:r>
        <w:rPr>
          <w:i/>
        </w:rPr>
        <w:t>Cambios en materia de personal del Programa de Asistencia al Cumplimiento</w:t>
      </w:r>
      <w:r w:rsidRPr="002E5CFE">
        <w:rPr>
          <w:rStyle w:val="FootnoteReference"/>
          <w:i/>
          <w:lang w:val="en-US"/>
        </w:rPr>
        <w:footnoteReference w:id="8"/>
      </w:r>
      <w:r>
        <w:rPr>
          <w:i/>
        </w:rPr>
        <w:t xml:space="preserve"> </w:t>
      </w:r>
    </w:p>
    <w:p w14:paraId="59D53FDB" w14:textId="7BFC9C10" w:rsidR="0072703E" w:rsidRPr="00830EDC" w:rsidRDefault="0072703E" w:rsidP="00A61573">
      <w:pPr>
        <w:pStyle w:val="Heading1"/>
        <w:keepNext/>
      </w:pPr>
      <w:r>
        <w:t>El PNUMA indicó que de los tres nuevos puestos acordados en la 93ª reunión, dos han sido anunciados y se cubrirán en breve, y uno está siendo clasificado por la ONUN para su anuncio inmediato; y que además de los aumentos anuales por inflación del personal, el PNUMA propone modificaciones de las partidas presupuestarias (PP) asociadas a los puestos descritos a continuación, para reflejar las responsabilidades nuevas y reestructuradas:</w:t>
      </w:r>
    </w:p>
    <w:p w14:paraId="64FF8D32" w14:textId="3DF4C472" w:rsidR="0072703E" w:rsidRPr="00207C97" w:rsidRDefault="0072703E" w:rsidP="0072703E">
      <w:pPr>
        <w:pStyle w:val="Heading2"/>
        <w:numPr>
          <w:ilvl w:val="1"/>
          <w:numId w:val="1"/>
        </w:numPr>
      </w:pPr>
      <w:r>
        <w:t>PP 1301 y 1345 (G6) - Reclasificaciones del asistente principal del jefe de subdivisión y del asistente administrativo global al nivel G7, en consonancia con el nivel de los asistentes principales del PNUMA que desempeñan funciones similares en otras divisiones; y</w:t>
      </w:r>
    </w:p>
    <w:p w14:paraId="3AD8B2CC" w14:textId="6E6C9D02" w:rsidR="0072703E" w:rsidRDefault="0072703E" w:rsidP="0072703E">
      <w:pPr>
        <w:pStyle w:val="Heading2"/>
        <w:numPr>
          <w:ilvl w:val="1"/>
          <w:numId w:val="1"/>
        </w:numPr>
      </w:pPr>
      <w:r>
        <w:lastRenderedPageBreak/>
        <w:t xml:space="preserve">PP 1342 (G5) - Reclasificación global del auxiliar administrativo al nivel G6 en consonancia con el nivel de los auxiliares administrativos de otras divisiones que desempeñan funciones similares. </w:t>
      </w:r>
    </w:p>
    <w:p w14:paraId="5992C239" w14:textId="3A037FE4" w:rsidR="0054437C" w:rsidRPr="00CA3DF2" w:rsidRDefault="00B6457E" w:rsidP="008A6EB1">
      <w:pPr>
        <w:spacing w:after="240"/>
        <w:rPr>
          <w:i/>
          <w:iCs/>
          <w:u w:val="single"/>
        </w:rPr>
      </w:pPr>
      <w:r>
        <w:rPr>
          <w:i/>
          <w:iCs/>
          <w:u w:val="single"/>
        </w:rPr>
        <w:t>Componente de viaje</w:t>
      </w:r>
    </w:p>
    <w:p w14:paraId="04214930" w14:textId="31A0B633" w:rsidR="00867737" w:rsidRDefault="00A06126" w:rsidP="00867737">
      <w:pPr>
        <w:pStyle w:val="Heading1"/>
        <w:keepNext/>
      </w:pPr>
      <w:r>
        <w:t>Las partidas presupuestarias 1601-1651 del PAC para viajes tuvieron un crecimiento del cero por ciento en el trienio 2020-2023. Sin embargo, los viajes y los costos asociados no han dejado de crecer y hoy son más elevados. La propuesta de un aumento del 5 % se atribuye al incremento de los precios mundiales de los pasajes aéreos, al mayor costo de las dietas y al transporte entre el lugar de residencia y el punto de partida y del punto de llegada al hotel, y viceversa.</w:t>
      </w:r>
    </w:p>
    <w:p w14:paraId="492C68B7" w14:textId="1A770C2A" w:rsidR="00B577BE" w:rsidRDefault="00CA3DF2" w:rsidP="00B577BE">
      <w:pPr>
        <w:spacing w:after="240"/>
      </w:pPr>
      <w:r>
        <w:rPr>
          <w:i/>
          <w:iCs/>
          <w:u w:val="single"/>
        </w:rPr>
        <w:t>Componente de actividades regionales</w:t>
      </w:r>
    </w:p>
    <w:p w14:paraId="57D48695" w14:textId="5D3427AA" w:rsidR="00313BD9" w:rsidRPr="008764DC" w:rsidRDefault="004457EF" w:rsidP="008764DC">
      <w:pPr>
        <w:pStyle w:val="Heading1"/>
      </w:pPr>
      <w:r>
        <w:t>Las partidas presupuestarias 2210-2251 del PAC para actividades regionales cubren las reuniones temáticas y de redes, la cooperación entre países y la sensibilización regional, para las que se propone un aumento del 20 %. El presupuesto para esta categoría de gasto disminuyó ligeramente en 2022 y se mantuvo al mismo nivel de 2023 a 2024. El aumento solicitado se debe principalmente al mayor costo de los viajes de los participantes para asistir a las reuniones en persona, al aumento del alquiler de locales y servicios asociados, y de la asistencia de país a país y las actividades regionales de sensibilización para dar cuenta de una mayor demanda de estos servicios. Este componente del presupuesto incluye también una solicitud de ayuda financiera adicional para que el PAC pueda facilitar un aumento de la ayuda de país a país.</w:t>
      </w:r>
    </w:p>
    <w:p w14:paraId="60389424" w14:textId="02CF0A35" w:rsidR="00782976" w:rsidRPr="00CA3DF2" w:rsidRDefault="00782976" w:rsidP="00CA3DF2">
      <w:pPr>
        <w:spacing w:after="240"/>
        <w:rPr>
          <w:i/>
          <w:iCs/>
          <w:u w:val="single"/>
        </w:rPr>
      </w:pPr>
      <w:r>
        <w:rPr>
          <w:i/>
          <w:iCs/>
          <w:u w:val="single"/>
        </w:rPr>
        <w:t>Componente de servicios globales</w:t>
      </w:r>
    </w:p>
    <w:p w14:paraId="094E576D" w14:textId="61D3AA94" w:rsidR="001C6BCD" w:rsidRPr="001C6BCD" w:rsidRDefault="001C6BCD" w:rsidP="00FF6292">
      <w:pPr>
        <w:pStyle w:val="Heading1"/>
      </w:pPr>
      <w:r>
        <w:t xml:space="preserve">En consonancia con la decisión 93/95 d) y reconociendo que los países de bajo consumo siguen siendo una prioridad para la asistencia del PAC, el PNUMA ha incluido la partida presupuestaria 3216 por un importe de USD 150.000. En 2025, tras haber identificado a los países de bajo consumo en la fase de ejecución de sus PAK, para los que el PNUMA es el organismo de ejecución principal, el PNUMA proporcionará apoyo adicional a través de las actividades descritas en el párrafo 5 anterior. </w:t>
      </w:r>
    </w:p>
    <w:p w14:paraId="1D7CAEA4" w14:textId="6EFBAD81" w:rsidR="001C6BCD" w:rsidRPr="001C6BCD" w:rsidRDefault="00FF6292" w:rsidP="001C6BCD">
      <w:pPr>
        <w:pStyle w:val="Heading1"/>
      </w:pPr>
      <w:r>
        <w:t xml:space="preserve">Se ha añadido la partida presupuestaria 3213 para permitir la contratación de expertos técnicos en eficiencia energética. Se trata de un ámbito en el que, como ya se ha señalado, se necesitan más conocimientos especializados entre los organismos de ejecución para ayudar mejor a los países. En consecuencia, este presupuesto incluye una provisión de USD 150.000 para contratar de dos a tres expertos senior en eficiencia energética como consultores para apoyar al equipo del PAC en la respuesta a las necesidades de los países del artículo 5, en particular aquellos que necesitan ayuda para presentar proyectos relacionados con la eficiencia energética en virtud de las decisiones pertinentes del Comité Ejecutivo. Los consultores también proporcionarán asistencia técnica en la identificación de las áreas de trabajo en las que la intervención del PNUMA puede ser beneficiosa para los países del artículo 5. El costo estimado se basa en las tarifas estándar de consultoría en diferentes niveles de especialización según los reglamentos y normas de la ONU. Este requisito es a corto plazo y se revisará en los próximos presupuestos del PAC. </w:t>
      </w:r>
    </w:p>
    <w:p w14:paraId="0943531E" w14:textId="1275B79F" w:rsidR="001C6BCD" w:rsidRPr="00C918F7" w:rsidRDefault="00C918F7" w:rsidP="0049411B">
      <w:pPr>
        <w:pStyle w:val="Heading1"/>
        <w:rPr>
          <w:i/>
          <w:iCs/>
        </w:rPr>
      </w:pPr>
      <w:r>
        <w:t>El costo de la partida presupuestaria 4210 para reuniones consultivas y de asesoramiento se reduce de USD 20.000 a USD 5.000 para 2025, de conformidad con la decisión 93/91 d) ii) en la que se solicita al PNUMA que continúe ampliando el orden de prioridad de la financiación entre las partidas presupuestarias del PAC para adaptarse a los cambios de prioridades.</w:t>
      </w:r>
    </w:p>
    <w:p w14:paraId="0CF52412" w14:textId="7C054B47" w:rsidR="0072703E" w:rsidRPr="00782976" w:rsidRDefault="0072703E" w:rsidP="004E4583">
      <w:pPr>
        <w:pStyle w:val="Heading1"/>
        <w:keepNext/>
        <w:keepLines/>
        <w:widowControl w:val="0"/>
        <w:numPr>
          <w:ilvl w:val="0"/>
          <w:numId w:val="0"/>
        </w:numPr>
        <w:tabs>
          <w:tab w:val="left" w:pos="720"/>
        </w:tabs>
        <w:rPr>
          <w:i/>
        </w:rPr>
      </w:pPr>
      <w:r>
        <w:rPr>
          <w:i/>
        </w:rPr>
        <w:lastRenderedPageBreak/>
        <w:t>Comparación del presupuesto para 2023-2025</w:t>
      </w:r>
    </w:p>
    <w:p w14:paraId="337582EF" w14:textId="230CD18A" w:rsidR="0072703E" w:rsidRPr="00BD7E63" w:rsidRDefault="0072703E" w:rsidP="004E4583">
      <w:pPr>
        <w:pStyle w:val="Heading1"/>
        <w:keepNext/>
        <w:keepLines/>
        <w:widowControl w:val="0"/>
      </w:pPr>
      <w:r>
        <w:t>Según se muestra en el cuadro 1, y conforme a lo dispuesto en la decisión 93/91 d) iv)</w:t>
      </w:r>
      <w:r w:rsidRPr="00BD7E63">
        <w:rPr>
          <w:rStyle w:val="FootnoteReference"/>
        </w:rPr>
        <w:footnoteReference w:id="9"/>
      </w:r>
      <w:r>
        <w:t>, el PNUMA presenta una comparación del presupuesto del Programa de Asistencia al Cumplimiento (PAC) para tres años.</w:t>
      </w:r>
    </w:p>
    <w:p w14:paraId="3E2CCDBC" w14:textId="0EEB2D84" w:rsidR="0072703E" w:rsidRDefault="0072703E" w:rsidP="0072703E">
      <w:pPr>
        <w:keepNext/>
        <w:rPr>
          <w:b/>
        </w:rPr>
      </w:pPr>
      <w:r>
        <w:rPr>
          <w:b/>
        </w:rPr>
        <w:t>Cuadro 1: Presupuesto del Programa de Asistencia al Cumplimiento para 2023-2025 (USD)</w:t>
      </w:r>
    </w:p>
    <w:tbl>
      <w:tblPr>
        <w:tblW w:w="9418" w:type="dxa"/>
        <w:tblInd w:w="-5" w:type="dxa"/>
        <w:tblLayout w:type="fixed"/>
        <w:tblCellMar>
          <w:left w:w="57" w:type="dxa"/>
          <w:right w:w="57" w:type="dxa"/>
        </w:tblCellMar>
        <w:tblLook w:val="04A0" w:firstRow="1" w:lastRow="0" w:firstColumn="1" w:lastColumn="0" w:noHBand="0" w:noVBand="1"/>
      </w:tblPr>
      <w:tblGrid>
        <w:gridCol w:w="1711"/>
        <w:gridCol w:w="1408"/>
        <w:gridCol w:w="1161"/>
        <w:gridCol w:w="1249"/>
        <w:gridCol w:w="1320"/>
        <w:gridCol w:w="1251"/>
        <w:gridCol w:w="1318"/>
      </w:tblGrid>
      <w:tr w:rsidR="0072703E" w:rsidRPr="0059279F" w14:paraId="70288504" w14:textId="77777777" w:rsidTr="00B60F81">
        <w:trPr>
          <w:trHeight w:val="230"/>
          <w:tblHeader/>
        </w:trPr>
        <w:tc>
          <w:tcPr>
            <w:tcW w:w="1711"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vAlign w:val="center"/>
            <w:hideMark/>
          </w:tcPr>
          <w:p w14:paraId="57DD8701" w14:textId="77777777" w:rsidR="0072703E" w:rsidRPr="0059279F" w:rsidRDefault="0072703E">
            <w:pPr>
              <w:jc w:val="left"/>
              <w:rPr>
                <w:b/>
                <w:color w:val="000000"/>
                <w:sz w:val="20"/>
                <w:szCs w:val="20"/>
              </w:rPr>
            </w:pPr>
            <w:r>
              <w:rPr>
                <w:b/>
                <w:color w:val="000000"/>
                <w:sz w:val="20"/>
                <w:szCs w:val="20"/>
              </w:rPr>
              <w:t>Partida</w:t>
            </w:r>
          </w:p>
        </w:tc>
        <w:tc>
          <w:tcPr>
            <w:tcW w:w="3818" w:type="dxa"/>
            <w:gridSpan w:val="3"/>
            <w:tcBorders>
              <w:top w:val="single" w:sz="4" w:space="0" w:color="auto"/>
              <w:left w:val="single" w:sz="4" w:space="0" w:color="auto"/>
              <w:bottom w:val="single" w:sz="4" w:space="0" w:color="auto"/>
              <w:right w:val="single" w:sz="4" w:space="0" w:color="auto"/>
            </w:tcBorders>
            <w:noWrap/>
            <w:vAlign w:val="center"/>
            <w:hideMark/>
          </w:tcPr>
          <w:p w14:paraId="689105CE" w14:textId="01E8E433" w:rsidR="0072703E" w:rsidRPr="0059279F" w:rsidRDefault="0072703E">
            <w:pPr>
              <w:jc w:val="center"/>
              <w:rPr>
                <w:b/>
                <w:bCs/>
                <w:color w:val="000000"/>
                <w:sz w:val="20"/>
                <w:szCs w:val="20"/>
              </w:rPr>
            </w:pPr>
            <w:r>
              <w:rPr>
                <w:b/>
                <w:bCs/>
                <w:color w:val="000000"/>
                <w:sz w:val="20"/>
                <w:szCs w:val="20"/>
              </w:rPr>
              <w:t>2023</w:t>
            </w:r>
          </w:p>
        </w:tc>
        <w:tc>
          <w:tcPr>
            <w:tcW w:w="2571" w:type="dxa"/>
            <w:gridSpan w:val="2"/>
            <w:tcBorders>
              <w:top w:val="single" w:sz="4" w:space="0" w:color="auto"/>
              <w:left w:val="single" w:sz="4" w:space="0" w:color="auto"/>
              <w:bottom w:val="single" w:sz="4" w:space="0" w:color="auto"/>
              <w:right w:val="single" w:sz="4" w:space="0" w:color="auto"/>
            </w:tcBorders>
            <w:noWrap/>
            <w:vAlign w:val="center"/>
            <w:hideMark/>
          </w:tcPr>
          <w:p w14:paraId="1E98A4E0" w14:textId="01992096" w:rsidR="0072703E" w:rsidRPr="0059279F" w:rsidRDefault="0072703E">
            <w:pPr>
              <w:jc w:val="center"/>
              <w:rPr>
                <w:b/>
                <w:bCs/>
                <w:color w:val="000000"/>
                <w:sz w:val="20"/>
                <w:szCs w:val="20"/>
              </w:rPr>
            </w:pPr>
            <w:r>
              <w:rPr>
                <w:b/>
                <w:bCs/>
                <w:color w:val="000000"/>
                <w:sz w:val="20"/>
                <w:szCs w:val="20"/>
              </w:rPr>
              <w:t>2024</w:t>
            </w:r>
          </w:p>
        </w:tc>
        <w:tc>
          <w:tcPr>
            <w:tcW w:w="1318" w:type="dxa"/>
            <w:tcBorders>
              <w:top w:val="single" w:sz="4" w:space="0" w:color="auto"/>
              <w:left w:val="single" w:sz="4" w:space="0" w:color="auto"/>
              <w:bottom w:val="single" w:sz="4" w:space="0" w:color="auto"/>
              <w:right w:val="single" w:sz="4" w:space="0" w:color="auto"/>
            </w:tcBorders>
            <w:noWrap/>
            <w:vAlign w:val="center"/>
            <w:hideMark/>
          </w:tcPr>
          <w:p w14:paraId="60F9F493" w14:textId="5D8CF43F" w:rsidR="0072703E" w:rsidRPr="0059279F" w:rsidRDefault="0072703E">
            <w:pPr>
              <w:jc w:val="center"/>
              <w:rPr>
                <w:b/>
                <w:bCs/>
                <w:color w:val="000000"/>
                <w:sz w:val="20"/>
                <w:szCs w:val="20"/>
              </w:rPr>
            </w:pPr>
            <w:r>
              <w:rPr>
                <w:b/>
                <w:bCs/>
                <w:color w:val="000000"/>
                <w:sz w:val="20"/>
                <w:szCs w:val="20"/>
              </w:rPr>
              <w:t>2025</w:t>
            </w:r>
          </w:p>
        </w:tc>
      </w:tr>
      <w:tr w:rsidR="006D7D3F" w:rsidRPr="0059279F" w14:paraId="2E81CF0D" w14:textId="77777777" w:rsidTr="00B60F81">
        <w:trPr>
          <w:trHeight w:val="71"/>
          <w:tblHeader/>
        </w:trPr>
        <w:tc>
          <w:tcPr>
            <w:tcW w:w="1711" w:type="dxa"/>
            <w:vMerge/>
            <w:tcBorders>
              <w:top w:val="single" w:sz="4" w:space="0" w:color="auto"/>
              <w:left w:val="single" w:sz="4" w:space="0" w:color="auto"/>
              <w:bottom w:val="single" w:sz="4" w:space="0" w:color="auto"/>
              <w:right w:val="single" w:sz="4" w:space="0" w:color="auto"/>
            </w:tcBorders>
            <w:vAlign w:val="center"/>
            <w:hideMark/>
          </w:tcPr>
          <w:p w14:paraId="5D83CD95" w14:textId="77777777" w:rsidR="0072703E" w:rsidRPr="0059279F" w:rsidRDefault="0072703E">
            <w:pPr>
              <w:jc w:val="left"/>
              <w:rPr>
                <w:b/>
                <w:color w:val="000000"/>
                <w:sz w:val="20"/>
                <w:szCs w:val="20"/>
                <w:lang w:val="en-GB" w:eastAsia="en-GB"/>
              </w:rPr>
            </w:pPr>
          </w:p>
        </w:tc>
        <w:tc>
          <w:tcPr>
            <w:tcW w:w="140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472B2F5" w14:textId="77777777" w:rsidR="0072703E" w:rsidRPr="0059279F" w:rsidRDefault="0072703E">
            <w:pPr>
              <w:jc w:val="center"/>
              <w:rPr>
                <w:b/>
                <w:color w:val="000000"/>
                <w:sz w:val="20"/>
              </w:rPr>
            </w:pPr>
            <w:r>
              <w:rPr>
                <w:b/>
                <w:color w:val="000000"/>
                <w:sz w:val="20"/>
              </w:rPr>
              <w:t>Aprobados</w:t>
            </w:r>
          </w:p>
        </w:tc>
        <w:tc>
          <w:tcPr>
            <w:tcW w:w="116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F483512" w14:textId="77777777" w:rsidR="0072703E" w:rsidRPr="0059279F" w:rsidRDefault="0072703E">
            <w:pPr>
              <w:jc w:val="center"/>
              <w:rPr>
                <w:b/>
                <w:color w:val="000000"/>
                <w:sz w:val="20"/>
              </w:rPr>
            </w:pPr>
            <w:r>
              <w:rPr>
                <w:b/>
                <w:color w:val="000000"/>
                <w:sz w:val="20"/>
              </w:rPr>
              <w:t>Gastos</w:t>
            </w:r>
          </w:p>
        </w:tc>
        <w:tc>
          <w:tcPr>
            <w:tcW w:w="12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028EC19" w14:textId="77777777" w:rsidR="0072703E" w:rsidRPr="0059279F" w:rsidRDefault="0072703E">
            <w:pPr>
              <w:jc w:val="center"/>
              <w:rPr>
                <w:b/>
                <w:color w:val="000000"/>
                <w:sz w:val="20"/>
              </w:rPr>
            </w:pPr>
            <w:r>
              <w:rPr>
                <w:b/>
                <w:color w:val="000000"/>
                <w:sz w:val="20"/>
              </w:rPr>
              <w:t>Saldo</w:t>
            </w:r>
          </w:p>
        </w:tc>
        <w:tc>
          <w:tcPr>
            <w:tcW w:w="1320"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CF65EE2" w14:textId="77777777" w:rsidR="0072703E" w:rsidRPr="0059279F" w:rsidRDefault="0072703E">
            <w:pPr>
              <w:jc w:val="center"/>
              <w:rPr>
                <w:b/>
                <w:color w:val="000000"/>
                <w:sz w:val="20"/>
              </w:rPr>
            </w:pPr>
            <w:r>
              <w:rPr>
                <w:b/>
                <w:color w:val="000000"/>
                <w:sz w:val="20"/>
              </w:rPr>
              <w:t>Aprobados</w:t>
            </w:r>
          </w:p>
        </w:tc>
        <w:tc>
          <w:tcPr>
            <w:tcW w:w="125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2A30235" w14:textId="1FC91909" w:rsidR="0072703E" w:rsidRPr="0059279F" w:rsidRDefault="0072703E">
            <w:pPr>
              <w:jc w:val="center"/>
              <w:rPr>
                <w:b/>
                <w:color w:val="000000"/>
                <w:sz w:val="20"/>
              </w:rPr>
            </w:pPr>
            <w:r>
              <w:rPr>
                <w:b/>
                <w:color w:val="000000"/>
                <w:sz w:val="20"/>
                <w:szCs w:val="20"/>
              </w:rPr>
              <w:t>Gastos</w:t>
            </w:r>
            <w:r>
              <w:rPr>
                <w:sz w:val="19"/>
                <w:vertAlign w:val="superscript"/>
              </w:rPr>
              <w:t xml:space="preserve"> a</w:t>
            </w:r>
            <w:r>
              <w:rPr>
                <w:b/>
                <w:color w:val="000000"/>
                <w:sz w:val="20"/>
                <w:szCs w:val="20"/>
              </w:rPr>
              <w:t xml:space="preserve"> </w:t>
            </w:r>
          </w:p>
        </w:tc>
        <w:tc>
          <w:tcPr>
            <w:tcW w:w="131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29879B5" w14:textId="77777777" w:rsidR="0072703E" w:rsidRPr="0059279F" w:rsidRDefault="0072703E">
            <w:pPr>
              <w:jc w:val="center"/>
              <w:rPr>
                <w:b/>
                <w:color w:val="000000"/>
                <w:sz w:val="20"/>
              </w:rPr>
            </w:pPr>
            <w:r>
              <w:rPr>
                <w:b/>
                <w:color w:val="000000"/>
                <w:sz w:val="20"/>
              </w:rPr>
              <w:t>Propuesto</w:t>
            </w:r>
          </w:p>
        </w:tc>
      </w:tr>
      <w:tr w:rsidR="006D7D3F" w:rsidRPr="0059279F" w14:paraId="3309786C" w14:textId="77777777" w:rsidTr="00B60F81">
        <w:trPr>
          <w:trHeight w:val="461"/>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44F0E557" w14:textId="77777777" w:rsidR="002768B6" w:rsidRPr="0059279F" w:rsidRDefault="002768B6" w:rsidP="002768B6">
            <w:pPr>
              <w:jc w:val="left"/>
              <w:rPr>
                <w:color w:val="000000"/>
                <w:sz w:val="20"/>
                <w:szCs w:val="20"/>
              </w:rPr>
            </w:pPr>
            <w:r>
              <w:rPr>
                <w:color w:val="000000"/>
                <w:sz w:val="20"/>
                <w:szCs w:val="20"/>
              </w:rPr>
              <w:t>Personal y consultores</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89B0D40" w14:textId="618A388F" w:rsidR="002768B6" w:rsidRPr="0059279F" w:rsidRDefault="002768B6" w:rsidP="00734FB3">
            <w:pPr>
              <w:jc w:val="right"/>
              <w:rPr>
                <w:color w:val="000000"/>
                <w:sz w:val="20"/>
                <w:szCs w:val="20"/>
              </w:rPr>
            </w:pPr>
            <w:r>
              <w:rPr>
                <w:sz w:val="20"/>
                <w:szCs w:val="20"/>
              </w:rPr>
              <w:t>7.324.162</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F583781" w14:textId="580FECFF" w:rsidR="002768B6" w:rsidRPr="0059279F" w:rsidRDefault="002768B6" w:rsidP="00734FB3">
            <w:pPr>
              <w:jc w:val="right"/>
              <w:rPr>
                <w:color w:val="000000"/>
                <w:sz w:val="20"/>
                <w:szCs w:val="20"/>
              </w:rPr>
            </w:pPr>
            <w:r>
              <w:rPr>
                <w:color w:val="000000"/>
                <w:sz w:val="20"/>
                <w:szCs w:val="20"/>
              </w:rPr>
              <w:t>6.412.525</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6560EE1" w14:textId="130389ED" w:rsidR="002768B6" w:rsidRPr="0059279F" w:rsidRDefault="002768B6" w:rsidP="00734FB3">
            <w:pPr>
              <w:jc w:val="right"/>
              <w:rPr>
                <w:color w:val="000000"/>
                <w:sz w:val="20"/>
                <w:szCs w:val="20"/>
              </w:rPr>
            </w:pPr>
            <w:r>
              <w:rPr>
                <w:sz w:val="20"/>
                <w:szCs w:val="20"/>
              </w:rPr>
              <w:t>911.637</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E859E5C" w14:textId="58A9B40F" w:rsidR="002768B6" w:rsidRPr="0059279F" w:rsidRDefault="002768B6" w:rsidP="00734FB3">
            <w:pPr>
              <w:jc w:val="right"/>
              <w:rPr>
                <w:color w:val="000000"/>
                <w:sz w:val="20"/>
                <w:szCs w:val="20"/>
              </w:rPr>
            </w:pPr>
            <w:r>
              <w:rPr>
                <w:sz w:val="20"/>
                <w:szCs w:val="20"/>
              </w:rPr>
              <w:t>7.626.200</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7191A58" w14:textId="362C9298" w:rsidR="002768B6" w:rsidRPr="0059279F" w:rsidRDefault="002768B6" w:rsidP="00734FB3">
            <w:pPr>
              <w:jc w:val="right"/>
              <w:rPr>
                <w:color w:val="000000"/>
                <w:sz w:val="20"/>
                <w:szCs w:val="20"/>
              </w:rPr>
            </w:pPr>
            <w:r>
              <w:rPr>
                <w:sz w:val="20"/>
                <w:szCs w:val="20"/>
              </w:rPr>
              <w:t>7.130.900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914839A" w14:textId="4E378C58" w:rsidR="002768B6" w:rsidRPr="0059279F" w:rsidRDefault="00143B92" w:rsidP="00734FB3">
            <w:pPr>
              <w:jc w:val="right"/>
              <w:rPr>
                <w:color w:val="000000"/>
                <w:sz w:val="20"/>
                <w:szCs w:val="20"/>
              </w:rPr>
            </w:pPr>
            <w:r>
              <w:rPr>
                <w:sz w:val="20"/>
                <w:szCs w:val="20"/>
              </w:rPr>
              <w:t>7.854.531</w:t>
            </w:r>
          </w:p>
        </w:tc>
      </w:tr>
      <w:tr w:rsidR="006D7D3F" w:rsidRPr="0059279F" w14:paraId="1A82BEA1" w14:textId="77777777" w:rsidTr="00B60F81">
        <w:trPr>
          <w:trHeight w:val="230"/>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0D5D9A09" w14:textId="77777777" w:rsidR="002768B6" w:rsidRPr="0059279F" w:rsidRDefault="002768B6" w:rsidP="002768B6">
            <w:pPr>
              <w:jc w:val="left"/>
              <w:rPr>
                <w:color w:val="000000"/>
                <w:sz w:val="20"/>
                <w:szCs w:val="20"/>
              </w:rPr>
            </w:pPr>
            <w:r>
              <w:rPr>
                <w:color w:val="000000"/>
                <w:sz w:val="20"/>
                <w:szCs w:val="20"/>
              </w:rPr>
              <w:t>Viajes</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AEAF3BB" w14:textId="0EA89E11" w:rsidR="002768B6" w:rsidRPr="0059279F" w:rsidRDefault="002768B6" w:rsidP="00734FB3">
            <w:pPr>
              <w:jc w:val="right"/>
              <w:rPr>
                <w:color w:val="000000"/>
                <w:sz w:val="20"/>
                <w:szCs w:val="20"/>
              </w:rPr>
            </w:pPr>
            <w:r>
              <w:rPr>
                <w:sz w:val="20"/>
                <w:szCs w:val="20"/>
              </w:rPr>
              <w:t>548.000</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2952A13" w14:textId="7603CA60" w:rsidR="002768B6" w:rsidRPr="0059279F" w:rsidRDefault="002768B6" w:rsidP="00734FB3">
            <w:pPr>
              <w:jc w:val="right"/>
              <w:rPr>
                <w:color w:val="000000"/>
                <w:sz w:val="20"/>
                <w:szCs w:val="20"/>
              </w:rPr>
            </w:pPr>
            <w:r>
              <w:rPr>
                <w:color w:val="000000"/>
                <w:sz w:val="20"/>
                <w:szCs w:val="20"/>
              </w:rPr>
              <w:t>535.755</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F7BC5EA" w14:textId="09CF03C5" w:rsidR="002768B6" w:rsidRPr="0059279F" w:rsidRDefault="002768B6" w:rsidP="00734FB3">
            <w:pPr>
              <w:jc w:val="right"/>
              <w:rPr>
                <w:color w:val="000000"/>
                <w:sz w:val="20"/>
                <w:szCs w:val="20"/>
              </w:rPr>
            </w:pPr>
            <w:r>
              <w:rPr>
                <w:sz w:val="20"/>
                <w:szCs w:val="20"/>
              </w:rPr>
              <w:t>12.245</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A645F87" w14:textId="016D987E" w:rsidR="002768B6" w:rsidRPr="0059279F" w:rsidRDefault="002768B6" w:rsidP="00734FB3">
            <w:pPr>
              <w:jc w:val="right"/>
              <w:rPr>
                <w:color w:val="000000"/>
                <w:sz w:val="20"/>
                <w:szCs w:val="20"/>
              </w:rPr>
            </w:pPr>
            <w:r>
              <w:rPr>
                <w:sz w:val="20"/>
                <w:szCs w:val="20"/>
              </w:rPr>
              <w:t>548.000</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7B18D65" w14:textId="670097E0" w:rsidR="002768B6" w:rsidRPr="0059279F" w:rsidRDefault="002768B6" w:rsidP="00734FB3">
            <w:pPr>
              <w:jc w:val="right"/>
              <w:rPr>
                <w:color w:val="000000"/>
                <w:sz w:val="20"/>
                <w:szCs w:val="20"/>
              </w:rPr>
            </w:pPr>
            <w:r>
              <w:rPr>
                <w:sz w:val="20"/>
                <w:szCs w:val="20"/>
              </w:rPr>
              <w:t>548.000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18A1CE1" w14:textId="5CFF42DC" w:rsidR="002768B6" w:rsidRPr="0059279F" w:rsidRDefault="002768B6" w:rsidP="00734FB3">
            <w:pPr>
              <w:jc w:val="right"/>
              <w:rPr>
                <w:color w:val="000000"/>
                <w:sz w:val="20"/>
                <w:szCs w:val="20"/>
              </w:rPr>
            </w:pPr>
            <w:r>
              <w:rPr>
                <w:sz w:val="20"/>
                <w:szCs w:val="20"/>
              </w:rPr>
              <w:t>575.400</w:t>
            </w:r>
          </w:p>
        </w:tc>
      </w:tr>
      <w:tr w:rsidR="006D7D3F" w:rsidRPr="0059279F" w14:paraId="13C16FAD" w14:textId="77777777" w:rsidTr="00B60F81">
        <w:trPr>
          <w:trHeight w:val="287"/>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4D7E6A1" w14:textId="74180826" w:rsidR="002768B6" w:rsidRPr="0059279F" w:rsidRDefault="002768B6" w:rsidP="002768B6">
            <w:pPr>
              <w:jc w:val="left"/>
              <w:rPr>
                <w:color w:val="000000"/>
                <w:sz w:val="20"/>
                <w:szCs w:val="20"/>
              </w:rPr>
            </w:pPr>
            <w:r>
              <w:rPr>
                <w:color w:val="000000"/>
                <w:sz w:val="20"/>
                <w:szCs w:val="20"/>
              </w:rPr>
              <w:t xml:space="preserve">Actividades y reuniones regionales </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9B7748D" w14:textId="668B9EE2" w:rsidR="002768B6" w:rsidRPr="0059279F" w:rsidRDefault="00DF0138" w:rsidP="002E5CFE">
            <w:pPr>
              <w:ind w:left="112"/>
              <w:jc w:val="right"/>
              <w:rPr>
                <w:color w:val="000000"/>
                <w:sz w:val="20"/>
                <w:szCs w:val="20"/>
              </w:rPr>
            </w:pPr>
            <w:r>
              <w:rPr>
                <w:color w:val="000000"/>
                <w:sz w:val="20"/>
                <w:szCs w:val="20"/>
                <w:vertAlign w:val="superscript"/>
              </w:rPr>
              <w:t>b</w:t>
            </w:r>
            <w:r>
              <w:rPr>
                <w:sz w:val="20"/>
                <w:szCs w:val="20"/>
              </w:rPr>
              <w:t xml:space="preserve"> 1.117.000</w:t>
            </w:r>
            <w:r>
              <w:rPr>
                <w:color w:val="000000"/>
                <w:sz w:val="20"/>
                <w:szCs w:val="20"/>
                <w:vertAlign w:val="superscript"/>
              </w:rPr>
              <w:t xml:space="preserve"> </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DFEF254" w14:textId="0A77B99E" w:rsidR="002768B6" w:rsidRPr="0059279F" w:rsidRDefault="002768B6" w:rsidP="00734FB3">
            <w:pPr>
              <w:jc w:val="right"/>
              <w:rPr>
                <w:color w:val="000000"/>
                <w:sz w:val="20"/>
                <w:szCs w:val="20"/>
              </w:rPr>
            </w:pPr>
            <w:r>
              <w:rPr>
                <w:color w:val="000000"/>
                <w:sz w:val="20"/>
                <w:szCs w:val="20"/>
              </w:rPr>
              <w:t>1.117.000</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8A367B2" w14:textId="65D058A8" w:rsidR="002768B6" w:rsidRPr="0059279F" w:rsidRDefault="002768B6" w:rsidP="00734FB3">
            <w:pPr>
              <w:jc w:val="right"/>
              <w:rPr>
                <w:color w:val="000000"/>
                <w:sz w:val="20"/>
                <w:szCs w:val="20"/>
              </w:rPr>
            </w:pPr>
            <w:r>
              <w:rPr>
                <w:sz w:val="20"/>
                <w:szCs w:val="20"/>
              </w:rPr>
              <w:t>0</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CDCFB6" w14:textId="52848445" w:rsidR="002768B6" w:rsidRPr="0059279F" w:rsidRDefault="00141E01" w:rsidP="00734FB3">
            <w:pPr>
              <w:jc w:val="right"/>
              <w:rPr>
                <w:color w:val="000000"/>
                <w:sz w:val="20"/>
                <w:szCs w:val="20"/>
              </w:rPr>
            </w:pPr>
            <w:r>
              <w:rPr>
                <w:color w:val="000000"/>
                <w:sz w:val="20"/>
                <w:szCs w:val="20"/>
                <w:vertAlign w:val="superscript"/>
              </w:rPr>
              <w:t>b</w:t>
            </w:r>
            <w:r>
              <w:rPr>
                <w:sz w:val="20"/>
                <w:szCs w:val="20"/>
              </w:rPr>
              <w:t xml:space="preserve"> 1.117.000 </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5A64DDD" w14:textId="1CCF513B" w:rsidR="002768B6" w:rsidRPr="0059279F" w:rsidRDefault="002768B6" w:rsidP="00734FB3">
            <w:pPr>
              <w:jc w:val="right"/>
              <w:rPr>
                <w:color w:val="000000"/>
                <w:sz w:val="20"/>
                <w:szCs w:val="20"/>
              </w:rPr>
            </w:pPr>
            <w:r>
              <w:rPr>
                <w:sz w:val="20"/>
                <w:szCs w:val="20"/>
              </w:rPr>
              <w:t>1.117.000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7805DB78" w14:textId="0DD734F3" w:rsidR="002768B6" w:rsidRPr="0059279F" w:rsidRDefault="00F74390" w:rsidP="00734FB3">
            <w:pPr>
              <w:jc w:val="right"/>
              <w:rPr>
                <w:color w:val="000000"/>
                <w:sz w:val="20"/>
                <w:szCs w:val="20"/>
              </w:rPr>
            </w:pPr>
            <w:r>
              <w:rPr>
                <w:color w:val="000000"/>
                <w:sz w:val="20"/>
                <w:szCs w:val="20"/>
                <w:vertAlign w:val="superscript"/>
              </w:rPr>
              <w:t>d</w:t>
            </w:r>
            <w:r>
              <w:rPr>
                <w:color w:val="000000"/>
                <w:sz w:val="20"/>
                <w:szCs w:val="20"/>
              </w:rPr>
              <w:t xml:space="preserve"> 1.316.400</w:t>
            </w:r>
          </w:p>
        </w:tc>
      </w:tr>
      <w:tr w:rsidR="006D7D3F" w:rsidRPr="0059279F" w14:paraId="747DE8D4" w14:textId="77777777" w:rsidTr="00B60F81">
        <w:trPr>
          <w:trHeight w:val="461"/>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7EE5F4AB" w14:textId="488DD703" w:rsidR="002768B6" w:rsidRPr="0059279F" w:rsidRDefault="002768B6" w:rsidP="002768B6">
            <w:pPr>
              <w:jc w:val="left"/>
              <w:rPr>
                <w:color w:val="000000"/>
                <w:sz w:val="20"/>
                <w:szCs w:val="20"/>
              </w:rPr>
            </w:pPr>
            <w:r>
              <w:rPr>
                <w:color w:val="000000"/>
                <w:sz w:val="20"/>
                <w:szCs w:val="20"/>
              </w:rPr>
              <w:t>Servicios/reuniones globales</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6E8467F" w14:textId="1794A0FE" w:rsidR="002768B6" w:rsidRPr="0059279F" w:rsidRDefault="002768B6" w:rsidP="00734FB3">
            <w:pPr>
              <w:jc w:val="right"/>
              <w:rPr>
                <w:color w:val="000000"/>
                <w:sz w:val="20"/>
                <w:szCs w:val="20"/>
              </w:rPr>
            </w:pPr>
            <w:r>
              <w:rPr>
                <w:sz w:val="20"/>
                <w:szCs w:val="20"/>
              </w:rPr>
              <w:t>550.000</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7E55213" w14:textId="2E1895E0" w:rsidR="002768B6" w:rsidRPr="0059279F" w:rsidRDefault="002768B6" w:rsidP="00734FB3">
            <w:pPr>
              <w:jc w:val="right"/>
              <w:rPr>
                <w:color w:val="000000"/>
                <w:sz w:val="20"/>
                <w:szCs w:val="20"/>
              </w:rPr>
            </w:pPr>
            <w:r>
              <w:rPr>
                <w:color w:val="000000"/>
                <w:sz w:val="20"/>
                <w:szCs w:val="20"/>
              </w:rPr>
              <w:t>329.531</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38A77E0" w14:textId="04E618CD" w:rsidR="002768B6" w:rsidRPr="0059279F" w:rsidRDefault="002768B6" w:rsidP="00734FB3">
            <w:pPr>
              <w:jc w:val="right"/>
              <w:rPr>
                <w:color w:val="000000"/>
                <w:sz w:val="20"/>
                <w:szCs w:val="20"/>
              </w:rPr>
            </w:pPr>
            <w:r>
              <w:rPr>
                <w:sz w:val="20"/>
                <w:szCs w:val="20"/>
              </w:rPr>
              <w:t>220.469</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2257F1B" w14:textId="63D22402" w:rsidR="002768B6" w:rsidRPr="0059279F" w:rsidRDefault="00141E01" w:rsidP="00734FB3">
            <w:pPr>
              <w:jc w:val="right"/>
              <w:rPr>
                <w:color w:val="000000"/>
                <w:sz w:val="20"/>
                <w:szCs w:val="20"/>
              </w:rPr>
            </w:pPr>
            <w:r>
              <w:rPr>
                <w:color w:val="000000"/>
                <w:sz w:val="20"/>
                <w:szCs w:val="20"/>
                <w:vertAlign w:val="superscript"/>
              </w:rPr>
              <w:t>c</w:t>
            </w:r>
            <w:r>
              <w:rPr>
                <w:sz w:val="20"/>
                <w:szCs w:val="20"/>
              </w:rPr>
              <w:t xml:space="preserve"> 750.000</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389E129" w14:textId="586C0AA4" w:rsidR="002768B6" w:rsidRPr="0059279F" w:rsidRDefault="002768B6" w:rsidP="00734FB3">
            <w:pPr>
              <w:jc w:val="right"/>
              <w:rPr>
                <w:color w:val="000000"/>
                <w:sz w:val="20"/>
                <w:szCs w:val="20"/>
              </w:rPr>
            </w:pPr>
            <w:r>
              <w:rPr>
                <w:sz w:val="20"/>
                <w:szCs w:val="20"/>
              </w:rPr>
              <w:t>725.000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B8FBE22" w14:textId="207B2E07" w:rsidR="002768B6" w:rsidRPr="0059279F" w:rsidRDefault="00141E01" w:rsidP="00734FB3">
            <w:pPr>
              <w:jc w:val="right"/>
              <w:rPr>
                <w:color w:val="000000"/>
                <w:sz w:val="20"/>
                <w:szCs w:val="20"/>
              </w:rPr>
            </w:pPr>
            <w:r>
              <w:rPr>
                <w:color w:val="000000"/>
                <w:sz w:val="20"/>
                <w:szCs w:val="20"/>
                <w:vertAlign w:val="superscript"/>
              </w:rPr>
              <w:t>e</w:t>
            </w:r>
            <w:r>
              <w:rPr>
                <w:sz w:val="20"/>
                <w:szCs w:val="20"/>
              </w:rPr>
              <w:t xml:space="preserve"> 855.000</w:t>
            </w:r>
          </w:p>
        </w:tc>
      </w:tr>
      <w:tr w:rsidR="006D7D3F" w:rsidRPr="0059279F" w14:paraId="2B66EED8" w14:textId="77777777" w:rsidTr="00B60F81">
        <w:trPr>
          <w:trHeight w:val="461"/>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1D59FBFD" w14:textId="77777777" w:rsidR="002768B6" w:rsidRPr="0059279F" w:rsidRDefault="002768B6" w:rsidP="002768B6">
            <w:pPr>
              <w:jc w:val="left"/>
              <w:rPr>
                <w:color w:val="000000"/>
                <w:sz w:val="20"/>
                <w:szCs w:val="20"/>
              </w:rPr>
            </w:pPr>
            <w:r>
              <w:rPr>
                <w:color w:val="000000"/>
                <w:sz w:val="20"/>
                <w:szCs w:val="20"/>
              </w:rPr>
              <w:t xml:space="preserve">Oficinas y equipos </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024CCD6" w14:textId="3BF0F608" w:rsidR="002768B6" w:rsidRPr="0059279F" w:rsidRDefault="002768B6" w:rsidP="00734FB3">
            <w:pPr>
              <w:jc w:val="right"/>
              <w:rPr>
                <w:color w:val="000000"/>
                <w:sz w:val="20"/>
                <w:szCs w:val="20"/>
              </w:rPr>
            </w:pPr>
            <w:r>
              <w:rPr>
                <w:sz w:val="20"/>
                <w:szCs w:val="20"/>
              </w:rPr>
              <w:t>590.000</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ED302DC" w14:textId="003A840D" w:rsidR="002768B6" w:rsidRPr="0059279F" w:rsidRDefault="002768B6" w:rsidP="00734FB3">
            <w:pPr>
              <w:jc w:val="right"/>
              <w:rPr>
                <w:color w:val="000000"/>
                <w:sz w:val="20"/>
                <w:szCs w:val="20"/>
              </w:rPr>
            </w:pPr>
            <w:r>
              <w:rPr>
                <w:color w:val="000000"/>
                <w:sz w:val="20"/>
                <w:szCs w:val="20"/>
              </w:rPr>
              <w:t>541.362</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02198F3" w14:textId="0A5215F1" w:rsidR="002768B6" w:rsidRPr="0059279F" w:rsidRDefault="002768B6" w:rsidP="00734FB3">
            <w:pPr>
              <w:jc w:val="right"/>
              <w:rPr>
                <w:color w:val="000000"/>
                <w:sz w:val="20"/>
                <w:szCs w:val="20"/>
              </w:rPr>
            </w:pPr>
            <w:r>
              <w:rPr>
                <w:sz w:val="20"/>
                <w:szCs w:val="20"/>
              </w:rPr>
              <w:t>48.638</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3F572C0" w14:textId="5066431D" w:rsidR="002768B6" w:rsidRPr="0059279F" w:rsidRDefault="002768B6" w:rsidP="00734FB3">
            <w:pPr>
              <w:jc w:val="right"/>
              <w:rPr>
                <w:color w:val="000000"/>
                <w:sz w:val="20"/>
                <w:szCs w:val="20"/>
              </w:rPr>
            </w:pPr>
            <w:r>
              <w:rPr>
                <w:sz w:val="20"/>
                <w:szCs w:val="20"/>
              </w:rPr>
              <w:t>590.000</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A400CBC" w14:textId="43E116FC" w:rsidR="002768B6" w:rsidRPr="0059279F" w:rsidRDefault="002768B6" w:rsidP="00734FB3">
            <w:pPr>
              <w:jc w:val="right"/>
              <w:rPr>
                <w:color w:val="000000"/>
                <w:sz w:val="20"/>
                <w:szCs w:val="20"/>
              </w:rPr>
            </w:pPr>
            <w:r>
              <w:rPr>
                <w:sz w:val="20"/>
                <w:szCs w:val="20"/>
              </w:rPr>
              <w:t>570.000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6357218" w14:textId="085AFB54" w:rsidR="002768B6" w:rsidRPr="0059279F" w:rsidRDefault="002768B6" w:rsidP="00734FB3">
            <w:pPr>
              <w:jc w:val="right"/>
              <w:rPr>
                <w:color w:val="000000"/>
                <w:sz w:val="20"/>
                <w:szCs w:val="20"/>
              </w:rPr>
            </w:pPr>
            <w:r>
              <w:rPr>
                <w:sz w:val="20"/>
                <w:szCs w:val="20"/>
              </w:rPr>
              <w:t>590.000</w:t>
            </w:r>
          </w:p>
        </w:tc>
      </w:tr>
      <w:tr w:rsidR="006D7D3F" w:rsidRPr="00E24751" w14:paraId="3B162907" w14:textId="77777777" w:rsidTr="00B60F81">
        <w:trPr>
          <w:trHeight w:val="230"/>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26E58C11" w14:textId="77777777" w:rsidR="002768B6" w:rsidRPr="00E24751" w:rsidRDefault="002768B6" w:rsidP="002768B6">
            <w:pPr>
              <w:jc w:val="left"/>
              <w:rPr>
                <w:b/>
                <w:color w:val="000000"/>
                <w:sz w:val="20"/>
              </w:rPr>
            </w:pPr>
            <w:r>
              <w:rPr>
                <w:b/>
                <w:color w:val="000000"/>
                <w:sz w:val="20"/>
              </w:rPr>
              <w:t xml:space="preserve">Subtotal </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3B3979" w14:textId="261B6EDE" w:rsidR="002768B6" w:rsidRPr="00E24751" w:rsidRDefault="002768B6" w:rsidP="00734FB3">
            <w:pPr>
              <w:jc w:val="right"/>
              <w:rPr>
                <w:b/>
                <w:bCs/>
                <w:color w:val="000000"/>
                <w:sz w:val="20"/>
                <w:szCs w:val="20"/>
              </w:rPr>
            </w:pPr>
            <w:r>
              <w:rPr>
                <w:b/>
                <w:bCs/>
                <w:sz w:val="20"/>
                <w:szCs w:val="20"/>
              </w:rPr>
              <w:t>10.129.162</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2E18B3DF" w14:textId="5FE899BF" w:rsidR="002768B6" w:rsidRPr="00E24751" w:rsidRDefault="002768B6" w:rsidP="00734FB3">
            <w:pPr>
              <w:jc w:val="right"/>
              <w:rPr>
                <w:b/>
                <w:bCs/>
                <w:color w:val="000000"/>
                <w:sz w:val="20"/>
                <w:szCs w:val="20"/>
              </w:rPr>
            </w:pPr>
            <w:r>
              <w:rPr>
                <w:b/>
                <w:bCs/>
                <w:sz w:val="20"/>
                <w:szCs w:val="20"/>
              </w:rPr>
              <w:t>8.936.173</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B92E7C" w14:textId="595FB3EB" w:rsidR="002768B6" w:rsidRPr="00E24751" w:rsidRDefault="00141E01" w:rsidP="00734FB3">
            <w:pPr>
              <w:jc w:val="right"/>
              <w:rPr>
                <w:b/>
                <w:bCs/>
                <w:sz w:val="20"/>
                <w:szCs w:val="20"/>
              </w:rPr>
            </w:pPr>
            <w:r>
              <w:rPr>
                <w:color w:val="000000"/>
                <w:sz w:val="20"/>
                <w:szCs w:val="20"/>
                <w:vertAlign w:val="superscript"/>
              </w:rPr>
              <w:t>f</w:t>
            </w:r>
            <w:r>
              <w:rPr>
                <w:b/>
                <w:bCs/>
                <w:sz w:val="20"/>
                <w:szCs w:val="20"/>
              </w:rPr>
              <w:t xml:space="preserve"> 1.192.989</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F38EE90" w14:textId="7E298D44" w:rsidR="002768B6" w:rsidRPr="00E24751" w:rsidRDefault="002768B6" w:rsidP="00734FB3">
            <w:pPr>
              <w:jc w:val="right"/>
              <w:rPr>
                <w:b/>
                <w:bCs/>
                <w:color w:val="000000"/>
                <w:sz w:val="20"/>
                <w:szCs w:val="20"/>
              </w:rPr>
            </w:pPr>
            <w:r>
              <w:rPr>
                <w:b/>
                <w:bCs/>
                <w:sz w:val="20"/>
                <w:szCs w:val="20"/>
              </w:rPr>
              <w:t>10.631.200</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624E7E6" w14:textId="2D3BA07C" w:rsidR="002768B6" w:rsidRPr="00E24751" w:rsidRDefault="002768B6" w:rsidP="00734FB3">
            <w:pPr>
              <w:jc w:val="right"/>
              <w:rPr>
                <w:b/>
                <w:bCs/>
                <w:color w:val="000000"/>
                <w:sz w:val="20"/>
                <w:szCs w:val="20"/>
              </w:rPr>
            </w:pPr>
            <w:r>
              <w:rPr>
                <w:b/>
                <w:bCs/>
                <w:sz w:val="20"/>
                <w:szCs w:val="20"/>
              </w:rPr>
              <w:t>10.090.900</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60E1375F" w14:textId="7B9104EE" w:rsidR="002768B6" w:rsidRPr="00E24751" w:rsidRDefault="002768B6" w:rsidP="00734FB3">
            <w:pPr>
              <w:jc w:val="right"/>
              <w:rPr>
                <w:b/>
                <w:bCs/>
                <w:color w:val="000000"/>
                <w:sz w:val="20"/>
                <w:szCs w:val="20"/>
              </w:rPr>
            </w:pPr>
            <w:r>
              <w:rPr>
                <w:b/>
                <w:bCs/>
                <w:sz w:val="20"/>
                <w:szCs w:val="20"/>
              </w:rPr>
              <w:t>11.191.331</w:t>
            </w:r>
          </w:p>
        </w:tc>
      </w:tr>
      <w:tr w:rsidR="006D7D3F" w:rsidRPr="00E24751" w14:paraId="36854624" w14:textId="77777777" w:rsidTr="00B60F81">
        <w:trPr>
          <w:trHeight w:val="476"/>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5C30D280" w14:textId="77777777" w:rsidR="002768B6" w:rsidRPr="00E24751" w:rsidRDefault="002768B6" w:rsidP="002768B6">
            <w:pPr>
              <w:jc w:val="left"/>
              <w:rPr>
                <w:color w:val="000000"/>
                <w:sz w:val="20"/>
                <w:szCs w:val="20"/>
              </w:rPr>
            </w:pPr>
            <w:r>
              <w:rPr>
                <w:color w:val="000000"/>
                <w:sz w:val="20"/>
                <w:szCs w:val="20"/>
              </w:rPr>
              <w:t>Costos de apoyo al programa</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80853FC" w14:textId="05790BF3" w:rsidR="002768B6" w:rsidRPr="00E24751" w:rsidRDefault="002768B6" w:rsidP="00734FB3">
            <w:pPr>
              <w:jc w:val="right"/>
              <w:rPr>
                <w:color w:val="000000"/>
                <w:sz w:val="20"/>
                <w:szCs w:val="20"/>
              </w:rPr>
            </w:pPr>
            <w:r>
              <w:rPr>
                <w:sz w:val="20"/>
                <w:szCs w:val="20"/>
              </w:rPr>
              <w:t>810.333</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28AE26E" w14:textId="795F28F9" w:rsidR="002768B6" w:rsidRPr="00E24751" w:rsidRDefault="002768B6" w:rsidP="00734FB3">
            <w:pPr>
              <w:jc w:val="right"/>
              <w:rPr>
                <w:color w:val="000000"/>
                <w:sz w:val="20"/>
                <w:szCs w:val="20"/>
              </w:rPr>
            </w:pPr>
            <w:r>
              <w:rPr>
                <w:color w:val="000000"/>
                <w:sz w:val="20"/>
                <w:szCs w:val="20"/>
              </w:rPr>
              <w:t>714.894</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51D87C7" w14:textId="18BAD41E" w:rsidR="002768B6" w:rsidRPr="00E24751" w:rsidRDefault="002768B6" w:rsidP="00734FB3">
            <w:pPr>
              <w:jc w:val="right"/>
              <w:rPr>
                <w:color w:val="000000"/>
                <w:sz w:val="20"/>
                <w:szCs w:val="20"/>
              </w:rPr>
            </w:pPr>
            <w:r>
              <w:rPr>
                <w:sz w:val="20"/>
                <w:szCs w:val="20"/>
              </w:rPr>
              <w:t>95.439</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8EEB3C3" w14:textId="1B1D72D3" w:rsidR="002768B6" w:rsidRPr="00E24751" w:rsidRDefault="002768B6" w:rsidP="00734FB3">
            <w:pPr>
              <w:jc w:val="right"/>
              <w:rPr>
                <w:color w:val="000000"/>
                <w:sz w:val="20"/>
                <w:szCs w:val="20"/>
              </w:rPr>
            </w:pPr>
            <w:r>
              <w:rPr>
                <w:sz w:val="20"/>
                <w:szCs w:val="20"/>
              </w:rPr>
              <w:t>850.496</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8730AD9" w14:textId="63886DD7" w:rsidR="002768B6" w:rsidRPr="00E24751" w:rsidRDefault="002768B6" w:rsidP="00734FB3">
            <w:pPr>
              <w:jc w:val="right"/>
              <w:rPr>
                <w:color w:val="000000"/>
                <w:sz w:val="20"/>
                <w:szCs w:val="20"/>
              </w:rPr>
            </w:pPr>
            <w:r>
              <w:rPr>
                <w:sz w:val="20"/>
                <w:szCs w:val="20"/>
              </w:rPr>
              <w:t>807.272</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4073D37D" w14:textId="05770DCF" w:rsidR="002768B6" w:rsidRPr="00E24751" w:rsidRDefault="00143B92" w:rsidP="00734FB3">
            <w:pPr>
              <w:jc w:val="right"/>
              <w:rPr>
                <w:color w:val="000000"/>
                <w:sz w:val="20"/>
                <w:szCs w:val="20"/>
              </w:rPr>
            </w:pPr>
            <w:r>
              <w:rPr>
                <w:sz w:val="20"/>
                <w:szCs w:val="20"/>
              </w:rPr>
              <w:t>895.306</w:t>
            </w:r>
          </w:p>
        </w:tc>
      </w:tr>
      <w:tr w:rsidR="006D7D3F" w:rsidRPr="00E24751" w14:paraId="64D225FC" w14:textId="77777777" w:rsidTr="00B60F81">
        <w:trPr>
          <w:trHeight w:val="71"/>
        </w:trPr>
        <w:tc>
          <w:tcPr>
            <w:tcW w:w="1711"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0" w:type="dxa"/>
            </w:tcMar>
            <w:hideMark/>
          </w:tcPr>
          <w:p w14:paraId="31E0A3DA" w14:textId="77777777" w:rsidR="002768B6" w:rsidRPr="00E24751" w:rsidRDefault="002768B6" w:rsidP="002768B6">
            <w:pPr>
              <w:jc w:val="left"/>
              <w:rPr>
                <w:b/>
                <w:color w:val="000000"/>
                <w:sz w:val="20"/>
              </w:rPr>
            </w:pPr>
            <w:r>
              <w:rPr>
                <w:b/>
                <w:iCs/>
                <w:color w:val="000000"/>
                <w:sz w:val="20"/>
                <w:szCs w:val="20"/>
              </w:rPr>
              <w:t>Total</w:t>
            </w:r>
          </w:p>
        </w:tc>
        <w:tc>
          <w:tcPr>
            <w:tcW w:w="140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11FAB4B2" w14:textId="0FCC1FD4" w:rsidR="002768B6" w:rsidRPr="00E24751" w:rsidRDefault="002768B6" w:rsidP="00734FB3">
            <w:pPr>
              <w:jc w:val="right"/>
              <w:rPr>
                <w:b/>
                <w:bCs/>
                <w:color w:val="000000"/>
                <w:sz w:val="20"/>
                <w:szCs w:val="20"/>
              </w:rPr>
            </w:pPr>
            <w:r>
              <w:rPr>
                <w:b/>
                <w:bCs/>
                <w:sz w:val="20"/>
                <w:szCs w:val="20"/>
              </w:rPr>
              <w:t>10.939.495</w:t>
            </w:r>
          </w:p>
        </w:tc>
        <w:tc>
          <w:tcPr>
            <w:tcW w:w="116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9F2C39D" w14:textId="52B3D8F5" w:rsidR="002768B6" w:rsidRPr="00E24751" w:rsidRDefault="002768B6" w:rsidP="00734FB3">
            <w:pPr>
              <w:jc w:val="right"/>
              <w:rPr>
                <w:b/>
                <w:bCs/>
                <w:color w:val="000000"/>
                <w:sz w:val="20"/>
                <w:szCs w:val="20"/>
              </w:rPr>
            </w:pPr>
            <w:r>
              <w:rPr>
                <w:b/>
                <w:bCs/>
                <w:sz w:val="20"/>
                <w:szCs w:val="20"/>
              </w:rPr>
              <w:t>9.651.067</w:t>
            </w:r>
          </w:p>
        </w:tc>
        <w:tc>
          <w:tcPr>
            <w:tcW w:w="1249"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51474BA8" w14:textId="0A2F9D4A" w:rsidR="002768B6" w:rsidRPr="00E24751" w:rsidRDefault="00F73948" w:rsidP="00734FB3">
            <w:pPr>
              <w:jc w:val="right"/>
              <w:rPr>
                <w:b/>
                <w:bCs/>
                <w:color w:val="000000"/>
                <w:sz w:val="20"/>
                <w:szCs w:val="20"/>
              </w:rPr>
            </w:pPr>
            <w:r>
              <w:rPr>
                <w:sz w:val="20"/>
                <w:szCs w:val="20"/>
                <w:vertAlign w:val="superscript"/>
              </w:rPr>
              <w:t>c</w:t>
            </w:r>
            <w:r>
              <w:rPr>
                <w:b/>
                <w:bCs/>
                <w:sz w:val="20"/>
                <w:szCs w:val="20"/>
              </w:rPr>
              <w:t xml:space="preserve"> 1.288.428</w:t>
            </w:r>
          </w:p>
        </w:tc>
        <w:tc>
          <w:tcPr>
            <w:tcW w:w="132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372E3BE8" w14:textId="53CACBB6" w:rsidR="002768B6" w:rsidRPr="00E24751" w:rsidRDefault="002768B6" w:rsidP="00734FB3">
            <w:pPr>
              <w:jc w:val="right"/>
              <w:rPr>
                <w:b/>
                <w:bCs/>
                <w:color w:val="000000"/>
                <w:sz w:val="20"/>
                <w:szCs w:val="20"/>
              </w:rPr>
            </w:pPr>
            <w:r>
              <w:rPr>
                <w:b/>
                <w:bCs/>
                <w:sz w:val="20"/>
                <w:szCs w:val="20"/>
              </w:rPr>
              <w:t>11.481.696</w:t>
            </w:r>
          </w:p>
        </w:tc>
        <w:tc>
          <w:tcPr>
            <w:tcW w:w="1251"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3BCFEE3" w14:textId="03EAC52C" w:rsidR="002768B6" w:rsidRPr="00E24751" w:rsidRDefault="002768B6" w:rsidP="00734FB3">
            <w:pPr>
              <w:jc w:val="right"/>
              <w:rPr>
                <w:b/>
                <w:bCs/>
                <w:color w:val="000000"/>
                <w:sz w:val="20"/>
                <w:szCs w:val="20"/>
              </w:rPr>
            </w:pPr>
            <w:r>
              <w:rPr>
                <w:b/>
                <w:bCs/>
                <w:sz w:val="20"/>
                <w:szCs w:val="20"/>
              </w:rPr>
              <w:t>10.898.172</w:t>
            </w:r>
          </w:p>
        </w:tc>
        <w:tc>
          <w:tcPr>
            <w:tcW w:w="1318"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173" w:type="dxa"/>
            </w:tcMar>
          </w:tcPr>
          <w:p w14:paraId="048B0882" w14:textId="58F7D0B1" w:rsidR="002768B6" w:rsidRPr="00E24751" w:rsidRDefault="004701E1" w:rsidP="00734FB3">
            <w:pPr>
              <w:jc w:val="right"/>
              <w:rPr>
                <w:b/>
                <w:bCs/>
                <w:color w:val="000000"/>
                <w:sz w:val="20"/>
                <w:szCs w:val="20"/>
              </w:rPr>
            </w:pPr>
            <w:r>
              <w:rPr>
                <w:b/>
                <w:bCs/>
                <w:sz w:val="20"/>
                <w:szCs w:val="20"/>
              </w:rPr>
              <w:t>12.086.637</w:t>
            </w:r>
          </w:p>
        </w:tc>
      </w:tr>
    </w:tbl>
    <w:p w14:paraId="48745FB2" w14:textId="3F108C47" w:rsidR="00734FB3" w:rsidRPr="00E24751" w:rsidRDefault="000F1F45" w:rsidP="0072703E">
      <w:pPr>
        <w:rPr>
          <w:sz w:val="19"/>
          <w:szCs w:val="19"/>
        </w:rPr>
      </w:pPr>
      <w:r>
        <w:rPr>
          <w:sz w:val="19"/>
          <w:vertAlign w:val="superscript"/>
        </w:rPr>
        <w:t>a</w:t>
      </w:r>
      <w:r>
        <w:rPr>
          <w:sz w:val="19"/>
          <w:szCs w:val="19"/>
        </w:rPr>
        <w:t xml:space="preserve"> Gastos estimados a 31 de diciembre de 2024.</w:t>
      </w:r>
    </w:p>
    <w:p w14:paraId="6DF3A5E5" w14:textId="04F69938" w:rsidR="0072703E" w:rsidRDefault="00734FB3" w:rsidP="0072703E">
      <w:pPr>
        <w:rPr>
          <w:sz w:val="19"/>
        </w:rPr>
      </w:pPr>
      <w:r>
        <w:rPr>
          <w:sz w:val="19"/>
          <w:szCs w:val="19"/>
          <w:vertAlign w:val="superscript"/>
        </w:rPr>
        <w:t>b</w:t>
      </w:r>
      <w:r>
        <w:rPr>
          <w:sz w:val="19"/>
          <w:szCs w:val="19"/>
        </w:rPr>
        <w:t xml:space="preserve"> Incluidos los gastos de las reuniones de asesoramiento y consulta - partida presupuestaria 4210.</w:t>
      </w:r>
    </w:p>
    <w:p w14:paraId="27817EA4" w14:textId="77777777" w:rsidR="00DC5E13" w:rsidRPr="00E24751" w:rsidRDefault="00DC5E13" w:rsidP="00DC5E13">
      <w:pPr>
        <w:rPr>
          <w:sz w:val="19"/>
        </w:rPr>
      </w:pPr>
      <w:r>
        <w:rPr>
          <w:sz w:val="19"/>
          <w:vertAlign w:val="superscript"/>
        </w:rPr>
        <w:t>c</w:t>
      </w:r>
      <w:r>
        <w:rPr>
          <w:sz w:val="19"/>
        </w:rPr>
        <w:t xml:space="preserve"> Incluidas únicamente las partidas presupuestarias 3210-3216 de servicios globales.</w:t>
      </w:r>
    </w:p>
    <w:p w14:paraId="2934213B" w14:textId="0360AA6D" w:rsidR="00781E3F" w:rsidRPr="00E24751" w:rsidRDefault="00094DF9" w:rsidP="0072703E">
      <w:pPr>
        <w:rPr>
          <w:sz w:val="19"/>
        </w:rPr>
      </w:pPr>
      <w:r>
        <w:rPr>
          <w:sz w:val="19"/>
          <w:vertAlign w:val="superscript"/>
        </w:rPr>
        <w:t>d</w:t>
      </w:r>
      <w:r>
        <w:rPr>
          <w:sz w:val="19"/>
        </w:rPr>
        <w:t xml:space="preserve"> Partida presupuestaria 4210 suprimida del total para armonizarla con el presupuesto detallado de la parte III de la presentación en adelante.</w:t>
      </w:r>
    </w:p>
    <w:p w14:paraId="2345144A" w14:textId="0D0CAF2B" w:rsidR="00094DF9" w:rsidRPr="00E24751" w:rsidRDefault="00094DF9" w:rsidP="00094DF9">
      <w:pPr>
        <w:rPr>
          <w:sz w:val="19"/>
        </w:rPr>
      </w:pPr>
      <w:r>
        <w:rPr>
          <w:sz w:val="19"/>
          <w:vertAlign w:val="superscript"/>
        </w:rPr>
        <w:t>e</w:t>
      </w:r>
      <w:r>
        <w:rPr>
          <w:sz w:val="19"/>
        </w:rPr>
        <w:t xml:space="preserve"> Incluida la partida presupuestaria 4210 reuniones/apoyo para armonizarla con el presupuesto detallado en la parte III de la presentación. </w:t>
      </w:r>
    </w:p>
    <w:p w14:paraId="743819CD" w14:textId="7C4A4B78" w:rsidR="00734FB3" w:rsidRPr="0052245C" w:rsidRDefault="00094DF9" w:rsidP="0072703E">
      <w:pPr>
        <w:rPr>
          <w:sz w:val="19"/>
          <w:vertAlign w:val="superscript"/>
        </w:rPr>
      </w:pPr>
      <w:r>
        <w:rPr>
          <w:sz w:val="19"/>
          <w:vertAlign w:val="superscript"/>
        </w:rPr>
        <w:t>f</w:t>
      </w:r>
      <w:r>
        <w:rPr>
          <w:sz w:val="19"/>
        </w:rPr>
        <w:t xml:space="preserve"> Saldo devuelto en la 95ª reunión. </w:t>
      </w:r>
    </w:p>
    <w:p w14:paraId="3EA5C452" w14:textId="77777777" w:rsidR="0072703E" w:rsidRPr="00E51D8F" w:rsidRDefault="0072703E" w:rsidP="0072703E"/>
    <w:p w14:paraId="7869596C" w14:textId="34E27E39" w:rsidR="0072703E" w:rsidRPr="00411AF5" w:rsidRDefault="0072703E" w:rsidP="00645F2C">
      <w:pPr>
        <w:pStyle w:val="Heading1"/>
        <w:widowControl w:val="0"/>
      </w:pPr>
      <w:r>
        <w:t>Los saldos del PAC 2023 se devuelven en la 95ª reunión por un importe de USD 1.192.989, más USD 95.439 en concepto de gastos de apoyo al organismo.</w:t>
      </w:r>
      <w:r>
        <w:rPr>
          <w:rFonts w:ascii="Roboto" w:hAnsi="Roboto"/>
          <w:color w:val="0070C0"/>
          <w:sz w:val="24"/>
          <w:szCs w:val="24"/>
        </w:rPr>
        <w:t xml:space="preserve"> </w:t>
      </w:r>
      <w:r>
        <w:t>La mayoría de los saldos que se devuelven corresponden a partidas de personal para puestos que estuvieron vacantes durante parte o todo el año.</w:t>
      </w:r>
    </w:p>
    <w:p w14:paraId="7C988A0E" w14:textId="77777777" w:rsidR="0072703E" w:rsidRPr="00734FB3" w:rsidRDefault="0072703E" w:rsidP="0052245C">
      <w:pPr>
        <w:pStyle w:val="Heading1"/>
        <w:widowControl w:val="0"/>
        <w:numPr>
          <w:ilvl w:val="0"/>
          <w:numId w:val="0"/>
        </w:numPr>
        <w:jc w:val="center"/>
        <w:rPr>
          <w:b/>
        </w:rPr>
      </w:pPr>
      <w:r>
        <w:rPr>
          <w:b/>
        </w:rPr>
        <w:t>OBSERVACIONES Y RECOMENDACIÓN DE LA SECRETARÍA</w:t>
      </w:r>
    </w:p>
    <w:p w14:paraId="02F524D0" w14:textId="77777777" w:rsidR="0072703E" w:rsidRPr="00734FB3" w:rsidRDefault="0072703E" w:rsidP="0052245C">
      <w:pPr>
        <w:widowControl w:val="0"/>
        <w:spacing w:after="240"/>
        <w:jc w:val="left"/>
      </w:pPr>
      <w:r>
        <w:rPr>
          <w:b/>
        </w:rPr>
        <w:t>OBSERVACIONES</w:t>
      </w:r>
    </w:p>
    <w:p w14:paraId="6F8FF555" w14:textId="58CC198C" w:rsidR="005A6CF6" w:rsidRPr="005A6CF6" w:rsidRDefault="0072703E" w:rsidP="0052245C">
      <w:pPr>
        <w:pStyle w:val="Heading1"/>
        <w:widowControl w:val="0"/>
      </w:pPr>
      <w:r>
        <w:t>La Secretaría analizó la propuesta de presupuesto para el Programa de Asistencia al Cumplimiento y los cambios en materia del programa y de recursos humanos sobre la base de la decisión 93/91 d)</w:t>
      </w:r>
      <w:r w:rsidRPr="00C82452">
        <w:rPr>
          <w:rStyle w:val="FootnoteReference"/>
        </w:rPr>
        <w:footnoteReference w:id="10"/>
      </w:r>
      <w:r>
        <w:t xml:space="preserve"> y de la estructura general de dicho Programa, de sus operaciones y estructura regional y de otras decisiones pertinentes.</w:t>
      </w:r>
      <w:r>
        <w:rPr>
          <w:rFonts w:ascii="__Roboto_Fallback_51ba67" w:hAnsi="__Roboto_Fallback_51ba67"/>
          <w:color w:val="002A3C"/>
          <w:sz w:val="27"/>
          <w:szCs w:val="27"/>
        </w:rPr>
        <w:t xml:space="preserve"> </w:t>
      </w:r>
    </w:p>
    <w:p w14:paraId="12132EB0" w14:textId="1FAC40FB" w:rsidR="00315342" w:rsidRDefault="004F0C55" w:rsidP="00C82452">
      <w:pPr>
        <w:pStyle w:val="Heading1"/>
      </w:pPr>
      <w:r>
        <w:t xml:space="preserve">Observando que, dentro de las actividades que contribuyen a la consecución de todos los resultados, se había añadido una nueva subsección sobre la prestación de asistencia técnica y política a determinados </w:t>
      </w:r>
      <w:r>
        <w:lastRenderedPageBreak/>
        <w:t xml:space="preserve">países de bajo consumo para apoyar la ejecución del PAK, la Secretaría preguntó si el PNUMA consideraría la posibilidad de incluir el apoyo a los países de bajo consumo como otro resultado por sí mismo. El PNUMA respondió que los países de bajo consumo están incluidos en todas las actividades del PAC y son, de hecho, un área de atención prioritaria. El PNUMA hizo hincapié en que la estrategia del PAC 2024-2026 incluye toda una sección sobre los países de bajo consumo y que, aunque el PNUMA trabaja con todos los países del artículo 5, incluidos los países de bajo consumo y los países consumidores de nivel medio y alto, prestará atención prioritaria a los países de bajo consumo, entre los que también se incluyen los países consumidores de muy bajo volumen. </w:t>
      </w:r>
    </w:p>
    <w:p w14:paraId="50B70C8A" w14:textId="5840C21C" w:rsidR="007E1627" w:rsidRDefault="00803333">
      <w:pPr>
        <w:pStyle w:val="Heading1"/>
      </w:pPr>
      <w:r>
        <w:t>La Secretaría también solicitó más información sobre los beneficios tangibles del proyecto de articulación. El PNUMA indicó que el nivel de compromiso de cada uno de los países del artículo 5 había sido notablemente alto en los propios talleres, y todos los países participaron activamente compartiendo sus retos y éxitos en la integración de la eficiencia energética con la protección del ozono y la acción climática. Entre los beneficios cabe citar el establecimiento de valiosas redes entre los países del artículo 5, que fomentan la acción y el apoyo colectivos; el compromiso de los participantes en el debate de marcos políticos estratégicos esenciales para la creación de normativas e iniciativas eficaces que puedan impulsar resultados tangibles en futuros proyectos nacionales; el reconocimiento de la importancia de un compromiso continuo con las distintas partes interesadas, incluido el sector privado, para lograr un mayor compromiso de las empresas y los representantes de la industria en la adopción de tecnologías ecoenergéticas y de bajo PCA; la identificación de la evaluación de la dinámica del mercado (es decir, la supervisión de las ventas y el rendimiento de los productos) y la validación de la eficiencia de los productos a través de pruebas como áreas clave para el enfoque futuro; el reconocimiento de la importancia de colaborar con los funcionarios responsables de la energía para desarrollar soluciones integradas para las áreas críticas; y el intercambio de información valiosa sobre las estrategias y experiencias de otros países en la aplicación de las normas mínimas de eficiencia energética y el etiquetado de la eficiencia energética.</w:t>
      </w:r>
    </w:p>
    <w:p w14:paraId="20BC82CD" w14:textId="2BFC40D7" w:rsidR="00E24751" w:rsidRPr="00C82452" w:rsidRDefault="00E24751" w:rsidP="00E24751">
      <w:pPr>
        <w:pStyle w:val="Heading1"/>
      </w:pPr>
      <w:r>
        <w:t>En relación con los comentarios específicos realizados por la Secretaría, el PNUMA acordó incluir en el resultado 1 medidas concretas tales como acuerdos institucionales y memorandos de entendimiento (MdE) con los Ministerios de Energía y/o comités directivos conjuntos y grupos de trabajo para ayudar a las ONO a explorar las sinergias relacionadas con los objetivos de la Enmienda de Kigali con las políticas nacionales de eficiencia energética y los mecanismos financieros; incluir en el resultado 2 la capacitación sobre los diferentes usos de los HFC y las mezclas de HFC, y alentar la institucionalización de esos procesos en la actividad relativa a la sensibilización de todas las ONO sobre las mejores prácticas y metodologías para la recopilación de datos, la verificación cruzada y los requisitos de presentación de informes para todas las sustancias controladas; incluir en el resultado 6 una referencia a la información actualizada sobre la gestión racional de los refrigerantes, los refrigerantes alternativos de bajo PCA, las directrices y normas para su uso seguro y responsable, a fin de cubrir ampliamente los refrigerantes inflamables y tóxicos en su suministro a todas las ONO con información clave para tomar decisiones informadas relacionadas con el sector de servicios de refrigeración.</w:t>
      </w:r>
    </w:p>
    <w:p w14:paraId="5A97058C" w14:textId="6B1A11C0" w:rsidR="00A80573" w:rsidRPr="00001B3B" w:rsidRDefault="00A80573" w:rsidP="00C82452">
      <w:pPr>
        <w:pStyle w:val="Heading1"/>
      </w:pPr>
      <w:r>
        <w:t>En respuesta al comentario de la Secretaría de que incluir el apoyo temporal de expertos en eficiencia energética en las partidas presupuestarias de personal podría dar la impresión de que el PNUMA está solicitando un puesto de plantilla o una vacante temporal, el PNUMA revisó la propuesta presupuestaria para trasladar a los expertos en eficiencia energética de las partidas de personal a las de servicios globales y desarrollo de capacidades.</w:t>
      </w:r>
    </w:p>
    <w:p w14:paraId="3613F0E7" w14:textId="43324E8F" w:rsidR="0000118C" w:rsidRPr="00C82452" w:rsidRDefault="0000118C" w:rsidP="00C82452">
      <w:pPr>
        <w:pStyle w:val="Heading1"/>
      </w:pPr>
      <w:r>
        <w:t xml:space="preserve">La Secretaría solicitó aclaraciones sobre las diferencias entre las funciones de los expertos en eficiencia energética solicitados y la reorientación aprobada para 2024 y la financiación de un puesto vacante de oficial de programas del Protocolo de Montreal P3 en el equipo mundial del PAC en París para apoyar los asuntos de la Enmienda de Kigali, incluida la eficiencia energética y la revisión de proyectos relacionados y la asistencia a los equipos regionales del PAC en esas áreas. El PNUMA explicó que las funciones del puesto P3, actualmente en proceso de contratación, incluyen el apoyo a la preparación y ejecución de proyectos del PAK en todas las regiones, la realización de análisis de datos en proyectos del </w:t>
      </w:r>
      <w:r>
        <w:lastRenderedPageBreak/>
        <w:t xml:space="preserve">PAK antes de su presentación a la Secretaría, la promoción de la comprensión de los objetivos de la Enmienda de Kigali entre las partes interesadas sectoriales, y el apoyo a la identificación de oportunidades para actividades adicionales relacionadas con la eficiencia energética en paralelo con los componentes del PAK. La solicitud 2025 se refiere al apoyo de expertos técnicos para responder a las necesidades de los países del artículo 5 en el ámbito de la eficiencia energética, ya que el PNUMA está firmemente convencido de que existe un gran potencial de intervenciones relacionadas con la eficiencia energética sin necesidad de inversión en los países del artículo 5 durante la eliminación progresiva de los HFC, que en muchos casos permanece en gran medida sin explotar debido a la importante brecha existente entre las oportunidades de eficiencia energética en el marco del Fondo Multilateral y el nivel de intervenciones en eficiencia energética en la mayoría de los países, especialmente en los países de bajo consumo. </w:t>
      </w:r>
    </w:p>
    <w:p w14:paraId="12D0FB0F" w14:textId="701125E6" w:rsidR="00941A78" w:rsidRPr="00C82452" w:rsidRDefault="00D46247" w:rsidP="00AD6669">
      <w:pPr>
        <w:pStyle w:val="Heading1"/>
      </w:pPr>
      <w:r>
        <w:t xml:space="preserve">Al revisar el presupuesto del PAC propuesto para 2025 comparándolo con el presupuesto aprobado para 2024, la Secretaría observó la partida presupuestaria añadida 3213 por valor de USD 150.000, así como los incrementos que figuran en el cuadro 2, tal y como se explica en los párrafos 14 a 20. Los cambios solicitados en los puestos del personal se deben al aumento de las responsabilidades de los puestos y están en consonancia con los niveles para funciones similares en otras divisiones del PNUMA. La solicitud presupuestaria global del PAC antes de aplicar la asignación adicional de USD 150.000 de la decisión 93/95 (es decir, USD 11.041.331, más los gastos de apoyo al organismo), es un 5,85 % superior al presupuesto aprobado en 2024 (es decir, USD 10.431.200, más los gastos de apoyo al organismo, excluida la asignación adicional de USD 200.000 de la decisión 93/95). El PNUMA solicita una aprobación excepcional del Comité Ejecutivo para superar el umbral del 3 % que se permite en virtud de la decisión 47/24  a) iii), que limita el aumento del presupuesto del PAC a ese porcentaje, a menos que el Comité Ejecutivo reciba pruebas de que las presiones inflacionistas justifican lo contrario, lo que el PNUMA ha hecho en la presentación. </w:t>
      </w:r>
    </w:p>
    <w:p w14:paraId="3466EFBF" w14:textId="1A2A5C85" w:rsidR="0072703E" w:rsidRPr="002D1E9A" w:rsidRDefault="0072703E" w:rsidP="002D1E9A">
      <w:pPr>
        <w:pStyle w:val="Heading1"/>
        <w:keepNext/>
        <w:numPr>
          <w:ilvl w:val="0"/>
          <w:numId w:val="0"/>
        </w:numPr>
        <w:tabs>
          <w:tab w:val="left" w:pos="720"/>
        </w:tabs>
        <w:spacing w:after="0"/>
        <w:rPr>
          <w:b/>
        </w:rPr>
      </w:pPr>
      <w:r>
        <w:rPr>
          <w:b/>
        </w:rPr>
        <w:t>Cuadro 2. Comparación del presupuesto del Programa de Asistencia al Cumplimiento aprobado para 2024 y el propuesto para 2025 USD)</w:t>
      </w:r>
    </w:p>
    <w:tbl>
      <w:tblPr>
        <w:tblW w:w="5000" w:type="pct"/>
        <w:tblLook w:val="04A0" w:firstRow="1" w:lastRow="0" w:firstColumn="1" w:lastColumn="0" w:noHBand="0" w:noVBand="1"/>
      </w:tblPr>
      <w:tblGrid>
        <w:gridCol w:w="3505"/>
        <w:gridCol w:w="1461"/>
        <w:gridCol w:w="1461"/>
        <w:gridCol w:w="1461"/>
        <w:gridCol w:w="1462"/>
      </w:tblGrid>
      <w:tr w:rsidR="0072703E" w:rsidRPr="00433B39" w14:paraId="4A1F8901" w14:textId="77777777">
        <w:trPr>
          <w:tblHeader/>
        </w:trPr>
        <w:tc>
          <w:tcPr>
            <w:tcW w:w="1874" w:type="pct"/>
            <w:tcBorders>
              <w:top w:val="single" w:sz="4" w:space="0" w:color="auto"/>
              <w:left w:val="single" w:sz="4" w:space="0" w:color="auto"/>
              <w:bottom w:val="single" w:sz="4" w:space="0" w:color="auto"/>
              <w:right w:val="single" w:sz="4" w:space="0" w:color="auto"/>
            </w:tcBorders>
            <w:noWrap/>
            <w:vAlign w:val="center"/>
            <w:hideMark/>
          </w:tcPr>
          <w:p w14:paraId="6C084E8C" w14:textId="77777777" w:rsidR="0072703E" w:rsidRPr="00433B39" w:rsidRDefault="0072703E">
            <w:pPr>
              <w:keepNext/>
              <w:jc w:val="left"/>
              <w:rPr>
                <w:b/>
                <w:color w:val="000000"/>
                <w:sz w:val="20"/>
                <w:szCs w:val="20"/>
              </w:rPr>
            </w:pPr>
            <w:r>
              <w:rPr>
                <w:b/>
                <w:color w:val="000000"/>
                <w:sz w:val="20"/>
                <w:szCs w:val="20"/>
              </w:rPr>
              <w:t>Partida presupuestaria</w:t>
            </w:r>
          </w:p>
        </w:tc>
        <w:tc>
          <w:tcPr>
            <w:tcW w:w="781" w:type="pct"/>
            <w:tcBorders>
              <w:top w:val="single" w:sz="4" w:space="0" w:color="auto"/>
              <w:left w:val="nil"/>
              <w:bottom w:val="single" w:sz="4" w:space="0" w:color="auto"/>
              <w:right w:val="single" w:sz="4" w:space="0" w:color="auto"/>
            </w:tcBorders>
            <w:tcMar>
              <w:top w:w="0" w:type="dxa"/>
              <w:left w:w="0" w:type="dxa"/>
              <w:bottom w:w="0" w:type="dxa"/>
              <w:right w:w="0" w:type="dxa"/>
            </w:tcMar>
            <w:hideMark/>
          </w:tcPr>
          <w:p w14:paraId="15BA3ABC" w14:textId="46C8CC00" w:rsidR="0072703E" w:rsidRPr="00433B39" w:rsidRDefault="0072703E">
            <w:pPr>
              <w:keepNext/>
              <w:jc w:val="center"/>
              <w:rPr>
                <w:b/>
                <w:color w:val="000000"/>
                <w:sz w:val="20"/>
                <w:szCs w:val="20"/>
              </w:rPr>
            </w:pPr>
            <w:r>
              <w:rPr>
                <w:b/>
                <w:color w:val="000000"/>
                <w:sz w:val="20"/>
                <w:szCs w:val="20"/>
              </w:rPr>
              <w:t xml:space="preserve">2024 - Aprobado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246C0B1A" w14:textId="5BE7DB12" w:rsidR="0072703E" w:rsidRPr="00433B39" w:rsidRDefault="0072703E">
            <w:pPr>
              <w:keepNext/>
              <w:jc w:val="center"/>
              <w:rPr>
                <w:b/>
                <w:color w:val="000000"/>
                <w:sz w:val="20"/>
                <w:szCs w:val="20"/>
              </w:rPr>
            </w:pPr>
            <w:r>
              <w:rPr>
                <w:b/>
                <w:color w:val="000000"/>
                <w:sz w:val="20"/>
                <w:szCs w:val="20"/>
              </w:rPr>
              <w:t xml:space="preserve">2025 - Propuesto </w:t>
            </w:r>
          </w:p>
        </w:tc>
        <w:tc>
          <w:tcPr>
            <w:tcW w:w="781"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5FF29EE3" w14:textId="77777777" w:rsidR="0072703E" w:rsidRPr="00433B39" w:rsidRDefault="0072703E">
            <w:pPr>
              <w:keepNext/>
              <w:jc w:val="center"/>
              <w:rPr>
                <w:b/>
                <w:color w:val="000000"/>
                <w:sz w:val="20"/>
                <w:szCs w:val="20"/>
              </w:rPr>
            </w:pPr>
            <w:r>
              <w:rPr>
                <w:b/>
                <w:color w:val="000000"/>
                <w:sz w:val="20"/>
                <w:szCs w:val="20"/>
              </w:rPr>
              <w:t xml:space="preserve">Diferencia </w:t>
            </w:r>
          </w:p>
        </w:tc>
        <w:tc>
          <w:tcPr>
            <w:tcW w:w="782" w:type="pct"/>
            <w:tcBorders>
              <w:top w:val="single" w:sz="4" w:space="0" w:color="auto"/>
              <w:left w:val="nil"/>
              <w:bottom w:val="single" w:sz="4" w:space="0" w:color="auto"/>
              <w:right w:val="single" w:sz="4" w:space="0" w:color="auto"/>
            </w:tcBorders>
            <w:noWrap/>
            <w:tcMar>
              <w:top w:w="0" w:type="dxa"/>
              <w:left w:w="0" w:type="dxa"/>
              <w:bottom w:w="0" w:type="dxa"/>
              <w:right w:w="0" w:type="dxa"/>
            </w:tcMar>
            <w:hideMark/>
          </w:tcPr>
          <w:p w14:paraId="79C65E60" w14:textId="77777777" w:rsidR="0072703E" w:rsidRPr="00433B39" w:rsidRDefault="0072703E">
            <w:pPr>
              <w:keepNext/>
              <w:jc w:val="center"/>
              <w:rPr>
                <w:b/>
                <w:color w:val="000000"/>
                <w:sz w:val="20"/>
                <w:szCs w:val="20"/>
              </w:rPr>
            </w:pPr>
            <w:r>
              <w:rPr>
                <w:b/>
                <w:color w:val="000000"/>
                <w:sz w:val="20"/>
                <w:szCs w:val="20"/>
              </w:rPr>
              <w:t xml:space="preserve">Variación (%) </w:t>
            </w:r>
          </w:p>
        </w:tc>
      </w:tr>
      <w:tr w:rsidR="00433B39" w:rsidRPr="00433B39" w14:paraId="456370DB" w14:textId="77777777">
        <w:tc>
          <w:tcPr>
            <w:tcW w:w="1874" w:type="pct"/>
            <w:tcBorders>
              <w:top w:val="nil"/>
              <w:left w:val="single" w:sz="4" w:space="0" w:color="auto"/>
              <w:bottom w:val="single" w:sz="4" w:space="0" w:color="auto"/>
              <w:right w:val="single" w:sz="4" w:space="0" w:color="auto"/>
            </w:tcBorders>
            <w:hideMark/>
          </w:tcPr>
          <w:p w14:paraId="36D7B638" w14:textId="77777777" w:rsidR="00433B39" w:rsidRPr="00433B39" w:rsidRDefault="00433B39" w:rsidP="00433B39">
            <w:pPr>
              <w:jc w:val="left"/>
              <w:rPr>
                <w:color w:val="000000"/>
                <w:sz w:val="20"/>
                <w:szCs w:val="20"/>
              </w:rPr>
            </w:pPr>
            <w:r>
              <w:rPr>
                <w:color w:val="000000"/>
                <w:sz w:val="20"/>
                <w:szCs w:val="20"/>
              </w:rPr>
              <w:t>1100 (personal)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0C76476E" w14:textId="072176D1" w:rsidR="00433B39" w:rsidRPr="00433B39" w:rsidRDefault="00433B39" w:rsidP="00433B39">
            <w:pPr>
              <w:jc w:val="right"/>
              <w:rPr>
                <w:color w:val="000000"/>
                <w:sz w:val="20"/>
                <w:szCs w:val="20"/>
              </w:rPr>
            </w:pPr>
            <w:r>
              <w:rPr>
                <w:color w:val="000000"/>
                <w:sz w:val="20"/>
                <w:szCs w:val="20"/>
              </w:rPr>
              <w:t>7.626.200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309F0C92" w14:textId="1982EE8E" w:rsidR="00433B39" w:rsidRPr="00433B39" w:rsidRDefault="00433B39" w:rsidP="00433B39">
            <w:pPr>
              <w:jc w:val="right"/>
              <w:rPr>
                <w:color w:val="000000"/>
                <w:sz w:val="20"/>
                <w:szCs w:val="20"/>
              </w:rPr>
            </w:pPr>
            <w:r>
              <w:rPr>
                <w:color w:val="000000"/>
                <w:sz w:val="20"/>
                <w:szCs w:val="20"/>
              </w:rPr>
              <w:t>7.854.531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60B20D10" w14:textId="43697474" w:rsidR="00433B39" w:rsidRPr="00433B39" w:rsidRDefault="00433B39" w:rsidP="00433B39">
            <w:pPr>
              <w:jc w:val="right"/>
              <w:rPr>
                <w:color w:val="000000"/>
                <w:sz w:val="20"/>
                <w:szCs w:val="20"/>
              </w:rPr>
            </w:pPr>
            <w:r>
              <w:rPr>
                <w:sz w:val="20"/>
                <w:szCs w:val="20"/>
              </w:rPr>
              <w:t>228.331</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29ABF85A" w14:textId="4682704E" w:rsidR="00433B39" w:rsidRPr="00433B39" w:rsidRDefault="00433B39" w:rsidP="00433B39">
            <w:pPr>
              <w:jc w:val="right"/>
              <w:rPr>
                <w:color w:val="000000"/>
                <w:sz w:val="20"/>
                <w:szCs w:val="20"/>
              </w:rPr>
            </w:pPr>
            <w:r>
              <w:rPr>
                <w:sz w:val="20"/>
                <w:szCs w:val="20"/>
              </w:rPr>
              <w:t>2,99</w:t>
            </w:r>
          </w:p>
        </w:tc>
      </w:tr>
      <w:tr w:rsidR="00433B39" w:rsidRPr="00433B39" w14:paraId="3D08686A" w14:textId="77777777">
        <w:tc>
          <w:tcPr>
            <w:tcW w:w="1874" w:type="pct"/>
            <w:tcBorders>
              <w:top w:val="nil"/>
              <w:left w:val="single" w:sz="4" w:space="0" w:color="auto"/>
              <w:bottom w:val="single" w:sz="4" w:space="0" w:color="auto"/>
              <w:right w:val="single" w:sz="4" w:space="0" w:color="auto"/>
            </w:tcBorders>
            <w:hideMark/>
          </w:tcPr>
          <w:p w14:paraId="12ED6B6F" w14:textId="77777777" w:rsidR="00433B39" w:rsidRPr="00433B39" w:rsidRDefault="00433B39" w:rsidP="00433B39">
            <w:pPr>
              <w:jc w:val="left"/>
              <w:rPr>
                <w:color w:val="000000"/>
                <w:sz w:val="20"/>
                <w:szCs w:val="20"/>
              </w:rPr>
            </w:pPr>
            <w:r>
              <w:rPr>
                <w:color w:val="000000"/>
                <w:sz w:val="20"/>
                <w:szCs w:val="20"/>
              </w:rPr>
              <w:t>1600 (viajes)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393F4E0D" w14:textId="5C2FE196" w:rsidR="00433B39" w:rsidRPr="00433B39" w:rsidRDefault="00433B39" w:rsidP="00433B39">
            <w:pPr>
              <w:jc w:val="right"/>
              <w:rPr>
                <w:color w:val="000000"/>
                <w:sz w:val="20"/>
                <w:szCs w:val="20"/>
              </w:rPr>
            </w:pPr>
            <w:r>
              <w:rPr>
                <w:bCs/>
                <w:sz w:val="20"/>
                <w:szCs w:val="20"/>
              </w:rPr>
              <w:t>548.000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CA22290" w14:textId="6D889C00" w:rsidR="00433B39" w:rsidRPr="00433B39" w:rsidRDefault="00433B39" w:rsidP="00433B39">
            <w:pPr>
              <w:jc w:val="right"/>
              <w:rPr>
                <w:bCs/>
                <w:sz w:val="20"/>
                <w:szCs w:val="20"/>
              </w:rPr>
            </w:pPr>
            <w:r>
              <w:rPr>
                <w:bCs/>
                <w:sz w:val="20"/>
                <w:szCs w:val="20"/>
              </w:rPr>
              <w:t>575.400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0314BFFD" w14:textId="4ED8F5EF" w:rsidR="00433B39" w:rsidRPr="00433B39" w:rsidRDefault="00433B39" w:rsidP="00433B39">
            <w:pPr>
              <w:jc w:val="right"/>
              <w:rPr>
                <w:color w:val="000000"/>
                <w:sz w:val="20"/>
                <w:szCs w:val="20"/>
              </w:rPr>
            </w:pPr>
            <w:r>
              <w:rPr>
                <w:sz w:val="20"/>
                <w:szCs w:val="20"/>
              </w:rPr>
              <w:t>27.400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4E15FFF0" w14:textId="18574741" w:rsidR="00433B39" w:rsidRPr="00433B39" w:rsidRDefault="00433B39" w:rsidP="00433B39">
            <w:pPr>
              <w:jc w:val="right"/>
              <w:rPr>
                <w:color w:val="000000"/>
                <w:sz w:val="20"/>
                <w:szCs w:val="20"/>
              </w:rPr>
            </w:pPr>
            <w:r>
              <w:rPr>
                <w:sz w:val="20"/>
                <w:szCs w:val="20"/>
              </w:rPr>
              <w:t>5,00</w:t>
            </w:r>
          </w:p>
        </w:tc>
      </w:tr>
      <w:tr w:rsidR="00433B39" w:rsidRPr="00433B39" w14:paraId="28A0F16B" w14:textId="77777777">
        <w:tc>
          <w:tcPr>
            <w:tcW w:w="1874" w:type="pct"/>
            <w:tcBorders>
              <w:top w:val="nil"/>
              <w:left w:val="single" w:sz="4" w:space="0" w:color="auto"/>
              <w:bottom w:val="single" w:sz="4" w:space="0" w:color="auto"/>
              <w:right w:val="single" w:sz="4" w:space="0" w:color="auto"/>
            </w:tcBorders>
            <w:hideMark/>
          </w:tcPr>
          <w:p w14:paraId="069A8D44" w14:textId="77777777" w:rsidR="00433B39" w:rsidRPr="00433B39" w:rsidRDefault="00433B39" w:rsidP="00433B39">
            <w:pPr>
              <w:jc w:val="left"/>
              <w:rPr>
                <w:color w:val="000000"/>
                <w:sz w:val="20"/>
                <w:szCs w:val="20"/>
              </w:rPr>
            </w:pPr>
            <w:r>
              <w:rPr>
                <w:color w:val="000000"/>
                <w:sz w:val="20"/>
                <w:szCs w:val="20"/>
              </w:rPr>
              <w:t>2030 (actividades regionales)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22A2C9D" w14:textId="50D0A7E4" w:rsidR="00433B39" w:rsidRPr="00433B39" w:rsidRDefault="00433B39" w:rsidP="00433B39">
            <w:pPr>
              <w:jc w:val="right"/>
              <w:rPr>
                <w:color w:val="000000"/>
                <w:sz w:val="20"/>
                <w:szCs w:val="20"/>
              </w:rPr>
            </w:pPr>
            <w:r>
              <w:rPr>
                <w:color w:val="000000"/>
                <w:sz w:val="20"/>
                <w:szCs w:val="20"/>
              </w:rPr>
              <w:t>1.097.000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6FE64BE" w14:textId="0A80C6E0" w:rsidR="00433B39" w:rsidRPr="00433B39" w:rsidRDefault="00433B39" w:rsidP="00433B39">
            <w:pPr>
              <w:jc w:val="right"/>
              <w:rPr>
                <w:color w:val="000000"/>
                <w:sz w:val="20"/>
                <w:szCs w:val="20"/>
              </w:rPr>
            </w:pPr>
            <w:r>
              <w:rPr>
                <w:color w:val="000000"/>
                <w:sz w:val="20"/>
                <w:szCs w:val="20"/>
              </w:rPr>
              <w:t>1.316.400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86BA177" w14:textId="50615CD0" w:rsidR="00433B39" w:rsidRPr="00433B39" w:rsidRDefault="00433B39" w:rsidP="00433B39">
            <w:pPr>
              <w:jc w:val="right"/>
              <w:rPr>
                <w:color w:val="000000"/>
                <w:sz w:val="20"/>
                <w:szCs w:val="20"/>
              </w:rPr>
            </w:pPr>
            <w:r>
              <w:rPr>
                <w:sz w:val="20"/>
                <w:szCs w:val="20"/>
              </w:rPr>
              <w:t>219.400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541E4744" w14:textId="26CA7059" w:rsidR="00433B39" w:rsidRPr="00433B39" w:rsidRDefault="00433B39" w:rsidP="00433B39">
            <w:pPr>
              <w:jc w:val="right"/>
              <w:rPr>
                <w:color w:val="000000"/>
                <w:sz w:val="20"/>
                <w:szCs w:val="20"/>
              </w:rPr>
            </w:pPr>
            <w:r>
              <w:rPr>
                <w:sz w:val="20"/>
                <w:szCs w:val="20"/>
              </w:rPr>
              <w:t>20,00</w:t>
            </w:r>
          </w:p>
        </w:tc>
      </w:tr>
      <w:tr w:rsidR="00433B39" w:rsidRPr="00433B39" w14:paraId="60670C47" w14:textId="77777777">
        <w:tc>
          <w:tcPr>
            <w:tcW w:w="1874" w:type="pct"/>
            <w:tcBorders>
              <w:top w:val="nil"/>
              <w:left w:val="single" w:sz="4" w:space="0" w:color="auto"/>
              <w:bottom w:val="single" w:sz="4" w:space="0" w:color="auto"/>
              <w:right w:val="single" w:sz="4" w:space="0" w:color="auto"/>
            </w:tcBorders>
            <w:hideMark/>
          </w:tcPr>
          <w:p w14:paraId="415A570F" w14:textId="77777777" w:rsidR="00433B39" w:rsidRPr="00433B39" w:rsidRDefault="00433B39" w:rsidP="00433B39">
            <w:pPr>
              <w:jc w:val="left"/>
              <w:rPr>
                <w:color w:val="000000"/>
                <w:sz w:val="20"/>
                <w:szCs w:val="20"/>
              </w:rPr>
            </w:pPr>
            <w:r>
              <w:rPr>
                <w:color w:val="000000"/>
                <w:sz w:val="20"/>
                <w:szCs w:val="20"/>
              </w:rPr>
              <w:t>3200 (servicios globales)</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1CAB556" w14:textId="77147AA1" w:rsidR="00433B39" w:rsidRPr="00433B39" w:rsidRDefault="00433B39" w:rsidP="00433B39">
            <w:pPr>
              <w:jc w:val="right"/>
              <w:rPr>
                <w:color w:val="000000"/>
                <w:sz w:val="20"/>
                <w:szCs w:val="20"/>
              </w:rPr>
            </w:pPr>
            <w:r>
              <w:rPr>
                <w:color w:val="000000"/>
                <w:sz w:val="20"/>
                <w:szCs w:val="20"/>
              </w:rPr>
              <w:t>750.000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189B8ABF" w14:textId="788AC090" w:rsidR="00433B39" w:rsidRPr="00433B39" w:rsidRDefault="00433B39" w:rsidP="00433B39">
            <w:pPr>
              <w:jc w:val="right"/>
              <w:rPr>
                <w:color w:val="000000"/>
                <w:sz w:val="20"/>
                <w:szCs w:val="20"/>
              </w:rPr>
            </w:pPr>
            <w:r>
              <w:rPr>
                <w:color w:val="000000"/>
                <w:sz w:val="20"/>
                <w:szCs w:val="20"/>
              </w:rPr>
              <w:t>850.000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22268772" w14:textId="4C36F93F" w:rsidR="00433B39" w:rsidRPr="00433B39" w:rsidRDefault="00433B39" w:rsidP="00433B39">
            <w:pPr>
              <w:jc w:val="right"/>
              <w:rPr>
                <w:color w:val="000000"/>
                <w:sz w:val="20"/>
                <w:szCs w:val="20"/>
              </w:rPr>
            </w:pPr>
            <w:r>
              <w:rPr>
                <w:sz w:val="20"/>
                <w:szCs w:val="20"/>
              </w:rPr>
              <w:t>100.000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3B26F3E3" w14:textId="7838B1D7" w:rsidR="00433B39" w:rsidRPr="00433B39" w:rsidRDefault="00433B39" w:rsidP="00433B39">
            <w:pPr>
              <w:jc w:val="right"/>
              <w:rPr>
                <w:color w:val="000000"/>
                <w:sz w:val="20"/>
                <w:szCs w:val="20"/>
              </w:rPr>
            </w:pPr>
            <w:r>
              <w:rPr>
                <w:sz w:val="20"/>
                <w:szCs w:val="20"/>
              </w:rPr>
              <w:t>13,33</w:t>
            </w:r>
          </w:p>
        </w:tc>
      </w:tr>
      <w:tr w:rsidR="00433B39" w:rsidRPr="00433B39" w14:paraId="5BF4A97A" w14:textId="77777777">
        <w:tc>
          <w:tcPr>
            <w:tcW w:w="1874" w:type="pct"/>
            <w:tcBorders>
              <w:top w:val="nil"/>
              <w:left w:val="single" w:sz="4" w:space="0" w:color="auto"/>
              <w:bottom w:val="single" w:sz="4" w:space="0" w:color="auto"/>
              <w:right w:val="single" w:sz="4" w:space="0" w:color="auto"/>
            </w:tcBorders>
            <w:hideMark/>
          </w:tcPr>
          <w:p w14:paraId="6C4EDE33" w14:textId="516613DE" w:rsidR="00433B39" w:rsidRPr="00433B39" w:rsidRDefault="00433B39" w:rsidP="00433B39">
            <w:pPr>
              <w:jc w:val="left"/>
              <w:rPr>
                <w:color w:val="000000"/>
                <w:sz w:val="20"/>
                <w:szCs w:val="20"/>
              </w:rPr>
            </w:pPr>
            <w:r>
              <w:rPr>
                <w:color w:val="000000"/>
                <w:sz w:val="20"/>
                <w:szCs w:val="20"/>
              </w:rPr>
              <w:t>4210 (reuniones consultivas y de asesoramiento)</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8AF45A3" w14:textId="1EFA267A" w:rsidR="00433B39" w:rsidRPr="00433B39" w:rsidRDefault="00433B39" w:rsidP="00433B39">
            <w:pPr>
              <w:jc w:val="right"/>
              <w:rPr>
                <w:color w:val="000000"/>
                <w:sz w:val="20"/>
                <w:szCs w:val="20"/>
              </w:rPr>
            </w:pPr>
            <w:r>
              <w:rPr>
                <w:color w:val="000000"/>
                <w:sz w:val="20"/>
                <w:szCs w:val="20"/>
              </w:rPr>
              <w:t>20.000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70F4279" w14:textId="1D5C6D01" w:rsidR="00433B39" w:rsidRPr="00433B39" w:rsidRDefault="00433B39" w:rsidP="00433B39">
            <w:pPr>
              <w:jc w:val="right"/>
              <w:rPr>
                <w:color w:val="000000"/>
                <w:sz w:val="20"/>
                <w:szCs w:val="20"/>
              </w:rPr>
            </w:pPr>
            <w:r>
              <w:rPr>
                <w:color w:val="000000"/>
                <w:sz w:val="20"/>
                <w:szCs w:val="20"/>
              </w:rPr>
              <w:t>5.000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4F760801" w14:textId="7BA7A03E" w:rsidR="00433B39" w:rsidRPr="00433B39" w:rsidRDefault="00433B39" w:rsidP="00433B39">
            <w:pPr>
              <w:jc w:val="right"/>
              <w:rPr>
                <w:color w:val="000000"/>
                <w:sz w:val="20"/>
                <w:szCs w:val="20"/>
              </w:rPr>
            </w:pPr>
            <w:r>
              <w:rPr>
                <w:sz w:val="20"/>
                <w:szCs w:val="20"/>
              </w:rPr>
              <w:t>-15.000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7E1DE55A" w14:textId="7581FB5A" w:rsidR="00433B39" w:rsidRPr="00433B39" w:rsidRDefault="00433B39" w:rsidP="00433B39">
            <w:pPr>
              <w:jc w:val="right"/>
              <w:rPr>
                <w:color w:val="000000"/>
                <w:sz w:val="20"/>
                <w:szCs w:val="20"/>
              </w:rPr>
            </w:pPr>
            <w:r>
              <w:rPr>
                <w:sz w:val="20"/>
                <w:szCs w:val="20"/>
              </w:rPr>
              <w:t>-75,00</w:t>
            </w:r>
          </w:p>
        </w:tc>
      </w:tr>
      <w:tr w:rsidR="00433B39" w:rsidRPr="00433B39" w14:paraId="24FF047C" w14:textId="77777777">
        <w:tc>
          <w:tcPr>
            <w:tcW w:w="1874" w:type="pct"/>
            <w:tcBorders>
              <w:top w:val="nil"/>
              <w:left w:val="single" w:sz="4" w:space="0" w:color="auto"/>
              <w:bottom w:val="single" w:sz="4" w:space="0" w:color="auto"/>
              <w:right w:val="single" w:sz="4" w:space="0" w:color="auto"/>
            </w:tcBorders>
            <w:hideMark/>
          </w:tcPr>
          <w:p w14:paraId="541689DB" w14:textId="77777777" w:rsidR="00433B39" w:rsidRPr="00433B39" w:rsidRDefault="00433B39" w:rsidP="00433B39">
            <w:pPr>
              <w:jc w:val="left"/>
              <w:rPr>
                <w:color w:val="000000"/>
                <w:sz w:val="20"/>
                <w:szCs w:val="20"/>
              </w:rPr>
            </w:pPr>
            <w:r>
              <w:rPr>
                <w:color w:val="000000"/>
                <w:sz w:val="20"/>
                <w:szCs w:val="20"/>
              </w:rPr>
              <w:t>5200 (actividades de oficina/comunicación)</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FB37CE8" w14:textId="6C9F80B0" w:rsidR="00433B39" w:rsidRPr="00433B39" w:rsidRDefault="00433B39" w:rsidP="00433B39">
            <w:pPr>
              <w:jc w:val="right"/>
              <w:rPr>
                <w:color w:val="000000"/>
                <w:sz w:val="20"/>
                <w:szCs w:val="20"/>
              </w:rPr>
            </w:pPr>
            <w:r>
              <w:rPr>
                <w:color w:val="000000"/>
                <w:sz w:val="20"/>
                <w:szCs w:val="20"/>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23CBD522" w14:textId="77777777" w:rsidR="00433B39" w:rsidRPr="00433B39" w:rsidRDefault="00433B39" w:rsidP="00433B39">
            <w:pPr>
              <w:jc w:val="right"/>
              <w:rPr>
                <w:color w:val="000000"/>
                <w:sz w:val="20"/>
                <w:szCs w:val="20"/>
              </w:rPr>
            </w:pPr>
            <w:r>
              <w:rPr>
                <w:color w:val="000000"/>
                <w:sz w:val="20"/>
                <w:szCs w:val="20"/>
              </w:rPr>
              <w:t>590.000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5DBC2EC6" w14:textId="5DF5A682" w:rsidR="00433B39" w:rsidRPr="00433B39" w:rsidRDefault="00433B39" w:rsidP="00433B39">
            <w:pPr>
              <w:jc w:val="right"/>
              <w:rPr>
                <w:color w:val="000000"/>
                <w:sz w:val="20"/>
                <w:szCs w:val="20"/>
              </w:rPr>
            </w:pPr>
            <w:r>
              <w:rPr>
                <w:sz w:val="20"/>
                <w:szCs w:val="20"/>
              </w:rPr>
              <w:t>0</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175B4F54" w14:textId="400A1BA1" w:rsidR="00433B39" w:rsidRPr="00433B39" w:rsidRDefault="00433B39" w:rsidP="00433B39">
            <w:pPr>
              <w:jc w:val="right"/>
              <w:rPr>
                <w:color w:val="000000"/>
                <w:sz w:val="20"/>
                <w:szCs w:val="20"/>
              </w:rPr>
            </w:pPr>
            <w:r>
              <w:rPr>
                <w:sz w:val="20"/>
                <w:szCs w:val="20"/>
              </w:rPr>
              <w:t>0,00</w:t>
            </w:r>
          </w:p>
        </w:tc>
      </w:tr>
      <w:tr w:rsidR="00D02CD4" w:rsidRPr="00433B39" w14:paraId="10A45203" w14:textId="77777777">
        <w:tc>
          <w:tcPr>
            <w:tcW w:w="1874" w:type="pct"/>
            <w:tcBorders>
              <w:top w:val="nil"/>
              <w:left w:val="single" w:sz="4" w:space="0" w:color="auto"/>
              <w:bottom w:val="single" w:sz="4" w:space="0" w:color="auto"/>
              <w:right w:val="single" w:sz="4" w:space="0" w:color="auto"/>
            </w:tcBorders>
          </w:tcPr>
          <w:p w14:paraId="2AA6D5F7" w14:textId="44429119" w:rsidR="00D02CD4" w:rsidRPr="00433B39" w:rsidRDefault="00D02CD4" w:rsidP="00433B39">
            <w:pPr>
              <w:jc w:val="left"/>
              <w:rPr>
                <w:color w:val="000000"/>
                <w:sz w:val="20"/>
                <w:szCs w:val="20"/>
              </w:rPr>
            </w:pPr>
            <w:r>
              <w:rPr>
                <w:color w:val="000000"/>
                <w:sz w:val="20"/>
                <w:szCs w:val="20"/>
              </w:rPr>
              <w:t>Subtotal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D6B3234" w14:textId="3194B499" w:rsidR="00D02CD4" w:rsidRPr="00433B39" w:rsidRDefault="003A27EF" w:rsidP="00433B39">
            <w:pPr>
              <w:jc w:val="right"/>
              <w:rPr>
                <w:color w:val="000000"/>
                <w:sz w:val="20"/>
                <w:szCs w:val="20"/>
              </w:rPr>
            </w:pPr>
            <w:r>
              <w:rPr>
                <w:color w:val="000000"/>
                <w:sz w:val="20"/>
                <w:szCs w:val="20"/>
              </w:rPr>
              <w:t>10.431.200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471EE0C" w14:textId="39653234" w:rsidR="00D02CD4" w:rsidRPr="00433B39" w:rsidRDefault="003A27EF" w:rsidP="00433B39">
            <w:pPr>
              <w:jc w:val="right"/>
              <w:rPr>
                <w:color w:val="000000"/>
                <w:sz w:val="20"/>
                <w:szCs w:val="20"/>
              </w:rPr>
            </w:pPr>
            <w:r>
              <w:rPr>
                <w:color w:val="000000"/>
                <w:sz w:val="20"/>
                <w:szCs w:val="20"/>
              </w:rPr>
              <w:t>11.041.331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51C6378C" w14:textId="77777777" w:rsidR="00D02CD4" w:rsidRPr="00433B39" w:rsidRDefault="00D02CD4" w:rsidP="00433B39">
            <w:pPr>
              <w:jc w:val="right"/>
              <w:rPr>
                <w:sz w:val="20"/>
                <w:szCs w:val="20"/>
              </w:rPr>
            </w:pP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3C4DD2FF" w14:textId="77777777" w:rsidR="00D02CD4" w:rsidRPr="00433B39" w:rsidRDefault="00D02CD4" w:rsidP="00433B39">
            <w:pPr>
              <w:jc w:val="right"/>
              <w:rPr>
                <w:sz w:val="20"/>
                <w:szCs w:val="20"/>
              </w:rPr>
            </w:pPr>
          </w:p>
        </w:tc>
      </w:tr>
      <w:tr w:rsidR="00D02CD4" w:rsidRPr="00433B39" w14:paraId="423E79C2" w14:textId="77777777">
        <w:tc>
          <w:tcPr>
            <w:tcW w:w="1874" w:type="pct"/>
            <w:tcBorders>
              <w:top w:val="nil"/>
              <w:left w:val="single" w:sz="4" w:space="0" w:color="auto"/>
              <w:bottom w:val="single" w:sz="4" w:space="0" w:color="auto"/>
              <w:right w:val="single" w:sz="4" w:space="0" w:color="auto"/>
            </w:tcBorders>
          </w:tcPr>
          <w:p w14:paraId="41DA5D68" w14:textId="5581A836" w:rsidR="00D02CD4" w:rsidRPr="00433B39" w:rsidRDefault="003A27EF" w:rsidP="00433B39">
            <w:pPr>
              <w:jc w:val="left"/>
              <w:rPr>
                <w:color w:val="000000"/>
                <w:sz w:val="20"/>
                <w:szCs w:val="20"/>
              </w:rPr>
            </w:pPr>
            <w:r>
              <w:rPr>
                <w:color w:val="000000"/>
                <w:sz w:val="20"/>
                <w:szCs w:val="20"/>
              </w:rPr>
              <w:t>3213</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13E340C" w14:textId="3E01E01D" w:rsidR="00D02CD4" w:rsidRPr="00433B39" w:rsidRDefault="00D02CD4" w:rsidP="00433B39">
            <w:pPr>
              <w:jc w:val="right"/>
              <w:rPr>
                <w:color w:val="000000"/>
                <w:sz w:val="20"/>
                <w:szCs w:val="20"/>
              </w:rPr>
            </w:pPr>
            <w:r>
              <w:rPr>
                <w:color w:val="000000"/>
                <w:sz w:val="20"/>
                <w:szCs w:val="20"/>
              </w:rPr>
              <w:t>200.000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A5FA552" w14:textId="757C45AB" w:rsidR="00D02CD4" w:rsidRPr="00433B39" w:rsidRDefault="003A27EF" w:rsidP="00433B39">
            <w:pPr>
              <w:jc w:val="right"/>
              <w:rPr>
                <w:color w:val="000000"/>
                <w:sz w:val="20"/>
                <w:szCs w:val="20"/>
              </w:rPr>
            </w:pPr>
            <w:r>
              <w:rPr>
                <w:color w:val="000000"/>
                <w:sz w:val="20"/>
                <w:szCs w:val="20"/>
              </w:rPr>
              <w:t>150.000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42562975" w14:textId="77777777" w:rsidR="00D02CD4" w:rsidRPr="00433B39" w:rsidRDefault="00D02CD4" w:rsidP="00433B39">
            <w:pPr>
              <w:jc w:val="right"/>
              <w:rPr>
                <w:sz w:val="20"/>
                <w:szCs w:val="20"/>
              </w:rPr>
            </w:pPr>
          </w:p>
        </w:tc>
        <w:tc>
          <w:tcPr>
            <w:tcW w:w="782" w:type="pct"/>
            <w:tcBorders>
              <w:top w:val="nil"/>
              <w:left w:val="nil"/>
              <w:bottom w:val="single" w:sz="4" w:space="0" w:color="auto"/>
              <w:right w:val="single" w:sz="4" w:space="0" w:color="auto"/>
            </w:tcBorders>
            <w:noWrap/>
            <w:tcMar>
              <w:top w:w="0" w:type="dxa"/>
              <w:left w:w="0" w:type="dxa"/>
              <w:bottom w:w="0" w:type="dxa"/>
              <w:right w:w="173" w:type="dxa"/>
            </w:tcMar>
          </w:tcPr>
          <w:p w14:paraId="7E815247" w14:textId="77777777" w:rsidR="00D02CD4" w:rsidRPr="00433B39" w:rsidRDefault="00D02CD4" w:rsidP="00433B39">
            <w:pPr>
              <w:jc w:val="right"/>
              <w:rPr>
                <w:sz w:val="20"/>
                <w:szCs w:val="20"/>
              </w:rPr>
            </w:pPr>
          </w:p>
        </w:tc>
      </w:tr>
      <w:tr w:rsidR="00433B39" w:rsidRPr="00433B39" w14:paraId="625C0C71" w14:textId="77777777">
        <w:tc>
          <w:tcPr>
            <w:tcW w:w="1874" w:type="pct"/>
            <w:tcBorders>
              <w:top w:val="nil"/>
              <w:left w:val="single" w:sz="4" w:space="0" w:color="auto"/>
              <w:bottom w:val="single" w:sz="4" w:space="0" w:color="auto"/>
              <w:right w:val="single" w:sz="4" w:space="0" w:color="auto"/>
            </w:tcBorders>
            <w:hideMark/>
          </w:tcPr>
          <w:p w14:paraId="665BE103" w14:textId="77777777" w:rsidR="00433B39" w:rsidRPr="00433B39" w:rsidRDefault="00433B39" w:rsidP="00433B39">
            <w:pPr>
              <w:jc w:val="left"/>
              <w:rPr>
                <w:b/>
                <w:color w:val="000000"/>
                <w:sz w:val="20"/>
                <w:szCs w:val="20"/>
              </w:rPr>
            </w:pPr>
            <w:r>
              <w:rPr>
                <w:b/>
                <w:color w:val="000000"/>
                <w:sz w:val="20"/>
                <w:szCs w:val="20"/>
              </w:rPr>
              <w:t>Total</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6DD4135E" w14:textId="1CBDAB28" w:rsidR="00433B39" w:rsidRPr="00433B39" w:rsidRDefault="00433B39" w:rsidP="00433B39">
            <w:pPr>
              <w:jc w:val="right"/>
              <w:rPr>
                <w:b/>
                <w:color w:val="000000"/>
                <w:sz w:val="20"/>
                <w:szCs w:val="20"/>
              </w:rPr>
            </w:pPr>
            <w:r>
              <w:rPr>
                <w:b/>
                <w:color w:val="000000"/>
                <w:sz w:val="20"/>
                <w:szCs w:val="20"/>
              </w:rPr>
              <w:t>10.631.200</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tcPr>
          <w:p w14:paraId="7BF7F0D6" w14:textId="4042C161" w:rsidR="00433B39" w:rsidRPr="00433B39" w:rsidRDefault="00433B39" w:rsidP="00433B39">
            <w:pPr>
              <w:jc w:val="right"/>
              <w:rPr>
                <w:b/>
                <w:color w:val="000000"/>
                <w:sz w:val="20"/>
                <w:szCs w:val="20"/>
              </w:rPr>
            </w:pPr>
            <w:r>
              <w:rPr>
                <w:b/>
                <w:color w:val="000000"/>
                <w:sz w:val="20"/>
                <w:szCs w:val="20"/>
              </w:rPr>
              <w:t>11.191.331</w:t>
            </w:r>
          </w:p>
        </w:tc>
        <w:tc>
          <w:tcPr>
            <w:tcW w:w="781" w:type="pct"/>
            <w:tcBorders>
              <w:top w:val="nil"/>
              <w:left w:val="nil"/>
              <w:bottom w:val="single" w:sz="4" w:space="0" w:color="auto"/>
              <w:right w:val="single" w:sz="4" w:space="0" w:color="auto"/>
            </w:tcBorders>
            <w:noWrap/>
            <w:tcMar>
              <w:top w:w="0" w:type="dxa"/>
              <w:left w:w="0" w:type="dxa"/>
              <w:bottom w:w="0" w:type="dxa"/>
              <w:right w:w="173" w:type="dxa"/>
            </w:tcMar>
            <w:hideMark/>
          </w:tcPr>
          <w:p w14:paraId="71DF2CF6" w14:textId="57BECA78" w:rsidR="00433B39" w:rsidRPr="00433B39" w:rsidRDefault="00433B39" w:rsidP="00433B39">
            <w:pPr>
              <w:jc w:val="right"/>
              <w:rPr>
                <w:b/>
                <w:color w:val="000000"/>
                <w:sz w:val="20"/>
                <w:szCs w:val="20"/>
              </w:rPr>
            </w:pPr>
            <w:r>
              <w:rPr>
                <w:sz w:val="20"/>
                <w:szCs w:val="20"/>
              </w:rPr>
              <w:t>560.131</w:t>
            </w:r>
          </w:p>
        </w:tc>
        <w:tc>
          <w:tcPr>
            <w:tcW w:w="782" w:type="pct"/>
            <w:tcBorders>
              <w:top w:val="nil"/>
              <w:left w:val="nil"/>
              <w:bottom w:val="single" w:sz="4" w:space="0" w:color="auto"/>
              <w:right w:val="single" w:sz="4" w:space="0" w:color="auto"/>
            </w:tcBorders>
            <w:noWrap/>
            <w:tcMar>
              <w:top w:w="0" w:type="dxa"/>
              <w:left w:w="0" w:type="dxa"/>
              <w:bottom w:w="0" w:type="dxa"/>
              <w:right w:w="173" w:type="dxa"/>
            </w:tcMar>
            <w:hideMark/>
          </w:tcPr>
          <w:p w14:paraId="19CCD6E0" w14:textId="03135E81" w:rsidR="00433B39" w:rsidRPr="00433B39" w:rsidRDefault="00433B39" w:rsidP="00433B39">
            <w:pPr>
              <w:jc w:val="right"/>
              <w:rPr>
                <w:b/>
                <w:color w:val="000000"/>
                <w:sz w:val="20"/>
                <w:szCs w:val="20"/>
              </w:rPr>
            </w:pPr>
            <w:r>
              <w:rPr>
                <w:sz w:val="20"/>
                <w:szCs w:val="20"/>
              </w:rPr>
              <w:t>5,27</w:t>
            </w:r>
          </w:p>
        </w:tc>
      </w:tr>
    </w:tbl>
    <w:p w14:paraId="00562651" w14:textId="77777777" w:rsidR="0072703E" w:rsidRPr="00E339A5" w:rsidRDefault="0072703E" w:rsidP="0072703E">
      <w:pPr>
        <w:rPr>
          <w:highlight w:val="green"/>
          <w:lang w:val="en-GB"/>
        </w:rPr>
      </w:pPr>
    </w:p>
    <w:p w14:paraId="0408AE0C" w14:textId="77777777" w:rsidR="0072703E" w:rsidRPr="00433B39" w:rsidRDefault="0072703E" w:rsidP="0072703E">
      <w:pPr>
        <w:keepNext/>
        <w:keepLines/>
        <w:spacing w:after="240"/>
        <w:jc w:val="left"/>
        <w:outlineLvl w:val="0"/>
        <w:rPr>
          <w:b/>
        </w:rPr>
      </w:pPr>
      <w:r>
        <w:rPr>
          <w:b/>
        </w:rPr>
        <w:t>RECOMENDACIÓN</w:t>
      </w:r>
    </w:p>
    <w:p w14:paraId="5C09B3D0" w14:textId="77777777" w:rsidR="0072703E" w:rsidRPr="00E2427C" w:rsidRDefault="0072703E" w:rsidP="0072703E">
      <w:pPr>
        <w:widowControl w:val="0"/>
        <w:numPr>
          <w:ilvl w:val="0"/>
          <w:numId w:val="1"/>
        </w:numPr>
        <w:spacing w:after="240"/>
        <w:outlineLvl w:val="0"/>
      </w:pPr>
      <w:r>
        <w:t>Teniendo en cuenta la información proporcionada por el PNUMA y las observaciones antedichas, el Comité Ejecutivo podría:</w:t>
      </w:r>
    </w:p>
    <w:p w14:paraId="7B441646" w14:textId="141E789C" w:rsidR="0072703E" w:rsidRPr="00E2427C" w:rsidRDefault="0072703E" w:rsidP="0072703E">
      <w:pPr>
        <w:widowControl w:val="0"/>
        <w:numPr>
          <w:ilvl w:val="1"/>
          <w:numId w:val="1"/>
        </w:numPr>
        <w:spacing w:after="240"/>
        <w:ind w:left="1429"/>
        <w:outlineLvl w:val="1"/>
      </w:pPr>
      <w:r>
        <w:t xml:space="preserve">Tomar nota del informe sobre la marcha de las actividades de 2024 y del plan de trabajo y presupuesto de 2025 del Programa de Asistencia al Cumplimiento del PNUMA que recoge el documento UNEP/OzL.Pro/ExCom/95/83; </w:t>
      </w:r>
    </w:p>
    <w:p w14:paraId="7E178213" w14:textId="6D655EED" w:rsidR="0072703E" w:rsidRPr="00E2427C" w:rsidRDefault="0072703E" w:rsidP="0072703E">
      <w:pPr>
        <w:pStyle w:val="Heading2"/>
        <w:numPr>
          <w:ilvl w:val="1"/>
          <w:numId w:val="1"/>
        </w:numPr>
      </w:pPr>
      <w:r>
        <w:t xml:space="preserve">Aprobar con carácter excepcional las actividades y presupuesto del Programa de Asistencia al Cumplimiento para 2025 por un monto de USD 11.191.331 más gastos de apoyo al organismo del 8 %, equivalentes a USD 895.306, habida cuenta de los ajustes que se proponen; </w:t>
      </w:r>
    </w:p>
    <w:p w14:paraId="66E5FC79" w14:textId="77777777" w:rsidR="0072703E" w:rsidRPr="00E2427C" w:rsidRDefault="0072703E" w:rsidP="0072703E">
      <w:pPr>
        <w:pStyle w:val="Heading2"/>
        <w:keepNext/>
        <w:widowControl/>
        <w:numPr>
          <w:ilvl w:val="1"/>
          <w:numId w:val="1"/>
        </w:numPr>
      </w:pPr>
      <w:r>
        <w:lastRenderedPageBreak/>
        <w:t>Solicitar al PNUMA que, en futuras comunicaciones sobre el presupuesto del Programa de Asistencia al Cumplimiento, se siga:</w:t>
      </w:r>
    </w:p>
    <w:p w14:paraId="2013AB9D" w14:textId="77777777" w:rsidR="0072703E" w:rsidRPr="00E2427C" w:rsidRDefault="0072703E" w:rsidP="0072703E">
      <w:pPr>
        <w:pStyle w:val="Heading3"/>
        <w:keepNext/>
        <w:widowControl/>
        <w:numPr>
          <w:ilvl w:val="2"/>
          <w:numId w:val="1"/>
        </w:numPr>
      </w:pPr>
      <w:r>
        <w:t>Proporcionando información detallada sobre las actividades para las cuales se utilizarían los fondos mundiales;</w:t>
      </w:r>
    </w:p>
    <w:p w14:paraId="2DAB70F7" w14:textId="77777777" w:rsidR="0072703E" w:rsidRPr="00E2427C" w:rsidRDefault="0072703E" w:rsidP="0072703E">
      <w:pPr>
        <w:pStyle w:val="Heading3"/>
        <w:numPr>
          <w:ilvl w:val="2"/>
          <w:numId w:val="1"/>
        </w:numPr>
      </w:pPr>
      <w:r>
        <w:t>Ampliando las prioridades de financiamiento de las partidas presupuestarias del Programa de Asistencia al Cumplimiento para tener en cuenta las nuevas prioridades, adjuntando detalles, conforme a las decisiones 47/24 y 50/26, sobre toda reasignación presupuestaria;</w:t>
      </w:r>
    </w:p>
    <w:p w14:paraId="25197FC9" w14:textId="77777777" w:rsidR="0072703E" w:rsidRPr="00E2427C" w:rsidRDefault="0072703E" w:rsidP="0072703E">
      <w:pPr>
        <w:pStyle w:val="Heading3"/>
        <w:numPr>
          <w:ilvl w:val="2"/>
          <w:numId w:val="1"/>
        </w:numPr>
      </w:pPr>
      <w:r>
        <w:t xml:space="preserve">Informando sobre los actuales niveles de puestos del personal y comunicando al Comité Ejecutivo cualquier cambio, especialmente en cuanto a todo aumento de asignación presupuestaria; </w:t>
      </w:r>
    </w:p>
    <w:p w14:paraId="5E480381" w14:textId="77777777" w:rsidR="0072703E" w:rsidRPr="00E2427C" w:rsidRDefault="0072703E" w:rsidP="00B60F81">
      <w:pPr>
        <w:pStyle w:val="Heading3"/>
        <w:widowControl/>
        <w:numPr>
          <w:ilvl w:val="2"/>
          <w:numId w:val="1"/>
        </w:numPr>
      </w:pPr>
      <w:r>
        <w:t xml:space="preserve">Proporcionando un presupuesto para el año en cuestión y un informe sobre los gastos contraídos en el año anterior al último año, teniendo en cuenta los incisos c) ii) y c) iii) antedichos; y </w:t>
      </w:r>
    </w:p>
    <w:p w14:paraId="0BBB62A1" w14:textId="13E61945" w:rsidR="0072703E" w:rsidRPr="00E2427C" w:rsidRDefault="0072703E" w:rsidP="0072703E">
      <w:pPr>
        <w:pStyle w:val="Heading2"/>
        <w:numPr>
          <w:ilvl w:val="1"/>
          <w:numId w:val="1"/>
        </w:numPr>
      </w:pPr>
      <w:r>
        <w:t>Pedir además al PNUMA que presente un informe final en el que se detallen las experiencias adquiridas de la aplicación de la primera fase del proyecto mundial de asistencia técnica para la articulación de los encargados nacionales del ozono  y los responsables de las políticas nacionales de eficiencia energética para apoyar los objetivos de la Enmienda de Kigali cuando se presente la segunda fase del proyecto en la primera reunión de 2026.</w:t>
      </w:r>
    </w:p>
    <w:p w14:paraId="6F1DBB99" w14:textId="77777777" w:rsidR="004E7F9C" w:rsidRPr="00E51D8F" w:rsidRDefault="004E7F9C" w:rsidP="004E7F9C">
      <w:pPr>
        <w:pStyle w:val="Title1"/>
      </w:pPr>
    </w:p>
    <w:p w14:paraId="4F855CB4" w14:textId="77777777" w:rsidR="00E85409" w:rsidRPr="009B0D30" w:rsidRDefault="00E85409" w:rsidP="004E7F9C"/>
    <w:p w14:paraId="4A42575B"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0B826F1" w14:textId="77777777">
        <w:tc>
          <w:tcPr>
            <w:tcW w:w="1915" w:type="dxa"/>
          </w:tcPr>
          <w:p w14:paraId="6E1E2276" w14:textId="77777777" w:rsidR="00E85409" w:rsidRPr="009B0D30" w:rsidRDefault="00E85409"/>
        </w:tc>
        <w:tc>
          <w:tcPr>
            <w:tcW w:w="1915" w:type="dxa"/>
          </w:tcPr>
          <w:p w14:paraId="151CF1FF" w14:textId="77777777" w:rsidR="00E85409" w:rsidRPr="009B0D30" w:rsidRDefault="00E85409"/>
        </w:tc>
        <w:tc>
          <w:tcPr>
            <w:tcW w:w="1915" w:type="dxa"/>
            <w:tcBorders>
              <w:bottom w:val="single" w:sz="4" w:space="0" w:color="auto"/>
            </w:tcBorders>
          </w:tcPr>
          <w:p w14:paraId="127C711F" w14:textId="77777777" w:rsidR="00E85409" w:rsidRPr="009B0D30" w:rsidRDefault="00E85409"/>
        </w:tc>
        <w:tc>
          <w:tcPr>
            <w:tcW w:w="1915" w:type="dxa"/>
          </w:tcPr>
          <w:p w14:paraId="4B0C6F8D" w14:textId="77777777" w:rsidR="00E85409" w:rsidRPr="009B0D30" w:rsidRDefault="00E85409"/>
        </w:tc>
        <w:tc>
          <w:tcPr>
            <w:tcW w:w="1916" w:type="dxa"/>
          </w:tcPr>
          <w:p w14:paraId="37206464" w14:textId="77777777" w:rsidR="00E85409" w:rsidRPr="009B0D30" w:rsidRDefault="00E85409"/>
        </w:tc>
      </w:tr>
    </w:tbl>
    <w:p w14:paraId="63BAEADA"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07858" w14:textId="77777777" w:rsidR="00BE2DF2" w:rsidRDefault="00BE2DF2" w:rsidP="004A504B">
      <w:r>
        <w:separator/>
      </w:r>
    </w:p>
  </w:endnote>
  <w:endnote w:type="continuationSeparator" w:id="0">
    <w:p w14:paraId="44507E76" w14:textId="77777777" w:rsidR="00BE2DF2" w:rsidRDefault="00BE2DF2" w:rsidP="004A504B">
      <w:r>
        <w:continuationSeparator/>
      </w:r>
    </w:p>
  </w:endnote>
  <w:endnote w:type="continuationNotice" w:id="1">
    <w:p w14:paraId="0D7D8064" w14:textId="77777777" w:rsidR="00BE2DF2" w:rsidRDefault="00BE2D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Bold">
    <w:altName w:val="Times New Roman"/>
    <w:charset w:val="00"/>
    <w:family w:val="auto"/>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Roboto">
    <w:charset w:val="00"/>
    <w:family w:val="auto"/>
    <w:pitch w:val="variable"/>
    <w:sig w:usb0="E0000AFF" w:usb1="5000217F" w:usb2="00000021" w:usb3="00000000" w:csb0="0000019F" w:csb1="00000000"/>
  </w:font>
  <w:font w:name="__Roboto_Fallback_51ba67">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EC171"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D4E8D"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1430F" w14:textId="77777777" w:rsidR="004E7F9C" w:rsidRDefault="004E7F9C" w:rsidP="00793CF8">
    <w:pPr>
      <w:pBdr>
        <w:top w:val="single" w:sz="4" w:space="1" w:color="auto"/>
        <w:left w:val="single" w:sz="4" w:space="4" w:color="auto"/>
        <w:bottom w:val="single" w:sz="4" w:space="1" w:color="auto"/>
        <w:right w:val="single" w:sz="4" w:space="4" w:color="auto"/>
      </w:pBdr>
      <w:ind w:right="-180"/>
      <w:jc w:val="center"/>
      <w:rPr>
        <w:sz w:val="18"/>
        <w:szCs w:val="18"/>
      </w:rPr>
    </w:pPr>
    <w:r>
      <w:rPr>
        <w:sz w:val="18"/>
        <w:szCs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rPr>
      <w:t>los mismos</w:t>
    </w:r>
    <w:proofErr w:type="gramEnd"/>
    <w:r>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E043C" w14:textId="77777777" w:rsidR="00BE2DF2" w:rsidRDefault="00BE2DF2" w:rsidP="004A504B">
      <w:r>
        <w:separator/>
      </w:r>
    </w:p>
  </w:footnote>
  <w:footnote w:type="continuationSeparator" w:id="0">
    <w:p w14:paraId="019160DE" w14:textId="77777777" w:rsidR="00BE2DF2" w:rsidRDefault="00BE2DF2" w:rsidP="004A504B">
      <w:r>
        <w:continuationSeparator/>
      </w:r>
    </w:p>
  </w:footnote>
  <w:footnote w:type="continuationNotice" w:id="1">
    <w:p w14:paraId="797CD91E" w14:textId="77777777" w:rsidR="00BE2DF2" w:rsidRDefault="00BE2DF2"/>
  </w:footnote>
  <w:footnote w:id="2">
    <w:p w14:paraId="4052A0CA" w14:textId="77777777" w:rsidR="0079781A" w:rsidRPr="001E1147" w:rsidRDefault="0079781A" w:rsidP="0079781A">
      <w:pPr>
        <w:pStyle w:val="FootnoteText"/>
      </w:pPr>
      <w:r>
        <w:rPr>
          <w:rStyle w:val="FootnoteReference"/>
        </w:rPr>
        <w:footnoteRef/>
      </w:r>
      <w:r>
        <w:t xml:space="preserve"> UNEP/OzL.Pro/ExCom//95/1</w:t>
      </w:r>
    </w:p>
  </w:footnote>
  <w:footnote w:id="3">
    <w:p w14:paraId="2EC36A25" w14:textId="4045F887" w:rsidR="0072703E" w:rsidRDefault="0072703E" w:rsidP="0072703E">
      <w:pPr>
        <w:pStyle w:val="FootnoteText"/>
      </w:pPr>
      <w:r>
        <w:rPr>
          <w:rStyle w:val="FootnoteReference"/>
        </w:rPr>
        <w:footnoteRef/>
      </w:r>
      <w:r>
        <w:t xml:space="preserve"> Esta solicitud tiene carácter excepcional y supera en USD 297.195 el aumento máximo del 3 % anual del presupuesto del PAC del PNUMA previsto en la decisión 47/24, antes de contabilizar el aumento adicional de USD 150.000 del presupuesto de 2025 aprobado en la decisión 93/95. </w:t>
      </w:r>
    </w:p>
  </w:footnote>
  <w:footnote w:id="4">
    <w:p w14:paraId="7718AD52" w14:textId="7D0589EF" w:rsidR="00D67ED5" w:rsidRDefault="00D67ED5" w:rsidP="00D67ED5">
      <w:pPr>
        <w:pStyle w:val="FootnoteText"/>
      </w:pPr>
      <w:r>
        <w:rPr>
          <w:rStyle w:val="FootnoteReference"/>
        </w:rPr>
        <w:footnoteRef/>
      </w:r>
      <w:r>
        <w:t xml:space="preserve"> La Asociación Americana de Ingenieros de Calefacción, Refrigeración y Aire Acondicionado (ASHRAE), el Instituto Internacional de Refrigeración (IIR), el Instituto de Aire Acondicionado, Calefacción y Refrigeración (AHRI), la Asociación India de Ingenieros de Calefacción, Refrigeración y Aire Acondicionado (ISHRAE), la Federación de Asociaciones Iberoamericanas (FAIAR) y la Unión de Asociaciones de Agentes Africanos de la Refrigeración y el Aire Acondicionado (U-3ARC).</w:t>
      </w:r>
    </w:p>
  </w:footnote>
  <w:footnote w:id="5">
    <w:p w14:paraId="7D6A8811" w14:textId="69160CD2" w:rsidR="00CE5D08" w:rsidRPr="00CE5D08" w:rsidRDefault="00CE5D08">
      <w:pPr>
        <w:pStyle w:val="FootnoteText"/>
      </w:pPr>
      <w:r>
        <w:rPr>
          <w:rStyle w:val="FootnoteReference"/>
        </w:rPr>
        <w:footnoteRef/>
      </w:r>
      <w:r>
        <w:t xml:space="preserve"> Decisión 91/42</w:t>
      </w:r>
    </w:p>
  </w:footnote>
  <w:footnote w:id="6">
    <w:p w14:paraId="608717CA" w14:textId="77777777" w:rsidR="00F739C5" w:rsidRPr="0074135A" w:rsidRDefault="00F739C5" w:rsidP="00F739C5">
      <w:pPr>
        <w:pStyle w:val="FootnoteText"/>
      </w:pPr>
      <w:r>
        <w:rPr>
          <w:rStyle w:val="FootnoteReference"/>
        </w:rPr>
        <w:footnoteRef/>
      </w:r>
      <w:r>
        <w:t xml:space="preserve">  Las solicitudes de aumentos futuros del presupuesto del Programa de Asistencia al Cumplimiento se limitarían al 3 por ciento, a menos que el Comité Ejecutivo tenga pruebas de que las presiones inflacionarias justifican otra cosa.</w:t>
      </w:r>
    </w:p>
  </w:footnote>
  <w:footnote w:id="7">
    <w:p w14:paraId="6027A871" w14:textId="77777777" w:rsidR="00A06126" w:rsidRDefault="00A06126" w:rsidP="00A06126">
      <w:pPr>
        <w:pStyle w:val="FootnoteText"/>
        <w:rPr>
          <w:highlight w:val="yellow"/>
        </w:rPr>
      </w:pPr>
      <w:r>
        <w:rPr>
          <w:rStyle w:val="FootnoteReference"/>
        </w:rPr>
        <w:footnoteRef/>
      </w:r>
      <w:r>
        <w:t xml:space="preserve"> Decisión 93/91 d) ii): Se solicitó al PNUMA que, en futuras presentaciones del presupuesto del Programa de Asistencia al Cumplimiento, siguiera ampliando el orden de prioridad de la financiación entre las partidas presupuestarias del Programa de Asistencia al Cumplimiento para adaptarse a las prioridades en evolución y proporcionando detalles, de conformidad con las decisiones 47/24 y 50/26, sobre las reasignaciones realizadas.</w:t>
      </w:r>
    </w:p>
  </w:footnote>
  <w:footnote w:id="8">
    <w:p w14:paraId="358CD272" w14:textId="767DEAD8" w:rsidR="0072703E" w:rsidRDefault="0072703E" w:rsidP="0072703E">
      <w:pPr>
        <w:pStyle w:val="FootnoteText"/>
      </w:pPr>
      <w:r>
        <w:rPr>
          <w:rStyle w:val="FootnoteReference"/>
        </w:rPr>
        <w:footnoteRef/>
      </w:r>
      <w:r>
        <w:t xml:space="preserve"> Decisión 93/91 d) iii): Se solicitó al PNUMA que en las presentaciones futuras del presupuesto del Programa de Asistencia al Cumplimiento dé cuenta “de los niveles actuales de puestos del personal e informe al Comité Ejecutivo sobre cualquier cambio, especialmente en lo que respecta a cualquier aumento de las asignaciones presupuestarias”.</w:t>
      </w:r>
    </w:p>
  </w:footnote>
  <w:footnote w:id="9">
    <w:p w14:paraId="154AD877" w14:textId="69BCB89D" w:rsidR="0072703E" w:rsidRDefault="0072703E" w:rsidP="0072703E">
      <w:pPr>
        <w:pStyle w:val="FootnoteText"/>
      </w:pPr>
      <w:r>
        <w:rPr>
          <w:rStyle w:val="FootnoteReference"/>
        </w:rPr>
        <w:footnoteRef/>
      </w:r>
      <w:r>
        <w:t xml:space="preserve"> Decisión 93/91 d) iv):  Se solicitó al PNUMA que en las presentaciones futuras del presupuesto del PAC siga proporcionando un presupuesto para el año en cuestión y un informe sobre los costos incurridos en el año anterior al último año, teniendo en cuenta los incisos d) ii) y d) iii). </w:t>
      </w:r>
    </w:p>
  </w:footnote>
  <w:footnote w:id="10">
    <w:p w14:paraId="735EF71D" w14:textId="16E2CC2D" w:rsidR="0072703E" w:rsidRDefault="0072703E" w:rsidP="0072703E">
      <w:pPr>
        <w:pStyle w:val="FootnoteText"/>
      </w:pPr>
      <w:r>
        <w:rPr>
          <w:rStyle w:val="FootnoteReference"/>
        </w:rPr>
        <w:footnoteRef/>
      </w:r>
      <w:r>
        <w:t xml:space="preserve"> En la decisión 93/91 d) se pide al PNUMA que, en futuras presentaciones del presupuesto del PAC, siga: i) facilitando información detallada sobre las actividades para las que se utilizarían los fondos globales; ii) ampliando el orden de prioridad de la financiación entre las partidas presupuestarias del PAC para dar cabida a las prioridades en evolución, y que facilite detalles, de conformidad con las decisiones 47/24 y 50/26, sobre las reasignaciones efectuadas; iii) informando sobre los actuales niveles de puestos del personal e informando al Comité Ejecutivo de cualquier cambio al respecto, en particular con respecto a cualquier aumento de las asignaciones presupuestarias.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E8DB7" w14:textId="4637FEFD" w:rsidR="00DC6A10" w:rsidRPr="0033525D" w:rsidRDefault="004E4583">
    <w:r>
      <w:fldChar w:fldCharType="begin"/>
    </w:r>
    <w:r>
      <w:instrText xml:space="preserve"> DOCPROPERTY "Document number"  \* MERGEFORMAT </w:instrText>
    </w:r>
    <w:r>
      <w:fldChar w:fldCharType="separate"/>
    </w:r>
    <w:r w:rsidR="00793CF8">
      <w:t>UNEP/</w:t>
    </w:r>
    <w:proofErr w:type="spellStart"/>
    <w:r w:rsidR="00793CF8">
      <w:t>OzL.Pro</w:t>
    </w:r>
    <w:proofErr w:type="spellEnd"/>
    <w:r w:rsidR="00793CF8">
      <w:t>/</w:t>
    </w:r>
    <w:proofErr w:type="spellStart"/>
    <w:r w:rsidR="00793CF8">
      <w:t>ExCom</w:t>
    </w:r>
    <w:proofErr w:type="spellEnd"/>
    <w:r w:rsidR="00793CF8">
      <w:t>/95/83</w:t>
    </w:r>
    <w:r>
      <w:fldChar w:fldCharType="end"/>
    </w:r>
  </w:p>
  <w:p w14:paraId="610F7833" w14:textId="77777777" w:rsidR="00DC6A10" w:rsidRPr="0033525D" w:rsidRDefault="00DC6A10"/>
  <w:p w14:paraId="29832AC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704F0" w14:textId="056E95FE" w:rsidR="00DC6A10" w:rsidRPr="0033525D" w:rsidRDefault="004E4583">
    <w:pPr>
      <w:jc w:val="right"/>
    </w:pPr>
    <w:r>
      <w:fldChar w:fldCharType="begin"/>
    </w:r>
    <w:r>
      <w:instrText xml:space="preserve"> DOCPROPERTY "Document number"  \* MERGEFORMAT </w:instrText>
    </w:r>
    <w:r>
      <w:fldChar w:fldCharType="separate"/>
    </w:r>
    <w:r w:rsidR="00793CF8">
      <w:t>UNEP/</w:t>
    </w:r>
    <w:proofErr w:type="spellStart"/>
    <w:r w:rsidR="00793CF8">
      <w:t>OzL.Pro</w:t>
    </w:r>
    <w:proofErr w:type="spellEnd"/>
    <w:r w:rsidR="00793CF8">
      <w:t>/</w:t>
    </w:r>
    <w:proofErr w:type="spellStart"/>
    <w:r w:rsidR="00793CF8">
      <w:t>ExCom</w:t>
    </w:r>
    <w:proofErr w:type="spellEnd"/>
    <w:r w:rsidR="00793CF8">
      <w:t>/95/83</w:t>
    </w:r>
    <w:r>
      <w:fldChar w:fldCharType="end"/>
    </w:r>
  </w:p>
  <w:p w14:paraId="67C55296" w14:textId="77777777" w:rsidR="00DC6A10" w:rsidRPr="0033525D" w:rsidRDefault="00DC6A10"/>
  <w:p w14:paraId="17FE37CF"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06E1A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07D366D"/>
    <w:multiLevelType w:val="hybridMultilevel"/>
    <w:tmpl w:val="87BC99B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8967E7"/>
    <w:multiLevelType w:val="multilevel"/>
    <w:tmpl w:val="A26ECD2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01284F"/>
    <w:multiLevelType w:val="hybridMultilevel"/>
    <w:tmpl w:val="367819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16E5B18"/>
    <w:multiLevelType w:val="hybridMultilevel"/>
    <w:tmpl w:val="B0F432FC"/>
    <w:lvl w:ilvl="0" w:tplc="79F2BD86">
      <w:start w:val="1"/>
      <w:numFmt w:val="bullet"/>
      <w:lvlText w:val="-"/>
      <w:lvlJc w:val="left"/>
      <w:pPr>
        <w:ind w:left="1440" w:hanging="360"/>
      </w:pPr>
      <w:rPr>
        <w:rFonts w:ascii="Times New Roman" w:eastAsiaTheme="minorHAnsi" w:hAnsi="Times New Roman"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18" w15:restartNumberingAfterBreak="0">
    <w:nsid w:val="48CB4891"/>
    <w:multiLevelType w:val="hybridMultilevel"/>
    <w:tmpl w:val="55700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5B6B7F"/>
    <w:multiLevelType w:val="hybridMultilevel"/>
    <w:tmpl w:val="5EF8C972"/>
    <w:lvl w:ilvl="0" w:tplc="AD3A2C4E">
      <w:start w:val="1"/>
      <w:numFmt w:val="decimal"/>
      <w:lvlText w:val="%1."/>
      <w:lvlJc w:val="left"/>
      <w:pPr>
        <w:ind w:left="1440" w:hanging="360"/>
      </w:pPr>
    </w:lvl>
    <w:lvl w:ilvl="1" w:tplc="15C0E64A">
      <w:start w:val="1"/>
      <w:numFmt w:val="decimal"/>
      <w:lvlText w:val="%2."/>
      <w:lvlJc w:val="left"/>
      <w:pPr>
        <w:ind w:left="1440" w:hanging="360"/>
      </w:pPr>
    </w:lvl>
    <w:lvl w:ilvl="2" w:tplc="3AC4E8AC">
      <w:start w:val="1"/>
      <w:numFmt w:val="decimal"/>
      <w:lvlText w:val="%3."/>
      <w:lvlJc w:val="left"/>
      <w:pPr>
        <w:ind w:left="1440" w:hanging="360"/>
      </w:pPr>
    </w:lvl>
    <w:lvl w:ilvl="3" w:tplc="CFCC744C">
      <w:start w:val="1"/>
      <w:numFmt w:val="decimal"/>
      <w:lvlText w:val="%4."/>
      <w:lvlJc w:val="left"/>
      <w:pPr>
        <w:ind w:left="1440" w:hanging="360"/>
      </w:pPr>
    </w:lvl>
    <w:lvl w:ilvl="4" w:tplc="E45E9686">
      <w:start w:val="1"/>
      <w:numFmt w:val="decimal"/>
      <w:lvlText w:val="%5."/>
      <w:lvlJc w:val="left"/>
      <w:pPr>
        <w:ind w:left="1440" w:hanging="360"/>
      </w:pPr>
    </w:lvl>
    <w:lvl w:ilvl="5" w:tplc="308615CA">
      <w:start w:val="1"/>
      <w:numFmt w:val="decimal"/>
      <w:lvlText w:val="%6."/>
      <w:lvlJc w:val="left"/>
      <w:pPr>
        <w:ind w:left="1440" w:hanging="360"/>
      </w:pPr>
    </w:lvl>
    <w:lvl w:ilvl="6" w:tplc="3552FF00">
      <w:start w:val="1"/>
      <w:numFmt w:val="decimal"/>
      <w:lvlText w:val="%7."/>
      <w:lvlJc w:val="left"/>
      <w:pPr>
        <w:ind w:left="1440" w:hanging="360"/>
      </w:pPr>
    </w:lvl>
    <w:lvl w:ilvl="7" w:tplc="3B08F48C">
      <w:start w:val="1"/>
      <w:numFmt w:val="decimal"/>
      <w:lvlText w:val="%8."/>
      <w:lvlJc w:val="left"/>
      <w:pPr>
        <w:ind w:left="1440" w:hanging="360"/>
      </w:pPr>
    </w:lvl>
    <w:lvl w:ilvl="8" w:tplc="3E0CAA0E">
      <w:start w:val="1"/>
      <w:numFmt w:val="decimal"/>
      <w:lvlText w:val="%9."/>
      <w:lvlJc w:val="left"/>
      <w:pPr>
        <w:ind w:left="1440" w:hanging="36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E116CE5"/>
    <w:multiLevelType w:val="hybridMultilevel"/>
    <w:tmpl w:val="56DEF9DE"/>
    <w:lvl w:ilvl="0" w:tplc="04090001">
      <w:start w:val="1"/>
      <w:numFmt w:val="bullet"/>
      <w:lvlText w:val=""/>
      <w:lvlJc w:val="left"/>
      <w:pPr>
        <w:ind w:left="720" w:hanging="72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6F4D3E4D"/>
    <w:multiLevelType w:val="hybridMultilevel"/>
    <w:tmpl w:val="D138CB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20"/>
  </w:num>
  <w:num w:numId="18" w16cid:durableId="559828470">
    <w:abstractNumId w:val="21"/>
  </w:num>
  <w:num w:numId="19" w16cid:durableId="1488010068">
    <w:abstractNumId w:val="24"/>
  </w:num>
  <w:num w:numId="20" w16cid:durableId="444007775">
    <w:abstractNumId w:val="14"/>
  </w:num>
  <w:num w:numId="21" w16cid:durableId="116874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23293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32435786">
    <w:abstractNumId w:val="17"/>
  </w:num>
  <w:num w:numId="24"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2325135">
    <w:abstractNumId w:val="10"/>
  </w:num>
  <w:num w:numId="26" w16cid:durableId="355614979">
    <w:abstractNumId w:val="18"/>
  </w:num>
  <w:num w:numId="27" w16cid:durableId="150684655">
    <w:abstractNumId w:val="10"/>
  </w:num>
  <w:num w:numId="28" w16cid:durableId="1395591695">
    <w:abstractNumId w:val="10"/>
  </w:num>
  <w:num w:numId="29" w16cid:durableId="1779137904">
    <w:abstractNumId w:val="10"/>
  </w:num>
  <w:num w:numId="30" w16cid:durableId="1253661599">
    <w:abstractNumId w:val="10"/>
  </w:num>
  <w:num w:numId="31" w16cid:durableId="673607878">
    <w:abstractNumId w:val="10"/>
  </w:num>
  <w:num w:numId="32" w16cid:durableId="1852603479">
    <w:abstractNumId w:val="16"/>
  </w:num>
  <w:num w:numId="33" w16cid:durableId="32598447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06229788">
    <w:abstractNumId w:val="12"/>
  </w:num>
  <w:num w:numId="35" w16cid:durableId="1540820522">
    <w:abstractNumId w:val="22"/>
  </w:num>
  <w:num w:numId="36" w16cid:durableId="369650236">
    <w:abstractNumId w:val="11"/>
  </w:num>
  <w:num w:numId="37" w16cid:durableId="1177577236">
    <w:abstractNumId w:val="15"/>
  </w:num>
  <w:num w:numId="38" w16cid:durableId="1025181763">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72703E"/>
    <w:rsid w:val="00000F84"/>
    <w:rsid w:val="00000FED"/>
    <w:rsid w:val="0000118C"/>
    <w:rsid w:val="00001709"/>
    <w:rsid w:val="00001B3B"/>
    <w:rsid w:val="000023C6"/>
    <w:rsid w:val="0000434E"/>
    <w:rsid w:val="000046F6"/>
    <w:rsid w:val="0000611F"/>
    <w:rsid w:val="0000667E"/>
    <w:rsid w:val="00007399"/>
    <w:rsid w:val="00011684"/>
    <w:rsid w:val="000130B3"/>
    <w:rsid w:val="0001368E"/>
    <w:rsid w:val="00016A97"/>
    <w:rsid w:val="00017652"/>
    <w:rsid w:val="000211A9"/>
    <w:rsid w:val="00021238"/>
    <w:rsid w:val="00022071"/>
    <w:rsid w:val="000237C8"/>
    <w:rsid w:val="00023907"/>
    <w:rsid w:val="00024587"/>
    <w:rsid w:val="00024BD8"/>
    <w:rsid w:val="00031260"/>
    <w:rsid w:val="00031990"/>
    <w:rsid w:val="00034F9C"/>
    <w:rsid w:val="00035720"/>
    <w:rsid w:val="00035821"/>
    <w:rsid w:val="0003681A"/>
    <w:rsid w:val="000372B7"/>
    <w:rsid w:val="000407F2"/>
    <w:rsid w:val="00041A76"/>
    <w:rsid w:val="00044F72"/>
    <w:rsid w:val="0004664A"/>
    <w:rsid w:val="0004757F"/>
    <w:rsid w:val="00050F6E"/>
    <w:rsid w:val="00053320"/>
    <w:rsid w:val="000537E1"/>
    <w:rsid w:val="000540A5"/>
    <w:rsid w:val="00055391"/>
    <w:rsid w:val="00056DC4"/>
    <w:rsid w:val="00061B25"/>
    <w:rsid w:val="00061EC2"/>
    <w:rsid w:val="00063EA4"/>
    <w:rsid w:val="00064407"/>
    <w:rsid w:val="00065190"/>
    <w:rsid w:val="00066CE8"/>
    <w:rsid w:val="0006751C"/>
    <w:rsid w:val="00072DDC"/>
    <w:rsid w:val="00073AA2"/>
    <w:rsid w:val="00074420"/>
    <w:rsid w:val="00076867"/>
    <w:rsid w:val="00076A48"/>
    <w:rsid w:val="00076C5A"/>
    <w:rsid w:val="00080ED0"/>
    <w:rsid w:val="00081209"/>
    <w:rsid w:val="00082350"/>
    <w:rsid w:val="00085B8F"/>
    <w:rsid w:val="00086B32"/>
    <w:rsid w:val="000879AA"/>
    <w:rsid w:val="00090481"/>
    <w:rsid w:val="00093657"/>
    <w:rsid w:val="00093BB5"/>
    <w:rsid w:val="000947FA"/>
    <w:rsid w:val="00094DF9"/>
    <w:rsid w:val="000957A9"/>
    <w:rsid w:val="000959A1"/>
    <w:rsid w:val="000960DD"/>
    <w:rsid w:val="000A3826"/>
    <w:rsid w:val="000A5CEE"/>
    <w:rsid w:val="000A6C26"/>
    <w:rsid w:val="000B36C8"/>
    <w:rsid w:val="000B3F64"/>
    <w:rsid w:val="000B6134"/>
    <w:rsid w:val="000B7C6B"/>
    <w:rsid w:val="000C4CBD"/>
    <w:rsid w:val="000C54FC"/>
    <w:rsid w:val="000C5622"/>
    <w:rsid w:val="000D0CED"/>
    <w:rsid w:val="000D1BAC"/>
    <w:rsid w:val="000D1C7E"/>
    <w:rsid w:val="000D4464"/>
    <w:rsid w:val="000D5101"/>
    <w:rsid w:val="000D52A4"/>
    <w:rsid w:val="000D7BF9"/>
    <w:rsid w:val="000E07BC"/>
    <w:rsid w:val="000E184C"/>
    <w:rsid w:val="000E2E21"/>
    <w:rsid w:val="000E414A"/>
    <w:rsid w:val="000E71B8"/>
    <w:rsid w:val="000F1CD4"/>
    <w:rsid w:val="000F1F45"/>
    <w:rsid w:val="000F329D"/>
    <w:rsid w:val="000F4103"/>
    <w:rsid w:val="000F523D"/>
    <w:rsid w:val="000F70A7"/>
    <w:rsid w:val="000F7FC1"/>
    <w:rsid w:val="00100A79"/>
    <w:rsid w:val="0010104E"/>
    <w:rsid w:val="001065B6"/>
    <w:rsid w:val="00110EB1"/>
    <w:rsid w:val="001120B2"/>
    <w:rsid w:val="00113CCA"/>
    <w:rsid w:val="00116C84"/>
    <w:rsid w:val="00117928"/>
    <w:rsid w:val="00121CBC"/>
    <w:rsid w:val="00122DD9"/>
    <w:rsid w:val="00122F25"/>
    <w:rsid w:val="001235DF"/>
    <w:rsid w:val="00124CC6"/>
    <w:rsid w:val="001251F0"/>
    <w:rsid w:val="00130B08"/>
    <w:rsid w:val="001310C8"/>
    <w:rsid w:val="00135980"/>
    <w:rsid w:val="00137027"/>
    <w:rsid w:val="0013786F"/>
    <w:rsid w:val="00141550"/>
    <w:rsid w:val="00141E01"/>
    <w:rsid w:val="001435ED"/>
    <w:rsid w:val="00143974"/>
    <w:rsid w:val="00143B92"/>
    <w:rsid w:val="001467F5"/>
    <w:rsid w:val="00147CAD"/>
    <w:rsid w:val="0016089E"/>
    <w:rsid w:val="00164719"/>
    <w:rsid w:val="00165D4A"/>
    <w:rsid w:val="00166FC4"/>
    <w:rsid w:val="001677AC"/>
    <w:rsid w:val="00167D9A"/>
    <w:rsid w:val="00171956"/>
    <w:rsid w:val="00173958"/>
    <w:rsid w:val="001741FC"/>
    <w:rsid w:val="00175CE7"/>
    <w:rsid w:val="00180072"/>
    <w:rsid w:val="001804EA"/>
    <w:rsid w:val="0018121D"/>
    <w:rsid w:val="00181680"/>
    <w:rsid w:val="001818F6"/>
    <w:rsid w:val="00182AD1"/>
    <w:rsid w:val="00182D78"/>
    <w:rsid w:val="00183573"/>
    <w:rsid w:val="00190A5E"/>
    <w:rsid w:val="00190A61"/>
    <w:rsid w:val="00191942"/>
    <w:rsid w:val="001938CA"/>
    <w:rsid w:val="00197179"/>
    <w:rsid w:val="001A2215"/>
    <w:rsid w:val="001A2D0F"/>
    <w:rsid w:val="001A3342"/>
    <w:rsid w:val="001A3E2B"/>
    <w:rsid w:val="001A3E3D"/>
    <w:rsid w:val="001A6588"/>
    <w:rsid w:val="001A7049"/>
    <w:rsid w:val="001A721B"/>
    <w:rsid w:val="001B0D8D"/>
    <w:rsid w:val="001B14E0"/>
    <w:rsid w:val="001B1E40"/>
    <w:rsid w:val="001B591D"/>
    <w:rsid w:val="001B5D45"/>
    <w:rsid w:val="001B7436"/>
    <w:rsid w:val="001B763A"/>
    <w:rsid w:val="001C6BCD"/>
    <w:rsid w:val="001C764E"/>
    <w:rsid w:val="001D08D9"/>
    <w:rsid w:val="001D2529"/>
    <w:rsid w:val="001D3640"/>
    <w:rsid w:val="001D4D7E"/>
    <w:rsid w:val="001D5690"/>
    <w:rsid w:val="001D60E4"/>
    <w:rsid w:val="001E0395"/>
    <w:rsid w:val="001E1052"/>
    <w:rsid w:val="001E17C8"/>
    <w:rsid w:val="001E21B1"/>
    <w:rsid w:val="001E2F93"/>
    <w:rsid w:val="001E4554"/>
    <w:rsid w:val="001E61E5"/>
    <w:rsid w:val="001F2159"/>
    <w:rsid w:val="001F53FD"/>
    <w:rsid w:val="001F5F3B"/>
    <w:rsid w:val="001F6D22"/>
    <w:rsid w:val="001F712B"/>
    <w:rsid w:val="0020093C"/>
    <w:rsid w:val="00201FC8"/>
    <w:rsid w:val="00202622"/>
    <w:rsid w:val="002027C5"/>
    <w:rsid w:val="00202E6E"/>
    <w:rsid w:val="002051E1"/>
    <w:rsid w:val="0020550A"/>
    <w:rsid w:val="00207C97"/>
    <w:rsid w:val="00210B8B"/>
    <w:rsid w:val="00212A15"/>
    <w:rsid w:val="00213BCC"/>
    <w:rsid w:val="0021465F"/>
    <w:rsid w:val="00214863"/>
    <w:rsid w:val="002156B4"/>
    <w:rsid w:val="00215E1C"/>
    <w:rsid w:val="00220DED"/>
    <w:rsid w:val="002211F5"/>
    <w:rsid w:val="00223DC2"/>
    <w:rsid w:val="00224A3F"/>
    <w:rsid w:val="00224FCD"/>
    <w:rsid w:val="00226CE3"/>
    <w:rsid w:val="00235DB9"/>
    <w:rsid w:val="002411BC"/>
    <w:rsid w:val="00241BF0"/>
    <w:rsid w:val="002420DD"/>
    <w:rsid w:val="00243873"/>
    <w:rsid w:val="00243CB6"/>
    <w:rsid w:val="00244AEC"/>
    <w:rsid w:val="002450B9"/>
    <w:rsid w:val="0024714C"/>
    <w:rsid w:val="0025317A"/>
    <w:rsid w:val="00253222"/>
    <w:rsid w:val="002613B1"/>
    <w:rsid w:val="00261C13"/>
    <w:rsid w:val="00262847"/>
    <w:rsid w:val="002655ED"/>
    <w:rsid w:val="00266E71"/>
    <w:rsid w:val="00267A0F"/>
    <w:rsid w:val="0027123B"/>
    <w:rsid w:val="00272D53"/>
    <w:rsid w:val="002766AA"/>
    <w:rsid w:val="002766FD"/>
    <w:rsid w:val="002768B6"/>
    <w:rsid w:val="0027714A"/>
    <w:rsid w:val="002807E0"/>
    <w:rsid w:val="00281BB2"/>
    <w:rsid w:val="002876D6"/>
    <w:rsid w:val="002904A5"/>
    <w:rsid w:val="00291D8B"/>
    <w:rsid w:val="002931B8"/>
    <w:rsid w:val="00297F62"/>
    <w:rsid w:val="002A03C3"/>
    <w:rsid w:val="002A16EB"/>
    <w:rsid w:val="002A3EA8"/>
    <w:rsid w:val="002A6F62"/>
    <w:rsid w:val="002A790F"/>
    <w:rsid w:val="002B254E"/>
    <w:rsid w:val="002B4CE8"/>
    <w:rsid w:val="002B5262"/>
    <w:rsid w:val="002B72E9"/>
    <w:rsid w:val="002B76E6"/>
    <w:rsid w:val="002C126D"/>
    <w:rsid w:val="002C367C"/>
    <w:rsid w:val="002C3A79"/>
    <w:rsid w:val="002C3D7B"/>
    <w:rsid w:val="002C4A16"/>
    <w:rsid w:val="002C620B"/>
    <w:rsid w:val="002C6B40"/>
    <w:rsid w:val="002C6CC4"/>
    <w:rsid w:val="002C7998"/>
    <w:rsid w:val="002D1821"/>
    <w:rsid w:val="002D1E9A"/>
    <w:rsid w:val="002D21A9"/>
    <w:rsid w:val="002E005F"/>
    <w:rsid w:val="002E007F"/>
    <w:rsid w:val="002E008B"/>
    <w:rsid w:val="002E155C"/>
    <w:rsid w:val="002E5CFE"/>
    <w:rsid w:val="002E772E"/>
    <w:rsid w:val="002E7D75"/>
    <w:rsid w:val="002F1E53"/>
    <w:rsid w:val="002F2CAA"/>
    <w:rsid w:val="002F3D7F"/>
    <w:rsid w:val="002F73EC"/>
    <w:rsid w:val="002F7CC6"/>
    <w:rsid w:val="0030052C"/>
    <w:rsid w:val="0030073F"/>
    <w:rsid w:val="00300934"/>
    <w:rsid w:val="00301C84"/>
    <w:rsid w:val="00311025"/>
    <w:rsid w:val="00312500"/>
    <w:rsid w:val="00312944"/>
    <w:rsid w:val="003129EB"/>
    <w:rsid w:val="00313BD9"/>
    <w:rsid w:val="00314B68"/>
    <w:rsid w:val="00315342"/>
    <w:rsid w:val="0031625E"/>
    <w:rsid w:val="0032025A"/>
    <w:rsid w:val="00321A09"/>
    <w:rsid w:val="00324B37"/>
    <w:rsid w:val="00325E5B"/>
    <w:rsid w:val="003306E1"/>
    <w:rsid w:val="003320E4"/>
    <w:rsid w:val="00334A66"/>
    <w:rsid w:val="0033525D"/>
    <w:rsid w:val="00335456"/>
    <w:rsid w:val="003414F3"/>
    <w:rsid w:val="00352402"/>
    <w:rsid w:val="003527F9"/>
    <w:rsid w:val="00352D93"/>
    <w:rsid w:val="00354B58"/>
    <w:rsid w:val="0035613E"/>
    <w:rsid w:val="00363EE9"/>
    <w:rsid w:val="0037041F"/>
    <w:rsid w:val="00374529"/>
    <w:rsid w:val="00376128"/>
    <w:rsid w:val="00376899"/>
    <w:rsid w:val="0037742E"/>
    <w:rsid w:val="00377BFE"/>
    <w:rsid w:val="00377CD8"/>
    <w:rsid w:val="00377D56"/>
    <w:rsid w:val="003818A1"/>
    <w:rsid w:val="0038245A"/>
    <w:rsid w:val="003824C5"/>
    <w:rsid w:val="003840E6"/>
    <w:rsid w:val="003852B6"/>
    <w:rsid w:val="00385CFC"/>
    <w:rsid w:val="0039337A"/>
    <w:rsid w:val="0039764E"/>
    <w:rsid w:val="003A1363"/>
    <w:rsid w:val="003A16B5"/>
    <w:rsid w:val="003A26AC"/>
    <w:rsid w:val="003A27EF"/>
    <w:rsid w:val="003A3189"/>
    <w:rsid w:val="003A3CA7"/>
    <w:rsid w:val="003B33BD"/>
    <w:rsid w:val="003B569D"/>
    <w:rsid w:val="003B716C"/>
    <w:rsid w:val="003B76FA"/>
    <w:rsid w:val="003C331B"/>
    <w:rsid w:val="003C3C0E"/>
    <w:rsid w:val="003C3EAE"/>
    <w:rsid w:val="003C7179"/>
    <w:rsid w:val="003D25D5"/>
    <w:rsid w:val="003D42A6"/>
    <w:rsid w:val="003D4F21"/>
    <w:rsid w:val="003D4FAC"/>
    <w:rsid w:val="003D7D25"/>
    <w:rsid w:val="003E1885"/>
    <w:rsid w:val="003E2F95"/>
    <w:rsid w:val="003E610B"/>
    <w:rsid w:val="003E7906"/>
    <w:rsid w:val="003F000F"/>
    <w:rsid w:val="003F00F6"/>
    <w:rsid w:val="003F069D"/>
    <w:rsid w:val="003F3069"/>
    <w:rsid w:val="003F3C50"/>
    <w:rsid w:val="003F3EBB"/>
    <w:rsid w:val="003F4496"/>
    <w:rsid w:val="003F4A87"/>
    <w:rsid w:val="003F7BBE"/>
    <w:rsid w:val="00400CFF"/>
    <w:rsid w:val="00400E05"/>
    <w:rsid w:val="00401FB6"/>
    <w:rsid w:val="00402036"/>
    <w:rsid w:val="00402DEF"/>
    <w:rsid w:val="004046F9"/>
    <w:rsid w:val="00406202"/>
    <w:rsid w:val="00406A6A"/>
    <w:rsid w:val="00406B22"/>
    <w:rsid w:val="00407147"/>
    <w:rsid w:val="004078FA"/>
    <w:rsid w:val="0041083D"/>
    <w:rsid w:val="004109BF"/>
    <w:rsid w:val="0041175D"/>
    <w:rsid w:val="00411AF5"/>
    <w:rsid w:val="0041340E"/>
    <w:rsid w:val="00414000"/>
    <w:rsid w:val="004141BE"/>
    <w:rsid w:val="0041434F"/>
    <w:rsid w:val="00415350"/>
    <w:rsid w:val="0041590C"/>
    <w:rsid w:val="00416D35"/>
    <w:rsid w:val="00417A70"/>
    <w:rsid w:val="0042543B"/>
    <w:rsid w:val="0042742E"/>
    <w:rsid w:val="004305E1"/>
    <w:rsid w:val="00431E08"/>
    <w:rsid w:val="004321BA"/>
    <w:rsid w:val="004328A7"/>
    <w:rsid w:val="004335A6"/>
    <w:rsid w:val="00433B39"/>
    <w:rsid w:val="00434C74"/>
    <w:rsid w:val="00435551"/>
    <w:rsid w:val="0043629F"/>
    <w:rsid w:val="00443D68"/>
    <w:rsid w:val="004457EF"/>
    <w:rsid w:val="004461DA"/>
    <w:rsid w:val="00455967"/>
    <w:rsid w:val="00456EB4"/>
    <w:rsid w:val="004577C0"/>
    <w:rsid w:val="00457827"/>
    <w:rsid w:val="00457A71"/>
    <w:rsid w:val="00460A0E"/>
    <w:rsid w:val="00462EC8"/>
    <w:rsid w:val="00463689"/>
    <w:rsid w:val="00463DCE"/>
    <w:rsid w:val="00464AB5"/>
    <w:rsid w:val="00465815"/>
    <w:rsid w:val="004663C7"/>
    <w:rsid w:val="004701E1"/>
    <w:rsid w:val="00471361"/>
    <w:rsid w:val="004718F3"/>
    <w:rsid w:val="0047193A"/>
    <w:rsid w:val="00473D3C"/>
    <w:rsid w:val="00475040"/>
    <w:rsid w:val="0047560C"/>
    <w:rsid w:val="00477666"/>
    <w:rsid w:val="00482539"/>
    <w:rsid w:val="004827F6"/>
    <w:rsid w:val="0048449D"/>
    <w:rsid w:val="004849B3"/>
    <w:rsid w:val="00485F27"/>
    <w:rsid w:val="00487EE2"/>
    <w:rsid w:val="00490C06"/>
    <w:rsid w:val="00493D40"/>
    <w:rsid w:val="00493EE3"/>
    <w:rsid w:val="004967B6"/>
    <w:rsid w:val="004A279F"/>
    <w:rsid w:val="004A2E17"/>
    <w:rsid w:val="004A504B"/>
    <w:rsid w:val="004A5718"/>
    <w:rsid w:val="004A6911"/>
    <w:rsid w:val="004A7972"/>
    <w:rsid w:val="004B0FEA"/>
    <w:rsid w:val="004B137F"/>
    <w:rsid w:val="004B1AC4"/>
    <w:rsid w:val="004B3652"/>
    <w:rsid w:val="004B4EA4"/>
    <w:rsid w:val="004B54E0"/>
    <w:rsid w:val="004B7384"/>
    <w:rsid w:val="004C0EFA"/>
    <w:rsid w:val="004C1E51"/>
    <w:rsid w:val="004C4024"/>
    <w:rsid w:val="004C4269"/>
    <w:rsid w:val="004D0276"/>
    <w:rsid w:val="004D1F99"/>
    <w:rsid w:val="004D6236"/>
    <w:rsid w:val="004D7F90"/>
    <w:rsid w:val="004E1C34"/>
    <w:rsid w:val="004E4583"/>
    <w:rsid w:val="004E4DBB"/>
    <w:rsid w:val="004E4E41"/>
    <w:rsid w:val="004E73DB"/>
    <w:rsid w:val="004E7F9C"/>
    <w:rsid w:val="004E7FCA"/>
    <w:rsid w:val="004F0185"/>
    <w:rsid w:val="004F0C55"/>
    <w:rsid w:val="004F2193"/>
    <w:rsid w:val="004F3493"/>
    <w:rsid w:val="004F4051"/>
    <w:rsid w:val="004F5143"/>
    <w:rsid w:val="00501B8F"/>
    <w:rsid w:val="00503148"/>
    <w:rsid w:val="00504B51"/>
    <w:rsid w:val="00504C23"/>
    <w:rsid w:val="00506886"/>
    <w:rsid w:val="0051190E"/>
    <w:rsid w:val="00512222"/>
    <w:rsid w:val="005124A7"/>
    <w:rsid w:val="00512B09"/>
    <w:rsid w:val="00512FDD"/>
    <w:rsid w:val="00514251"/>
    <w:rsid w:val="0051465D"/>
    <w:rsid w:val="005161D5"/>
    <w:rsid w:val="005175B6"/>
    <w:rsid w:val="005216E1"/>
    <w:rsid w:val="005220ED"/>
    <w:rsid w:val="0052245C"/>
    <w:rsid w:val="005226B0"/>
    <w:rsid w:val="00523E42"/>
    <w:rsid w:val="00523F1C"/>
    <w:rsid w:val="00524C11"/>
    <w:rsid w:val="005253BE"/>
    <w:rsid w:val="00525EB8"/>
    <w:rsid w:val="00531D84"/>
    <w:rsid w:val="00531E8D"/>
    <w:rsid w:val="00533796"/>
    <w:rsid w:val="005346EF"/>
    <w:rsid w:val="00537343"/>
    <w:rsid w:val="00537BE0"/>
    <w:rsid w:val="00543A5B"/>
    <w:rsid w:val="0054437C"/>
    <w:rsid w:val="00545F92"/>
    <w:rsid w:val="005500C9"/>
    <w:rsid w:val="005516F3"/>
    <w:rsid w:val="0055223B"/>
    <w:rsid w:val="0055313D"/>
    <w:rsid w:val="005532AC"/>
    <w:rsid w:val="00554514"/>
    <w:rsid w:val="005553F0"/>
    <w:rsid w:val="00555D75"/>
    <w:rsid w:val="00560B6F"/>
    <w:rsid w:val="00560DF0"/>
    <w:rsid w:val="0056348D"/>
    <w:rsid w:val="0056748B"/>
    <w:rsid w:val="0056759C"/>
    <w:rsid w:val="00567C22"/>
    <w:rsid w:val="00571CF3"/>
    <w:rsid w:val="00575F5A"/>
    <w:rsid w:val="005830B9"/>
    <w:rsid w:val="00584569"/>
    <w:rsid w:val="0058540B"/>
    <w:rsid w:val="00590D2D"/>
    <w:rsid w:val="005918B5"/>
    <w:rsid w:val="0059279F"/>
    <w:rsid w:val="00592D75"/>
    <w:rsid w:val="0059513E"/>
    <w:rsid w:val="00595F19"/>
    <w:rsid w:val="0059652B"/>
    <w:rsid w:val="005A085B"/>
    <w:rsid w:val="005A6AA4"/>
    <w:rsid w:val="005A6B66"/>
    <w:rsid w:val="005A6CF6"/>
    <w:rsid w:val="005A6D9F"/>
    <w:rsid w:val="005A7236"/>
    <w:rsid w:val="005A7280"/>
    <w:rsid w:val="005A76BC"/>
    <w:rsid w:val="005B0B48"/>
    <w:rsid w:val="005B1EB1"/>
    <w:rsid w:val="005B48FF"/>
    <w:rsid w:val="005B4DC1"/>
    <w:rsid w:val="005B782F"/>
    <w:rsid w:val="005C1E32"/>
    <w:rsid w:val="005C43A4"/>
    <w:rsid w:val="005C4758"/>
    <w:rsid w:val="005C5B33"/>
    <w:rsid w:val="005C6464"/>
    <w:rsid w:val="005C670D"/>
    <w:rsid w:val="005C7844"/>
    <w:rsid w:val="005D1E7D"/>
    <w:rsid w:val="005D2130"/>
    <w:rsid w:val="005D361C"/>
    <w:rsid w:val="005D363F"/>
    <w:rsid w:val="005E0EEF"/>
    <w:rsid w:val="005E116C"/>
    <w:rsid w:val="005E1A3B"/>
    <w:rsid w:val="005E45FE"/>
    <w:rsid w:val="005E4696"/>
    <w:rsid w:val="005E658A"/>
    <w:rsid w:val="005E6831"/>
    <w:rsid w:val="005F5A0D"/>
    <w:rsid w:val="00600723"/>
    <w:rsid w:val="00604C15"/>
    <w:rsid w:val="006144F6"/>
    <w:rsid w:val="006158D5"/>
    <w:rsid w:val="00616CAC"/>
    <w:rsid w:val="006223CA"/>
    <w:rsid w:val="00625D83"/>
    <w:rsid w:val="006261E9"/>
    <w:rsid w:val="006301C0"/>
    <w:rsid w:val="0063347D"/>
    <w:rsid w:val="0063449B"/>
    <w:rsid w:val="00635191"/>
    <w:rsid w:val="00636184"/>
    <w:rsid w:val="00637DD8"/>
    <w:rsid w:val="00641E9F"/>
    <w:rsid w:val="006429B4"/>
    <w:rsid w:val="00642E31"/>
    <w:rsid w:val="00644A32"/>
    <w:rsid w:val="00645F2C"/>
    <w:rsid w:val="00651984"/>
    <w:rsid w:val="0065458B"/>
    <w:rsid w:val="006560CF"/>
    <w:rsid w:val="00660D10"/>
    <w:rsid w:val="006623E7"/>
    <w:rsid w:val="00662B80"/>
    <w:rsid w:val="00665160"/>
    <w:rsid w:val="0066768F"/>
    <w:rsid w:val="006709B0"/>
    <w:rsid w:val="00670F6C"/>
    <w:rsid w:val="006731B2"/>
    <w:rsid w:val="00676E58"/>
    <w:rsid w:val="00676FA5"/>
    <w:rsid w:val="00680C67"/>
    <w:rsid w:val="00682B6F"/>
    <w:rsid w:val="0068441B"/>
    <w:rsid w:val="00684EF2"/>
    <w:rsid w:val="006852C7"/>
    <w:rsid w:val="006852CE"/>
    <w:rsid w:val="00692D14"/>
    <w:rsid w:val="00692D2A"/>
    <w:rsid w:val="00693C83"/>
    <w:rsid w:val="0069566E"/>
    <w:rsid w:val="00696831"/>
    <w:rsid w:val="006A2276"/>
    <w:rsid w:val="006A4DAF"/>
    <w:rsid w:val="006A747E"/>
    <w:rsid w:val="006A7A3B"/>
    <w:rsid w:val="006A7AA2"/>
    <w:rsid w:val="006B63C2"/>
    <w:rsid w:val="006B65C7"/>
    <w:rsid w:val="006B6927"/>
    <w:rsid w:val="006B79B5"/>
    <w:rsid w:val="006B7C4A"/>
    <w:rsid w:val="006C1727"/>
    <w:rsid w:val="006C32FD"/>
    <w:rsid w:val="006C34F3"/>
    <w:rsid w:val="006C39CE"/>
    <w:rsid w:val="006C4CEA"/>
    <w:rsid w:val="006C6D95"/>
    <w:rsid w:val="006D0FCC"/>
    <w:rsid w:val="006D124F"/>
    <w:rsid w:val="006D21F5"/>
    <w:rsid w:val="006D3089"/>
    <w:rsid w:val="006D4832"/>
    <w:rsid w:val="006D4D3D"/>
    <w:rsid w:val="006D7D34"/>
    <w:rsid w:val="006D7D3F"/>
    <w:rsid w:val="006E0834"/>
    <w:rsid w:val="006E126D"/>
    <w:rsid w:val="006E1FC3"/>
    <w:rsid w:val="006E2DD6"/>
    <w:rsid w:val="006E5AE3"/>
    <w:rsid w:val="006E788A"/>
    <w:rsid w:val="006F3BC3"/>
    <w:rsid w:val="006F57A7"/>
    <w:rsid w:val="006F6596"/>
    <w:rsid w:val="006F6F1D"/>
    <w:rsid w:val="007022AB"/>
    <w:rsid w:val="0070347C"/>
    <w:rsid w:val="0070416D"/>
    <w:rsid w:val="00704CE9"/>
    <w:rsid w:val="0070616B"/>
    <w:rsid w:val="00706295"/>
    <w:rsid w:val="007069B7"/>
    <w:rsid w:val="00706FDA"/>
    <w:rsid w:val="00711F9A"/>
    <w:rsid w:val="00713810"/>
    <w:rsid w:val="0071645F"/>
    <w:rsid w:val="00720293"/>
    <w:rsid w:val="007232C1"/>
    <w:rsid w:val="0072429D"/>
    <w:rsid w:val="00726CB0"/>
    <w:rsid w:val="0072703E"/>
    <w:rsid w:val="00727A9C"/>
    <w:rsid w:val="007303A5"/>
    <w:rsid w:val="00730B3E"/>
    <w:rsid w:val="0073420B"/>
    <w:rsid w:val="00734A72"/>
    <w:rsid w:val="00734FB3"/>
    <w:rsid w:val="0073600F"/>
    <w:rsid w:val="00736367"/>
    <w:rsid w:val="0073742F"/>
    <w:rsid w:val="0074043B"/>
    <w:rsid w:val="0074760E"/>
    <w:rsid w:val="00747C0E"/>
    <w:rsid w:val="00753694"/>
    <w:rsid w:val="007548C4"/>
    <w:rsid w:val="00754ABA"/>
    <w:rsid w:val="007576C9"/>
    <w:rsid w:val="007579D8"/>
    <w:rsid w:val="00763AEE"/>
    <w:rsid w:val="007708B0"/>
    <w:rsid w:val="00770A49"/>
    <w:rsid w:val="00771B5B"/>
    <w:rsid w:val="00777079"/>
    <w:rsid w:val="00780832"/>
    <w:rsid w:val="00780B40"/>
    <w:rsid w:val="00781E3F"/>
    <w:rsid w:val="00782976"/>
    <w:rsid w:val="00782B0D"/>
    <w:rsid w:val="00783234"/>
    <w:rsid w:val="00785A43"/>
    <w:rsid w:val="00785D78"/>
    <w:rsid w:val="00787BAD"/>
    <w:rsid w:val="00791650"/>
    <w:rsid w:val="00791C01"/>
    <w:rsid w:val="00792B78"/>
    <w:rsid w:val="00793CF8"/>
    <w:rsid w:val="007947FE"/>
    <w:rsid w:val="00797719"/>
    <w:rsid w:val="0079781A"/>
    <w:rsid w:val="007A0E8D"/>
    <w:rsid w:val="007A1546"/>
    <w:rsid w:val="007A228C"/>
    <w:rsid w:val="007A3330"/>
    <w:rsid w:val="007A368E"/>
    <w:rsid w:val="007A453C"/>
    <w:rsid w:val="007A4BA7"/>
    <w:rsid w:val="007A4D43"/>
    <w:rsid w:val="007A5868"/>
    <w:rsid w:val="007A5A8A"/>
    <w:rsid w:val="007A704B"/>
    <w:rsid w:val="007A746A"/>
    <w:rsid w:val="007B019D"/>
    <w:rsid w:val="007B04CE"/>
    <w:rsid w:val="007B2497"/>
    <w:rsid w:val="007B6871"/>
    <w:rsid w:val="007B7A2F"/>
    <w:rsid w:val="007C2B69"/>
    <w:rsid w:val="007C32EE"/>
    <w:rsid w:val="007C3A7E"/>
    <w:rsid w:val="007C3D33"/>
    <w:rsid w:val="007C6B77"/>
    <w:rsid w:val="007D01FF"/>
    <w:rsid w:val="007D294A"/>
    <w:rsid w:val="007D4033"/>
    <w:rsid w:val="007D4108"/>
    <w:rsid w:val="007D47D2"/>
    <w:rsid w:val="007D6EC0"/>
    <w:rsid w:val="007D73C8"/>
    <w:rsid w:val="007D76DB"/>
    <w:rsid w:val="007D7E1D"/>
    <w:rsid w:val="007E1627"/>
    <w:rsid w:val="007E49BF"/>
    <w:rsid w:val="007E4DB8"/>
    <w:rsid w:val="007E503C"/>
    <w:rsid w:val="007E5121"/>
    <w:rsid w:val="007F050B"/>
    <w:rsid w:val="007F4DCF"/>
    <w:rsid w:val="007F72C1"/>
    <w:rsid w:val="00802473"/>
    <w:rsid w:val="00803333"/>
    <w:rsid w:val="0080345C"/>
    <w:rsid w:val="00810E67"/>
    <w:rsid w:val="00811353"/>
    <w:rsid w:val="008142AD"/>
    <w:rsid w:val="00815CB8"/>
    <w:rsid w:val="008162B0"/>
    <w:rsid w:val="00816686"/>
    <w:rsid w:val="008171A3"/>
    <w:rsid w:val="00820E4F"/>
    <w:rsid w:val="00824713"/>
    <w:rsid w:val="0082522F"/>
    <w:rsid w:val="00830EDC"/>
    <w:rsid w:val="00831979"/>
    <w:rsid w:val="0083219A"/>
    <w:rsid w:val="0083451B"/>
    <w:rsid w:val="00835672"/>
    <w:rsid w:val="00837157"/>
    <w:rsid w:val="0084517E"/>
    <w:rsid w:val="008458AA"/>
    <w:rsid w:val="00850501"/>
    <w:rsid w:val="00851352"/>
    <w:rsid w:val="00854480"/>
    <w:rsid w:val="00856150"/>
    <w:rsid w:val="00857077"/>
    <w:rsid w:val="00857BC6"/>
    <w:rsid w:val="00860B38"/>
    <w:rsid w:val="00862A56"/>
    <w:rsid w:val="00863230"/>
    <w:rsid w:val="00865BD0"/>
    <w:rsid w:val="00867737"/>
    <w:rsid w:val="00867EA6"/>
    <w:rsid w:val="00867FFC"/>
    <w:rsid w:val="008717D8"/>
    <w:rsid w:val="00871B77"/>
    <w:rsid w:val="0087215C"/>
    <w:rsid w:val="00874020"/>
    <w:rsid w:val="00875D1A"/>
    <w:rsid w:val="00875D25"/>
    <w:rsid w:val="008764DC"/>
    <w:rsid w:val="00876DB9"/>
    <w:rsid w:val="00877ED0"/>
    <w:rsid w:val="00880E35"/>
    <w:rsid w:val="008819E5"/>
    <w:rsid w:val="00884A87"/>
    <w:rsid w:val="00884CD0"/>
    <w:rsid w:val="00885DA7"/>
    <w:rsid w:val="00886446"/>
    <w:rsid w:val="008872D6"/>
    <w:rsid w:val="008875FE"/>
    <w:rsid w:val="0088764F"/>
    <w:rsid w:val="00887DEE"/>
    <w:rsid w:val="00887F8E"/>
    <w:rsid w:val="008904F1"/>
    <w:rsid w:val="0089335F"/>
    <w:rsid w:val="00896234"/>
    <w:rsid w:val="00897E43"/>
    <w:rsid w:val="00897EE6"/>
    <w:rsid w:val="008A008F"/>
    <w:rsid w:val="008A0383"/>
    <w:rsid w:val="008A123F"/>
    <w:rsid w:val="008A2667"/>
    <w:rsid w:val="008A2867"/>
    <w:rsid w:val="008A3900"/>
    <w:rsid w:val="008A3E11"/>
    <w:rsid w:val="008A44C2"/>
    <w:rsid w:val="008A54B0"/>
    <w:rsid w:val="008A5742"/>
    <w:rsid w:val="008A6EB1"/>
    <w:rsid w:val="008B0D21"/>
    <w:rsid w:val="008B0F7D"/>
    <w:rsid w:val="008B4DB4"/>
    <w:rsid w:val="008B7569"/>
    <w:rsid w:val="008B7AC4"/>
    <w:rsid w:val="008C222B"/>
    <w:rsid w:val="008C3507"/>
    <w:rsid w:val="008C5738"/>
    <w:rsid w:val="008C7EAD"/>
    <w:rsid w:val="008D0CFE"/>
    <w:rsid w:val="008D325D"/>
    <w:rsid w:val="008D3AD4"/>
    <w:rsid w:val="008D6152"/>
    <w:rsid w:val="008D7853"/>
    <w:rsid w:val="008D7ED5"/>
    <w:rsid w:val="008E6F35"/>
    <w:rsid w:val="008E7BA9"/>
    <w:rsid w:val="008F0F81"/>
    <w:rsid w:val="008F1478"/>
    <w:rsid w:val="008F23A8"/>
    <w:rsid w:val="008F27BF"/>
    <w:rsid w:val="008F2E64"/>
    <w:rsid w:val="008F487E"/>
    <w:rsid w:val="00907DFF"/>
    <w:rsid w:val="0091116C"/>
    <w:rsid w:val="00911265"/>
    <w:rsid w:val="009134F0"/>
    <w:rsid w:val="00913B0E"/>
    <w:rsid w:val="009142EC"/>
    <w:rsid w:val="009145E4"/>
    <w:rsid w:val="00914625"/>
    <w:rsid w:val="009154C3"/>
    <w:rsid w:val="00916A7C"/>
    <w:rsid w:val="0091702C"/>
    <w:rsid w:val="009201C3"/>
    <w:rsid w:val="009224C1"/>
    <w:rsid w:val="00923540"/>
    <w:rsid w:val="00923650"/>
    <w:rsid w:val="009244C7"/>
    <w:rsid w:val="00926767"/>
    <w:rsid w:val="00926D94"/>
    <w:rsid w:val="00930A71"/>
    <w:rsid w:val="00930B22"/>
    <w:rsid w:val="00935D41"/>
    <w:rsid w:val="009361D5"/>
    <w:rsid w:val="009365CC"/>
    <w:rsid w:val="009374D0"/>
    <w:rsid w:val="00940EE1"/>
    <w:rsid w:val="00941A78"/>
    <w:rsid w:val="009428A4"/>
    <w:rsid w:val="0094408A"/>
    <w:rsid w:val="00947A9F"/>
    <w:rsid w:val="00956C8A"/>
    <w:rsid w:val="00957AB7"/>
    <w:rsid w:val="00960B4D"/>
    <w:rsid w:val="009659F4"/>
    <w:rsid w:val="00965D64"/>
    <w:rsid w:val="0097019C"/>
    <w:rsid w:val="00970D60"/>
    <w:rsid w:val="00971294"/>
    <w:rsid w:val="0097193A"/>
    <w:rsid w:val="00972C16"/>
    <w:rsid w:val="00977334"/>
    <w:rsid w:val="009817F3"/>
    <w:rsid w:val="00986564"/>
    <w:rsid w:val="009874D0"/>
    <w:rsid w:val="009907C1"/>
    <w:rsid w:val="00990836"/>
    <w:rsid w:val="0099232D"/>
    <w:rsid w:val="009928B8"/>
    <w:rsid w:val="0099347D"/>
    <w:rsid w:val="0099390E"/>
    <w:rsid w:val="00995485"/>
    <w:rsid w:val="009960E5"/>
    <w:rsid w:val="009A65F1"/>
    <w:rsid w:val="009A7ADC"/>
    <w:rsid w:val="009B0D30"/>
    <w:rsid w:val="009B1230"/>
    <w:rsid w:val="009B2C35"/>
    <w:rsid w:val="009B3B65"/>
    <w:rsid w:val="009B3D09"/>
    <w:rsid w:val="009B5A46"/>
    <w:rsid w:val="009B607C"/>
    <w:rsid w:val="009C12C3"/>
    <w:rsid w:val="009C19B7"/>
    <w:rsid w:val="009C5038"/>
    <w:rsid w:val="009C5ABB"/>
    <w:rsid w:val="009C7254"/>
    <w:rsid w:val="009D095B"/>
    <w:rsid w:val="009D0B16"/>
    <w:rsid w:val="009D15F0"/>
    <w:rsid w:val="009D61B4"/>
    <w:rsid w:val="009D63A2"/>
    <w:rsid w:val="009D7C51"/>
    <w:rsid w:val="009D7E73"/>
    <w:rsid w:val="009E196C"/>
    <w:rsid w:val="009E3497"/>
    <w:rsid w:val="009E53EB"/>
    <w:rsid w:val="009E6A0A"/>
    <w:rsid w:val="009F0CEE"/>
    <w:rsid w:val="009F1C3A"/>
    <w:rsid w:val="009F36BF"/>
    <w:rsid w:val="009F3F1F"/>
    <w:rsid w:val="009F50EA"/>
    <w:rsid w:val="009F5215"/>
    <w:rsid w:val="009F6BF8"/>
    <w:rsid w:val="009F7BDE"/>
    <w:rsid w:val="00A02245"/>
    <w:rsid w:val="00A04356"/>
    <w:rsid w:val="00A06126"/>
    <w:rsid w:val="00A078C5"/>
    <w:rsid w:val="00A103CF"/>
    <w:rsid w:val="00A111B6"/>
    <w:rsid w:val="00A11274"/>
    <w:rsid w:val="00A12AA8"/>
    <w:rsid w:val="00A160C5"/>
    <w:rsid w:val="00A1748A"/>
    <w:rsid w:val="00A175B4"/>
    <w:rsid w:val="00A234C1"/>
    <w:rsid w:val="00A25639"/>
    <w:rsid w:val="00A25922"/>
    <w:rsid w:val="00A26968"/>
    <w:rsid w:val="00A269FF"/>
    <w:rsid w:val="00A26D27"/>
    <w:rsid w:val="00A27879"/>
    <w:rsid w:val="00A32252"/>
    <w:rsid w:val="00A372A1"/>
    <w:rsid w:val="00A376EE"/>
    <w:rsid w:val="00A42A99"/>
    <w:rsid w:val="00A45156"/>
    <w:rsid w:val="00A5141A"/>
    <w:rsid w:val="00A5151A"/>
    <w:rsid w:val="00A5323F"/>
    <w:rsid w:val="00A5476C"/>
    <w:rsid w:val="00A56B9A"/>
    <w:rsid w:val="00A57E0A"/>
    <w:rsid w:val="00A61825"/>
    <w:rsid w:val="00A65BB2"/>
    <w:rsid w:val="00A66DCF"/>
    <w:rsid w:val="00A7263A"/>
    <w:rsid w:val="00A7744C"/>
    <w:rsid w:val="00A77919"/>
    <w:rsid w:val="00A77C9C"/>
    <w:rsid w:val="00A80573"/>
    <w:rsid w:val="00A823F6"/>
    <w:rsid w:val="00A8377D"/>
    <w:rsid w:val="00A86D7F"/>
    <w:rsid w:val="00A8719E"/>
    <w:rsid w:val="00A90008"/>
    <w:rsid w:val="00A9026B"/>
    <w:rsid w:val="00A96758"/>
    <w:rsid w:val="00A979A8"/>
    <w:rsid w:val="00AA02C3"/>
    <w:rsid w:val="00AA0A89"/>
    <w:rsid w:val="00AA13CF"/>
    <w:rsid w:val="00AA1C14"/>
    <w:rsid w:val="00AA2903"/>
    <w:rsid w:val="00AA4553"/>
    <w:rsid w:val="00AA5368"/>
    <w:rsid w:val="00AA59EA"/>
    <w:rsid w:val="00AA6429"/>
    <w:rsid w:val="00AA76DE"/>
    <w:rsid w:val="00AB0986"/>
    <w:rsid w:val="00AB2F00"/>
    <w:rsid w:val="00AB48C7"/>
    <w:rsid w:val="00AC01AA"/>
    <w:rsid w:val="00AC07DA"/>
    <w:rsid w:val="00AC0BD1"/>
    <w:rsid w:val="00AC182D"/>
    <w:rsid w:val="00AC3EE9"/>
    <w:rsid w:val="00AC4F72"/>
    <w:rsid w:val="00AC5041"/>
    <w:rsid w:val="00AD0629"/>
    <w:rsid w:val="00AD233B"/>
    <w:rsid w:val="00AD4C73"/>
    <w:rsid w:val="00AD5ECA"/>
    <w:rsid w:val="00AD6669"/>
    <w:rsid w:val="00AE0748"/>
    <w:rsid w:val="00AE2F57"/>
    <w:rsid w:val="00AE482E"/>
    <w:rsid w:val="00AE5253"/>
    <w:rsid w:val="00AE74D6"/>
    <w:rsid w:val="00AF0154"/>
    <w:rsid w:val="00AF1B39"/>
    <w:rsid w:val="00AF741A"/>
    <w:rsid w:val="00B00E8D"/>
    <w:rsid w:val="00B01572"/>
    <w:rsid w:val="00B019FF"/>
    <w:rsid w:val="00B01ADB"/>
    <w:rsid w:val="00B02BC0"/>
    <w:rsid w:val="00B0387D"/>
    <w:rsid w:val="00B04161"/>
    <w:rsid w:val="00B056F9"/>
    <w:rsid w:val="00B07F51"/>
    <w:rsid w:val="00B11E3D"/>
    <w:rsid w:val="00B122A3"/>
    <w:rsid w:val="00B138E9"/>
    <w:rsid w:val="00B14D2C"/>
    <w:rsid w:val="00B15846"/>
    <w:rsid w:val="00B15D57"/>
    <w:rsid w:val="00B176EE"/>
    <w:rsid w:val="00B17A9A"/>
    <w:rsid w:val="00B17E82"/>
    <w:rsid w:val="00B200A0"/>
    <w:rsid w:val="00B221DF"/>
    <w:rsid w:val="00B23D0C"/>
    <w:rsid w:val="00B24BF8"/>
    <w:rsid w:val="00B3276C"/>
    <w:rsid w:val="00B32C18"/>
    <w:rsid w:val="00B33A9F"/>
    <w:rsid w:val="00B3448B"/>
    <w:rsid w:val="00B34A75"/>
    <w:rsid w:val="00B3607B"/>
    <w:rsid w:val="00B4048D"/>
    <w:rsid w:val="00B435CD"/>
    <w:rsid w:val="00B451F5"/>
    <w:rsid w:val="00B4575A"/>
    <w:rsid w:val="00B45B45"/>
    <w:rsid w:val="00B463DB"/>
    <w:rsid w:val="00B472B1"/>
    <w:rsid w:val="00B4739E"/>
    <w:rsid w:val="00B51D38"/>
    <w:rsid w:val="00B53180"/>
    <w:rsid w:val="00B575BA"/>
    <w:rsid w:val="00B577BE"/>
    <w:rsid w:val="00B60F81"/>
    <w:rsid w:val="00B617E7"/>
    <w:rsid w:val="00B6186F"/>
    <w:rsid w:val="00B6457E"/>
    <w:rsid w:val="00B71608"/>
    <w:rsid w:val="00B71E28"/>
    <w:rsid w:val="00B753EB"/>
    <w:rsid w:val="00B762C2"/>
    <w:rsid w:val="00B76429"/>
    <w:rsid w:val="00B8592F"/>
    <w:rsid w:val="00B85FFA"/>
    <w:rsid w:val="00B86471"/>
    <w:rsid w:val="00B917C1"/>
    <w:rsid w:val="00B92140"/>
    <w:rsid w:val="00B953E8"/>
    <w:rsid w:val="00B956D4"/>
    <w:rsid w:val="00B97446"/>
    <w:rsid w:val="00BA4E37"/>
    <w:rsid w:val="00BA5EFB"/>
    <w:rsid w:val="00BA7432"/>
    <w:rsid w:val="00BB2764"/>
    <w:rsid w:val="00BB4F12"/>
    <w:rsid w:val="00BC1AA0"/>
    <w:rsid w:val="00BC2495"/>
    <w:rsid w:val="00BC314A"/>
    <w:rsid w:val="00BC3D63"/>
    <w:rsid w:val="00BC4362"/>
    <w:rsid w:val="00BC7EB9"/>
    <w:rsid w:val="00BD2643"/>
    <w:rsid w:val="00BD56B1"/>
    <w:rsid w:val="00BD6558"/>
    <w:rsid w:val="00BD7E63"/>
    <w:rsid w:val="00BE0B89"/>
    <w:rsid w:val="00BE0DCB"/>
    <w:rsid w:val="00BE2DF2"/>
    <w:rsid w:val="00BE5234"/>
    <w:rsid w:val="00BE5405"/>
    <w:rsid w:val="00BE54AF"/>
    <w:rsid w:val="00BE5DC1"/>
    <w:rsid w:val="00BE63E1"/>
    <w:rsid w:val="00BF1B7F"/>
    <w:rsid w:val="00BF2AD7"/>
    <w:rsid w:val="00BF2F76"/>
    <w:rsid w:val="00BF3022"/>
    <w:rsid w:val="00BF3214"/>
    <w:rsid w:val="00BF3B7B"/>
    <w:rsid w:val="00BF45C9"/>
    <w:rsid w:val="00BF5573"/>
    <w:rsid w:val="00C07F77"/>
    <w:rsid w:val="00C12CF2"/>
    <w:rsid w:val="00C15867"/>
    <w:rsid w:val="00C15C9E"/>
    <w:rsid w:val="00C22398"/>
    <w:rsid w:val="00C2296D"/>
    <w:rsid w:val="00C23155"/>
    <w:rsid w:val="00C23B47"/>
    <w:rsid w:val="00C249FD"/>
    <w:rsid w:val="00C250FE"/>
    <w:rsid w:val="00C26EC7"/>
    <w:rsid w:val="00C332FC"/>
    <w:rsid w:val="00C34B2B"/>
    <w:rsid w:val="00C35F07"/>
    <w:rsid w:val="00C40396"/>
    <w:rsid w:val="00C409F0"/>
    <w:rsid w:val="00C40C41"/>
    <w:rsid w:val="00C41670"/>
    <w:rsid w:val="00C45885"/>
    <w:rsid w:val="00C4674A"/>
    <w:rsid w:val="00C50F22"/>
    <w:rsid w:val="00C51450"/>
    <w:rsid w:val="00C524B1"/>
    <w:rsid w:val="00C52EA1"/>
    <w:rsid w:val="00C53C19"/>
    <w:rsid w:val="00C55882"/>
    <w:rsid w:val="00C57971"/>
    <w:rsid w:val="00C57ED1"/>
    <w:rsid w:val="00C61169"/>
    <w:rsid w:val="00C65BD7"/>
    <w:rsid w:val="00C672C7"/>
    <w:rsid w:val="00C70BA2"/>
    <w:rsid w:val="00C71CF9"/>
    <w:rsid w:val="00C74971"/>
    <w:rsid w:val="00C76BA4"/>
    <w:rsid w:val="00C807B8"/>
    <w:rsid w:val="00C8111D"/>
    <w:rsid w:val="00C82452"/>
    <w:rsid w:val="00C83A48"/>
    <w:rsid w:val="00C84706"/>
    <w:rsid w:val="00C84CA1"/>
    <w:rsid w:val="00C85145"/>
    <w:rsid w:val="00C85865"/>
    <w:rsid w:val="00C85E85"/>
    <w:rsid w:val="00C918F7"/>
    <w:rsid w:val="00C926C8"/>
    <w:rsid w:val="00C95119"/>
    <w:rsid w:val="00C954B0"/>
    <w:rsid w:val="00CA2EAE"/>
    <w:rsid w:val="00CA3DF2"/>
    <w:rsid w:val="00CA4AC1"/>
    <w:rsid w:val="00CA550D"/>
    <w:rsid w:val="00CA59FB"/>
    <w:rsid w:val="00CA6AD0"/>
    <w:rsid w:val="00CB0316"/>
    <w:rsid w:val="00CB0B11"/>
    <w:rsid w:val="00CB1192"/>
    <w:rsid w:val="00CB1DBA"/>
    <w:rsid w:val="00CB22DD"/>
    <w:rsid w:val="00CB2B7F"/>
    <w:rsid w:val="00CB3969"/>
    <w:rsid w:val="00CB426A"/>
    <w:rsid w:val="00CB4F27"/>
    <w:rsid w:val="00CB5354"/>
    <w:rsid w:val="00CB5376"/>
    <w:rsid w:val="00CC118F"/>
    <w:rsid w:val="00CC3AF8"/>
    <w:rsid w:val="00CC3C9E"/>
    <w:rsid w:val="00CC4C98"/>
    <w:rsid w:val="00CC6A14"/>
    <w:rsid w:val="00CC70A3"/>
    <w:rsid w:val="00CD16AA"/>
    <w:rsid w:val="00CD1A3F"/>
    <w:rsid w:val="00CD4442"/>
    <w:rsid w:val="00CD53C3"/>
    <w:rsid w:val="00CD574E"/>
    <w:rsid w:val="00CE4C22"/>
    <w:rsid w:val="00CE52B6"/>
    <w:rsid w:val="00CE5D08"/>
    <w:rsid w:val="00CE73F8"/>
    <w:rsid w:val="00CE76E5"/>
    <w:rsid w:val="00CF1D7F"/>
    <w:rsid w:val="00CF254D"/>
    <w:rsid w:val="00CF3B43"/>
    <w:rsid w:val="00CF41EC"/>
    <w:rsid w:val="00CF5181"/>
    <w:rsid w:val="00CF5D04"/>
    <w:rsid w:val="00D01D9B"/>
    <w:rsid w:val="00D02B9C"/>
    <w:rsid w:val="00D02CD4"/>
    <w:rsid w:val="00D03B90"/>
    <w:rsid w:val="00D04DE4"/>
    <w:rsid w:val="00D063F1"/>
    <w:rsid w:val="00D11735"/>
    <w:rsid w:val="00D14F22"/>
    <w:rsid w:val="00D1798E"/>
    <w:rsid w:val="00D31962"/>
    <w:rsid w:val="00D33C96"/>
    <w:rsid w:val="00D33D87"/>
    <w:rsid w:val="00D3597A"/>
    <w:rsid w:val="00D36454"/>
    <w:rsid w:val="00D36AD1"/>
    <w:rsid w:val="00D43296"/>
    <w:rsid w:val="00D46247"/>
    <w:rsid w:val="00D472A7"/>
    <w:rsid w:val="00D473EA"/>
    <w:rsid w:val="00D4741C"/>
    <w:rsid w:val="00D47F87"/>
    <w:rsid w:val="00D52F0E"/>
    <w:rsid w:val="00D53D43"/>
    <w:rsid w:val="00D54FEA"/>
    <w:rsid w:val="00D56746"/>
    <w:rsid w:val="00D569BB"/>
    <w:rsid w:val="00D57918"/>
    <w:rsid w:val="00D64161"/>
    <w:rsid w:val="00D67ED5"/>
    <w:rsid w:val="00D70209"/>
    <w:rsid w:val="00D705B2"/>
    <w:rsid w:val="00D722ED"/>
    <w:rsid w:val="00D738B9"/>
    <w:rsid w:val="00D73DC6"/>
    <w:rsid w:val="00D74C1A"/>
    <w:rsid w:val="00D75211"/>
    <w:rsid w:val="00D7549C"/>
    <w:rsid w:val="00D754C1"/>
    <w:rsid w:val="00D759F9"/>
    <w:rsid w:val="00D76286"/>
    <w:rsid w:val="00D76FEA"/>
    <w:rsid w:val="00D77393"/>
    <w:rsid w:val="00D77A35"/>
    <w:rsid w:val="00D81B3E"/>
    <w:rsid w:val="00D87F8B"/>
    <w:rsid w:val="00D90822"/>
    <w:rsid w:val="00D90A65"/>
    <w:rsid w:val="00D90C70"/>
    <w:rsid w:val="00D90E49"/>
    <w:rsid w:val="00D9475B"/>
    <w:rsid w:val="00D96ADE"/>
    <w:rsid w:val="00DA0CE2"/>
    <w:rsid w:val="00DA2387"/>
    <w:rsid w:val="00DA31BC"/>
    <w:rsid w:val="00DA559A"/>
    <w:rsid w:val="00DA5B1C"/>
    <w:rsid w:val="00DA5D3F"/>
    <w:rsid w:val="00DA75CC"/>
    <w:rsid w:val="00DB0F56"/>
    <w:rsid w:val="00DB2917"/>
    <w:rsid w:val="00DB39ED"/>
    <w:rsid w:val="00DB3A4A"/>
    <w:rsid w:val="00DB4049"/>
    <w:rsid w:val="00DB4F13"/>
    <w:rsid w:val="00DC37CF"/>
    <w:rsid w:val="00DC442B"/>
    <w:rsid w:val="00DC5E13"/>
    <w:rsid w:val="00DC6A10"/>
    <w:rsid w:val="00DD0DD2"/>
    <w:rsid w:val="00DD23E9"/>
    <w:rsid w:val="00DD394F"/>
    <w:rsid w:val="00DE3787"/>
    <w:rsid w:val="00DE657E"/>
    <w:rsid w:val="00DE7DB7"/>
    <w:rsid w:val="00DF0138"/>
    <w:rsid w:val="00DF02B4"/>
    <w:rsid w:val="00DF140F"/>
    <w:rsid w:val="00DF18BB"/>
    <w:rsid w:val="00DF3173"/>
    <w:rsid w:val="00DF3E42"/>
    <w:rsid w:val="00DF4704"/>
    <w:rsid w:val="00DF52B3"/>
    <w:rsid w:val="00DF685C"/>
    <w:rsid w:val="00DF759B"/>
    <w:rsid w:val="00E024AA"/>
    <w:rsid w:val="00E02B8B"/>
    <w:rsid w:val="00E10351"/>
    <w:rsid w:val="00E107CE"/>
    <w:rsid w:val="00E137A9"/>
    <w:rsid w:val="00E138A0"/>
    <w:rsid w:val="00E157C6"/>
    <w:rsid w:val="00E15C77"/>
    <w:rsid w:val="00E16734"/>
    <w:rsid w:val="00E1693E"/>
    <w:rsid w:val="00E1761D"/>
    <w:rsid w:val="00E2367B"/>
    <w:rsid w:val="00E2391D"/>
    <w:rsid w:val="00E2427C"/>
    <w:rsid w:val="00E24751"/>
    <w:rsid w:val="00E250F1"/>
    <w:rsid w:val="00E305E4"/>
    <w:rsid w:val="00E339A5"/>
    <w:rsid w:val="00E33CED"/>
    <w:rsid w:val="00E353A3"/>
    <w:rsid w:val="00E3550D"/>
    <w:rsid w:val="00E36424"/>
    <w:rsid w:val="00E37F04"/>
    <w:rsid w:val="00E40782"/>
    <w:rsid w:val="00E40980"/>
    <w:rsid w:val="00E40B95"/>
    <w:rsid w:val="00E44B1F"/>
    <w:rsid w:val="00E4555E"/>
    <w:rsid w:val="00E47F0E"/>
    <w:rsid w:val="00E51D8F"/>
    <w:rsid w:val="00E52838"/>
    <w:rsid w:val="00E5577E"/>
    <w:rsid w:val="00E614E0"/>
    <w:rsid w:val="00E61F95"/>
    <w:rsid w:val="00E62004"/>
    <w:rsid w:val="00E62FFA"/>
    <w:rsid w:val="00E66396"/>
    <w:rsid w:val="00E6714F"/>
    <w:rsid w:val="00E720F1"/>
    <w:rsid w:val="00E72208"/>
    <w:rsid w:val="00E73F7F"/>
    <w:rsid w:val="00E753E8"/>
    <w:rsid w:val="00E81D90"/>
    <w:rsid w:val="00E8488F"/>
    <w:rsid w:val="00E85409"/>
    <w:rsid w:val="00E901F3"/>
    <w:rsid w:val="00E91259"/>
    <w:rsid w:val="00E92C10"/>
    <w:rsid w:val="00E9339B"/>
    <w:rsid w:val="00E93C04"/>
    <w:rsid w:val="00E94670"/>
    <w:rsid w:val="00E96E85"/>
    <w:rsid w:val="00E97049"/>
    <w:rsid w:val="00EA1DEC"/>
    <w:rsid w:val="00EA429F"/>
    <w:rsid w:val="00EA4F9E"/>
    <w:rsid w:val="00EA4FD5"/>
    <w:rsid w:val="00EA51D5"/>
    <w:rsid w:val="00EA5264"/>
    <w:rsid w:val="00EA5FB2"/>
    <w:rsid w:val="00EA63CA"/>
    <w:rsid w:val="00EA6D3B"/>
    <w:rsid w:val="00EB00AD"/>
    <w:rsid w:val="00EB136C"/>
    <w:rsid w:val="00EB2360"/>
    <w:rsid w:val="00EB27D2"/>
    <w:rsid w:val="00EB47DE"/>
    <w:rsid w:val="00EB480E"/>
    <w:rsid w:val="00EB541D"/>
    <w:rsid w:val="00EB5EC6"/>
    <w:rsid w:val="00EB7FC9"/>
    <w:rsid w:val="00EC0B4F"/>
    <w:rsid w:val="00EC1D91"/>
    <w:rsid w:val="00EC2378"/>
    <w:rsid w:val="00EC3B88"/>
    <w:rsid w:val="00EC7EBC"/>
    <w:rsid w:val="00ED1742"/>
    <w:rsid w:val="00ED27E8"/>
    <w:rsid w:val="00ED7137"/>
    <w:rsid w:val="00EE09D2"/>
    <w:rsid w:val="00EE1055"/>
    <w:rsid w:val="00EE1C8F"/>
    <w:rsid w:val="00EE28C8"/>
    <w:rsid w:val="00EE28EF"/>
    <w:rsid w:val="00EE2FA2"/>
    <w:rsid w:val="00EE6EF1"/>
    <w:rsid w:val="00EF06EA"/>
    <w:rsid w:val="00EF4C99"/>
    <w:rsid w:val="00EF57A1"/>
    <w:rsid w:val="00EF6A67"/>
    <w:rsid w:val="00F023E1"/>
    <w:rsid w:val="00F04371"/>
    <w:rsid w:val="00F07604"/>
    <w:rsid w:val="00F1134F"/>
    <w:rsid w:val="00F12E71"/>
    <w:rsid w:val="00F21088"/>
    <w:rsid w:val="00F22517"/>
    <w:rsid w:val="00F255C6"/>
    <w:rsid w:val="00F27172"/>
    <w:rsid w:val="00F326BF"/>
    <w:rsid w:val="00F327E7"/>
    <w:rsid w:val="00F32E9F"/>
    <w:rsid w:val="00F35746"/>
    <w:rsid w:val="00F36A2D"/>
    <w:rsid w:val="00F42A5D"/>
    <w:rsid w:val="00F447C7"/>
    <w:rsid w:val="00F450B0"/>
    <w:rsid w:val="00F45231"/>
    <w:rsid w:val="00F459B4"/>
    <w:rsid w:val="00F45FB6"/>
    <w:rsid w:val="00F5012D"/>
    <w:rsid w:val="00F5211B"/>
    <w:rsid w:val="00F52AF8"/>
    <w:rsid w:val="00F554A9"/>
    <w:rsid w:val="00F55CE5"/>
    <w:rsid w:val="00F60368"/>
    <w:rsid w:val="00F61234"/>
    <w:rsid w:val="00F65B79"/>
    <w:rsid w:val="00F716FD"/>
    <w:rsid w:val="00F73948"/>
    <w:rsid w:val="00F739C5"/>
    <w:rsid w:val="00F73D65"/>
    <w:rsid w:val="00F74390"/>
    <w:rsid w:val="00F77D81"/>
    <w:rsid w:val="00F77FE8"/>
    <w:rsid w:val="00F80355"/>
    <w:rsid w:val="00F80837"/>
    <w:rsid w:val="00F861C1"/>
    <w:rsid w:val="00F87C43"/>
    <w:rsid w:val="00F87D22"/>
    <w:rsid w:val="00F90890"/>
    <w:rsid w:val="00F91D33"/>
    <w:rsid w:val="00F91EF3"/>
    <w:rsid w:val="00F91FF3"/>
    <w:rsid w:val="00F93F4B"/>
    <w:rsid w:val="00FA16EC"/>
    <w:rsid w:val="00FA2C40"/>
    <w:rsid w:val="00FA4396"/>
    <w:rsid w:val="00FA5722"/>
    <w:rsid w:val="00FA78B8"/>
    <w:rsid w:val="00FB0C81"/>
    <w:rsid w:val="00FB30E1"/>
    <w:rsid w:val="00FC127B"/>
    <w:rsid w:val="00FC2200"/>
    <w:rsid w:val="00FC2540"/>
    <w:rsid w:val="00FC40B8"/>
    <w:rsid w:val="00FC459D"/>
    <w:rsid w:val="00FC4DFB"/>
    <w:rsid w:val="00FC576D"/>
    <w:rsid w:val="00FC6CAA"/>
    <w:rsid w:val="00FD1C76"/>
    <w:rsid w:val="00FD2CA2"/>
    <w:rsid w:val="00FD58FA"/>
    <w:rsid w:val="00FD6D4B"/>
    <w:rsid w:val="00FD6F41"/>
    <w:rsid w:val="00FD740E"/>
    <w:rsid w:val="00FE2EE2"/>
    <w:rsid w:val="00FE71F8"/>
    <w:rsid w:val="00FF0204"/>
    <w:rsid w:val="00FF1F85"/>
    <w:rsid w:val="00FF3AED"/>
    <w:rsid w:val="00FF3D04"/>
    <w:rsid w:val="00FF6292"/>
    <w:rsid w:val="00FF71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8C1F42"/>
  <w15:docId w15:val="{5780A1C0-6B94-4227-B856-394521E03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72703E"/>
    <w:rPr>
      <w:sz w:val="22"/>
      <w:szCs w:val="22"/>
      <w:lang w:val="es-E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72703E"/>
    <w:rPr>
      <w:sz w:val="22"/>
      <w:szCs w:val="22"/>
      <w:lang w:val="es-ES"/>
    </w:rPr>
  </w:style>
  <w:style w:type="character" w:customStyle="1" w:styleId="fontstyle01">
    <w:name w:val="fontstyle01"/>
    <w:basedOn w:val="DefaultParagraphFont"/>
    <w:rsid w:val="0072703E"/>
    <w:rPr>
      <w:rFonts w:ascii="Roboto-Bold" w:hAnsi="Roboto-Bold" w:hint="default"/>
      <w:b/>
      <w:bCs/>
      <w:i w:val="0"/>
      <w:iCs w:val="0"/>
      <w:color w:val="1E1E1E"/>
      <w:sz w:val="30"/>
      <w:szCs w:val="30"/>
    </w:rPr>
  </w:style>
  <w:style w:type="paragraph" w:styleId="Revision">
    <w:name w:val="Revision"/>
    <w:hidden/>
    <w:uiPriority w:val="99"/>
    <w:semiHidden/>
    <w:rsid w:val="0072703E"/>
    <w:rPr>
      <w:sz w:val="22"/>
      <w:szCs w:val="22"/>
    </w:rPr>
  </w:style>
  <w:style w:type="paragraph" w:styleId="ListParagraph">
    <w:name w:val="List Paragraph"/>
    <w:aliases w:val="Paragraph,Bullets,List Paragraph1,Unordered List,List Paragraph 2,ADB paragraph numbering,List Paragraph nowy,List Paragraph (numbered (a)),Numbered List Paragraph,Dot pt,Bullet Points,No Spacing1,List Paragraph Char Char Char,Bullet 1"/>
    <w:basedOn w:val="Normal"/>
    <w:link w:val="ListParagraphChar"/>
    <w:uiPriority w:val="34"/>
    <w:qFormat/>
    <w:rsid w:val="0072703E"/>
    <w:pPr>
      <w:ind w:left="720"/>
      <w:contextualSpacing/>
    </w:pPr>
  </w:style>
  <w:style w:type="character" w:customStyle="1" w:styleId="ui-provider">
    <w:name w:val="ui-provider"/>
    <w:basedOn w:val="DefaultParagraphFont"/>
    <w:rsid w:val="0072703E"/>
  </w:style>
  <w:style w:type="character" w:styleId="Hyperlink">
    <w:name w:val="Hyperlink"/>
    <w:basedOn w:val="DefaultParagraphFont"/>
    <w:uiPriority w:val="99"/>
    <w:unhideWhenUsed/>
    <w:rsid w:val="00835672"/>
    <w:rPr>
      <w:color w:val="0000FF" w:themeColor="hyperlink"/>
      <w:u w:val="single"/>
    </w:rPr>
  </w:style>
  <w:style w:type="character" w:styleId="UnresolvedMention">
    <w:name w:val="Unresolved Mention"/>
    <w:basedOn w:val="DefaultParagraphFont"/>
    <w:uiPriority w:val="99"/>
    <w:semiHidden/>
    <w:unhideWhenUsed/>
    <w:rsid w:val="00835672"/>
    <w:rPr>
      <w:color w:val="605E5C"/>
      <w:shd w:val="clear" w:color="auto" w:fill="E1DFDD"/>
    </w:rPr>
  </w:style>
  <w:style w:type="character" w:customStyle="1" w:styleId="ListParagraphChar">
    <w:name w:val="List Paragraph Char"/>
    <w:aliases w:val="Paragraph Char,Bullets Char,List Paragraph1 Char,Unordered List Char,List Paragraph 2 Char,ADB paragraph numbering Char,List Paragraph nowy Char,List Paragraph (numbered (a)) Char,Numbered List Paragraph Char,Dot pt Char"/>
    <w:basedOn w:val="DefaultParagraphFont"/>
    <w:link w:val="ListParagraph"/>
    <w:uiPriority w:val="34"/>
    <w:qFormat/>
    <w:locked/>
    <w:rsid w:val="002C620B"/>
    <w:rPr>
      <w:sz w:val="22"/>
      <w:szCs w:val="22"/>
      <w:lang w:val="es-ES"/>
    </w:rPr>
  </w:style>
  <w:style w:type="paragraph" w:styleId="NormalWeb">
    <w:name w:val="Normal (Web)"/>
    <w:basedOn w:val="Normal"/>
    <w:uiPriority w:val="99"/>
    <w:unhideWhenUsed/>
    <w:rsid w:val="007E1627"/>
    <w:pPr>
      <w:spacing w:before="100" w:beforeAutospacing="1" w:after="100" w:afterAutospacing="1"/>
      <w:jc w:val="left"/>
    </w:pPr>
    <w:rPr>
      <w:sz w:val="24"/>
      <w:szCs w:val="24"/>
      <w:lang w:eastAsia="zh-CN"/>
    </w:rPr>
  </w:style>
  <w:style w:type="paragraph" w:customStyle="1" w:styleId="Default">
    <w:name w:val="Default"/>
    <w:rsid w:val="00CB3969"/>
    <w:pPr>
      <w:autoSpaceDE w:val="0"/>
      <w:autoSpaceDN w:val="0"/>
      <w:adjustRightInd w:val="0"/>
    </w:pPr>
    <w:rPr>
      <w:color w:val="000000"/>
      <w:sz w:val="24"/>
      <w:szCs w:val="24"/>
    </w:rPr>
  </w:style>
  <w:style w:type="paragraph" w:styleId="IntenseQuote">
    <w:name w:val="Intense Quote"/>
    <w:basedOn w:val="Normal"/>
    <w:next w:val="Normal"/>
    <w:link w:val="IntenseQuoteChar"/>
    <w:uiPriority w:val="30"/>
    <w:qFormat/>
    <w:rsid w:val="004F0C55"/>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4F0C55"/>
    <w:rPr>
      <w:rFonts w:eastAsiaTheme="minorHAnsi"/>
      <w:i/>
      <w:iCs/>
      <w:color w:val="365F91" w:themeColor="accent1" w:themeShade="BF"/>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67532">
      <w:bodyDiv w:val="1"/>
      <w:marLeft w:val="0"/>
      <w:marRight w:val="0"/>
      <w:marTop w:val="0"/>
      <w:marBottom w:val="0"/>
      <w:divBdr>
        <w:top w:val="none" w:sz="0" w:space="0" w:color="auto"/>
        <w:left w:val="none" w:sz="0" w:space="0" w:color="auto"/>
        <w:bottom w:val="none" w:sz="0" w:space="0" w:color="auto"/>
        <w:right w:val="none" w:sz="0" w:space="0" w:color="auto"/>
      </w:divBdr>
    </w:div>
    <w:div w:id="239173608">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3261666">
      <w:bodyDiv w:val="1"/>
      <w:marLeft w:val="0"/>
      <w:marRight w:val="0"/>
      <w:marTop w:val="0"/>
      <w:marBottom w:val="0"/>
      <w:divBdr>
        <w:top w:val="none" w:sz="0" w:space="0" w:color="auto"/>
        <w:left w:val="none" w:sz="0" w:space="0" w:color="auto"/>
        <w:bottom w:val="none" w:sz="0" w:space="0" w:color="auto"/>
        <w:right w:val="none" w:sz="0" w:space="0" w:color="auto"/>
      </w:divBdr>
    </w:div>
    <w:div w:id="60596992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5591831">
      <w:bodyDiv w:val="1"/>
      <w:marLeft w:val="0"/>
      <w:marRight w:val="0"/>
      <w:marTop w:val="0"/>
      <w:marBottom w:val="0"/>
      <w:divBdr>
        <w:top w:val="none" w:sz="0" w:space="0" w:color="auto"/>
        <w:left w:val="none" w:sz="0" w:space="0" w:color="auto"/>
        <w:bottom w:val="none" w:sz="0" w:space="0" w:color="auto"/>
        <w:right w:val="none" w:sz="0" w:space="0" w:color="auto"/>
      </w:divBdr>
    </w:div>
    <w:div w:id="741872148">
      <w:bodyDiv w:val="1"/>
      <w:marLeft w:val="0"/>
      <w:marRight w:val="0"/>
      <w:marTop w:val="0"/>
      <w:marBottom w:val="0"/>
      <w:divBdr>
        <w:top w:val="none" w:sz="0" w:space="0" w:color="auto"/>
        <w:left w:val="none" w:sz="0" w:space="0" w:color="auto"/>
        <w:bottom w:val="none" w:sz="0" w:space="0" w:color="auto"/>
        <w:right w:val="none" w:sz="0" w:space="0" w:color="auto"/>
      </w:divBdr>
    </w:div>
    <w:div w:id="893463258">
      <w:bodyDiv w:val="1"/>
      <w:marLeft w:val="0"/>
      <w:marRight w:val="0"/>
      <w:marTop w:val="0"/>
      <w:marBottom w:val="0"/>
      <w:divBdr>
        <w:top w:val="none" w:sz="0" w:space="0" w:color="auto"/>
        <w:left w:val="none" w:sz="0" w:space="0" w:color="auto"/>
        <w:bottom w:val="none" w:sz="0" w:space="0" w:color="auto"/>
        <w:right w:val="none" w:sz="0" w:space="0" w:color="auto"/>
      </w:divBdr>
    </w:div>
    <w:div w:id="17205446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purl.org/dc/dcmitype/"/>
    <ds:schemaRef ds:uri="eb6c2e4c-3f1c-4103-a37b-37c984dbe58f"/>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b93c647f-d63b-431a-95c8-8e00048cff23"/>
    <ds:schemaRef ds:uri="http://purl.org/dc/te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6</TotalTime>
  <Pages>12</Pages>
  <Words>6091</Words>
  <Characters>34722</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Presupuesto del programa de asistencia al cumplimiento del PNUMA para 2025</vt:lpstr>
    </vt:vector>
  </TitlesOfParts>
  <Company>UNMFS</Company>
  <LinksUpToDate>false</LinksUpToDate>
  <CharactersWithSpaces>40732</CharactersWithSpaces>
  <SharedDoc>false</SharedDoc>
  <HLinks>
    <vt:vector size="12" baseType="variant">
      <vt:variant>
        <vt:i4>3342380</vt:i4>
      </vt:variant>
      <vt:variant>
        <vt:i4>3</vt:i4>
      </vt:variant>
      <vt:variant>
        <vt:i4>0</vt:i4>
      </vt:variant>
      <vt:variant>
        <vt:i4>5</vt:i4>
      </vt:variant>
      <vt:variant>
        <vt:lpwstr>https://multilateralfund.org/resources/decisions/decision-5026</vt:lpwstr>
      </vt:variant>
      <vt:variant>
        <vt:lpwstr/>
      </vt:variant>
      <vt:variant>
        <vt:i4>3538989</vt:i4>
      </vt:variant>
      <vt:variant>
        <vt:i4>0</vt:i4>
      </vt:variant>
      <vt:variant>
        <vt:i4>0</vt:i4>
      </vt:variant>
      <vt:variant>
        <vt:i4>5</vt:i4>
      </vt:variant>
      <vt:variant>
        <vt:lpwstr>https://multilateralfund.org/resources/decisions/decision-4724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Presupuesto del programa de asistencia al cumplimiento del PNUMA para 2025</dc:title>
  <dc:subject/>
  <dc:creator>Kaleen Mcnamara</dc:creator>
  <cp:keywords/>
  <cp:lastModifiedBy>Martine Chery</cp:lastModifiedBy>
  <cp:revision>2</cp:revision>
  <cp:lastPrinted>2001-05-26T16:40:00Z</cp:lastPrinted>
  <dcterms:created xsi:type="dcterms:W3CDTF">2024-11-18T15:14:00Z</dcterms:created>
  <dcterms:modified xsi:type="dcterms:W3CDTF">2024-11-18T15:14:00Z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UNEP/OzL.Pro/ExCom/95/83</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