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04" w:type="dxa"/>
        <w:tblInd w:w="-284" w:type="dxa"/>
        <w:tblLayout w:type="fixed"/>
        <w:tblLook w:val="0000" w:firstRow="0" w:lastRow="0" w:firstColumn="0" w:lastColumn="0" w:noHBand="0" w:noVBand="0"/>
      </w:tblPr>
      <w:tblGrid>
        <w:gridCol w:w="1985"/>
        <w:gridCol w:w="4059"/>
        <w:gridCol w:w="3960"/>
      </w:tblGrid>
      <w:tr w:rsidR="00C82179" w:rsidRPr="009B0D30" w14:paraId="4934536D" w14:textId="77777777" w:rsidTr="00A52C0D">
        <w:trPr>
          <w:trHeight w:val="720"/>
        </w:trPr>
        <w:tc>
          <w:tcPr>
            <w:tcW w:w="6044" w:type="dxa"/>
            <w:gridSpan w:val="2"/>
            <w:tcBorders>
              <w:bottom w:val="single" w:sz="18" w:space="0" w:color="auto"/>
            </w:tcBorders>
          </w:tcPr>
          <w:p w14:paraId="1212C7DC" w14:textId="77777777" w:rsidR="00C82179" w:rsidRPr="009B0D30" w:rsidRDefault="00C82179" w:rsidP="00CE6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NACIONES</w:t>
            </w:r>
            <w:r>
              <w:rPr>
                <w:rFonts w:ascii="Univers" w:hAnsi="Univers"/>
                <w:b/>
                <w:sz w:val="28"/>
                <w:szCs w:val="28"/>
              </w:rPr>
              <w:br/>
              <w:t>UNIDAS</w:t>
            </w:r>
          </w:p>
        </w:tc>
        <w:tc>
          <w:tcPr>
            <w:tcW w:w="3960" w:type="dxa"/>
            <w:tcBorders>
              <w:bottom w:val="single" w:sz="18" w:space="0" w:color="auto"/>
            </w:tcBorders>
          </w:tcPr>
          <w:p w14:paraId="7589F977" w14:textId="77777777" w:rsidR="00C82179" w:rsidRPr="009B0D30" w:rsidRDefault="00C82179" w:rsidP="00CE6A42">
            <w:pPr>
              <w:jc w:val="right"/>
              <w:rPr>
                <w:sz w:val="52"/>
                <w:szCs w:val="52"/>
              </w:rPr>
            </w:pPr>
            <w:r>
              <w:rPr>
                <w:rFonts w:ascii="Univers Bold" w:hAnsi="Univers Bold"/>
                <w:b/>
                <w:sz w:val="72"/>
              </w:rPr>
              <w:t>EP</w:t>
            </w:r>
          </w:p>
        </w:tc>
      </w:tr>
      <w:tr w:rsidR="00C82179" w:rsidRPr="009B0D30" w14:paraId="6EFBBDF7" w14:textId="77777777" w:rsidTr="00A52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985" w:type="dxa"/>
            <w:tcBorders>
              <w:top w:val="nil"/>
              <w:left w:val="nil"/>
              <w:bottom w:val="single" w:sz="36" w:space="0" w:color="auto"/>
              <w:right w:val="nil"/>
            </w:tcBorders>
          </w:tcPr>
          <w:p w14:paraId="7771468C" w14:textId="23A0AD99" w:rsidR="00C82179" w:rsidRPr="009B0D30" w:rsidRDefault="00C82179" w:rsidP="00CE6A42">
            <w:pPr>
              <w:spacing w:before="120"/>
              <w:ind w:left="-9"/>
            </w:pPr>
            <w:r>
              <w:rPr>
                <w:noProof/>
              </w:rPr>
              <mc:AlternateContent>
                <mc:Choice Requires="wpg">
                  <w:drawing>
                    <wp:inline distT="0" distB="0" distL="0" distR="0" wp14:anchorId="01507283" wp14:editId="55853A58">
                      <wp:extent cx="827712" cy="1514475"/>
                      <wp:effectExtent l="0" t="0" r="0" b="9525"/>
                      <wp:docPr id="13156034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7712" cy="1514475"/>
                                <a:chOff x="-7316" y="0"/>
                                <a:chExt cx="828000" cy="1514314"/>
                              </a:xfrm>
                            </wpg:grpSpPr>
                            <pic:pic xmlns:pic="http://schemas.openxmlformats.org/drawingml/2006/picture">
                              <pic:nvPicPr>
                                <pic:cNvPr id="94367494" name="Picture 2" descr="UNEP"/>
                                <pic:cNvPicPr preferRelativeResize="0">
                                  <a:picLocks/>
                                </pic:cNvPicPr>
                              </pic:nvPicPr>
                              <pic:blipFill rotWithShape="1">
                                <a:blip r:embed="rId10" cstate="print"/>
                                <a:srcRect t="-35" r="6" b="71"/>
                                <a:stretch/>
                              </pic:blipFill>
                              <pic:spPr bwMode="auto">
                                <a:xfrm>
                                  <a:off x="39362" y="819268"/>
                                  <a:ext cx="780358" cy="695046"/>
                                </a:xfrm>
                                <a:prstGeom prst="rect">
                                  <a:avLst/>
                                </a:prstGeom>
                                <a:noFill/>
                              </pic:spPr>
                            </pic:pic>
                            <pic:pic xmlns:pic="http://schemas.openxmlformats.org/drawingml/2006/picture">
                              <pic:nvPicPr>
                                <pic:cNvPr id="245048583" name="Picture 3"/>
                                <pic:cNvPicPr preferRelativeResize="0">
                                  <a:picLocks/>
                                </pic:cNvPicPr>
                              </pic:nvPicPr>
                              <pic:blipFill>
                                <a:blip r:embed="rId11"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85BF21D" id="Group 2" o:spid="_x0000_s1026" style="width:65.15pt;height:119.25pt;mso-position-horizontal-relative:char;mso-position-vertical-relative:line" coordorigin="-73" coordsize="8280,15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93;top:8192;width:7804;height:69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">
                        <v:imagedata r:id="rId12"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">
                        <v:imagedata r:id="rId13" o:title=""/>
                        <o:lock v:ext="edit" aspectratio="f"/>
                      </v:shape>
                      <w10:anchorlock/>
                    </v:group>
                  </w:pict>
                </mc:Fallback>
              </mc:AlternateContent>
            </w:r>
          </w:p>
        </w:tc>
        <w:tc>
          <w:tcPr>
            <w:tcW w:w="4059" w:type="dxa"/>
            <w:tcBorders>
              <w:top w:val="nil"/>
              <w:left w:val="nil"/>
              <w:bottom w:val="single" w:sz="36" w:space="0" w:color="auto"/>
              <w:right w:val="nil"/>
            </w:tcBorders>
          </w:tcPr>
          <w:p w14:paraId="7AD9E0BF" w14:textId="77777777" w:rsidR="00A52C0D" w:rsidRDefault="00A52C0D" w:rsidP="00CE6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4FAC73C7" w14:textId="39E3FFD2" w:rsidR="00C82179" w:rsidRPr="00271CCC" w:rsidRDefault="00C82179" w:rsidP="00CE6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Programa de las</w:t>
            </w:r>
          </w:p>
          <w:p w14:paraId="25E26A24" w14:textId="77777777" w:rsidR="00C82179" w:rsidRPr="00271CCC" w:rsidRDefault="00C82179" w:rsidP="00CE6A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Naciones Unidas</w:t>
            </w:r>
          </w:p>
          <w:p w14:paraId="7A0EC08A" w14:textId="77777777" w:rsidR="00C82179" w:rsidRPr="00271CCC" w:rsidRDefault="00C82179" w:rsidP="006F6D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32"/>
              </w:rPr>
            </w:pPr>
            <w:r>
              <w:rPr>
                <w:rFonts w:ascii="Univers" w:hAnsi="Univers"/>
                <w:b/>
                <w:sz w:val="32"/>
                <w:szCs w:val="32"/>
              </w:rPr>
              <w:t>para el Medio Ambiente</w:t>
            </w:r>
          </w:p>
        </w:tc>
        <w:tc>
          <w:tcPr>
            <w:tcW w:w="3960" w:type="dxa"/>
            <w:tcBorders>
              <w:top w:val="nil"/>
              <w:left w:val="nil"/>
              <w:bottom w:val="single" w:sz="36" w:space="0" w:color="auto"/>
              <w:right w:val="nil"/>
            </w:tcBorders>
          </w:tcPr>
          <w:p w14:paraId="7C672AD3" w14:textId="77777777" w:rsidR="00A52C0D" w:rsidRDefault="00A52C0D" w:rsidP="00CE6A42"/>
          <w:p w14:paraId="22FD69B1" w14:textId="699E63CA" w:rsidR="00C82179" w:rsidRPr="009B0D30" w:rsidRDefault="00C82179" w:rsidP="00CE6A42">
            <w:proofErr w:type="spellStart"/>
            <w:r>
              <w:t>Distr</w:t>
            </w:r>
            <w:proofErr w:type="spellEnd"/>
            <w:r>
              <w:t>.</w:t>
            </w:r>
          </w:p>
          <w:p w14:paraId="6ECC7301" w14:textId="77777777" w:rsidR="00C82179" w:rsidRPr="009B0D30" w:rsidRDefault="00C82179" w:rsidP="00CE6A42">
            <w:r>
              <w:t>GENERAL</w:t>
            </w:r>
          </w:p>
          <w:p w14:paraId="1E00909A" w14:textId="77777777" w:rsidR="00C82179" w:rsidRPr="009B0D30" w:rsidRDefault="00C82179" w:rsidP="00CE6A42"/>
          <w:p w14:paraId="7C245C0F" w14:textId="14E2E5C2" w:rsidR="006F6D53" w:rsidRPr="009B0D30" w:rsidRDefault="006F6D53" w:rsidP="006F6D5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3152E5CB" w14:textId="4A32A788" w:rsidR="00C82179" w:rsidRPr="009B0D30" w:rsidRDefault="00C82179" w:rsidP="00CE6A42">
            <w:r>
              <w:t>23 de octubre de 2024</w:t>
            </w:r>
          </w:p>
          <w:p w14:paraId="544667F9" w14:textId="77777777" w:rsidR="00C82179" w:rsidRPr="009B0D30" w:rsidRDefault="00C82179" w:rsidP="00CE6A42">
            <w:pPr>
              <w:rPr>
                <w:caps/>
              </w:rPr>
            </w:pPr>
          </w:p>
          <w:p w14:paraId="26B6AE22" w14:textId="77777777" w:rsidR="006F6D53" w:rsidRDefault="00C82179" w:rsidP="00CE6A42">
            <w:r>
              <w:t xml:space="preserve">ESPAÑOL </w:t>
            </w:r>
          </w:p>
          <w:p w14:paraId="2C0FA362" w14:textId="45F01732" w:rsidR="00C82179" w:rsidRPr="009B0D30" w:rsidRDefault="00C82179" w:rsidP="00CE6A42">
            <w:r>
              <w:t>ORIGINAL: INGLÉS</w:t>
            </w:r>
          </w:p>
        </w:tc>
      </w:tr>
    </w:tbl>
    <w:p w14:paraId="4AB3A4FD" w14:textId="77777777" w:rsidR="00C82179" w:rsidRDefault="00C82179" w:rsidP="00C82179">
      <w:pPr>
        <w:jc w:val="left"/>
      </w:pPr>
      <w:r>
        <w:t>COMITÉ EJECUTIVO DEL FONDO MULTILATERAL</w:t>
      </w:r>
      <w:r>
        <w:br/>
        <w:t xml:space="preserve"> PARA LA APLICACIÓN DEL</w:t>
      </w:r>
      <w:r>
        <w:br/>
        <w:t xml:space="preserve"> PROTOCOLO DE MONTREAL</w:t>
      </w:r>
      <w:r>
        <w:br/>
        <w:t>Nonagésima quinta reunión</w:t>
      </w:r>
    </w:p>
    <w:p w14:paraId="68CD6C47" w14:textId="77777777" w:rsidR="00C82179" w:rsidRDefault="00C82179" w:rsidP="00C82179">
      <w:pPr>
        <w:jc w:val="left"/>
      </w:pPr>
      <w:r>
        <w:t>Montreal, 4-8 de diciembre de 2024</w:t>
      </w:r>
    </w:p>
    <w:p w14:paraId="2BBFCEFD" w14:textId="77777777" w:rsidR="00C82179" w:rsidRDefault="00C82179" w:rsidP="00C82179">
      <w:pPr>
        <w:jc w:val="left"/>
      </w:pPr>
      <w:r>
        <w:t>Punto 9(d) del orden del día provisional</w:t>
      </w:r>
      <w:r w:rsidRPr="00512BEF">
        <w:rPr>
          <w:rStyle w:val="FootnoteReference"/>
        </w:rPr>
        <w:footnoteReference w:id="1"/>
      </w:r>
    </w:p>
    <w:p w14:paraId="787488AA" w14:textId="77777777" w:rsidR="00C82179" w:rsidRDefault="00C82179" w:rsidP="00C82179">
      <w:pPr>
        <w:jc w:val="left"/>
      </w:pPr>
    </w:p>
    <w:p w14:paraId="29ABC9E9" w14:textId="77777777" w:rsidR="00C82179" w:rsidRPr="009B0D30" w:rsidRDefault="00C82179" w:rsidP="00C82179">
      <w:pPr>
        <w:tabs>
          <w:tab w:val="left" w:pos="7590"/>
        </w:tabs>
        <w:jc w:val="left"/>
      </w:pPr>
    </w:p>
    <w:p w14:paraId="3E6DB5B4" w14:textId="77777777" w:rsidR="00C82179" w:rsidRPr="00DA764B" w:rsidRDefault="00C82179" w:rsidP="00C82179"/>
    <w:p w14:paraId="11E08DDD" w14:textId="235190BE" w:rsidR="00C82179" w:rsidRPr="00996241" w:rsidRDefault="006F6D53" w:rsidP="00C82179">
      <w:pPr>
        <w:jc w:val="center"/>
        <w:rPr>
          <w:b/>
        </w:rPr>
      </w:pPr>
      <w:r>
        <w:rPr>
          <w:b/>
        </w:rPr>
        <w:t>PROPUESTA DE PROYECTO: BURUNDI</w:t>
      </w:r>
    </w:p>
    <w:p w14:paraId="6EAF1818" w14:textId="77777777" w:rsidR="00C82179" w:rsidRPr="00DA764B" w:rsidRDefault="00C82179" w:rsidP="00C82179"/>
    <w:p w14:paraId="4E3C557E" w14:textId="77777777" w:rsidR="00C82179" w:rsidRPr="00DA764B" w:rsidRDefault="00C82179" w:rsidP="00C82179"/>
    <w:p w14:paraId="7BA89784" w14:textId="77777777" w:rsidR="00C82179" w:rsidRPr="00996241" w:rsidRDefault="00C82179" w:rsidP="00C82179">
      <w:pPr>
        <w:ind w:firstLine="720"/>
      </w:pPr>
      <w:r>
        <w:t>Este documento contiene los comentarios y la recomendación de la Secretaría del Fondo sobre la siguiente propuesta de proyecto:</w:t>
      </w:r>
    </w:p>
    <w:p w14:paraId="0DC98D81" w14:textId="77777777" w:rsidR="00C82179" w:rsidRPr="00996241" w:rsidRDefault="00C82179" w:rsidP="00C82179">
      <w:pPr>
        <w:spacing w:before="240" w:after="240"/>
        <w:rPr>
          <w:u w:val="single"/>
        </w:rPr>
      </w:pPr>
      <w:r>
        <w:rPr>
          <w:u w:val="single"/>
        </w:rPr>
        <w:t>Eliminación</w:t>
      </w:r>
    </w:p>
    <w:p w14:paraId="08464CBB" w14:textId="77777777" w:rsidR="00C82179" w:rsidRPr="00996241" w:rsidRDefault="00C82179" w:rsidP="00C821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2519"/>
        <w:gridCol w:w="2268"/>
      </w:tblGrid>
      <w:tr w:rsidR="00C82179" w:rsidRPr="00EE5B08" w14:paraId="13D987D1" w14:textId="77777777" w:rsidTr="00CE6A42">
        <w:tc>
          <w:tcPr>
            <w:tcW w:w="4563" w:type="dxa"/>
          </w:tcPr>
          <w:p w14:paraId="0BFA64A0" w14:textId="77777777" w:rsidR="00C82179" w:rsidRPr="00EE5B08" w:rsidRDefault="00C82179" w:rsidP="00C82179">
            <w:pPr>
              <w:pStyle w:val="ListParagraph"/>
              <w:numPr>
                <w:ilvl w:val="0"/>
                <w:numId w:val="1"/>
              </w:numPr>
              <w:ind w:hanging="830"/>
            </w:pPr>
            <w:r>
              <w:t>Plan de gestión de la eliminación de los HCFC (etapa II, primer tramo)</w:t>
            </w:r>
          </w:p>
        </w:tc>
        <w:tc>
          <w:tcPr>
            <w:tcW w:w="2519" w:type="dxa"/>
          </w:tcPr>
          <w:p w14:paraId="1FF2F491" w14:textId="77777777" w:rsidR="00C82179" w:rsidRPr="009931F4" w:rsidRDefault="00C82179" w:rsidP="00CE6A42">
            <w:pPr>
              <w:jc w:val="center"/>
              <w:rPr>
                <w:highlight w:val="cyan"/>
              </w:rPr>
            </w:pPr>
            <w:r>
              <w:t>PNUMA y ONUDI</w:t>
            </w:r>
          </w:p>
        </w:tc>
        <w:tc>
          <w:tcPr>
            <w:tcW w:w="2268" w:type="dxa"/>
          </w:tcPr>
          <w:p w14:paraId="469D191F" w14:textId="77777777" w:rsidR="00C82179" w:rsidRDefault="00C82179" w:rsidP="00CE6A42">
            <w:pPr>
              <w:jc w:val="center"/>
            </w:pPr>
            <w:r>
              <w:t>Para consideración particular</w:t>
            </w:r>
          </w:p>
        </w:tc>
      </w:tr>
    </w:tbl>
    <w:p w14:paraId="1B3C1054" w14:textId="77777777" w:rsidR="00C82179" w:rsidRPr="00996241" w:rsidRDefault="00C82179" w:rsidP="00C82179"/>
    <w:p w14:paraId="6A4B3138" w14:textId="77777777" w:rsidR="00C82179" w:rsidRPr="00996241" w:rsidRDefault="00C82179" w:rsidP="00C82179">
      <w:pPr>
        <w:jc w:val="left"/>
      </w:pPr>
    </w:p>
    <w:p w14:paraId="61AC0EDA" w14:textId="77777777" w:rsidR="00C82179" w:rsidRPr="00996241" w:rsidRDefault="00C82179" w:rsidP="00C82179">
      <w:pPr>
        <w:jc w:val="left"/>
      </w:pPr>
      <w:r>
        <w:br w:type="page"/>
      </w:r>
    </w:p>
    <w:p w14:paraId="480433DE" w14:textId="77777777" w:rsidR="003C195D" w:rsidRPr="00996241" w:rsidRDefault="003C195D" w:rsidP="00903A42">
      <w:pPr>
        <w:spacing w:after="60"/>
        <w:jc w:val="center"/>
        <w:rPr>
          <w:b/>
        </w:rPr>
      </w:pPr>
      <w:r>
        <w:rPr>
          <w:b/>
        </w:rPr>
        <w:lastRenderedPageBreak/>
        <w:t>HOJA DE EVALUACIÓN DE PROYECTO – PROYECTOS PLURIANUALES</w:t>
      </w:r>
    </w:p>
    <w:p w14:paraId="6446A20A" w14:textId="77777777" w:rsidR="003C195D" w:rsidRPr="00C56812" w:rsidRDefault="003C195D" w:rsidP="00903A42">
      <w:pPr>
        <w:spacing w:after="120"/>
        <w:jc w:val="center"/>
        <w:rPr>
          <w:b/>
          <w:bCs/>
        </w:rPr>
      </w:pPr>
      <w:r>
        <w:rPr>
          <w:b/>
          <w:bCs/>
        </w:rPr>
        <w:t>Burundi</w:t>
      </w:r>
    </w:p>
    <w:tbl>
      <w:tblPr>
        <w:tblStyle w:val="TableGrid"/>
        <w:tblW w:w="5911" w:type="pct"/>
        <w:tblInd w:w="-725" w:type="dxa"/>
        <w:tblCellMar>
          <w:top w:w="28" w:type="dxa"/>
          <w:bottom w:w="28" w:type="dxa"/>
        </w:tblCellMar>
        <w:tblLook w:val="04A0" w:firstRow="1" w:lastRow="0" w:firstColumn="1" w:lastColumn="0" w:noHBand="0" w:noVBand="1"/>
      </w:tblPr>
      <w:tblGrid>
        <w:gridCol w:w="5444"/>
        <w:gridCol w:w="5716"/>
      </w:tblGrid>
      <w:tr w:rsidR="003C195D" w:rsidRPr="00EB31E3" w14:paraId="2728B5B7" w14:textId="77777777" w:rsidTr="00903A42">
        <w:trPr>
          <w:trHeight w:val="139"/>
        </w:trPr>
        <w:tc>
          <w:tcPr>
            <w:tcW w:w="2439" w:type="pct"/>
            <w:shd w:val="clear" w:color="auto" w:fill="auto"/>
          </w:tcPr>
          <w:p w14:paraId="04C34409" w14:textId="77777777" w:rsidR="003C195D" w:rsidRPr="00996241" w:rsidRDefault="003C195D" w:rsidP="00080449">
            <w:pPr>
              <w:rPr>
                <w:b/>
              </w:rPr>
            </w:pPr>
            <w:r>
              <w:rPr>
                <w:b/>
              </w:rPr>
              <w:t>(I) TÍTULO DEL PROYECTO</w:t>
            </w:r>
          </w:p>
        </w:tc>
        <w:tc>
          <w:tcPr>
            <w:tcW w:w="2561" w:type="pct"/>
            <w:shd w:val="clear" w:color="auto" w:fill="auto"/>
          </w:tcPr>
          <w:p w14:paraId="5215BE0C" w14:textId="77777777" w:rsidR="003C195D" w:rsidRPr="00996241" w:rsidRDefault="003C195D" w:rsidP="00080449">
            <w:pPr>
              <w:jc w:val="center"/>
              <w:rPr>
                <w:b/>
              </w:rPr>
            </w:pPr>
            <w:r>
              <w:rPr>
                <w:b/>
              </w:rPr>
              <w:t>ORGANISMO</w:t>
            </w:r>
          </w:p>
        </w:tc>
      </w:tr>
      <w:tr w:rsidR="003C195D" w:rsidRPr="00EB31E3" w14:paraId="55653A59" w14:textId="77777777" w:rsidTr="00903A42">
        <w:trPr>
          <w:trHeight w:val="40"/>
        </w:trPr>
        <w:tc>
          <w:tcPr>
            <w:tcW w:w="2439" w:type="pct"/>
            <w:shd w:val="clear" w:color="auto" w:fill="auto"/>
            <w:vAlign w:val="center"/>
          </w:tcPr>
          <w:p w14:paraId="5FD001C6" w14:textId="77777777" w:rsidR="003C195D" w:rsidRPr="009931F4" w:rsidRDefault="003C195D" w:rsidP="00080449">
            <w:pPr>
              <w:jc w:val="center"/>
              <w:rPr>
                <w:color w:val="000000" w:themeColor="text1"/>
              </w:rPr>
            </w:pPr>
            <w:r>
              <w:rPr>
                <w:color w:val="000000" w:themeColor="text1"/>
              </w:rPr>
              <w:t>Plan de eliminación de HCFC (etapa II)</w:t>
            </w:r>
          </w:p>
        </w:tc>
        <w:tc>
          <w:tcPr>
            <w:tcW w:w="2561" w:type="pct"/>
            <w:shd w:val="clear" w:color="auto" w:fill="auto"/>
            <w:vAlign w:val="center"/>
          </w:tcPr>
          <w:p w14:paraId="49E0F008" w14:textId="77777777" w:rsidR="003C195D" w:rsidRPr="00996241" w:rsidRDefault="003C195D" w:rsidP="00080449">
            <w:pPr>
              <w:jc w:val="center"/>
              <w:rPr>
                <w:color w:val="000000" w:themeColor="text1"/>
              </w:rPr>
            </w:pPr>
            <w:r>
              <w:rPr>
                <w:color w:val="000000" w:themeColor="text1"/>
              </w:rPr>
              <w:t>PNUMA (director) y ONUDI</w:t>
            </w:r>
          </w:p>
        </w:tc>
      </w:tr>
    </w:tbl>
    <w:p w14:paraId="277C4133" w14:textId="77777777" w:rsidR="003C195D" w:rsidRPr="00903A42" w:rsidRDefault="003C195D" w:rsidP="003C195D">
      <w:pPr>
        <w:jc w:val="center"/>
        <w:rPr>
          <w:sz w:val="16"/>
          <w:szCs w:val="16"/>
        </w:rPr>
      </w:pPr>
    </w:p>
    <w:tbl>
      <w:tblPr>
        <w:tblStyle w:val="TableGrid"/>
        <w:tblW w:w="5911" w:type="pct"/>
        <w:tblInd w:w="-725" w:type="dxa"/>
        <w:tblCellMar>
          <w:top w:w="28" w:type="dxa"/>
          <w:bottom w:w="28" w:type="dxa"/>
        </w:tblCellMar>
        <w:tblLook w:val="04A0" w:firstRow="1" w:lastRow="0" w:firstColumn="1" w:lastColumn="0" w:noHBand="0" w:noVBand="1"/>
      </w:tblPr>
      <w:tblGrid>
        <w:gridCol w:w="7829"/>
        <w:gridCol w:w="1353"/>
        <w:gridCol w:w="1978"/>
      </w:tblGrid>
      <w:tr w:rsidR="003C195D" w:rsidRPr="00996241" w14:paraId="00BB18D4" w14:textId="77777777" w:rsidTr="00903A42">
        <w:trPr>
          <w:trHeight w:val="77"/>
        </w:trPr>
        <w:tc>
          <w:tcPr>
            <w:tcW w:w="3508" w:type="pct"/>
            <w:shd w:val="clear" w:color="auto" w:fill="auto"/>
          </w:tcPr>
          <w:p w14:paraId="64DE0556" w14:textId="77777777" w:rsidR="003C195D" w:rsidRPr="00996241" w:rsidRDefault="003C195D" w:rsidP="00080449">
            <w:pPr>
              <w:jc w:val="left"/>
              <w:rPr>
                <w:b/>
                <w:bCs/>
              </w:rPr>
            </w:pPr>
            <w:r>
              <w:rPr>
                <w:b/>
                <w:bCs/>
              </w:rPr>
              <w:t>(II) DATOS MÁS RECIENTES CON ARREGLO AL ARTÍCULO 7 (Anexo C Grupo l)</w:t>
            </w:r>
          </w:p>
        </w:tc>
        <w:tc>
          <w:tcPr>
            <w:tcW w:w="606" w:type="pct"/>
            <w:shd w:val="clear" w:color="auto" w:fill="auto"/>
          </w:tcPr>
          <w:p w14:paraId="347F9CD8" w14:textId="77777777" w:rsidR="003C195D" w:rsidRPr="00996241" w:rsidRDefault="003C195D" w:rsidP="00080449">
            <w:pPr>
              <w:jc w:val="center"/>
            </w:pPr>
            <w:r>
              <w:t xml:space="preserve">Año: </w:t>
            </w:r>
            <w:r>
              <w:rPr>
                <w:color w:val="000000" w:themeColor="text1"/>
              </w:rPr>
              <w:t>2023</w:t>
            </w:r>
          </w:p>
        </w:tc>
        <w:tc>
          <w:tcPr>
            <w:tcW w:w="886" w:type="pct"/>
            <w:shd w:val="clear" w:color="auto" w:fill="auto"/>
          </w:tcPr>
          <w:p w14:paraId="1EB0D3D3" w14:textId="77777777" w:rsidR="003C195D" w:rsidRPr="00996241" w:rsidRDefault="003C195D" w:rsidP="00080449">
            <w:pPr>
              <w:jc w:val="right"/>
            </w:pPr>
            <w:r>
              <w:t>0,66 toneladas PAO</w:t>
            </w:r>
          </w:p>
        </w:tc>
      </w:tr>
    </w:tbl>
    <w:p w14:paraId="24B421F5" w14:textId="77777777" w:rsidR="003C195D" w:rsidRPr="00903A42" w:rsidRDefault="003C195D" w:rsidP="003C195D">
      <w:pPr>
        <w:jc w:val="center"/>
        <w:rPr>
          <w:sz w:val="16"/>
          <w:szCs w:val="16"/>
        </w:rPr>
      </w:pPr>
    </w:p>
    <w:tbl>
      <w:tblPr>
        <w:tblStyle w:val="TableGrid"/>
        <w:tblW w:w="5911" w:type="pct"/>
        <w:tblInd w:w="-725" w:type="dxa"/>
        <w:tblLook w:val="04A0" w:firstRow="1" w:lastRow="0" w:firstColumn="1" w:lastColumn="0" w:noHBand="0" w:noVBand="1"/>
      </w:tblPr>
      <w:tblGrid>
        <w:gridCol w:w="1593"/>
        <w:gridCol w:w="850"/>
        <w:gridCol w:w="939"/>
        <w:gridCol w:w="983"/>
        <w:gridCol w:w="1161"/>
        <w:gridCol w:w="1416"/>
        <w:gridCol w:w="1083"/>
        <w:gridCol w:w="916"/>
        <w:gridCol w:w="567"/>
        <w:gridCol w:w="1652"/>
      </w:tblGrid>
      <w:tr w:rsidR="003C195D" w:rsidRPr="008533A5" w14:paraId="355312E0" w14:textId="77777777" w:rsidTr="00903A42">
        <w:trPr>
          <w:trHeight w:val="128"/>
        </w:trPr>
        <w:tc>
          <w:tcPr>
            <w:tcW w:w="4006" w:type="pct"/>
            <w:gridSpan w:val="8"/>
            <w:shd w:val="clear" w:color="auto" w:fill="auto"/>
          </w:tcPr>
          <w:p w14:paraId="2D877C8A" w14:textId="77777777" w:rsidR="003C195D" w:rsidRPr="00996241" w:rsidRDefault="003C195D" w:rsidP="00080449">
            <w:pPr>
              <w:jc w:val="left"/>
              <w:rPr>
                <w:b/>
                <w:bCs/>
              </w:rPr>
            </w:pPr>
            <w:r>
              <w:rPr>
                <w:b/>
                <w:bCs/>
              </w:rPr>
              <w:t>(III) DATOS SECTORIALES DEL PROGRAMA DE PAÍS MÁS RECIENTES (toneladas PAO)</w:t>
            </w:r>
          </w:p>
        </w:tc>
        <w:tc>
          <w:tcPr>
            <w:tcW w:w="994" w:type="pct"/>
            <w:gridSpan w:val="2"/>
            <w:shd w:val="clear" w:color="auto" w:fill="auto"/>
          </w:tcPr>
          <w:p w14:paraId="41C17284" w14:textId="77777777" w:rsidR="003C195D" w:rsidRPr="008533A5" w:rsidRDefault="003C195D" w:rsidP="00080449">
            <w:pPr>
              <w:spacing w:after="60"/>
              <w:jc w:val="right"/>
              <w:rPr>
                <w:b/>
                <w:bCs/>
              </w:rPr>
            </w:pPr>
            <w:r>
              <w:rPr>
                <w:b/>
                <w:bCs/>
              </w:rPr>
              <w:t xml:space="preserve">Año: </w:t>
            </w:r>
            <w:r>
              <w:rPr>
                <w:b/>
                <w:bCs/>
                <w:color w:val="000000" w:themeColor="text1"/>
              </w:rPr>
              <w:t>2023</w:t>
            </w:r>
          </w:p>
        </w:tc>
      </w:tr>
      <w:tr w:rsidR="003C195D" w:rsidRPr="00EB31E3" w14:paraId="573F9725" w14:textId="77777777" w:rsidTr="00903A42">
        <w:trPr>
          <w:trHeight w:val="250"/>
        </w:trPr>
        <w:tc>
          <w:tcPr>
            <w:tcW w:w="714" w:type="pct"/>
            <w:shd w:val="clear" w:color="auto" w:fill="auto"/>
            <w:vAlign w:val="center"/>
          </w:tcPr>
          <w:p w14:paraId="4F07E029" w14:textId="77777777" w:rsidR="003C195D" w:rsidRPr="009931F4" w:rsidRDefault="003C195D" w:rsidP="00080449">
            <w:pPr>
              <w:spacing w:after="60"/>
              <w:jc w:val="center"/>
            </w:pPr>
            <w:r>
              <w:t>Sustancia química</w:t>
            </w:r>
          </w:p>
        </w:tc>
        <w:tc>
          <w:tcPr>
            <w:tcW w:w="381" w:type="pct"/>
            <w:shd w:val="clear" w:color="auto" w:fill="auto"/>
            <w:vAlign w:val="center"/>
          </w:tcPr>
          <w:p w14:paraId="7C2F54FD" w14:textId="77777777" w:rsidR="003C195D" w:rsidRPr="00996241" w:rsidRDefault="003C195D" w:rsidP="00080449">
            <w:pPr>
              <w:spacing w:after="60"/>
              <w:jc w:val="center"/>
            </w:pPr>
            <w:r>
              <w:t>Aerosol</w:t>
            </w:r>
          </w:p>
        </w:tc>
        <w:tc>
          <w:tcPr>
            <w:tcW w:w="421" w:type="pct"/>
            <w:shd w:val="clear" w:color="auto" w:fill="auto"/>
            <w:vAlign w:val="center"/>
          </w:tcPr>
          <w:p w14:paraId="3EDC74C8" w14:textId="77777777" w:rsidR="003C195D" w:rsidRPr="00996241" w:rsidRDefault="003C195D" w:rsidP="00080449">
            <w:pPr>
              <w:spacing w:after="60"/>
              <w:jc w:val="center"/>
            </w:pPr>
            <w:r>
              <w:t>Espumas</w:t>
            </w:r>
          </w:p>
        </w:tc>
        <w:tc>
          <w:tcPr>
            <w:tcW w:w="440" w:type="pct"/>
            <w:shd w:val="clear" w:color="auto" w:fill="auto"/>
            <w:vAlign w:val="center"/>
          </w:tcPr>
          <w:p w14:paraId="2A78F4B3" w14:textId="77777777" w:rsidR="003C195D" w:rsidRPr="00996241" w:rsidRDefault="003C195D" w:rsidP="00080449">
            <w:pPr>
              <w:spacing w:after="60"/>
              <w:jc w:val="center"/>
            </w:pPr>
            <w:r>
              <w:t>Lucha contra incendios</w:t>
            </w:r>
          </w:p>
        </w:tc>
        <w:tc>
          <w:tcPr>
            <w:tcW w:w="1155" w:type="pct"/>
            <w:gridSpan w:val="2"/>
            <w:shd w:val="clear" w:color="auto" w:fill="auto"/>
            <w:vAlign w:val="center"/>
          </w:tcPr>
          <w:p w14:paraId="7D503AE9" w14:textId="77777777" w:rsidR="003C195D" w:rsidRPr="00996241" w:rsidRDefault="003C195D" w:rsidP="00080449">
            <w:pPr>
              <w:spacing w:after="60"/>
              <w:jc w:val="center"/>
            </w:pPr>
            <w:r>
              <w:t>Refrigeración</w:t>
            </w:r>
          </w:p>
        </w:tc>
        <w:tc>
          <w:tcPr>
            <w:tcW w:w="485" w:type="pct"/>
            <w:shd w:val="clear" w:color="auto" w:fill="auto"/>
            <w:vAlign w:val="center"/>
          </w:tcPr>
          <w:p w14:paraId="09F0EC37" w14:textId="77777777" w:rsidR="003C195D" w:rsidRPr="00996241" w:rsidRDefault="003C195D" w:rsidP="00080449">
            <w:pPr>
              <w:spacing w:after="60"/>
              <w:jc w:val="center"/>
            </w:pPr>
            <w:r>
              <w:t>Disolvente</w:t>
            </w:r>
          </w:p>
        </w:tc>
        <w:tc>
          <w:tcPr>
            <w:tcW w:w="410" w:type="pct"/>
            <w:shd w:val="clear" w:color="auto" w:fill="auto"/>
            <w:vAlign w:val="center"/>
          </w:tcPr>
          <w:p w14:paraId="7AA2BF49" w14:textId="77777777" w:rsidR="003C195D" w:rsidRPr="00996241" w:rsidRDefault="003C195D" w:rsidP="00080449">
            <w:pPr>
              <w:spacing w:after="60"/>
              <w:jc w:val="center"/>
            </w:pPr>
            <w:r>
              <w:t>Agente de procesos</w:t>
            </w:r>
          </w:p>
        </w:tc>
        <w:tc>
          <w:tcPr>
            <w:tcW w:w="254" w:type="pct"/>
            <w:shd w:val="clear" w:color="auto" w:fill="auto"/>
            <w:vAlign w:val="center"/>
          </w:tcPr>
          <w:p w14:paraId="50915465" w14:textId="77777777" w:rsidR="003C195D" w:rsidRPr="00996241" w:rsidRDefault="003C195D" w:rsidP="00080449">
            <w:pPr>
              <w:spacing w:after="60"/>
              <w:jc w:val="center"/>
            </w:pPr>
            <w:r>
              <w:t>Uso en lab.</w:t>
            </w:r>
          </w:p>
        </w:tc>
        <w:tc>
          <w:tcPr>
            <w:tcW w:w="740" w:type="pct"/>
            <w:shd w:val="clear" w:color="auto" w:fill="auto"/>
            <w:vAlign w:val="center"/>
          </w:tcPr>
          <w:p w14:paraId="725F90B6" w14:textId="77777777" w:rsidR="003C195D" w:rsidRPr="00996241" w:rsidRDefault="003C195D" w:rsidP="00080449">
            <w:pPr>
              <w:spacing w:after="60"/>
              <w:jc w:val="center"/>
            </w:pPr>
            <w:r>
              <w:t>Consumo total del sector</w:t>
            </w:r>
          </w:p>
        </w:tc>
      </w:tr>
      <w:tr w:rsidR="003C195D" w:rsidRPr="00EB31E3" w14:paraId="7D00E5A0" w14:textId="77777777" w:rsidTr="00903A42">
        <w:trPr>
          <w:trHeight w:val="154"/>
        </w:trPr>
        <w:tc>
          <w:tcPr>
            <w:tcW w:w="1956" w:type="pct"/>
            <w:gridSpan w:val="4"/>
            <w:shd w:val="clear" w:color="auto" w:fill="auto"/>
            <w:vAlign w:val="center"/>
          </w:tcPr>
          <w:p w14:paraId="3D963830" w14:textId="77777777" w:rsidR="003C195D" w:rsidRPr="009931F4" w:rsidRDefault="003C195D" w:rsidP="00080449">
            <w:pPr>
              <w:spacing w:after="60"/>
              <w:jc w:val="center"/>
            </w:pPr>
          </w:p>
        </w:tc>
        <w:tc>
          <w:tcPr>
            <w:tcW w:w="520" w:type="pct"/>
            <w:shd w:val="clear" w:color="auto" w:fill="auto"/>
            <w:vAlign w:val="center"/>
          </w:tcPr>
          <w:p w14:paraId="46F669CC" w14:textId="77777777" w:rsidR="003C195D" w:rsidRPr="00996241" w:rsidRDefault="003C195D" w:rsidP="00080449">
            <w:pPr>
              <w:spacing w:after="60"/>
              <w:jc w:val="center"/>
            </w:pPr>
            <w:r>
              <w:t>Fabricación</w:t>
            </w:r>
          </w:p>
        </w:tc>
        <w:tc>
          <w:tcPr>
            <w:tcW w:w="634" w:type="pct"/>
            <w:shd w:val="clear" w:color="auto" w:fill="auto"/>
            <w:vAlign w:val="center"/>
          </w:tcPr>
          <w:p w14:paraId="76458136" w14:textId="77777777" w:rsidR="003C195D" w:rsidRPr="00996241" w:rsidRDefault="003C195D" w:rsidP="00080449">
            <w:pPr>
              <w:spacing w:after="60"/>
              <w:jc w:val="center"/>
            </w:pPr>
            <w:r>
              <w:t>Servicio y mantenimiento</w:t>
            </w:r>
          </w:p>
        </w:tc>
        <w:tc>
          <w:tcPr>
            <w:tcW w:w="1890" w:type="pct"/>
            <w:gridSpan w:val="4"/>
            <w:shd w:val="clear" w:color="auto" w:fill="auto"/>
            <w:vAlign w:val="center"/>
          </w:tcPr>
          <w:p w14:paraId="637AE71B" w14:textId="77777777" w:rsidR="003C195D" w:rsidRPr="00996241" w:rsidRDefault="003C195D" w:rsidP="00080449">
            <w:pPr>
              <w:spacing w:after="60"/>
              <w:jc w:val="center"/>
            </w:pPr>
          </w:p>
        </w:tc>
      </w:tr>
      <w:tr w:rsidR="003C195D" w:rsidRPr="00EB31E3" w14:paraId="12CEC0F8" w14:textId="77777777" w:rsidTr="00903A42">
        <w:trPr>
          <w:trHeight w:val="250"/>
        </w:trPr>
        <w:tc>
          <w:tcPr>
            <w:tcW w:w="714" w:type="pct"/>
            <w:shd w:val="clear" w:color="auto" w:fill="auto"/>
          </w:tcPr>
          <w:p w14:paraId="26761DC4" w14:textId="77777777" w:rsidR="003C195D" w:rsidRPr="009931F4" w:rsidRDefault="003C195D" w:rsidP="00080449">
            <w:pPr>
              <w:spacing w:after="60"/>
              <w:jc w:val="left"/>
            </w:pPr>
            <w:r>
              <w:rPr>
                <w:color w:val="000000" w:themeColor="text1"/>
              </w:rPr>
              <w:t>HCFC-22</w:t>
            </w:r>
          </w:p>
        </w:tc>
        <w:tc>
          <w:tcPr>
            <w:tcW w:w="381" w:type="pct"/>
            <w:shd w:val="clear" w:color="auto" w:fill="auto"/>
          </w:tcPr>
          <w:p w14:paraId="1C60BEBF" w14:textId="77777777" w:rsidR="003C195D" w:rsidRPr="00996241" w:rsidRDefault="003C195D" w:rsidP="00080449">
            <w:pPr>
              <w:spacing w:after="60"/>
              <w:jc w:val="right"/>
            </w:pPr>
            <w:r>
              <w:t>0,00</w:t>
            </w:r>
          </w:p>
        </w:tc>
        <w:tc>
          <w:tcPr>
            <w:tcW w:w="421" w:type="pct"/>
            <w:shd w:val="clear" w:color="auto" w:fill="auto"/>
          </w:tcPr>
          <w:p w14:paraId="4682775C" w14:textId="77777777" w:rsidR="003C195D" w:rsidRPr="00996241" w:rsidRDefault="003C195D" w:rsidP="00080449">
            <w:pPr>
              <w:spacing w:after="60"/>
              <w:jc w:val="right"/>
            </w:pPr>
            <w:r>
              <w:t>0,00</w:t>
            </w:r>
          </w:p>
        </w:tc>
        <w:tc>
          <w:tcPr>
            <w:tcW w:w="440" w:type="pct"/>
            <w:shd w:val="clear" w:color="auto" w:fill="auto"/>
          </w:tcPr>
          <w:p w14:paraId="1629D353" w14:textId="77777777" w:rsidR="003C195D" w:rsidRPr="00996241" w:rsidRDefault="003C195D" w:rsidP="00080449">
            <w:pPr>
              <w:spacing w:after="60"/>
              <w:jc w:val="right"/>
            </w:pPr>
            <w:r>
              <w:t>0,00</w:t>
            </w:r>
          </w:p>
        </w:tc>
        <w:tc>
          <w:tcPr>
            <w:tcW w:w="520" w:type="pct"/>
            <w:shd w:val="clear" w:color="auto" w:fill="auto"/>
          </w:tcPr>
          <w:p w14:paraId="5D9CD4E4" w14:textId="77777777" w:rsidR="003C195D" w:rsidRPr="00996241" w:rsidRDefault="003C195D" w:rsidP="00080449">
            <w:pPr>
              <w:spacing w:after="60"/>
              <w:jc w:val="right"/>
            </w:pPr>
            <w:r>
              <w:t>0,00</w:t>
            </w:r>
          </w:p>
        </w:tc>
        <w:tc>
          <w:tcPr>
            <w:tcW w:w="634" w:type="pct"/>
            <w:shd w:val="clear" w:color="auto" w:fill="auto"/>
          </w:tcPr>
          <w:p w14:paraId="64A02271" w14:textId="77777777" w:rsidR="003C195D" w:rsidRPr="00996241" w:rsidRDefault="003C195D" w:rsidP="00080449">
            <w:pPr>
              <w:spacing w:after="60"/>
              <w:jc w:val="right"/>
            </w:pPr>
            <w:r>
              <w:t>0,66</w:t>
            </w:r>
          </w:p>
        </w:tc>
        <w:tc>
          <w:tcPr>
            <w:tcW w:w="485" w:type="pct"/>
            <w:shd w:val="clear" w:color="auto" w:fill="auto"/>
          </w:tcPr>
          <w:p w14:paraId="6E562D4D" w14:textId="77777777" w:rsidR="003C195D" w:rsidRPr="00996241" w:rsidRDefault="003C195D" w:rsidP="00080449">
            <w:pPr>
              <w:spacing w:after="60"/>
              <w:jc w:val="right"/>
            </w:pPr>
            <w:r>
              <w:t>0,00</w:t>
            </w:r>
          </w:p>
        </w:tc>
        <w:tc>
          <w:tcPr>
            <w:tcW w:w="410" w:type="pct"/>
            <w:shd w:val="clear" w:color="auto" w:fill="auto"/>
          </w:tcPr>
          <w:p w14:paraId="7B14E485" w14:textId="77777777" w:rsidR="003C195D" w:rsidRPr="00996241" w:rsidRDefault="003C195D" w:rsidP="00080449">
            <w:pPr>
              <w:spacing w:after="60"/>
              <w:jc w:val="right"/>
            </w:pPr>
            <w:r>
              <w:t>0,00</w:t>
            </w:r>
          </w:p>
        </w:tc>
        <w:tc>
          <w:tcPr>
            <w:tcW w:w="254" w:type="pct"/>
            <w:shd w:val="clear" w:color="auto" w:fill="auto"/>
          </w:tcPr>
          <w:p w14:paraId="6B8FC4C4" w14:textId="77777777" w:rsidR="003C195D" w:rsidRPr="00996241" w:rsidRDefault="003C195D" w:rsidP="00080449">
            <w:pPr>
              <w:spacing w:after="60"/>
              <w:jc w:val="right"/>
            </w:pPr>
            <w:r>
              <w:t>0,00</w:t>
            </w:r>
          </w:p>
        </w:tc>
        <w:tc>
          <w:tcPr>
            <w:tcW w:w="740" w:type="pct"/>
            <w:shd w:val="clear" w:color="auto" w:fill="auto"/>
          </w:tcPr>
          <w:p w14:paraId="057C7630" w14:textId="77777777" w:rsidR="003C195D" w:rsidRPr="00996241" w:rsidRDefault="003C195D" w:rsidP="00080449">
            <w:pPr>
              <w:spacing w:after="60"/>
              <w:jc w:val="right"/>
              <w:rPr>
                <w:color w:val="000000" w:themeColor="text1"/>
              </w:rPr>
            </w:pPr>
            <w:r>
              <w:rPr>
                <w:color w:val="000000" w:themeColor="text1"/>
              </w:rPr>
              <w:t>0,66</w:t>
            </w:r>
          </w:p>
        </w:tc>
      </w:tr>
    </w:tbl>
    <w:p w14:paraId="20CDA00B" w14:textId="77777777" w:rsidR="003C195D" w:rsidRPr="00903A42" w:rsidRDefault="003C195D" w:rsidP="003C195D">
      <w:pPr>
        <w:rPr>
          <w:sz w:val="16"/>
          <w:szCs w:val="16"/>
        </w:rPr>
      </w:pPr>
    </w:p>
    <w:tbl>
      <w:tblPr>
        <w:tblStyle w:val="TableGrid"/>
        <w:tblW w:w="5911" w:type="pct"/>
        <w:tblInd w:w="-725" w:type="dxa"/>
        <w:tblLook w:val="04A0" w:firstRow="1" w:lastRow="0" w:firstColumn="1" w:lastColumn="0" w:noHBand="0" w:noVBand="1"/>
      </w:tblPr>
      <w:tblGrid>
        <w:gridCol w:w="2694"/>
        <w:gridCol w:w="1634"/>
        <w:gridCol w:w="5482"/>
        <w:gridCol w:w="1350"/>
      </w:tblGrid>
      <w:tr w:rsidR="003C195D" w:rsidRPr="00EB31E3" w14:paraId="059BB4E7" w14:textId="77777777" w:rsidTr="00903A42">
        <w:trPr>
          <w:trHeight w:val="272"/>
        </w:trPr>
        <w:tc>
          <w:tcPr>
            <w:tcW w:w="5000" w:type="pct"/>
            <w:gridSpan w:val="4"/>
            <w:shd w:val="clear" w:color="auto" w:fill="auto"/>
          </w:tcPr>
          <w:p w14:paraId="0B819772" w14:textId="38946B55" w:rsidR="003C195D" w:rsidRPr="00996241" w:rsidRDefault="003C195D" w:rsidP="00080449">
            <w:pPr>
              <w:jc w:val="left"/>
              <w:rPr>
                <w:b/>
              </w:rPr>
            </w:pPr>
            <w:r>
              <w:rPr>
                <w:b/>
              </w:rPr>
              <w:t xml:space="preserve">(IV) DATOS SOBRE EL </w:t>
            </w:r>
            <w:r w:rsidR="00FB5A42">
              <w:rPr>
                <w:b/>
              </w:rPr>
              <w:t>CONSUMO (</w:t>
            </w:r>
            <w:r>
              <w:rPr>
                <w:b/>
              </w:rPr>
              <w:t>toneladas PAO)</w:t>
            </w:r>
          </w:p>
        </w:tc>
      </w:tr>
      <w:tr w:rsidR="003C195D" w:rsidRPr="00EB31E3" w14:paraId="567372D8" w14:textId="77777777" w:rsidTr="00903A42">
        <w:trPr>
          <w:trHeight w:val="272"/>
        </w:trPr>
        <w:tc>
          <w:tcPr>
            <w:tcW w:w="1207" w:type="pct"/>
            <w:shd w:val="clear" w:color="auto" w:fill="auto"/>
          </w:tcPr>
          <w:p w14:paraId="4177B625" w14:textId="77777777" w:rsidR="003C195D" w:rsidRPr="009931F4" w:rsidRDefault="003C195D" w:rsidP="00080449">
            <w:pPr>
              <w:spacing w:after="60"/>
              <w:jc w:val="center"/>
            </w:pPr>
            <w:r>
              <w:t>Nivel básico en 2009-2010:</w:t>
            </w:r>
          </w:p>
        </w:tc>
        <w:tc>
          <w:tcPr>
            <w:tcW w:w="732" w:type="pct"/>
            <w:shd w:val="clear" w:color="auto" w:fill="auto"/>
          </w:tcPr>
          <w:p w14:paraId="28937412" w14:textId="77777777" w:rsidR="003C195D" w:rsidRPr="00996241" w:rsidRDefault="003C195D" w:rsidP="00080449">
            <w:pPr>
              <w:spacing w:after="60"/>
              <w:jc w:val="right"/>
              <w:rPr>
                <w:color w:val="000000" w:themeColor="text1"/>
              </w:rPr>
            </w:pPr>
            <w:r>
              <w:rPr>
                <w:color w:val="000000" w:themeColor="text1"/>
              </w:rPr>
              <w:t>7,15</w:t>
            </w:r>
          </w:p>
        </w:tc>
        <w:tc>
          <w:tcPr>
            <w:tcW w:w="2456" w:type="pct"/>
            <w:shd w:val="clear" w:color="auto" w:fill="auto"/>
          </w:tcPr>
          <w:p w14:paraId="3BD8AD15" w14:textId="77777777" w:rsidR="003C195D" w:rsidRPr="00996241" w:rsidRDefault="003C195D" w:rsidP="00080449">
            <w:pPr>
              <w:spacing w:after="60"/>
              <w:jc w:val="center"/>
            </w:pPr>
            <w:r>
              <w:t>Punto de partida para las reducciones acumulativas sostenidas:</w:t>
            </w:r>
          </w:p>
        </w:tc>
        <w:tc>
          <w:tcPr>
            <w:tcW w:w="605" w:type="pct"/>
            <w:shd w:val="clear" w:color="auto" w:fill="auto"/>
          </w:tcPr>
          <w:p w14:paraId="0274D09B" w14:textId="77777777" w:rsidR="003C195D" w:rsidRPr="00996241" w:rsidRDefault="003C195D" w:rsidP="00080449">
            <w:pPr>
              <w:spacing w:after="60"/>
              <w:jc w:val="right"/>
              <w:rPr>
                <w:color w:val="000000" w:themeColor="text1"/>
              </w:rPr>
            </w:pPr>
            <w:r>
              <w:rPr>
                <w:color w:val="000000" w:themeColor="text1"/>
              </w:rPr>
              <w:t>2,10</w:t>
            </w:r>
          </w:p>
        </w:tc>
      </w:tr>
      <w:tr w:rsidR="003C195D" w:rsidRPr="00EB31E3" w14:paraId="5C2E67A8" w14:textId="77777777" w:rsidTr="00903A42">
        <w:trPr>
          <w:trHeight w:val="163"/>
        </w:trPr>
        <w:tc>
          <w:tcPr>
            <w:tcW w:w="5000" w:type="pct"/>
            <w:gridSpan w:val="4"/>
            <w:shd w:val="clear" w:color="auto" w:fill="auto"/>
          </w:tcPr>
          <w:p w14:paraId="2609AC94" w14:textId="77777777" w:rsidR="003C195D" w:rsidRPr="009931F4" w:rsidRDefault="003C195D" w:rsidP="00080449">
            <w:pPr>
              <w:tabs>
                <w:tab w:val="left" w:pos="993"/>
              </w:tabs>
              <w:ind w:left="426"/>
              <w:jc w:val="left"/>
              <w:rPr>
                <w:b/>
              </w:rPr>
            </w:pPr>
            <w:r>
              <w:rPr>
                <w:b/>
              </w:rPr>
              <w:t>CONSUMO ADMISIBLE PARA FINANCIAMIENTO</w:t>
            </w:r>
          </w:p>
        </w:tc>
      </w:tr>
      <w:tr w:rsidR="003C195D" w:rsidRPr="00EB31E3" w14:paraId="2E6C2366" w14:textId="77777777" w:rsidTr="00903A42">
        <w:trPr>
          <w:trHeight w:val="272"/>
        </w:trPr>
        <w:tc>
          <w:tcPr>
            <w:tcW w:w="1207" w:type="pct"/>
            <w:shd w:val="clear" w:color="auto" w:fill="auto"/>
          </w:tcPr>
          <w:p w14:paraId="7B4B7337" w14:textId="77777777" w:rsidR="003C195D" w:rsidRPr="009931F4" w:rsidRDefault="003C195D" w:rsidP="00080449">
            <w:pPr>
              <w:spacing w:after="60"/>
              <w:jc w:val="center"/>
            </w:pPr>
            <w:r>
              <w:t>Ya aprobado:</w:t>
            </w:r>
          </w:p>
        </w:tc>
        <w:tc>
          <w:tcPr>
            <w:tcW w:w="732" w:type="pct"/>
            <w:shd w:val="clear" w:color="auto" w:fill="auto"/>
          </w:tcPr>
          <w:p w14:paraId="1890075C" w14:textId="77777777" w:rsidR="003C195D" w:rsidRPr="00AD1B67" w:rsidRDefault="003C195D" w:rsidP="00080449">
            <w:pPr>
              <w:spacing w:after="60"/>
              <w:jc w:val="right"/>
              <w:rPr>
                <w:color w:val="000000" w:themeColor="text1"/>
              </w:rPr>
            </w:pPr>
            <w:r>
              <w:rPr>
                <w:color w:val="000000" w:themeColor="text1"/>
              </w:rPr>
              <w:t>0,73</w:t>
            </w:r>
          </w:p>
        </w:tc>
        <w:tc>
          <w:tcPr>
            <w:tcW w:w="2456" w:type="pct"/>
            <w:shd w:val="clear" w:color="auto" w:fill="auto"/>
          </w:tcPr>
          <w:p w14:paraId="687709FE" w14:textId="77777777" w:rsidR="003C195D" w:rsidRPr="00AD1B67" w:rsidRDefault="003C195D" w:rsidP="00080449">
            <w:pPr>
              <w:spacing w:after="60"/>
              <w:jc w:val="center"/>
            </w:pPr>
            <w:r>
              <w:t>Remanente:</w:t>
            </w:r>
          </w:p>
        </w:tc>
        <w:tc>
          <w:tcPr>
            <w:tcW w:w="605" w:type="pct"/>
            <w:shd w:val="clear" w:color="auto" w:fill="auto"/>
          </w:tcPr>
          <w:p w14:paraId="39C7509B" w14:textId="77777777" w:rsidR="003C195D" w:rsidRPr="00AD1B67" w:rsidRDefault="003C195D" w:rsidP="00080449">
            <w:pPr>
              <w:spacing w:after="60"/>
              <w:jc w:val="right"/>
              <w:rPr>
                <w:color w:val="000000" w:themeColor="text1"/>
              </w:rPr>
            </w:pPr>
            <w:r>
              <w:rPr>
                <w:color w:val="000000" w:themeColor="text1"/>
              </w:rPr>
              <w:t>1,37</w:t>
            </w:r>
          </w:p>
        </w:tc>
      </w:tr>
    </w:tbl>
    <w:p w14:paraId="0596D8C6" w14:textId="46CBD748" w:rsidR="003C195D" w:rsidRPr="00903A42" w:rsidRDefault="003C195D" w:rsidP="003C195D">
      <w:pPr>
        <w:jc w:val="center"/>
        <w:rPr>
          <w:sz w:val="16"/>
          <w:szCs w:val="16"/>
        </w:rPr>
      </w:pPr>
    </w:p>
    <w:tbl>
      <w:tblPr>
        <w:tblStyle w:val="TableGrid"/>
        <w:tblW w:w="5911" w:type="pct"/>
        <w:tblInd w:w="-725" w:type="dxa"/>
        <w:tblLook w:val="04A0" w:firstRow="1" w:lastRow="0" w:firstColumn="1" w:lastColumn="0" w:noHBand="0" w:noVBand="1"/>
      </w:tblPr>
      <w:tblGrid>
        <w:gridCol w:w="1079"/>
        <w:gridCol w:w="3422"/>
        <w:gridCol w:w="1315"/>
        <w:gridCol w:w="1413"/>
        <w:gridCol w:w="1411"/>
        <w:gridCol w:w="2520"/>
      </w:tblGrid>
      <w:tr w:rsidR="003C195D" w:rsidRPr="00EB31E3" w14:paraId="425A1D4B" w14:textId="77777777" w:rsidTr="00903A42">
        <w:trPr>
          <w:trHeight w:val="258"/>
        </w:trPr>
        <w:tc>
          <w:tcPr>
            <w:tcW w:w="2017" w:type="pct"/>
            <w:gridSpan w:val="2"/>
            <w:shd w:val="clear" w:color="auto" w:fill="auto"/>
            <w:vAlign w:val="center"/>
          </w:tcPr>
          <w:p w14:paraId="0706D9CF" w14:textId="77777777" w:rsidR="003C195D" w:rsidRPr="00996241" w:rsidRDefault="003C195D" w:rsidP="00080449">
            <w:pPr>
              <w:spacing w:after="60"/>
              <w:jc w:val="left"/>
              <w:rPr>
                <w:b/>
              </w:rPr>
            </w:pPr>
            <w:r>
              <w:rPr>
                <w:b/>
              </w:rPr>
              <w:t>(V) PLAN ADMINISTRATIVO AVALADO</w:t>
            </w:r>
          </w:p>
        </w:tc>
        <w:tc>
          <w:tcPr>
            <w:tcW w:w="589" w:type="pct"/>
            <w:vAlign w:val="center"/>
          </w:tcPr>
          <w:p w14:paraId="2CDE7E51" w14:textId="77777777" w:rsidR="003C195D" w:rsidRPr="00996241" w:rsidRDefault="003C195D" w:rsidP="00080449">
            <w:pPr>
              <w:spacing w:after="60"/>
              <w:jc w:val="center"/>
              <w:rPr>
                <w:b/>
              </w:rPr>
            </w:pPr>
            <w:r>
              <w:rPr>
                <w:b/>
              </w:rPr>
              <w:t>2024</w:t>
            </w:r>
          </w:p>
        </w:tc>
        <w:tc>
          <w:tcPr>
            <w:tcW w:w="633" w:type="pct"/>
            <w:vAlign w:val="center"/>
          </w:tcPr>
          <w:p w14:paraId="6EA0B207" w14:textId="77777777" w:rsidR="003C195D" w:rsidRPr="00996241" w:rsidRDefault="003C195D" w:rsidP="00080449">
            <w:pPr>
              <w:spacing w:after="60"/>
              <w:jc w:val="center"/>
              <w:rPr>
                <w:b/>
              </w:rPr>
            </w:pPr>
            <w:r>
              <w:rPr>
                <w:b/>
              </w:rPr>
              <w:t>2025</w:t>
            </w:r>
          </w:p>
        </w:tc>
        <w:tc>
          <w:tcPr>
            <w:tcW w:w="632" w:type="pct"/>
            <w:vAlign w:val="center"/>
          </w:tcPr>
          <w:p w14:paraId="25DAB71F" w14:textId="77777777" w:rsidR="003C195D" w:rsidRPr="00996241" w:rsidRDefault="003C195D" w:rsidP="00080449">
            <w:pPr>
              <w:spacing w:after="60"/>
              <w:jc w:val="center"/>
              <w:rPr>
                <w:b/>
              </w:rPr>
            </w:pPr>
            <w:r>
              <w:rPr>
                <w:b/>
              </w:rPr>
              <w:t>2026</w:t>
            </w:r>
          </w:p>
        </w:tc>
        <w:tc>
          <w:tcPr>
            <w:tcW w:w="1130" w:type="pct"/>
            <w:shd w:val="clear" w:color="auto" w:fill="auto"/>
            <w:vAlign w:val="center"/>
          </w:tcPr>
          <w:p w14:paraId="52AFEE69" w14:textId="77777777" w:rsidR="003C195D" w:rsidRPr="00996241" w:rsidRDefault="003C195D" w:rsidP="00080449">
            <w:pPr>
              <w:spacing w:after="60"/>
              <w:jc w:val="center"/>
              <w:rPr>
                <w:b/>
              </w:rPr>
            </w:pPr>
            <w:r>
              <w:rPr>
                <w:b/>
              </w:rPr>
              <w:t>Total</w:t>
            </w:r>
          </w:p>
        </w:tc>
      </w:tr>
      <w:tr w:rsidR="003C195D" w:rsidRPr="00EB31E3" w14:paraId="2A2AF651" w14:textId="77777777" w:rsidTr="00903A42">
        <w:trPr>
          <w:trHeight w:val="258"/>
        </w:trPr>
        <w:tc>
          <w:tcPr>
            <w:tcW w:w="484" w:type="pct"/>
            <w:vMerge w:val="restart"/>
            <w:shd w:val="clear" w:color="auto" w:fill="auto"/>
            <w:vAlign w:val="center"/>
          </w:tcPr>
          <w:p w14:paraId="16229659" w14:textId="77777777" w:rsidR="003C195D" w:rsidRPr="00996241" w:rsidRDefault="003C195D" w:rsidP="00080449">
            <w:pPr>
              <w:spacing w:after="60"/>
              <w:jc w:val="center"/>
              <w:rPr>
                <w:color w:val="000000" w:themeColor="text1"/>
              </w:rPr>
            </w:pPr>
            <w:bookmarkStart w:id="0" w:name="_Hlk180159481"/>
            <w:r>
              <w:rPr>
                <w:color w:val="000000" w:themeColor="text1"/>
              </w:rPr>
              <w:t>PNUMA</w:t>
            </w:r>
          </w:p>
        </w:tc>
        <w:tc>
          <w:tcPr>
            <w:tcW w:w="1533" w:type="pct"/>
            <w:shd w:val="clear" w:color="auto" w:fill="auto"/>
          </w:tcPr>
          <w:p w14:paraId="47EE8E7A" w14:textId="77777777" w:rsidR="003C195D" w:rsidRPr="00996241" w:rsidRDefault="003C195D" w:rsidP="00080449">
            <w:pPr>
              <w:spacing w:after="60"/>
              <w:jc w:val="left"/>
            </w:pPr>
            <w:r>
              <w:t>Eliminación de SAO (toneladas PAO)</w:t>
            </w:r>
          </w:p>
        </w:tc>
        <w:tc>
          <w:tcPr>
            <w:tcW w:w="589" w:type="pct"/>
            <w:shd w:val="clear" w:color="auto" w:fill="auto"/>
          </w:tcPr>
          <w:p w14:paraId="25DCB65D" w14:textId="77777777" w:rsidR="003C195D" w:rsidRPr="00996241" w:rsidRDefault="003C195D" w:rsidP="00080449">
            <w:pPr>
              <w:spacing w:after="60"/>
              <w:jc w:val="right"/>
            </w:pPr>
            <w:r>
              <w:t>0,10</w:t>
            </w:r>
          </w:p>
        </w:tc>
        <w:tc>
          <w:tcPr>
            <w:tcW w:w="633" w:type="pct"/>
          </w:tcPr>
          <w:p w14:paraId="1F4CD1AC" w14:textId="77777777" w:rsidR="003C195D" w:rsidRPr="00996241" w:rsidRDefault="003C195D" w:rsidP="00080449">
            <w:pPr>
              <w:spacing w:after="60"/>
              <w:jc w:val="right"/>
            </w:pPr>
            <w:r>
              <w:t>0,00</w:t>
            </w:r>
          </w:p>
        </w:tc>
        <w:tc>
          <w:tcPr>
            <w:tcW w:w="632" w:type="pct"/>
            <w:shd w:val="clear" w:color="auto" w:fill="auto"/>
          </w:tcPr>
          <w:p w14:paraId="61147CB0" w14:textId="77777777" w:rsidR="003C195D" w:rsidRPr="00996241" w:rsidRDefault="003C195D" w:rsidP="00080449">
            <w:pPr>
              <w:spacing w:after="60"/>
              <w:jc w:val="right"/>
            </w:pPr>
            <w:r>
              <w:t>0,00</w:t>
            </w:r>
          </w:p>
        </w:tc>
        <w:tc>
          <w:tcPr>
            <w:tcW w:w="1130" w:type="pct"/>
            <w:shd w:val="clear" w:color="auto" w:fill="auto"/>
          </w:tcPr>
          <w:p w14:paraId="6A005788" w14:textId="77777777" w:rsidR="003C195D" w:rsidRPr="006B525D" w:rsidRDefault="003C195D" w:rsidP="00080449">
            <w:pPr>
              <w:spacing w:after="60"/>
              <w:jc w:val="right"/>
            </w:pPr>
            <w:r>
              <w:t>0,10</w:t>
            </w:r>
          </w:p>
        </w:tc>
      </w:tr>
      <w:tr w:rsidR="003C195D" w:rsidRPr="00EB31E3" w14:paraId="3C464CAA" w14:textId="77777777" w:rsidTr="00903A42">
        <w:trPr>
          <w:trHeight w:val="258"/>
        </w:trPr>
        <w:tc>
          <w:tcPr>
            <w:tcW w:w="484" w:type="pct"/>
            <w:vMerge/>
            <w:vAlign w:val="center"/>
          </w:tcPr>
          <w:p w14:paraId="4D384935" w14:textId="77777777" w:rsidR="003C195D" w:rsidRPr="00996241" w:rsidRDefault="003C195D" w:rsidP="00080449">
            <w:pPr>
              <w:spacing w:after="60"/>
              <w:jc w:val="center"/>
            </w:pPr>
          </w:p>
        </w:tc>
        <w:tc>
          <w:tcPr>
            <w:tcW w:w="1533" w:type="pct"/>
            <w:shd w:val="clear" w:color="auto" w:fill="auto"/>
          </w:tcPr>
          <w:p w14:paraId="035D508C" w14:textId="77777777" w:rsidR="003C195D" w:rsidRPr="00996241" w:rsidRDefault="003C195D" w:rsidP="00080449">
            <w:pPr>
              <w:spacing w:after="60"/>
              <w:jc w:val="left"/>
            </w:pPr>
            <w:r>
              <w:t>Financiación ($EUA)</w:t>
            </w:r>
          </w:p>
        </w:tc>
        <w:tc>
          <w:tcPr>
            <w:tcW w:w="589" w:type="pct"/>
            <w:shd w:val="clear" w:color="auto" w:fill="auto"/>
          </w:tcPr>
          <w:p w14:paraId="2DE7B99E" w14:textId="77777777" w:rsidR="003C195D" w:rsidRPr="00996241" w:rsidRDefault="003C195D" w:rsidP="00080449">
            <w:pPr>
              <w:spacing w:after="60"/>
              <w:jc w:val="right"/>
            </w:pPr>
            <w:r>
              <w:t>69 777</w:t>
            </w:r>
          </w:p>
        </w:tc>
        <w:tc>
          <w:tcPr>
            <w:tcW w:w="633" w:type="pct"/>
          </w:tcPr>
          <w:p w14:paraId="2DC8A310" w14:textId="77777777" w:rsidR="003C195D" w:rsidRPr="00996241" w:rsidRDefault="003C195D" w:rsidP="00080449">
            <w:pPr>
              <w:spacing w:after="60"/>
              <w:jc w:val="right"/>
            </w:pPr>
            <w:r>
              <w:t>0</w:t>
            </w:r>
          </w:p>
        </w:tc>
        <w:tc>
          <w:tcPr>
            <w:tcW w:w="632" w:type="pct"/>
            <w:shd w:val="clear" w:color="auto" w:fill="auto"/>
          </w:tcPr>
          <w:p w14:paraId="05246D4A" w14:textId="77777777" w:rsidR="003C195D" w:rsidRPr="00996241" w:rsidRDefault="003C195D" w:rsidP="00080449">
            <w:pPr>
              <w:spacing w:after="60"/>
              <w:jc w:val="right"/>
            </w:pPr>
            <w:r>
              <w:t>0</w:t>
            </w:r>
          </w:p>
        </w:tc>
        <w:tc>
          <w:tcPr>
            <w:tcW w:w="1130" w:type="pct"/>
            <w:shd w:val="clear" w:color="auto" w:fill="auto"/>
          </w:tcPr>
          <w:p w14:paraId="61816681" w14:textId="77777777" w:rsidR="003C195D" w:rsidRPr="00996241" w:rsidRDefault="003C195D" w:rsidP="00080449">
            <w:pPr>
              <w:spacing w:after="60"/>
              <w:jc w:val="right"/>
            </w:pPr>
            <w:r>
              <w:t>69 777</w:t>
            </w:r>
          </w:p>
        </w:tc>
      </w:tr>
      <w:tr w:rsidR="003C195D" w:rsidRPr="00EB31E3" w14:paraId="27BE2367" w14:textId="77777777" w:rsidTr="00903A42">
        <w:trPr>
          <w:trHeight w:val="258"/>
        </w:trPr>
        <w:tc>
          <w:tcPr>
            <w:tcW w:w="484" w:type="pct"/>
            <w:vMerge w:val="restart"/>
            <w:shd w:val="clear" w:color="auto" w:fill="auto"/>
            <w:vAlign w:val="center"/>
          </w:tcPr>
          <w:p w14:paraId="6FF7DB83" w14:textId="77777777" w:rsidR="003C195D" w:rsidRPr="009931F4" w:rsidRDefault="003C195D" w:rsidP="00080449">
            <w:pPr>
              <w:spacing w:after="60"/>
              <w:jc w:val="center"/>
              <w:rPr>
                <w:color w:val="000000" w:themeColor="text1"/>
              </w:rPr>
            </w:pPr>
            <w:r>
              <w:rPr>
                <w:color w:val="000000" w:themeColor="text1"/>
              </w:rPr>
              <w:t>ONUDI</w:t>
            </w:r>
          </w:p>
        </w:tc>
        <w:tc>
          <w:tcPr>
            <w:tcW w:w="1533" w:type="pct"/>
            <w:shd w:val="clear" w:color="auto" w:fill="auto"/>
          </w:tcPr>
          <w:p w14:paraId="12AD34EB" w14:textId="77777777" w:rsidR="003C195D" w:rsidRPr="00996241" w:rsidRDefault="003C195D" w:rsidP="00080449">
            <w:pPr>
              <w:spacing w:after="60"/>
              <w:jc w:val="left"/>
            </w:pPr>
            <w:r>
              <w:t>Eliminación de SAO (toneladas PAO)</w:t>
            </w:r>
          </w:p>
        </w:tc>
        <w:tc>
          <w:tcPr>
            <w:tcW w:w="589" w:type="pct"/>
            <w:shd w:val="clear" w:color="auto" w:fill="auto"/>
          </w:tcPr>
          <w:p w14:paraId="19D3C675" w14:textId="77777777" w:rsidR="003C195D" w:rsidRPr="00996241" w:rsidRDefault="003C195D" w:rsidP="00080449">
            <w:pPr>
              <w:spacing w:after="60"/>
              <w:jc w:val="right"/>
            </w:pPr>
            <w:r>
              <w:t>1,25</w:t>
            </w:r>
          </w:p>
        </w:tc>
        <w:tc>
          <w:tcPr>
            <w:tcW w:w="633" w:type="pct"/>
          </w:tcPr>
          <w:p w14:paraId="6C713AFC" w14:textId="77777777" w:rsidR="003C195D" w:rsidRPr="00996241" w:rsidRDefault="003C195D" w:rsidP="00080449">
            <w:pPr>
              <w:spacing w:after="60"/>
              <w:jc w:val="right"/>
            </w:pPr>
            <w:r>
              <w:t>0,00</w:t>
            </w:r>
          </w:p>
        </w:tc>
        <w:tc>
          <w:tcPr>
            <w:tcW w:w="632" w:type="pct"/>
            <w:shd w:val="clear" w:color="auto" w:fill="auto"/>
          </w:tcPr>
          <w:p w14:paraId="4EF0D67F" w14:textId="77777777" w:rsidR="003C195D" w:rsidRPr="00996241" w:rsidRDefault="003C195D" w:rsidP="00080449">
            <w:pPr>
              <w:spacing w:after="60"/>
              <w:jc w:val="right"/>
            </w:pPr>
            <w:r>
              <w:t>0,00</w:t>
            </w:r>
          </w:p>
        </w:tc>
        <w:tc>
          <w:tcPr>
            <w:tcW w:w="1130" w:type="pct"/>
            <w:shd w:val="clear" w:color="auto" w:fill="auto"/>
          </w:tcPr>
          <w:p w14:paraId="0861B735" w14:textId="77777777" w:rsidR="003C195D" w:rsidRPr="00996241" w:rsidRDefault="003C195D" w:rsidP="00080449">
            <w:pPr>
              <w:spacing w:after="60"/>
              <w:jc w:val="right"/>
            </w:pPr>
            <w:r>
              <w:t>1,25</w:t>
            </w:r>
          </w:p>
        </w:tc>
      </w:tr>
      <w:tr w:rsidR="003C195D" w:rsidRPr="00EB31E3" w14:paraId="76D395FA" w14:textId="77777777" w:rsidTr="00903A42">
        <w:trPr>
          <w:trHeight w:val="258"/>
        </w:trPr>
        <w:tc>
          <w:tcPr>
            <w:tcW w:w="484" w:type="pct"/>
            <w:vMerge/>
          </w:tcPr>
          <w:p w14:paraId="4460F445" w14:textId="77777777" w:rsidR="003C195D" w:rsidRPr="00996241" w:rsidRDefault="003C195D" w:rsidP="00080449">
            <w:pPr>
              <w:spacing w:after="60"/>
              <w:jc w:val="center"/>
            </w:pPr>
          </w:p>
        </w:tc>
        <w:tc>
          <w:tcPr>
            <w:tcW w:w="1533" w:type="pct"/>
            <w:shd w:val="clear" w:color="auto" w:fill="auto"/>
          </w:tcPr>
          <w:p w14:paraId="5687CA57" w14:textId="77777777" w:rsidR="003C195D" w:rsidRPr="00996241" w:rsidRDefault="003C195D" w:rsidP="00080449">
            <w:pPr>
              <w:spacing w:after="60"/>
              <w:jc w:val="left"/>
            </w:pPr>
            <w:r>
              <w:t>Financiación ($EUA)</w:t>
            </w:r>
          </w:p>
        </w:tc>
        <w:tc>
          <w:tcPr>
            <w:tcW w:w="589" w:type="pct"/>
            <w:shd w:val="clear" w:color="auto" w:fill="auto"/>
          </w:tcPr>
          <w:p w14:paraId="326A4C30" w14:textId="77777777" w:rsidR="003C195D" w:rsidRPr="00996241" w:rsidRDefault="003C195D" w:rsidP="00080449">
            <w:pPr>
              <w:spacing w:after="60"/>
              <w:jc w:val="right"/>
            </w:pPr>
            <w:r>
              <w:t>84 134</w:t>
            </w:r>
          </w:p>
        </w:tc>
        <w:tc>
          <w:tcPr>
            <w:tcW w:w="633" w:type="pct"/>
          </w:tcPr>
          <w:p w14:paraId="32F9AC73" w14:textId="77777777" w:rsidR="003C195D" w:rsidRPr="00996241" w:rsidRDefault="003C195D" w:rsidP="00080449">
            <w:pPr>
              <w:spacing w:after="60"/>
              <w:jc w:val="right"/>
            </w:pPr>
            <w:r>
              <w:t>0</w:t>
            </w:r>
          </w:p>
        </w:tc>
        <w:tc>
          <w:tcPr>
            <w:tcW w:w="632" w:type="pct"/>
            <w:shd w:val="clear" w:color="auto" w:fill="auto"/>
          </w:tcPr>
          <w:p w14:paraId="2F59778B" w14:textId="77777777" w:rsidR="003C195D" w:rsidRPr="00996241" w:rsidRDefault="003C195D" w:rsidP="00080449">
            <w:pPr>
              <w:spacing w:after="60"/>
              <w:jc w:val="right"/>
            </w:pPr>
            <w:r>
              <w:t>0</w:t>
            </w:r>
          </w:p>
        </w:tc>
        <w:tc>
          <w:tcPr>
            <w:tcW w:w="1130" w:type="pct"/>
            <w:shd w:val="clear" w:color="auto" w:fill="auto"/>
          </w:tcPr>
          <w:p w14:paraId="164BD914" w14:textId="77777777" w:rsidR="003C195D" w:rsidRPr="00996241" w:rsidRDefault="003C195D" w:rsidP="00080449">
            <w:pPr>
              <w:spacing w:after="60"/>
              <w:jc w:val="right"/>
            </w:pPr>
            <w:r>
              <w:t>84 134</w:t>
            </w:r>
          </w:p>
        </w:tc>
      </w:tr>
      <w:bookmarkEnd w:id="0"/>
    </w:tbl>
    <w:p w14:paraId="2E2D7D20" w14:textId="77777777" w:rsidR="003C195D" w:rsidRPr="00903A42" w:rsidRDefault="003C195D" w:rsidP="003C195D">
      <w:pPr>
        <w:spacing w:after="120" w:line="259" w:lineRule="auto"/>
        <w:ind w:left="-112" w:right="-563"/>
        <w:rPr>
          <w:sz w:val="16"/>
          <w:szCs w:val="16"/>
          <w:highlight w:val="yellow"/>
        </w:rPr>
      </w:pPr>
    </w:p>
    <w:tbl>
      <w:tblPr>
        <w:tblStyle w:val="TableGrid"/>
        <w:tblW w:w="11430" w:type="dxa"/>
        <w:tblInd w:w="-995" w:type="dxa"/>
        <w:tblLook w:val="04A0" w:firstRow="1" w:lastRow="0" w:firstColumn="1" w:lastColumn="0" w:noHBand="0" w:noVBand="1"/>
      </w:tblPr>
      <w:tblGrid>
        <w:gridCol w:w="1530"/>
        <w:gridCol w:w="990"/>
        <w:gridCol w:w="1863"/>
        <w:gridCol w:w="929"/>
        <w:gridCol w:w="912"/>
        <w:gridCol w:w="929"/>
        <w:gridCol w:w="907"/>
        <w:gridCol w:w="1001"/>
        <w:gridCol w:w="925"/>
        <w:gridCol w:w="1444"/>
      </w:tblGrid>
      <w:tr w:rsidR="003C195D" w:rsidRPr="00996241" w14:paraId="57BE1B2D" w14:textId="77777777" w:rsidTr="00903A42">
        <w:trPr>
          <w:trHeight w:val="217"/>
        </w:trPr>
        <w:tc>
          <w:tcPr>
            <w:tcW w:w="4383" w:type="dxa"/>
            <w:gridSpan w:val="3"/>
            <w:shd w:val="clear" w:color="auto" w:fill="auto"/>
          </w:tcPr>
          <w:p w14:paraId="2225FE48" w14:textId="77777777" w:rsidR="003C195D" w:rsidRPr="00712359" w:rsidRDefault="003C195D" w:rsidP="00080449">
            <w:pPr>
              <w:jc w:val="left"/>
              <w:rPr>
                <w:b/>
                <w:bCs/>
              </w:rPr>
            </w:pPr>
            <w:r>
              <w:rPr>
                <w:b/>
                <w:bCs/>
              </w:rPr>
              <w:t xml:space="preserve">(VI) DATOS DEL PROYECTO </w:t>
            </w:r>
          </w:p>
        </w:tc>
        <w:tc>
          <w:tcPr>
            <w:tcW w:w="929" w:type="dxa"/>
            <w:shd w:val="clear" w:color="auto" w:fill="auto"/>
            <w:vAlign w:val="center"/>
          </w:tcPr>
          <w:p w14:paraId="2698D8D7" w14:textId="77777777" w:rsidR="003C195D" w:rsidRPr="00996241" w:rsidRDefault="003C195D" w:rsidP="00080449">
            <w:pPr>
              <w:jc w:val="center"/>
              <w:rPr>
                <w:b/>
              </w:rPr>
            </w:pPr>
            <w:r>
              <w:rPr>
                <w:b/>
              </w:rPr>
              <w:t>2024</w:t>
            </w:r>
          </w:p>
        </w:tc>
        <w:tc>
          <w:tcPr>
            <w:tcW w:w="912" w:type="dxa"/>
            <w:shd w:val="clear" w:color="auto" w:fill="auto"/>
            <w:vAlign w:val="center"/>
          </w:tcPr>
          <w:p w14:paraId="50C36AEC" w14:textId="77777777" w:rsidR="003C195D" w:rsidRPr="00996241" w:rsidRDefault="003C195D" w:rsidP="00080449">
            <w:pPr>
              <w:jc w:val="center"/>
              <w:rPr>
                <w:b/>
                <w:bCs/>
              </w:rPr>
            </w:pPr>
            <w:r>
              <w:rPr>
                <w:b/>
                <w:bCs/>
              </w:rPr>
              <w:t>2025-2026</w:t>
            </w:r>
          </w:p>
        </w:tc>
        <w:tc>
          <w:tcPr>
            <w:tcW w:w="929" w:type="dxa"/>
            <w:shd w:val="clear" w:color="auto" w:fill="auto"/>
            <w:vAlign w:val="center"/>
          </w:tcPr>
          <w:p w14:paraId="73E9D020" w14:textId="77777777" w:rsidR="003C195D" w:rsidRPr="00996241" w:rsidRDefault="003C195D" w:rsidP="00080449">
            <w:pPr>
              <w:jc w:val="center"/>
              <w:rPr>
                <w:b/>
                <w:bCs/>
              </w:rPr>
            </w:pPr>
            <w:r>
              <w:rPr>
                <w:b/>
                <w:bCs/>
              </w:rPr>
              <w:t>2027</w:t>
            </w:r>
          </w:p>
        </w:tc>
        <w:tc>
          <w:tcPr>
            <w:tcW w:w="907" w:type="dxa"/>
            <w:vAlign w:val="center"/>
          </w:tcPr>
          <w:p w14:paraId="6BE24725" w14:textId="77777777" w:rsidR="003C195D" w:rsidRPr="00996241" w:rsidRDefault="003C195D" w:rsidP="00080449">
            <w:pPr>
              <w:jc w:val="center"/>
              <w:rPr>
                <w:b/>
                <w:bCs/>
                <w:highlight w:val="cyan"/>
              </w:rPr>
            </w:pPr>
            <w:r>
              <w:rPr>
                <w:b/>
                <w:bCs/>
              </w:rPr>
              <w:t>2028</w:t>
            </w:r>
          </w:p>
        </w:tc>
        <w:tc>
          <w:tcPr>
            <w:tcW w:w="1001" w:type="dxa"/>
            <w:vAlign w:val="center"/>
          </w:tcPr>
          <w:p w14:paraId="62D04974" w14:textId="77777777" w:rsidR="003C195D" w:rsidRDefault="003C195D" w:rsidP="00080449">
            <w:pPr>
              <w:jc w:val="center"/>
              <w:rPr>
                <w:b/>
                <w:bCs/>
              </w:rPr>
            </w:pPr>
            <w:r>
              <w:rPr>
                <w:b/>
                <w:bCs/>
              </w:rPr>
              <w:t>2029</w:t>
            </w:r>
          </w:p>
        </w:tc>
        <w:tc>
          <w:tcPr>
            <w:tcW w:w="925" w:type="dxa"/>
            <w:vAlign w:val="center"/>
          </w:tcPr>
          <w:p w14:paraId="6B9EE072" w14:textId="77777777" w:rsidR="003C195D" w:rsidRPr="00996241" w:rsidRDefault="003C195D" w:rsidP="00080449">
            <w:pPr>
              <w:jc w:val="center"/>
              <w:rPr>
                <w:b/>
              </w:rPr>
            </w:pPr>
            <w:r>
              <w:rPr>
                <w:b/>
              </w:rPr>
              <w:t>2030</w:t>
            </w:r>
          </w:p>
        </w:tc>
        <w:tc>
          <w:tcPr>
            <w:tcW w:w="1444" w:type="dxa"/>
            <w:shd w:val="clear" w:color="auto" w:fill="auto"/>
            <w:vAlign w:val="center"/>
          </w:tcPr>
          <w:p w14:paraId="4915788A" w14:textId="77777777" w:rsidR="003C195D" w:rsidRPr="00996241" w:rsidRDefault="003C195D" w:rsidP="00080449">
            <w:pPr>
              <w:jc w:val="center"/>
              <w:rPr>
                <w:b/>
              </w:rPr>
            </w:pPr>
            <w:r>
              <w:rPr>
                <w:b/>
              </w:rPr>
              <w:t>Total</w:t>
            </w:r>
          </w:p>
        </w:tc>
      </w:tr>
      <w:tr w:rsidR="003C195D" w:rsidRPr="00996241" w14:paraId="440E0AFB" w14:textId="77777777" w:rsidTr="00903A42">
        <w:trPr>
          <w:trHeight w:val="65"/>
        </w:trPr>
        <w:tc>
          <w:tcPr>
            <w:tcW w:w="4383" w:type="dxa"/>
            <w:gridSpan w:val="3"/>
            <w:shd w:val="clear" w:color="auto" w:fill="auto"/>
          </w:tcPr>
          <w:p w14:paraId="33256D68" w14:textId="77777777" w:rsidR="003C195D" w:rsidRPr="009931F4" w:rsidRDefault="003C195D" w:rsidP="00080449">
            <w:pPr>
              <w:tabs>
                <w:tab w:val="left" w:pos="8280"/>
              </w:tabs>
              <w:spacing w:after="60"/>
              <w:ind w:right="-107"/>
              <w:jc w:val="left"/>
            </w:pPr>
            <w:r>
              <w:t>Límites del consumo establecidos en el Protocolo de Montreal (toneladas PAO)</w:t>
            </w:r>
          </w:p>
        </w:tc>
        <w:tc>
          <w:tcPr>
            <w:tcW w:w="929" w:type="dxa"/>
            <w:shd w:val="clear" w:color="auto" w:fill="auto"/>
          </w:tcPr>
          <w:p w14:paraId="3DE30360" w14:textId="77777777" w:rsidR="003C195D" w:rsidRPr="00996241" w:rsidRDefault="003C195D" w:rsidP="00080449">
            <w:pPr>
              <w:tabs>
                <w:tab w:val="left" w:pos="8280"/>
              </w:tabs>
              <w:spacing w:after="60"/>
              <w:jc w:val="right"/>
            </w:pPr>
            <w:r>
              <w:t>4,65</w:t>
            </w:r>
          </w:p>
        </w:tc>
        <w:tc>
          <w:tcPr>
            <w:tcW w:w="912" w:type="dxa"/>
          </w:tcPr>
          <w:p w14:paraId="4905567C" w14:textId="77777777" w:rsidR="003C195D" w:rsidRPr="00996241" w:rsidRDefault="003C195D" w:rsidP="00080449">
            <w:pPr>
              <w:tabs>
                <w:tab w:val="left" w:pos="8280"/>
              </w:tabs>
              <w:spacing w:after="60"/>
              <w:jc w:val="right"/>
            </w:pPr>
            <w:r>
              <w:t>2,32</w:t>
            </w:r>
          </w:p>
        </w:tc>
        <w:tc>
          <w:tcPr>
            <w:tcW w:w="929" w:type="dxa"/>
          </w:tcPr>
          <w:p w14:paraId="6CD3C05D" w14:textId="77777777" w:rsidR="003C195D" w:rsidRPr="00996241" w:rsidRDefault="003C195D" w:rsidP="00080449">
            <w:pPr>
              <w:tabs>
                <w:tab w:val="left" w:pos="8280"/>
              </w:tabs>
              <w:spacing w:after="60"/>
              <w:jc w:val="right"/>
            </w:pPr>
            <w:r>
              <w:t>2,32</w:t>
            </w:r>
          </w:p>
        </w:tc>
        <w:tc>
          <w:tcPr>
            <w:tcW w:w="907" w:type="dxa"/>
          </w:tcPr>
          <w:p w14:paraId="1287B084" w14:textId="77777777" w:rsidR="003C195D" w:rsidRPr="00996241" w:rsidRDefault="003C195D" w:rsidP="00080449">
            <w:pPr>
              <w:tabs>
                <w:tab w:val="left" w:pos="8280"/>
              </w:tabs>
              <w:spacing w:after="60"/>
              <w:jc w:val="right"/>
            </w:pPr>
            <w:r>
              <w:t>2,32</w:t>
            </w:r>
          </w:p>
        </w:tc>
        <w:tc>
          <w:tcPr>
            <w:tcW w:w="1001" w:type="dxa"/>
          </w:tcPr>
          <w:p w14:paraId="7A8B6DD3" w14:textId="77777777" w:rsidR="003C195D" w:rsidRPr="00996241" w:rsidRDefault="003C195D" w:rsidP="00080449">
            <w:pPr>
              <w:tabs>
                <w:tab w:val="left" w:pos="8280"/>
              </w:tabs>
              <w:spacing w:after="60"/>
              <w:jc w:val="right"/>
            </w:pPr>
            <w:r>
              <w:t>2,32</w:t>
            </w:r>
          </w:p>
        </w:tc>
        <w:tc>
          <w:tcPr>
            <w:tcW w:w="925" w:type="dxa"/>
          </w:tcPr>
          <w:p w14:paraId="5201287E" w14:textId="77777777" w:rsidR="003C195D" w:rsidRPr="00996241" w:rsidRDefault="003C195D" w:rsidP="00080449">
            <w:pPr>
              <w:tabs>
                <w:tab w:val="left" w:pos="8280"/>
              </w:tabs>
              <w:spacing w:after="60"/>
              <w:jc w:val="right"/>
            </w:pPr>
            <w:r>
              <w:t>0,00</w:t>
            </w:r>
          </w:p>
        </w:tc>
        <w:tc>
          <w:tcPr>
            <w:tcW w:w="1444" w:type="dxa"/>
          </w:tcPr>
          <w:p w14:paraId="117B58E5" w14:textId="77777777" w:rsidR="003C195D" w:rsidRPr="00996241" w:rsidRDefault="003C195D" w:rsidP="00080449">
            <w:pPr>
              <w:tabs>
                <w:tab w:val="left" w:pos="8280"/>
              </w:tabs>
              <w:spacing w:after="60"/>
              <w:jc w:val="right"/>
            </w:pPr>
            <w:r>
              <w:t>n/a</w:t>
            </w:r>
          </w:p>
        </w:tc>
      </w:tr>
      <w:tr w:rsidR="003C195D" w:rsidRPr="00996241" w14:paraId="668ECB20" w14:textId="77777777" w:rsidTr="00903A42">
        <w:trPr>
          <w:trHeight w:val="190"/>
        </w:trPr>
        <w:tc>
          <w:tcPr>
            <w:tcW w:w="4383" w:type="dxa"/>
            <w:gridSpan w:val="3"/>
            <w:shd w:val="clear" w:color="auto" w:fill="auto"/>
          </w:tcPr>
          <w:p w14:paraId="69C80517" w14:textId="77777777" w:rsidR="003C195D" w:rsidRPr="00996241" w:rsidRDefault="003C195D" w:rsidP="00080449">
            <w:pPr>
              <w:tabs>
                <w:tab w:val="left" w:pos="8280"/>
              </w:tabs>
              <w:spacing w:after="60"/>
              <w:jc w:val="left"/>
            </w:pPr>
            <w:r>
              <w:t>Consumo máximo permitido (toneladas PAO)</w:t>
            </w:r>
          </w:p>
        </w:tc>
        <w:tc>
          <w:tcPr>
            <w:tcW w:w="929" w:type="dxa"/>
            <w:shd w:val="clear" w:color="auto" w:fill="auto"/>
          </w:tcPr>
          <w:p w14:paraId="39782F41" w14:textId="77777777" w:rsidR="003C195D" w:rsidRPr="00F41A6A" w:rsidRDefault="003C195D" w:rsidP="00080449">
            <w:pPr>
              <w:tabs>
                <w:tab w:val="left" w:pos="8280"/>
              </w:tabs>
              <w:spacing w:after="60"/>
              <w:jc w:val="right"/>
            </w:pPr>
            <w:r>
              <w:t>0,70</w:t>
            </w:r>
          </w:p>
        </w:tc>
        <w:tc>
          <w:tcPr>
            <w:tcW w:w="912" w:type="dxa"/>
          </w:tcPr>
          <w:p w14:paraId="52B999AB" w14:textId="77777777" w:rsidR="003C195D" w:rsidRPr="00996241" w:rsidRDefault="003C195D" w:rsidP="00080449">
            <w:pPr>
              <w:tabs>
                <w:tab w:val="left" w:pos="8280"/>
              </w:tabs>
              <w:spacing w:after="60"/>
              <w:jc w:val="right"/>
            </w:pPr>
            <w:r>
              <w:t>0,68</w:t>
            </w:r>
          </w:p>
        </w:tc>
        <w:tc>
          <w:tcPr>
            <w:tcW w:w="929" w:type="dxa"/>
          </w:tcPr>
          <w:p w14:paraId="354912C8" w14:textId="77777777" w:rsidR="003C195D" w:rsidRPr="00996241" w:rsidRDefault="003C195D" w:rsidP="00080449">
            <w:pPr>
              <w:tabs>
                <w:tab w:val="left" w:pos="8280"/>
              </w:tabs>
              <w:spacing w:after="60"/>
              <w:jc w:val="right"/>
            </w:pPr>
            <w:r>
              <w:t>0,68</w:t>
            </w:r>
          </w:p>
        </w:tc>
        <w:tc>
          <w:tcPr>
            <w:tcW w:w="907" w:type="dxa"/>
          </w:tcPr>
          <w:p w14:paraId="4F625E71" w14:textId="77777777" w:rsidR="003C195D" w:rsidRPr="00996241" w:rsidRDefault="003C195D" w:rsidP="00080449">
            <w:pPr>
              <w:tabs>
                <w:tab w:val="left" w:pos="8280"/>
              </w:tabs>
              <w:spacing w:after="60"/>
              <w:jc w:val="right"/>
            </w:pPr>
            <w:r>
              <w:t>0,68</w:t>
            </w:r>
          </w:p>
        </w:tc>
        <w:tc>
          <w:tcPr>
            <w:tcW w:w="1001" w:type="dxa"/>
          </w:tcPr>
          <w:p w14:paraId="0BCE0273" w14:textId="77777777" w:rsidR="003C195D" w:rsidRPr="00996241" w:rsidRDefault="003C195D" w:rsidP="00080449">
            <w:pPr>
              <w:tabs>
                <w:tab w:val="left" w:pos="8280"/>
              </w:tabs>
              <w:spacing w:after="60"/>
              <w:jc w:val="right"/>
            </w:pPr>
            <w:r>
              <w:t>0,68</w:t>
            </w:r>
          </w:p>
        </w:tc>
        <w:tc>
          <w:tcPr>
            <w:tcW w:w="925" w:type="dxa"/>
          </w:tcPr>
          <w:p w14:paraId="7940B0BE" w14:textId="77777777" w:rsidR="003C195D" w:rsidRPr="00996241" w:rsidRDefault="003C195D" w:rsidP="00080449">
            <w:pPr>
              <w:tabs>
                <w:tab w:val="left" w:pos="8280"/>
              </w:tabs>
              <w:spacing w:after="60"/>
              <w:jc w:val="right"/>
            </w:pPr>
            <w:r>
              <w:t>0,00</w:t>
            </w:r>
          </w:p>
        </w:tc>
        <w:tc>
          <w:tcPr>
            <w:tcW w:w="1444" w:type="dxa"/>
          </w:tcPr>
          <w:p w14:paraId="41C9675A" w14:textId="77777777" w:rsidR="003C195D" w:rsidRPr="00996241" w:rsidRDefault="003C195D" w:rsidP="00080449">
            <w:pPr>
              <w:tabs>
                <w:tab w:val="left" w:pos="8280"/>
              </w:tabs>
              <w:spacing w:after="60"/>
              <w:jc w:val="right"/>
            </w:pPr>
            <w:r>
              <w:t>n/a</w:t>
            </w:r>
          </w:p>
        </w:tc>
      </w:tr>
      <w:tr w:rsidR="003C195D" w:rsidRPr="00996241" w14:paraId="011669F6" w14:textId="77777777" w:rsidTr="00903A42">
        <w:trPr>
          <w:trHeight w:val="290"/>
        </w:trPr>
        <w:tc>
          <w:tcPr>
            <w:tcW w:w="1530" w:type="dxa"/>
            <w:vMerge w:val="restart"/>
            <w:shd w:val="clear" w:color="auto" w:fill="auto"/>
            <w:vAlign w:val="center"/>
          </w:tcPr>
          <w:p w14:paraId="0F1365E4" w14:textId="77777777" w:rsidR="003C195D" w:rsidRPr="00F72BF4" w:rsidRDefault="003C195D" w:rsidP="00080449">
            <w:pPr>
              <w:tabs>
                <w:tab w:val="left" w:pos="8280"/>
              </w:tabs>
              <w:spacing w:after="60"/>
              <w:jc w:val="left"/>
            </w:pPr>
            <w:r>
              <w:t>Costos de proyecto solicitados en principio ($EUA)</w:t>
            </w:r>
          </w:p>
        </w:tc>
        <w:tc>
          <w:tcPr>
            <w:tcW w:w="990" w:type="dxa"/>
            <w:vMerge w:val="restart"/>
            <w:shd w:val="clear" w:color="auto" w:fill="auto"/>
            <w:vAlign w:val="center"/>
          </w:tcPr>
          <w:p w14:paraId="76389871" w14:textId="77777777" w:rsidR="003C195D" w:rsidRPr="00996241" w:rsidRDefault="003C195D" w:rsidP="00080449">
            <w:pPr>
              <w:tabs>
                <w:tab w:val="left" w:pos="8280"/>
              </w:tabs>
              <w:spacing w:after="60"/>
              <w:jc w:val="center"/>
              <w:rPr>
                <w:color w:val="000000" w:themeColor="text1"/>
              </w:rPr>
            </w:pPr>
            <w:r>
              <w:rPr>
                <w:color w:val="000000" w:themeColor="text1"/>
              </w:rPr>
              <w:t>PNUMA</w:t>
            </w:r>
          </w:p>
        </w:tc>
        <w:tc>
          <w:tcPr>
            <w:tcW w:w="1863" w:type="dxa"/>
            <w:shd w:val="clear" w:color="auto" w:fill="auto"/>
          </w:tcPr>
          <w:p w14:paraId="743D253A" w14:textId="77777777" w:rsidR="003C195D" w:rsidRPr="00996241" w:rsidRDefault="003C195D" w:rsidP="00080449">
            <w:pPr>
              <w:tabs>
                <w:tab w:val="left" w:pos="8280"/>
              </w:tabs>
              <w:spacing w:after="60"/>
              <w:jc w:val="left"/>
            </w:pPr>
            <w:r>
              <w:t>Costos del proyecto</w:t>
            </w:r>
          </w:p>
        </w:tc>
        <w:tc>
          <w:tcPr>
            <w:tcW w:w="929" w:type="dxa"/>
            <w:shd w:val="clear" w:color="auto" w:fill="auto"/>
          </w:tcPr>
          <w:p w14:paraId="68CA1DC6" w14:textId="77777777" w:rsidR="003C195D" w:rsidRPr="00996241" w:rsidRDefault="003C195D" w:rsidP="00080449">
            <w:pPr>
              <w:tabs>
                <w:tab w:val="left" w:pos="8280"/>
              </w:tabs>
              <w:spacing w:after="60"/>
              <w:jc w:val="right"/>
            </w:pPr>
            <w:r>
              <w:t>114 000</w:t>
            </w:r>
          </w:p>
        </w:tc>
        <w:tc>
          <w:tcPr>
            <w:tcW w:w="912" w:type="dxa"/>
          </w:tcPr>
          <w:p w14:paraId="2CE530F0" w14:textId="77777777" w:rsidR="003C195D" w:rsidRPr="00996241" w:rsidRDefault="003C195D" w:rsidP="00080449">
            <w:pPr>
              <w:tabs>
                <w:tab w:val="left" w:pos="8280"/>
              </w:tabs>
              <w:spacing w:after="60"/>
              <w:jc w:val="right"/>
            </w:pPr>
            <w:r>
              <w:t>0</w:t>
            </w:r>
          </w:p>
        </w:tc>
        <w:tc>
          <w:tcPr>
            <w:tcW w:w="929" w:type="dxa"/>
          </w:tcPr>
          <w:p w14:paraId="6F933243" w14:textId="77777777" w:rsidR="003C195D" w:rsidRPr="00996241" w:rsidRDefault="003C195D" w:rsidP="00080449">
            <w:pPr>
              <w:tabs>
                <w:tab w:val="left" w:pos="8280"/>
              </w:tabs>
              <w:spacing w:after="60"/>
              <w:jc w:val="right"/>
            </w:pPr>
            <w:r>
              <w:t>130 000</w:t>
            </w:r>
          </w:p>
        </w:tc>
        <w:tc>
          <w:tcPr>
            <w:tcW w:w="907" w:type="dxa"/>
          </w:tcPr>
          <w:p w14:paraId="7CFC34B0" w14:textId="77777777" w:rsidR="003C195D" w:rsidRPr="00996241" w:rsidRDefault="003C195D" w:rsidP="00080449">
            <w:pPr>
              <w:tabs>
                <w:tab w:val="left" w:pos="8280"/>
              </w:tabs>
              <w:spacing w:after="60"/>
              <w:jc w:val="right"/>
            </w:pPr>
            <w:r>
              <w:t>0</w:t>
            </w:r>
          </w:p>
        </w:tc>
        <w:tc>
          <w:tcPr>
            <w:tcW w:w="1001" w:type="dxa"/>
          </w:tcPr>
          <w:p w14:paraId="727E49FB" w14:textId="77777777" w:rsidR="003C195D" w:rsidRPr="00996241" w:rsidRDefault="003C195D" w:rsidP="00080449">
            <w:pPr>
              <w:tabs>
                <w:tab w:val="left" w:pos="8280"/>
              </w:tabs>
              <w:spacing w:after="60"/>
              <w:jc w:val="right"/>
            </w:pPr>
            <w:r>
              <w:t>0</w:t>
            </w:r>
          </w:p>
        </w:tc>
        <w:tc>
          <w:tcPr>
            <w:tcW w:w="925" w:type="dxa"/>
          </w:tcPr>
          <w:p w14:paraId="71E920BC" w14:textId="77777777" w:rsidR="003C195D" w:rsidRPr="00996241" w:rsidRDefault="003C195D" w:rsidP="00080449">
            <w:pPr>
              <w:tabs>
                <w:tab w:val="left" w:pos="8280"/>
              </w:tabs>
              <w:spacing w:after="60"/>
              <w:jc w:val="right"/>
            </w:pPr>
            <w:r>
              <w:t>34 000</w:t>
            </w:r>
          </w:p>
        </w:tc>
        <w:tc>
          <w:tcPr>
            <w:tcW w:w="1444" w:type="dxa"/>
          </w:tcPr>
          <w:p w14:paraId="1799C48F" w14:textId="77777777" w:rsidR="003C195D" w:rsidRPr="00996241" w:rsidRDefault="003C195D" w:rsidP="00080449">
            <w:pPr>
              <w:tabs>
                <w:tab w:val="left" w:pos="8280"/>
              </w:tabs>
              <w:spacing w:after="60"/>
              <w:jc w:val="right"/>
            </w:pPr>
            <w:r>
              <w:t>278 000</w:t>
            </w:r>
          </w:p>
        </w:tc>
      </w:tr>
      <w:tr w:rsidR="003C195D" w:rsidRPr="00996241" w14:paraId="332A531B" w14:textId="77777777" w:rsidTr="00903A42">
        <w:trPr>
          <w:trHeight w:val="290"/>
        </w:trPr>
        <w:tc>
          <w:tcPr>
            <w:tcW w:w="1530" w:type="dxa"/>
            <w:vMerge/>
          </w:tcPr>
          <w:p w14:paraId="53EBA4D5" w14:textId="77777777" w:rsidR="003C195D" w:rsidRPr="00996241" w:rsidRDefault="003C195D" w:rsidP="00080449">
            <w:pPr>
              <w:tabs>
                <w:tab w:val="left" w:pos="8280"/>
              </w:tabs>
              <w:spacing w:after="60"/>
              <w:jc w:val="left"/>
            </w:pPr>
          </w:p>
        </w:tc>
        <w:tc>
          <w:tcPr>
            <w:tcW w:w="990" w:type="dxa"/>
            <w:vMerge/>
            <w:vAlign w:val="center"/>
          </w:tcPr>
          <w:p w14:paraId="121F6E80" w14:textId="77777777" w:rsidR="003C195D" w:rsidRPr="00996241" w:rsidRDefault="003C195D" w:rsidP="00080449">
            <w:pPr>
              <w:tabs>
                <w:tab w:val="left" w:pos="8280"/>
              </w:tabs>
              <w:spacing w:after="60"/>
              <w:jc w:val="left"/>
            </w:pPr>
          </w:p>
        </w:tc>
        <w:tc>
          <w:tcPr>
            <w:tcW w:w="1863" w:type="dxa"/>
            <w:shd w:val="clear" w:color="auto" w:fill="auto"/>
          </w:tcPr>
          <w:p w14:paraId="5ADEF1C0" w14:textId="77777777" w:rsidR="003C195D" w:rsidRPr="00183EE2" w:rsidRDefault="003C195D" w:rsidP="00080449">
            <w:pPr>
              <w:tabs>
                <w:tab w:val="left" w:pos="8280"/>
              </w:tabs>
              <w:spacing w:after="60"/>
              <w:jc w:val="left"/>
            </w:pPr>
            <w:r>
              <w:t>Gastos de apoyo</w:t>
            </w:r>
          </w:p>
        </w:tc>
        <w:tc>
          <w:tcPr>
            <w:tcW w:w="929" w:type="dxa"/>
            <w:shd w:val="clear" w:color="auto" w:fill="auto"/>
          </w:tcPr>
          <w:p w14:paraId="35ED3701" w14:textId="77777777" w:rsidR="003C195D" w:rsidRPr="00183EE2" w:rsidRDefault="003C195D" w:rsidP="00080449">
            <w:pPr>
              <w:tabs>
                <w:tab w:val="left" w:pos="8280"/>
              </w:tabs>
              <w:spacing w:after="60"/>
              <w:jc w:val="right"/>
            </w:pPr>
            <w:r>
              <w:t>14 820</w:t>
            </w:r>
          </w:p>
        </w:tc>
        <w:tc>
          <w:tcPr>
            <w:tcW w:w="912" w:type="dxa"/>
          </w:tcPr>
          <w:p w14:paraId="6863FC8D" w14:textId="77777777" w:rsidR="003C195D" w:rsidRPr="00183EE2" w:rsidRDefault="003C195D" w:rsidP="00080449">
            <w:pPr>
              <w:tabs>
                <w:tab w:val="left" w:pos="8280"/>
              </w:tabs>
              <w:spacing w:after="60"/>
              <w:jc w:val="right"/>
            </w:pPr>
            <w:r>
              <w:t>0</w:t>
            </w:r>
          </w:p>
        </w:tc>
        <w:tc>
          <w:tcPr>
            <w:tcW w:w="929" w:type="dxa"/>
          </w:tcPr>
          <w:p w14:paraId="5EDC893C" w14:textId="77777777" w:rsidR="003C195D" w:rsidRPr="00183EE2" w:rsidRDefault="003C195D" w:rsidP="00080449">
            <w:pPr>
              <w:tabs>
                <w:tab w:val="left" w:pos="8280"/>
              </w:tabs>
              <w:spacing w:after="60"/>
              <w:jc w:val="right"/>
            </w:pPr>
            <w:r>
              <w:t>16 900</w:t>
            </w:r>
          </w:p>
        </w:tc>
        <w:tc>
          <w:tcPr>
            <w:tcW w:w="907" w:type="dxa"/>
          </w:tcPr>
          <w:p w14:paraId="4D899EBC" w14:textId="77777777" w:rsidR="003C195D" w:rsidRPr="00183EE2" w:rsidRDefault="003C195D" w:rsidP="00080449">
            <w:pPr>
              <w:tabs>
                <w:tab w:val="left" w:pos="8280"/>
              </w:tabs>
              <w:spacing w:after="60"/>
              <w:jc w:val="right"/>
            </w:pPr>
            <w:r>
              <w:t>0</w:t>
            </w:r>
          </w:p>
        </w:tc>
        <w:tc>
          <w:tcPr>
            <w:tcW w:w="1001" w:type="dxa"/>
          </w:tcPr>
          <w:p w14:paraId="339B6744" w14:textId="77777777" w:rsidR="003C195D" w:rsidRPr="00183EE2" w:rsidRDefault="003C195D" w:rsidP="00080449">
            <w:pPr>
              <w:tabs>
                <w:tab w:val="left" w:pos="8280"/>
              </w:tabs>
              <w:spacing w:after="60"/>
              <w:jc w:val="right"/>
            </w:pPr>
            <w:r>
              <w:t>0</w:t>
            </w:r>
          </w:p>
        </w:tc>
        <w:tc>
          <w:tcPr>
            <w:tcW w:w="925" w:type="dxa"/>
          </w:tcPr>
          <w:p w14:paraId="6BD574CA" w14:textId="77777777" w:rsidR="003C195D" w:rsidRPr="00183EE2" w:rsidRDefault="003C195D" w:rsidP="00080449">
            <w:pPr>
              <w:tabs>
                <w:tab w:val="left" w:pos="8280"/>
              </w:tabs>
              <w:spacing w:after="60"/>
              <w:jc w:val="right"/>
            </w:pPr>
            <w:r>
              <w:t>4 420</w:t>
            </w:r>
          </w:p>
        </w:tc>
        <w:tc>
          <w:tcPr>
            <w:tcW w:w="1444" w:type="dxa"/>
          </w:tcPr>
          <w:p w14:paraId="76EE6875" w14:textId="77777777" w:rsidR="003C195D" w:rsidRPr="00183EE2" w:rsidRDefault="003C195D" w:rsidP="00080449">
            <w:pPr>
              <w:tabs>
                <w:tab w:val="left" w:pos="8280"/>
              </w:tabs>
              <w:spacing w:after="60"/>
              <w:jc w:val="right"/>
            </w:pPr>
            <w:r>
              <w:t>36 140</w:t>
            </w:r>
          </w:p>
        </w:tc>
      </w:tr>
      <w:tr w:rsidR="003C195D" w:rsidRPr="00996241" w14:paraId="1303EB45" w14:textId="77777777" w:rsidTr="00903A42">
        <w:trPr>
          <w:trHeight w:val="290"/>
        </w:trPr>
        <w:tc>
          <w:tcPr>
            <w:tcW w:w="1530" w:type="dxa"/>
            <w:vMerge/>
          </w:tcPr>
          <w:p w14:paraId="79C2FD5C" w14:textId="77777777" w:rsidR="003C195D" w:rsidRPr="00996241" w:rsidRDefault="003C195D" w:rsidP="00080449">
            <w:pPr>
              <w:tabs>
                <w:tab w:val="left" w:pos="8280"/>
              </w:tabs>
              <w:spacing w:after="60"/>
              <w:jc w:val="left"/>
            </w:pPr>
          </w:p>
        </w:tc>
        <w:tc>
          <w:tcPr>
            <w:tcW w:w="990" w:type="dxa"/>
            <w:vMerge w:val="restart"/>
            <w:shd w:val="clear" w:color="auto" w:fill="auto"/>
            <w:vAlign w:val="center"/>
          </w:tcPr>
          <w:p w14:paraId="487EA85C" w14:textId="77777777" w:rsidR="003C195D" w:rsidRPr="00996241" w:rsidRDefault="003C195D" w:rsidP="00080449">
            <w:pPr>
              <w:tabs>
                <w:tab w:val="left" w:pos="8280"/>
              </w:tabs>
              <w:spacing w:after="60"/>
              <w:jc w:val="center"/>
              <w:rPr>
                <w:color w:val="000000" w:themeColor="text1"/>
              </w:rPr>
            </w:pPr>
            <w:r>
              <w:rPr>
                <w:color w:val="000000" w:themeColor="text1"/>
              </w:rPr>
              <w:t>ONUDI</w:t>
            </w:r>
          </w:p>
        </w:tc>
        <w:tc>
          <w:tcPr>
            <w:tcW w:w="1863" w:type="dxa"/>
            <w:shd w:val="clear" w:color="auto" w:fill="auto"/>
          </w:tcPr>
          <w:p w14:paraId="3E0DA7AA" w14:textId="77777777" w:rsidR="003C195D" w:rsidRPr="00183EE2" w:rsidRDefault="003C195D" w:rsidP="00080449">
            <w:pPr>
              <w:tabs>
                <w:tab w:val="left" w:pos="8280"/>
              </w:tabs>
              <w:spacing w:after="60"/>
              <w:jc w:val="left"/>
            </w:pPr>
            <w:r>
              <w:t>Costos del proyecto</w:t>
            </w:r>
          </w:p>
        </w:tc>
        <w:tc>
          <w:tcPr>
            <w:tcW w:w="929" w:type="dxa"/>
            <w:shd w:val="clear" w:color="auto" w:fill="auto"/>
          </w:tcPr>
          <w:p w14:paraId="2CE60139" w14:textId="77777777" w:rsidR="003C195D" w:rsidRPr="00183EE2" w:rsidRDefault="003C195D" w:rsidP="00080449">
            <w:pPr>
              <w:tabs>
                <w:tab w:val="left" w:pos="8280"/>
              </w:tabs>
              <w:spacing w:after="60"/>
              <w:jc w:val="right"/>
            </w:pPr>
            <w:r>
              <w:t>101 600</w:t>
            </w:r>
          </w:p>
        </w:tc>
        <w:tc>
          <w:tcPr>
            <w:tcW w:w="912" w:type="dxa"/>
          </w:tcPr>
          <w:p w14:paraId="0EC9A0BB" w14:textId="77777777" w:rsidR="003C195D" w:rsidRPr="00183EE2" w:rsidRDefault="003C195D" w:rsidP="00080449">
            <w:pPr>
              <w:tabs>
                <w:tab w:val="left" w:pos="8280"/>
              </w:tabs>
              <w:spacing w:after="60"/>
              <w:jc w:val="right"/>
            </w:pPr>
            <w:r>
              <w:t>0</w:t>
            </w:r>
          </w:p>
        </w:tc>
        <w:tc>
          <w:tcPr>
            <w:tcW w:w="929" w:type="dxa"/>
          </w:tcPr>
          <w:p w14:paraId="6827E22C" w14:textId="77777777" w:rsidR="003C195D" w:rsidRPr="00183EE2" w:rsidRDefault="003C195D" w:rsidP="00080449">
            <w:pPr>
              <w:tabs>
                <w:tab w:val="left" w:pos="8280"/>
              </w:tabs>
              <w:spacing w:after="60"/>
              <w:jc w:val="right"/>
            </w:pPr>
            <w:r>
              <w:t>25 000</w:t>
            </w:r>
          </w:p>
        </w:tc>
        <w:tc>
          <w:tcPr>
            <w:tcW w:w="907" w:type="dxa"/>
          </w:tcPr>
          <w:p w14:paraId="5D1CB3AF" w14:textId="77777777" w:rsidR="003C195D" w:rsidRPr="00183EE2" w:rsidRDefault="003C195D" w:rsidP="00080449">
            <w:pPr>
              <w:tabs>
                <w:tab w:val="left" w:pos="8280"/>
              </w:tabs>
              <w:spacing w:after="60"/>
              <w:jc w:val="right"/>
            </w:pPr>
            <w:r>
              <w:t>0</w:t>
            </w:r>
          </w:p>
        </w:tc>
        <w:tc>
          <w:tcPr>
            <w:tcW w:w="1001" w:type="dxa"/>
          </w:tcPr>
          <w:p w14:paraId="31262A86" w14:textId="77777777" w:rsidR="003C195D" w:rsidRPr="00183EE2" w:rsidRDefault="003C195D" w:rsidP="00080449">
            <w:pPr>
              <w:tabs>
                <w:tab w:val="left" w:pos="8280"/>
              </w:tabs>
              <w:spacing w:after="60"/>
              <w:jc w:val="right"/>
            </w:pPr>
            <w:r>
              <w:t>0</w:t>
            </w:r>
          </w:p>
        </w:tc>
        <w:tc>
          <w:tcPr>
            <w:tcW w:w="925" w:type="dxa"/>
          </w:tcPr>
          <w:p w14:paraId="203A2A60" w14:textId="77777777" w:rsidR="003C195D" w:rsidRPr="00183EE2" w:rsidRDefault="003C195D" w:rsidP="00080449">
            <w:pPr>
              <w:tabs>
                <w:tab w:val="left" w:pos="8280"/>
              </w:tabs>
              <w:spacing w:after="60"/>
              <w:jc w:val="right"/>
            </w:pPr>
            <w:r>
              <w:t>13 400</w:t>
            </w:r>
          </w:p>
        </w:tc>
        <w:tc>
          <w:tcPr>
            <w:tcW w:w="1444" w:type="dxa"/>
          </w:tcPr>
          <w:p w14:paraId="72787A97" w14:textId="77777777" w:rsidR="003C195D" w:rsidRPr="00183EE2" w:rsidRDefault="003C195D" w:rsidP="00080449">
            <w:pPr>
              <w:tabs>
                <w:tab w:val="left" w:pos="8280"/>
              </w:tabs>
              <w:spacing w:after="60"/>
              <w:jc w:val="right"/>
            </w:pPr>
            <w:r>
              <w:t>140 000</w:t>
            </w:r>
          </w:p>
        </w:tc>
      </w:tr>
      <w:tr w:rsidR="003C195D" w:rsidRPr="00996241" w14:paraId="3FC90023" w14:textId="77777777" w:rsidTr="00903A42">
        <w:trPr>
          <w:trHeight w:val="290"/>
        </w:trPr>
        <w:tc>
          <w:tcPr>
            <w:tcW w:w="1530" w:type="dxa"/>
            <w:vMerge/>
          </w:tcPr>
          <w:p w14:paraId="186565A6" w14:textId="77777777" w:rsidR="003C195D" w:rsidRPr="00996241" w:rsidRDefault="003C195D" w:rsidP="00080449">
            <w:pPr>
              <w:tabs>
                <w:tab w:val="left" w:pos="8280"/>
              </w:tabs>
              <w:spacing w:after="60"/>
              <w:jc w:val="center"/>
            </w:pPr>
          </w:p>
        </w:tc>
        <w:tc>
          <w:tcPr>
            <w:tcW w:w="990" w:type="dxa"/>
            <w:vMerge/>
          </w:tcPr>
          <w:p w14:paraId="04F951E6" w14:textId="77777777" w:rsidR="003C195D" w:rsidRPr="00996241" w:rsidRDefault="003C195D" w:rsidP="00080449">
            <w:pPr>
              <w:tabs>
                <w:tab w:val="left" w:pos="8280"/>
              </w:tabs>
              <w:spacing w:after="60"/>
              <w:jc w:val="center"/>
            </w:pPr>
          </w:p>
        </w:tc>
        <w:tc>
          <w:tcPr>
            <w:tcW w:w="1863" w:type="dxa"/>
            <w:shd w:val="clear" w:color="auto" w:fill="auto"/>
          </w:tcPr>
          <w:p w14:paraId="6BC787B2" w14:textId="77777777" w:rsidR="003C195D" w:rsidRPr="00183EE2" w:rsidRDefault="003C195D" w:rsidP="00080449">
            <w:pPr>
              <w:tabs>
                <w:tab w:val="left" w:pos="8280"/>
              </w:tabs>
              <w:spacing w:after="60"/>
              <w:jc w:val="left"/>
            </w:pPr>
            <w:r>
              <w:t>Gastos de apoyo</w:t>
            </w:r>
          </w:p>
        </w:tc>
        <w:tc>
          <w:tcPr>
            <w:tcW w:w="929" w:type="dxa"/>
            <w:shd w:val="clear" w:color="auto" w:fill="auto"/>
          </w:tcPr>
          <w:p w14:paraId="60AD98C5" w14:textId="77777777" w:rsidR="003C195D" w:rsidRPr="00183EE2" w:rsidRDefault="003C195D" w:rsidP="00080449">
            <w:pPr>
              <w:tabs>
                <w:tab w:val="left" w:pos="8280"/>
              </w:tabs>
              <w:spacing w:after="60"/>
              <w:jc w:val="right"/>
            </w:pPr>
            <w:r>
              <w:t>9 144</w:t>
            </w:r>
          </w:p>
        </w:tc>
        <w:tc>
          <w:tcPr>
            <w:tcW w:w="912" w:type="dxa"/>
          </w:tcPr>
          <w:p w14:paraId="7ECAA6FD" w14:textId="77777777" w:rsidR="003C195D" w:rsidRPr="00183EE2" w:rsidRDefault="003C195D" w:rsidP="00080449">
            <w:pPr>
              <w:tabs>
                <w:tab w:val="left" w:pos="8280"/>
              </w:tabs>
              <w:spacing w:after="60"/>
              <w:jc w:val="right"/>
            </w:pPr>
            <w:r>
              <w:t>0</w:t>
            </w:r>
          </w:p>
        </w:tc>
        <w:tc>
          <w:tcPr>
            <w:tcW w:w="929" w:type="dxa"/>
          </w:tcPr>
          <w:p w14:paraId="3F75278E" w14:textId="77777777" w:rsidR="003C195D" w:rsidRPr="00183EE2" w:rsidRDefault="003C195D" w:rsidP="00080449">
            <w:pPr>
              <w:tabs>
                <w:tab w:val="left" w:pos="8280"/>
              </w:tabs>
              <w:spacing w:after="60"/>
              <w:jc w:val="right"/>
            </w:pPr>
            <w:r>
              <w:t>2 250</w:t>
            </w:r>
          </w:p>
        </w:tc>
        <w:tc>
          <w:tcPr>
            <w:tcW w:w="907" w:type="dxa"/>
          </w:tcPr>
          <w:p w14:paraId="0C7B3EF1" w14:textId="77777777" w:rsidR="003C195D" w:rsidRPr="00183EE2" w:rsidRDefault="003C195D" w:rsidP="00080449">
            <w:pPr>
              <w:tabs>
                <w:tab w:val="left" w:pos="8280"/>
              </w:tabs>
              <w:spacing w:after="60"/>
              <w:jc w:val="right"/>
            </w:pPr>
            <w:r>
              <w:t>0</w:t>
            </w:r>
          </w:p>
        </w:tc>
        <w:tc>
          <w:tcPr>
            <w:tcW w:w="1001" w:type="dxa"/>
          </w:tcPr>
          <w:p w14:paraId="6F2A5A8C" w14:textId="77777777" w:rsidR="003C195D" w:rsidRPr="00183EE2" w:rsidRDefault="003C195D" w:rsidP="00080449">
            <w:pPr>
              <w:tabs>
                <w:tab w:val="left" w:pos="8280"/>
              </w:tabs>
              <w:spacing w:after="60"/>
              <w:jc w:val="right"/>
            </w:pPr>
            <w:r>
              <w:t>0</w:t>
            </w:r>
          </w:p>
        </w:tc>
        <w:tc>
          <w:tcPr>
            <w:tcW w:w="925" w:type="dxa"/>
          </w:tcPr>
          <w:p w14:paraId="46E09323" w14:textId="77777777" w:rsidR="003C195D" w:rsidRPr="00183EE2" w:rsidRDefault="003C195D" w:rsidP="00080449">
            <w:pPr>
              <w:tabs>
                <w:tab w:val="left" w:pos="8280"/>
              </w:tabs>
              <w:spacing w:after="60"/>
              <w:jc w:val="right"/>
            </w:pPr>
            <w:r>
              <w:t>1 206</w:t>
            </w:r>
          </w:p>
        </w:tc>
        <w:tc>
          <w:tcPr>
            <w:tcW w:w="1444" w:type="dxa"/>
          </w:tcPr>
          <w:p w14:paraId="30797D4F" w14:textId="77777777" w:rsidR="003C195D" w:rsidRPr="00183EE2" w:rsidRDefault="003C195D" w:rsidP="00080449">
            <w:pPr>
              <w:tabs>
                <w:tab w:val="left" w:pos="8280"/>
              </w:tabs>
              <w:spacing w:after="60"/>
              <w:jc w:val="right"/>
            </w:pPr>
            <w:bookmarkStart w:id="1" w:name="_Hlk180159112"/>
            <w:r>
              <w:t>12 600</w:t>
            </w:r>
            <w:bookmarkEnd w:id="1"/>
          </w:p>
        </w:tc>
      </w:tr>
      <w:tr w:rsidR="003C195D" w:rsidRPr="00996241" w14:paraId="38D7F7E5" w14:textId="77777777" w:rsidTr="00903A42">
        <w:trPr>
          <w:trHeight w:val="157"/>
        </w:trPr>
        <w:tc>
          <w:tcPr>
            <w:tcW w:w="4383" w:type="dxa"/>
            <w:gridSpan w:val="3"/>
            <w:shd w:val="clear" w:color="auto" w:fill="auto"/>
          </w:tcPr>
          <w:p w14:paraId="1D1720A6" w14:textId="77777777" w:rsidR="003C195D" w:rsidRPr="002F50A8" w:rsidRDefault="003C195D" w:rsidP="00080449">
            <w:pPr>
              <w:tabs>
                <w:tab w:val="left" w:pos="8280"/>
              </w:tabs>
              <w:spacing w:after="60"/>
              <w:jc w:val="left"/>
            </w:pPr>
            <w:r>
              <w:t>Costos totales del proyecto solicitados en principio ($EUA)</w:t>
            </w:r>
          </w:p>
        </w:tc>
        <w:tc>
          <w:tcPr>
            <w:tcW w:w="929" w:type="dxa"/>
            <w:shd w:val="clear" w:color="auto" w:fill="auto"/>
          </w:tcPr>
          <w:p w14:paraId="1B4C434B" w14:textId="77777777" w:rsidR="003C195D" w:rsidRPr="00996241" w:rsidRDefault="003C195D" w:rsidP="00080449">
            <w:pPr>
              <w:tabs>
                <w:tab w:val="left" w:pos="8280"/>
              </w:tabs>
              <w:spacing w:after="60"/>
              <w:jc w:val="right"/>
            </w:pPr>
            <w:r>
              <w:t>215 600</w:t>
            </w:r>
          </w:p>
        </w:tc>
        <w:tc>
          <w:tcPr>
            <w:tcW w:w="912" w:type="dxa"/>
          </w:tcPr>
          <w:p w14:paraId="57BE568E" w14:textId="77777777" w:rsidR="003C195D" w:rsidRPr="00996241" w:rsidRDefault="003C195D" w:rsidP="00080449">
            <w:pPr>
              <w:tabs>
                <w:tab w:val="left" w:pos="8280"/>
              </w:tabs>
              <w:spacing w:after="60"/>
              <w:jc w:val="right"/>
            </w:pPr>
            <w:r>
              <w:t>0</w:t>
            </w:r>
          </w:p>
        </w:tc>
        <w:tc>
          <w:tcPr>
            <w:tcW w:w="929" w:type="dxa"/>
          </w:tcPr>
          <w:p w14:paraId="3C0B7C46" w14:textId="77777777" w:rsidR="003C195D" w:rsidRPr="00996241" w:rsidRDefault="003C195D" w:rsidP="00080449">
            <w:pPr>
              <w:tabs>
                <w:tab w:val="left" w:pos="8280"/>
              </w:tabs>
              <w:spacing w:after="60"/>
              <w:jc w:val="right"/>
            </w:pPr>
            <w:r>
              <w:t>155 000</w:t>
            </w:r>
          </w:p>
        </w:tc>
        <w:tc>
          <w:tcPr>
            <w:tcW w:w="907" w:type="dxa"/>
          </w:tcPr>
          <w:p w14:paraId="1FAB587B" w14:textId="77777777" w:rsidR="003C195D" w:rsidRPr="00996241" w:rsidRDefault="003C195D" w:rsidP="00080449">
            <w:pPr>
              <w:tabs>
                <w:tab w:val="left" w:pos="8280"/>
              </w:tabs>
              <w:spacing w:after="60"/>
              <w:jc w:val="right"/>
            </w:pPr>
            <w:r>
              <w:t>0</w:t>
            </w:r>
          </w:p>
        </w:tc>
        <w:tc>
          <w:tcPr>
            <w:tcW w:w="1001" w:type="dxa"/>
          </w:tcPr>
          <w:p w14:paraId="0B6E325D" w14:textId="77777777" w:rsidR="003C195D" w:rsidRPr="00996241" w:rsidRDefault="003C195D" w:rsidP="00080449">
            <w:pPr>
              <w:tabs>
                <w:tab w:val="left" w:pos="8280"/>
              </w:tabs>
              <w:spacing w:after="60"/>
              <w:jc w:val="right"/>
            </w:pPr>
            <w:r>
              <w:t>0</w:t>
            </w:r>
          </w:p>
        </w:tc>
        <w:tc>
          <w:tcPr>
            <w:tcW w:w="925" w:type="dxa"/>
          </w:tcPr>
          <w:p w14:paraId="1D8EDECC" w14:textId="77777777" w:rsidR="003C195D" w:rsidRPr="00996241" w:rsidRDefault="003C195D" w:rsidP="00080449">
            <w:pPr>
              <w:tabs>
                <w:tab w:val="left" w:pos="8280"/>
              </w:tabs>
              <w:spacing w:after="60"/>
              <w:jc w:val="right"/>
            </w:pPr>
            <w:r>
              <w:t>47 400</w:t>
            </w:r>
          </w:p>
        </w:tc>
        <w:tc>
          <w:tcPr>
            <w:tcW w:w="1444" w:type="dxa"/>
          </w:tcPr>
          <w:p w14:paraId="0D05F6C1" w14:textId="77777777" w:rsidR="003C195D" w:rsidRPr="00996241" w:rsidRDefault="003C195D" w:rsidP="00080449">
            <w:pPr>
              <w:tabs>
                <w:tab w:val="left" w:pos="8280"/>
              </w:tabs>
              <w:spacing w:after="60"/>
              <w:jc w:val="right"/>
            </w:pPr>
            <w:r>
              <w:t>418 000</w:t>
            </w:r>
          </w:p>
        </w:tc>
      </w:tr>
      <w:tr w:rsidR="003C195D" w:rsidRPr="00996241" w14:paraId="3EA31B47" w14:textId="77777777" w:rsidTr="00903A42">
        <w:trPr>
          <w:trHeight w:val="202"/>
        </w:trPr>
        <w:tc>
          <w:tcPr>
            <w:tcW w:w="4383" w:type="dxa"/>
            <w:gridSpan w:val="3"/>
            <w:shd w:val="clear" w:color="auto" w:fill="auto"/>
          </w:tcPr>
          <w:p w14:paraId="504DE55B" w14:textId="77777777" w:rsidR="003C195D" w:rsidRPr="002F50A8" w:rsidRDefault="003C195D" w:rsidP="00080449">
            <w:pPr>
              <w:tabs>
                <w:tab w:val="left" w:pos="8280"/>
              </w:tabs>
              <w:spacing w:after="60"/>
              <w:jc w:val="left"/>
            </w:pPr>
            <w:r>
              <w:t>Costos totales de apoyo recomendados en principio ($EUA)</w:t>
            </w:r>
          </w:p>
        </w:tc>
        <w:tc>
          <w:tcPr>
            <w:tcW w:w="929" w:type="dxa"/>
            <w:shd w:val="clear" w:color="auto" w:fill="auto"/>
          </w:tcPr>
          <w:p w14:paraId="5764B3BE" w14:textId="77777777" w:rsidR="003C195D" w:rsidRPr="00996241" w:rsidRDefault="003C195D" w:rsidP="00080449">
            <w:pPr>
              <w:tabs>
                <w:tab w:val="left" w:pos="8280"/>
              </w:tabs>
              <w:spacing w:after="60"/>
              <w:jc w:val="right"/>
              <w:rPr>
                <w:highlight w:val="yellow"/>
              </w:rPr>
            </w:pPr>
            <w:r>
              <w:t>23 964</w:t>
            </w:r>
          </w:p>
        </w:tc>
        <w:tc>
          <w:tcPr>
            <w:tcW w:w="912" w:type="dxa"/>
          </w:tcPr>
          <w:p w14:paraId="4D505823" w14:textId="77777777" w:rsidR="003C195D" w:rsidRPr="00996241" w:rsidRDefault="003C195D" w:rsidP="00080449">
            <w:pPr>
              <w:tabs>
                <w:tab w:val="left" w:pos="8280"/>
              </w:tabs>
              <w:spacing w:after="60"/>
              <w:jc w:val="right"/>
            </w:pPr>
            <w:r>
              <w:t>0</w:t>
            </w:r>
          </w:p>
        </w:tc>
        <w:tc>
          <w:tcPr>
            <w:tcW w:w="929" w:type="dxa"/>
          </w:tcPr>
          <w:p w14:paraId="1E5227EF" w14:textId="77777777" w:rsidR="003C195D" w:rsidRPr="00996241" w:rsidRDefault="003C195D" w:rsidP="00080449">
            <w:pPr>
              <w:tabs>
                <w:tab w:val="left" w:pos="8280"/>
              </w:tabs>
              <w:spacing w:after="60"/>
              <w:jc w:val="right"/>
              <w:rPr>
                <w:highlight w:val="yellow"/>
              </w:rPr>
            </w:pPr>
            <w:r>
              <w:t>19 150</w:t>
            </w:r>
          </w:p>
        </w:tc>
        <w:tc>
          <w:tcPr>
            <w:tcW w:w="907" w:type="dxa"/>
          </w:tcPr>
          <w:p w14:paraId="50D2C0E8" w14:textId="77777777" w:rsidR="003C195D" w:rsidRPr="00996241" w:rsidRDefault="003C195D" w:rsidP="00080449">
            <w:pPr>
              <w:tabs>
                <w:tab w:val="left" w:pos="8280"/>
              </w:tabs>
              <w:spacing w:after="60"/>
              <w:jc w:val="right"/>
            </w:pPr>
            <w:r>
              <w:t>0</w:t>
            </w:r>
          </w:p>
        </w:tc>
        <w:tc>
          <w:tcPr>
            <w:tcW w:w="1001" w:type="dxa"/>
          </w:tcPr>
          <w:p w14:paraId="403F7041" w14:textId="77777777" w:rsidR="003C195D" w:rsidRPr="00996241" w:rsidRDefault="003C195D" w:rsidP="00080449">
            <w:pPr>
              <w:tabs>
                <w:tab w:val="left" w:pos="8280"/>
              </w:tabs>
              <w:spacing w:after="60"/>
              <w:jc w:val="right"/>
              <w:rPr>
                <w:highlight w:val="yellow"/>
              </w:rPr>
            </w:pPr>
            <w:r>
              <w:t>0</w:t>
            </w:r>
          </w:p>
        </w:tc>
        <w:tc>
          <w:tcPr>
            <w:tcW w:w="925" w:type="dxa"/>
          </w:tcPr>
          <w:p w14:paraId="5CC23DA3" w14:textId="77777777" w:rsidR="003C195D" w:rsidRPr="00996241" w:rsidRDefault="003C195D" w:rsidP="00080449">
            <w:pPr>
              <w:tabs>
                <w:tab w:val="left" w:pos="8280"/>
              </w:tabs>
              <w:spacing w:after="60"/>
              <w:jc w:val="right"/>
            </w:pPr>
            <w:r>
              <w:t>5 626</w:t>
            </w:r>
          </w:p>
        </w:tc>
        <w:tc>
          <w:tcPr>
            <w:tcW w:w="1444" w:type="dxa"/>
          </w:tcPr>
          <w:p w14:paraId="22C36FC2" w14:textId="77777777" w:rsidR="003C195D" w:rsidRPr="00996241" w:rsidRDefault="003C195D" w:rsidP="00080449">
            <w:pPr>
              <w:tabs>
                <w:tab w:val="left" w:pos="8280"/>
              </w:tabs>
              <w:spacing w:after="60"/>
              <w:jc w:val="right"/>
              <w:rPr>
                <w:highlight w:val="yellow"/>
              </w:rPr>
            </w:pPr>
            <w:r>
              <w:t>48 740</w:t>
            </w:r>
          </w:p>
        </w:tc>
      </w:tr>
      <w:tr w:rsidR="003C195D" w:rsidRPr="00996241" w14:paraId="0FAC26B5" w14:textId="77777777" w:rsidTr="00903A42">
        <w:trPr>
          <w:trHeight w:val="95"/>
        </w:trPr>
        <w:tc>
          <w:tcPr>
            <w:tcW w:w="4383" w:type="dxa"/>
            <w:gridSpan w:val="3"/>
            <w:shd w:val="clear" w:color="auto" w:fill="auto"/>
          </w:tcPr>
          <w:p w14:paraId="125A364E" w14:textId="77777777" w:rsidR="003C195D" w:rsidRPr="002F50A8" w:rsidRDefault="003C195D" w:rsidP="00080449">
            <w:pPr>
              <w:tabs>
                <w:tab w:val="left" w:pos="8280"/>
              </w:tabs>
              <w:spacing w:after="60"/>
              <w:jc w:val="left"/>
            </w:pPr>
            <w:r>
              <w:t>Total de fondos recomendados en principio ($EUA)</w:t>
            </w:r>
          </w:p>
        </w:tc>
        <w:tc>
          <w:tcPr>
            <w:tcW w:w="929" w:type="dxa"/>
            <w:shd w:val="clear" w:color="auto" w:fill="auto"/>
          </w:tcPr>
          <w:p w14:paraId="29E21B10" w14:textId="77777777" w:rsidR="003C195D" w:rsidRPr="00996241" w:rsidRDefault="003C195D" w:rsidP="00080449">
            <w:pPr>
              <w:tabs>
                <w:tab w:val="left" w:pos="8280"/>
              </w:tabs>
              <w:spacing w:after="60"/>
              <w:jc w:val="right"/>
            </w:pPr>
            <w:r>
              <w:t>239 564</w:t>
            </w:r>
          </w:p>
        </w:tc>
        <w:tc>
          <w:tcPr>
            <w:tcW w:w="912" w:type="dxa"/>
          </w:tcPr>
          <w:p w14:paraId="62350EA6" w14:textId="77777777" w:rsidR="003C195D" w:rsidRPr="00996241" w:rsidRDefault="003C195D" w:rsidP="00080449">
            <w:pPr>
              <w:tabs>
                <w:tab w:val="left" w:pos="8280"/>
              </w:tabs>
              <w:spacing w:after="60"/>
              <w:jc w:val="right"/>
            </w:pPr>
            <w:r>
              <w:t>0</w:t>
            </w:r>
          </w:p>
        </w:tc>
        <w:tc>
          <w:tcPr>
            <w:tcW w:w="929" w:type="dxa"/>
          </w:tcPr>
          <w:p w14:paraId="287FEE57" w14:textId="77777777" w:rsidR="003C195D" w:rsidRPr="00996241" w:rsidRDefault="003C195D" w:rsidP="00080449">
            <w:pPr>
              <w:tabs>
                <w:tab w:val="left" w:pos="8280"/>
              </w:tabs>
              <w:spacing w:after="60"/>
              <w:jc w:val="right"/>
              <w:rPr>
                <w:highlight w:val="yellow"/>
              </w:rPr>
            </w:pPr>
            <w:r>
              <w:t>174 150</w:t>
            </w:r>
          </w:p>
        </w:tc>
        <w:tc>
          <w:tcPr>
            <w:tcW w:w="907" w:type="dxa"/>
          </w:tcPr>
          <w:p w14:paraId="4EE758FF" w14:textId="77777777" w:rsidR="003C195D" w:rsidRPr="00996241" w:rsidRDefault="003C195D" w:rsidP="00080449">
            <w:pPr>
              <w:tabs>
                <w:tab w:val="left" w:pos="8280"/>
              </w:tabs>
              <w:spacing w:after="60"/>
              <w:jc w:val="right"/>
            </w:pPr>
            <w:r>
              <w:t>0</w:t>
            </w:r>
          </w:p>
        </w:tc>
        <w:tc>
          <w:tcPr>
            <w:tcW w:w="1001" w:type="dxa"/>
          </w:tcPr>
          <w:p w14:paraId="1C4DFCDD" w14:textId="77777777" w:rsidR="003C195D" w:rsidRPr="00996241" w:rsidRDefault="003C195D" w:rsidP="00080449">
            <w:pPr>
              <w:tabs>
                <w:tab w:val="left" w:pos="8280"/>
              </w:tabs>
              <w:spacing w:after="60"/>
              <w:jc w:val="right"/>
            </w:pPr>
            <w:r>
              <w:t>0</w:t>
            </w:r>
          </w:p>
        </w:tc>
        <w:tc>
          <w:tcPr>
            <w:tcW w:w="925" w:type="dxa"/>
          </w:tcPr>
          <w:p w14:paraId="76EA7609" w14:textId="77777777" w:rsidR="003C195D" w:rsidRPr="00996241" w:rsidRDefault="003C195D" w:rsidP="00080449">
            <w:pPr>
              <w:tabs>
                <w:tab w:val="left" w:pos="8280"/>
              </w:tabs>
              <w:spacing w:after="60"/>
              <w:jc w:val="right"/>
            </w:pPr>
            <w:r>
              <w:t>53 026</w:t>
            </w:r>
          </w:p>
        </w:tc>
        <w:tc>
          <w:tcPr>
            <w:tcW w:w="1444" w:type="dxa"/>
          </w:tcPr>
          <w:p w14:paraId="1BBF299D" w14:textId="77777777" w:rsidR="003C195D" w:rsidRPr="00183EE2" w:rsidRDefault="003C195D" w:rsidP="00080449">
            <w:pPr>
              <w:tabs>
                <w:tab w:val="left" w:pos="8280"/>
              </w:tabs>
              <w:spacing w:after="60"/>
              <w:jc w:val="right"/>
            </w:pPr>
            <w:bookmarkStart w:id="2" w:name="_Hlk180162221"/>
            <w:r>
              <w:t>466 740</w:t>
            </w:r>
            <w:bookmarkEnd w:id="2"/>
          </w:p>
        </w:tc>
      </w:tr>
    </w:tbl>
    <w:p w14:paraId="5A55A9D8" w14:textId="77777777" w:rsidR="003C195D" w:rsidRPr="00903A42" w:rsidRDefault="003C195D" w:rsidP="006F6D53">
      <w:pPr>
        <w:spacing w:after="60"/>
        <w:ind w:left="-115" w:right="-562"/>
        <w:rPr>
          <w:sz w:val="16"/>
          <w:szCs w:val="16"/>
          <w:highlight w:val="magenta"/>
        </w:rPr>
      </w:pPr>
    </w:p>
    <w:tbl>
      <w:tblPr>
        <w:tblStyle w:val="TableGrid1"/>
        <w:tblW w:w="6054" w:type="pct"/>
        <w:tblInd w:w="-995" w:type="dxa"/>
        <w:tblLook w:val="04A0" w:firstRow="1" w:lastRow="0" w:firstColumn="1" w:lastColumn="0" w:noHBand="0" w:noVBand="1"/>
      </w:tblPr>
      <w:tblGrid>
        <w:gridCol w:w="3838"/>
        <w:gridCol w:w="3166"/>
        <w:gridCol w:w="4426"/>
      </w:tblGrid>
      <w:tr w:rsidR="003C195D" w:rsidRPr="00EB31E3" w14:paraId="76BF449F" w14:textId="77777777" w:rsidTr="00903A42">
        <w:trPr>
          <w:trHeight w:hRule="exact" w:val="227"/>
        </w:trPr>
        <w:tc>
          <w:tcPr>
            <w:tcW w:w="5000" w:type="pct"/>
            <w:gridSpan w:val="3"/>
            <w:shd w:val="clear" w:color="auto" w:fill="auto"/>
          </w:tcPr>
          <w:p w14:paraId="2361B73C" w14:textId="77777777" w:rsidR="003C195D" w:rsidRPr="00996241" w:rsidRDefault="003C195D" w:rsidP="00080449">
            <w:pPr>
              <w:spacing w:after="120"/>
              <w:rPr>
                <w:b/>
                <w:color w:val="000000" w:themeColor="text1"/>
              </w:rPr>
            </w:pPr>
            <w:r>
              <w:rPr>
                <w:b/>
                <w:color w:val="000000" w:themeColor="text1"/>
              </w:rPr>
              <w:t>(VII) Solicitud de aprobación de la financiación para el primer tramo (2024)</w:t>
            </w:r>
          </w:p>
        </w:tc>
      </w:tr>
      <w:tr w:rsidR="003C195D" w:rsidRPr="00EB31E3" w14:paraId="116F72AA" w14:textId="77777777" w:rsidTr="00903A42">
        <w:trPr>
          <w:trHeight w:hRule="exact" w:val="227"/>
        </w:trPr>
        <w:tc>
          <w:tcPr>
            <w:tcW w:w="1679" w:type="pct"/>
            <w:shd w:val="clear" w:color="auto" w:fill="auto"/>
          </w:tcPr>
          <w:p w14:paraId="22B88113" w14:textId="77777777" w:rsidR="003C195D" w:rsidRPr="009931F4" w:rsidRDefault="003C195D" w:rsidP="00080449">
            <w:pPr>
              <w:jc w:val="center"/>
              <w:rPr>
                <w:b/>
                <w:color w:val="000000" w:themeColor="text1"/>
              </w:rPr>
            </w:pPr>
            <w:r>
              <w:rPr>
                <w:b/>
                <w:color w:val="000000" w:themeColor="text1"/>
              </w:rPr>
              <w:t>Organismo de ejecución</w:t>
            </w:r>
          </w:p>
        </w:tc>
        <w:tc>
          <w:tcPr>
            <w:tcW w:w="1385" w:type="pct"/>
            <w:shd w:val="clear" w:color="auto" w:fill="auto"/>
          </w:tcPr>
          <w:p w14:paraId="1B3C6C61" w14:textId="77777777" w:rsidR="003C195D" w:rsidRPr="00996241" w:rsidRDefault="003C195D" w:rsidP="00080449">
            <w:pPr>
              <w:jc w:val="center"/>
              <w:rPr>
                <w:b/>
                <w:color w:val="000000" w:themeColor="text1"/>
              </w:rPr>
            </w:pPr>
            <w:r>
              <w:rPr>
                <w:b/>
                <w:color w:val="000000" w:themeColor="text1"/>
              </w:rPr>
              <w:t>Fondos recomendados ($EUA)</w:t>
            </w:r>
          </w:p>
        </w:tc>
        <w:tc>
          <w:tcPr>
            <w:tcW w:w="1935" w:type="pct"/>
            <w:shd w:val="clear" w:color="auto" w:fill="auto"/>
          </w:tcPr>
          <w:p w14:paraId="78167ABC" w14:textId="77777777" w:rsidR="003C195D" w:rsidRPr="00996241" w:rsidRDefault="003C195D" w:rsidP="00080449">
            <w:pPr>
              <w:jc w:val="center"/>
              <w:rPr>
                <w:b/>
                <w:color w:val="000000" w:themeColor="text1"/>
              </w:rPr>
            </w:pPr>
            <w:r>
              <w:rPr>
                <w:b/>
                <w:color w:val="000000" w:themeColor="text1"/>
              </w:rPr>
              <w:t>Gastos de apoyo ($EUA)</w:t>
            </w:r>
          </w:p>
        </w:tc>
      </w:tr>
      <w:tr w:rsidR="003C195D" w:rsidRPr="00EB31E3" w14:paraId="3447791A" w14:textId="77777777" w:rsidTr="00903A42">
        <w:trPr>
          <w:trHeight w:hRule="exact" w:val="227"/>
        </w:trPr>
        <w:tc>
          <w:tcPr>
            <w:tcW w:w="1679" w:type="pct"/>
            <w:shd w:val="clear" w:color="auto" w:fill="auto"/>
          </w:tcPr>
          <w:p w14:paraId="7B8E9AAD" w14:textId="77777777" w:rsidR="003C195D" w:rsidRPr="00996241" w:rsidRDefault="003C195D" w:rsidP="00080449">
            <w:pPr>
              <w:rPr>
                <w:color w:val="000000" w:themeColor="text1"/>
              </w:rPr>
            </w:pPr>
            <w:r>
              <w:rPr>
                <w:color w:val="000000" w:themeColor="text1"/>
              </w:rPr>
              <w:t>PNUMA</w:t>
            </w:r>
          </w:p>
        </w:tc>
        <w:tc>
          <w:tcPr>
            <w:tcW w:w="1385" w:type="pct"/>
            <w:shd w:val="clear" w:color="auto" w:fill="auto"/>
          </w:tcPr>
          <w:p w14:paraId="28D0E485" w14:textId="77777777" w:rsidR="003C195D" w:rsidRPr="00996241" w:rsidRDefault="003C195D" w:rsidP="00080449">
            <w:pPr>
              <w:jc w:val="right"/>
              <w:rPr>
                <w:color w:val="000000" w:themeColor="text1"/>
              </w:rPr>
            </w:pPr>
            <w:r>
              <w:rPr>
                <w:color w:val="000000" w:themeColor="text1"/>
              </w:rPr>
              <w:t>114 000</w:t>
            </w:r>
          </w:p>
        </w:tc>
        <w:tc>
          <w:tcPr>
            <w:tcW w:w="1935" w:type="pct"/>
            <w:shd w:val="clear" w:color="auto" w:fill="auto"/>
          </w:tcPr>
          <w:p w14:paraId="70DB9DF3" w14:textId="77777777" w:rsidR="003C195D" w:rsidRPr="00996241" w:rsidRDefault="003C195D" w:rsidP="00080449">
            <w:pPr>
              <w:jc w:val="right"/>
              <w:rPr>
                <w:color w:val="000000" w:themeColor="text1"/>
              </w:rPr>
            </w:pPr>
            <w:r>
              <w:rPr>
                <w:color w:val="000000" w:themeColor="text1"/>
              </w:rPr>
              <w:t>14 820</w:t>
            </w:r>
          </w:p>
        </w:tc>
      </w:tr>
      <w:tr w:rsidR="003C195D" w:rsidRPr="00EB31E3" w14:paraId="3AB7CC33" w14:textId="77777777" w:rsidTr="00903A42">
        <w:trPr>
          <w:trHeight w:hRule="exact" w:val="227"/>
        </w:trPr>
        <w:tc>
          <w:tcPr>
            <w:tcW w:w="1679" w:type="pct"/>
            <w:shd w:val="clear" w:color="auto" w:fill="auto"/>
          </w:tcPr>
          <w:p w14:paraId="34FD9DCF" w14:textId="77777777" w:rsidR="003C195D" w:rsidRPr="009931F4" w:rsidRDefault="003C195D" w:rsidP="00080449">
            <w:pPr>
              <w:rPr>
                <w:color w:val="000000" w:themeColor="text1"/>
              </w:rPr>
            </w:pPr>
            <w:r>
              <w:rPr>
                <w:color w:val="000000" w:themeColor="text1"/>
              </w:rPr>
              <w:t>ONUDI</w:t>
            </w:r>
          </w:p>
        </w:tc>
        <w:tc>
          <w:tcPr>
            <w:tcW w:w="1385" w:type="pct"/>
            <w:shd w:val="clear" w:color="auto" w:fill="auto"/>
          </w:tcPr>
          <w:p w14:paraId="009BCCFE" w14:textId="77777777" w:rsidR="003C195D" w:rsidRPr="00996241" w:rsidRDefault="003C195D" w:rsidP="00080449">
            <w:pPr>
              <w:jc w:val="right"/>
              <w:rPr>
                <w:color w:val="000000" w:themeColor="text1"/>
              </w:rPr>
            </w:pPr>
            <w:r>
              <w:rPr>
                <w:color w:val="000000" w:themeColor="text1"/>
              </w:rPr>
              <w:t>101 600</w:t>
            </w:r>
          </w:p>
        </w:tc>
        <w:tc>
          <w:tcPr>
            <w:tcW w:w="1935" w:type="pct"/>
            <w:shd w:val="clear" w:color="auto" w:fill="auto"/>
          </w:tcPr>
          <w:p w14:paraId="7413E7FD" w14:textId="77777777" w:rsidR="003C195D" w:rsidRPr="00996241" w:rsidRDefault="003C195D" w:rsidP="00080449">
            <w:pPr>
              <w:jc w:val="right"/>
              <w:rPr>
                <w:color w:val="000000" w:themeColor="text1"/>
              </w:rPr>
            </w:pPr>
            <w:r>
              <w:rPr>
                <w:color w:val="000000" w:themeColor="text1"/>
              </w:rPr>
              <w:t>9 144</w:t>
            </w:r>
          </w:p>
        </w:tc>
      </w:tr>
      <w:tr w:rsidR="003C195D" w:rsidRPr="00EB31E3" w14:paraId="586C18C3" w14:textId="77777777" w:rsidTr="00903A42">
        <w:trPr>
          <w:trHeight w:hRule="exact" w:val="227"/>
        </w:trPr>
        <w:tc>
          <w:tcPr>
            <w:tcW w:w="1679" w:type="pct"/>
            <w:shd w:val="clear" w:color="auto" w:fill="auto"/>
          </w:tcPr>
          <w:p w14:paraId="38218623" w14:textId="77777777" w:rsidR="003C195D" w:rsidRPr="009931F4" w:rsidRDefault="003C195D" w:rsidP="00080449">
            <w:pPr>
              <w:rPr>
                <w:color w:val="000000" w:themeColor="text1"/>
                <w:highlight w:val="cyan"/>
              </w:rPr>
            </w:pPr>
            <w:r>
              <w:rPr>
                <w:color w:val="000000" w:themeColor="text1"/>
              </w:rPr>
              <w:t>Total</w:t>
            </w:r>
          </w:p>
        </w:tc>
        <w:tc>
          <w:tcPr>
            <w:tcW w:w="1385" w:type="pct"/>
            <w:shd w:val="clear" w:color="auto" w:fill="auto"/>
          </w:tcPr>
          <w:p w14:paraId="7923BCBC" w14:textId="77777777" w:rsidR="003C195D" w:rsidRPr="00996241" w:rsidRDefault="003C195D" w:rsidP="00080449">
            <w:pPr>
              <w:jc w:val="right"/>
              <w:rPr>
                <w:color w:val="000000" w:themeColor="text1"/>
              </w:rPr>
            </w:pPr>
            <w:r>
              <w:rPr>
                <w:color w:val="000000" w:themeColor="text1"/>
              </w:rPr>
              <w:t>215 600</w:t>
            </w:r>
          </w:p>
        </w:tc>
        <w:tc>
          <w:tcPr>
            <w:tcW w:w="1935" w:type="pct"/>
            <w:shd w:val="clear" w:color="auto" w:fill="auto"/>
          </w:tcPr>
          <w:p w14:paraId="6B0C7832" w14:textId="77777777" w:rsidR="003C195D" w:rsidRPr="00996241" w:rsidRDefault="003C195D" w:rsidP="00080449">
            <w:pPr>
              <w:jc w:val="right"/>
              <w:rPr>
                <w:color w:val="000000" w:themeColor="text1"/>
              </w:rPr>
            </w:pPr>
            <w:r>
              <w:rPr>
                <w:color w:val="000000" w:themeColor="text1"/>
              </w:rPr>
              <w:t>23 964</w:t>
            </w:r>
          </w:p>
        </w:tc>
      </w:tr>
    </w:tbl>
    <w:p w14:paraId="45FEE1C2" w14:textId="77777777" w:rsidR="003C195D" w:rsidRPr="00903A42" w:rsidRDefault="003C195D" w:rsidP="003C195D">
      <w:pPr>
        <w:jc w:val="center"/>
        <w:rPr>
          <w:sz w:val="14"/>
          <w:szCs w:val="14"/>
        </w:rPr>
      </w:pPr>
    </w:p>
    <w:tbl>
      <w:tblPr>
        <w:tblStyle w:val="TableGrid"/>
        <w:tblW w:w="6054" w:type="pct"/>
        <w:tblInd w:w="-995" w:type="dxa"/>
        <w:tblLook w:val="04A0" w:firstRow="1" w:lastRow="0" w:firstColumn="1" w:lastColumn="0" w:noHBand="0" w:noVBand="1"/>
      </w:tblPr>
      <w:tblGrid>
        <w:gridCol w:w="3847"/>
        <w:gridCol w:w="7583"/>
      </w:tblGrid>
      <w:tr w:rsidR="003C195D" w:rsidRPr="00EB31E3" w14:paraId="6FB99F73" w14:textId="77777777" w:rsidTr="00903A42">
        <w:trPr>
          <w:trHeight w:hRule="exact" w:val="289"/>
        </w:trPr>
        <w:tc>
          <w:tcPr>
            <w:tcW w:w="1683" w:type="pct"/>
            <w:shd w:val="clear" w:color="auto" w:fill="auto"/>
          </w:tcPr>
          <w:p w14:paraId="5E279F0D" w14:textId="77777777" w:rsidR="003C195D" w:rsidRPr="00996241" w:rsidRDefault="003C195D" w:rsidP="00080449">
            <w:pPr>
              <w:jc w:val="left"/>
              <w:rPr>
                <w:b/>
                <w:color w:val="000000" w:themeColor="text1"/>
              </w:rPr>
            </w:pPr>
            <w:r>
              <w:rPr>
                <w:b/>
                <w:color w:val="000000" w:themeColor="text1"/>
              </w:rPr>
              <w:t>Recomendación de la Secretaría:</w:t>
            </w:r>
          </w:p>
        </w:tc>
        <w:tc>
          <w:tcPr>
            <w:tcW w:w="3317" w:type="pct"/>
            <w:shd w:val="clear" w:color="auto" w:fill="auto"/>
          </w:tcPr>
          <w:p w14:paraId="310D8BD1" w14:textId="77777777" w:rsidR="003C195D" w:rsidRPr="00996241" w:rsidRDefault="003C195D" w:rsidP="00080449">
            <w:pPr>
              <w:jc w:val="center"/>
              <w:rPr>
                <w:color w:val="000000" w:themeColor="text1"/>
              </w:rPr>
            </w:pPr>
            <w:r>
              <w:rPr>
                <w:color w:val="000000" w:themeColor="text1"/>
              </w:rPr>
              <w:t>Para consideración particular</w:t>
            </w:r>
          </w:p>
        </w:tc>
      </w:tr>
    </w:tbl>
    <w:p w14:paraId="30311D18" w14:textId="77777777" w:rsidR="00DF26F8" w:rsidRPr="00996241" w:rsidRDefault="00DF26F8" w:rsidP="00DF26F8">
      <w:pPr>
        <w:keepNext/>
        <w:widowControl w:val="0"/>
        <w:tabs>
          <w:tab w:val="left" w:pos="2880"/>
          <w:tab w:val="left" w:pos="5760"/>
        </w:tabs>
        <w:spacing w:before="240" w:after="240"/>
        <w:jc w:val="center"/>
        <w:rPr>
          <w:b/>
        </w:rPr>
      </w:pPr>
      <w:r>
        <w:rPr>
          <w:b/>
        </w:rPr>
        <w:lastRenderedPageBreak/>
        <w:t>DESCRIPCIÓN DEL PROYECTO</w:t>
      </w:r>
    </w:p>
    <w:p w14:paraId="6735F94F" w14:textId="77777777" w:rsidR="00DF26F8" w:rsidRPr="00183EE2" w:rsidRDefault="00DF26F8" w:rsidP="00DF26F8">
      <w:pPr>
        <w:keepNext/>
        <w:spacing w:after="240"/>
        <w:rPr>
          <w:b/>
        </w:rPr>
      </w:pPr>
      <w:r>
        <w:rPr>
          <w:b/>
        </w:rPr>
        <w:t>Antecedentes</w:t>
      </w:r>
    </w:p>
    <w:p w14:paraId="1CAA3281" w14:textId="77777777" w:rsidR="00DF26F8" w:rsidRPr="00183EE2" w:rsidRDefault="00DF26F8" w:rsidP="00DF26F8">
      <w:pPr>
        <w:pStyle w:val="Heading1"/>
      </w:pPr>
      <w:r>
        <w:t>En nombre del Gobierno de Burundi, el PNUMA, en su calidad de organismo de ejecución director, ha presentado una solicitud para la etapa II del plan de gestión de la eliminación de los HCFC (PGEH) con un costo total de 466 740 $EUA, desglosado en 278 000 $EUA, más unos gastos de apoyo al organismo de 36 140 $EUA para el PNUMA, y 140 000 $EUA, más unos gastos de apoyo al organismo de 12 600 $EUA para la ONUDI, como se presentó originalmente</w:t>
      </w:r>
      <w:r w:rsidRPr="00183EE2">
        <w:rPr>
          <w:vertAlign w:val="superscript"/>
        </w:rPr>
        <w:footnoteReference w:id="2"/>
      </w:r>
      <w:r>
        <w:t xml:space="preserve">. La ejecución de la etapa II del PGEH eliminará el consumo remanente de HCFC para 2030. </w:t>
      </w:r>
    </w:p>
    <w:p w14:paraId="48603A6E" w14:textId="77777777" w:rsidR="00DF26F8" w:rsidRPr="00183EE2" w:rsidRDefault="00DF26F8" w:rsidP="00DF26F8">
      <w:pPr>
        <w:pStyle w:val="Heading1"/>
      </w:pPr>
      <w:r>
        <w:t>El primer tramo de la etapa II del PGEH que se está solicitando en la reunión en curso asciende a 239 564 $EUA, que se desglosan en 114 000 $EUA más gastos de apoyo al organismo de 14 820 $EUA para el PNUMA, y 101 600 $EUA más gastos de apoyo al organismo de 9 144 $EUA para la ONUDI, como se solicitó originalmente.</w:t>
      </w:r>
    </w:p>
    <w:p w14:paraId="2EAE7750" w14:textId="77777777" w:rsidR="00DF26F8" w:rsidRDefault="00DF26F8" w:rsidP="00DF26F8">
      <w:pPr>
        <w:keepNext/>
        <w:spacing w:after="240"/>
        <w:outlineLvl w:val="0"/>
        <w:rPr>
          <w:b/>
          <w:bCs/>
        </w:rPr>
      </w:pPr>
      <w:r>
        <w:rPr>
          <w:b/>
        </w:rPr>
        <w:t>Estado de ejecución de la etapa I del PGEH</w:t>
      </w:r>
    </w:p>
    <w:p w14:paraId="7623FA5F" w14:textId="203EE1CE" w:rsidR="00DF26F8" w:rsidRPr="00151B9C" w:rsidRDefault="00DF26F8" w:rsidP="00DF26F8">
      <w:pPr>
        <w:pStyle w:val="Heading1"/>
        <w:tabs>
          <w:tab w:val="num" w:pos="709"/>
        </w:tabs>
      </w:pPr>
      <w:r>
        <w:t>La etapa I del PGEH de Burundi fue aprobada originalmente en la 65ª reunión</w:t>
      </w:r>
      <w:r w:rsidRPr="00151B9C">
        <w:rPr>
          <w:vertAlign w:val="superscript"/>
        </w:rPr>
        <w:footnoteReference w:id="3"/>
      </w:r>
      <w:r>
        <w:t xml:space="preserve"> y revisada en la 81ª</w:t>
      </w:r>
      <w:r w:rsidR="00903A42">
        <w:t> </w:t>
      </w:r>
      <w:r>
        <w:t>reunión</w:t>
      </w:r>
      <w:r w:rsidRPr="00151B9C">
        <w:rPr>
          <w:vertAlign w:val="superscript"/>
        </w:rPr>
        <w:footnoteReference w:id="4"/>
      </w:r>
      <w:r>
        <w:t xml:space="preserve"> para eliminar 0,73 toneladas PAO de HCFC utilizadas en el sector de servicios de refrigeración y climatización (RAC) para cumplir con la reducción del 35 % respecto a la base de referencia para 2020, con un costo total de 332 000 $EUA</w:t>
      </w:r>
      <w:r w:rsidRPr="00151B9C">
        <w:rPr>
          <w:vertAlign w:val="superscript"/>
        </w:rPr>
        <w:footnoteReference w:id="5"/>
      </w:r>
      <w:r>
        <w:t xml:space="preserve">, más los gastos de apoyo del organismo. </w:t>
      </w:r>
    </w:p>
    <w:p w14:paraId="5D490532" w14:textId="77777777" w:rsidR="00DF26F8" w:rsidRPr="00151B9C" w:rsidRDefault="00DF26F8" w:rsidP="00DF26F8">
      <w:pPr>
        <w:pStyle w:val="Heading1"/>
        <w:tabs>
          <w:tab w:val="num" w:pos="709"/>
        </w:tabs>
      </w:pPr>
      <w:r>
        <w:t>El quinto y último tramo de la etapa I se aprobó en la 93ª reunión, y la etapa I del PGEH se prorrogó hasta el 31 de diciembre de 2024 con carácter excepcional, dados los retrasos en la ejecución de las actividades de eliminación y observando que no se solicitaría una nueva prórroga de la ejecución del proyecto.</w:t>
      </w:r>
    </w:p>
    <w:p w14:paraId="55594493" w14:textId="77777777" w:rsidR="00DF26F8" w:rsidRPr="00151B9C" w:rsidRDefault="00DF26F8" w:rsidP="00DF26F8">
      <w:pPr>
        <w:keepNext/>
        <w:widowControl w:val="0"/>
        <w:spacing w:after="240"/>
        <w:rPr>
          <w:highlight w:val="magenta"/>
        </w:rPr>
      </w:pPr>
      <w:r>
        <w:rPr>
          <w:u w:val="single"/>
        </w:rPr>
        <w:t>Informe sobre el consumo de HCFC</w:t>
      </w:r>
      <w:bookmarkStart w:id="3" w:name="_Hlk170900703"/>
    </w:p>
    <w:bookmarkEnd w:id="3"/>
    <w:p w14:paraId="5CA8AD71" w14:textId="77777777" w:rsidR="00DF26F8" w:rsidRPr="00151B9C" w:rsidRDefault="00DF26F8" w:rsidP="00DF26F8">
      <w:pPr>
        <w:pStyle w:val="Heading1"/>
        <w:keepNext/>
        <w:widowControl w:val="0"/>
      </w:pPr>
      <w:r>
        <w:t xml:space="preserve">El Gobierno de Burundi informó de un consumo de 0,66 toneladas PAO de HCFC en 2023, que se sitúa un 91 % por debajo de la base de referencia de HCFC para el cumplimiento y un 69 % por debajo del punto de partida. El consumo de HCFC en 2019-2023 se recoge en la tabla 1. </w:t>
      </w:r>
    </w:p>
    <w:p w14:paraId="4E12B36C" w14:textId="77777777" w:rsidR="00DF26F8" w:rsidRPr="00151B9C" w:rsidRDefault="00DF26F8" w:rsidP="00DF26F8">
      <w:pPr>
        <w:pStyle w:val="Heading1"/>
        <w:keepNext/>
        <w:widowControl w:val="0"/>
        <w:numPr>
          <w:ilvl w:val="0"/>
          <w:numId w:val="0"/>
        </w:numPr>
        <w:spacing w:after="0"/>
      </w:pPr>
      <w:r>
        <w:rPr>
          <w:b/>
          <w:bCs/>
        </w:rPr>
        <w:t>Tabla 1. Consumo de HCFC en Burundi (datos para 2019-2023 en virtud del artículo 7)</w:t>
      </w:r>
    </w:p>
    <w:tbl>
      <w:tblPr>
        <w:tblStyle w:val="TableGrid"/>
        <w:tblW w:w="9510" w:type="dxa"/>
        <w:tblLook w:val="04A0" w:firstRow="1" w:lastRow="0" w:firstColumn="1" w:lastColumn="0" w:noHBand="0" w:noVBand="1"/>
      </w:tblPr>
      <w:tblGrid>
        <w:gridCol w:w="2076"/>
        <w:gridCol w:w="1239"/>
        <w:gridCol w:w="1239"/>
        <w:gridCol w:w="1239"/>
        <w:gridCol w:w="1239"/>
        <w:gridCol w:w="1239"/>
        <w:gridCol w:w="1239"/>
      </w:tblGrid>
      <w:tr w:rsidR="00DF26F8" w:rsidRPr="00EB31E3" w14:paraId="535A63E5" w14:textId="77777777" w:rsidTr="00080449">
        <w:trPr>
          <w:trHeight w:val="300"/>
          <w:tblHeader/>
        </w:trPr>
        <w:tc>
          <w:tcPr>
            <w:tcW w:w="2076" w:type="dxa"/>
            <w:noWrap/>
            <w:tcMar>
              <w:left w:w="43" w:type="dxa"/>
              <w:right w:w="43" w:type="dxa"/>
            </w:tcMar>
            <w:vAlign w:val="center"/>
            <w:hideMark/>
          </w:tcPr>
          <w:p w14:paraId="3E7A1B3D" w14:textId="77777777" w:rsidR="00DF26F8" w:rsidRPr="00996241" w:rsidRDefault="00DF26F8" w:rsidP="00080449">
            <w:pPr>
              <w:widowControl w:val="0"/>
              <w:jc w:val="left"/>
              <w:rPr>
                <w:b/>
                <w:color w:val="000000"/>
              </w:rPr>
            </w:pPr>
            <w:r>
              <w:rPr>
                <w:b/>
                <w:color w:val="000000"/>
              </w:rPr>
              <w:t>HCFC-22</w:t>
            </w:r>
          </w:p>
        </w:tc>
        <w:tc>
          <w:tcPr>
            <w:tcW w:w="1239" w:type="dxa"/>
            <w:noWrap/>
            <w:vAlign w:val="center"/>
            <w:hideMark/>
          </w:tcPr>
          <w:p w14:paraId="6D73C74D" w14:textId="77777777" w:rsidR="00DF26F8" w:rsidRPr="00996241" w:rsidRDefault="00DF26F8" w:rsidP="00080449">
            <w:pPr>
              <w:widowControl w:val="0"/>
              <w:jc w:val="center"/>
              <w:rPr>
                <w:b/>
                <w:color w:val="000000"/>
              </w:rPr>
            </w:pPr>
            <w:r>
              <w:rPr>
                <w:b/>
                <w:color w:val="000000"/>
              </w:rPr>
              <w:t>2019</w:t>
            </w:r>
          </w:p>
        </w:tc>
        <w:tc>
          <w:tcPr>
            <w:tcW w:w="1239" w:type="dxa"/>
            <w:vAlign w:val="center"/>
          </w:tcPr>
          <w:p w14:paraId="0DB1D481" w14:textId="77777777" w:rsidR="00DF26F8" w:rsidRPr="00996241" w:rsidRDefault="00DF26F8" w:rsidP="00080449">
            <w:pPr>
              <w:widowControl w:val="0"/>
              <w:jc w:val="center"/>
              <w:rPr>
                <w:b/>
                <w:color w:val="000000"/>
              </w:rPr>
            </w:pPr>
            <w:r>
              <w:rPr>
                <w:b/>
                <w:color w:val="000000"/>
              </w:rPr>
              <w:t>2020</w:t>
            </w:r>
          </w:p>
        </w:tc>
        <w:tc>
          <w:tcPr>
            <w:tcW w:w="1239" w:type="dxa"/>
            <w:vAlign w:val="center"/>
          </w:tcPr>
          <w:p w14:paraId="7A321254" w14:textId="77777777" w:rsidR="00DF26F8" w:rsidRPr="00996241" w:rsidRDefault="00DF26F8" w:rsidP="00080449">
            <w:pPr>
              <w:widowControl w:val="0"/>
              <w:jc w:val="center"/>
              <w:rPr>
                <w:b/>
                <w:color w:val="000000"/>
              </w:rPr>
            </w:pPr>
            <w:r>
              <w:rPr>
                <w:b/>
                <w:color w:val="000000"/>
              </w:rPr>
              <w:t>2021</w:t>
            </w:r>
          </w:p>
        </w:tc>
        <w:tc>
          <w:tcPr>
            <w:tcW w:w="1239" w:type="dxa"/>
            <w:vAlign w:val="center"/>
          </w:tcPr>
          <w:p w14:paraId="6DF62CEE" w14:textId="77777777" w:rsidR="00DF26F8" w:rsidRPr="00996241" w:rsidRDefault="00DF26F8" w:rsidP="00080449">
            <w:pPr>
              <w:widowControl w:val="0"/>
              <w:jc w:val="center"/>
              <w:rPr>
                <w:b/>
                <w:color w:val="000000"/>
              </w:rPr>
            </w:pPr>
            <w:r>
              <w:rPr>
                <w:b/>
                <w:color w:val="000000"/>
              </w:rPr>
              <w:t>2022</w:t>
            </w:r>
          </w:p>
        </w:tc>
        <w:tc>
          <w:tcPr>
            <w:tcW w:w="1239" w:type="dxa"/>
            <w:vAlign w:val="center"/>
          </w:tcPr>
          <w:p w14:paraId="18268F97" w14:textId="77777777" w:rsidR="00DF26F8" w:rsidRPr="00996241" w:rsidRDefault="00DF26F8" w:rsidP="00080449">
            <w:pPr>
              <w:widowControl w:val="0"/>
              <w:jc w:val="center"/>
              <w:rPr>
                <w:b/>
                <w:bCs/>
                <w:color w:val="000000"/>
                <w:highlight w:val="magenta"/>
              </w:rPr>
            </w:pPr>
            <w:r>
              <w:rPr>
                <w:b/>
                <w:bCs/>
                <w:color w:val="000000" w:themeColor="text1"/>
              </w:rPr>
              <w:t>2023</w:t>
            </w:r>
          </w:p>
        </w:tc>
        <w:tc>
          <w:tcPr>
            <w:tcW w:w="1239" w:type="dxa"/>
            <w:noWrap/>
            <w:vAlign w:val="center"/>
            <w:hideMark/>
          </w:tcPr>
          <w:p w14:paraId="1A5F4157" w14:textId="77777777" w:rsidR="00DF26F8" w:rsidRPr="00996241" w:rsidRDefault="00DF26F8" w:rsidP="00080449">
            <w:pPr>
              <w:widowControl w:val="0"/>
              <w:jc w:val="center"/>
              <w:rPr>
                <w:b/>
                <w:color w:val="000000"/>
              </w:rPr>
            </w:pPr>
            <w:r>
              <w:rPr>
                <w:b/>
                <w:color w:val="000000"/>
              </w:rPr>
              <w:t>Consumo básico ref.</w:t>
            </w:r>
          </w:p>
        </w:tc>
      </w:tr>
      <w:tr w:rsidR="00DF26F8" w:rsidRPr="00EB31E3" w14:paraId="70541B4B" w14:textId="77777777" w:rsidTr="00080449">
        <w:trPr>
          <w:trHeight w:val="300"/>
        </w:trPr>
        <w:tc>
          <w:tcPr>
            <w:tcW w:w="2076" w:type="dxa"/>
            <w:noWrap/>
            <w:tcMar>
              <w:left w:w="43" w:type="dxa"/>
              <w:right w:w="43" w:type="dxa"/>
            </w:tcMar>
            <w:vAlign w:val="center"/>
            <w:hideMark/>
          </w:tcPr>
          <w:p w14:paraId="4DB7385C" w14:textId="77777777" w:rsidR="00DF26F8" w:rsidRPr="00987590" w:rsidRDefault="00DF26F8" w:rsidP="00080449">
            <w:pPr>
              <w:widowControl w:val="0"/>
              <w:jc w:val="left"/>
              <w:rPr>
                <w:b/>
                <w:bCs/>
                <w:color w:val="000000"/>
              </w:rPr>
            </w:pPr>
            <w:r>
              <w:rPr>
                <w:b/>
                <w:bCs/>
                <w:color w:val="000000"/>
              </w:rPr>
              <w:t>Toneladas métricas (tm)</w:t>
            </w:r>
          </w:p>
        </w:tc>
        <w:tc>
          <w:tcPr>
            <w:tcW w:w="1239" w:type="dxa"/>
            <w:noWrap/>
            <w:tcMar>
              <w:left w:w="115" w:type="dxa"/>
              <w:right w:w="230" w:type="dxa"/>
            </w:tcMar>
            <w:vAlign w:val="center"/>
          </w:tcPr>
          <w:p w14:paraId="08F9F80B" w14:textId="77777777" w:rsidR="00DF26F8" w:rsidRPr="00996241" w:rsidRDefault="00DF26F8" w:rsidP="00080449">
            <w:pPr>
              <w:ind w:right="-125"/>
              <w:jc w:val="right"/>
            </w:pPr>
            <w:r>
              <w:t>32,50</w:t>
            </w:r>
          </w:p>
        </w:tc>
        <w:tc>
          <w:tcPr>
            <w:tcW w:w="1239" w:type="dxa"/>
            <w:tcMar>
              <w:left w:w="115" w:type="dxa"/>
              <w:right w:w="230" w:type="dxa"/>
            </w:tcMar>
            <w:vAlign w:val="center"/>
          </w:tcPr>
          <w:p w14:paraId="78AD7092" w14:textId="77777777" w:rsidR="00DF26F8" w:rsidRPr="00996241" w:rsidRDefault="00DF26F8" w:rsidP="00080449">
            <w:pPr>
              <w:ind w:right="-125"/>
              <w:jc w:val="right"/>
            </w:pPr>
            <w:r>
              <w:t>24,30</w:t>
            </w:r>
          </w:p>
        </w:tc>
        <w:tc>
          <w:tcPr>
            <w:tcW w:w="1239" w:type="dxa"/>
            <w:tcMar>
              <w:left w:w="115" w:type="dxa"/>
              <w:right w:w="230" w:type="dxa"/>
            </w:tcMar>
            <w:vAlign w:val="center"/>
          </w:tcPr>
          <w:p w14:paraId="30C4822F" w14:textId="77777777" w:rsidR="00DF26F8" w:rsidRPr="00996241" w:rsidRDefault="00DF26F8" w:rsidP="00080449">
            <w:pPr>
              <w:ind w:right="-125"/>
              <w:jc w:val="right"/>
            </w:pPr>
            <w:r>
              <w:t>21,40</w:t>
            </w:r>
          </w:p>
        </w:tc>
        <w:tc>
          <w:tcPr>
            <w:tcW w:w="1239" w:type="dxa"/>
            <w:tcMar>
              <w:left w:w="115" w:type="dxa"/>
              <w:right w:w="230" w:type="dxa"/>
            </w:tcMar>
            <w:vAlign w:val="center"/>
          </w:tcPr>
          <w:p w14:paraId="7DC30356" w14:textId="77777777" w:rsidR="00DF26F8" w:rsidRPr="00996241" w:rsidRDefault="00DF26F8" w:rsidP="00080449">
            <w:pPr>
              <w:widowControl w:val="0"/>
              <w:ind w:right="-125"/>
              <w:jc w:val="right"/>
            </w:pPr>
            <w:r>
              <w:t>14,03</w:t>
            </w:r>
          </w:p>
        </w:tc>
        <w:tc>
          <w:tcPr>
            <w:tcW w:w="1239" w:type="dxa"/>
            <w:tcMar>
              <w:left w:w="115" w:type="dxa"/>
              <w:right w:w="230" w:type="dxa"/>
            </w:tcMar>
            <w:vAlign w:val="center"/>
          </w:tcPr>
          <w:p w14:paraId="3D63F846" w14:textId="77777777" w:rsidR="00DF26F8" w:rsidRPr="00996241" w:rsidRDefault="00DF26F8" w:rsidP="00080449">
            <w:pPr>
              <w:ind w:right="-125"/>
              <w:jc w:val="right"/>
            </w:pPr>
            <w:r>
              <w:t>12,00</w:t>
            </w:r>
          </w:p>
        </w:tc>
        <w:tc>
          <w:tcPr>
            <w:tcW w:w="1239" w:type="dxa"/>
            <w:noWrap/>
            <w:tcMar>
              <w:left w:w="115" w:type="dxa"/>
              <w:right w:w="230" w:type="dxa"/>
            </w:tcMar>
            <w:vAlign w:val="center"/>
          </w:tcPr>
          <w:p w14:paraId="3F385CFD" w14:textId="77777777" w:rsidR="00DF26F8" w:rsidRPr="00996241" w:rsidRDefault="00DF26F8" w:rsidP="00080449">
            <w:pPr>
              <w:widowControl w:val="0"/>
              <w:ind w:right="-125"/>
              <w:jc w:val="right"/>
              <w:rPr>
                <w:color w:val="000000"/>
              </w:rPr>
            </w:pPr>
            <w:r>
              <w:t>0,00</w:t>
            </w:r>
          </w:p>
        </w:tc>
      </w:tr>
      <w:tr w:rsidR="00DF26F8" w:rsidRPr="00EB31E3" w14:paraId="750A7D85" w14:textId="77777777" w:rsidTr="00080449">
        <w:trPr>
          <w:trHeight w:val="300"/>
        </w:trPr>
        <w:tc>
          <w:tcPr>
            <w:tcW w:w="2076" w:type="dxa"/>
            <w:noWrap/>
            <w:tcMar>
              <w:left w:w="43" w:type="dxa"/>
              <w:right w:w="43" w:type="dxa"/>
            </w:tcMar>
            <w:vAlign w:val="center"/>
            <w:hideMark/>
          </w:tcPr>
          <w:p w14:paraId="65A7EDBA" w14:textId="77777777" w:rsidR="00DF26F8" w:rsidRPr="00987590" w:rsidRDefault="00DF26F8" w:rsidP="00080449">
            <w:pPr>
              <w:widowControl w:val="0"/>
              <w:jc w:val="left"/>
              <w:rPr>
                <w:b/>
                <w:bCs/>
                <w:color w:val="000000"/>
              </w:rPr>
            </w:pPr>
            <w:r>
              <w:rPr>
                <w:b/>
                <w:bCs/>
                <w:color w:val="000000" w:themeColor="text1"/>
              </w:rPr>
              <w:t>Toneladas PAO</w:t>
            </w:r>
          </w:p>
        </w:tc>
        <w:tc>
          <w:tcPr>
            <w:tcW w:w="1239" w:type="dxa"/>
            <w:noWrap/>
            <w:tcMar>
              <w:left w:w="115" w:type="dxa"/>
              <w:right w:w="230" w:type="dxa"/>
            </w:tcMar>
            <w:vAlign w:val="center"/>
          </w:tcPr>
          <w:p w14:paraId="7657DE8B" w14:textId="77777777" w:rsidR="00DF26F8" w:rsidRPr="00996241" w:rsidRDefault="00DF26F8" w:rsidP="00080449">
            <w:pPr>
              <w:ind w:right="-125"/>
              <w:jc w:val="right"/>
            </w:pPr>
            <w:r>
              <w:t>1,79</w:t>
            </w:r>
          </w:p>
        </w:tc>
        <w:tc>
          <w:tcPr>
            <w:tcW w:w="1239" w:type="dxa"/>
            <w:tcMar>
              <w:left w:w="115" w:type="dxa"/>
              <w:right w:w="230" w:type="dxa"/>
            </w:tcMar>
            <w:vAlign w:val="center"/>
          </w:tcPr>
          <w:p w14:paraId="240182DE" w14:textId="77777777" w:rsidR="00DF26F8" w:rsidRPr="00996241" w:rsidRDefault="00DF26F8" w:rsidP="00080449">
            <w:pPr>
              <w:ind w:right="-125"/>
              <w:jc w:val="right"/>
            </w:pPr>
            <w:r>
              <w:t>1,34</w:t>
            </w:r>
          </w:p>
        </w:tc>
        <w:tc>
          <w:tcPr>
            <w:tcW w:w="1239" w:type="dxa"/>
            <w:tcMar>
              <w:left w:w="115" w:type="dxa"/>
              <w:right w:w="230" w:type="dxa"/>
            </w:tcMar>
            <w:vAlign w:val="center"/>
          </w:tcPr>
          <w:p w14:paraId="6906489A" w14:textId="77777777" w:rsidR="00DF26F8" w:rsidRPr="00996241" w:rsidRDefault="00DF26F8" w:rsidP="00080449">
            <w:pPr>
              <w:ind w:right="-125"/>
              <w:jc w:val="right"/>
            </w:pPr>
            <w:r>
              <w:t>1,18</w:t>
            </w:r>
          </w:p>
        </w:tc>
        <w:tc>
          <w:tcPr>
            <w:tcW w:w="1239" w:type="dxa"/>
            <w:tcMar>
              <w:left w:w="115" w:type="dxa"/>
              <w:right w:w="230" w:type="dxa"/>
            </w:tcMar>
            <w:vAlign w:val="center"/>
          </w:tcPr>
          <w:p w14:paraId="311C2080" w14:textId="77777777" w:rsidR="00DF26F8" w:rsidRPr="00996241" w:rsidRDefault="00DF26F8" w:rsidP="00080449">
            <w:pPr>
              <w:ind w:right="-125"/>
              <w:jc w:val="right"/>
            </w:pPr>
            <w:r>
              <w:t>0,77</w:t>
            </w:r>
          </w:p>
        </w:tc>
        <w:tc>
          <w:tcPr>
            <w:tcW w:w="1239" w:type="dxa"/>
            <w:tcMar>
              <w:left w:w="115" w:type="dxa"/>
              <w:right w:w="230" w:type="dxa"/>
            </w:tcMar>
            <w:vAlign w:val="center"/>
          </w:tcPr>
          <w:p w14:paraId="1F179F33" w14:textId="77777777" w:rsidR="00DF26F8" w:rsidRPr="00996241" w:rsidRDefault="00DF26F8" w:rsidP="00080449">
            <w:pPr>
              <w:ind w:right="-125"/>
              <w:jc w:val="right"/>
            </w:pPr>
            <w:r>
              <w:t>0,66</w:t>
            </w:r>
          </w:p>
        </w:tc>
        <w:tc>
          <w:tcPr>
            <w:tcW w:w="1239" w:type="dxa"/>
            <w:noWrap/>
            <w:tcMar>
              <w:left w:w="115" w:type="dxa"/>
              <w:right w:w="230" w:type="dxa"/>
            </w:tcMar>
            <w:vAlign w:val="center"/>
          </w:tcPr>
          <w:p w14:paraId="6843330E" w14:textId="77777777" w:rsidR="00DF26F8" w:rsidRPr="00996241" w:rsidRDefault="00DF26F8" w:rsidP="00080449">
            <w:pPr>
              <w:ind w:right="-125"/>
              <w:jc w:val="right"/>
            </w:pPr>
            <w:r>
              <w:t>7,15</w:t>
            </w:r>
          </w:p>
        </w:tc>
      </w:tr>
    </w:tbl>
    <w:p w14:paraId="2E7E4490" w14:textId="77777777" w:rsidR="00DF26F8" w:rsidRPr="00B650AF" w:rsidRDefault="00DF26F8" w:rsidP="00DF26F8">
      <w:pPr>
        <w:pStyle w:val="Heading1"/>
        <w:spacing w:before="240"/>
      </w:pPr>
      <w:r>
        <w:lastRenderedPageBreak/>
        <w:t>Burundi ha progresado en la eliminación de los HCFC, que se utilizan exclusivamente en el sector de los servicios de RAC. La disminución del consumo puede atribuirse a la aplicación eficaz del sistema de licencias y cuotas, a la ejecución de las actividades del PGEH y a la introducción de tecnologías sin HCFC (HFC y refrigerantes de bajo potencial de calentamiento atmosférico).</w:t>
      </w:r>
    </w:p>
    <w:p w14:paraId="3D191BDC" w14:textId="77777777" w:rsidR="00DF26F8" w:rsidRPr="00AE2090" w:rsidRDefault="00DF26F8" w:rsidP="00DF26F8">
      <w:pPr>
        <w:keepNext/>
        <w:widowControl w:val="0"/>
        <w:spacing w:after="240"/>
        <w:rPr>
          <w:i/>
        </w:rPr>
      </w:pPr>
      <w:bookmarkStart w:id="4" w:name="_Hlk126915671"/>
      <w:r>
        <w:rPr>
          <w:i/>
        </w:rPr>
        <w:t>Informe de ejecución del programa de país</w:t>
      </w:r>
    </w:p>
    <w:bookmarkEnd w:id="4"/>
    <w:p w14:paraId="074E8EB5" w14:textId="77777777" w:rsidR="00DF26F8" w:rsidRPr="00996241" w:rsidRDefault="00DF26F8" w:rsidP="00DF26F8">
      <w:pPr>
        <w:pStyle w:val="Heading1"/>
      </w:pPr>
      <w:r>
        <w:t>El Gobierno de Burundi notificó los datos de consumo del sector de los HCFC en el informe de ejecución del programa de país (PP) de 2023, que coincidían con los datos comunicados conforme al artículo 7 del Protocolo de Montreal.</w:t>
      </w:r>
    </w:p>
    <w:p w14:paraId="6BC569AD" w14:textId="77777777" w:rsidR="00DF26F8" w:rsidRDefault="00DF26F8" w:rsidP="00DF26F8">
      <w:pPr>
        <w:keepNext/>
        <w:widowControl w:val="0"/>
        <w:spacing w:after="240"/>
        <w:rPr>
          <w:u w:val="single"/>
        </w:rPr>
      </w:pPr>
      <w:bookmarkStart w:id="5" w:name="_Hlk126915699"/>
      <w:r>
        <w:rPr>
          <w:u w:val="single"/>
        </w:rPr>
        <w:t xml:space="preserve">Estado de los avances y desembolsos </w:t>
      </w:r>
    </w:p>
    <w:bookmarkEnd w:id="5"/>
    <w:p w14:paraId="0F740D55" w14:textId="77777777" w:rsidR="00DF26F8" w:rsidRPr="00B5562F" w:rsidRDefault="00DF26F8" w:rsidP="00DF26F8">
      <w:pPr>
        <w:pStyle w:val="Heading1"/>
      </w:pPr>
      <w:r>
        <w:t>Durante la etapa I se consiguió lo siguiente:</w:t>
      </w:r>
    </w:p>
    <w:p w14:paraId="7230368A" w14:textId="77777777" w:rsidR="00DF26F8" w:rsidRPr="00F4148E" w:rsidRDefault="00DF26F8" w:rsidP="00DF26F8">
      <w:pPr>
        <w:pStyle w:val="Heading2"/>
        <w:ind w:left="1418" w:hanging="698"/>
      </w:pPr>
      <w:r>
        <w:t>a)</w:t>
      </w:r>
      <w:r>
        <w:tab/>
      </w:r>
      <w:r>
        <w:rPr>
          <w:i/>
          <w:iCs/>
        </w:rPr>
        <w:t>Fortalecimiento del marco regulatorio:</w:t>
      </w:r>
      <w:r>
        <w:t xml:space="preserve"> Aprobación de la Orden Ministerial Conjunta núm. 710/750/540/2035, de 9/12/2022, por la que se modifica la Orden Ministerial núm. 770/2148/cab/2017, de 3/10/2017, por la que se regula la importación, comercialización y distribución de HCFC y HFC;</w:t>
      </w:r>
    </w:p>
    <w:p w14:paraId="3EA942F8" w14:textId="3EFAC0F6" w:rsidR="00DF26F8" w:rsidRDefault="00DF26F8" w:rsidP="00DF26F8">
      <w:pPr>
        <w:pStyle w:val="Heading2"/>
        <w:tabs>
          <w:tab w:val="left" w:pos="1395"/>
        </w:tabs>
        <w:ind w:left="1418" w:hanging="698"/>
      </w:pPr>
      <w:r>
        <w:t>b)</w:t>
      </w:r>
      <w:r>
        <w:tab/>
      </w:r>
      <w:r>
        <w:rPr>
          <w:i/>
          <w:iCs/>
        </w:rPr>
        <w:t xml:space="preserve">Fortalecimiento de la capacidad de los funcionarios de aduanas y </w:t>
      </w:r>
      <w:r w:rsidR="00FE204E" w:rsidRPr="00FE204E">
        <w:rPr>
          <w:i/>
          <w:iCs/>
        </w:rPr>
        <w:t>encargados de hacer cumplir la ley</w:t>
      </w:r>
      <w:r>
        <w:rPr>
          <w:i/>
          <w:iCs/>
        </w:rPr>
        <w:t>:</w:t>
      </w:r>
      <w:r>
        <w:t xml:space="preserve"> Capacitación de funcionarios de aduanas y de l</w:t>
      </w:r>
      <w:r w:rsidR="00FE204E">
        <w:t xml:space="preserve">os organismos </w:t>
      </w:r>
      <w:r w:rsidR="00FE204E" w:rsidRPr="00FE204E">
        <w:t>encargados de hacer cumplir la ley</w:t>
      </w:r>
      <w:r w:rsidR="00FE204E">
        <w:t xml:space="preserve"> </w:t>
      </w:r>
      <w:r>
        <w:t xml:space="preserve">sobre identificación y control de HCFC y equipos basados en HCFC, el uso de identificadores electrónicos, la aplicación de la Orden Ministerial Conjunta núm. 710/750/540/2035, con la capacitación de diez instructores, entre ellos cinco mujeres, y llegando a 666 funcionarios de aduanas, de </w:t>
      </w:r>
      <w:r w:rsidR="00FE204E">
        <w:t xml:space="preserve">los organismos </w:t>
      </w:r>
      <w:r w:rsidR="00FE204E" w:rsidRPr="00FE204E">
        <w:t>encargados de hacer cumplir la ley</w:t>
      </w:r>
      <w:r w:rsidR="00FE204E">
        <w:t xml:space="preserve"> </w:t>
      </w:r>
      <w:r>
        <w:t>y de inspección medioambiental, de los cuales 272 eran mujeres;</w:t>
      </w:r>
    </w:p>
    <w:p w14:paraId="7E7B013A" w14:textId="77777777" w:rsidR="00DF26F8" w:rsidRPr="00F4148E" w:rsidRDefault="00DF26F8" w:rsidP="00DF26F8">
      <w:pPr>
        <w:pStyle w:val="0Heading0"/>
        <w:ind w:left="1418" w:hanging="698"/>
        <w:jc w:val="both"/>
      </w:pPr>
      <w:r>
        <w:t>c)</w:t>
      </w:r>
      <w:r>
        <w:tab/>
      </w:r>
      <w:r>
        <w:rPr>
          <w:i/>
          <w:iCs/>
          <w:color w:val="000000" w:themeColor="text1"/>
        </w:rPr>
        <w:t>Fortalecimiento de la capacidad de los comerciantes de importación en los procedimientos de expedición de licencias de importación y concesión de cuotas anuales</w:t>
      </w:r>
      <w:r>
        <w:rPr>
          <w:i/>
          <w:iCs/>
        </w:rPr>
        <w:t>:</w:t>
      </w:r>
      <w:r>
        <w:t xml:space="preserve"> Se impartió capacitación a 51 comerciantes, 20 de ellos mujeres;</w:t>
      </w:r>
    </w:p>
    <w:p w14:paraId="4FEB05CE" w14:textId="77777777" w:rsidR="00DF26F8" w:rsidRPr="00F4148E" w:rsidRDefault="00DF26F8" w:rsidP="00DF26F8">
      <w:pPr>
        <w:pStyle w:val="0Heading0"/>
      </w:pPr>
    </w:p>
    <w:p w14:paraId="064A93DE" w14:textId="77777777" w:rsidR="00DF26F8" w:rsidRPr="00F4148E" w:rsidRDefault="00DF26F8" w:rsidP="00DF26F8">
      <w:pPr>
        <w:pStyle w:val="0Heading0"/>
        <w:ind w:left="1418" w:hanging="698"/>
      </w:pPr>
      <w:r>
        <w:t>d)</w:t>
      </w:r>
      <w:r>
        <w:tab/>
      </w:r>
      <w:r>
        <w:rPr>
          <w:i/>
          <w:iCs/>
        </w:rPr>
        <w:t>Capacitación de periodistas medioambientales de distintos medios de comunicación sobre la aplicación del Protocolo de Montreal y la Enmienda de Kigali:</w:t>
      </w:r>
      <w:r>
        <w:t xml:space="preserve"> Se capacitó a 33 periodistas, entre ellos 14 mujeres;</w:t>
      </w:r>
    </w:p>
    <w:p w14:paraId="761771EE" w14:textId="77777777" w:rsidR="00DF26F8" w:rsidRPr="00E24BE4" w:rsidRDefault="00DF26F8" w:rsidP="00DF26F8"/>
    <w:p w14:paraId="7C7A9FD5" w14:textId="77777777" w:rsidR="00DF26F8" w:rsidRPr="005B2529" w:rsidRDefault="00DF26F8" w:rsidP="00DF26F8">
      <w:pPr>
        <w:pStyle w:val="Heading1"/>
        <w:numPr>
          <w:ilvl w:val="0"/>
          <w:numId w:val="0"/>
        </w:numPr>
        <w:tabs>
          <w:tab w:val="left" w:pos="1410"/>
        </w:tabs>
        <w:ind w:left="1410" w:hanging="690"/>
        <w:rPr>
          <w:rFonts w:ascii="Calibri" w:eastAsia="Calibri" w:hAnsi="Calibri" w:cs="Calibri"/>
          <w:color w:val="000000" w:themeColor="text1"/>
        </w:rPr>
      </w:pPr>
      <w:r>
        <w:rPr>
          <w:color w:val="000000" w:themeColor="text1"/>
        </w:rPr>
        <w:t>e)</w:t>
      </w:r>
      <w:r>
        <w:rPr>
          <w:color w:val="000000" w:themeColor="text1"/>
        </w:rPr>
        <w:tab/>
      </w:r>
      <w:r>
        <w:rPr>
          <w:i/>
          <w:iCs/>
          <w:color w:val="000000" w:themeColor="text1"/>
        </w:rPr>
        <w:t>Fortalecimiento de las capacidades de los técnicos de refrigeración</w:t>
      </w:r>
      <w:r>
        <w:rPr>
          <w:i/>
          <w:iCs/>
        </w:rPr>
        <w:t xml:space="preserve">: </w:t>
      </w:r>
      <w:r>
        <w:t>Se impartió capacitación a cinco instructores. Impartieron talleres para técnicos en los que se trataron temas como las buenas prácticas de mantenimiento, la manipulación segura de refrigerantes inflamables y el uso de tecnologías basadas en hidrocarburos. Se capacitó a 656 técnicos, de los cuales 103 eran mujeres; y</w:t>
      </w:r>
    </w:p>
    <w:p w14:paraId="0752AFA2" w14:textId="77777777" w:rsidR="00DF26F8" w:rsidRPr="00F665DC" w:rsidRDefault="00DF26F8" w:rsidP="00DF26F8">
      <w:pPr>
        <w:pStyle w:val="Heading1"/>
        <w:numPr>
          <w:ilvl w:val="0"/>
          <w:numId w:val="0"/>
        </w:numPr>
        <w:tabs>
          <w:tab w:val="left" w:pos="1395"/>
        </w:tabs>
        <w:ind w:left="1395" w:hanging="675"/>
      </w:pPr>
      <w:r>
        <w:t>f)</w:t>
      </w:r>
      <w:r>
        <w:tab/>
      </w:r>
      <w:r>
        <w:rPr>
          <w:i/>
          <w:iCs/>
        </w:rPr>
        <w:t>Fortalecimiento del centro de excelencia::</w:t>
      </w:r>
      <w:r>
        <w:t xml:space="preserve"> El centro de excelencia y capacitación de Bujumbura se reforzó mediante el suministro de equipos</w:t>
      </w:r>
      <w:r w:rsidRPr="00F665DC">
        <w:rPr>
          <w:rStyle w:val="FootnoteReference"/>
        </w:rPr>
        <w:footnoteReference w:id="6"/>
      </w:r>
      <w:r>
        <w:t xml:space="preserve">, que se utilizan regularmente para la capacitación de técnicos y funcionarios de aduanas como parte de las actividades del programa de capacitación de Burundi, contribuyendo a aumentar la capacidad de los técnicos </w:t>
      </w:r>
      <w:r>
        <w:lastRenderedPageBreak/>
        <w:t>en la gestión racional de refrigerantes. También se adquirieron y entregaron dos analizadores de refrigerantes a la dependencia nacional del ozono (NOU).</w:t>
      </w:r>
    </w:p>
    <w:p w14:paraId="0A289A12" w14:textId="77777777" w:rsidR="00DF26F8" w:rsidRPr="00352449" w:rsidRDefault="00DF26F8" w:rsidP="00DF26F8">
      <w:pPr>
        <w:rPr>
          <w:i/>
          <w:iCs/>
        </w:rPr>
      </w:pPr>
      <w:r>
        <w:rPr>
          <w:i/>
          <w:iCs/>
        </w:rPr>
        <w:t>Coordinación y supervisión del proyecto</w:t>
      </w:r>
    </w:p>
    <w:p w14:paraId="52AB4B34" w14:textId="77777777" w:rsidR="00DF26F8" w:rsidRPr="009D3562" w:rsidRDefault="00DF26F8" w:rsidP="00DF26F8"/>
    <w:p w14:paraId="1070D93E" w14:textId="77777777" w:rsidR="00DF26F8" w:rsidRPr="005B2529" w:rsidRDefault="00DF26F8" w:rsidP="00DF26F8">
      <w:pPr>
        <w:pStyle w:val="Heading1"/>
      </w:pPr>
      <w:r>
        <w:t>La NOU contrató a consultores para ayudar en la supervisión continua de la ejecución del proyecto y la recopilación periódica de datos para medir el progreso en relación con los criterios de rendimiento, con el fin de garantizar la ejecución eficaz de las actividades de la etapa I del PGEH.</w:t>
      </w:r>
    </w:p>
    <w:p w14:paraId="544AE0B6" w14:textId="77777777" w:rsidR="00DF26F8" w:rsidRPr="005B2529" w:rsidRDefault="00DF26F8" w:rsidP="00DF26F8">
      <w:pPr>
        <w:pStyle w:val="Heading1"/>
        <w:keepNext/>
        <w:numPr>
          <w:ilvl w:val="0"/>
          <w:numId w:val="0"/>
        </w:numPr>
        <w:rPr>
          <w:i/>
          <w:iCs/>
        </w:rPr>
      </w:pPr>
      <w:r>
        <w:rPr>
          <w:i/>
          <w:iCs/>
        </w:rPr>
        <w:t>Nivel de desembolso de los fondos</w:t>
      </w:r>
    </w:p>
    <w:p w14:paraId="579B8101" w14:textId="28424FFF" w:rsidR="00DF26F8" w:rsidRDefault="00DF26F8" w:rsidP="009F33FC">
      <w:pPr>
        <w:pStyle w:val="Heading1"/>
      </w:pPr>
      <w:r>
        <w:t>Hasta septiembre de 2024, se ha desembolsado la totalidad de los 332 000 $EUA aprobados (172 000 $EUA para el PNUMA y 160 000 $EUA para la ONUDI).</w:t>
      </w:r>
    </w:p>
    <w:p w14:paraId="5261DF59" w14:textId="77777777" w:rsidR="003C195D" w:rsidRDefault="003C195D" w:rsidP="003C195D"/>
    <w:p w14:paraId="485D19E5" w14:textId="77777777" w:rsidR="00DF26F8" w:rsidRPr="00D82DA6" w:rsidRDefault="00DF26F8" w:rsidP="00DF26F8">
      <w:pPr>
        <w:keepNext/>
        <w:widowControl w:val="0"/>
        <w:autoSpaceDE w:val="0"/>
        <w:autoSpaceDN w:val="0"/>
        <w:adjustRightInd w:val="0"/>
        <w:spacing w:after="240"/>
        <w:rPr>
          <w:b/>
          <w:bCs/>
          <w:lang w:val="es-419"/>
        </w:rPr>
      </w:pPr>
      <w:bookmarkStart w:id="6" w:name="_Hlk126915708"/>
      <w:r w:rsidRPr="00D82DA6">
        <w:rPr>
          <w:b/>
          <w:bCs/>
          <w:lang w:val="es-419"/>
        </w:rPr>
        <w:t>Etapa II del PGEH</w:t>
      </w:r>
    </w:p>
    <w:p w14:paraId="36B7394A" w14:textId="77777777" w:rsidR="00DF26F8" w:rsidRPr="00D82DA6" w:rsidRDefault="00DF26F8" w:rsidP="00DF26F8">
      <w:pPr>
        <w:keepNext/>
        <w:widowControl w:val="0"/>
        <w:spacing w:after="240"/>
        <w:outlineLvl w:val="0"/>
        <w:rPr>
          <w:u w:val="single"/>
          <w:lang w:val="es-419"/>
        </w:rPr>
      </w:pPr>
      <w:r w:rsidRPr="00D82DA6">
        <w:rPr>
          <w:u w:val="single"/>
          <w:lang w:val="es-419"/>
        </w:rPr>
        <w:t>Consumo remanente subvencionable</w:t>
      </w:r>
    </w:p>
    <w:p w14:paraId="2E1D9038" w14:textId="5B698601" w:rsidR="00DF26F8" w:rsidRPr="00D82DA6" w:rsidRDefault="00DF26F8" w:rsidP="00DF26F8">
      <w:pPr>
        <w:keepNext/>
        <w:widowControl w:val="0"/>
        <w:spacing w:after="240"/>
        <w:outlineLvl w:val="0"/>
        <w:rPr>
          <w:lang w:val="es-419"/>
        </w:rPr>
      </w:pPr>
      <w:bookmarkStart w:id="7" w:name="_Hlk126915728"/>
      <w:bookmarkEnd w:id="6"/>
      <w:r w:rsidRPr="00D82DA6">
        <w:rPr>
          <w:lang w:val="es-419"/>
        </w:rPr>
        <w:t>1</w:t>
      </w:r>
      <w:r w:rsidR="009F33FC">
        <w:rPr>
          <w:lang w:val="es-419"/>
        </w:rPr>
        <w:t>1</w:t>
      </w:r>
      <w:r w:rsidRPr="00D82DA6">
        <w:rPr>
          <w:lang w:val="es-419"/>
        </w:rPr>
        <w:t>.</w:t>
      </w:r>
      <w:r w:rsidRPr="00D82DA6">
        <w:rPr>
          <w:lang w:val="es-419"/>
        </w:rPr>
        <w:tab/>
        <w:t>Una vez deducidas 0,73 toneladas PAO de HCFC asociadas a la etapa I del PGEH, el consumo remanente susceptible de financiación, en la etapa II, asciende a 1,37 toneladas PAO de HCFC-22.</w:t>
      </w:r>
    </w:p>
    <w:p w14:paraId="3F3280FF" w14:textId="77777777" w:rsidR="00DF26F8" w:rsidRPr="00D82DA6" w:rsidRDefault="00DF26F8" w:rsidP="00DF26F8">
      <w:pPr>
        <w:keepNext/>
        <w:widowControl w:val="0"/>
        <w:spacing w:after="240"/>
        <w:outlineLvl w:val="0"/>
        <w:rPr>
          <w:u w:val="single"/>
          <w:lang w:val="es-419"/>
        </w:rPr>
      </w:pPr>
      <w:r w:rsidRPr="00D82DA6">
        <w:rPr>
          <w:u w:val="single"/>
          <w:lang w:val="es-419"/>
        </w:rPr>
        <w:t>Distribución sectorial de los HCFC</w:t>
      </w:r>
    </w:p>
    <w:bookmarkEnd w:id="7"/>
    <w:p w14:paraId="0F8B8983" w14:textId="77777777" w:rsidR="00DF26F8" w:rsidRPr="009F33FC" w:rsidRDefault="00DF26F8" w:rsidP="009F33FC">
      <w:pPr>
        <w:pStyle w:val="Heading1"/>
        <w:numPr>
          <w:ilvl w:val="0"/>
          <w:numId w:val="17"/>
        </w:numPr>
        <w:rPr>
          <w:lang w:val="es-419"/>
        </w:rPr>
      </w:pPr>
      <w:r w:rsidRPr="009F33FC">
        <w:rPr>
          <w:lang w:val="es-419"/>
        </w:rPr>
        <w:t>Hay aproximadamente 700 técnicos (de los cuales 350 son informales) y 41 talleres que operan en el sector de servicio y mantenimiento, que consumen HCFC 22 para dar servicio a sistemas de aire acondicionado (AC) unitarios y en dos bloques, refrigeración comercial e industrial, incluyendo enfriadores, como se muestra en la tabla 2. El HCFC-22 representa el 24,2 % de los refrigerantes utilizados en el sector de servicio y mantenimiento, seguido del HFC-134a con el 24,0 % y el R-410A con el 20,2 % y otros refrigerantes, incluidos los refrigerantes de bajo potencial de calentamiento atmosférico (PCA).</w:t>
      </w:r>
    </w:p>
    <w:p w14:paraId="77271604" w14:textId="77777777" w:rsidR="00DF26F8" w:rsidRPr="00D82DA6" w:rsidRDefault="00DF26F8" w:rsidP="00DF26F8">
      <w:pPr>
        <w:rPr>
          <w:rFonts w:cstheme="minorHAnsi"/>
          <w:b/>
          <w:bCs/>
          <w:lang w:val="es-419"/>
        </w:rPr>
      </w:pPr>
      <w:bookmarkStart w:id="8" w:name="_Hlk126915738"/>
      <w:r w:rsidRPr="00D82DA6">
        <w:rPr>
          <w:b/>
          <w:bCs/>
          <w:lang w:val="es-419"/>
        </w:rPr>
        <w:t>Tabla 2. Estimación de la demanda de HCFC-22 en el sector de servicio y mantenimiento de RAC en Burundi en 2023</w:t>
      </w:r>
    </w:p>
    <w:tbl>
      <w:tblPr>
        <w:tblW w:w="9962" w:type="dxa"/>
        <w:tblLayout w:type="fixed"/>
        <w:tblLook w:val="04A0" w:firstRow="1" w:lastRow="0" w:firstColumn="1" w:lastColumn="0" w:noHBand="0" w:noVBand="1"/>
      </w:tblPr>
      <w:tblGrid>
        <w:gridCol w:w="2772"/>
        <w:gridCol w:w="1268"/>
        <w:gridCol w:w="1080"/>
        <w:gridCol w:w="1170"/>
        <w:gridCol w:w="1620"/>
        <w:gridCol w:w="1620"/>
        <w:gridCol w:w="432"/>
      </w:tblGrid>
      <w:tr w:rsidR="00DF26F8" w:rsidRPr="00D82DA6" w14:paraId="1D6215F5" w14:textId="77777777" w:rsidTr="00903A42">
        <w:trPr>
          <w:gridAfter w:val="1"/>
          <w:wAfter w:w="432" w:type="dxa"/>
          <w:trHeight w:val="20"/>
          <w:tblHeader/>
        </w:trPr>
        <w:tc>
          <w:tcPr>
            <w:tcW w:w="2772" w:type="dxa"/>
            <w:vMerge w:val="restart"/>
            <w:tcBorders>
              <w:top w:val="single" w:sz="8" w:space="0" w:color="auto"/>
              <w:left w:val="single" w:sz="8" w:space="0" w:color="auto"/>
              <w:bottom w:val="nil"/>
              <w:right w:val="single" w:sz="8" w:space="0" w:color="auto"/>
            </w:tcBorders>
            <w:shd w:val="clear" w:color="000000" w:fill="FFFFFF"/>
            <w:vAlign w:val="center"/>
            <w:hideMark/>
          </w:tcPr>
          <w:p w14:paraId="318496D5" w14:textId="77777777" w:rsidR="00DF26F8" w:rsidRPr="00D82DA6" w:rsidRDefault="00DF26F8" w:rsidP="00080449">
            <w:pPr>
              <w:jc w:val="center"/>
              <w:rPr>
                <w:b/>
                <w:bCs/>
                <w:sz w:val="20"/>
                <w:szCs w:val="20"/>
                <w:lang w:val="es-419" w:eastAsia="en-GB"/>
              </w:rPr>
            </w:pPr>
            <w:r w:rsidRPr="00D82DA6">
              <w:rPr>
                <w:b/>
                <w:bCs/>
                <w:sz w:val="20"/>
                <w:szCs w:val="20"/>
                <w:lang w:val="es-419" w:eastAsia="en-GB"/>
              </w:rPr>
              <w:t>Sector/Aplicación</w:t>
            </w:r>
          </w:p>
        </w:tc>
        <w:tc>
          <w:tcPr>
            <w:tcW w:w="1268"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469B3B20" w14:textId="77777777" w:rsidR="00DF26F8" w:rsidRPr="00D82DA6" w:rsidRDefault="00DF26F8" w:rsidP="00080449">
            <w:pPr>
              <w:jc w:val="center"/>
              <w:rPr>
                <w:b/>
                <w:bCs/>
                <w:sz w:val="20"/>
                <w:szCs w:val="20"/>
                <w:lang w:val="es-419" w:eastAsia="en-GB"/>
              </w:rPr>
            </w:pPr>
            <w:r w:rsidRPr="00D82DA6">
              <w:rPr>
                <w:b/>
                <w:bCs/>
                <w:sz w:val="20"/>
                <w:szCs w:val="20"/>
                <w:lang w:val="es-419" w:eastAsia="en-GB"/>
              </w:rPr>
              <w:t>(a)</w:t>
            </w:r>
          </w:p>
        </w:tc>
        <w:tc>
          <w:tcPr>
            <w:tcW w:w="108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4C381AFB" w14:textId="77777777" w:rsidR="00DF26F8" w:rsidRPr="00D82DA6" w:rsidRDefault="00DF26F8" w:rsidP="00080449">
            <w:pPr>
              <w:jc w:val="center"/>
              <w:rPr>
                <w:b/>
                <w:bCs/>
                <w:sz w:val="20"/>
                <w:szCs w:val="20"/>
                <w:lang w:val="es-419" w:eastAsia="en-GB"/>
              </w:rPr>
            </w:pPr>
            <w:r w:rsidRPr="00D82DA6">
              <w:rPr>
                <w:b/>
                <w:bCs/>
                <w:sz w:val="20"/>
                <w:szCs w:val="20"/>
                <w:lang w:val="es-419" w:eastAsia="en-GB"/>
              </w:rPr>
              <w:t>(b)</w:t>
            </w:r>
          </w:p>
        </w:tc>
        <w:tc>
          <w:tcPr>
            <w:tcW w:w="117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1F6FFFA7" w14:textId="77777777" w:rsidR="00DF26F8" w:rsidRPr="00D82DA6" w:rsidRDefault="00DF26F8" w:rsidP="00080449">
            <w:pPr>
              <w:jc w:val="center"/>
              <w:rPr>
                <w:b/>
                <w:bCs/>
                <w:sz w:val="20"/>
                <w:szCs w:val="20"/>
                <w:lang w:val="es-419" w:eastAsia="en-GB"/>
              </w:rPr>
            </w:pPr>
            <w:r w:rsidRPr="00D82DA6">
              <w:rPr>
                <w:b/>
                <w:bCs/>
                <w:sz w:val="20"/>
                <w:szCs w:val="20"/>
                <w:lang w:val="es-419" w:eastAsia="en-GB"/>
              </w:rPr>
              <w:t>(c)=(a)*(b)</w:t>
            </w:r>
          </w:p>
        </w:tc>
        <w:tc>
          <w:tcPr>
            <w:tcW w:w="162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26AF75CC" w14:textId="77777777" w:rsidR="00DF26F8" w:rsidRPr="00D82DA6" w:rsidRDefault="00DF26F8" w:rsidP="00080449">
            <w:pPr>
              <w:jc w:val="center"/>
              <w:rPr>
                <w:b/>
                <w:bCs/>
                <w:sz w:val="20"/>
                <w:szCs w:val="20"/>
                <w:lang w:val="es-419" w:eastAsia="en-GB"/>
              </w:rPr>
            </w:pPr>
            <w:r w:rsidRPr="00D82DA6">
              <w:rPr>
                <w:b/>
                <w:bCs/>
                <w:sz w:val="20"/>
                <w:szCs w:val="20"/>
                <w:lang w:val="es-419" w:eastAsia="en-GB"/>
              </w:rPr>
              <w:t>(d)</w:t>
            </w:r>
          </w:p>
        </w:tc>
        <w:tc>
          <w:tcPr>
            <w:tcW w:w="1620" w:type="dxa"/>
            <w:tcBorders>
              <w:top w:val="single" w:sz="8" w:space="0" w:color="auto"/>
              <w:left w:val="single" w:sz="8" w:space="0" w:color="auto"/>
              <w:bottom w:val="single" w:sz="8" w:space="0" w:color="000000"/>
              <w:right w:val="single" w:sz="8" w:space="0" w:color="auto"/>
            </w:tcBorders>
            <w:shd w:val="clear" w:color="000000" w:fill="FFFFFF"/>
            <w:vAlign w:val="center"/>
            <w:hideMark/>
          </w:tcPr>
          <w:p w14:paraId="3446DB91" w14:textId="77777777" w:rsidR="00DF26F8" w:rsidRPr="00D82DA6" w:rsidRDefault="00DF26F8" w:rsidP="00080449">
            <w:pPr>
              <w:jc w:val="center"/>
              <w:rPr>
                <w:b/>
                <w:bCs/>
                <w:sz w:val="20"/>
                <w:szCs w:val="20"/>
                <w:lang w:val="es-419" w:eastAsia="en-GB"/>
              </w:rPr>
            </w:pPr>
            <w:r w:rsidRPr="00D82DA6">
              <w:rPr>
                <w:b/>
                <w:bCs/>
                <w:sz w:val="20"/>
                <w:szCs w:val="20"/>
                <w:lang w:val="es-419" w:eastAsia="en-GB"/>
              </w:rPr>
              <w:t>(e)=(c)*(d)</w:t>
            </w:r>
          </w:p>
        </w:tc>
      </w:tr>
      <w:tr w:rsidR="00DF26F8" w:rsidRPr="00B33AEE" w14:paraId="632FA018" w14:textId="77777777" w:rsidTr="00903A42">
        <w:trPr>
          <w:gridAfter w:val="1"/>
          <w:wAfter w:w="432" w:type="dxa"/>
          <w:trHeight w:val="592"/>
          <w:tblHeader/>
        </w:trPr>
        <w:tc>
          <w:tcPr>
            <w:tcW w:w="2772" w:type="dxa"/>
            <w:vMerge/>
            <w:tcBorders>
              <w:left w:val="single" w:sz="8" w:space="0" w:color="auto"/>
              <w:bottom w:val="single" w:sz="8" w:space="0" w:color="auto"/>
              <w:right w:val="single" w:sz="8" w:space="0" w:color="auto"/>
            </w:tcBorders>
            <w:shd w:val="clear" w:color="000000" w:fill="FFFFFF"/>
            <w:vAlign w:val="center"/>
            <w:hideMark/>
          </w:tcPr>
          <w:p w14:paraId="56F10808" w14:textId="77777777" w:rsidR="00DF26F8" w:rsidRPr="00D82DA6" w:rsidRDefault="00DF26F8" w:rsidP="00080449">
            <w:pPr>
              <w:rPr>
                <w:b/>
                <w:bCs/>
                <w:sz w:val="20"/>
                <w:szCs w:val="20"/>
                <w:lang w:val="es-419" w:eastAsia="en-GB"/>
              </w:rPr>
            </w:pPr>
          </w:p>
        </w:tc>
        <w:tc>
          <w:tcPr>
            <w:tcW w:w="1268" w:type="dxa"/>
            <w:tcBorders>
              <w:top w:val="nil"/>
              <w:left w:val="nil"/>
              <w:bottom w:val="single" w:sz="8" w:space="0" w:color="auto"/>
              <w:right w:val="single" w:sz="8" w:space="0" w:color="auto"/>
            </w:tcBorders>
            <w:shd w:val="clear" w:color="auto" w:fill="auto"/>
            <w:vAlign w:val="center"/>
            <w:hideMark/>
          </w:tcPr>
          <w:p w14:paraId="77CE054D" w14:textId="77777777" w:rsidR="00DF26F8" w:rsidRPr="00D82DA6" w:rsidRDefault="00DF26F8" w:rsidP="00080449">
            <w:pPr>
              <w:jc w:val="center"/>
              <w:rPr>
                <w:b/>
                <w:bCs/>
                <w:sz w:val="20"/>
                <w:szCs w:val="20"/>
                <w:lang w:val="es-419" w:eastAsia="en-GB"/>
              </w:rPr>
            </w:pPr>
            <w:r w:rsidRPr="00D82DA6">
              <w:rPr>
                <w:b/>
                <w:bCs/>
                <w:kern w:val="2"/>
                <w:sz w:val="20"/>
                <w:szCs w:val="20"/>
                <w:lang w:val="es-419" w:eastAsia="en-GB"/>
              </w:rPr>
              <w:t>Inventario de equipos</w:t>
            </w:r>
          </w:p>
        </w:tc>
        <w:tc>
          <w:tcPr>
            <w:tcW w:w="1080" w:type="dxa"/>
            <w:tcBorders>
              <w:top w:val="nil"/>
              <w:left w:val="nil"/>
              <w:bottom w:val="single" w:sz="8" w:space="0" w:color="auto"/>
              <w:right w:val="single" w:sz="8" w:space="0" w:color="auto"/>
            </w:tcBorders>
            <w:shd w:val="clear" w:color="auto" w:fill="auto"/>
            <w:vAlign w:val="center"/>
            <w:hideMark/>
          </w:tcPr>
          <w:p w14:paraId="35AE587A" w14:textId="77777777" w:rsidR="00DF26F8" w:rsidRPr="00D82DA6" w:rsidRDefault="00DF26F8" w:rsidP="00080449">
            <w:pPr>
              <w:jc w:val="center"/>
              <w:rPr>
                <w:b/>
                <w:bCs/>
                <w:sz w:val="20"/>
                <w:szCs w:val="20"/>
                <w:lang w:val="es-419" w:eastAsia="en-GB"/>
              </w:rPr>
            </w:pPr>
            <w:r w:rsidRPr="00D82DA6">
              <w:rPr>
                <w:b/>
                <w:bCs/>
                <w:kern w:val="2"/>
                <w:sz w:val="20"/>
                <w:szCs w:val="20"/>
                <w:lang w:val="es-419" w:eastAsia="en-GB"/>
              </w:rPr>
              <w:t>Carga media (kg)</w:t>
            </w:r>
          </w:p>
        </w:tc>
        <w:tc>
          <w:tcPr>
            <w:tcW w:w="1170" w:type="dxa"/>
            <w:tcBorders>
              <w:top w:val="nil"/>
              <w:left w:val="nil"/>
              <w:bottom w:val="single" w:sz="8" w:space="0" w:color="auto"/>
              <w:right w:val="single" w:sz="8" w:space="0" w:color="auto"/>
            </w:tcBorders>
            <w:shd w:val="clear" w:color="auto" w:fill="auto"/>
            <w:vAlign w:val="center"/>
            <w:hideMark/>
          </w:tcPr>
          <w:p w14:paraId="7C8523BF" w14:textId="77777777" w:rsidR="00DF26F8" w:rsidRPr="00D82DA6" w:rsidRDefault="00DF26F8" w:rsidP="00080449">
            <w:pPr>
              <w:jc w:val="center"/>
              <w:rPr>
                <w:b/>
                <w:bCs/>
                <w:sz w:val="20"/>
                <w:szCs w:val="20"/>
                <w:lang w:val="es-419" w:eastAsia="en-GB"/>
              </w:rPr>
            </w:pPr>
            <w:r w:rsidRPr="00D82DA6">
              <w:rPr>
                <w:b/>
                <w:bCs/>
                <w:kern w:val="2"/>
                <w:sz w:val="20"/>
                <w:szCs w:val="20"/>
                <w:lang w:val="es-419" w:eastAsia="en-GB"/>
              </w:rPr>
              <w:t>Banco de HCFC (tm)</w:t>
            </w:r>
          </w:p>
        </w:tc>
        <w:tc>
          <w:tcPr>
            <w:tcW w:w="1620" w:type="dxa"/>
            <w:tcBorders>
              <w:top w:val="nil"/>
              <w:left w:val="nil"/>
              <w:bottom w:val="single" w:sz="8" w:space="0" w:color="auto"/>
              <w:right w:val="single" w:sz="8" w:space="0" w:color="auto"/>
            </w:tcBorders>
            <w:shd w:val="clear" w:color="auto" w:fill="auto"/>
            <w:vAlign w:val="center"/>
            <w:hideMark/>
          </w:tcPr>
          <w:p w14:paraId="1AB95804" w14:textId="77777777" w:rsidR="00DF26F8" w:rsidRPr="00D82DA6" w:rsidRDefault="00DF26F8" w:rsidP="00080449">
            <w:pPr>
              <w:jc w:val="center"/>
              <w:rPr>
                <w:b/>
                <w:bCs/>
                <w:sz w:val="20"/>
                <w:szCs w:val="20"/>
                <w:lang w:val="es-419" w:eastAsia="en-GB"/>
              </w:rPr>
            </w:pPr>
            <w:r w:rsidRPr="00D82DA6">
              <w:rPr>
                <w:b/>
                <w:bCs/>
                <w:kern w:val="2"/>
                <w:sz w:val="20"/>
                <w:szCs w:val="20"/>
                <w:lang w:val="es-419" w:eastAsia="en-GB"/>
              </w:rPr>
              <w:t>Banco estimado rellenado durante el servicio (%)</w:t>
            </w:r>
          </w:p>
        </w:tc>
        <w:tc>
          <w:tcPr>
            <w:tcW w:w="1620" w:type="dxa"/>
            <w:tcBorders>
              <w:top w:val="nil"/>
              <w:left w:val="nil"/>
              <w:bottom w:val="single" w:sz="8" w:space="0" w:color="auto"/>
              <w:right w:val="single" w:sz="8" w:space="0" w:color="auto"/>
            </w:tcBorders>
            <w:shd w:val="clear" w:color="auto" w:fill="auto"/>
            <w:vAlign w:val="center"/>
            <w:hideMark/>
          </w:tcPr>
          <w:p w14:paraId="53724E38" w14:textId="77777777" w:rsidR="00DF26F8" w:rsidRPr="00D82DA6" w:rsidRDefault="00DF26F8" w:rsidP="00080449">
            <w:pPr>
              <w:jc w:val="center"/>
              <w:rPr>
                <w:rFonts w:ascii="Calibri" w:hAnsi="Calibri" w:cs="Calibri"/>
                <w:b/>
                <w:bCs/>
                <w:sz w:val="20"/>
                <w:szCs w:val="20"/>
                <w:lang w:val="es-419" w:eastAsia="en-GB"/>
              </w:rPr>
            </w:pPr>
            <w:r w:rsidRPr="00D82DA6">
              <w:rPr>
                <w:b/>
                <w:bCs/>
                <w:kern w:val="2"/>
                <w:sz w:val="20"/>
                <w:szCs w:val="20"/>
                <w:lang w:val="es-419" w:eastAsia="en-GB"/>
              </w:rPr>
              <w:t>Necesidades anuales de servicio ( tm)</w:t>
            </w:r>
          </w:p>
        </w:tc>
      </w:tr>
      <w:tr w:rsidR="00DF26F8" w:rsidRPr="00D82DA6" w14:paraId="68CE3D08" w14:textId="77777777" w:rsidTr="00080449">
        <w:trPr>
          <w:gridAfter w:val="1"/>
          <w:wAfter w:w="432" w:type="dxa"/>
          <w:trHeight w:val="358"/>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351DAC2F" w14:textId="77777777" w:rsidR="00DF26F8" w:rsidRPr="00D82DA6" w:rsidRDefault="00DF26F8" w:rsidP="00080449">
            <w:pPr>
              <w:jc w:val="left"/>
              <w:rPr>
                <w:sz w:val="20"/>
                <w:szCs w:val="20"/>
                <w:lang w:val="es-419" w:eastAsia="en-GB"/>
              </w:rPr>
            </w:pPr>
            <w:r w:rsidRPr="00D82DA6">
              <w:rPr>
                <w:sz w:val="20"/>
                <w:szCs w:val="20"/>
                <w:lang w:val="es-419" w:eastAsia="en-GB"/>
              </w:rPr>
              <w:t>Aire acondicionado residencial (unidades autónomas, en dos bloques y portátiles)</w:t>
            </w:r>
          </w:p>
        </w:tc>
        <w:tc>
          <w:tcPr>
            <w:tcW w:w="1268" w:type="dxa"/>
            <w:tcBorders>
              <w:top w:val="nil"/>
              <w:left w:val="nil"/>
              <w:bottom w:val="single" w:sz="8" w:space="0" w:color="000000"/>
              <w:right w:val="single" w:sz="8" w:space="0" w:color="000000"/>
            </w:tcBorders>
            <w:shd w:val="clear" w:color="auto" w:fill="auto"/>
            <w:vAlign w:val="center"/>
            <w:hideMark/>
          </w:tcPr>
          <w:p w14:paraId="4E635D64" w14:textId="77777777" w:rsidR="00DF26F8" w:rsidRPr="00D82DA6" w:rsidRDefault="00DF26F8" w:rsidP="00080449">
            <w:pPr>
              <w:jc w:val="center"/>
              <w:rPr>
                <w:sz w:val="20"/>
                <w:szCs w:val="20"/>
                <w:lang w:val="es-419" w:eastAsia="en-GB"/>
              </w:rPr>
            </w:pPr>
            <w:r w:rsidRPr="00D82DA6">
              <w:rPr>
                <w:sz w:val="20"/>
                <w:szCs w:val="20"/>
                <w:lang w:val="es-419" w:eastAsia="en-GB"/>
              </w:rPr>
              <w:t>14 184</w:t>
            </w:r>
          </w:p>
        </w:tc>
        <w:tc>
          <w:tcPr>
            <w:tcW w:w="1080" w:type="dxa"/>
            <w:tcBorders>
              <w:top w:val="nil"/>
              <w:left w:val="nil"/>
              <w:bottom w:val="single" w:sz="8" w:space="0" w:color="000000"/>
              <w:right w:val="single" w:sz="8" w:space="0" w:color="000000"/>
            </w:tcBorders>
            <w:shd w:val="clear" w:color="auto" w:fill="auto"/>
            <w:vAlign w:val="center"/>
            <w:hideMark/>
          </w:tcPr>
          <w:p w14:paraId="5502A8C2" w14:textId="77777777" w:rsidR="00DF26F8" w:rsidRPr="00D82DA6" w:rsidRDefault="00DF26F8" w:rsidP="00080449">
            <w:pPr>
              <w:jc w:val="center"/>
              <w:rPr>
                <w:sz w:val="20"/>
                <w:szCs w:val="20"/>
                <w:lang w:val="es-419" w:eastAsia="en-GB"/>
              </w:rPr>
            </w:pPr>
            <w:r w:rsidRPr="00D82DA6">
              <w:rPr>
                <w:sz w:val="20"/>
                <w:szCs w:val="20"/>
                <w:lang w:val="es-419" w:eastAsia="en-GB"/>
              </w:rPr>
              <w:t>1,5</w:t>
            </w:r>
          </w:p>
        </w:tc>
        <w:tc>
          <w:tcPr>
            <w:tcW w:w="1170" w:type="dxa"/>
            <w:tcBorders>
              <w:top w:val="nil"/>
              <w:left w:val="nil"/>
              <w:bottom w:val="single" w:sz="8" w:space="0" w:color="000000"/>
              <w:right w:val="single" w:sz="8" w:space="0" w:color="000000"/>
            </w:tcBorders>
            <w:shd w:val="clear" w:color="auto" w:fill="auto"/>
            <w:vAlign w:val="center"/>
            <w:hideMark/>
          </w:tcPr>
          <w:p w14:paraId="6210F5BD" w14:textId="77777777" w:rsidR="00DF26F8" w:rsidRPr="00D82DA6" w:rsidRDefault="00DF26F8" w:rsidP="00080449">
            <w:pPr>
              <w:jc w:val="center"/>
              <w:rPr>
                <w:sz w:val="20"/>
                <w:szCs w:val="20"/>
                <w:lang w:val="es-419" w:eastAsia="en-GB"/>
              </w:rPr>
            </w:pPr>
            <w:r w:rsidRPr="00D82DA6">
              <w:rPr>
                <w:sz w:val="20"/>
                <w:szCs w:val="20"/>
                <w:lang w:val="es-419" w:eastAsia="en-GB"/>
              </w:rPr>
              <w:t>21,27</w:t>
            </w:r>
          </w:p>
        </w:tc>
        <w:tc>
          <w:tcPr>
            <w:tcW w:w="1620" w:type="dxa"/>
            <w:tcBorders>
              <w:top w:val="nil"/>
              <w:left w:val="nil"/>
              <w:bottom w:val="single" w:sz="8" w:space="0" w:color="000000"/>
              <w:right w:val="single" w:sz="8" w:space="0" w:color="000000"/>
            </w:tcBorders>
            <w:shd w:val="clear" w:color="auto" w:fill="auto"/>
            <w:vAlign w:val="center"/>
            <w:hideMark/>
          </w:tcPr>
          <w:p w14:paraId="3FB036A4" w14:textId="77777777" w:rsidR="00DF26F8" w:rsidRPr="00D82DA6" w:rsidRDefault="00DF26F8" w:rsidP="00080449">
            <w:pPr>
              <w:jc w:val="center"/>
              <w:rPr>
                <w:sz w:val="20"/>
                <w:szCs w:val="20"/>
                <w:lang w:val="es-419" w:eastAsia="en-GB"/>
              </w:rPr>
            </w:pPr>
            <w:r w:rsidRPr="00D82DA6">
              <w:rPr>
                <w:sz w:val="20"/>
                <w:szCs w:val="20"/>
                <w:lang w:val="es-419" w:eastAsia="en-GB"/>
              </w:rPr>
              <w:t>25</w:t>
            </w:r>
          </w:p>
        </w:tc>
        <w:tc>
          <w:tcPr>
            <w:tcW w:w="1620" w:type="dxa"/>
            <w:tcBorders>
              <w:top w:val="nil"/>
              <w:left w:val="nil"/>
              <w:bottom w:val="single" w:sz="8" w:space="0" w:color="000000"/>
              <w:right w:val="single" w:sz="8" w:space="0" w:color="000000"/>
            </w:tcBorders>
            <w:shd w:val="clear" w:color="auto" w:fill="auto"/>
            <w:vAlign w:val="center"/>
            <w:hideMark/>
          </w:tcPr>
          <w:p w14:paraId="662D0964" w14:textId="77777777" w:rsidR="00DF26F8" w:rsidRPr="00D82DA6" w:rsidRDefault="00DF26F8" w:rsidP="00080449">
            <w:pPr>
              <w:jc w:val="center"/>
              <w:rPr>
                <w:sz w:val="20"/>
                <w:szCs w:val="20"/>
                <w:lang w:val="es-419" w:eastAsia="en-GB"/>
              </w:rPr>
            </w:pPr>
            <w:r w:rsidRPr="00D82DA6">
              <w:rPr>
                <w:kern w:val="2"/>
                <w:sz w:val="20"/>
                <w:szCs w:val="20"/>
                <w:lang w:val="es-419" w:eastAsia="en-GB"/>
              </w:rPr>
              <w:t>5,32</w:t>
            </w:r>
          </w:p>
        </w:tc>
      </w:tr>
      <w:tr w:rsidR="00DF26F8" w:rsidRPr="00D82DA6" w14:paraId="0D67FE41" w14:textId="77777777" w:rsidTr="00080449">
        <w:trPr>
          <w:gridAfter w:val="1"/>
          <w:wAfter w:w="432" w:type="dxa"/>
          <w:trHeight w:val="491"/>
        </w:trPr>
        <w:tc>
          <w:tcPr>
            <w:tcW w:w="2772" w:type="dxa"/>
            <w:vMerge w:val="restart"/>
            <w:tcBorders>
              <w:top w:val="nil"/>
              <w:left w:val="single" w:sz="8" w:space="0" w:color="auto"/>
              <w:bottom w:val="single" w:sz="8" w:space="0" w:color="000000"/>
              <w:right w:val="single" w:sz="8" w:space="0" w:color="auto"/>
            </w:tcBorders>
            <w:shd w:val="clear" w:color="auto" w:fill="auto"/>
            <w:vAlign w:val="center"/>
            <w:hideMark/>
          </w:tcPr>
          <w:p w14:paraId="4B0857D6" w14:textId="77777777" w:rsidR="00DF26F8" w:rsidRPr="00D82DA6" w:rsidRDefault="00DF26F8" w:rsidP="00080449">
            <w:pPr>
              <w:jc w:val="left"/>
              <w:rPr>
                <w:sz w:val="20"/>
                <w:szCs w:val="20"/>
                <w:lang w:val="es-419" w:eastAsia="en-GB"/>
              </w:rPr>
            </w:pPr>
            <w:r w:rsidRPr="00D82DA6">
              <w:rPr>
                <w:sz w:val="20"/>
                <w:szCs w:val="20"/>
                <w:lang w:val="es-419" w:eastAsia="en-GB"/>
              </w:rPr>
              <w:t>Aire acondicionado comercial (varios bloques, sistemas centrales, vitrinas)</w:t>
            </w:r>
          </w:p>
        </w:tc>
        <w:tc>
          <w:tcPr>
            <w:tcW w:w="1268" w:type="dxa"/>
            <w:vMerge w:val="restart"/>
            <w:tcBorders>
              <w:top w:val="nil"/>
              <w:left w:val="single" w:sz="8" w:space="0" w:color="auto"/>
              <w:bottom w:val="single" w:sz="8" w:space="0" w:color="000000"/>
              <w:right w:val="single" w:sz="8" w:space="0" w:color="000000"/>
            </w:tcBorders>
            <w:shd w:val="clear" w:color="auto" w:fill="auto"/>
            <w:vAlign w:val="center"/>
            <w:hideMark/>
          </w:tcPr>
          <w:p w14:paraId="1A1E9738" w14:textId="77777777" w:rsidR="00DF26F8" w:rsidRPr="00D82DA6" w:rsidRDefault="00DF26F8" w:rsidP="00080449">
            <w:pPr>
              <w:jc w:val="center"/>
              <w:rPr>
                <w:sz w:val="20"/>
                <w:szCs w:val="20"/>
                <w:lang w:val="es-419" w:eastAsia="en-GB"/>
              </w:rPr>
            </w:pPr>
            <w:r w:rsidRPr="00D82DA6">
              <w:rPr>
                <w:kern w:val="2"/>
                <w:sz w:val="20"/>
                <w:szCs w:val="20"/>
                <w:lang w:val="es-419" w:eastAsia="en-GB"/>
              </w:rPr>
              <w:t>2 341</w:t>
            </w:r>
          </w:p>
        </w:tc>
        <w:tc>
          <w:tcPr>
            <w:tcW w:w="10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9BF718" w14:textId="77777777" w:rsidR="00DF26F8" w:rsidRPr="00D82DA6" w:rsidRDefault="00DF26F8" w:rsidP="00080449">
            <w:pPr>
              <w:jc w:val="center"/>
              <w:rPr>
                <w:sz w:val="20"/>
                <w:szCs w:val="20"/>
                <w:lang w:val="es-419" w:eastAsia="en-GB"/>
              </w:rPr>
            </w:pPr>
            <w:r w:rsidRPr="00D82DA6">
              <w:rPr>
                <w:sz w:val="20"/>
                <w:szCs w:val="20"/>
                <w:lang w:val="es-419" w:eastAsia="en-GB"/>
              </w:rPr>
              <w:t>8</w:t>
            </w:r>
          </w:p>
        </w:tc>
        <w:tc>
          <w:tcPr>
            <w:tcW w:w="117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630C97" w14:textId="77777777" w:rsidR="00DF26F8" w:rsidRPr="00D82DA6" w:rsidRDefault="00DF26F8" w:rsidP="00080449">
            <w:pPr>
              <w:jc w:val="center"/>
              <w:rPr>
                <w:sz w:val="20"/>
                <w:szCs w:val="20"/>
                <w:lang w:val="es-419" w:eastAsia="en-GB"/>
              </w:rPr>
            </w:pPr>
            <w:r w:rsidRPr="00D82DA6">
              <w:rPr>
                <w:sz w:val="20"/>
                <w:szCs w:val="20"/>
                <w:lang w:val="es-419" w:eastAsia="en-GB"/>
              </w:rPr>
              <w:t>18,73</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6E6D185" w14:textId="77777777" w:rsidR="00DF26F8" w:rsidRPr="00D82DA6" w:rsidRDefault="00DF26F8" w:rsidP="00080449">
            <w:pPr>
              <w:jc w:val="center"/>
              <w:rPr>
                <w:sz w:val="20"/>
                <w:szCs w:val="20"/>
                <w:lang w:val="es-419" w:eastAsia="en-GB"/>
              </w:rPr>
            </w:pPr>
            <w:r w:rsidRPr="00D82DA6">
              <w:rPr>
                <w:kern w:val="2"/>
                <w:sz w:val="20"/>
                <w:szCs w:val="20"/>
                <w:lang w:val="es-419" w:eastAsia="en-GB"/>
              </w:rPr>
              <w:t>22</w:t>
            </w:r>
          </w:p>
        </w:tc>
        <w:tc>
          <w:tcPr>
            <w:tcW w:w="162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000E543" w14:textId="77777777" w:rsidR="00DF26F8" w:rsidRPr="00D82DA6" w:rsidRDefault="00DF26F8" w:rsidP="00080449">
            <w:pPr>
              <w:jc w:val="center"/>
              <w:rPr>
                <w:sz w:val="20"/>
                <w:szCs w:val="20"/>
                <w:lang w:val="es-419" w:eastAsia="en-GB"/>
              </w:rPr>
            </w:pPr>
            <w:r w:rsidRPr="00D82DA6">
              <w:rPr>
                <w:kern w:val="2"/>
                <w:sz w:val="20"/>
                <w:szCs w:val="20"/>
                <w:lang w:val="es-419" w:eastAsia="en-GB"/>
              </w:rPr>
              <w:t>4,12</w:t>
            </w:r>
          </w:p>
        </w:tc>
      </w:tr>
      <w:tr w:rsidR="00DF26F8" w:rsidRPr="00D82DA6" w14:paraId="7E523837" w14:textId="77777777" w:rsidTr="00080449">
        <w:trPr>
          <w:trHeight w:val="50"/>
        </w:trPr>
        <w:tc>
          <w:tcPr>
            <w:tcW w:w="2772" w:type="dxa"/>
            <w:vMerge/>
            <w:tcBorders>
              <w:top w:val="nil"/>
              <w:left w:val="single" w:sz="8" w:space="0" w:color="auto"/>
              <w:bottom w:val="single" w:sz="8" w:space="0" w:color="000000"/>
              <w:right w:val="single" w:sz="8" w:space="0" w:color="auto"/>
            </w:tcBorders>
            <w:vAlign w:val="center"/>
            <w:hideMark/>
          </w:tcPr>
          <w:p w14:paraId="6991BEF4" w14:textId="77777777" w:rsidR="00DF26F8" w:rsidRPr="00D82DA6" w:rsidRDefault="00DF26F8" w:rsidP="00080449">
            <w:pPr>
              <w:jc w:val="left"/>
              <w:rPr>
                <w:sz w:val="20"/>
                <w:szCs w:val="20"/>
                <w:lang w:val="es-419" w:eastAsia="en-GB"/>
              </w:rPr>
            </w:pPr>
          </w:p>
        </w:tc>
        <w:tc>
          <w:tcPr>
            <w:tcW w:w="1268" w:type="dxa"/>
            <w:vMerge/>
            <w:tcBorders>
              <w:top w:val="nil"/>
              <w:left w:val="single" w:sz="8" w:space="0" w:color="auto"/>
              <w:bottom w:val="single" w:sz="8" w:space="0" w:color="000000"/>
              <w:right w:val="single" w:sz="8" w:space="0" w:color="000000"/>
            </w:tcBorders>
            <w:vAlign w:val="center"/>
            <w:hideMark/>
          </w:tcPr>
          <w:p w14:paraId="17579173" w14:textId="77777777" w:rsidR="00DF26F8" w:rsidRPr="00D82DA6" w:rsidRDefault="00DF26F8" w:rsidP="00080449">
            <w:pPr>
              <w:jc w:val="left"/>
              <w:rPr>
                <w:sz w:val="20"/>
                <w:szCs w:val="20"/>
                <w:lang w:val="es-419" w:eastAsia="en-GB"/>
              </w:rPr>
            </w:pPr>
          </w:p>
        </w:tc>
        <w:tc>
          <w:tcPr>
            <w:tcW w:w="1080" w:type="dxa"/>
            <w:vMerge/>
            <w:tcBorders>
              <w:top w:val="nil"/>
              <w:left w:val="single" w:sz="8" w:space="0" w:color="000000"/>
              <w:bottom w:val="single" w:sz="8" w:space="0" w:color="000000"/>
              <w:right w:val="single" w:sz="8" w:space="0" w:color="000000"/>
            </w:tcBorders>
            <w:vAlign w:val="center"/>
            <w:hideMark/>
          </w:tcPr>
          <w:p w14:paraId="1573B774" w14:textId="77777777" w:rsidR="00DF26F8" w:rsidRPr="00D82DA6" w:rsidRDefault="00DF26F8" w:rsidP="00080449">
            <w:pPr>
              <w:jc w:val="left"/>
              <w:rPr>
                <w:sz w:val="20"/>
                <w:szCs w:val="20"/>
                <w:lang w:val="es-419" w:eastAsia="en-GB"/>
              </w:rPr>
            </w:pPr>
          </w:p>
        </w:tc>
        <w:tc>
          <w:tcPr>
            <w:tcW w:w="1170" w:type="dxa"/>
            <w:vMerge/>
            <w:tcBorders>
              <w:top w:val="nil"/>
              <w:left w:val="single" w:sz="8" w:space="0" w:color="000000"/>
              <w:bottom w:val="single" w:sz="8" w:space="0" w:color="000000"/>
              <w:right w:val="single" w:sz="8" w:space="0" w:color="000000"/>
            </w:tcBorders>
            <w:vAlign w:val="center"/>
            <w:hideMark/>
          </w:tcPr>
          <w:p w14:paraId="1351AC58" w14:textId="77777777" w:rsidR="00DF26F8" w:rsidRPr="00D82DA6" w:rsidRDefault="00DF26F8" w:rsidP="00080449">
            <w:pPr>
              <w:jc w:val="left"/>
              <w:rPr>
                <w:sz w:val="20"/>
                <w:szCs w:val="20"/>
                <w:lang w:val="es-419" w:eastAsia="en-GB"/>
              </w:rPr>
            </w:pPr>
          </w:p>
        </w:tc>
        <w:tc>
          <w:tcPr>
            <w:tcW w:w="1620" w:type="dxa"/>
            <w:vMerge/>
            <w:tcBorders>
              <w:top w:val="nil"/>
              <w:left w:val="single" w:sz="8" w:space="0" w:color="000000"/>
              <w:bottom w:val="single" w:sz="8" w:space="0" w:color="000000"/>
              <w:right w:val="single" w:sz="8" w:space="0" w:color="000000"/>
            </w:tcBorders>
            <w:vAlign w:val="center"/>
            <w:hideMark/>
          </w:tcPr>
          <w:p w14:paraId="3F4D5F38" w14:textId="77777777" w:rsidR="00DF26F8" w:rsidRPr="00D82DA6" w:rsidRDefault="00DF26F8" w:rsidP="00080449">
            <w:pPr>
              <w:jc w:val="left"/>
              <w:rPr>
                <w:sz w:val="20"/>
                <w:szCs w:val="20"/>
                <w:lang w:val="es-419" w:eastAsia="en-GB"/>
              </w:rPr>
            </w:pPr>
          </w:p>
        </w:tc>
        <w:tc>
          <w:tcPr>
            <w:tcW w:w="1620" w:type="dxa"/>
            <w:vMerge/>
            <w:tcBorders>
              <w:top w:val="nil"/>
              <w:left w:val="single" w:sz="8" w:space="0" w:color="000000"/>
              <w:bottom w:val="single" w:sz="8" w:space="0" w:color="000000"/>
              <w:right w:val="single" w:sz="8" w:space="0" w:color="000000"/>
            </w:tcBorders>
            <w:vAlign w:val="center"/>
            <w:hideMark/>
          </w:tcPr>
          <w:p w14:paraId="164ACA7A" w14:textId="77777777" w:rsidR="00DF26F8" w:rsidRPr="00D82DA6" w:rsidRDefault="00DF26F8" w:rsidP="00080449">
            <w:pPr>
              <w:jc w:val="left"/>
              <w:rPr>
                <w:sz w:val="20"/>
                <w:szCs w:val="20"/>
                <w:lang w:val="es-419" w:eastAsia="en-GB"/>
              </w:rPr>
            </w:pPr>
          </w:p>
        </w:tc>
        <w:tc>
          <w:tcPr>
            <w:tcW w:w="432" w:type="dxa"/>
            <w:tcBorders>
              <w:top w:val="nil"/>
              <w:left w:val="nil"/>
              <w:bottom w:val="nil"/>
              <w:right w:val="nil"/>
            </w:tcBorders>
            <w:shd w:val="clear" w:color="auto" w:fill="auto"/>
            <w:noWrap/>
            <w:vAlign w:val="bottom"/>
          </w:tcPr>
          <w:p w14:paraId="4E4669B6" w14:textId="77777777" w:rsidR="00DF26F8" w:rsidRPr="00D82DA6" w:rsidRDefault="00DF26F8" w:rsidP="00080449">
            <w:pPr>
              <w:jc w:val="center"/>
              <w:rPr>
                <w:sz w:val="20"/>
                <w:szCs w:val="20"/>
                <w:lang w:val="es-419" w:eastAsia="en-GB"/>
              </w:rPr>
            </w:pPr>
          </w:p>
        </w:tc>
      </w:tr>
      <w:tr w:rsidR="00DF26F8" w:rsidRPr="00D82DA6" w14:paraId="407340E0" w14:textId="77777777" w:rsidTr="00080449">
        <w:trPr>
          <w:trHeight w:val="646"/>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334392AA" w14:textId="77777777" w:rsidR="00DF26F8" w:rsidRPr="00D82DA6" w:rsidRDefault="00DF26F8" w:rsidP="00080449">
            <w:pPr>
              <w:jc w:val="left"/>
              <w:rPr>
                <w:sz w:val="20"/>
                <w:szCs w:val="20"/>
                <w:lang w:val="es-419" w:eastAsia="en-GB"/>
              </w:rPr>
            </w:pPr>
            <w:r w:rsidRPr="00D82DA6">
              <w:rPr>
                <w:sz w:val="20"/>
                <w:szCs w:val="20"/>
                <w:lang w:val="es-419" w:eastAsia="en-GB"/>
              </w:rPr>
              <w:t>Refrigeración comercial (cámaras frigoríficas, congeladores, tanques refrigerados, enfriadores, vitrinas)</w:t>
            </w:r>
          </w:p>
        </w:tc>
        <w:tc>
          <w:tcPr>
            <w:tcW w:w="1268" w:type="dxa"/>
            <w:tcBorders>
              <w:top w:val="nil"/>
              <w:left w:val="nil"/>
              <w:bottom w:val="single" w:sz="8" w:space="0" w:color="000000"/>
              <w:right w:val="single" w:sz="8" w:space="0" w:color="000000"/>
            </w:tcBorders>
            <w:shd w:val="clear" w:color="auto" w:fill="auto"/>
            <w:vAlign w:val="center"/>
            <w:hideMark/>
          </w:tcPr>
          <w:p w14:paraId="425E40D3" w14:textId="77777777" w:rsidR="00DF26F8" w:rsidRPr="00D82DA6" w:rsidRDefault="00DF26F8" w:rsidP="00080449">
            <w:pPr>
              <w:jc w:val="center"/>
              <w:rPr>
                <w:sz w:val="20"/>
                <w:szCs w:val="20"/>
                <w:lang w:val="es-419" w:eastAsia="en-GB"/>
              </w:rPr>
            </w:pPr>
            <w:r w:rsidRPr="00D82DA6">
              <w:rPr>
                <w:sz w:val="20"/>
                <w:szCs w:val="20"/>
                <w:lang w:val="es-419" w:eastAsia="en-GB"/>
              </w:rPr>
              <w:t>1 226</w:t>
            </w:r>
          </w:p>
        </w:tc>
        <w:tc>
          <w:tcPr>
            <w:tcW w:w="1080" w:type="dxa"/>
            <w:tcBorders>
              <w:top w:val="nil"/>
              <w:left w:val="nil"/>
              <w:bottom w:val="single" w:sz="8" w:space="0" w:color="000000"/>
              <w:right w:val="single" w:sz="8" w:space="0" w:color="000000"/>
            </w:tcBorders>
            <w:shd w:val="clear" w:color="auto" w:fill="auto"/>
            <w:vAlign w:val="center"/>
            <w:hideMark/>
          </w:tcPr>
          <w:p w14:paraId="34E9B9EA" w14:textId="77777777" w:rsidR="00DF26F8" w:rsidRPr="00D82DA6" w:rsidRDefault="00DF26F8" w:rsidP="00080449">
            <w:pPr>
              <w:jc w:val="center"/>
              <w:rPr>
                <w:sz w:val="20"/>
                <w:szCs w:val="20"/>
                <w:lang w:val="es-419" w:eastAsia="en-GB"/>
              </w:rPr>
            </w:pPr>
            <w:r w:rsidRPr="00D82DA6">
              <w:rPr>
                <w:sz w:val="20"/>
                <w:szCs w:val="20"/>
                <w:lang w:val="es-419" w:eastAsia="en-GB"/>
              </w:rPr>
              <w:t>5,5</w:t>
            </w:r>
          </w:p>
        </w:tc>
        <w:tc>
          <w:tcPr>
            <w:tcW w:w="1170" w:type="dxa"/>
            <w:tcBorders>
              <w:top w:val="nil"/>
              <w:left w:val="nil"/>
              <w:bottom w:val="single" w:sz="8" w:space="0" w:color="000000"/>
              <w:right w:val="single" w:sz="8" w:space="0" w:color="000000"/>
            </w:tcBorders>
            <w:shd w:val="clear" w:color="auto" w:fill="auto"/>
            <w:vAlign w:val="center"/>
            <w:hideMark/>
          </w:tcPr>
          <w:p w14:paraId="058E28FE" w14:textId="77777777" w:rsidR="00DF26F8" w:rsidRPr="00D82DA6" w:rsidRDefault="00DF26F8" w:rsidP="00080449">
            <w:pPr>
              <w:jc w:val="center"/>
              <w:rPr>
                <w:sz w:val="20"/>
                <w:szCs w:val="20"/>
                <w:lang w:val="es-419" w:eastAsia="en-GB"/>
              </w:rPr>
            </w:pPr>
            <w:r w:rsidRPr="00D82DA6">
              <w:rPr>
                <w:sz w:val="20"/>
                <w:szCs w:val="20"/>
                <w:lang w:val="es-419" w:eastAsia="en-GB"/>
              </w:rPr>
              <w:t>6,74</w:t>
            </w:r>
          </w:p>
        </w:tc>
        <w:tc>
          <w:tcPr>
            <w:tcW w:w="1620" w:type="dxa"/>
            <w:tcBorders>
              <w:top w:val="nil"/>
              <w:left w:val="nil"/>
              <w:bottom w:val="single" w:sz="8" w:space="0" w:color="000000"/>
              <w:right w:val="single" w:sz="8" w:space="0" w:color="000000"/>
            </w:tcBorders>
            <w:shd w:val="clear" w:color="auto" w:fill="auto"/>
            <w:vAlign w:val="center"/>
            <w:hideMark/>
          </w:tcPr>
          <w:p w14:paraId="39C749BA" w14:textId="77777777" w:rsidR="00DF26F8" w:rsidRPr="00D82DA6" w:rsidRDefault="00DF26F8" w:rsidP="00080449">
            <w:pPr>
              <w:jc w:val="center"/>
              <w:rPr>
                <w:sz w:val="20"/>
                <w:szCs w:val="20"/>
                <w:lang w:val="es-419" w:eastAsia="en-GB"/>
              </w:rPr>
            </w:pPr>
            <w:r w:rsidRPr="00D82DA6">
              <w:rPr>
                <w:sz w:val="20"/>
                <w:szCs w:val="20"/>
                <w:lang w:val="es-419" w:eastAsia="en-GB"/>
              </w:rPr>
              <w:t>15</w:t>
            </w:r>
          </w:p>
        </w:tc>
        <w:tc>
          <w:tcPr>
            <w:tcW w:w="1620" w:type="dxa"/>
            <w:tcBorders>
              <w:top w:val="nil"/>
              <w:left w:val="nil"/>
              <w:bottom w:val="single" w:sz="8" w:space="0" w:color="000000"/>
              <w:right w:val="single" w:sz="8" w:space="0" w:color="000000"/>
            </w:tcBorders>
            <w:shd w:val="clear" w:color="auto" w:fill="auto"/>
            <w:vAlign w:val="center"/>
            <w:hideMark/>
          </w:tcPr>
          <w:p w14:paraId="2D6439EA" w14:textId="77777777" w:rsidR="00DF26F8" w:rsidRPr="00D82DA6" w:rsidRDefault="00DF26F8" w:rsidP="00080449">
            <w:pPr>
              <w:jc w:val="center"/>
              <w:rPr>
                <w:sz w:val="20"/>
                <w:szCs w:val="20"/>
                <w:lang w:val="es-419" w:eastAsia="en-GB"/>
              </w:rPr>
            </w:pPr>
            <w:r w:rsidRPr="00D82DA6">
              <w:rPr>
                <w:kern w:val="2"/>
                <w:sz w:val="20"/>
                <w:szCs w:val="20"/>
                <w:lang w:val="es-419" w:eastAsia="en-GB"/>
              </w:rPr>
              <w:t>1,01</w:t>
            </w:r>
          </w:p>
        </w:tc>
        <w:tc>
          <w:tcPr>
            <w:tcW w:w="432" w:type="dxa"/>
            <w:vAlign w:val="center"/>
          </w:tcPr>
          <w:p w14:paraId="790E9B93" w14:textId="77777777" w:rsidR="00DF26F8" w:rsidRPr="00D82DA6" w:rsidRDefault="00DF26F8" w:rsidP="00080449">
            <w:pPr>
              <w:jc w:val="left"/>
              <w:rPr>
                <w:sz w:val="20"/>
                <w:szCs w:val="20"/>
                <w:lang w:val="es-419" w:eastAsia="en-GB"/>
              </w:rPr>
            </w:pPr>
          </w:p>
        </w:tc>
      </w:tr>
      <w:tr w:rsidR="00DF26F8" w:rsidRPr="00D82DA6" w14:paraId="5A5D5F75" w14:textId="77777777" w:rsidTr="00080449">
        <w:trPr>
          <w:trHeight w:val="691"/>
        </w:trPr>
        <w:tc>
          <w:tcPr>
            <w:tcW w:w="2772" w:type="dxa"/>
            <w:tcBorders>
              <w:top w:val="nil"/>
              <w:left w:val="single" w:sz="8" w:space="0" w:color="auto"/>
              <w:bottom w:val="single" w:sz="8" w:space="0" w:color="auto"/>
              <w:right w:val="single" w:sz="8" w:space="0" w:color="auto"/>
            </w:tcBorders>
            <w:shd w:val="clear" w:color="000000" w:fill="FFFFFF"/>
            <w:vAlign w:val="center"/>
            <w:hideMark/>
          </w:tcPr>
          <w:p w14:paraId="208CAF90" w14:textId="77777777" w:rsidR="00DF26F8" w:rsidRPr="00D82DA6" w:rsidRDefault="00DF26F8" w:rsidP="00080449">
            <w:pPr>
              <w:jc w:val="left"/>
              <w:rPr>
                <w:sz w:val="20"/>
                <w:szCs w:val="20"/>
                <w:lang w:val="es-419" w:eastAsia="en-GB"/>
              </w:rPr>
            </w:pPr>
            <w:r w:rsidRPr="00D82DA6">
              <w:rPr>
                <w:sz w:val="20"/>
                <w:szCs w:val="20"/>
                <w:lang w:val="es-419" w:eastAsia="en-GB"/>
              </w:rPr>
              <w:t xml:space="preserve">Refrigeración industrial (frigoríficos, tanques </w:t>
            </w:r>
            <w:r w:rsidRPr="00D82DA6">
              <w:rPr>
                <w:sz w:val="20"/>
                <w:szCs w:val="20"/>
                <w:lang w:val="es-419" w:eastAsia="en-GB"/>
              </w:rPr>
              <w:lastRenderedPageBreak/>
              <w:t>refrigerados, enfriadores, producción de hielo)</w:t>
            </w:r>
          </w:p>
        </w:tc>
        <w:tc>
          <w:tcPr>
            <w:tcW w:w="1268" w:type="dxa"/>
            <w:tcBorders>
              <w:top w:val="nil"/>
              <w:left w:val="nil"/>
              <w:bottom w:val="single" w:sz="8" w:space="0" w:color="auto"/>
              <w:right w:val="single" w:sz="8" w:space="0" w:color="000000"/>
            </w:tcBorders>
            <w:shd w:val="clear" w:color="auto" w:fill="auto"/>
            <w:vAlign w:val="center"/>
            <w:hideMark/>
          </w:tcPr>
          <w:p w14:paraId="5037E727" w14:textId="77777777" w:rsidR="00DF26F8" w:rsidRPr="00D82DA6" w:rsidRDefault="00DF26F8" w:rsidP="00080449">
            <w:pPr>
              <w:jc w:val="center"/>
              <w:rPr>
                <w:sz w:val="20"/>
                <w:szCs w:val="20"/>
                <w:lang w:val="es-419" w:eastAsia="en-GB"/>
              </w:rPr>
            </w:pPr>
            <w:r w:rsidRPr="00D82DA6">
              <w:rPr>
                <w:sz w:val="20"/>
                <w:szCs w:val="20"/>
                <w:lang w:val="es-419" w:eastAsia="en-GB"/>
              </w:rPr>
              <w:lastRenderedPageBreak/>
              <w:t>239</w:t>
            </w:r>
          </w:p>
        </w:tc>
        <w:tc>
          <w:tcPr>
            <w:tcW w:w="1080" w:type="dxa"/>
            <w:tcBorders>
              <w:top w:val="nil"/>
              <w:left w:val="nil"/>
              <w:bottom w:val="single" w:sz="8" w:space="0" w:color="auto"/>
              <w:right w:val="single" w:sz="8" w:space="0" w:color="000000"/>
            </w:tcBorders>
            <w:shd w:val="clear" w:color="auto" w:fill="auto"/>
            <w:vAlign w:val="center"/>
            <w:hideMark/>
          </w:tcPr>
          <w:p w14:paraId="0BAB93B8" w14:textId="77777777" w:rsidR="00DF26F8" w:rsidRPr="00D82DA6" w:rsidRDefault="00DF26F8" w:rsidP="00080449">
            <w:pPr>
              <w:jc w:val="center"/>
              <w:rPr>
                <w:sz w:val="20"/>
                <w:szCs w:val="20"/>
                <w:lang w:val="es-419" w:eastAsia="en-GB"/>
              </w:rPr>
            </w:pPr>
            <w:r w:rsidRPr="00D82DA6">
              <w:rPr>
                <w:sz w:val="20"/>
                <w:szCs w:val="20"/>
                <w:lang w:val="es-419" w:eastAsia="en-GB"/>
              </w:rPr>
              <w:t>1,6</w:t>
            </w:r>
          </w:p>
        </w:tc>
        <w:tc>
          <w:tcPr>
            <w:tcW w:w="1170" w:type="dxa"/>
            <w:tcBorders>
              <w:top w:val="nil"/>
              <w:left w:val="nil"/>
              <w:bottom w:val="single" w:sz="8" w:space="0" w:color="auto"/>
              <w:right w:val="single" w:sz="8" w:space="0" w:color="000000"/>
            </w:tcBorders>
            <w:shd w:val="clear" w:color="auto" w:fill="auto"/>
            <w:vAlign w:val="center"/>
            <w:hideMark/>
          </w:tcPr>
          <w:p w14:paraId="504EB76F" w14:textId="77777777" w:rsidR="00DF26F8" w:rsidRPr="00D82DA6" w:rsidRDefault="00DF26F8" w:rsidP="00080449">
            <w:pPr>
              <w:jc w:val="center"/>
              <w:rPr>
                <w:sz w:val="20"/>
                <w:szCs w:val="20"/>
                <w:lang w:val="es-419" w:eastAsia="en-GB"/>
              </w:rPr>
            </w:pPr>
            <w:r w:rsidRPr="00D82DA6">
              <w:rPr>
                <w:sz w:val="20"/>
                <w:szCs w:val="20"/>
                <w:lang w:val="es-419" w:eastAsia="en-GB"/>
              </w:rPr>
              <w:t>0,38</w:t>
            </w:r>
          </w:p>
        </w:tc>
        <w:tc>
          <w:tcPr>
            <w:tcW w:w="1620" w:type="dxa"/>
            <w:tcBorders>
              <w:top w:val="nil"/>
              <w:left w:val="nil"/>
              <w:bottom w:val="single" w:sz="8" w:space="0" w:color="auto"/>
              <w:right w:val="single" w:sz="8" w:space="0" w:color="000000"/>
            </w:tcBorders>
            <w:shd w:val="clear" w:color="auto" w:fill="auto"/>
            <w:vAlign w:val="center"/>
            <w:hideMark/>
          </w:tcPr>
          <w:p w14:paraId="76E00300" w14:textId="77777777" w:rsidR="00DF26F8" w:rsidRPr="00D82DA6" w:rsidRDefault="00DF26F8" w:rsidP="00080449">
            <w:pPr>
              <w:jc w:val="center"/>
              <w:rPr>
                <w:sz w:val="20"/>
                <w:szCs w:val="20"/>
                <w:lang w:val="es-419" w:eastAsia="en-GB"/>
              </w:rPr>
            </w:pPr>
            <w:r w:rsidRPr="00D82DA6">
              <w:rPr>
                <w:sz w:val="20"/>
                <w:szCs w:val="20"/>
                <w:lang w:val="es-419" w:eastAsia="en-GB"/>
              </w:rPr>
              <w:t>20</w:t>
            </w:r>
          </w:p>
        </w:tc>
        <w:tc>
          <w:tcPr>
            <w:tcW w:w="1620" w:type="dxa"/>
            <w:tcBorders>
              <w:top w:val="nil"/>
              <w:left w:val="nil"/>
              <w:bottom w:val="single" w:sz="8" w:space="0" w:color="auto"/>
              <w:right w:val="single" w:sz="8" w:space="0" w:color="000000"/>
            </w:tcBorders>
            <w:shd w:val="clear" w:color="auto" w:fill="auto"/>
            <w:vAlign w:val="center"/>
            <w:hideMark/>
          </w:tcPr>
          <w:p w14:paraId="0AE00380" w14:textId="77777777" w:rsidR="00DF26F8" w:rsidRPr="00D82DA6" w:rsidRDefault="00DF26F8" w:rsidP="00080449">
            <w:pPr>
              <w:jc w:val="center"/>
              <w:rPr>
                <w:sz w:val="20"/>
                <w:szCs w:val="20"/>
                <w:lang w:val="es-419" w:eastAsia="en-GB"/>
              </w:rPr>
            </w:pPr>
            <w:r w:rsidRPr="00D82DA6">
              <w:rPr>
                <w:kern w:val="2"/>
                <w:sz w:val="20"/>
                <w:szCs w:val="20"/>
                <w:lang w:val="es-419" w:eastAsia="en-GB"/>
              </w:rPr>
              <w:t>0,08</w:t>
            </w:r>
          </w:p>
        </w:tc>
        <w:tc>
          <w:tcPr>
            <w:tcW w:w="432" w:type="dxa"/>
            <w:vAlign w:val="center"/>
          </w:tcPr>
          <w:p w14:paraId="4EF2F993" w14:textId="77777777" w:rsidR="00DF26F8" w:rsidRPr="00D82DA6" w:rsidRDefault="00DF26F8" w:rsidP="00080449">
            <w:pPr>
              <w:jc w:val="left"/>
              <w:rPr>
                <w:sz w:val="20"/>
                <w:szCs w:val="20"/>
                <w:lang w:val="es-419" w:eastAsia="en-GB"/>
              </w:rPr>
            </w:pPr>
          </w:p>
        </w:tc>
      </w:tr>
      <w:tr w:rsidR="00DF26F8" w:rsidRPr="00D82DA6" w14:paraId="35B2BA8D" w14:textId="77777777" w:rsidTr="00080449">
        <w:trPr>
          <w:trHeight w:val="283"/>
        </w:trPr>
        <w:tc>
          <w:tcPr>
            <w:tcW w:w="2772" w:type="dxa"/>
            <w:tcBorders>
              <w:top w:val="nil"/>
              <w:left w:val="single" w:sz="8" w:space="0" w:color="auto"/>
              <w:bottom w:val="single" w:sz="8" w:space="0" w:color="auto"/>
              <w:right w:val="single" w:sz="8" w:space="0" w:color="auto"/>
            </w:tcBorders>
            <w:shd w:val="clear" w:color="auto" w:fill="auto"/>
            <w:vAlign w:val="center"/>
            <w:hideMark/>
          </w:tcPr>
          <w:p w14:paraId="4B23EA4A" w14:textId="77777777" w:rsidR="00DF26F8" w:rsidRPr="00D82DA6" w:rsidRDefault="00DF26F8" w:rsidP="00080449">
            <w:pPr>
              <w:rPr>
                <w:b/>
                <w:bCs/>
                <w:sz w:val="20"/>
                <w:szCs w:val="20"/>
                <w:lang w:val="es-419" w:eastAsia="en-GB"/>
              </w:rPr>
            </w:pPr>
            <w:r w:rsidRPr="00D82DA6">
              <w:rPr>
                <w:b/>
                <w:bCs/>
                <w:kern w:val="2"/>
                <w:sz w:val="20"/>
                <w:szCs w:val="20"/>
                <w:lang w:val="es-419" w:eastAsia="en-GB"/>
              </w:rPr>
              <w:t>Total</w:t>
            </w:r>
          </w:p>
        </w:tc>
        <w:tc>
          <w:tcPr>
            <w:tcW w:w="1268" w:type="dxa"/>
            <w:tcBorders>
              <w:top w:val="nil"/>
              <w:left w:val="nil"/>
              <w:bottom w:val="single" w:sz="8" w:space="0" w:color="auto"/>
              <w:right w:val="single" w:sz="8" w:space="0" w:color="auto"/>
            </w:tcBorders>
            <w:shd w:val="clear" w:color="auto" w:fill="auto"/>
            <w:vAlign w:val="center"/>
            <w:hideMark/>
          </w:tcPr>
          <w:p w14:paraId="3BDFEA1B" w14:textId="77777777" w:rsidR="00DF26F8" w:rsidRPr="00D82DA6" w:rsidRDefault="00DF26F8" w:rsidP="00080449">
            <w:pPr>
              <w:jc w:val="center"/>
              <w:rPr>
                <w:b/>
                <w:bCs/>
                <w:sz w:val="20"/>
                <w:szCs w:val="20"/>
                <w:lang w:val="es-419" w:eastAsia="en-GB"/>
              </w:rPr>
            </w:pPr>
            <w:r w:rsidRPr="00D82DA6">
              <w:rPr>
                <w:b/>
                <w:bCs/>
                <w:sz w:val="20"/>
                <w:szCs w:val="20"/>
                <w:lang w:val="es-419" w:eastAsia="en-GB"/>
              </w:rPr>
              <w:t>17 990</w:t>
            </w:r>
          </w:p>
        </w:tc>
        <w:tc>
          <w:tcPr>
            <w:tcW w:w="1080" w:type="dxa"/>
            <w:tcBorders>
              <w:top w:val="nil"/>
              <w:left w:val="nil"/>
              <w:bottom w:val="single" w:sz="8" w:space="0" w:color="auto"/>
              <w:right w:val="single" w:sz="8" w:space="0" w:color="auto"/>
            </w:tcBorders>
            <w:shd w:val="clear" w:color="auto" w:fill="auto"/>
            <w:vAlign w:val="center"/>
            <w:hideMark/>
          </w:tcPr>
          <w:p w14:paraId="1824E3C1" w14:textId="77777777" w:rsidR="00DF26F8" w:rsidRPr="00D82DA6" w:rsidRDefault="00DF26F8" w:rsidP="00080449">
            <w:pPr>
              <w:jc w:val="center"/>
              <w:rPr>
                <w:b/>
                <w:bCs/>
                <w:sz w:val="20"/>
                <w:szCs w:val="20"/>
                <w:lang w:val="es-419" w:eastAsia="en-GB"/>
              </w:rPr>
            </w:pPr>
            <w:r w:rsidRPr="00D82DA6">
              <w:rPr>
                <w:b/>
                <w:bCs/>
                <w:sz w:val="20"/>
                <w:szCs w:val="20"/>
                <w:lang w:val="es-419" w:eastAsia="en-GB"/>
              </w:rPr>
              <w:t>-</w:t>
            </w:r>
          </w:p>
        </w:tc>
        <w:tc>
          <w:tcPr>
            <w:tcW w:w="1170" w:type="dxa"/>
            <w:tcBorders>
              <w:top w:val="nil"/>
              <w:left w:val="nil"/>
              <w:bottom w:val="single" w:sz="8" w:space="0" w:color="auto"/>
              <w:right w:val="single" w:sz="8" w:space="0" w:color="auto"/>
            </w:tcBorders>
            <w:shd w:val="clear" w:color="auto" w:fill="auto"/>
            <w:vAlign w:val="center"/>
            <w:hideMark/>
          </w:tcPr>
          <w:p w14:paraId="5A4223B3" w14:textId="77777777" w:rsidR="00DF26F8" w:rsidRPr="00D82DA6" w:rsidRDefault="00DF26F8" w:rsidP="00080449">
            <w:pPr>
              <w:jc w:val="center"/>
              <w:rPr>
                <w:b/>
                <w:bCs/>
                <w:sz w:val="20"/>
                <w:szCs w:val="20"/>
                <w:lang w:val="es-419" w:eastAsia="en-GB"/>
              </w:rPr>
            </w:pPr>
            <w:r w:rsidRPr="00D82DA6">
              <w:rPr>
                <w:b/>
                <w:bCs/>
                <w:sz w:val="20"/>
                <w:szCs w:val="20"/>
                <w:lang w:val="es-419" w:eastAsia="en-GB"/>
              </w:rPr>
              <w:t>47,13</w:t>
            </w:r>
          </w:p>
        </w:tc>
        <w:tc>
          <w:tcPr>
            <w:tcW w:w="1620" w:type="dxa"/>
            <w:tcBorders>
              <w:top w:val="nil"/>
              <w:left w:val="nil"/>
              <w:bottom w:val="single" w:sz="8" w:space="0" w:color="auto"/>
              <w:right w:val="single" w:sz="8" w:space="0" w:color="auto"/>
            </w:tcBorders>
            <w:shd w:val="clear" w:color="auto" w:fill="auto"/>
            <w:vAlign w:val="center"/>
            <w:hideMark/>
          </w:tcPr>
          <w:p w14:paraId="366079E5" w14:textId="77777777" w:rsidR="00DF26F8" w:rsidRPr="00D82DA6" w:rsidRDefault="00DF26F8" w:rsidP="00080449">
            <w:pPr>
              <w:jc w:val="center"/>
              <w:rPr>
                <w:b/>
                <w:bCs/>
                <w:sz w:val="20"/>
                <w:szCs w:val="20"/>
                <w:lang w:val="es-419" w:eastAsia="en-GB"/>
              </w:rPr>
            </w:pPr>
            <w:r w:rsidRPr="00D82DA6">
              <w:rPr>
                <w:b/>
                <w:bCs/>
                <w:sz w:val="20"/>
                <w:szCs w:val="20"/>
                <w:lang w:val="es-419" w:eastAsia="en-GB"/>
              </w:rPr>
              <w:t>-</w:t>
            </w:r>
          </w:p>
        </w:tc>
        <w:tc>
          <w:tcPr>
            <w:tcW w:w="1620" w:type="dxa"/>
            <w:tcBorders>
              <w:top w:val="nil"/>
              <w:left w:val="nil"/>
              <w:bottom w:val="single" w:sz="8" w:space="0" w:color="auto"/>
              <w:right w:val="single" w:sz="8" w:space="0" w:color="auto"/>
            </w:tcBorders>
            <w:shd w:val="clear" w:color="auto" w:fill="auto"/>
            <w:vAlign w:val="center"/>
            <w:hideMark/>
          </w:tcPr>
          <w:p w14:paraId="2E31274D" w14:textId="77777777" w:rsidR="00DF26F8" w:rsidRPr="00D82DA6" w:rsidRDefault="00DF26F8" w:rsidP="00080449">
            <w:pPr>
              <w:jc w:val="center"/>
              <w:rPr>
                <w:b/>
                <w:bCs/>
                <w:sz w:val="20"/>
                <w:szCs w:val="20"/>
                <w:lang w:val="es-419" w:eastAsia="en-GB"/>
              </w:rPr>
            </w:pPr>
            <w:r w:rsidRPr="00D82DA6">
              <w:rPr>
                <w:b/>
                <w:bCs/>
                <w:kern w:val="2"/>
                <w:sz w:val="20"/>
                <w:szCs w:val="20"/>
                <w:lang w:val="es-419" w:eastAsia="en-GB"/>
              </w:rPr>
              <w:t>10,53</w:t>
            </w:r>
          </w:p>
        </w:tc>
        <w:tc>
          <w:tcPr>
            <w:tcW w:w="432" w:type="dxa"/>
            <w:vAlign w:val="center"/>
          </w:tcPr>
          <w:p w14:paraId="2EBD7809" w14:textId="77777777" w:rsidR="00DF26F8" w:rsidRPr="00D82DA6" w:rsidRDefault="00DF26F8" w:rsidP="00080449">
            <w:pPr>
              <w:jc w:val="left"/>
              <w:rPr>
                <w:b/>
                <w:bCs/>
                <w:sz w:val="20"/>
                <w:szCs w:val="20"/>
                <w:lang w:val="es-419" w:eastAsia="en-GB"/>
              </w:rPr>
            </w:pPr>
          </w:p>
        </w:tc>
      </w:tr>
    </w:tbl>
    <w:p w14:paraId="24AB7F6D" w14:textId="77777777" w:rsidR="00DF26F8" w:rsidRPr="00D82DA6" w:rsidRDefault="00DF26F8" w:rsidP="00DF26F8">
      <w:pPr>
        <w:keepNext/>
        <w:widowControl w:val="0"/>
        <w:spacing w:before="240" w:after="240"/>
        <w:rPr>
          <w:b/>
          <w:lang w:val="es-419"/>
        </w:rPr>
      </w:pPr>
      <w:r w:rsidRPr="00D82DA6">
        <w:rPr>
          <w:u w:val="single"/>
          <w:lang w:val="es-419"/>
        </w:rPr>
        <w:t>Estrategia de eliminación</w:t>
      </w:r>
    </w:p>
    <w:bookmarkEnd w:id="8"/>
    <w:p w14:paraId="62444805" w14:textId="77777777" w:rsidR="00DF26F8" w:rsidRPr="00D82DA6" w:rsidRDefault="00DF26F8" w:rsidP="00DF26F8">
      <w:pPr>
        <w:pStyle w:val="Heading1"/>
        <w:rPr>
          <w:lang w:val="es-419"/>
        </w:rPr>
      </w:pPr>
      <w:r w:rsidRPr="00D82DA6">
        <w:rPr>
          <w:lang w:val="es-419"/>
        </w:rPr>
        <w:t>La etapa II del PGEH se centrará en seguir reforzando el marco jurídico y la capacidad de los funcionarios encargados de hacer cumplir la normativa, las capacidades técnicas de los técnicos del sector de los servicios de mantenimiento mediante el aumento de las oportunidades de capacitación, nuevos centros de excelencia, el establecimiento de un sistema de certificación para los técnicos; y la promoción de la introducción y el uso de sistemas que utilicen refrigerantes con un PCA bajo o nulo y generen beneficios energéticos.</w:t>
      </w:r>
    </w:p>
    <w:p w14:paraId="708BD655" w14:textId="77777777" w:rsidR="00DF26F8" w:rsidRPr="00D82DA6" w:rsidRDefault="00DF26F8" w:rsidP="00DF26F8">
      <w:pPr>
        <w:pStyle w:val="Heading1"/>
        <w:rPr>
          <w:lang w:val="es-419"/>
        </w:rPr>
      </w:pPr>
      <w:bookmarkStart w:id="9" w:name="_Hlk126915743"/>
      <w:bookmarkStart w:id="10" w:name="_Hlk178333164"/>
      <w:r w:rsidRPr="00D82DA6">
        <w:rPr>
          <w:lang w:val="es-419"/>
        </w:rPr>
        <w:t xml:space="preserve">Para la etapa II se proponen las siguientes actividades: </w:t>
      </w:r>
      <w:bookmarkStart w:id="11" w:name="_Hlk179883924"/>
    </w:p>
    <w:p w14:paraId="3FAA7802" w14:textId="0E0EC1FF" w:rsidR="00DF26F8" w:rsidRPr="00D82DA6" w:rsidRDefault="00DF26F8" w:rsidP="00DF26F8">
      <w:pPr>
        <w:ind w:left="1440" w:hanging="720"/>
        <w:rPr>
          <w:lang w:val="es-419"/>
        </w:rPr>
      </w:pPr>
      <w:r w:rsidRPr="00D82DA6">
        <w:rPr>
          <w:lang w:val="es-419"/>
        </w:rPr>
        <w:t xml:space="preserve">a) </w:t>
      </w:r>
      <w:r w:rsidRPr="00D82DA6">
        <w:rPr>
          <w:lang w:val="es-419"/>
        </w:rPr>
        <w:tab/>
      </w:r>
      <w:r w:rsidRPr="00D82DA6">
        <w:rPr>
          <w:i/>
          <w:iCs/>
          <w:lang w:val="es-419"/>
        </w:rPr>
        <w:t>Fortalecimiento del marco regulatorio y de la capacidad del personal de aduanas y de l</w:t>
      </w:r>
      <w:r>
        <w:rPr>
          <w:i/>
          <w:iCs/>
          <w:lang w:val="es-419"/>
        </w:rPr>
        <w:t>o</w:t>
      </w:r>
      <w:r w:rsidRPr="00D82DA6">
        <w:rPr>
          <w:i/>
          <w:iCs/>
          <w:lang w:val="es-419"/>
        </w:rPr>
        <w:t xml:space="preserve">s </w:t>
      </w:r>
      <w:r w:rsidRPr="00B33AEE">
        <w:rPr>
          <w:i/>
          <w:iCs/>
          <w:lang w:val="es-419"/>
        </w:rPr>
        <w:t>funcionarios encargados de hacer cumplir la ley</w:t>
      </w:r>
      <w:r w:rsidRPr="00D82DA6">
        <w:rPr>
          <w:rStyle w:val="FootnoteReference"/>
          <w:i/>
          <w:iCs/>
          <w:lang w:val="es-419"/>
        </w:rPr>
        <w:footnoteReference w:id="7"/>
      </w:r>
      <w:r w:rsidRPr="00D82DA6">
        <w:rPr>
          <w:i/>
          <w:iCs/>
          <w:lang w:val="es-419"/>
        </w:rPr>
        <w:t>:</w:t>
      </w:r>
      <w:r w:rsidRPr="00D82DA6">
        <w:rPr>
          <w:lang w:val="es-419"/>
        </w:rPr>
        <w:t xml:space="preserve"> Preparación y adopción de una prohibición de importar equipos nuevos y usados basados en HCFC para el 1 de enero de 2027; elaboración de disposiciones legales y reglamentarias para el proceso de certificación; desarrollo de normas y protocolos técnicos nacionales sobre la manipulación y el uso seguros de refrigerantes inflamables y tóxicos; establecimiento de una medida reglamentaria para controlar la emisión prevista de refrigerantes durante la instalación, el mantenimiento y el desmantelamiento de equipos de RAC; introducción de una herramienta en línea para conectar las aduanas con la NOU a fin de aumentar la eficiencia de los controles de importación de HCFC; sesiones de capacitación con materiales actualizados para 160</w:t>
      </w:r>
      <w:r w:rsidR="00903A42">
        <w:rPr>
          <w:lang w:val="es-419"/>
        </w:rPr>
        <w:t> </w:t>
      </w:r>
      <w:r w:rsidRPr="00D82DA6">
        <w:rPr>
          <w:lang w:val="es-419"/>
        </w:rPr>
        <w:t xml:space="preserve">funcionarios de aduanas y de </w:t>
      </w:r>
      <w:r>
        <w:rPr>
          <w:lang w:val="es-419"/>
        </w:rPr>
        <w:t xml:space="preserve">los </w:t>
      </w:r>
      <w:r w:rsidRPr="00B33AEE">
        <w:rPr>
          <w:lang w:val="es-419"/>
        </w:rPr>
        <w:t>funcionarios encargados de hacer cumplir la ley</w:t>
      </w:r>
      <w:r w:rsidRPr="00D82DA6">
        <w:rPr>
          <w:lang w:val="es-419"/>
        </w:rPr>
        <w:t xml:space="preserve">, incluyendo la participación de un tercio de mujeres, para la supervisión, control e identificación de HCFC y equipos basados en HCFC; seis talleres de sensibilización para importadores y distribuidores sobre la eliminación progresiva de los HCFC y la manipulación, almacenamiento y reenvasado de estas sustancias; traducción de reglamentos y textos legales a los principales idiomas locales (PNUMA) (105 000 $EUA); </w:t>
      </w:r>
    </w:p>
    <w:p w14:paraId="09CACBC2" w14:textId="77777777" w:rsidR="00DF26F8" w:rsidRPr="00D82DA6" w:rsidRDefault="00DF26F8" w:rsidP="00DF26F8">
      <w:pPr>
        <w:ind w:left="1440" w:hanging="720"/>
        <w:rPr>
          <w:i/>
          <w:iCs/>
          <w:lang w:val="es-419"/>
        </w:rPr>
      </w:pPr>
    </w:p>
    <w:p w14:paraId="43F77B96" w14:textId="77777777" w:rsidR="00DF26F8" w:rsidRPr="00D82DA6" w:rsidRDefault="00DF26F8" w:rsidP="00DF26F8">
      <w:pPr>
        <w:ind w:left="142"/>
        <w:rPr>
          <w:i/>
          <w:iCs/>
          <w:color w:val="000000" w:themeColor="text1"/>
          <w:lang w:val="es-419"/>
        </w:rPr>
      </w:pPr>
    </w:p>
    <w:p w14:paraId="084D067B" w14:textId="7989A7C1" w:rsidR="00DF26F8" w:rsidRPr="00D82DA6" w:rsidRDefault="00DF26F8" w:rsidP="00DF26F8">
      <w:pPr>
        <w:pStyle w:val="ListParagraph"/>
        <w:spacing w:after="60"/>
        <w:ind w:left="1434" w:hanging="720"/>
        <w:rPr>
          <w:lang w:val="es-419"/>
        </w:rPr>
      </w:pPr>
      <w:r w:rsidRPr="00D82DA6">
        <w:rPr>
          <w:color w:val="000000" w:themeColor="text1"/>
          <w:lang w:val="es-419"/>
        </w:rPr>
        <w:t>b)</w:t>
      </w:r>
      <w:r w:rsidRPr="00D82DA6">
        <w:rPr>
          <w:i/>
          <w:iCs/>
          <w:color w:val="000000" w:themeColor="text1"/>
          <w:lang w:val="es-419"/>
        </w:rPr>
        <w:t xml:space="preserve"> </w:t>
      </w:r>
      <w:r w:rsidRPr="00D82DA6">
        <w:rPr>
          <w:i/>
          <w:iCs/>
          <w:color w:val="000000" w:themeColor="text1"/>
          <w:lang w:val="es-419"/>
        </w:rPr>
        <w:tab/>
        <w:t>Fortalecimiento de las capacidades de los técnicos en refrigeración sobre buenas prácticas en refrigeración</w:t>
      </w:r>
      <w:r w:rsidRPr="00D82DA6">
        <w:rPr>
          <w:i/>
          <w:iCs/>
          <w:lang w:val="es-419"/>
        </w:rPr>
        <w:t>:</w:t>
      </w:r>
      <w:r w:rsidR="00903A42">
        <w:rPr>
          <w:i/>
          <w:iCs/>
          <w:lang w:val="es-419"/>
        </w:rPr>
        <w:t> </w:t>
      </w:r>
      <w:r w:rsidRPr="00D82DA6">
        <w:rPr>
          <w:lang w:val="es-419"/>
        </w:rPr>
        <w:t xml:space="preserve">Revisión del programa de capacitación de técnicos y actualización de los manuales para incluir los aspectos de seguridad de los nuevos refrigerantes y equipos; capacitación de 350 técnicos de RAC, incluidas 100 mujeres, en buenas prácticas de refrigeración, incluida la recuperación de refrigerantes; diseño y establecimiento de un plan de certificación para técnicos de refrigeración y certificación de 75 técnicos; y campañas específicas para atraer a los estudiantes a este campo, alentando a las mujeres a unirse a las </w:t>
      </w:r>
      <w:r w:rsidRPr="00D82DA6">
        <w:rPr>
          <w:lang w:val="es-419"/>
        </w:rPr>
        <w:lastRenderedPageBreak/>
        <w:t>escuelas de capacitación profesional, las escuelas secundarias técnicas y las universidades (PNUMA) (147 000 $EUA); y</w:t>
      </w:r>
    </w:p>
    <w:p w14:paraId="0DFE601F" w14:textId="77777777" w:rsidR="00DF26F8" w:rsidRPr="00D82DA6" w:rsidRDefault="00DF26F8" w:rsidP="00DF26F8">
      <w:pPr>
        <w:pStyle w:val="ListParagraph"/>
        <w:spacing w:after="60"/>
        <w:ind w:left="1434" w:hanging="720"/>
        <w:contextualSpacing w:val="0"/>
        <w:rPr>
          <w:rFonts w:cstheme="minorHAnsi"/>
          <w:sz w:val="24"/>
          <w:szCs w:val="24"/>
          <w:lang w:val="es-419"/>
        </w:rPr>
      </w:pPr>
    </w:p>
    <w:p w14:paraId="72BA4B04" w14:textId="77777777" w:rsidR="00DF26F8" w:rsidRPr="00D82DA6" w:rsidRDefault="00DF26F8" w:rsidP="00DF26F8">
      <w:pPr>
        <w:ind w:firstLine="720"/>
        <w:rPr>
          <w:lang w:val="es-419"/>
        </w:rPr>
      </w:pPr>
    </w:p>
    <w:p w14:paraId="6FDCDCC6" w14:textId="77777777" w:rsidR="00DF26F8" w:rsidRPr="00D82DA6" w:rsidRDefault="00DF26F8" w:rsidP="00DF26F8">
      <w:pPr>
        <w:ind w:left="1418" w:hanging="709"/>
        <w:rPr>
          <w:lang w:val="es-419"/>
        </w:rPr>
      </w:pPr>
      <w:r w:rsidRPr="00D82DA6">
        <w:rPr>
          <w:lang w:val="es-419"/>
        </w:rPr>
        <w:t>c)</w:t>
      </w:r>
      <w:r w:rsidRPr="00D82DA6">
        <w:rPr>
          <w:i/>
          <w:iCs/>
          <w:lang w:val="es-419"/>
        </w:rPr>
        <w:t xml:space="preserve"> </w:t>
      </w:r>
      <w:r w:rsidRPr="00D82DA6">
        <w:rPr>
          <w:i/>
          <w:iCs/>
          <w:lang w:val="es-419"/>
        </w:rPr>
        <w:tab/>
        <w:t xml:space="preserve">Fortalecimiento del centro de excelencia existente y creación de tres nuevos, y refuerzo de la capacidad de recuperación de refrigerantes: </w:t>
      </w:r>
      <w:r w:rsidRPr="00D82DA6">
        <w:rPr>
          <w:lang w:val="es-419"/>
        </w:rPr>
        <w:t>Adquisición y entrega de equipos para crear tres nuevos centros de excelencia (Kamenge, Kiryama, Ngazi), y actualizar el existente en Bujumbura; adquisición y entrega de herramientas y equipos para reforzar las capacidades de recuperación en los centros; capacitación sobre el uso de equipos y tecnologías pertinentes (ONUDI) (140 000 $EUA)</w:t>
      </w:r>
      <w:r w:rsidRPr="00D82DA6">
        <w:rPr>
          <w:rStyle w:val="FootnoteReference"/>
          <w:i/>
          <w:iCs/>
          <w:lang w:val="es-419"/>
        </w:rPr>
        <w:footnoteReference w:id="8"/>
      </w:r>
      <w:r w:rsidRPr="00D82DA6">
        <w:rPr>
          <w:lang w:val="es-419"/>
        </w:rPr>
        <w:t>.</w:t>
      </w:r>
      <w:r w:rsidRPr="00D82DA6">
        <w:rPr>
          <w:i/>
          <w:iCs/>
          <w:lang w:val="es-419"/>
        </w:rPr>
        <w:t xml:space="preserve"> </w:t>
      </w:r>
    </w:p>
    <w:p w14:paraId="070E8FBE" w14:textId="77777777" w:rsidR="00DF26F8" w:rsidRPr="00D82DA6" w:rsidRDefault="00DF26F8" w:rsidP="00DF26F8">
      <w:pPr>
        <w:keepNext/>
        <w:widowControl w:val="0"/>
        <w:spacing w:before="240" w:after="240"/>
        <w:rPr>
          <w:i/>
          <w:iCs/>
          <w:lang w:val="es-419"/>
        </w:rPr>
      </w:pPr>
      <w:bookmarkStart w:id="12" w:name="_Hlk126915749"/>
      <w:bookmarkEnd w:id="9"/>
      <w:bookmarkEnd w:id="10"/>
      <w:r w:rsidRPr="00D82DA6">
        <w:rPr>
          <w:i/>
          <w:iCs/>
          <w:lang w:val="es-419"/>
        </w:rPr>
        <w:t>Ejecución y seguimiento del proyecto</w:t>
      </w:r>
    </w:p>
    <w:bookmarkEnd w:id="12"/>
    <w:p w14:paraId="54AD3095" w14:textId="77777777" w:rsidR="00DF26F8" w:rsidRPr="00D82DA6" w:rsidRDefault="00DF26F8" w:rsidP="00DF26F8">
      <w:pPr>
        <w:pStyle w:val="Heading1"/>
        <w:rPr>
          <w:lang w:val="es-419"/>
        </w:rPr>
      </w:pPr>
      <w:r w:rsidRPr="00D82DA6">
        <w:rPr>
          <w:lang w:val="es-419"/>
        </w:rPr>
        <w:t>El sistema establecido en la etapa I del PGEH continuará en la etapa II, en la que la NOU y el PNUMA supervisarán las actividades, informarán sobre los progresos y trabajarán con las partes interesadas para eliminar los HCFC. El costo de esas actividades para el PNUMA asciende a 26 000 $EUA e incluye personal y consultores del proyecto, viajes internos, reuniones y talleres.</w:t>
      </w:r>
    </w:p>
    <w:bookmarkEnd w:id="11"/>
    <w:p w14:paraId="132DA5B0" w14:textId="77777777" w:rsidR="00DF26F8" w:rsidRPr="00D82DA6" w:rsidRDefault="00DF26F8" w:rsidP="00DF26F8">
      <w:pPr>
        <w:keepNext/>
        <w:widowControl w:val="0"/>
        <w:spacing w:after="240"/>
        <w:rPr>
          <w:i/>
          <w:lang w:val="es-419"/>
        </w:rPr>
      </w:pPr>
      <w:r w:rsidRPr="00D82DA6">
        <w:rPr>
          <w:i/>
          <w:lang w:val="es-419"/>
        </w:rPr>
        <w:t>Aplicación de la política de género</w:t>
      </w:r>
    </w:p>
    <w:p w14:paraId="593A1772" w14:textId="77777777" w:rsidR="00DF26F8" w:rsidRPr="00D82DA6" w:rsidRDefault="00DF26F8" w:rsidP="00DF26F8">
      <w:pPr>
        <w:pStyle w:val="Heading1"/>
        <w:rPr>
          <w:rFonts w:cstheme="minorHAnsi"/>
          <w:lang w:val="es-419"/>
        </w:rPr>
      </w:pPr>
      <w:r w:rsidRPr="00D82DA6">
        <w:rPr>
          <w:lang w:val="es-419"/>
        </w:rPr>
        <w:t xml:space="preserve">El Gobierno de Burundi, el PNUMA y la ONUDI se han comprometido plenamente a aplicar la política de integración de la perspectiva de género del Fondo Multilateral y sus propias políticas de género. En la etapa I, se llevaron a cabo campañas de información y sensibilización especialmente dedicadas a la promoción del equilibrio de género en la profesión de servicio y mantenimiento de RAC, con el objetivo de introducir una cuota del 50% de mujeres en la contratación de personal para las escuelas de capacitación profesional y técnica especializadas en el servicio y mantenimiento de RAC. El plan de ejecución de la etapa II también incluye campañas específicas para atraer a los estudiantes a este campo, animando a las mujeres a ingresar en las escuelas de capacitación profesional y técnica, así como en las universidades. </w:t>
      </w:r>
      <w:r w:rsidRPr="00D82DA6">
        <w:rPr>
          <w:rFonts w:cstheme="minorHAnsi"/>
          <w:lang w:val="es-419"/>
        </w:rPr>
        <w:t>Durante la etapa II se llevará a cabo una evaluación de género de conformidad con la decisión 92/40, y se aplicarán las recomendaciones pertinentes. La etapa II también incluye actividades que abordarán la igualdad de género y el empoderamiento de las mujeres de forma sistemática, es decir, la recopilación y el seguimiento de datos desglosados por género; en particular, en el marco de las tareas de seguimiento y evaluación, se elaborarán informes específicos sobre los requisitos de género y los progresos realizados para abordarlos tanto cuantitativa como cualitativamente.</w:t>
      </w:r>
      <w:r w:rsidRPr="00D82DA6">
        <w:rPr>
          <w:rFonts w:eastAsiaTheme="minorHAnsi" w:cstheme="minorHAnsi"/>
          <w:lang w:val="es-419"/>
        </w:rPr>
        <w:t xml:space="preserve"> </w:t>
      </w:r>
    </w:p>
    <w:p w14:paraId="24A24755" w14:textId="77777777" w:rsidR="00DF26F8" w:rsidRPr="00D82DA6" w:rsidRDefault="00DF26F8" w:rsidP="00DF26F8">
      <w:pPr>
        <w:pStyle w:val="Heading1"/>
        <w:rPr>
          <w:rFonts w:cstheme="minorHAnsi"/>
          <w:lang w:val="es-419"/>
        </w:rPr>
      </w:pPr>
      <w:r w:rsidRPr="00D82DA6">
        <w:rPr>
          <w:rFonts w:cstheme="minorHAnsi"/>
          <w:lang w:val="es-419"/>
        </w:rPr>
        <w:t>Cabe destacar que, en el ámbito de las instituciones educativas, alrededor del 25% de las mujeres se formaron en los centros de capacitación de RAC en el período comprendido entre 2017 y 2022. Las mujeres tienen ahora una presencia importante en esta profesión, y algunas incluso han establecido sus propios talleres de servicio y mantenimiento en las grandes ciudades del país.</w:t>
      </w:r>
    </w:p>
    <w:p w14:paraId="00975655" w14:textId="77777777" w:rsidR="00DF26F8" w:rsidRPr="00D82DA6" w:rsidRDefault="00DF26F8" w:rsidP="00DF26F8">
      <w:pPr>
        <w:pStyle w:val="Heading1"/>
        <w:keepNext/>
        <w:widowControl w:val="0"/>
        <w:numPr>
          <w:ilvl w:val="0"/>
          <w:numId w:val="0"/>
        </w:numPr>
        <w:rPr>
          <w:u w:val="single"/>
          <w:lang w:val="es-419"/>
        </w:rPr>
      </w:pPr>
      <w:bookmarkStart w:id="13" w:name="_Hlk126915819"/>
      <w:r w:rsidRPr="00D82DA6">
        <w:rPr>
          <w:u w:val="single"/>
          <w:lang w:val="es-419"/>
        </w:rPr>
        <w:t>Costo total de la etapa II del PGEH</w:t>
      </w:r>
    </w:p>
    <w:bookmarkEnd w:id="13"/>
    <w:p w14:paraId="48D7B52C" w14:textId="77777777" w:rsidR="00DF26F8" w:rsidRPr="00D82DA6" w:rsidRDefault="00DF26F8" w:rsidP="00DF26F8">
      <w:pPr>
        <w:pStyle w:val="Heading1"/>
        <w:rPr>
          <w:lang w:val="es-419"/>
        </w:rPr>
      </w:pPr>
      <w:r w:rsidRPr="00D82DA6">
        <w:rPr>
          <w:lang w:val="es-419"/>
        </w:rPr>
        <w:t xml:space="preserve">El costo total de la etapa II del PGEH para Burundi se ha estimado en 418 000 $EUA (más los gastos de apoyo del organismo), tal como se presentó originalmente, para lograr una reducción del 67,5 % de su </w:t>
      </w:r>
      <w:r w:rsidRPr="00D82DA6">
        <w:rPr>
          <w:lang w:val="es-419"/>
        </w:rPr>
        <w:lastRenderedPageBreak/>
        <w:t>consumo de referencia de HCFC para 2025 y una reducción del 100 % para 2030. Las actividades propuestas y el desglose de los costos se resumen en los párrafos 14 y 15 supra.</w:t>
      </w:r>
    </w:p>
    <w:p w14:paraId="164E3EF7" w14:textId="77777777" w:rsidR="00DF26F8" w:rsidRPr="00D82DA6" w:rsidRDefault="00DF26F8" w:rsidP="00DF26F8">
      <w:pPr>
        <w:keepNext/>
        <w:widowControl w:val="0"/>
        <w:spacing w:before="240" w:after="240"/>
        <w:rPr>
          <w:u w:val="single"/>
          <w:lang w:val="es-419"/>
        </w:rPr>
      </w:pPr>
      <w:bookmarkStart w:id="14" w:name="_Hlk126915832"/>
      <w:r w:rsidRPr="00D82DA6">
        <w:rPr>
          <w:u w:val="single"/>
          <w:lang w:val="es-419"/>
        </w:rPr>
        <w:t>Plan de ejecución del primer tramo de la etapa II del PGEH</w:t>
      </w:r>
    </w:p>
    <w:bookmarkEnd w:id="14"/>
    <w:p w14:paraId="52D250D6" w14:textId="77777777" w:rsidR="00DF26F8" w:rsidRPr="00D82DA6" w:rsidRDefault="00DF26F8" w:rsidP="00DF26F8">
      <w:pPr>
        <w:pStyle w:val="Heading1"/>
        <w:rPr>
          <w:lang w:val="es-419"/>
        </w:rPr>
      </w:pPr>
      <w:r w:rsidRPr="00D82DA6">
        <w:rPr>
          <w:lang w:val="es-419"/>
        </w:rPr>
        <w:t>El primer tramo de financiación de la etapa II del PGEH por un importe total de 215 600 $EUA, tal como se presentó originalmente, se ejecutará entre diciembre de 2024 y diciembre de 2027 e incluirá las siguientes actividades:</w:t>
      </w:r>
    </w:p>
    <w:p w14:paraId="69740A0A" w14:textId="77777777" w:rsidR="00DF26F8" w:rsidRPr="00D82DA6" w:rsidRDefault="00DF26F8" w:rsidP="00DF26F8">
      <w:pPr>
        <w:pStyle w:val="Heading2"/>
        <w:ind w:left="1440" w:hanging="720"/>
        <w:rPr>
          <w:lang w:val="es-419"/>
        </w:rPr>
      </w:pPr>
      <w:r w:rsidRPr="00D82DA6">
        <w:rPr>
          <w:lang w:val="es-419"/>
        </w:rPr>
        <w:t xml:space="preserve">a) </w:t>
      </w:r>
      <w:r w:rsidRPr="00D82DA6">
        <w:rPr>
          <w:lang w:val="es-419"/>
        </w:rPr>
        <w:tab/>
      </w:r>
      <w:r w:rsidRPr="00D82DA6">
        <w:rPr>
          <w:i/>
          <w:iCs/>
          <w:lang w:val="es-419"/>
        </w:rPr>
        <w:t xml:space="preserve">Fortalecimiento del marco regulatorio y de la capacidad de las aduanas y de los </w:t>
      </w:r>
      <w:r w:rsidRPr="00B33AEE">
        <w:rPr>
          <w:i/>
          <w:iCs/>
          <w:lang w:val="es-419"/>
        </w:rPr>
        <w:t>funcionarios encargados de hacer cumplir la ley</w:t>
      </w:r>
      <w:r w:rsidRPr="00D82DA6">
        <w:rPr>
          <w:i/>
          <w:iCs/>
          <w:lang w:val="es-419"/>
        </w:rPr>
        <w:t>:</w:t>
      </w:r>
      <w:r w:rsidRPr="00D82DA6">
        <w:rPr>
          <w:lang w:val="es-419"/>
        </w:rPr>
        <w:t xml:space="preserve"> Elaboración de una prohibición de equipos nuevos y usados a base de HCFC; diseño de disposiciones legales para el proceso de certificación; elaboración de normas y protocolos técnicos nacionales sobre la manipulación segura de refrigerantes inflamables y tóxicos; sesiones de capacitación con material actualizado sobre supervisión y control de HCFC y equipos a base de HCFC para 60 funcionarios de aduanas y de </w:t>
      </w:r>
      <w:r>
        <w:rPr>
          <w:lang w:val="es-419"/>
        </w:rPr>
        <w:t xml:space="preserve">los </w:t>
      </w:r>
      <w:r w:rsidRPr="00B33AEE">
        <w:rPr>
          <w:lang w:val="es-419"/>
        </w:rPr>
        <w:t>funcionarios encargados de hacer cumplir la ley</w:t>
      </w:r>
      <w:r w:rsidRPr="00D82DA6">
        <w:rPr>
          <w:lang w:val="es-419"/>
        </w:rPr>
        <w:t>, incluidas 20 mujeres; dos talleres de sensibilización para importadores y distribuidores sobre los procedimientos de expedición de licencias y cuotas de importación y sobre los riesgos y peligros potenciales de determinados refrigerantes; traducción de reglamentos y textos legales a los principales idiomas locales (PNUMA) (54 000 $EUA);</w:t>
      </w:r>
    </w:p>
    <w:p w14:paraId="23B21BD8" w14:textId="77777777" w:rsidR="00DF26F8" w:rsidRPr="00D82DA6" w:rsidRDefault="00DF26F8" w:rsidP="00DF26F8">
      <w:pPr>
        <w:pStyle w:val="Heading2"/>
        <w:ind w:left="1440" w:hanging="720"/>
        <w:rPr>
          <w:lang w:val="es-419"/>
        </w:rPr>
      </w:pPr>
      <w:r w:rsidRPr="00D82DA6">
        <w:rPr>
          <w:lang w:val="es-419"/>
        </w:rPr>
        <w:t xml:space="preserve">b) </w:t>
      </w:r>
      <w:r w:rsidRPr="00D82DA6">
        <w:rPr>
          <w:lang w:val="es-419"/>
        </w:rPr>
        <w:tab/>
      </w:r>
      <w:r w:rsidRPr="00D82DA6">
        <w:rPr>
          <w:i/>
          <w:iCs/>
          <w:lang w:val="es-419"/>
        </w:rPr>
        <w:t>Fortalecimiento de la capacidad de los técnicos en buenas prácticas de refrigeración:</w:t>
      </w:r>
      <w:r w:rsidRPr="00D82DA6">
        <w:rPr>
          <w:lang w:val="es-419"/>
        </w:rPr>
        <w:t xml:space="preserve"> Revisión del programa de capacitación de técnicos y actualización de los manuales para incluir los aspectos de seguridad de los nuevos refrigerantes y equipos, y capacitación de 120 técnicos de RAC, incluidas 30 mujeres, en buenas prácticas de refrigeración, incluida la recuperación de refrigerantes; definición del alcance y diseño del sistema de certificación, incluida su configuración institucional, consulta con las partes interesadas y desarrollo de capacidades para el proceso de certificación; campañas dirigidas a los estudiantes para que sigan carreras en el campo de la RAC, haciendo especial hincapié en atraer a las mujeres (PNUMA) (50 000 $EUA);</w:t>
      </w:r>
    </w:p>
    <w:p w14:paraId="02E2EAC4" w14:textId="77777777" w:rsidR="00DF26F8" w:rsidRPr="00D82DA6" w:rsidRDefault="00DF26F8" w:rsidP="00DF26F8">
      <w:pPr>
        <w:pStyle w:val="Heading2"/>
        <w:widowControl/>
        <w:ind w:left="1440" w:hanging="720"/>
        <w:rPr>
          <w:lang w:val="es-419"/>
        </w:rPr>
      </w:pPr>
      <w:r w:rsidRPr="00D82DA6">
        <w:rPr>
          <w:lang w:val="es-419"/>
        </w:rPr>
        <w:t>c)</w:t>
      </w:r>
      <w:r w:rsidRPr="00D82DA6">
        <w:rPr>
          <w:lang w:val="es-419"/>
        </w:rPr>
        <w:tab/>
      </w:r>
      <w:r w:rsidRPr="00D82DA6">
        <w:rPr>
          <w:i/>
          <w:iCs/>
          <w:lang w:val="es-419"/>
        </w:rPr>
        <w:t xml:space="preserve">Fortalecimiento del centro de excelencia existente y creación de tres nuevos, y refuerzo de las capacidades de recuperación de refrigerantes: </w:t>
      </w:r>
      <w:r w:rsidRPr="00D82DA6">
        <w:rPr>
          <w:lang w:val="es-419"/>
        </w:rPr>
        <w:t>Adquisición y entrega de equipos para crear tres nuevos centros de excelencia (Kamenge, Kiryama, Ngazi), y actualizar el existente en Bujumbura; adquisición y entrega de herramientas y equipos para reforzar las capacidades de recuperación en los centros; capacitación sobre el uso de equipos y tecnologías pertinentes (ONUDI) (101 600 $EUA); y</w:t>
      </w:r>
    </w:p>
    <w:p w14:paraId="565504A5" w14:textId="77777777" w:rsidR="00DF26F8" w:rsidRPr="00D82DA6" w:rsidRDefault="00DF26F8" w:rsidP="00DF26F8">
      <w:pPr>
        <w:ind w:left="1560" w:hanging="709"/>
        <w:rPr>
          <w:lang w:val="es-419"/>
        </w:rPr>
      </w:pPr>
      <w:r w:rsidRPr="00D82DA6">
        <w:rPr>
          <w:lang w:val="es-419"/>
        </w:rPr>
        <w:t>d)</w:t>
      </w:r>
      <w:r w:rsidRPr="00D82DA6">
        <w:rPr>
          <w:lang w:val="es-419"/>
        </w:rPr>
        <w:tab/>
      </w:r>
      <w:r w:rsidRPr="00D82DA6">
        <w:rPr>
          <w:i/>
          <w:iCs/>
          <w:lang w:val="es-419"/>
        </w:rPr>
        <w:t>Supervisión del proyecto:</w:t>
      </w:r>
      <w:r w:rsidRPr="00D82DA6">
        <w:rPr>
          <w:lang w:val="es-419"/>
        </w:rPr>
        <w:t xml:space="preserve"> Personal y consultores, viajes nacionales, reuniones y talleres (PNUMA) (10 000 $EUA).</w:t>
      </w:r>
    </w:p>
    <w:p w14:paraId="4BBDD646" w14:textId="77777777" w:rsidR="009617EE" w:rsidRDefault="009617EE">
      <w:pPr>
        <w:rPr>
          <w:lang w:val="es-419"/>
        </w:rPr>
      </w:pPr>
    </w:p>
    <w:p w14:paraId="1919007A" w14:textId="77777777" w:rsidR="00DF26F8" w:rsidRPr="00996241" w:rsidRDefault="00DF26F8" w:rsidP="00DF26F8">
      <w:pPr>
        <w:widowControl w:val="0"/>
        <w:spacing w:before="360" w:after="240"/>
        <w:jc w:val="center"/>
        <w:rPr>
          <w:b/>
        </w:rPr>
      </w:pPr>
      <w:r>
        <w:rPr>
          <w:b/>
        </w:rPr>
        <w:t>OBSERVACIONES Y RECOMENDACIÓN DE LA SECRETARÍA</w:t>
      </w:r>
    </w:p>
    <w:p w14:paraId="6F341365" w14:textId="77777777" w:rsidR="00DF26F8" w:rsidRPr="00996241" w:rsidRDefault="00DF26F8" w:rsidP="00DF26F8">
      <w:pPr>
        <w:pStyle w:val="Heading1"/>
      </w:pPr>
      <w:r>
        <w:t>La Secretaría examinó la etapa II del PGEH a la luz de la etapa I, las políticas y directrices del Fondo Multilateral, incluidos los criterios para financiar la eliminación de HCFC en el sector de consumo para la etapa II del PGEH (decisiones 74/50 y 90/31), y el plan administrativo de 2024-2026 del Fondo Multilateral.</w:t>
      </w:r>
    </w:p>
    <w:p w14:paraId="3BD90A0B" w14:textId="77777777" w:rsidR="00DF26F8" w:rsidRPr="00996241" w:rsidRDefault="00DF26F8" w:rsidP="00DF26F8">
      <w:pPr>
        <w:keepNext/>
        <w:widowControl w:val="0"/>
        <w:spacing w:after="240"/>
        <w:rPr>
          <w:u w:val="single"/>
        </w:rPr>
      </w:pPr>
      <w:bookmarkStart w:id="15" w:name="_Hlk126916105"/>
      <w:r>
        <w:rPr>
          <w:u w:val="single"/>
        </w:rPr>
        <w:lastRenderedPageBreak/>
        <w:t>Estrategia general</w:t>
      </w:r>
    </w:p>
    <w:bookmarkEnd w:id="15"/>
    <w:p w14:paraId="106327AF" w14:textId="77777777" w:rsidR="00DF26F8" w:rsidRDefault="00DF26F8" w:rsidP="00DF26F8">
      <w:pPr>
        <w:pStyle w:val="Heading1"/>
      </w:pPr>
      <w:r>
        <w:t xml:space="preserve">El Gobierno de Burundi confirmó su compromiso de lograr una reducción del 100 % de su consumo de referencia de HCFC y de cumplir las medidas del Protocolo de Montreal para 2030. </w:t>
      </w:r>
    </w:p>
    <w:p w14:paraId="46F61654" w14:textId="77777777" w:rsidR="00DF26F8" w:rsidRDefault="00DF26F8" w:rsidP="00DF26F8">
      <w:pPr>
        <w:pStyle w:val="Heading1"/>
      </w:pPr>
      <w:r>
        <w:t>En consonancia con la decisión 86/51, para permitir el examen del tramo final de su PGEH, el Gobierno de Burundi convino en presentar una descripción detallada del marco reglamentario y normativo en vigor para aplicar medidas que garanticen que el consumo de HCFC se ajusta a lo dispuesto en el párrafo 8 ter e) i) del Artículo 5 del Protocolo de Montreal</w:t>
      </w:r>
      <w:r>
        <w:rPr>
          <w:rStyle w:val="FootnoteReference"/>
        </w:rPr>
        <w:footnoteReference w:id="9"/>
      </w:r>
      <w:r>
        <w:t xml:space="preserve"> para el período 2030-2040, y, si Burundi tiene la intención de que el consumo durante el período 2030-2040 se ajuste a lo dispuesto en el párrafo 8 ter e) i) del Artículo 5 del Protocolo de Montreal, las modificaciones propuestas a su Acuerdo con el Comité Ejecutivo que abarquen el período posterior a 2030.</w:t>
      </w:r>
    </w:p>
    <w:p w14:paraId="69C35F5E" w14:textId="77777777" w:rsidR="00DF26F8" w:rsidRPr="00352449" w:rsidRDefault="00DF26F8" w:rsidP="00DF26F8">
      <w:pPr>
        <w:keepNext/>
        <w:widowControl w:val="0"/>
        <w:spacing w:after="240"/>
        <w:rPr>
          <w:u w:val="single"/>
        </w:rPr>
      </w:pPr>
      <w:r>
        <w:rPr>
          <w:u w:val="single"/>
        </w:rPr>
        <w:t>Marco jurídico</w:t>
      </w:r>
    </w:p>
    <w:p w14:paraId="072E8499" w14:textId="57AC9C54" w:rsidR="00DF26F8" w:rsidRDefault="00DF26F8" w:rsidP="00DF26F8">
      <w:pPr>
        <w:pStyle w:val="Heading1"/>
        <w:widowControl w:val="0"/>
      </w:pPr>
      <w:r>
        <w:t xml:space="preserve">El Gobierno de Burundi emitió una cuota de importación de HCFC para 2024 de 12 </w:t>
      </w:r>
      <w:proofErr w:type="spellStart"/>
      <w:r>
        <w:t>tm</w:t>
      </w:r>
      <w:proofErr w:type="spellEnd"/>
      <w:r>
        <w:t xml:space="preserve"> (0,66</w:t>
      </w:r>
      <w:r w:rsidR="00903A42">
        <w:t> </w:t>
      </w:r>
      <w:r>
        <w:t xml:space="preserve">toneladas PAO), que es inferior a los objetivos de control del Protocolo de Montreal. </w:t>
      </w:r>
    </w:p>
    <w:p w14:paraId="1EA1A731" w14:textId="349AD76F" w:rsidR="00DF26F8" w:rsidRDefault="00DF26F8" w:rsidP="00DF26F8">
      <w:pPr>
        <w:pStyle w:val="Heading1"/>
      </w:pPr>
      <w:r>
        <w:t>El Gobierno de Burundi confirmó su compromiso de prohibir la importación de HCFC para el</w:t>
      </w:r>
      <w:r w:rsidR="00903A42">
        <w:t> </w:t>
      </w:r>
      <w:r>
        <w:t>1</w:t>
      </w:r>
      <w:r w:rsidR="00903A42">
        <w:t> </w:t>
      </w:r>
      <w:r>
        <w:t>de</w:t>
      </w:r>
      <w:r w:rsidR="00903A42">
        <w:t> </w:t>
      </w:r>
      <w:r>
        <w:t>enero de 2030, y la importación de equipos nuevos y usados basados en HCFC para el 1 de enero de 2027.</w:t>
      </w:r>
    </w:p>
    <w:p w14:paraId="3A97D2D3" w14:textId="77777777" w:rsidR="00DF26F8" w:rsidRDefault="00DF26F8" w:rsidP="00DF26F8">
      <w:pPr>
        <w:keepNext/>
        <w:widowControl w:val="0"/>
        <w:spacing w:after="240"/>
      </w:pPr>
      <w:bookmarkStart w:id="16" w:name="_Hlk126916116"/>
      <w:r>
        <w:rPr>
          <w:u w:val="single"/>
        </w:rPr>
        <w:t xml:space="preserve">Cuestiones técnicas y de costos </w:t>
      </w:r>
    </w:p>
    <w:p w14:paraId="6D7FC230" w14:textId="77777777" w:rsidR="00DF26F8" w:rsidRPr="00681C7E" w:rsidRDefault="00DF26F8" w:rsidP="00DF26F8">
      <w:pPr>
        <w:pStyle w:val="Heading1"/>
        <w:keepNext/>
        <w:numPr>
          <w:ilvl w:val="0"/>
          <w:numId w:val="0"/>
        </w:numPr>
        <w:spacing w:before="240"/>
        <w:rPr>
          <w:rFonts w:cstheme="minorHAnsi"/>
          <w:i/>
          <w:iCs/>
        </w:rPr>
      </w:pPr>
      <w:r>
        <w:rPr>
          <w:i/>
          <w:iCs/>
        </w:rPr>
        <w:t>Programa de acreditación técnica</w:t>
      </w:r>
    </w:p>
    <w:p w14:paraId="5949ADF6" w14:textId="77777777" w:rsidR="00DF26F8" w:rsidRDefault="00DF26F8" w:rsidP="00DF26F8">
      <w:pPr>
        <w:pStyle w:val="Heading1"/>
      </w:pPr>
      <w:r>
        <w:t>En cuanto al establecimiento de un sistema de certificación para los técnicos de RAC, el PNUMA explicó que durante el primer tramo, tras realizar una evaluación de la situación y las necesidades, se iniciará la determinación del alcance y el diseño del sistema de certificación, incluida su configuración institucional y la consulta con las partes interesadas para garantizar que el sistema sea sostenible una vez finalizada la etapa II. El Gobierno se centrará en la elaboración de los procedimientos de certificación, la habilitación del centro de excelencia de Bujumbura para desempeñar las funciones de certificador y la formulación de las disposiciones legales y reglamentarias pertinentes. Está previsto que el sistema esté terminado al final del segundo tramo, cuando se haya reforzado la capacidad de las principales partes interesadas que intervienen en el proceso de certificación. El último tramo del PGEH se utilizará para garantizar que el plan se aplique en todo el país y que pueda seguir funcionando después de 2030. El PNUMA ayudará al país en este sentido. Se espera que la certificación empiece a funcionar a partir de 2028, cuando unos 75 técnicos recibirían la certificación del centro de excelencia de Bujumbura hasta 2030. A continuación, el Gobierno evaluará la capacidad del centro de excelencia y decidirá el número de técnicos que se certificarán a partir de 2030. Se pondrán en marcha iniciativas para garantizar que los técnicos estén motivados para someterse al proceso de certificación.</w:t>
      </w:r>
    </w:p>
    <w:p w14:paraId="7AA3A063" w14:textId="77777777" w:rsidR="00DF26F8" w:rsidRPr="00FE0256" w:rsidRDefault="00DF26F8" w:rsidP="00DF26F8">
      <w:pPr>
        <w:pStyle w:val="Heading1"/>
        <w:widowControl w:val="0"/>
        <w:numPr>
          <w:ilvl w:val="0"/>
          <w:numId w:val="0"/>
        </w:numPr>
      </w:pPr>
      <w:r>
        <w:rPr>
          <w:i/>
          <w:iCs/>
        </w:rPr>
        <w:t>Fortalecimiento de las capacidades de recuperación de los centros de excelencia</w:t>
      </w:r>
    </w:p>
    <w:p w14:paraId="724CF6FD" w14:textId="77777777" w:rsidR="00DF26F8" w:rsidRPr="00352449" w:rsidRDefault="00DF26F8" w:rsidP="00DF26F8">
      <w:pPr>
        <w:pStyle w:val="Heading1"/>
      </w:pPr>
      <w:r>
        <w:t xml:space="preserve">Sin embargo, la propuesta inicial se refería a la creación de un centro de recuperación; tras las indagaciones de la Secretaría sobre las cantidades ya recuperadas y la existencia de un marco reglamentario para garantizar la sostenibilidad de un centro de recuperación, el PNUMA aclaró que sería difícil explotar un centro de recuperación de forma rentable en el contexto del alto nivel de informalidad del país, sumado </w:t>
      </w:r>
      <w:r>
        <w:lastRenderedPageBreak/>
        <w:t>al hecho de que no existía un marco normativo asociado, pero que a pesar de ello, el plan de control y eliminación de HCFC de Burundi brinda una oportunidad para el fortalecimiento de las capacidades de recuperación en el centro de excelencia existente en Bujumbura y en los tres nuevos centros de excelencia que se establecerán en el marco de la etapa II. La sostenibilidad puede garantizarse mediante la capacitación continua, el desarrollo de capacidades y la adopción gradual de las mejores prácticas a medida que estos centros se integren en la estrategia de gestión de refrigerantes del país. Los organismos también confirmaron el compromiso del Gobierno de establecer medidas reglamentarias para controlar las emisiones previstas de refrigerante durante la instalación, el mantenimiento y el desmantelamiento de los equipos de RAC, dentro de la etapa II del PGEH.</w:t>
      </w:r>
    </w:p>
    <w:bookmarkEnd w:id="16"/>
    <w:p w14:paraId="0DAC4006" w14:textId="77777777" w:rsidR="00DF26F8" w:rsidRPr="00996241" w:rsidRDefault="00DF26F8" w:rsidP="00DF26F8">
      <w:pPr>
        <w:pStyle w:val="Heading1"/>
        <w:keepNext/>
        <w:numPr>
          <w:ilvl w:val="0"/>
          <w:numId w:val="0"/>
        </w:numPr>
        <w:rPr>
          <w:u w:val="single"/>
        </w:rPr>
      </w:pPr>
      <w:r>
        <w:rPr>
          <w:u w:val="single"/>
        </w:rPr>
        <w:t>Costo total del proyecto</w:t>
      </w:r>
    </w:p>
    <w:p w14:paraId="2420E040" w14:textId="77777777" w:rsidR="00DF26F8" w:rsidRPr="008326B7" w:rsidRDefault="00DF26F8" w:rsidP="00DF26F8">
      <w:pPr>
        <w:pStyle w:val="Heading1"/>
      </w:pPr>
      <w:r>
        <w:t>El costo total de la etapa II del PGEH asciende a 418.000 $EUA, de acuerdo con la decisión 74/50(c)(xii) sobre el nivel de financiación admisible para un país de bajo consumo y la decisión 81/42. La financiación del primer tramo se acordó tal y como se presentó.</w:t>
      </w:r>
    </w:p>
    <w:p w14:paraId="1C47C853" w14:textId="77777777" w:rsidR="00DF26F8" w:rsidRPr="009F33FC" w:rsidRDefault="00DF26F8" w:rsidP="00DF26F8">
      <w:pPr>
        <w:keepNext/>
        <w:widowControl w:val="0"/>
        <w:spacing w:after="240"/>
        <w:rPr>
          <w:iCs/>
          <w:u w:val="single"/>
        </w:rPr>
      </w:pPr>
      <w:bookmarkStart w:id="17" w:name="_Hlk126916178"/>
      <w:r w:rsidRPr="009F33FC">
        <w:rPr>
          <w:iCs/>
          <w:u w:val="single"/>
        </w:rPr>
        <w:t>Impacto sobre el clima</w:t>
      </w:r>
    </w:p>
    <w:bookmarkEnd w:id="17"/>
    <w:p w14:paraId="08DCE02A" w14:textId="77777777" w:rsidR="00DF26F8" w:rsidRPr="009B4448" w:rsidRDefault="00DF26F8" w:rsidP="00DF26F8">
      <w:pPr>
        <w:pStyle w:val="Heading1"/>
        <w:keepNext/>
        <w:widowControl w:val="0"/>
        <w:rPr>
          <w:u w:val="single"/>
        </w:rPr>
      </w:pPr>
      <w:r>
        <w:t>Las actividades propuestas en el sector de servicios, que incluyen un mejor confinamiento de refrigerantes a través de la capacitación y el suministro de equipos, reducirán la cantidad de HCFC-22 usado para el servicio y mantenimiento de equipos de RAC. Cada kilogramo de HCFC-22 no emitido debido a mejores prácticas de refrigeración permite economizar unas 1,8 toneladas de CO</w:t>
      </w:r>
      <w:r>
        <w:rPr>
          <w:vertAlign w:val="subscript"/>
        </w:rPr>
        <w:t>2</w:t>
      </w:r>
      <w:r>
        <w:t xml:space="preserve"> equivalente. Si bien en el PGEH no se incluyó el cálculo de la repercusión en el clima, las actividades planificadas por Burundi, especialmente sus esfuerzos por promover alternativas de bajo PCA, y la recuperación de refrigerantes, indican que la implantación del PGEH reducirá la emisión de refrigerantes a la atmósfera, lo que, en consecuencia, beneficiará al clima. </w:t>
      </w:r>
      <w:bookmarkStart w:id="18" w:name="_Hlk126916186"/>
    </w:p>
    <w:p w14:paraId="1C904DBA" w14:textId="77777777" w:rsidR="00DF26F8" w:rsidRPr="00E50CF7" w:rsidRDefault="00DF26F8" w:rsidP="00DF26F8">
      <w:pPr>
        <w:pStyle w:val="Heading1"/>
        <w:keepNext/>
        <w:widowControl w:val="0"/>
        <w:numPr>
          <w:ilvl w:val="0"/>
          <w:numId w:val="0"/>
        </w:numPr>
        <w:rPr>
          <w:u w:val="single"/>
        </w:rPr>
      </w:pPr>
      <w:r>
        <w:rPr>
          <w:u w:val="single"/>
        </w:rPr>
        <w:t>Sostenibilidad de la eliminación de los HCFC y evaluación de los riesgos</w:t>
      </w:r>
    </w:p>
    <w:bookmarkEnd w:id="18"/>
    <w:p w14:paraId="6702A153" w14:textId="77777777" w:rsidR="00DF26F8" w:rsidRPr="00DC0EE2" w:rsidRDefault="00DF26F8" w:rsidP="00DF26F8">
      <w:pPr>
        <w:pStyle w:val="Heading1"/>
      </w:pPr>
      <w:r>
        <w:t>El PNUMA confirmó que el país puede llevar a cabo las actividades de la etapa II del PGEH, teniendo en cuenta el largo y positivo historial de compromiso de Burundi con el Protocolo de Montreal. Las actividades previstas en la etapa II contribuirían a que el país pueda eliminar progresivamente los HCFC para 2030 y utilizar alternativas sin HCFC y posiblemente también de bajo PCA.</w:t>
      </w:r>
    </w:p>
    <w:p w14:paraId="6AF3D54D" w14:textId="77777777" w:rsidR="00DF26F8" w:rsidRPr="00352449" w:rsidRDefault="00DF26F8" w:rsidP="00DF26F8">
      <w:pPr>
        <w:pStyle w:val="Heading1"/>
      </w:pPr>
      <w:r>
        <w:t>A través de las actividades del PGEH, un gran número de técnicos de RAC ha adquirido conciencia de las buenas prácticas de mantenimiento de los equipos de RAC, contribuyendo a fortalecer el sector de mantenimiento de RAC, fomentando alternativas de bajo PCA y garantizando que los sistemas de licencias y cuotas sean eficaces y eficientes para cumplir los objetivos. La certificación oficial de los técnicos de RAC, que forma parte de la etapa II, apoyará la sostenibilidad de este logro, que contará además con el apoyo de la asociación nacional de RAC, que ha participado activamente en la aplicación del PGEH. La sostenibilidad y la institucionalización de la capacitación aduanera se están garantizando mediante la incorporación de las obligaciones del Protocolo de Montreal en los planes de estudios para la capacitación de los funcionarios de aduanas y la participación directa de la Oficina de Ingresos de Burundi, que, en colaboración con la autoridad aduanera, participa en la capacitación de los funcionarios de aduanas, la planificación de los talleres y la selección de los participantes. El país prohibió la importación de sustancias que agotan la capa de ozono y de equipos que las contengan, que ya han sido eliminados. La capacitación de los funcionarios de aduanas y las actividades de sensibilización de los importadores y el público se llevan a cabo para garantizar la aplicación efectiva de la prohibición. En la etapa II, se prohibirá la importación de equipos nuevos y usados a base de HCFC antes del 1 de enero de 2027, y la importación de HCFC antes del 1 de enero de 2030.</w:t>
      </w:r>
    </w:p>
    <w:p w14:paraId="274AD73F" w14:textId="77777777" w:rsidR="00DF26F8" w:rsidRPr="00352449" w:rsidRDefault="00DF26F8" w:rsidP="00DF26F8">
      <w:pPr>
        <w:pStyle w:val="Heading1"/>
      </w:pPr>
      <w:r>
        <w:lastRenderedPageBreak/>
        <w:t>Los principales retos a los que se enfrenta el sector de servicio y mantenimiento de equipos de RAC son el fortalecimiento de las capacidades institucionales y humanas para la gestión segura y respetuosa con el medio ambiente de los refrigerantes, así como de los materiales y equipos relacionados. El plan para la etapa II incluye actividades que seguirán abordando y reforzando dichas capacidades.</w:t>
      </w:r>
    </w:p>
    <w:p w14:paraId="7D30517E" w14:textId="77777777" w:rsidR="00DF26F8" w:rsidRPr="00DC2B3A" w:rsidRDefault="00DF26F8" w:rsidP="00DF26F8">
      <w:pPr>
        <w:keepNext/>
        <w:widowControl w:val="0"/>
        <w:spacing w:after="240"/>
        <w:outlineLvl w:val="0"/>
        <w:rPr>
          <w:bCs/>
          <w:u w:val="single"/>
        </w:rPr>
      </w:pPr>
      <w:bookmarkStart w:id="19" w:name="_Hlk126916207"/>
      <w:r>
        <w:rPr>
          <w:bCs/>
          <w:u w:val="single"/>
        </w:rPr>
        <w:t>Cofinanciación</w:t>
      </w:r>
    </w:p>
    <w:bookmarkEnd w:id="19"/>
    <w:p w14:paraId="41B34529" w14:textId="77777777" w:rsidR="00DF26F8" w:rsidRPr="007613F9" w:rsidRDefault="00DF26F8" w:rsidP="00DF26F8">
      <w:pPr>
        <w:pStyle w:val="Heading1"/>
      </w:pPr>
      <w:r>
        <w:t xml:space="preserve">La contribución aportada por el Gobierno de Burundi se ampliará también a la etapa II, en particular en lo que se refiere a su apoyo a la supervisión y evaluación del PGEH. El hecho de que la NOU esté sujeta al Ministerio de Medio Ambiente garantiza el buen funcionamiento de la aplicación del PGEH, al igual que el apoyo en especie prestado en forma de alquiler de oficinas, asignación de personal temporal local para ayudar en las reuniones y talleres, organización del transporte para los participantes en las reuniones y talleres, entre otras cosas. </w:t>
      </w:r>
    </w:p>
    <w:p w14:paraId="15710F70" w14:textId="77777777" w:rsidR="00DF26F8" w:rsidRPr="00DC2B3A" w:rsidRDefault="00DF26F8" w:rsidP="00DF26F8">
      <w:pPr>
        <w:keepNext/>
        <w:widowControl w:val="0"/>
        <w:spacing w:after="240"/>
        <w:outlineLvl w:val="0"/>
        <w:rPr>
          <w:bCs/>
          <w:u w:val="single"/>
        </w:rPr>
      </w:pPr>
      <w:bookmarkStart w:id="20" w:name="_Hlk126916238"/>
      <w:r>
        <w:rPr>
          <w:bCs/>
          <w:u w:val="single"/>
        </w:rPr>
        <w:t xml:space="preserve">Borrador del plan administrativo 2024-2026 del Fondo Multilateral </w:t>
      </w:r>
    </w:p>
    <w:bookmarkEnd w:id="20"/>
    <w:p w14:paraId="2D69F17D" w14:textId="77777777" w:rsidR="00DF26F8" w:rsidRPr="007613F9" w:rsidRDefault="00DF26F8" w:rsidP="00DF26F8">
      <w:pPr>
        <w:pStyle w:val="Heading1"/>
      </w:pPr>
      <w:r>
        <w:t>El PNUMA y la ONUDI solicitan 418 000 $EUA, más los costos de apoyo del organismo, para la ejecución de la etapa II del PGEH de Burundi. El valor total solicitado de 239 564 $EUA, que incluye los gastos de apoyo del organismo para el período de 2024-2026, es superior en 85 653 $EUA a la cantidad indicada en el plan administrativo.</w:t>
      </w:r>
    </w:p>
    <w:p w14:paraId="54620BEB" w14:textId="77777777" w:rsidR="00DF26F8" w:rsidRPr="00DC2B3A" w:rsidRDefault="00DF26F8" w:rsidP="00DF26F8">
      <w:pPr>
        <w:keepNext/>
        <w:spacing w:after="240"/>
        <w:outlineLvl w:val="0"/>
        <w:rPr>
          <w:bCs/>
          <w:u w:val="single"/>
        </w:rPr>
      </w:pPr>
      <w:bookmarkStart w:id="21" w:name="_Hlk126916245"/>
      <w:r>
        <w:rPr>
          <w:bCs/>
          <w:u w:val="single"/>
        </w:rPr>
        <w:t xml:space="preserve">Proyecto de Acuerdo </w:t>
      </w:r>
    </w:p>
    <w:bookmarkEnd w:id="21"/>
    <w:p w14:paraId="50702976" w14:textId="77777777" w:rsidR="00DF26F8" w:rsidRDefault="00DF26F8" w:rsidP="00DF26F8">
      <w:pPr>
        <w:pStyle w:val="Heading1"/>
      </w:pPr>
      <w:r>
        <w:t>Un proyecto de acuerdo entre el Gobierno de Burundi y el Comité Ejecutivo para la etapa II del PGEH se incluye en el anexo I del presente documento.</w:t>
      </w:r>
    </w:p>
    <w:p w14:paraId="79F36DB4" w14:textId="77777777" w:rsidR="00DF26F8" w:rsidRPr="00996241" w:rsidRDefault="00DF26F8" w:rsidP="00DF26F8">
      <w:pPr>
        <w:keepNext/>
        <w:widowControl w:val="0"/>
        <w:autoSpaceDE w:val="0"/>
        <w:autoSpaceDN w:val="0"/>
        <w:adjustRightInd w:val="0"/>
        <w:spacing w:before="360" w:after="240"/>
        <w:outlineLvl w:val="0"/>
        <w:rPr>
          <w:b/>
        </w:rPr>
      </w:pPr>
      <w:bookmarkStart w:id="22" w:name="_Hlk126916251"/>
      <w:r>
        <w:rPr>
          <w:b/>
        </w:rPr>
        <w:t>RECOMENDACIÓN</w:t>
      </w:r>
    </w:p>
    <w:bookmarkEnd w:id="22"/>
    <w:p w14:paraId="0AC48A6E" w14:textId="77777777" w:rsidR="00DF26F8" w:rsidRPr="00A335E5" w:rsidRDefault="00DF26F8" w:rsidP="00DF26F8">
      <w:pPr>
        <w:pStyle w:val="Heading1"/>
        <w:keepNext/>
      </w:pPr>
      <w:r>
        <w:t>El Comité Ejecutivo puede considerar oportuno:</w:t>
      </w:r>
    </w:p>
    <w:p w14:paraId="30FF5123" w14:textId="77777777" w:rsidR="00DF26F8" w:rsidRDefault="00DF26F8" w:rsidP="00FB5A42">
      <w:pPr>
        <w:pStyle w:val="ListParagraph"/>
        <w:numPr>
          <w:ilvl w:val="0"/>
          <w:numId w:val="18"/>
        </w:numPr>
        <w:spacing w:after="240"/>
        <w:ind w:hanging="720"/>
        <w:outlineLvl w:val="1"/>
      </w:pPr>
      <w:r>
        <w:t>Aprobar, en principio, la etapa II del PGEH para Burundi, para el período comprendido entre 2024 y 2030, destinado a la eliminación completa del consumo de HCFC, por un monto de 466 740 $EUA, que se desglosa en: 278 000 $EUA, más los gastos de apoyo del organismo de 36 140 $EUA, para el PNUMA, y 140 000 $EUA, más los gastos de apoyo del organismo de 12 600 $EUA, para la ONUDI, a condición de que el Fondo Multilateral no proporcione más financiación para la eliminación de los HCFC;</w:t>
      </w:r>
    </w:p>
    <w:p w14:paraId="528CB03E" w14:textId="77777777" w:rsidR="00FB5A42" w:rsidRPr="00996241" w:rsidRDefault="00FB5A42" w:rsidP="00FB5A42">
      <w:pPr>
        <w:pStyle w:val="ListParagraph"/>
        <w:spacing w:after="240"/>
        <w:ind w:left="1440"/>
        <w:outlineLvl w:val="1"/>
      </w:pPr>
    </w:p>
    <w:p w14:paraId="4DD887E0" w14:textId="77777777" w:rsidR="00DF26F8" w:rsidRDefault="00DF26F8" w:rsidP="00FB5A42">
      <w:pPr>
        <w:pStyle w:val="ListParagraph"/>
        <w:numPr>
          <w:ilvl w:val="0"/>
          <w:numId w:val="18"/>
        </w:numPr>
        <w:spacing w:after="240"/>
        <w:ind w:hanging="720"/>
        <w:outlineLvl w:val="1"/>
      </w:pPr>
      <w:r>
        <w:t>Tomar nota del compromiso del Gobierno de Burundi de:</w:t>
      </w:r>
    </w:p>
    <w:p w14:paraId="06E18641" w14:textId="77777777" w:rsidR="00DF26F8" w:rsidRDefault="00DF26F8" w:rsidP="00DF26F8">
      <w:pPr>
        <w:pStyle w:val="Heading3"/>
      </w:pPr>
      <w:r>
        <w:t>Eliminar completamente los HCFC para el 1 de enero de 2030, prohibir la importación de HCFC para esa fecha y prohibir la importación de equipos basados en HCFC para el 1 de enero de 2027;</w:t>
      </w:r>
    </w:p>
    <w:p w14:paraId="14E811FB" w14:textId="77777777" w:rsidR="00DF26F8" w:rsidRPr="00191C75" w:rsidRDefault="00DF26F8" w:rsidP="00DF26F8">
      <w:pPr>
        <w:pStyle w:val="Heading3"/>
      </w:pPr>
      <w:r>
        <w:t>Establecer medidas reglamentarias para controlar la emisión prevista de refrigerantes durante la instalación, el mantenimiento y el desmantelamiento de equipos de refrigeración y aire acondicionado, dentro de la etapa II del PGEH;</w:t>
      </w:r>
    </w:p>
    <w:p w14:paraId="26067DA9" w14:textId="77777777" w:rsidR="00DF26F8" w:rsidRDefault="00DF26F8" w:rsidP="00FB5A42">
      <w:pPr>
        <w:pStyle w:val="ListParagraph"/>
        <w:numPr>
          <w:ilvl w:val="0"/>
          <w:numId w:val="18"/>
        </w:numPr>
        <w:spacing w:after="240"/>
        <w:ind w:hanging="720"/>
        <w:outlineLvl w:val="1"/>
      </w:pPr>
      <w:r>
        <w:t>Deducir 2,10 toneladas PAO de HCFC del consumo de HCFC remanente admisible para financiamiento;</w:t>
      </w:r>
    </w:p>
    <w:p w14:paraId="620F8E11" w14:textId="77777777" w:rsidR="00DF26F8" w:rsidRPr="00996241" w:rsidRDefault="00DF26F8" w:rsidP="00E74420">
      <w:pPr>
        <w:pStyle w:val="Heading2"/>
        <w:widowControl/>
        <w:numPr>
          <w:ilvl w:val="0"/>
          <w:numId w:val="18"/>
        </w:numPr>
        <w:tabs>
          <w:tab w:val="num" w:pos="360"/>
        </w:tabs>
        <w:ind w:hanging="720"/>
      </w:pPr>
      <w:r>
        <w:lastRenderedPageBreak/>
        <w:t>Que, para permitir la consideración del tramo final de su PGEH, el Gobierno de Burundi presente:</w:t>
      </w:r>
    </w:p>
    <w:p w14:paraId="09C9FB92" w14:textId="43C8B5E2" w:rsidR="00DF26F8" w:rsidRPr="002B1F7B" w:rsidRDefault="00DF26F8" w:rsidP="00CE6750">
      <w:pPr>
        <w:pStyle w:val="Heading3"/>
        <w:numPr>
          <w:ilvl w:val="2"/>
          <w:numId w:val="21"/>
        </w:numPr>
      </w:pPr>
      <w:r>
        <w:t>Una descripción detallada del marco regulatorio y de políticas sectoriales que norma las medidas orientadas a garantizar que el consumo de HCFC en el período 2030</w:t>
      </w:r>
      <w:r w:rsidR="00903A42">
        <w:t>-</w:t>
      </w:r>
      <w:r>
        <w:t>2040 cumpla con lo dispuesto en el párrafo 8 ter e) i) del Artículo 5 del Protocolo de Montreal;</w:t>
      </w:r>
    </w:p>
    <w:p w14:paraId="24C4B7E7" w14:textId="77777777" w:rsidR="00DF26F8" w:rsidRPr="002B1F7B" w:rsidRDefault="00DF26F8" w:rsidP="00DF26F8">
      <w:pPr>
        <w:pStyle w:val="Heading3"/>
      </w:pPr>
      <w:r>
        <w:t xml:space="preserve">El consumo anual de HCFC previsto para el período 2030-2040;  </w:t>
      </w:r>
    </w:p>
    <w:p w14:paraId="29CFE4AC" w14:textId="49DB9B84" w:rsidR="00DF26F8" w:rsidRDefault="00DF26F8" w:rsidP="00E74420">
      <w:pPr>
        <w:pStyle w:val="Heading2"/>
        <w:keepNext/>
        <w:widowControl/>
        <w:numPr>
          <w:ilvl w:val="0"/>
          <w:numId w:val="18"/>
        </w:numPr>
        <w:tabs>
          <w:tab w:val="num" w:pos="360"/>
        </w:tabs>
        <w:ind w:hanging="720"/>
      </w:pPr>
      <w:r>
        <w:t>Aprobar:</w:t>
      </w:r>
    </w:p>
    <w:p w14:paraId="52414C8C" w14:textId="77777777" w:rsidR="00DF26F8" w:rsidRDefault="00DF26F8" w:rsidP="00CE6750">
      <w:pPr>
        <w:pStyle w:val="Heading3"/>
        <w:numPr>
          <w:ilvl w:val="2"/>
          <w:numId w:val="22"/>
        </w:numPr>
      </w:pPr>
      <w:r>
        <w:t>El proyecto de Acuerdo entre el Gobierno de Burundi y el Comité Ejecutivo para la reducción en el consumo de HCFC, de acuerdo con la etapa II del PGEH, como figura en el anexo I del presente documento; y</w:t>
      </w:r>
    </w:p>
    <w:p w14:paraId="1D5B9DC0" w14:textId="7233D991" w:rsidR="00903A42" w:rsidRDefault="00DF26F8" w:rsidP="00DF26F8">
      <w:pPr>
        <w:pStyle w:val="Heading3"/>
      </w:pPr>
      <w:r>
        <w:t>El primer tramo de la etapa II del PGEH de Burundi, y el correspondiente plan de ejecución del tramo, por un monto de 239 564 $EUA, que comprenden 114</w:t>
      </w:r>
      <w:r w:rsidR="00903A42">
        <w:t> </w:t>
      </w:r>
      <w:r>
        <w:t>000</w:t>
      </w:r>
      <w:r w:rsidR="00903A42">
        <w:t> </w:t>
      </w:r>
      <w:r>
        <w:t>$EUA, más los gastos de apoyo del organismo de 14 820 $EUA para el PNUMA, y 101 600 $EUA, más los gastos de apoyo del organismo de 9 144 $EUA para la ONUDI.</w:t>
      </w:r>
      <w:r w:rsidR="00903A42">
        <w:br w:type="page"/>
      </w:r>
    </w:p>
    <w:p w14:paraId="58694215" w14:textId="77777777" w:rsidR="00903A42" w:rsidRDefault="00903A42" w:rsidP="00903A42">
      <w:pPr>
        <w:pStyle w:val="Heading3"/>
        <w:numPr>
          <w:ilvl w:val="0"/>
          <w:numId w:val="0"/>
        </w:numPr>
        <w:ind w:left="2160"/>
        <w:sectPr w:rsidR="00903A42" w:rsidSect="006F6D53">
          <w:headerReference w:type="even" r:id="rId14"/>
          <w:headerReference w:type="default" r:id="rId15"/>
          <w:footerReference w:type="even" r:id="rId16"/>
          <w:footerReference w:type="default" r:id="rId17"/>
          <w:headerReference w:type="first" r:id="rId18"/>
          <w:footerReference w:type="first" r:id="rId19"/>
          <w:pgSz w:w="12240" w:h="15840"/>
          <w:pgMar w:top="1440" w:right="1350" w:bottom="1440" w:left="1440" w:header="708" w:footer="708" w:gutter="0"/>
          <w:cols w:space="708"/>
          <w:titlePg/>
          <w:docGrid w:linePitch="360"/>
        </w:sectPr>
      </w:pPr>
    </w:p>
    <w:p w14:paraId="3D6863AA" w14:textId="77777777" w:rsidR="00DF26F8" w:rsidRDefault="00DF26F8" w:rsidP="00903A42">
      <w:pPr>
        <w:widowControl w:val="0"/>
        <w:spacing w:after="240"/>
        <w:jc w:val="center"/>
        <w:rPr>
          <w:b/>
          <w:bCs/>
        </w:rPr>
      </w:pPr>
      <w:r>
        <w:rPr>
          <w:b/>
          <w:bCs/>
        </w:rPr>
        <w:lastRenderedPageBreak/>
        <w:t>Anexo I</w:t>
      </w:r>
    </w:p>
    <w:p w14:paraId="68C44C78" w14:textId="77777777" w:rsidR="00DF26F8" w:rsidRPr="00B375EA" w:rsidRDefault="00DF26F8" w:rsidP="00DF26F8">
      <w:pPr>
        <w:jc w:val="center"/>
        <w:rPr>
          <w:b/>
          <w:bCs/>
        </w:rPr>
      </w:pPr>
      <w:r>
        <w:rPr>
          <w:b/>
        </w:rPr>
        <w:t>PROYECTO DE ACUERDO ENTRE EL GOBIERNO DE BURUNDI Y EL COMITÉ EJECUTIVO DEL FONDO MULTILATERAL PARA LA REDUCCIÓN DEL CONSUMO DE HIDROCLOROFLUOROCARBONOS EN EL MARCO DE LA ETAPA II DEL PLAN DE GESTIÓN DE LA ELIMINACIÓN DE LOS HCFC</w:t>
      </w:r>
      <w:r>
        <w:rPr>
          <w:b/>
          <w:bCs/>
        </w:rPr>
        <w:tab/>
      </w:r>
    </w:p>
    <w:p w14:paraId="4DB67E05" w14:textId="77777777" w:rsidR="00DF26F8" w:rsidRPr="00B375EA" w:rsidRDefault="00DF26F8" w:rsidP="00DF26F8">
      <w:pPr>
        <w:keepNext/>
        <w:spacing w:before="240" w:after="240"/>
        <w:rPr>
          <w:b/>
        </w:rPr>
      </w:pPr>
      <w:r>
        <w:rPr>
          <w:b/>
        </w:rPr>
        <w:t>Objetivo</w:t>
      </w:r>
    </w:p>
    <w:p w14:paraId="6D0D6B44" w14:textId="77777777" w:rsidR="00DF26F8" w:rsidRPr="00BB1690" w:rsidRDefault="00DF26F8" w:rsidP="00A25FDC">
      <w:pPr>
        <w:pStyle w:val="Heading1"/>
        <w:numPr>
          <w:ilvl w:val="0"/>
          <w:numId w:val="4"/>
        </w:numPr>
        <w:tabs>
          <w:tab w:val="clear" w:pos="0"/>
        </w:tabs>
        <w:spacing w:before="240"/>
      </w:pPr>
      <w:r>
        <w:t>El presente Acuerdo representa el entendimiento al que han llegado el Gobierno de Burundi (el “País”) y el Comité Ejecutivo con respecto a la reducción del uso controlado de las sustancias que agotan la capa de ozono (SAO) indicadas en el Apéndice 1-A (las “Sustancias”) hasta un nivel sostenido de cero toneladas PAO antes del 1 de enero de 2030 en cumplimiento del calendario del Protocolo de Montreal.</w:t>
      </w:r>
    </w:p>
    <w:p w14:paraId="36D90DA9" w14:textId="77777777" w:rsidR="00DF26F8" w:rsidRPr="00BB1690" w:rsidRDefault="00DF26F8" w:rsidP="00DF26F8">
      <w:pPr>
        <w:pStyle w:val="Heading1"/>
      </w:pPr>
      <w:r>
        <w:t>El País conviene en cumplir con los límites anuales de consumo de las Sustancias tal como se establecen en el renglón 1.2 del Apéndice 2</w:t>
      </w:r>
      <w:r>
        <w:noBreakHyphen/>
        <w:t>A (“Los Objetivos y la Financiación”) del presente Acuerdo, así como en el calendario de reducción del Protocolo de Montreal para todas las Sustancias mencionadas en el Apéndice 1-A. El País acepta que, en virtud de su aceptación del presente Acuerdo y del cumplimiento por parte del Comité Ejecutivo de sus obligaciones de financiación descritas en el párrafo 3, se le impida solicitar o recibir nuevos fondos del Fondo Multilateral en relación con cualquier consumo de las Sustancias que supere el nivel definido en el renglón 1.2 del Apéndice 2-A como medida de reducción final conforme a este Acuerdo para todas las Sustancias especificadas en el Apéndice 1-A y en relación con cualquier consumo de cada una de las Sustancias que supere el nivel definido en el renglón 4.1.3.</w:t>
      </w:r>
    </w:p>
    <w:p w14:paraId="3FEDCCE8" w14:textId="77777777" w:rsidR="00DF26F8" w:rsidRPr="00B375EA" w:rsidRDefault="00DF26F8" w:rsidP="00DF26F8">
      <w:pPr>
        <w:pStyle w:val="Heading1"/>
      </w:pPr>
      <w:r>
        <w:t>Sujeto al cumplimiento por el país de sus obligaciones establecidas en el presente Acuerdo, el Comité Ejecutivo acuerda, en principio, proporcionar al país la financiación establecida en el renglón 3.1 del Apéndice 2-A. En principio, el Comité Ejecutivo proporcionará esta financiación en las reuniones del Comité Ejecutivo especificadas en el Apéndice 3-A ("Calendario de aprobación de la financiación").</w:t>
      </w:r>
    </w:p>
    <w:p w14:paraId="20DAC92F" w14:textId="77777777" w:rsidR="00DF26F8" w:rsidRPr="00B375EA" w:rsidRDefault="00DF26F8" w:rsidP="00DF26F8">
      <w:pPr>
        <w:pStyle w:val="Heading1"/>
      </w:pPr>
      <w:r>
        <w:t>El País acepta aplicar este Acuerdo conforme a la etapa II del PGEH aprobado (“el Plan”). Conforme al inciso 5 b) de este Acuerdo, el País aceptará la verificación independiente del logro de los límites anuales de consumo de las sustancias que se estipulan en el renglón 1.2 del Apéndice 2-A de este Acuerdo. La verificación mencionada será encomendada por el organismo bilateral o de ejecución pertinente.</w:t>
      </w:r>
    </w:p>
    <w:p w14:paraId="0464CEF1" w14:textId="77777777" w:rsidR="00DF26F8" w:rsidRPr="00B375EA" w:rsidRDefault="00DF26F8" w:rsidP="00DF26F8">
      <w:pPr>
        <w:keepNext/>
        <w:spacing w:after="240"/>
        <w:rPr>
          <w:b/>
        </w:rPr>
      </w:pPr>
      <w:r>
        <w:rPr>
          <w:b/>
        </w:rPr>
        <w:t>Condiciones para la liberación de la financiación</w:t>
      </w:r>
    </w:p>
    <w:p w14:paraId="2A63B63D" w14:textId="77777777" w:rsidR="00DF26F8" w:rsidRPr="00B375EA" w:rsidRDefault="00DF26F8" w:rsidP="00DF26F8">
      <w:pPr>
        <w:pStyle w:val="Heading1"/>
      </w:pPr>
      <w:r>
        <w:t>El Comité Ejecutivo proporcionará la Financiación conforme al Calendario de Aprobación de la Financiación sólo cuando el País satisfaga las siguientes condiciones con una antelación de ocho semanas como mínimo a la reunión del Comité Ejecutivo correspondiente indicada en el Calendario de Aprobación de la Financiación:</w:t>
      </w:r>
    </w:p>
    <w:p w14:paraId="4E530EF6" w14:textId="77777777" w:rsidR="00DF26F8" w:rsidRPr="00B375EA" w:rsidRDefault="00DF26F8" w:rsidP="009F24DC">
      <w:pPr>
        <w:pStyle w:val="Heading2"/>
        <w:widowControl/>
        <w:numPr>
          <w:ilvl w:val="1"/>
          <w:numId w:val="14"/>
        </w:numPr>
        <w:tabs>
          <w:tab w:val="num" w:pos="360"/>
        </w:tabs>
        <w:ind w:left="1418" w:hanging="698"/>
      </w:pPr>
      <w:r>
        <w:t>Que el país haya cumplido con los Objetivos estipulados en el renglón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6371D42C" w14:textId="77777777" w:rsidR="00DF26F8" w:rsidRPr="00B375EA" w:rsidRDefault="00DF26F8" w:rsidP="009F24DC">
      <w:pPr>
        <w:pStyle w:val="Heading2"/>
        <w:widowControl/>
        <w:numPr>
          <w:ilvl w:val="1"/>
          <w:numId w:val="2"/>
        </w:numPr>
        <w:ind w:left="1440"/>
      </w:pPr>
      <w:r>
        <w:t>Que salvo que el Comité Ejecutivo indique que no es necesario, una entidad independiente haya verificado el cumplimiento de los Objetivos para todos los años pertinentes;</w:t>
      </w:r>
    </w:p>
    <w:p w14:paraId="20E58FE7" w14:textId="77777777" w:rsidR="00DF26F8" w:rsidRPr="00B375EA" w:rsidRDefault="00DF26F8" w:rsidP="009F24DC">
      <w:pPr>
        <w:pStyle w:val="Heading2"/>
        <w:widowControl/>
        <w:numPr>
          <w:ilvl w:val="1"/>
          <w:numId w:val="2"/>
        </w:numPr>
        <w:ind w:left="1440"/>
      </w:pPr>
      <w:r>
        <w:lastRenderedPageBreak/>
        <w:t>Que el País haya presentado Informes de Ejecución de Tramos en el formulario del Apéndice 4‑A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anteriormente sea de más del 20 %; y</w:t>
      </w:r>
    </w:p>
    <w:p w14:paraId="21CE4452" w14:textId="77777777" w:rsidR="00DF26F8" w:rsidRPr="00B375EA" w:rsidRDefault="00DF26F8" w:rsidP="009F24DC">
      <w:pPr>
        <w:pStyle w:val="Heading2"/>
        <w:widowControl/>
        <w:numPr>
          <w:ilvl w:val="1"/>
          <w:numId w:val="2"/>
        </w:numPr>
        <w:ind w:left="1440"/>
      </w:pPr>
      <w:r>
        <w:t>Que el País haya presentado un Plan de Ejecución de Tramos en el formulario del Apéndice 4‑A para cada año civil hasta el año en que el calendario de financiación prevea la presentación del tramo siguiente, dicho año inclusive o, en el caso del último tramo, hasta que se hayan completado todas las actividades previstas.</w:t>
      </w:r>
    </w:p>
    <w:p w14:paraId="011FC87F" w14:textId="77777777" w:rsidR="00DF26F8" w:rsidRPr="005D03A9" w:rsidRDefault="00DF26F8" w:rsidP="00DF26F8">
      <w:pPr>
        <w:keepNext/>
        <w:spacing w:before="240" w:after="240"/>
        <w:rPr>
          <w:b/>
        </w:rPr>
      </w:pPr>
      <w:r>
        <w:rPr>
          <w:b/>
        </w:rPr>
        <w:t>Supervisión</w:t>
      </w:r>
    </w:p>
    <w:p w14:paraId="3B5B6749" w14:textId="77777777" w:rsidR="00DF26F8" w:rsidRPr="00B375EA" w:rsidRDefault="00DF26F8" w:rsidP="00DF26F8">
      <w:pPr>
        <w:pStyle w:val="Heading1"/>
      </w:pPr>
      <w:r>
        <w:t>El País garantizará que realiza una supervisión precisa de sus actividades en virtud del presente Acuerdo. Las instituciones indicadas en el Apéndice 5-A ("Instituciones de Supervisión y Funciones") supervisarán e informarán sobre la ejecución de las actividades de los Planes de Ejecución de Tramo anteriores, de conformidad con sus funciones y responsabilidades estipuladas en dicho apéndice.</w:t>
      </w:r>
    </w:p>
    <w:p w14:paraId="3C96295F" w14:textId="77777777" w:rsidR="00DF26F8" w:rsidRPr="00B375EA" w:rsidRDefault="00DF26F8" w:rsidP="00DF26F8">
      <w:pPr>
        <w:keepNext/>
        <w:spacing w:before="240" w:after="240"/>
        <w:rPr>
          <w:b/>
        </w:rPr>
      </w:pPr>
      <w:r>
        <w:rPr>
          <w:b/>
        </w:rPr>
        <w:t>Flexibilidad en la reasignación de fondos</w:t>
      </w:r>
    </w:p>
    <w:p w14:paraId="67BDFC3F" w14:textId="77777777" w:rsidR="00DF26F8" w:rsidRPr="00B375EA" w:rsidRDefault="00DF26F8" w:rsidP="00DF26F8">
      <w:pPr>
        <w:pStyle w:val="Heading1"/>
      </w:pPr>
      <w: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1‑A:</w:t>
      </w:r>
    </w:p>
    <w:p w14:paraId="7E82FBD0" w14:textId="77777777" w:rsidR="00DF26F8" w:rsidRPr="00B375EA" w:rsidRDefault="00DF26F8" w:rsidP="009F24DC">
      <w:pPr>
        <w:pStyle w:val="Heading2"/>
        <w:widowControl/>
        <w:numPr>
          <w:ilvl w:val="1"/>
          <w:numId w:val="15"/>
        </w:numPr>
        <w:tabs>
          <w:tab w:val="num" w:pos="360"/>
        </w:tabs>
        <w:ind w:left="1530" w:hanging="810"/>
      </w:pPr>
      <w:r>
        <w:t>Las reasignaciones que se consideren cambios importantes deben documentarse por adelantado, ya sea en un Plan de Ejecución de Tramo, presentado según lo descrito en el inciso 5 d) supra, o bien como una revisión de un Plan de Ejecución de Tramo existente, a presentarse ocho semanas antes de cualquier reunión del Comité Ejecutivo para su aprobación. Los cambios importantes estarían relacionados con:</w:t>
      </w:r>
    </w:p>
    <w:p w14:paraId="02034F3B" w14:textId="77777777" w:rsidR="00DF26F8" w:rsidRPr="00B375EA" w:rsidRDefault="00DF26F8" w:rsidP="00DF26F8">
      <w:pPr>
        <w:pStyle w:val="Heading3"/>
        <w:widowControl/>
      </w:pPr>
      <w:r>
        <w:t>Materias que pudieran afectar el reglamento y las políticas del Fondo Multilateral;</w:t>
      </w:r>
    </w:p>
    <w:p w14:paraId="540336DD" w14:textId="77777777" w:rsidR="00DF26F8" w:rsidRPr="00B375EA" w:rsidRDefault="00DF26F8" w:rsidP="00DF26F8">
      <w:pPr>
        <w:pStyle w:val="Heading3"/>
        <w:widowControl/>
      </w:pPr>
      <w:r>
        <w:t>Cambios que modificarían cualquier cláusula de este Acuerdo;</w:t>
      </w:r>
    </w:p>
    <w:p w14:paraId="1A5CB17A" w14:textId="77777777" w:rsidR="00DF26F8" w:rsidRPr="00B375EA" w:rsidRDefault="00DF26F8" w:rsidP="00DF26F8">
      <w:pPr>
        <w:pStyle w:val="Heading3"/>
        <w:widowControl/>
      </w:pPr>
      <w:r>
        <w:t>Cambios en los niveles anuales de financiación asignados a organismos bilaterales o de ejecución individuales para los diferentes tramos;</w:t>
      </w:r>
    </w:p>
    <w:p w14:paraId="71116318" w14:textId="77777777" w:rsidR="00DF26F8" w:rsidRPr="00B375EA" w:rsidRDefault="00DF26F8" w:rsidP="00DF26F8">
      <w:pPr>
        <w:pStyle w:val="Heading3"/>
        <w:widowControl/>
      </w:pPr>
      <w:r>
        <w:t>La entrega de financiación a actividades no incluidas en el Plan de Ejecución de Tramo en curso avalado o la eliminación de una actividad del Plan de Ejecución de Tramo, con un costo superior al 30 % del costo total del último tramo aprobado;</w:t>
      </w:r>
    </w:p>
    <w:p w14:paraId="43137E63" w14:textId="77777777" w:rsidR="00DF26F8" w:rsidRPr="00B3273C" w:rsidRDefault="00DF26F8" w:rsidP="00DF26F8">
      <w:pPr>
        <w:pStyle w:val="Heading3"/>
        <w:widowControl/>
      </w:pPr>
      <w:r>
        <w:t>Cambios en las tecnologías alternativas, quedando entendido que cualquier presentación para tal pedido identificaría los costos adicionales conexos, el posible impacto en el clima, y cualquier diferencia en las toneladas PAO por eliminar, si procede, así como confirmaría que el País acuerda que los ahorros potenciales relacionados con el cambio de tecnología reducirían en consecuencia el nivel de financiamiento general en virtud de este Acuerdo;</w:t>
      </w:r>
    </w:p>
    <w:p w14:paraId="5DE480BE" w14:textId="77777777" w:rsidR="00DF26F8" w:rsidRPr="00B3273C" w:rsidRDefault="00DF26F8" w:rsidP="00B02BB2">
      <w:pPr>
        <w:pStyle w:val="Heading2"/>
        <w:widowControl/>
        <w:numPr>
          <w:ilvl w:val="1"/>
          <w:numId w:val="2"/>
        </w:numPr>
        <w:ind w:left="1440"/>
      </w:pPr>
      <w:r>
        <w:t>Las reasignaciones no clasificadas como cambios importantes pueden incorporarse al Plan de Ejecución de Tramo aprobado que esté en curso de ejecución en esa fecha, y notificarse al Comité Ejecutivo en el Informe de Ejecución de Tramo subsiguiente; y</w:t>
      </w:r>
    </w:p>
    <w:p w14:paraId="222BDEA1" w14:textId="77777777" w:rsidR="00DF26F8" w:rsidRPr="00B3273C" w:rsidRDefault="00DF26F8" w:rsidP="00B02BB2">
      <w:pPr>
        <w:pStyle w:val="Heading2"/>
        <w:widowControl/>
        <w:numPr>
          <w:ilvl w:val="1"/>
          <w:numId w:val="2"/>
        </w:numPr>
        <w:ind w:left="1440"/>
      </w:pPr>
      <w:r>
        <w:lastRenderedPageBreak/>
        <w:t>Los fondos remanentes que conserven los organismos bilaterales o de ejecución o el País en virtud del Plan serán devueltos al Fondo Multilateral al concluirse el último tramo previsto conforme a este Acuerdo.</w:t>
      </w:r>
    </w:p>
    <w:p w14:paraId="080885A8" w14:textId="77777777" w:rsidR="00DF26F8" w:rsidRPr="00F61D55" w:rsidRDefault="00DF26F8" w:rsidP="00DF26F8">
      <w:pPr>
        <w:keepNext/>
        <w:spacing w:before="240" w:after="240"/>
        <w:rPr>
          <w:b/>
        </w:rPr>
      </w:pPr>
      <w:r>
        <w:rPr>
          <w:b/>
        </w:rPr>
        <w:t>Consideraciones para el sector de servicio y mantenimiento de equipos de refrigeración</w:t>
      </w:r>
    </w:p>
    <w:p w14:paraId="49FC363A" w14:textId="77777777" w:rsidR="00DF26F8" w:rsidRPr="00B375EA" w:rsidRDefault="00DF26F8" w:rsidP="00DF26F8">
      <w:pPr>
        <w:pStyle w:val="Heading1"/>
      </w:pPr>
      <w:r>
        <w:t>Se prestará especial atención a la ejecución de las actividades en el subsector de servicio y mantenimiento de equipos de refrigeración incluidas en el Plan, en particular:</w:t>
      </w:r>
    </w:p>
    <w:p w14:paraId="6BB931C0" w14:textId="77777777" w:rsidR="00DF26F8" w:rsidRPr="00B375EA" w:rsidRDefault="00DF26F8" w:rsidP="00B02BB2">
      <w:pPr>
        <w:pStyle w:val="Heading2"/>
        <w:widowControl/>
        <w:numPr>
          <w:ilvl w:val="1"/>
          <w:numId w:val="16"/>
        </w:numPr>
        <w:tabs>
          <w:tab w:val="num" w:pos="360"/>
        </w:tabs>
        <w:ind w:left="1440"/>
      </w:pPr>
      <w:r>
        <w:t>El País utilizaría la flexibilidad disponible conforme a este Acuerdo para atender a las necesidades específicas que pudieran presentarse durante la ejecución del proyecto; y</w:t>
      </w:r>
    </w:p>
    <w:p w14:paraId="3AB6750E" w14:textId="77777777" w:rsidR="00DF26F8" w:rsidRPr="00B375EA" w:rsidRDefault="00DF26F8" w:rsidP="00B02BB2">
      <w:pPr>
        <w:pStyle w:val="Heading2"/>
        <w:widowControl/>
        <w:numPr>
          <w:ilvl w:val="1"/>
          <w:numId w:val="2"/>
        </w:numPr>
        <w:ind w:left="1440"/>
      </w:pPr>
      <w:r>
        <w:t>El País y los organismos bilaterales y/o de ejecución pertinentes tomarán en consideración las decisiones pertinentes sobre el sector de servicio y mantenimiento de equipos de refrigeración durante la ejecución del Plan.</w:t>
      </w:r>
    </w:p>
    <w:p w14:paraId="04B57FEB" w14:textId="77777777" w:rsidR="00DF26F8" w:rsidRPr="00F61D55" w:rsidRDefault="00DF26F8" w:rsidP="00DF26F8">
      <w:pPr>
        <w:keepNext/>
        <w:spacing w:before="240" w:after="240"/>
        <w:rPr>
          <w:b/>
        </w:rPr>
      </w:pPr>
      <w:r>
        <w:rPr>
          <w:b/>
        </w:rPr>
        <w:t>Organismos bilaterales y de ejecución</w:t>
      </w:r>
    </w:p>
    <w:p w14:paraId="41F90814" w14:textId="77777777" w:rsidR="00DF26F8" w:rsidRPr="00B3273C" w:rsidRDefault="00DF26F8" w:rsidP="00DF26F8">
      <w:pPr>
        <w:pStyle w:val="Heading1"/>
        <w:spacing w:line="259" w:lineRule="auto"/>
      </w:pPr>
      <w:r>
        <w:t>El País conviene en asumir la responsabilidad general en cuanto a la gestión y aplicación de este Acuerdo y de todas las actividades emprendidas por el País o en su nombre, en cumplimiento de las obligaciones en virtud del presente Acuerdo. El PNUMA  ha acordado ser el “Organismo de Ejecución Principal” y la ONUDI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09B7B977" w14:textId="77777777" w:rsidR="00DF26F8" w:rsidRPr="00B375EA" w:rsidRDefault="00DF26F8" w:rsidP="00DF26F8">
      <w:pPr>
        <w:pStyle w:val="Heading1"/>
      </w:pPr>
      <w: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inciso 5 b). El/los OE Cooperante[s] apoyarán al OE Principal mediante la ejecución del Plan en el marco de la coordinación global del OE Principal. Las funciones del OE Principal y del OE Cooperante figuran en el Apéndice 6-A y 6-B, respectivamente. El Comité Ejecutivo acuerda, en principio, otorgar al OE Principal y al OE Cooperante los honorarios estipulados en los renglones 2.2 y 2.4 del Apéndice 2‑A.</w:t>
      </w:r>
    </w:p>
    <w:p w14:paraId="6852C7AB" w14:textId="77777777" w:rsidR="00DF26F8" w:rsidRPr="00F61D55" w:rsidRDefault="00DF26F8" w:rsidP="00DF26F8">
      <w:pPr>
        <w:keepNext/>
        <w:spacing w:before="240" w:after="240"/>
        <w:rPr>
          <w:b/>
        </w:rPr>
      </w:pPr>
      <w:r>
        <w:rPr>
          <w:b/>
        </w:rPr>
        <w:t>Incumplimiento del Acuerdo</w:t>
      </w:r>
    </w:p>
    <w:p w14:paraId="4AC2E93A" w14:textId="77777777" w:rsidR="00DF26F8" w:rsidRPr="00B375EA" w:rsidRDefault="00DF26F8" w:rsidP="00DF26F8">
      <w:pPr>
        <w:pStyle w:val="Heading1"/>
        <w:spacing w:before="240"/>
      </w:pPr>
      <w:r>
        <w:t xml:space="preserve">Si, por cualquier motivo, el País no alcanzara los objetivos de eliminación de las sustancias establecidos en el renglón 1.2 del Apéndice 2–A o no cumpliera de cualquier otro modo lo estipulado en el presente Acuerdo, el País conviene en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w:t>
      </w:r>
      <w:r>
        <w:lastRenderedPageBreak/>
        <w:t>no constituirá un impedimento para el suministro de financiación para los tramos siguientes conforme al párrafo 5 supra.</w:t>
      </w:r>
    </w:p>
    <w:p w14:paraId="327A2472" w14:textId="77777777" w:rsidR="00DF26F8" w:rsidRPr="00B375EA" w:rsidRDefault="00DF26F8" w:rsidP="00DF26F8">
      <w:pPr>
        <w:pStyle w:val="Heading1"/>
      </w:pPr>
      <w:r>
        <w:t>No se modificará la financiación del presente Acuerdo en virtud de decisiones futuras del Comité Ejecutivo que pudieran afectar la financiación de cualquier otro proyecto en el sector de consumo o de otras actividades afines en el País.</w:t>
      </w:r>
    </w:p>
    <w:p w14:paraId="12D5031B" w14:textId="77777777" w:rsidR="00DF26F8" w:rsidRPr="00B375EA" w:rsidRDefault="00DF26F8" w:rsidP="00DF26F8">
      <w:pPr>
        <w:pStyle w:val="Heading1"/>
      </w:pPr>
      <w:r>
        <w:t>El País satisfará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10E4E68C" w14:textId="77777777" w:rsidR="00DF26F8" w:rsidRPr="00F61D55" w:rsidRDefault="00DF26F8" w:rsidP="00DF26F8">
      <w:pPr>
        <w:keepNext/>
        <w:widowControl w:val="0"/>
        <w:spacing w:before="240" w:after="240"/>
        <w:rPr>
          <w:b/>
        </w:rPr>
      </w:pPr>
      <w:r>
        <w:rPr>
          <w:b/>
        </w:rPr>
        <w:t>Fecha de término</w:t>
      </w:r>
    </w:p>
    <w:p w14:paraId="386D4421" w14:textId="77777777" w:rsidR="00DF26F8" w:rsidRPr="00B375EA" w:rsidRDefault="00DF26F8" w:rsidP="00DF26F8">
      <w:pPr>
        <w:pStyle w:val="Heading1"/>
        <w:spacing w:before="240"/>
      </w:pPr>
      <w:r>
        <w:t>La finalización del Plan y del Acuerdo asociado tendrá lugar a finales del año siguiente al último año para el que se haya especificado un nivel de consumo total máximo admisible en el Apéndice 2-A. En caso de que en ese momento aún queden actividades pendientes, y que estaban previstas en el último Plan de Ejecución de Tramo y sus posteriores revisiones según el inciso 5(d) y el apartado 7, la finalización del Plan se retrasará hasta el final del año siguiente a la ejecución de las actividades restantes. Salvo indicación en contrario del Comité Ejecutivo, la obligación de informar conforme a lo previsto en los incisos 1 a), 1 b), 1 d) y 1 e) del Apéndice 4-A se mantendrá vigente hasta la conclusión del Plan.</w:t>
      </w:r>
    </w:p>
    <w:p w14:paraId="52DB7377" w14:textId="77777777" w:rsidR="00DF26F8" w:rsidRPr="00B375EA" w:rsidRDefault="00DF26F8" w:rsidP="00DF26F8">
      <w:pPr>
        <w:keepNext/>
        <w:widowControl w:val="0"/>
        <w:spacing w:before="240" w:after="240"/>
      </w:pPr>
      <w:r>
        <w:rPr>
          <w:b/>
        </w:rPr>
        <w:t>Validez</w:t>
      </w:r>
    </w:p>
    <w:p w14:paraId="47E96F07" w14:textId="77777777" w:rsidR="00DF26F8" w:rsidRPr="00B375EA" w:rsidRDefault="00DF26F8" w:rsidP="00DF26F8">
      <w:pPr>
        <w:pStyle w:val="Heading1"/>
        <w:spacing w:before="240"/>
      </w:pPr>
      <w:r>
        <w:t>Las condiciones del presente Acuerdo rigen exclusivamente en el marco del Protocolo de Montreal y conforme a lo aquí estipulado.  Salvo indicación en contrario, los términos utilizados en este Acuerdo tienen el significado que les asigna el Protocolo de Montreal.</w:t>
      </w:r>
    </w:p>
    <w:p w14:paraId="61552E5E" w14:textId="77777777" w:rsidR="00DF26F8" w:rsidRPr="00F11D91" w:rsidRDefault="00DF26F8" w:rsidP="00DF26F8">
      <w:pPr>
        <w:pStyle w:val="Heading1"/>
      </w:pPr>
      <w:r>
        <w:t>El presente Acuerdo sólo podrá modificarse o rescindirse por mutuo acuerdo escrito entre el Gobierno del País y el Comité Ejecutivo del Fondo Multilateral.</w:t>
      </w:r>
    </w:p>
    <w:p w14:paraId="1BE0A949" w14:textId="77777777" w:rsidR="00DF26F8" w:rsidRPr="00F11D91" w:rsidRDefault="00DF26F8" w:rsidP="00DF26F8">
      <w:pPr>
        <w:pStyle w:val="Heading1"/>
        <w:keepNext/>
        <w:widowControl w:val="0"/>
        <w:numPr>
          <w:ilvl w:val="0"/>
          <w:numId w:val="0"/>
        </w:numPr>
        <w:spacing w:before="360" w:after="360"/>
        <w:rPr>
          <w:b/>
          <w:sz w:val="24"/>
          <w:szCs w:val="24"/>
        </w:rPr>
      </w:pPr>
      <w:r>
        <w:rPr>
          <w:b/>
          <w:sz w:val="24"/>
          <w:szCs w:val="24"/>
        </w:rPr>
        <w:t>APÉNDICES</w:t>
      </w:r>
    </w:p>
    <w:p w14:paraId="14CB26E5" w14:textId="77777777" w:rsidR="00DF26F8" w:rsidRPr="00F11D91" w:rsidRDefault="00DF26F8" w:rsidP="00DF26F8">
      <w:pPr>
        <w:pStyle w:val="Heading1"/>
        <w:keepNext/>
        <w:widowControl w:val="0"/>
        <w:numPr>
          <w:ilvl w:val="0"/>
          <w:numId w:val="0"/>
        </w:numPr>
        <w:spacing w:before="360"/>
        <w:rPr>
          <w:b/>
        </w:rPr>
      </w:pPr>
      <w:r>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431"/>
        <w:gridCol w:w="1431"/>
        <w:gridCol w:w="2998"/>
      </w:tblGrid>
      <w:tr w:rsidR="00DF26F8" w:rsidRPr="00F11D91" w14:paraId="6BA2D4BF" w14:textId="77777777" w:rsidTr="00080449">
        <w:trPr>
          <w:trHeight w:val="413"/>
          <w:tblHeader/>
        </w:trPr>
        <w:tc>
          <w:tcPr>
            <w:tcW w:w="1896" w:type="pct"/>
            <w:shd w:val="clear" w:color="auto" w:fill="auto"/>
            <w:vAlign w:val="center"/>
          </w:tcPr>
          <w:p w14:paraId="509FDCB5" w14:textId="77777777" w:rsidR="00DF26F8" w:rsidRPr="00F11D91" w:rsidRDefault="00DF26F8" w:rsidP="00080449">
            <w:pPr>
              <w:keepNext/>
              <w:widowControl w:val="0"/>
              <w:jc w:val="center"/>
              <w:rPr>
                <w:sz w:val="20"/>
                <w:szCs w:val="20"/>
              </w:rPr>
            </w:pPr>
            <w:r>
              <w:rPr>
                <w:sz w:val="20"/>
                <w:szCs w:val="20"/>
              </w:rPr>
              <w:t>Sustancia</w:t>
            </w:r>
          </w:p>
        </w:tc>
        <w:tc>
          <w:tcPr>
            <w:tcW w:w="758" w:type="pct"/>
            <w:shd w:val="clear" w:color="auto" w:fill="auto"/>
            <w:vAlign w:val="center"/>
          </w:tcPr>
          <w:p w14:paraId="1FE2EA77" w14:textId="77777777" w:rsidR="00DF26F8" w:rsidRPr="00F11D91" w:rsidRDefault="00DF26F8" w:rsidP="00080449">
            <w:pPr>
              <w:keepNext/>
              <w:widowControl w:val="0"/>
              <w:jc w:val="center"/>
              <w:rPr>
                <w:sz w:val="20"/>
                <w:szCs w:val="20"/>
              </w:rPr>
            </w:pPr>
            <w:r>
              <w:rPr>
                <w:sz w:val="20"/>
                <w:szCs w:val="20"/>
              </w:rPr>
              <w:t>Anexo</w:t>
            </w:r>
          </w:p>
        </w:tc>
        <w:tc>
          <w:tcPr>
            <w:tcW w:w="758" w:type="pct"/>
            <w:shd w:val="clear" w:color="auto" w:fill="auto"/>
            <w:vAlign w:val="center"/>
          </w:tcPr>
          <w:p w14:paraId="5F49A17C" w14:textId="77777777" w:rsidR="00DF26F8" w:rsidRPr="00F11D91" w:rsidRDefault="00DF26F8" w:rsidP="00080449">
            <w:pPr>
              <w:keepNext/>
              <w:widowControl w:val="0"/>
              <w:jc w:val="center"/>
              <w:rPr>
                <w:sz w:val="20"/>
                <w:szCs w:val="20"/>
              </w:rPr>
            </w:pPr>
            <w:r>
              <w:rPr>
                <w:sz w:val="20"/>
                <w:szCs w:val="20"/>
              </w:rPr>
              <w:t>Grupo</w:t>
            </w:r>
          </w:p>
        </w:tc>
        <w:tc>
          <w:tcPr>
            <w:tcW w:w="1588" w:type="pct"/>
            <w:shd w:val="clear" w:color="auto" w:fill="auto"/>
            <w:vAlign w:val="center"/>
          </w:tcPr>
          <w:p w14:paraId="26C4EC1D" w14:textId="77777777" w:rsidR="00DF26F8" w:rsidRPr="00F11D91" w:rsidRDefault="00DF26F8" w:rsidP="00080449">
            <w:pPr>
              <w:keepNext/>
              <w:widowControl w:val="0"/>
              <w:jc w:val="center"/>
              <w:rPr>
                <w:sz w:val="20"/>
                <w:szCs w:val="20"/>
              </w:rPr>
            </w:pPr>
            <w:r>
              <w:rPr>
                <w:sz w:val="20"/>
                <w:szCs w:val="20"/>
              </w:rPr>
              <w:t>Punto de partida para las reducciones acumulativas en el consumo (toneladas PAO)</w:t>
            </w:r>
          </w:p>
        </w:tc>
      </w:tr>
      <w:tr w:rsidR="00DF26F8" w:rsidRPr="00F11D91" w14:paraId="56E3C1E0" w14:textId="77777777" w:rsidTr="00080449">
        <w:tc>
          <w:tcPr>
            <w:tcW w:w="1896" w:type="pct"/>
            <w:shd w:val="clear" w:color="auto" w:fill="auto"/>
          </w:tcPr>
          <w:p w14:paraId="60C896C6" w14:textId="77777777" w:rsidR="00DF26F8" w:rsidRPr="00F11D91" w:rsidRDefault="00DF26F8" w:rsidP="00080449">
            <w:pPr>
              <w:widowControl w:val="0"/>
              <w:rPr>
                <w:sz w:val="20"/>
                <w:szCs w:val="20"/>
              </w:rPr>
            </w:pPr>
            <w:r>
              <w:rPr>
                <w:sz w:val="20"/>
                <w:szCs w:val="20"/>
              </w:rPr>
              <w:t>HCFC-22</w:t>
            </w:r>
          </w:p>
        </w:tc>
        <w:tc>
          <w:tcPr>
            <w:tcW w:w="758" w:type="pct"/>
            <w:shd w:val="clear" w:color="auto" w:fill="auto"/>
            <w:vAlign w:val="center"/>
          </w:tcPr>
          <w:p w14:paraId="0A4D1FA5" w14:textId="77777777" w:rsidR="00DF26F8" w:rsidRPr="00F11D91" w:rsidRDefault="00DF26F8" w:rsidP="00080449">
            <w:pPr>
              <w:widowControl w:val="0"/>
              <w:jc w:val="center"/>
              <w:rPr>
                <w:sz w:val="20"/>
                <w:szCs w:val="20"/>
              </w:rPr>
            </w:pPr>
            <w:r>
              <w:rPr>
                <w:sz w:val="20"/>
                <w:szCs w:val="20"/>
              </w:rPr>
              <w:t>C</w:t>
            </w:r>
          </w:p>
        </w:tc>
        <w:tc>
          <w:tcPr>
            <w:tcW w:w="758" w:type="pct"/>
            <w:shd w:val="clear" w:color="auto" w:fill="auto"/>
            <w:vAlign w:val="center"/>
          </w:tcPr>
          <w:p w14:paraId="4BC3BE21" w14:textId="77777777" w:rsidR="00DF26F8" w:rsidRPr="00F11D91" w:rsidRDefault="00DF26F8" w:rsidP="00080449">
            <w:pPr>
              <w:widowControl w:val="0"/>
              <w:jc w:val="center"/>
              <w:rPr>
                <w:sz w:val="20"/>
                <w:szCs w:val="20"/>
              </w:rPr>
            </w:pPr>
            <w:r>
              <w:rPr>
                <w:sz w:val="20"/>
                <w:szCs w:val="20"/>
              </w:rPr>
              <w:t>I</w:t>
            </w:r>
          </w:p>
        </w:tc>
        <w:tc>
          <w:tcPr>
            <w:tcW w:w="1588" w:type="pct"/>
            <w:shd w:val="clear" w:color="auto" w:fill="auto"/>
          </w:tcPr>
          <w:p w14:paraId="2F61D2E1" w14:textId="77777777" w:rsidR="00DF26F8" w:rsidRPr="00F11D91" w:rsidRDefault="00DF26F8" w:rsidP="00080449">
            <w:pPr>
              <w:widowControl w:val="0"/>
              <w:jc w:val="right"/>
              <w:rPr>
                <w:sz w:val="20"/>
                <w:szCs w:val="20"/>
              </w:rPr>
            </w:pPr>
            <w:r>
              <w:rPr>
                <w:sz w:val="20"/>
                <w:szCs w:val="20"/>
              </w:rPr>
              <w:t>2,10</w:t>
            </w:r>
          </w:p>
        </w:tc>
      </w:tr>
    </w:tbl>
    <w:p w14:paraId="7A919ACB" w14:textId="77777777" w:rsidR="00DF26F8" w:rsidRPr="00F11D91" w:rsidRDefault="00DF26F8" w:rsidP="00DF26F8">
      <w:pPr>
        <w:pStyle w:val="Heading1"/>
        <w:keepNext/>
        <w:numPr>
          <w:ilvl w:val="0"/>
          <w:numId w:val="0"/>
        </w:numPr>
        <w:spacing w:before="360"/>
        <w:rPr>
          <w:b/>
        </w:rPr>
      </w:pPr>
      <w:r>
        <w:rPr>
          <w:b/>
        </w:rPr>
        <w:t>APÉNDICE 2-A: METAS Y FINANCIAMIENTO</w:t>
      </w:r>
    </w:p>
    <w:tbl>
      <w:tblPr>
        <w:tblW w:w="5000" w:type="pct"/>
        <w:jc w:val="center"/>
        <w:tblCellMar>
          <w:left w:w="85" w:type="dxa"/>
          <w:right w:w="85" w:type="dxa"/>
        </w:tblCellMar>
        <w:tblLook w:val="04A0" w:firstRow="1" w:lastRow="0" w:firstColumn="1" w:lastColumn="0" w:noHBand="0" w:noVBand="1"/>
      </w:tblPr>
      <w:tblGrid>
        <w:gridCol w:w="882"/>
        <w:gridCol w:w="3313"/>
        <w:gridCol w:w="820"/>
        <w:gridCol w:w="670"/>
        <w:gridCol w:w="820"/>
        <w:gridCol w:w="673"/>
        <w:gridCol w:w="721"/>
        <w:gridCol w:w="721"/>
        <w:gridCol w:w="820"/>
      </w:tblGrid>
      <w:tr w:rsidR="00DF26F8" w:rsidRPr="00F11D91" w14:paraId="21581BDF" w14:textId="77777777" w:rsidTr="00080449">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EEC5794" w14:textId="77777777" w:rsidR="00DF26F8" w:rsidRPr="00F11D91" w:rsidRDefault="00DF26F8" w:rsidP="00080449">
            <w:pPr>
              <w:keepNext/>
              <w:keepLines/>
              <w:jc w:val="center"/>
              <w:rPr>
                <w:b/>
                <w:bCs/>
                <w:color w:val="000000"/>
                <w:sz w:val="20"/>
                <w:szCs w:val="20"/>
              </w:rPr>
            </w:pPr>
            <w:r>
              <w:rPr>
                <w:b/>
                <w:bCs/>
                <w:color w:val="000000"/>
                <w:sz w:val="20"/>
                <w:szCs w:val="20"/>
              </w:rPr>
              <w:t>Renglón</w:t>
            </w:r>
          </w:p>
        </w:tc>
        <w:tc>
          <w:tcPr>
            <w:tcW w:w="1779" w:type="pct"/>
            <w:tcBorders>
              <w:top w:val="single" w:sz="4" w:space="0" w:color="auto"/>
              <w:left w:val="nil"/>
              <w:bottom w:val="single" w:sz="4" w:space="0" w:color="auto"/>
              <w:right w:val="single" w:sz="4" w:space="0" w:color="auto"/>
            </w:tcBorders>
            <w:shd w:val="clear" w:color="auto" w:fill="auto"/>
            <w:hideMark/>
          </w:tcPr>
          <w:p w14:paraId="0BE8B018" w14:textId="77777777" w:rsidR="00DF26F8" w:rsidRPr="00F11D91" w:rsidRDefault="00DF26F8" w:rsidP="00080449">
            <w:pPr>
              <w:keepNext/>
              <w:keepLines/>
              <w:jc w:val="center"/>
              <w:rPr>
                <w:b/>
                <w:bCs/>
                <w:color w:val="000000"/>
                <w:sz w:val="20"/>
                <w:szCs w:val="20"/>
              </w:rPr>
            </w:pPr>
            <w:r>
              <w:rPr>
                <w:b/>
                <w:bCs/>
                <w:color w:val="000000"/>
                <w:sz w:val="20"/>
                <w:szCs w:val="20"/>
              </w:rPr>
              <w:t>Particularidades</w:t>
            </w:r>
          </w:p>
        </w:tc>
        <w:tc>
          <w:tcPr>
            <w:tcW w:w="439" w:type="pct"/>
            <w:tcBorders>
              <w:top w:val="single" w:sz="4" w:space="0" w:color="auto"/>
              <w:left w:val="nil"/>
              <w:bottom w:val="single" w:sz="4" w:space="0" w:color="auto"/>
              <w:right w:val="single" w:sz="4" w:space="0" w:color="auto"/>
            </w:tcBorders>
            <w:shd w:val="clear" w:color="auto" w:fill="auto"/>
            <w:hideMark/>
          </w:tcPr>
          <w:p w14:paraId="78B84EB3" w14:textId="77777777" w:rsidR="00DF26F8" w:rsidRPr="00F11D91" w:rsidRDefault="00DF26F8" w:rsidP="00080449">
            <w:pPr>
              <w:keepNext/>
              <w:keepLines/>
              <w:jc w:val="center"/>
              <w:rPr>
                <w:b/>
                <w:bCs/>
                <w:color w:val="000000"/>
                <w:sz w:val="20"/>
                <w:szCs w:val="20"/>
              </w:rPr>
            </w:pPr>
            <w:r>
              <w:rPr>
                <w:b/>
                <w:bCs/>
                <w:color w:val="000000"/>
                <w:sz w:val="20"/>
                <w:szCs w:val="20"/>
              </w:rPr>
              <w:t>2024</w:t>
            </w:r>
          </w:p>
        </w:tc>
        <w:tc>
          <w:tcPr>
            <w:tcW w:w="395" w:type="pct"/>
            <w:tcBorders>
              <w:top w:val="single" w:sz="4" w:space="0" w:color="auto"/>
              <w:left w:val="nil"/>
              <w:bottom w:val="single" w:sz="4" w:space="0" w:color="auto"/>
              <w:right w:val="single" w:sz="4" w:space="0" w:color="auto"/>
            </w:tcBorders>
            <w:shd w:val="clear" w:color="auto" w:fill="auto"/>
            <w:hideMark/>
          </w:tcPr>
          <w:p w14:paraId="51B01BE4" w14:textId="77777777" w:rsidR="00DF26F8" w:rsidRDefault="00DF26F8" w:rsidP="00080449">
            <w:pPr>
              <w:keepNext/>
              <w:keepLines/>
              <w:jc w:val="center"/>
              <w:rPr>
                <w:b/>
                <w:bCs/>
                <w:color w:val="000000"/>
                <w:sz w:val="20"/>
                <w:szCs w:val="20"/>
              </w:rPr>
            </w:pPr>
            <w:r>
              <w:rPr>
                <w:b/>
                <w:bCs/>
                <w:color w:val="000000"/>
                <w:sz w:val="20"/>
                <w:szCs w:val="20"/>
              </w:rPr>
              <w:t>2025-</w:t>
            </w:r>
          </w:p>
          <w:p w14:paraId="6C2AE533" w14:textId="77777777" w:rsidR="00DF26F8" w:rsidRPr="00F11D91" w:rsidRDefault="00DF26F8" w:rsidP="00080449">
            <w:pPr>
              <w:keepNext/>
              <w:keepLines/>
              <w:jc w:val="center"/>
              <w:rPr>
                <w:b/>
                <w:bCs/>
                <w:color w:val="000000"/>
                <w:sz w:val="20"/>
                <w:szCs w:val="20"/>
              </w:rPr>
            </w:pPr>
            <w:r>
              <w:rPr>
                <w:b/>
                <w:bCs/>
                <w:color w:val="000000"/>
                <w:sz w:val="20"/>
                <w:szCs w:val="20"/>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44A7BA88" w14:textId="77777777" w:rsidR="00DF26F8" w:rsidRPr="00F11D91" w:rsidRDefault="00DF26F8" w:rsidP="00080449">
            <w:pPr>
              <w:keepNext/>
              <w:keepLines/>
              <w:jc w:val="center"/>
              <w:rPr>
                <w:b/>
                <w:bCs/>
                <w:color w:val="000000"/>
                <w:sz w:val="20"/>
                <w:szCs w:val="20"/>
              </w:rPr>
            </w:pPr>
            <w:r>
              <w:rPr>
                <w:b/>
                <w:bCs/>
                <w:color w:val="000000"/>
                <w:sz w:val="20"/>
                <w:szCs w:val="20"/>
              </w:rPr>
              <w:t>2027</w:t>
            </w:r>
          </w:p>
        </w:tc>
        <w:tc>
          <w:tcPr>
            <w:tcW w:w="396" w:type="pct"/>
            <w:tcBorders>
              <w:top w:val="single" w:sz="4" w:space="0" w:color="auto"/>
              <w:left w:val="nil"/>
              <w:bottom w:val="single" w:sz="4" w:space="0" w:color="auto"/>
              <w:right w:val="single" w:sz="4" w:space="0" w:color="auto"/>
            </w:tcBorders>
            <w:shd w:val="clear" w:color="auto" w:fill="auto"/>
            <w:hideMark/>
          </w:tcPr>
          <w:p w14:paraId="71ABC78C" w14:textId="77777777" w:rsidR="00DF26F8" w:rsidRPr="00F11D91" w:rsidRDefault="00DF26F8" w:rsidP="00080449">
            <w:pPr>
              <w:keepNext/>
              <w:keepLines/>
              <w:jc w:val="center"/>
              <w:rPr>
                <w:b/>
                <w:bCs/>
                <w:color w:val="000000"/>
                <w:sz w:val="20"/>
                <w:szCs w:val="20"/>
              </w:rPr>
            </w:pPr>
            <w:r>
              <w:rPr>
                <w:b/>
                <w:bCs/>
                <w:color w:val="000000"/>
                <w:sz w:val="20"/>
                <w:szCs w:val="20"/>
              </w:rPr>
              <w:t>2028</w:t>
            </w:r>
          </w:p>
        </w:tc>
        <w:tc>
          <w:tcPr>
            <w:tcW w:w="405" w:type="pct"/>
            <w:tcBorders>
              <w:top w:val="single" w:sz="4" w:space="0" w:color="auto"/>
              <w:left w:val="nil"/>
              <w:bottom w:val="single" w:sz="4" w:space="0" w:color="auto"/>
              <w:right w:val="single" w:sz="4" w:space="0" w:color="auto"/>
            </w:tcBorders>
          </w:tcPr>
          <w:p w14:paraId="66134563" w14:textId="77777777" w:rsidR="00DF26F8" w:rsidRPr="00F11D91" w:rsidRDefault="00DF26F8" w:rsidP="00080449">
            <w:pPr>
              <w:keepNext/>
              <w:keepLines/>
              <w:jc w:val="center"/>
              <w:rPr>
                <w:b/>
                <w:bCs/>
                <w:color w:val="000000"/>
                <w:sz w:val="20"/>
                <w:szCs w:val="20"/>
              </w:rPr>
            </w:pPr>
            <w:r>
              <w:rPr>
                <w:b/>
                <w:bCs/>
                <w:color w:val="000000"/>
                <w:sz w:val="20"/>
                <w:szCs w:val="20"/>
              </w:rPr>
              <w:t>2029</w:t>
            </w:r>
          </w:p>
        </w:tc>
        <w:tc>
          <w:tcPr>
            <w:tcW w:w="405" w:type="pct"/>
            <w:tcBorders>
              <w:top w:val="single" w:sz="4" w:space="0" w:color="auto"/>
              <w:left w:val="single" w:sz="4" w:space="0" w:color="auto"/>
              <w:bottom w:val="single" w:sz="4" w:space="0" w:color="auto"/>
              <w:right w:val="single" w:sz="4" w:space="0" w:color="auto"/>
            </w:tcBorders>
            <w:shd w:val="clear" w:color="auto" w:fill="auto"/>
            <w:hideMark/>
          </w:tcPr>
          <w:p w14:paraId="0C59C6CD" w14:textId="77777777" w:rsidR="00DF26F8" w:rsidRPr="00F11D91" w:rsidRDefault="00DF26F8" w:rsidP="00080449">
            <w:pPr>
              <w:keepNext/>
              <w:keepLines/>
              <w:jc w:val="center"/>
              <w:rPr>
                <w:b/>
                <w:bCs/>
                <w:color w:val="000000"/>
                <w:sz w:val="20"/>
                <w:szCs w:val="20"/>
              </w:rPr>
            </w:pPr>
            <w:r>
              <w:rPr>
                <w:b/>
                <w:bCs/>
                <w:color w:val="000000"/>
                <w:sz w:val="20"/>
                <w:szCs w:val="20"/>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6B2C6629" w14:textId="77777777" w:rsidR="00DF26F8" w:rsidRPr="00F11D91" w:rsidRDefault="00DF26F8" w:rsidP="00080449">
            <w:pPr>
              <w:keepNext/>
              <w:keepLines/>
              <w:jc w:val="center"/>
              <w:rPr>
                <w:b/>
                <w:bCs/>
                <w:color w:val="000000"/>
                <w:sz w:val="20"/>
                <w:szCs w:val="20"/>
              </w:rPr>
            </w:pPr>
            <w:r>
              <w:rPr>
                <w:b/>
                <w:bCs/>
                <w:color w:val="000000"/>
                <w:sz w:val="20"/>
                <w:szCs w:val="20"/>
              </w:rPr>
              <w:t>Total</w:t>
            </w:r>
          </w:p>
        </w:tc>
      </w:tr>
      <w:tr w:rsidR="00DF26F8" w:rsidRPr="00F11D91" w14:paraId="23DCBF68" w14:textId="77777777" w:rsidTr="0008044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C31FFEB" w14:textId="77777777" w:rsidR="00DF26F8" w:rsidRPr="00F11D91" w:rsidRDefault="00DF26F8" w:rsidP="00080449">
            <w:pPr>
              <w:keepNext/>
              <w:keepLines/>
              <w:jc w:val="left"/>
              <w:rPr>
                <w:color w:val="000000"/>
                <w:sz w:val="20"/>
                <w:szCs w:val="20"/>
              </w:rPr>
            </w:pPr>
            <w:r>
              <w:rPr>
                <w:color w:val="000000"/>
                <w:sz w:val="20"/>
                <w:szCs w:val="20"/>
              </w:rPr>
              <w:t>1.1</w:t>
            </w:r>
          </w:p>
        </w:tc>
        <w:tc>
          <w:tcPr>
            <w:tcW w:w="1779" w:type="pct"/>
            <w:tcBorders>
              <w:top w:val="nil"/>
              <w:left w:val="nil"/>
              <w:bottom w:val="single" w:sz="4" w:space="0" w:color="auto"/>
              <w:right w:val="single" w:sz="4" w:space="0" w:color="auto"/>
            </w:tcBorders>
            <w:shd w:val="clear" w:color="auto" w:fill="auto"/>
            <w:hideMark/>
          </w:tcPr>
          <w:p w14:paraId="3533C645" w14:textId="77777777" w:rsidR="00DF26F8" w:rsidRPr="00F11D91" w:rsidRDefault="00DF26F8" w:rsidP="00080449">
            <w:pPr>
              <w:keepNext/>
              <w:keepLines/>
              <w:jc w:val="left"/>
              <w:rPr>
                <w:color w:val="000000"/>
                <w:sz w:val="20"/>
                <w:szCs w:val="20"/>
              </w:rPr>
            </w:pPr>
            <w:r>
              <w:rPr>
                <w:color w:val="000000"/>
                <w:sz w:val="20"/>
                <w:szCs w:val="20"/>
              </w:rPr>
              <w:t>Calendario de reducción de las sustancias del grupo I del anexo C del Protocolo de Montreal (toneladas PAO)</w:t>
            </w:r>
          </w:p>
        </w:tc>
        <w:tc>
          <w:tcPr>
            <w:tcW w:w="439" w:type="pct"/>
            <w:tcBorders>
              <w:top w:val="nil"/>
              <w:left w:val="nil"/>
              <w:bottom w:val="single" w:sz="4" w:space="0" w:color="auto"/>
              <w:right w:val="single" w:sz="4" w:space="0" w:color="auto"/>
            </w:tcBorders>
            <w:shd w:val="clear" w:color="auto" w:fill="auto"/>
          </w:tcPr>
          <w:p w14:paraId="1E4A0E20" w14:textId="77777777" w:rsidR="00DF26F8" w:rsidRPr="00F11D91" w:rsidRDefault="00DF26F8" w:rsidP="00080449">
            <w:pPr>
              <w:keepNext/>
              <w:keepLines/>
              <w:jc w:val="right"/>
              <w:rPr>
                <w:color w:val="000000"/>
                <w:sz w:val="20"/>
                <w:szCs w:val="20"/>
              </w:rPr>
            </w:pPr>
            <w:r>
              <w:rPr>
                <w:bCs/>
                <w:sz w:val="20"/>
                <w:szCs w:val="20"/>
              </w:rPr>
              <w:t>4,65</w:t>
            </w:r>
          </w:p>
        </w:tc>
        <w:tc>
          <w:tcPr>
            <w:tcW w:w="395" w:type="pct"/>
            <w:tcBorders>
              <w:top w:val="nil"/>
              <w:left w:val="nil"/>
              <w:bottom w:val="single" w:sz="4" w:space="0" w:color="auto"/>
              <w:right w:val="single" w:sz="4" w:space="0" w:color="auto"/>
            </w:tcBorders>
            <w:shd w:val="clear" w:color="auto" w:fill="auto"/>
          </w:tcPr>
          <w:p w14:paraId="1A0C98ED" w14:textId="77777777" w:rsidR="00DF26F8" w:rsidRPr="00F11D91" w:rsidRDefault="00DF26F8" w:rsidP="00080449">
            <w:pPr>
              <w:keepNext/>
              <w:keepLines/>
              <w:jc w:val="right"/>
              <w:rPr>
                <w:color w:val="000000"/>
                <w:sz w:val="20"/>
                <w:szCs w:val="20"/>
              </w:rPr>
            </w:pPr>
            <w:r>
              <w:rPr>
                <w:bCs/>
                <w:sz w:val="20"/>
                <w:szCs w:val="20"/>
              </w:rPr>
              <w:t>2,32</w:t>
            </w:r>
          </w:p>
        </w:tc>
        <w:tc>
          <w:tcPr>
            <w:tcW w:w="439" w:type="pct"/>
            <w:tcBorders>
              <w:top w:val="nil"/>
              <w:left w:val="nil"/>
              <w:bottom w:val="single" w:sz="4" w:space="0" w:color="auto"/>
              <w:right w:val="single" w:sz="4" w:space="0" w:color="auto"/>
            </w:tcBorders>
            <w:shd w:val="clear" w:color="auto" w:fill="auto"/>
          </w:tcPr>
          <w:p w14:paraId="70537185" w14:textId="77777777" w:rsidR="00DF26F8" w:rsidRPr="00F11D91" w:rsidRDefault="00DF26F8" w:rsidP="00080449">
            <w:pPr>
              <w:keepNext/>
              <w:keepLines/>
              <w:jc w:val="right"/>
              <w:rPr>
                <w:color w:val="000000"/>
                <w:sz w:val="20"/>
                <w:szCs w:val="20"/>
              </w:rPr>
            </w:pPr>
            <w:r>
              <w:rPr>
                <w:bCs/>
                <w:sz w:val="20"/>
                <w:szCs w:val="20"/>
              </w:rPr>
              <w:t>2,32</w:t>
            </w:r>
          </w:p>
        </w:tc>
        <w:tc>
          <w:tcPr>
            <w:tcW w:w="396" w:type="pct"/>
            <w:tcBorders>
              <w:top w:val="nil"/>
              <w:left w:val="nil"/>
              <w:bottom w:val="single" w:sz="4" w:space="0" w:color="auto"/>
              <w:right w:val="single" w:sz="4" w:space="0" w:color="auto"/>
            </w:tcBorders>
            <w:shd w:val="clear" w:color="auto" w:fill="auto"/>
          </w:tcPr>
          <w:p w14:paraId="4C36E8B6" w14:textId="77777777" w:rsidR="00DF26F8" w:rsidRPr="00F11D91" w:rsidRDefault="00DF26F8" w:rsidP="00080449">
            <w:pPr>
              <w:keepNext/>
              <w:keepLines/>
              <w:jc w:val="right"/>
              <w:rPr>
                <w:color w:val="000000"/>
                <w:sz w:val="20"/>
                <w:szCs w:val="20"/>
              </w:rPr>
            </w:pPr>
            <w:r>
              <w:rPr>
                <w:bCs/>
                <w:sz w:val="20"/>
                <w:szCs w:val="20"/>
              </w:rPr>
              <w:t>2,32</w:t>
            </w:r>
          </w:p>
        </w:tc>
        <w:tc>
          <w:tcPr>
            <w:tcW w:w="405" w:type="pct"/>
            <w:tcBorders>
              <w:top w:val="single" w:sz="4" w:space="0" w:color="auto"/>
              <w:left w:val="nil"/>
              <w:bottom w:val="single" w:sz="4" w:space="0" w:color="auto"/>
              <w:right w:val="single" w:sz="4" w:space="0" w:color="auto"/>
            </w:tcBorders>
          </w:tcPr>
          <w:p w14:paraId="718A6F72" w14:textId="77777777" w:rsidR="00DF26F8" w:rsidRPr="00316F33" w:rsidRDefault="00DF26F8" w:rsidP="00080449">
            <w:pPr>
              <w:keepNext/>
              <w:keepLines/>
              <w:jc w:val="right"/>
              <w:rPr>
                <w:bCs/>
                <w:sz w:val="20"/>
                <w:szCs w:val="20"/>
              </w:rPr>
            </w:pPr>
            <w:r>
              <w:rPr>
                <w:bCs/>
                <w:sz w:val="20"/>
                <w:szCs w:val="20"/>
              </w:rPr>
              <w:t>2,32</w:t>
            </w:r>
          </w:p>
        </w:tc>
        <w:tc>
          <w:tcPr>
            <w:tcW w:w="405" w:type="pct"/>
            <w:tcBorders>
              <w:top w:val="nil"/>
              <w:left w:val="single" w:sz="4" w:space="0" w:color="auto"/>
              <w:bottom w:val="single" w:sz="4" w:space="0" w:color="auto"/>
              <w:right w:val="single" w:sz="4" w:space="0" w:color="auto"/>
            </w:tcBorders>
            <w:shd w:val="clear" w:color="auto" w:fill="auto"/>
          </w:tcPr>
          <w:p w14:paraId="66E266BE" w14:textId="77777777" w:rsidR="00DF26F8" w:rsidRPr="00F11D91" w:rsidRDefault="00DF26F8" w:rsidP="00080449">
            <w:pPr>
              <w:keepNext/>
              <w:keepLines/>
              <w:jc w:val="right"/>
              <w:rPr>
                <w:color w:val="000000"/>
                <w:sz w:val="20"/>
                <w:szCs w:val="20"/>
              </w:rPr>
            </w:pPr>
            <w:r>
              <w:rPr>
                <w:bCs/>
                <w:sz w:val="20"/>
                <w:szCs w:val="20"/>
              </w:rPr>
              <w:t>0,00</w:t>
            </w:r>
          </w:p>
        </w:tc>
        <w:tc>
          <w:tcPr>
            <w:tcW w:w="439" w:type="pct"/>
            <w:tcBorders>
              <w:top w:val="nil"/>
              <w:left w:val="nil"/>
              <w:bottom w:val="single" w:sz="4" w:space="0" w:color="auto"/>
              <w:right w:val="single" w:sz="4" w:space="0" w:color="auto"/>
            </w:tcBorders>
            <w:shd w:val="clear" w:color="auto" w:fill="auto"/>
          </w:tcPr>
          <w:p w14:paraId="168C6A75" w14:textId="77777777" w:rsidR="00DF26F8" w:rsidRPr="00F11D91" w:rsidRDefault="00DF26F8" w:rsidP="00080449">
            <w:pPr>
              <w:keepNext/>
              <w:keepLines/>
              <w:jc w:val="right"/>
              <w:rPr>
                <w:color w:val="000000"/>
                <w:sz w:val="20"/>
                <w:szCs w:val="20"/>
              </w:rPr>
            </w:pPr>
            <w:r>
              <w:rPr>
                <w:color w:val="000000"/>
                <w:sz w:val="20"/>
                <w:szCs w:val="20"/>
              </w:rPr>
              <w:t>n/a</w:t>
            </w:r>
          </w:p>
        </w:tc>
      </w:tr>
      <w:tr w:rsidR="00DF26F8" w:rsidRPr="00F11D91" w14:paraId="43FAEA46" w14:textId="77777777" w:rsidTr="00080449">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66A7B565" w14:textId="77777777" w:rsidR="00DF26F8" w:rsidRPr="00F11D91" w:rsidRDefault="00DF26F8" w:rsidP="00080449">
            <w:pPr>
              <w:jc w:val="left"/>
              <w:rPr>
                <w:color w:val="000000"/>
                <w:sz w:val="20"/>
                <w:szCs w:val="20"/>
              </w:rPr>
            </w:pPr>
            <w:r>
              <w:rPr>
                <w:color w:val="000000"/>
                <w:sz w:val="20"/>
                <w:szCs w:val="20"/>
              </w:rPr>
              <w:t>1.2</w:t>
            </w:r>
          </w:p>
        </w:tc>
        <w:tc>
          <w:tcPr>
            <w:tcW w:w="1779" w:type="pct"/>
            <w:tcBorders>
              <w:top w:val="nil"/>
              <w:left w:val="nil"/>
              <w:bottom w:val="single" w:sz="4" w:space="0" w:color="auto"/>
              <w:right w:val="single" w:sz="4" w:space="0" w:color="auto"/>
            </w:tcBorders>
            <w:shd w:val="clear" w:color="auto" w:fill="auto"/>
            <w:hideMark/>
          </w:tcPr>
          <w:p w14:paraId="4AE6E1DF" w14:textId="77777777" w:rsidR="00DF26F8" w:rsidRPr="00F11D91" w:rsidRDefault="00DF26F8" w:rsidP="00080449">
            <w:pPr>
              <w:jc w:val="left"/>
              <w:rPr>
                <w:color w:val="000000"/>
                <w:sz w:val="20"/>
                <w:szCs w:val="20"/>
              </w:rPr>
            </w:pPr>
            <w:r>
              <w:rPr>
                <w:color w:val="000000"/>
                <w:sz w:val="20"/>
                <w:szCs w:val="20"/>
              </w:rPr>
              <w:t>Consumo total máximo autorizado de sustancias del grupo I del anexo C (toneladas PAO)</w:t>
            </w:r>
          </w:p>
        </w:tc>
        <w:tc>
          <w:tcPr>
            <w:tcW w:w="439" w:type="pct"/>
            <w:tcBorders>
              <w:top w:val="nil"/>
              <w:left w:val="nil"/>
              <w:bottom w:val="single" w:sz="4" w:space="0" w:color="auto"/>
              <w:right w:val="single" w:sz="4" w:space="0" w:color="auto"/>
            </w:tcBorders>
            <w:shd w:val="clear" w:color="auto" w:fill="auto"/>
          </w:tcPr>
          <w:p w14:paraId="1673FD5C" w14:textId="77777777" w:rsidR="00DF26F8" w:rsidRPr="00624F17" w:rsidRDefault="00DF26F8" w:rsidP="00080449">
            <w:pPr>
              <w:jc w:val="right"/>
              <w:rPr>
                <w:bCs/>
                <w:color w:val="000000"/>
                <w:sz w:val="20"/>
                <w:szCs w:val="20"/>
              </w:rPr>
            </w:pPr>
            <w:r>
              <w:rPr>
                <w:bCs/>
                <w:sz w:val="20"/>
                <w:szCs w:val="20"/>
              </w:rPr>
              <w:t>0,70</w:t>
            </w:r>
          </w:p>
        </w:tc>
        <w:tc>
          <w:tcPr>
            <w:tcW w:w="395" w:type="pct"/>
            <w:tcBorders>
              <w:top w:val="nil"/>
              <w:left w:val="nil"/>
              <w:bottom w:val="single" w:sz="4" w:space="0" w:color="auto"/>
              <w:right w:val="single" w:sz="4" w:space="0" w:color="auto"/>
            </w:tcBorders>
            <w:shd w:val="clear" w:color="auto" w:fill="auto"/>
          </w:tcPr>
          <w:p w14:paraId="7ACB61A0" w14:textId="77777777" w:rsidR="00DF26F8" w:rsidRPr="00624F17" w:rsidRDefault="00DF26F8" w:rsidP="00080449">
            <w:pPr>
              <w:jc w:val="right"/>
              <w:rPr>
                <w:bCs/>
                <w:color w:val="000000"/>
                <w:sz w:val="20"/>
                <w:szCs w:val="20"/>
              </w:rPr>
            </w:pPr>
            <w:r>
              <w:rPr>
                <w:bCs/>
                <w:sz w:val="20"/>
                <w:szCs w:val="20"/>
              </w:rPr>
              <w:t>0,68</w:t>
            </w:r>
          </w:p>
        </w:tc>
        <w:tc>
          <w:tcPr>
            <w:tcW w:w="439" w:type="pct"/>
            <w:tcBorders>
              <w:top w:val="nil"/>
              <w:left w:val="nil"/>
              <w:bottom w:val="single" w:sz="4" w:space="0" w:color="auto"/>
              <w:right w:val="single" w:sz="4" w:space="0" w:color="auto"/>
            </w:tcBorders>
            <w:shd w:val="clear" w:color="auto" w:fill="auto"/>
          </w:tcPr>
          <w:p w14:paraId="676D2199" w14:textId="77777777" w:rsidR="00DF26F8" w:rsidRPr="00316F33" w:rsidRDefault="00DF26F8" w:rsidP="00080449">
            <w:pPr>
              <w:jc w:val="right"/>
              <w:rPr>
                <w:bCs/>
                <w:color w:val="000000"/>
                <w:sz w:val="20"/>
                <w:szCs w:val="20"/>
              </w:rPr>
            </w:pPr>
            <w:r>
              <w:rPr>
                <w:bCs/>
                <w:sz w:val="20"/>
                <w:szCs w:val="20"/>
              </w:rPr>
              <w:t>0,68</w:t>
            </w:r>
          </w:p>
        </w:tc>
        <w:tc>
          <w:tcPr>
            <w:tcW w:w="396" w:type="pct"/>
            <w:tcBorders>
              <w:top w:val="nil"/>
              <w:left w:val="nil"/>
              <w:bottom w:val="single" w:sz="4" w:space="0" w:color="auto"/>
              <w:right w:val="single" w:sz="4" w:space="0" w:color="auto"/>
            </w:tcBorders>
            <w:shd w:val="clear" w:color="auto" w:fill="auto"/>
          </w:tcPr>
          <w:p w14:paraId="60AEC8C4" w14:textId="77777777" w:rsidR="00DF26F8" w:rsidRPr="00316F33" w:rsidRDefault="00DF26F8" w:rsidP="00080449">
            <w:pPr>
              <w:jc w:val="right"/>
              <w:rPr>
                <w:bCs/>
                <w:color w:val="000000"/>
                <w:sz w:val="20"/>
                <w:szCs w:val="20"/>
              </w:rPr>
            </w:pPr>
            <w:r>
              <w:rPr>
                <w:bCs/>
                <w:sz w:val="20"/>
                <w:szCs w:val="20"/>
              </w:rPr>
              <w:t>0,68</w:t>
            </w:r>
          </w:p>
        </w:tc>
        <w:tc>
          <w:tcPr>
            <w:tcW w:w="405" w:type="pct"/>
            <w:tcBorders>
              <w:top w:val="single" w:sz="4" w:space="0" w:color="auto"/>
              <w:left w:val="nil"/>
              <w:bottom w:val="single" w:sz="4" w:space="0" w:color="auto"/>
              <w:right w:val="single" w:sz="4" w:space="0" w:color="auto"/>
            </w:tcBorders>
          </w:tcPr>
          <w:p w14:paraId="2C58ED68" w14:textId="77777777" w:rsidR="00DF26F8" w:rsidRPr="00316F33" w:rsidRDefault="00DF26F8" w:rsidP="00080449">
            <w:pPr>
              <w:jc w:val="right"/>
              <w:rPr>
                <w:bCs/>
                <w:sz w:val="20"/>
                <w:szCs w:val="20"/>
              </w:rPr>
            </w:pPr>
            <w:r>
              <w:rPr>
                <w:bCs/>
                <w:sz w:val="20"/>
                <w:szCs w:val="20"/>
              </w:rPr>
              <w:t>0,68</w:t>
            </w:r>
          </w:p>
        </w:tc>
        <w:tc>
          <w:tcPr>
            <w:tcW w:w="405" w:type="pct"/>
            <w:tcBorders>
              <w:top w:val="nil"/>
              <w:left w:val="single" w:sz="4" w:space="0" w:color="auto"/>
              <w:bottom w:val="single" w:sz="4" w:space="0" w:color="auto"/>
              <w:right w:val="single" w:sz="4" w:space="0" w:color="auto"/>
            </w:tcBorders>
            <w:shd w:val="clear" w:color="auto" w:fill="auto"/>
          </w:tcPr>
          <w:p w14:paraId="6A987F54" w14:textId="77777777" w:rsidR="00DF26F8" w:rsidRPr="00316F33" w:rsidRDefault="00DF26F8" w:rsidP="00080449">
            <w:pPr>
              <w:jc w:val="right"/>
              <w:rPr>
                <w:bCs/>
                <w:color w:val="000000"/>
                <w:sz w:val="20"/>
                <w:szCs w:val="20"/>
              </w:rPr>
            </w:pPr>
            <w:r>
              <w:rPr>
                <w:bCs/>
                <w:sz w:val="20"/>
                <w:szCs w:val="20"/>
              </w:rPr>
              <w:t>0,00</w:t>
            </w:r>
          </w:p>
        </w:tc>
        <w:tc>
          <w:tcPr>
            <w:tcW w:w="439" w:type="pct"/>
            <w:tcBorders>
              <w:top w:val="nil"/>
              <w:left w:val="nil"/>
              <w:bottom w:val="single" w:sz="4" w:space="0" w:color="auto"/>
              <w:right w:val="single" w:sz="4" w:space="0" w:color="auto"/>
            </w:tcBorders>
            <w:shd w:val="clear" w:color="auto" w:fill="auto"/>
          </w:tcPr>
          <w:p w14:paraId="77599D78" w14:textId="77777777" w:rsidR="00DF26F8" w:rsidRPr="00316F33" w:rsidRDefault="00DF26F8" w:rsidP="00080449">
            <w:pPr>
              <w:jc w:val="right"/>
              <w:rPr>
                <w:bCs/>
                <w:color w:val="000000"/>
                <w:sz w:val="20"/>
                <w:szCs w:val="20"/>
              </w:rPr>
            </w:pPr>
            <w:r>
              <w:rPr>
                <w:bCs/>
                <w:color w:val="000000"/>
                <w:sz w:val="20"/>
                <w:szCs w:val="20"/>
              </w:rPr>
              <w:t>n/a</w:t>
            </w:r>
          </w:p>
        </w:tc>
      </w:tr>
      <w:tr w:rsidR="00DF26F8" w:rsidRPr="00F11D91" w14:paraId="20209EE3" w14:textId="77777777" w:rsidTr="00080449">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0BFA45A4" w14:textId="77777777" w:rsidR="00DF26F8" w:rsidRPr="00F11D91" w:rsidRDefault="00DF26F8" w:rsidP="00080449">
            <w:pPr>
              <w:jc w:val="left"/>
              <w:rPr>
                <w:color w:val="000000"/>
                <w:sz w:val="20"/>
                <w:szCs w:val="20"/>
              </w:rPr>
            </w:pPr>
            <w:r>
              <w:rPr>
                <w:color w:val="000000"/>
                <w:sz w:val="20"/>
                <w:szCs w:val="20"/>
              </w:rPr>
              <w:lastRenderedPageBreak/>
              <w:t>2.1</w:t>
            </w:r>
          </w:p>
        </w:tc>
        <w:tc>
          <w:tcPr>
            <w:tcW w:w="1779" w:type="pct"/>
            <w:tcBorders>
              <w:top w:val="nil"/>
              <w:left w:val="nil"/>
              <w:bottom w:val="single" w:sz="4" w:space="0" w:color="auto"/>
              <w:right w:val="single" w:sz="4" w:space="0" w:color="auto"/>
            </w:tcBorders>
            <w:shd w:val="clear" w:color="auto" w:fill="auto"/>
            <w:hideMark/>
          </w:tcPr>
          <w:p w14:paraId="1B4E5FA0" w14:textId="77777777" w:rsidR="00DF26F8" w:rsidRPr="00F11D91" w:rsidRDefault="00DF26F8" w:rsidP="00080449">
            <w:pPr>
              <w:jc w:val="left"/>
              <w:rPr>
                <w:color w:val="000000"/>
                <w:sz w:val="20"/>
                <w:szCs w:val="20"/>
              </w:rPr>
            </w:pPr>
            <w:r>
              <w:rPr>
                <w:color w:val="000000"/>
                <w:sz w:val="20"/>
                <w:szCs w:val="20"/>
              </w:rPr>
              <w:t>Financiación convenida ($EUA) para el OE Principal (PNUMA)</w:t>
            </w:r>
          </w:p>
        </w:tc>
        <w:tc>
          <w:tcPr>
            <w:tcW w:w="439" w:type="pct"/>
            <w:tcBorders>
              <w:top w:val="nil"/>
              <w:left w:val="nil"/>
              <w:bottom w:val="single" w:sz="4" w:space="0" w:color="auto"/>
              <w:right w:val="single" w:sz="4" w:space="0" w:color="auto"/>
            </w:tcBorders>
            <w:shd w:val="clear" w:color="auto" w:fill="auto"/>
          </w:tcPr>
          <w:p w14:paraId="28B735B3" w14:textId="77777777" w:rsidR="00DF26F8" w:rsidRPr="00F11D91" w:rsidRDefault="00DF26F8" w:rsidP="00080449">
            <w:pPr>
              <w:jc w:val="right"/>
              <w:rPr>
                <w:color w:val="000000"/>
                <w:sz w:val="20"/>
                <w:szCs w:val="20"/>
              </w:rPr>
            </w:pPr>
            <w:r>
              <w:rPr>
                <w:bCs/>
                <w:sz w:val="20"/>
                <w:szCs w:val="20"/>
              </w:rPr>
              <w:t>114 000</w:t>
            </w:r>
          </w:p>
        </w:tc>
        <w:tc>
          <w:tcPr>
            <w:tcW w:w="395" w:type="pct"/>
            <w:tcBorders>
              <w:top w:val="nil"/>
              <w:left w:val="nil"/>
              <w:bottom w:val="single" w:sz="4" w:space="0" w:color="auto"/>
              <w:right w:val="single" w:sz="4" w:space="0" w:color="auto"/>
            </w:tcBorders>
            <w:shd w:val="clear" w:color="auto" w:fill="auto"/>
          </w:tcPr>
          <w:p w14:paraId="1793CCD3" w14:textId="77777777" w:rsidR="00DF26F8" w:rsidRPr="00F11D91" w:rsidRDefault="00DF26F8" w:rsidP="00080449">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auto"/>
          </w:tcPr>
          <w:p w14:paraId="1C25885B" w14:textId="77777777" w:rsidR="00DF26F8" w:rsidRPr="00F11D91" w:rsidRDefault="00DF26F8" w:rsidP="00080449">
            <w:pPr>
              <w:jc w:val="right"/>
              <w:rPr>
                <w:color w:val="000000"/>
                <w:sz w:val="20"/>
                <w:szCs w:val="20"/>
              </w:rPr>
            </w:pPr>
            <w:r>
              <w:rPr>
                <w:bCs/>
                <w:sz w:val="20"/>
                <w:szCs w:val="20"/>
              </w:rPr>
              <w:t>130 000</w:t>
            </w:r>
          </w:p>
        </w:tc>
        <w:tc>
          <w:tcPr>
            <w:tcW w:w="396" w:type="pct"/>
            <w:tcBorders>
              <w:top w:val="nil"/>
              <w:left w:val="nil"/>
              <w:bottom w:val="single" w:sz="4" w:space="0" w:color="auto"/>
              <w:right w:val="single" w:sz="4" w:space="0" w:color="auto"/>
            </w:tcBorders>
            <w:shd w:val="clear" w:color="auto" w:fill="auto"/>
          </w:tcPr>
          <w:p w14:paraId="66ECCC65" w14:textId="77777777" w:rsidR="00DF26F8" w:rsidRPr="00F11D91" w:rsidRDefault="00DF26F8" w:rsidP="00080449">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tcPr>
          <w:p w14:paraId="256A2785" w14:textId="77777777" w:rsidR="00DF26F8" w:rsidRPr="00316F33" w:rsidRDefault="00DF26F8" w:rsidP="00080449">
            <w:pPr>
              <w:jc w:val="right"/>
              <w:rPr>
                <w:bCs/>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747AD136" w14:textId="77777777" w:rsidR="00DF26F8" w:rsidRPr="00F11D91" w:rsidRDefault="00DF26F8" w:rsidP="00080449">
            <w:pPr>
              <w:jc w:val="right"/>
              <w:rPr>
                <w:color w:val="000000"/>
                <w:sz w:val="20"/>
                <w:szCs w:val="20"/>
              </w:rPr>
            </w:pPr>
            <w:r>
              <w:rPr>
                <w:bCs/>
                <w:sz w:val="20"/>
                <w:szCs w:val="20"/>
              </w:rPr>
              <w:t>34 000</w:t>
            </w:r>
          </w:p>
        </w:tc>
        <w:tc>
          <w:tcPr>
            <w:tcW w:w="439" w:type="pct"/>
            <w:tcBorders>
              <w:top w:val="nil"/>
              <w:left w:val="nil"/>
              <w:bottom w:val="single" w:sz="4" w:space="0" w:color="auto"/>
              <w:right w:val="single" w:sz="4" w:space="0" w:color="auto"/>
            </w:tcBorders>
            <w:shd w:val="clear" w:color="auto" w:fill="auto"/>
          </w:tcPr>
          <w:p w14:paraId="26B8F1CA" w14:textId="77777777" w:rsidR="00DF26F8" w:rsidRPr="00F11D91" w:rsidRDefault="00DF26F8" w:rsidP="00080449">
            <w:pPr>
              <w:jc w:val="right"/>
              <w:rPr>
                <w:color w:val="000000"/>
                <w:sz w:val="20"/>
                <w:szCs w:val="20"/>
              </w:rPr>
            </w:pPr>
            <w:r>
              <w:rPr>
                <w:sz w:val="20"/>
                <w:szCs w:val="20"/>
              </w:rPr>
              <w:t>278 000</w:t>
            </w:r>
          </w:p>
        </w:tc>
      </w:tr>
      <w:tr w:rsidR="00DF26F8" w:rsidRPr="00F11D91" w14:paraId="4CA8261F" w14:textId="77777777" w:rsidTr="00080449">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1E7C2F67" w14:textId="77777777" w:rsidR="00DF26F8" w:rsidRPr="00F11D91" w:rsidRDefault="00DF26F8" w:rsidP="00080449">
            <w:pPr>
              <w:jc w:val="left"/>
              <w:rPr>
                <w:color w:val="000000"/>
                <w:sz w:val="20"/>
                <w:szCs w:val="20"/>
              </w:rPr>
            </w:pPr>
            <w:r>
              <w:rPr>
                <w:color w:val="000000"/>
                <w:sz w:val="20"/>
                <w:szCs w:val="20"/>
              </w:rPr>
              <w:t>2.2</w:t>
            </w:r>
          </w:p>
        </w:tc>
        <w:tc>
          <w:tcPr>
            <w:tcW w:w="1779" w:type="pct"/>
            <w:tcBorders>
              <w:top w:val="nil"/>
              <w:left w:val="nil"/>
              <w:bottom w:val="single" w:sz="4" w:space="0" w:color="auto"/>
              <w:right w:val="single" w:sz="4" w:space="0" w:color="auto"/>
            </w:tcBorders>
            <w:shd w:val="clear" w:color="auto" w:fill="auto"/>
            <w:hideMark/>
          </w:tcPr>
          <w:p w14:paraId="1D333A18" w14:textId="77777777" w:rsidR="00DF26F8" w:rsidRPr="00F11D91" w:rsidRDefault="00DF26F8" w:rsidP="00080449">
            <w:pPr>
              <w:jc w:val="left"/>
              <w:rPr>
                <w:color w:val="000000"/>
                <w:sz w:val="20"/>
                <w:szCs w:val="20"/>
              </w:rPr>
            </w:pPr>
            <w:r>
              <w:rPr>
                <w:color w:val="000000"/>
                <w:sz w:val="20"/>
                <w:szCs w:val="20"/>
              </w:rPr>
              <w:t>Gastos de apoyo al OE Principal ($EUA)</w:t>
            </w:r>
          </w:p>
        </w:tc>
        <w:tc>
          <w:tcPr>
            <w:tcW w:w="439" w:type="pct"/>
            <w:tcBorders>
              <w:top w:val="nil"/>
              <w:left w:val="nil"/>
              <w:bottom w:val="single" w:sz="4" w:space="0" w:color="auto"/>
              <w:right w:val="single" w:sz="4" w:space="0" w:color="auto"/>
            </w:tcBorders>
            <w:shd w:val="clear" w:color="auto" w:fill="auto"/>
          </w:tcPr>
          <w:p w14:paraId="51485C9F" w14:textId="77777777" w:rsidR="00DF26F8" w:rsidRPr="00F11D91" w:rsidRDefault="00DF26F8" w:rsidP="00080449">
            <w:pPr>
              <w:jc w:val="right"/>
              <w:rPr>
                <w:color w:val="000000"/>
                <w:sz w:val="20"/>
                <w:szCs w:val="20"/>
              </w:rPr>
            </w:pPr>
            <w:r>
              <w:rPr>
                <w:bCs/>
                <w:sz w:val="20"/>
                <w:szCs w:val="20"/>
              </w:rPr>
              <w:t>14 820</w:t>
            </w:r>
          </w:p>
        </w:tc>
        <w:tc>
          <w:tcPr>
            <w:tcW w:w="395" w:type="pct"/>
            <w:tcBorders>
              <w:top w:val="nil"/>
              <w:left w:val="nil"/>
              <w:bottom w:val="single" w:sz="4" w:space="0" w:color="auto"/>
              <w:right w:val="single" w:sz="4" w:space="0" w:color="auto"/>
            </w:tcBorders>
            <w:shd w:val="clear" w:color="auto" w:fill="auto"/>
          </w:tcPr>
          <w:p w14:paraId="6016188D" w14:textId="77777777" w:rsidR="00DF26F8" w:rsidRPr="00F11D91" w:rsidRDefault="00DF26F8" w:rsidP="00080449">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auto"/>
          </w:tcPr>
          <w:p w14:paraId="4AB8BC6D" w14:textId="77777777" w:rsidR="00DF26F8" w:rsidRPr="00F11D91" w:rsidRDefault="00DF26F8" w:rsidP="00080449">
            <w:pPr>
              <w:jc w:val="right"/>
              <w:rPr>
                <w:color w:val="000000"/>
                <w:sz w:val="20"/>
                <w:szCs w:val="20"/>
              </w:rPr>
            </w:pPr>
            <w:r>
              <w:rPr>
                <w:bCs/>
                <w:sz w:val="20"/>
                <w:szCs w:val="20"/>
              </w:rPr>
              <w:t>16 900</w:t>
            </w:r>
          </w:p>
        </w:tc>
        <w:tc>
          <w:tcPr>
            <w:tcW w:w="396" w:type="pct"/>
            <w:tcBorders>
              <w:top w:val="nil"/>
              <w:left w:val="nil"/>
              <w:bottom w:val="single" w:sz="4" w:space="0" w:color="auto"/>
              <w:right w:val="single" w:sz="4" w:space="0" w:color="auto"/>
            </w:tcBorders>
            <w:shd w:val="clear" w:color="auto" w:fill="auto"/>
          </w:tcPr>
          <w:p w14:paraId="2C218E52" w14:textId="77777777" w:rsidR="00DF26F8" w:rsidRPr="00F11D91" w:rsidRDefault="00DF26F8" w:rsidP="00080449">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tcPr>
          <w:p w14:paraId="1E5DA8C6" w14:textId="77777777" w:rsidR="00DF26F8" w:rsidRPr="00316F33" w:rsidRDefault="00DF26F8" w:rsidP="00080449">
            <w:pPr>
              <w:jc w:val="right"/>
              <w:rPr>
                <w:bCs/>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0A206443" w14:textId="77777777" w:rsidR="00DF26F8" w:rsidRPr="00F11D91" w:rsidRDefault="00DF26F8" w:rsidP="00080449">
            <w:pPr>
              <w:jc w:val="right"/>
              <w:rPr>
                <w:color w:val="000000"/>
                <w:sz w:val="20"/>
                <w:szCs w:val="20"/>
              </w:rPr>
            </w:pPr>
            <w:r>
              <w:rPr>
                <w:bCs/>
                <w:sz w:val="20"/>
                <w:szCs w:val="20"/>
              </w:rPr>
              <w:t>4 420</w:t>
            </w:r>
          </w:p>
        </w:tc>
        <w:tc>
          <w:tcPr>
            <w:tcW w:w="439" w:type="pct"/>
            <w:tcBorders>
              <w:top w:val="nil"/>
              <w:left w:val="nil"/>
              <w:bottom w:val="single" w:sz="4" w:space="0" w:color="auto"/>
              <w:right w:val="single" w:sz="4" w:space="0" w:color="auto"/>
            </w:tcBorders>
            <w:shd w:val="clear" w:color="auto" w:fill="auto"/>
          </w:tcPr>
          <w:p w14:paraId="17B317E3" w14:textId="77777777" w:rsidR="00DF26F8" w:rsidRPr="00F11D91" w:rsidRDefault="00DF26F8" w:rsidP="00080449">
            <w:pPr>
              <w:jc w:val="right"/>
              <w:rPr>
                <w:color w:val="000000"/>
                <w:sz w:val="20"/>
                <w:szCs w:val="20"/>
              </w:rPr>
            </w:pPr>
            <w:r>
              <w:rPr>
                <w:sz w:val="20"/>
                <w:szCs w:val="20"/>
              </w:rPr>
              <w:t>36 140</w:t>
            </w:r>
          </w:p>
        </w:tc>
      </w:tr>
      <w:tr w:rsidR="00DF26F8" w:rsidRPr="00F11D91" w14:paraId="10FED442" w14:textId="77777777" w:rsidTr="00080449">
        <w:trPr>
          <w:trHeight w:val="161"/>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69CB581D" w14:textId="77777777" w:rsidR="00DF26F8" w:rsidRPr="00F11D91" w:rsidRDefault="00DF26F8" w:rsidP="00080449">
            <w:pPr>
              <w:jc w:val="left"/>
              <w:rPr>
                <w:color w:val="000000"/>
                <w:sz w:val="20"/>
                <w:szCs w:val="20"/>
              </w:rPr>
            </w:pPr>
            <w:r>
              <w:rPr>
                <w:color w:val="000000" w:themeColor="text1"/>
                <w:sz w:val="20"/>
                <w:szCs w:val="20"/>
              </w:rPr>
              <w:t>2.3</w:t>
            </w:r>
          </w:p>
        </w:tc>
        <w:tc>
          <w:tcPr>
            <w:tcW w:w="1779" w:type="pct"/>
            <w:tcBorders>
              <w:top w:val="nil"/>
              <w:left w:val="nil"/>
              <w:bottom w:val="single" w:sz="4" w:space="0" w:color="auto"/>
              <w:right w:val="single" w:sz="4" w:space="0" w:color="auto"/>
            </w:tcBorders>
            <w:shd w:val="clear" w:color="auto" w:fill="FFFFFF" w:themeFill="background1"/>
            <w:hideMark/>
          </w:tcPr>
          <w:p w14:paraId="39003D1B" w14:textId="77777777" w:rsidR="00DF26F8" w:rsidRPr="00F11D91" w:rsidRDefault="00DF26F8" w:rsidP="00080449">
            <w:pPr>
              <w:jc w:val="left"/>
              <w:rPr>
                <w:color w:val="000000"/>
                <w:sz w:val="20"/>
                <w:szCs w:val="20"/>
              </w:rPr>
            </w:pPr>
            <w:r>
              <w:rPr>
                <w:color w:val="000000" w:themeColor="text1"/>
                <w:sz w:val="20"/>
                <w:szCs w:val="20"/>
              </w:rPr>
              <w:t xml:space="preserve">Financiación acordada ($ EUA)para el OE Cooperante (ONUDI)  </w:t>
            </w:r>
          </w:p>
        </w:tc>
        <w:tc>
          <w:tcPr>
            <w:tcW w:w="439" w:type="pct"/>
            <w:tcBorders>
              <w:top w:val="nil"/>
              <w:left w:val="nil"/>
              <w:bottom w:val="single" w:sz="4" w:space="0" w:color="auto"/>
              <w:right w:val="single" w:sz="4" w:space="0" w:color="auto"/>
            </w:tcBorders>
            <w:shd w:val="clear" w:color="auto" w:fill="FFFFFF" w:themeFill="background1"/>
          </w:tcPr>
          <w:p w14:paraId="59351637" w14:textId="77777777" w:rsidR="00DF26F8" w:rsidRPr="00F11D91" w:rsidRDefault="00DF26F8" w:rsidP="00080449">
            <w:pPr>
              <w:jc w:val="right"/>
              <w:rPr>
                <w:color w:val="000000"/>
                <w:sz w:val="20"/>
                <w:szCs w:val="20"/>
              </w:rPr>
            </w:pPr>
            <w:r>
              <w:rPr>
                <w:bCs/>
                <w:sz w:val="20"/>
                <w:szCs w:val="20"/>
              </w:rPr>
              <w:t>101 600</w:t>
            </w:r>
          </w:p>
        </w:tc>
        <w:tc>
          <w:tcPr>
            <w:tcW w:w="395" w:type="pct"/>
            <w:tcBorders>
              <w:top w:val="nil"/>
              <w:left w:val="nil"/>
              <w:bottom w:val="single" w:sz="4" w:space="0" w:color="auto"/>
              <w:right w:val="single" w:sz="4" w:space="0" w:color="auto"/>
            </w:tcBorders>
            <w:shd w:val="clear" w:color="auto" w:fill="FFFFFF" w:themeFill="background1"/>
          </w:tcPr>
          <w:p w14:paraId="64A21AEA" w14:textId="77777777" w:rsidR="00DF26F8" w:rsidRPr="00F11D91" w:rsidRDefault="00DF26F8" w:rsidP="00080449">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39EF622B" w14:textId="77777777" w:rsidR="00DF26F8" w:rsidRPr="00F11D91" w:rsidRDefault="00DF26F8" w:rsidP="00080449">
            <w:pPr>
              <w:jc w:val="right"/>
              <w:rPr>
                <w:color w:val="000000"/>
                <w:sz w:val="20"/>
                <w:szCs w:val="20"/>
              </w:rPr>
            </w:pPr>
            <w:r>
              <w:rPr>
                <w:bCs/>
                <w:sz w:val="20"/>
                <w:szCs w:val="20"/>
              </w:rPr>
              <w:t>25 000</w:t>
            </w:r>
          </w:p>
        </w:tc>
        <w:tc>
          <w:tcPr>
            <w:tcW w:w="396" w:type="pct"/>
            <w:tcBorders>
              <w:top w:val="nil"/>
              <w:left w:val="nil"/>
              <w:bottom w:val="single" w:sz="4" w:space="0" w:color="auto"/>
              <w:right w:val="single" w:sz="4" w:space="0" w:color="auto"/>
            </w:tcBorders>
            <w:shd w:val="clear" w:color="auto" w:fill="FFFFFF" w:themeFill="background1"/>
          </w:tcPr>
          <w:p w14:paraId="2F95D953" w14:textId="77777777" w:rsidR="00DF26F8" w:rsidRPr="00F11D91" w:rsidRDefault="00DF26F8" w:rsidP="00080449">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22BF067E" w14:textId="77777777" w:rsidR="00DF26F8" w:rsidRPr="00F11D91" w:rsidRDefault="00DF26F8" w:rsidP="00080449">
            <w:pPr>
              <w:jc w:val="right"/>
              <w:rPr>
                <w:color w:val="000000"/>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1568D23D" w14:textId="77777777" w:rsidR="00DF26F8" w:rsidRPr="00F11D91" w:rsidRDefault="00DF26F8" w:rsidP="00080449">
            <w:pPr>
              <w:jc w:val="right"/>
              <w:rPr>
                <w:color w:val="000000"/>
                <w:sz w:val="20"/>
                <w:szCs w:val="20"/>
              </w:rPr>
            </w:pPr>
            <w:r>
              <w:rPr>
                <w:bCs/>
                <w:sz w:val="20"/>
                <w:szCs w:val="20"/>
              </w:rPr>
              <w:t>13 400</w:t>
            </w:r>
          </w:p>
        </w:tc>
        <w:tc>
          <w:tcPr>
            <w:tcW w:w="439" w:type="pct"/>
            <w:tcBorders>
              <w:top w:val="nil"/>
              <w:left w:val="nil"/>
              <w:bottom w:val="single" w:sz="4" w:space="0" w:color="auto"/>
              <w:right w:val="single" w:sz="4" w:space="0" w:color="auto"/>
            </w:tcBorders>
            <w:shd w:val="clear" w:color="auto" w:fill="FFFFFF" w:themeFill="background1"/>
          </w:tcPr>
          <w:p w14:paraId="7156260E" w14:textId="77777777" w:rsidR="00DF26F8" w:rsidRPr="00F11D91" w:rsidRDefault="00DF26F8" w:rsidP="00080449">
            <w:pPr>
              <w:jc w:val="right"/>
              <w:rPr>
                <w:color w:val="000000"/>
                <w:sz w:val="20"/>
                <w:szCs w:val="20"/>
              </w:rPr>
            </w:pPr>
            <w:r>
              <w:rPr>
                <w:bCs/>
                <w:sz w:val="20"/>
                <w:szCs w:val="20"/>
              </w:rPr>
              <w:t>140 000</w:t>
            </w:r>
          </w:p>
        </w:tc>
      </w:tr>
      <w:tr w:rsidR="00DF26F8" w:rsidRPr="00F11D91" w14:paraId="4F3D61F1" w14:textId="77777777" w:rsidTr="00080449">
        <w:trPr>
          <w:trHeight w:val="60"/>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1B21B47B" w14:textId="77777777" w:rsidR="00DF26F8" w:rsidRPr="00F11D91" w:rsidRDefault="00DF26F8" w:rsidP="00080449">
            <w:pPr>
              <w:jc w:val="left"/>
              <w:rPr>
                <w:color w:val="000000"/>
                <w:sz w:val="20"/>
                <w:szCs w:val="20"/>
              </w:rPr>
            </w:pPr>
            <w:r>
              <w:rPr>
                <w:color w:val="000000" w:themeColor="text1"/>
                <w:sz w:val="20"/>
                <w:szCs w:val="20"/>
              </w:rPr>
              <w:t>2.4</w:t>
            </w:r>
          </w:p>
        </w:tc>
        <w:tc>
          <w:tcPr>
            <w:tcW w:w="1779" w:type="pct"/>
            <w:tcBorders>
              <w:top w:val="nil"/>
              <w:left w:val="nil"/>
              <w:bottom w:val="single" w:sz="4" w:space="0" w:color="auto"/>
              <w:right w:val="single" w:sz="4" w:space="0" w:color="auto"/>
            </w:tcBorders>
            <w:shd w:val="clear" w:color="auto" w:fill="FFFFFF" w:themeFill="background1"/>
            <w:hideMark/>
          </w:tcPr>
          <w:p w14:paraId="7715979D" w14:textId="77777777" w:rsidR="00DF26F8" w:rsidRPr="00F11D91" w:rsidRDefault="00DF26F8" w:rsidP="00080449">
            <w:pPr>
              <w:jc w:val="left"/>
              <w:rPr>
                <w:color w:val="000000"/>
                <w:sz w:val="20"/>
                <w:szCs w:val="20"/>
              </w:rPr>
            </w:pPr>
            <w:r>
              <w:rPr>
                <w:color w:val="000000" w:themeColor="text1"/>
                <w:sz w:val="20"/>
                <w:szCs w:val="20"/>
              </w:rPr>
              <w:t>Gastos de apoyo para el OE Cooperante ($EUA)</w:t>
            </w:r>
          </w:p>
        </w:tc>
        <w:tc>
          <w:tcPr>
            <w:tcW w:w="439" w:type="pct"/>
            <w:tcBorders>
              <w:top w:val="nil"/>
              <w:left w:val="nil"/>
              <w:bottom w:val="single" w:sz="4" w:space="0" w:color="auto"/>
              <w:right w:val="single" w:sz="4" w:space="0" w:color="auto"/>
            </w:tcBorders>
            <w:shd w:val="clear" w:color="auto" w:fill="FFFFFF" w:themeFill="background1"/>
          </w:tcPr>
          <w:p w14:paraId="12666670" w14:textId="77777777" w:rsidR="00DF26F8" w:rsidRPr="00F11D91" w:rsidRDefault="00DF26F8" w:rsidP="00080449">
            <w:pPr>
              <w:jc w:val="right"/>
              <w:rPr>
                <w:color w:val="000000"/>
                <w:sz w:val="20"/>
                <w:szCs w:val="20"/>
              </w:rPr>
            </w:pPr>
            <w:r>
              <w:rPr>
                <w:bCs/>
                <w:sz w:val="20"/>
                <w:szCs w:val="20"/>
              </w:rPr>
              <w:t>9 144</w:t>
            </w:r>
          </w:p>
        </w:tc>
        <w:tc>
          <w:tcPr>
            <w:tcW w:w="395" w:type="pct"/>
            <w:tcBorders>
              <w:top w:val="nil"/>
              <w:left w:val="nil"/>
              <w:bottom w:val="single" w:sz="4" w:space="0" w:color="auto"/>
              <w:right w:val="single" w:sz="4" w:space="0" w:color="auto"/>
            </w:tcBorders>
            <w:shd w:val="clear" w:color="auto" w:fill="FFFFFF" w:themeFill="background1"/>
          </w:tcPr>
          <w:p w14:paraId="7D7488A9" w14:textId="77777777" w:rsidR="00DF26F8" w:rsidRPr="00F11D91" w:rsidRDefault="00DF26F8" w:rsidP="00080449">
            <w:pPr>
              <w:jc w:val="right"/>
              <w:rPr>
                <w:color w:val="000000"/>
                <w:sz w:val="20"/>
                <w:szCs w:val="20"/>
              </w:rPr>
            </w:pPr>
            <w:r>
              <w:rPr>
                <w:bCs/>
                <w:sz w:val="20"/>
                <w:szCs w:val="20"/>
              </w:rPr>
              <w:t>0</w:t>
            </w:r>
          </w:p>
        </w:tc>
        <w:tc>
          <w:tcPr>
            <w:tcW w:w="439" w:type="pct"/>
            <w:tcBorders>
              <w:top w:val="nil"/>
              <w:left w:val="nil"/>
              <w:bottom w:val="single" w:sz="4" w:space="0" w:color="auto"/>
              <w:right w:val="single" w:sz="4" w:space="0" w:color="auto"/>
            </w:tcBorders>
            <w:shd w:val="clear" w:color="auto" w:fill="FFFFFF" w:themeFill="background1"/>
          </w:tcPr>
          <w:p w14:paraId="7AABC183" w14:textId="77777777" w:rsidR="00DF26F8" w:rsidRPr="00F11D91" w:rsidRDefault="00DF26F8" w:rsidP="00080449">
            <w:pPr>
              <w:jc w:val="right"/>
              <w:rPr>
                <w:color w:val="000000"/>
                <w:sz w:val="20"/>
                <w:szCs w:val="20"/>
              </w:rPr>
            </w:pPr>
            <w:r>
              <w:rPr>
                <w:bCs/>
                <w:sz w:val="20"/>
                <w:szCs w:val="20"/>
              </w:rPr>
              <w:t>2 250</w:t>
            </w:r>
          </w:p>
        </w:tc>
        <w:tc>
          <w:tcPr>
            <w:tcW w:w="396" w:type="pct"/>
            <w:tcBorders>
              <w:top w:val="nil"/>
              <w:left w:val="nil"/>
              <w:bottom w:val="single" w:sz="4" w:space="0" w:color="auto"/>
              <w:right w:val="single" w:sz="4" w:space="0" w:color="auto"/>
            </w:tcBorders>
            <w:shd w:val="clear" w:color="auto" w:fill="FFFFFF" w:themeFill="background1"/>
          </w:tcPr>
          <w:p w14:paraId="2A2BC430" w14:textId="77777777" w:rsidR="00DF26F8" w:rsidRPr="00F11D91" w:rsidRDefault="00DF26F8" w:rsidP="00080449">
            <w:pPr>
              <w:jc w:val="right"/>
              <w:rPr>
                <w:color w:val="000000"/>
                <w:sz w:val="20"/>
                <w:szCs w:val="20"/>
              </w:rPr>
            </w:pPr>
            <w:r>
              <w:rPr>
                <w:bCs/>
                <w:sz w:val="20"/>
                <w:szCs w:val="20"/>
              </w:rPr>
              <w:t>0</w:t>
            </w:r>
          </w:p>
        </w:tc>
        <w:tc>
          <w:tcPr>
            <w:tcW w:w="405" w:type="pct"/>
            <w:tcBorders>
              <w:top w:val="single" w:sz="4" w:space="0" w:color="auto"/>
              <w:left w:val="nil"/>
              <w:bottom w:val="single" w:sz="4" w:space="0" w:color="auto"/>
              <w:right w:val="single" w:sz="4" w:space="0" w:color="auto"/>
            </w:tcBorders>
            <w:shd w:val="clear" w:color="auto" w:fill="FFFFFF" w:themeFill="background1"/>
          </w:tcPr>
          <w:p w14:paraId="6C123A2E" w14:textId="77777777" w:rsidR="00DF26F8" w:rsidRPr="00F11D91" w:rsidRDefault="00DF26F8" w:rsidP="00080449">
            <w:pPr>
              <w:jc w:val="right"/>
              <w:rPr>
                <w:color w:val="000000"/>
                <w:sz w:val="20"/>
                <w:szCs w:val="20"/>
              </w:rPr>
            </w:pPr>
            <w:r>
              <w:rPr>
                <w:bCs/>
                <w:sz w:val="20"/>
                <w:szCs w:val="20"/>
              </w:rPr>
              <w:t>0</w:t>
            </w:r>
          </w:p>
        </w:tc>
        <w:tc>
          <w:tcPr>
            <w:tcW w:w="405" w:type="pct"/>
            <w:tcBorders>
              <w:top w:val="nil"/>
              <w:left w:val="single" w:sz="4" w:space="0" w:color="auto"/>
              <w:bottom w:val="single" w:sz="4" w:space="0" w:color="auto"/>
              <w:right w:val="single" w:sz="4" w:space="0" w:color="auto"/>
            </w:tcBorders>
            <w:shd w:val="clear" w:color="auto" w:fill="FFFFFF" w:themeFill="background1"/>
          </w:tcPr>
          <w:p w14:paraId="124EE143" w14:textId="77777777" w:rsidR="00DF26F8" w:rsidRPr="00F11D91" w:rsidRDefault="00DF26F8" w:rsidP="00080449">
            <w:pPr>
              <w:jc w:val="right"/>
              <w:rPr>
                <w:color w:val="000000"/>
                <w:sz w:val="20"/>
                <w:szCs w:val="20"/>
              </w:rPr>
            </w:pPr>
            <w:r>
              <w:rPr>
                <w:bCs/>
                <w:sz w:val="20"/>
                <w:szCs w:val="20"/>
              </w:rPr>
              <w:t>1 206</w:t>
            </w:r>
          </w:p>
        </w:tc>
        <w:tc>
          <w:tcPr>
            <w:tcW w:w="439" w:type="pct"/>
            <w:tcBorders>
              <w:top w:val="nil"/>
              <w:left w:val="nil"/>
              <w:bottom w:val="single" w:sz="4" w:space="0" w:color="auto"/>
              <w:right w:val="single" w:sz="4" w:space="0" w:color="auto"/>
            </w:tcBorders>
            <w:shd w:val="clear" w:color="auto" w:fill="FFFFFF" w:themeFill="background1"/>
          </w:tcPr>
          <w:p w14:paraId="77248634" w14:textId="77777777" w:rsidR="00DF26F8" w:rsidRPr="00F11D91" w:rsidRDefault="00DF26F8" w:rsidP="00080449">
            <w:pPr>
              <w:jc w:val="right"/>
              <w:rPr>
                <w:color w:val="000000"/>
                <w:sz w:val="20"/>
                <w:szCs w:val="20"/>
              </w:rPr>
            </w:pPr>
            <w:r>
              <w:rPr>
                <w:bCs/>
                <w:sz w:val="20"/>
                <w:szCs w:val="20"/>
              </w:rPr>
              <w:t>12 600</w:t>
            </w:r>
          </w:p>
        </w:tc>
      </w:tr>
      <w:tr w:rsidR="00DF26F8" w:rsidRPr="00F11D91" w14:paraId="590B2C3D" w14:textId="77777777" w:rsidTr="0008044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00E32782" w14:textId="77777777" w:rsidR="00DF26F8" w:rsidRPr="00F11D91" w:rsidRDefault="00DF26F8" w:rsidP="00080449">
            <w:pPr>
              <w:jc w:val="left"/>
              <w:rPr>
                <w:color w:val="000000"/>
                <w:sz w:val="20"/>
                <w:szCs w:val="20"/>
              </w:rPr>
            </w:pPr>
            <w:r>
              <w:rPr>
                <w:color w:val="000000"/>
                <w:sz w:val="20"/>
                <w:szCs w:val="20"/>
              </w:rPr>
              <w:t>3.1</w:t>
            </w:r>
          </w:p>
        </w:tc>
        <w:tc>
          <w:tcPr>
            <w:tcW w:w="1779" w:type="pct"/>
            <w:tcBorders>
              <w:top w:val="nil"/>
              <w:left w:val="nil"/>
              <w:bottom w:val="single" w:sz="4" w:space="0" w:color="auto"/>
              <w:right w:val="single" w:sz="4" w:space="0" w:color="auto"/>
            </w:tcBorders>
            <w:shd w:val="clear" w:color="auto" w:fill="auto"/>
            <w:hideMark/>
          </w:tcPr>
          <w:p w14:paraId="256F483F" w14:textId="77777777" w:rsidR="00DF26F8" w:rsidRPr="00F11D91" w:rsidRDefault="00DF26F8" w:rsidP="00080449">
            <w:pPr>
              <w:jc w:val="left"/>
              <w:rPr>
                <w:color w:val="000000"/>
                <w:sz w:val="20"/>
                <w:szCs w:val="20"/>
              </w:rPr>
            </w:pPr>
            <w:r>
              <w:rPr>
                <w:color w:val="000000"/>
                <w:sz w:val="20"/>
                <w:szCs w:val="20"/>
              </w:rPr>
              <w:t>Financiación total acordada ($EUA)</w:t>
            </w:r>
          </w:p>
        </w:tc>
        <w:tc>
          <w:tcPr>
            <w:tcW w:w="439" w:type="pct"/>
            <w:tcBorders>
              <w:top w:val="nil"/>
              <w:left w:val="nil"/>
              <w:bottom w:val="single" w:sz="4" w:space="0" w:color="auto"/>
              <w:right w:val="single" w:sz="4" w:space="0" w:color="auto"/>
            </w:tcBorders>
            <w:shd w:val="clear" w:color="auto" w:fill="auto"/>
          </w:tcPr>
          <w:p w14:paraId="39335E33" w14:textId="77777777" w:rsidR="00DF26F8" w:rsidRPr="00F11D91" w:rsidRDefault="00DF26F8" w:rsidP="00080449">
            <w:pPr>
              <w:jc w:val="right"/>
              <w:rPr>
                <w:color w:val="000000"/>
                <w:sz w:val="20"/>
                <w:szCs w:val="20"/>
              </w:rPr>
            </w:pPr>
            <w:r>
              <w:rPr>
                <w:color w:val="000000"/>
                <w:sz w:val="20"/>
                <w:szCs w:val="20"/>
              </w:rPr>
              <w:t>215 600</w:t>
            </w:r>
          </w:p>
        </w:tc>
        <w:tc>
          <w:tcPr>
            <w:tcW w:w="395" w:type="pct"/>
            <w:tcBorders>
              <w:top w:val="nil"/>
              <w:left w:val="nil"/>
              <w:bottom w:val="single" w:sz="4" w:space="0" w:color="auto"/>
              <w:right w:val="single" w:sz="4" w:space="0" w:color="auto"/>
            </w:tcBorders>
            <w:shd w:val="clear" w:color="auto" w:fill="auto"/>
          </w:tcPr>
          <w:p w14:paraId="02B18A2F" w14:textId="77777777" w:rsidR="00DF26F8" w:rsidRPr="00F11D91" w:rsidRDefault="00DF26F8" w:rsidP="00080449">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700ED8FB" w14:textId="77777777" w:rsidR="00DF26F8" w:rsidRPr="00F11D91" w:rsidRDefault="00DF26F8" w:rsidP="00080449">
            <w:pPr>
              <w:jc w:val="right"/>
              <w:rPr>
                <w:color w:val="000000"/>
                <w:sz w:val="20"/>
                <w:szCs w:val="20"/>
              </w:rPr>
            </w:pPr>
            <w:r>
              <w:rPr>
                <w:color w:val="000000"/>
                <w:sz w:val="20"/>
                <w:szCs w:val="20"/>
              </w:rPr>
              <w:t>155 000</w:t>
            </w:r>
          </w:p>
        </w:tc>
        <w:tc>
          <w:tcPr>
            <w:tcW w:w="396" w:type="pct"/>
            <w:tcBorders>
              <w:top w:val="nil"/>
              <w:left w:val="nil"/>
              <w:bottom w:val="single" w:sz="4" w:space="0" w:color="auto"/>
              <w:right w:val="single" w:sz="4" w:space="0" w:color="auto"/>
            </w:tcBorders>
            <w:shd w:val="clear" w:color="auto" w:fill="auto"/>
          </w:tcPr>
          <w:p w14:paraId="04A6FFF6"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15B644A1"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0C739A2D" w14:textId="77777777" w:rsidR="00DF26F8" w:rsidRPr="00F11D91" w:rsidRDefault="00DF26F8" w:rsidP="00080449">
            <w:pPr>
              <w:jc w:val="right"/>
              <w:rPr>
                <w:color w:val="000000"/>
                <w:sz w:val="20"/>
                <w:szCs w:val="20"/>
              </w:rPr>
            </w:pPr>
            <w:r>
              <w:rPr>
                <w:color w:val="000000"/>
                <w:sz w:val="20"/>
                <w:szCs w:val="20"/>
              </w:rPr>
              <w:t>47 400</w:t>
            </w:r>
          </w:p>
        </w:tc>
        <w:tc>
          <w:tcPr>
            <w:tcW w:w="439" w:type="pct"/>
            <w:tcBorders>
              <w:top w:val="nil"/>
              <w:left w:val="nil"/>
              <w:bottom w:val="single" w:sz="4" w:space="0" w:color="auto"/>
              <w:right w:val="single" w:sz="4" w:space="0" w:color="auto"/>
            </w:tcBorders>
            <w:shd w:val="clear" w:color="auto" w:fill="auto"/>
          </w:tcPr>
          <w:p w14:paraId="49EE60FA" w14:textId="77777777" w:rsidR="00DF26F8" w:rsidRPr="00F11D91" w:rsidRDefault="00DF26F8" w:rsidP="00080449">
            <w:pPr>
              <w:jc w:val="right"/>
              <w:rPr>
                <w:color w:val="000000"/>
                <w:sz w:val="20"/>
                <w:szCs w:val="20"/>
              </w:rPr>
            </w:pPr>
            <w:r>
              <w:rPr>
                <w:color w:val="000000"/>
                <w:sz w:val="20"/>
                <w:szCs w:val="20"/>
              </w:rPr>
              <w:t>418 000</w:t>
            </w:r>
          </w:p>
        </w:tc>
      </w:tr>
      <w:tr w:rsidR="00DF26F8" w:rsidRPr="00F11D91" w14:paraId="2BED27CB" w14:textId="77777777" w:rsidTr="00080449">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1CACFCB3" w14:textId="77777777" w:rsidR="00DF26F8" w:rsidRPr="00F11D91" w:rsidRDefault="00DF26F8" w:rsidP="00080449">
            <w:pPr>
              <w:jc w:val="left"/>
              <w:rPr>
                <w:color w:val="000000"/>
                <w:sz w:val="20"/>
                <w:szCs w:val="20"/>
              </w:rPr>
            </w:pPr>
            <w:r>
              <w:rPr>
                <w:color w:val="000000"/>
                <w:sz w:val="20"/>
                <w:szCs w:val="20"/>
              </w:rPr>
              <w:t>3.2</w:t>
            </w:r>
          </w:p>
        </w:tc>
        <w:tc>
          <w:tcPr>
            <w:tcW w:w="1779" w:type="pct"/>
            <w:tcBorders>
              <w:top w:val="nil"/>
              <w:left w:val="nil"/>
              <w:bottom w:val="single" w:sz="4" w:space="0" w:color="auto"/>
              <w:right w:val="single" w:sz="4" w:space="0" w:color="auto"/>
            </w:tcBorders>
            <w:shd w:val="clear" w:color="auto" w:fill="auto"/>
            <w:hideMark/>
          </w:tcPr>
          <w:p w14:paraId="33671F04" w14:textId="77777777" w:rsidR="00DF26F8" w:rsidRPr="00F11D91" w:rsidRDefault="00DF26F8" w:rsidP="00080449">
            <w:pPr>
              <w:jc w:val="left"/>
              <w:rPr>
                <w:color w:val="000000"/>
                <w:sz w:val="20"/>
                <w:szCs w:val="20"/>
              </w:rPr>
            </w:pPr>
            <w:r>
              <w:rPr>
                <w:color w:val="000000"/>
                <w:sz w:val="20"/>
                <w:szCs w:val="20"/>
              </w:rPr>
              <w:t>Gastos totales de apoyo ($EUA)</w:t>
            </w:r>
          </w:p>
        </w:tc>
        <w:tc>
          <w:tcPr>
            <w:tcW w:w="439" w:type="pct"/>
            <w:tcBorders>
              <w:top w:val="nil"/>
              <w:left w:val="nil"/>
              <w:bottom w:val="single" w:sz="4" w:space="0" w:color="auto"/>
              <w:right w:val="single" w:sz="4" w:space="0" w:color="auto"/>
            </w:tcBorders>
            <w:shd w:val="clear" w:color="auto" w:fill="auto"/>
          </w:tcPr>
          <w:p w14:paraId="161DBAF1" w14:textId="77777777" w:rsidR="00DF26F8" w:rsidRPr="00F11D91" w:rsidRDefault="00DF26F8" w:rsidP="00080449">
            <w:pPr>
              <w:jc w:val="right"/>
              <w:rPr>
                <w:color w:val="000000"/>
                <w:sz w:val="20"/>
                <w:szCs w:val="20"/>
              </w:rPr>
            </w:pPr>
            <w:r>
              <w:rPr>
                <w:color w:val="000000"/>
                <w:sz w:val="20"/>
                <w:szCs w:val="20"/>
              </w:rPr>
              <w:t>23 964</w:t>
            </w:r>
          </w:p>
        </w:tc>
        <w:tc>
          <w:tcPr>
            <w:tcW w:w="395" w:type="pct"/>
            <w:tcBorders>
              <w:top w:val="nil"/>
              <w:left w:val="nil"/>
              <w:bottom w:val="single" w:sz="4" w:space="0" w:color="auto"/>
              <w:right w:val="single" w:sz="4" w:space="0" w:color="auto"/>
            </w:tcBorders>
            <w:shd w:val="clear" w:color="auto" w:fill="auto"/>
          </w:tcPr>
          <w:p w14:paraId="0D9964E7" w14:textId="77777777" w:rsidR="00DF26F8" w:rsidRPr="00F11D91" w:rsidRDefault="00DF26F8" w:rsidP="00080449">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50C0B1FB" w14:textId="77777777" w:rsidR="00DF26F8" w:rsidRPr="00F11D91" w:rsidRDefault="00DF26F8" w:rsidP="00080449">
            <w:pPr>
              <w:jc w:val="right"/>
              <w:rPr>
                <w:color w:val="000000"/>
                <w:sz w:val="20"/>
                <w:szCs w:val="20"/>
              </w:rPr>
            </w:pPr>
            <w:r>
              <w:rPr>
                <w:color w:val="000000"/>
                <w:sz w:val="20"/>
                <w:szCs w:val="20"/>
              </w:rPr>
              <w:t>19 150</w:t>
            </w:r>
          </w:p>
        </w:tc>
        <w:tc>
          <w:tcPr>
            <w:tcW w:w="396" w:type="pct"/>
            <w:tcBorders>
              <w:top w:val="nil"/>
              <w:left w:val="nil"/>
              <w:bottom w:val="single" w:sz="4" w:space="0" w:color="auto"/>
              <w:right w:val="single" w:sz="4" w:space="0" w:color="auto"/>
            </w:tcBorders>
            <w:shd w:val="clear" w:color="auto" w:fill="auto"/>
          </w:tcPr>
          <w:p w14:paraId="0B78CFA4"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34C277CF"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237B00A4" w14:textId="77777777" w:rsidR="00DF26F8" w:rsidRPr="00F11D91" w:rsidRDefault="00DF26F8" w:rsidP="00080449">
            <w:pPr>
              <w:jc w:val="right"/>
              <w:rPr>
                <w:color w:val="000000"/>
                <w:sz w:val="20"/>
                <w:szCs w:val="20"/>
              </w:rPr>
            </w:pPr>
            <w:r>
              <w:rPr>
                <w:color w:val="000000"/>
                <w:sz w:val="20"/>
                <w:szCs w:val="20"/>
              </w:rPr>
              <w:t>5 626</w:t>
            </w:r>
          </w:p>
        </w:tc>
        <w:tc>
          <w:tcPr>
            <w:tcW w:w="439" w:type="pct"/>
            <w:tcBorders>
              <w:top w:val="nil"/>
              <w:left w:val="nil"/>
              <w:bottom w:val="single" w:sz="4" w:space="0" w:color="auto"/>
              <w:right w:val="single" w:sz="4" w:space="0" w:color="auto"/>
            </w:tcBorders>
            <w:shd w:val="clear" w:color="auto" w:fill="auto"/>
          </w:tcPr>
          <w:p w14:paraId="40D44F25" w14:textId="77777777" w:rsidR="00DF26F8" w:rsidRPr="00F11D91" w:rsidRDefault="00DF26F8" w:rsidP="00080449">
            <w:pPr>
              <w:jc w:val="right"/>
              <w:rPr>
                <w:color w:val="000000"/>
                <w:sz w:val="20"/>
                <w:szCs w:val="20"/>
              </w:rPr>
            </w:pPr>
            <w:r>
              <w:rPr>
                <w:color w:val="000000"/>
                <w:sz w:val="20"/>
                <w:szCs w:val="20"/>
              </w:rPr>
              <w:t>48 740</w:t>
            </w:r>
          </w:p>
        </w:tc>
      </w:tr>
      <w:tr w:rsidR="00DF26F8" w:rsidRPr="00F11D91" w14:paraId="1B98B6EF" w14:textId="77777777" w:rsidTr="00080449">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41C590F" w14:textId="77777777" w:rsidR="00DF26F8" w:rsidRPr="00F11D91" w:rsidRDefault="00DF26F8" w:rsidP="00080449">
            <w:pPr>
              <w:jc w:val="left"/>
              <w:rPr>
                <w:color w:val="000000"/>
                <w:sz w:val="20"/>
                <w:szCs w:val="20"/>
              </w:rPr>
            </w:pPr>
            <w:r>
              <w:rPr>
                <w:color w:val="000000"/>
                <w:sz w:val="20"/>
                <w:szCs w:val="20"/>
              </w:rPr>
              <w:t>3.3</w:t>
            </w:r>
          </w:p>
        </w:tc>
        <w:tc>
          <w:tcPr>
            <w:tcW w:w="1779" w:type="pct"/>
            <w:tcBorders>
              <w:top w:val="nil"/>
              <w:left w:val="nil"/>
              <w:bottom w:val="single" w:sz="4" w:space="0" w:color="auto"/>
              <w:right w:val="single" w:sz="4" w:space="0" w:color="auto"/>
            </w:tcBorders>
            <w:shd w:val="clear" w:color="auto" w:fill="auto"/>
            <w:hideMark/>
          </w:tcPr>
          <w:p w14:paraId="0E9164C7" w14:textId="77777777" w:rsidR="00DF26F8" w:rsidRPr="00F11D91" w:rsidRDefault="00DF26F8" w:rsidP="00080449">
            <w:pPr>
              <w:jc w:val="left"/>
              <w:rPr>
                <w:color w:val="000000"/>
                <w:sz w:val="20"/>
                <w:szCs w:val="20"/>
              </w:rPr>
            </w:pPr>
            <w:r>
              <w:rPr>
                <w:color w:val="000000"/>
                <w:sz w:val="20"/>
                <w:szCs w:val="20"/>
              </w:rPr>
              <w:t>Gastos convenidos totales ($EUA)</w:t>
            </w:r>
          </w:p>
        </w:tc>
        <w:tc>
          <w:tcPr>
            <w:tcW w:w="439" w:type="pct"/>
            <w:tcBorders>
              <w:top w:val="nil"/>
              <w:left w:val="nil"/>
              <w:bottom w:val="single" w:sz="4" w:space="0" w:color="auto"/>
              <w:right w:val="single" w:sz="4" w:space="0" w:color="auto"/>
            </w:tcBorders>
            <w:shd w:val="clear" w:color="auto" w:fill="auto"/>
          </w:tcPr>
          <w:p w14:paraId="7AD3CEFA" w14:textId="77777777" w:rsidR="00DF26F8" w:rsidRPr="00F11D91" w:rsidRDefault="00DF26F8" w:rsidP="00080449">
            <w:pPr>
              <w:jc w:val="right"/>
              <w:rPr>
                <w:color w:val="000000"/>
                <w:sz w:val="20"/>
                <w:szCs w:val="20"/>
              </w:rPr>
            </w:pPr>
            <w:r>
              <w:rPr>
                <w:color w:val="000000"/>
                <w:sz w:val="20"/>
                <w:szCs w:val="20"/>
              </w:rPr>
              <w:t>239 564</w:t>
            </w:r>
          </w:p>
        </w:tc>
        <w:tc>
          <w:tcPr>
            <w:tcW w:w="395" w:type="pct"/>
            <w:tcBorders>
              <w:top w:val="nil"/>
              <w:left w:val="nil"/>
              <w:bottom w:val="single" w:sz="4" w:space="0" w:color="auto"/>
              <w:right w:val="single" w:sz="4" w:space="0" w:color="auto"/>
            </w:tcBorders>
            <w:shd w:val="clear" w:color="auto" w:fill="auto"/>
          </w:tcPr>
          <w:p w14:paraId="2AB83EDD" w14:textId="77777777" w:rsidR="00DF26F8" w:rsidRPr="00F11D91" w:rsidRDefault="00DF26F8" w:rsidP="00080449">
            <w:pPr>
              <w:jc w:val="right"/>
              <w:rPr>
                <w:color w:val="000000"/>
                <w:sz w:val="20"/>
                <w:szCs w:val="20"/>
              </w:rPr>
            </w:pPr>
            <w:r>
              <w:rPr>
                <w:color w:val="000000"/>
                <w:sz w:val="20"/>
                <w:szCs w:val="20"/>
              </w:rPr>
              <w:t>0</w:t>
            </w:r>
          </w:p>
        </w:tc>
        <w:tc>
          <w:tcPr>
            <w:tcW w:w="439" w:type="pct"/>
            <w:tcBorders>
              <w:top w:val="nil"/>
              <w:left w:val="nil"/>
              <w:bottom w:val="single" w:sz="4" w:space="0" w:color="auto"/>
              <w:right w:val="single" w:sz="4" w:space="0" w:color="auto"/>
            </w:tcBorders>
            <w:shd w:val="clear" w:color="auto" w:fill="auto"/>
          </w:tcPr>
          <w:p w14:paraId="79506971" w14:textId="77777777" w:rsidR="00DF26F8" w:rsidRPr="00F11D91" w:rsidRDefault="00DF26F8" w:rsidP="00080449">
            <w:pPr>
              <w:jc w:val="right"/>
              <w:rPr>
                <w:color w:val="000000"/>
                <w:sz w:val="20"/>
                <w:szCs w:val="20"/>
              </w:rPr>
            </w:pPr>
            <w:r>
              <w:rPr>
                <w:color w:val="000000"/>
                <w:sz w:val="20"/>
                <w:szCs w:val="20"/>
              </w:rPr>
              <w:t>174 150</w:t>
            </w:r>
          </w:p>
        </w:tc>
        <w:tc>
          <w:tcPr>
            <w:tcW w:w="396" w:type="pct"/>
            <w:tcBorders>
              <w:top w:val="nil"/>
              <w:left w:val="nil"/>
              <w:bottom w:val="single" w:sz="4" w:space="0" w:color="auto"/>
              <w:right w:val="single" w:sz="4" w:space="0" w:color="auto"/>
            </w:tcBorders>
            <w:shd w:val="clear" w:color="auto" w:fill="auto"/>
          </w:tcPr>
          <w:p w14:paraId="1CEA06FE"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591B0A53" w14:textId="77777777" w:rsidR="00DF26F8" w:rsidRPr="00F11D91" w:rsidRDefault="00DF26F8" w:rsidP="00080449">
            <w:pPr>
              <w:jc w:val="right"/>
              <w:rPr>
                <w:color w:val="000000"/>
                <w:sz w:val="20"/>
                <w:szCs w:val="20"/>
              </w:rPr>
            </w:pPr>
            <w:r>
              <w:rPr>
                <w:color w:val="000000"/>
                <w:sz w:val="20"/>
                <w:szCs w:val="20"/>
              </w:rPr>
              <w:t>0</w:t>
            </w:r>
          </w:p>
        </w:tc>
        <w:tc>
          <w:tcPr>
            <w:tcW w:w="405" w:type="pct"/>
            <w:tcBorders>
              <w:top w:val="nil"/>
              <w:left w:val="single" w:sz="4" w:space="0" w:color="auto"/>
              <w:bottom w:val="single" w:sz="4" w:space="0" w:color="auto"/>
              <w:right w:val="single" w:sz="4" w:space="0" w:color="auto"/>
            </w:tcBorders>
            <w:shd w:val="clear" w:color="auto" w:fill="auto"/>
          </w:tcPr>
          <w:p w14:paraId="7D67FA00" w14:textId="77777777" w:rsidR="00DF26F8" w:rsidRPr="00F11D91" w:rsidRDefault="00DF26F8" w:rsidP="00080449">
            <w:pPr>
              <w:jc w:val="right"/>
              <w:rPr>
                <w:color w:val="000000"/>
                <w:sz w:val="20"/>
                <w:szCs w:val="20"/>
              </w:rPr>
            </w:pPr>
            <w:r>
              <w:rPr>
                <w:color w:val="000000"/>
                <w:sz w:val="20"/>
                <w:szCs w:val="20"/>
              </w:rPr>
              <w:t>53 026</w:t>
            </w:r>
          </w:p>
        </w:tc>
        <w:tc>
          <w:tcPr>
            <w:tcW w:w="439" w:type="pct"/>
            <w:tcBorders>
              <w:top w:val="nil"/>
              <w:left w:val="nil"/>
              <w:bottom w:val="single" w:sz="4" w:space="0" w:color="auto"/>
              <w:right w:val="single" w:sz="4" w:space="0" w:color="auto"/>
            </w:tcBorders>
            <w:shd w:val="clear" w:color="auto" w:fill="auto"/>
          </w:tcPr>
          <w:p w14:paraId="18EEC8C4" w14:textId="77777777" w:rsidR="00DF26F8" w:rsidRPr="00F11D91" w:rsidRDefault="00DF26F8" w:rsidP="00080449">
            <w:pPr>
              <w:jc w:val="right"/>
              <w:rPr>
                <w:color w:val="000000"/>
                <w:sz w:val="20"/>
                <w:szCs w:val="20"/>
              </w:rPr>
            </w:pPr>
            <w:r>
              <w:rPr>
                <w:color w:val="000000"/>
                <w:sz w:val="20"/>
                <w:szCs w:val="20"/>
              </w:rPr>
              <w:t>466 740</w:t>
            </w:r>
          </w:p>
        </w:tc>
      </w:tr>
      <w:tr w:rsidR="00DF26F8" w:rsidRPr="00F11D91" w14:paraId="4C76A84D" w14:textId="77777777" w:rsidTr="00080449">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4CAEBD59" w14:textId="77777777" w:rsidR="00DF26F8" w:rsidRPr="00F11D91" w:rsidRDefault="00DF26F8" w:rsidP="00080449">
            <w:pPr>
              <w:jc w:val="left"/>
              <w:rPr>
                <w:color w:val="000000"/>
                <w:sz w:val="20"/>
                <w:szCs w:val="20"/>
              </w:rPr>
            </w:pPr>
            <w:r>
              <w:rPr>
                <w:color w:val="000000"/>
                <w:sz w:val="20"/>
                <w:szCs w:val="20"/>
              </w:rPr>
              <w:t>4.1.1</w:t>
            </w:r>
          </w:p>
        </w:tc>
        <w:tc>
          <w:tcPr>
            <w:tcW w:w="4257" w:type="pct"/>
            <w:gridSpan w:val="7"/>
            <w:tcBorders>
              <w:top w:val="nil"/>
              <w:left w:val="nil"/>
              <w:bottom w:val="single" w:sz="4" w:space="0" w:color="auto"/>
              <w:right w:val="single" w:sz="4" w:space="0" w:color="auto"/>
            </w:tcBorders>
            <w:shd w:val="clear" w:color="auto" w:fill="auto"/>
          </w:tcPr>
          <w:p w14:paraId="66A2E6F5" w14:textId="77777777" w:rsidR="00DF26F8" w:rsidRPr="00F11D91" w:rsidRDefault="00DF26F8" w:rsidP="00080449">
            <w:pPr>
              <w:jc w:val="left"/>
              <w:rPr>
                <w:color w:val="000000"/>
                <w:sz w:val="20"/>
                <w:szCs w:val="20"/>
              </w:rPr>
            </w:pPr>
            <w:r>
              <w:rPr>
                <w:color w:val="000000"/>
                <w:sz w:val="20"/>
                <w:szCs w:val="20"/>
              </w:rPr>
              <w:t>Eliminación total convenida de HCFC-22 por lograr conforme a este Acuerdo (toneladas PAO)</w:t>
            </w:r>
          </w:p>
        </w:tc>
        <w:tc>
          <w:tcPr>
            <w:tcW w:w="439" w:type="pct"/>
            <w:tcBorders>
              <w:top w:val="nil"/>
              <w:left w:val="nil"/>
              <w:bottom w:val="single" w:sz="4" w:space="0" w:color="auto"/>
              <w:right w:val="single" w:sz="4" w:space="0" w:color="auto"/>
            </w:tcBorders>
            <w:shd w:val="clear" w:color="auto" w:fill="auto"/>
          </w:tcPr>
          <w:p w14:paraId="128326DD" w14:textId="77777777" w:rsidR="00DF26F8" w:rsidRPr="00DD61D3" w:rsidRDefault="00DF26F8" w:rsidP="00080449">
            <w:pPr>
              <w:jc w:val="right"/>
              <w:rPr>
                <w:color w:val="000000"/>
                <w:sz w:val="20"/>
                <w:szCs w:val="20"/>
              </w:rPr>
            </w:pPr>
            <w:r>
              <w:rPr>
                <w:color w:val="000000"/>
                <w:sz w:val="20"/>
                <w:szCs w:val="20"/>
              </w:rPr>
              <w:t>1,37</w:t>
            </w:r>
          </w:p>
        </w:tc>
      </w:tr>
      <w:tr w:rsidR="00DF26F8" w:rsidRPr="00F11D91" w14:paraId="5CF6F9D5" w14:textId="77777777" w:rsidTr="00080449">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7F237EC4" w14:textId="77777777" w:rsidR="00DF26F8" w:rsidRPr="00F11D91" w:rsidRDefault="00DF26F8" w:rsidP="00080449">
            <w:pPr>
              <w:jc w:val="left"/>
              <w:rPr>
                <w:color w:val="000000"/>
                <w:sz w:val="20"/>
                <w:szCs w:val="20"/>
              </w:rPr>
            </w:pPr>
            <w:r>
              <w:rPr>
                <w:color w:val="000000"/>
                <w:sz w:val="20"/>
                <w:szCs w:val="20"/>
              </w:rPr>
              <w:t>4.1.2</w:t>
            </w:r>
          </w:p>
        </w:tc>
        <w:tc>
          <w:tcPr>
            <w:tcW w:w="4257" w:type="pct"/>
            <w:gridSpan w:val="7"/>
            <w:tcBorders>
              <w:top w:val="nil"/>
              <w:left w:val="nil"/>
              <w:bottom w:val="single" w:sz="4" w:space="0" w:color="auto"/>
              <w:right w:val="single" w:sz="4" w:space="0" w:color="auto"/>
            </w:tcBorders>
            <w:shd w:val="clear" w:color="auto" w:fill="auto"/>
          </w:tcPr>
          <w:p w14:paraId="0FC31B85" w14:textId="77777777" w:rsidR="00DF26F8" w:rsidRPr="00F11D91" w:rsidRDefault="00DF26F8" w:rsidP="00080449">
            <w:pPr>
              <w:jc w:val="left"/>
              <w:rPr>
                <w:color w:val="000000"/>
                <w:sz w:val="20"/>
                <w:szCs w:val="20"/>
              </w:rPr>
            </w:pPr>
            <w:r>
              <w:rPr>
                <w:color w:val="000000"/>
                <w:sz w:val="20"/>
                <w:szCs w:val="20"/>
              </w:rPr>
              <w:t>Eliminación de HCFC-22 a alcanzar en la etapa anterior (toneladas PAO)</w:t>
            </w:r>
          </w:p>
        </w:tc>
        <w:tc>
          <w:tcPr>
            <w:tcW w:w="439" w:type="pct"/>
            <w:tcBorders>
              <w:top w:val="nil"/>
              <w:left w:val="nil"/>
              <w:bottom w:val="single" w:sz="4" w:space="0" w:color="auto"/>
              <w:right w:val="single" w:sz="4" w:space="0" w:color="auto"/>
            </w:tcBorders>
            <w:shd w:val="clear" w:color="auto" w:fill="auto"/>
          </w:tcPr>
          <w:p w14:paraId="4B036999" w14:textId="77777777" w:rsidR="00DF26F8" w:rsidRPr="00DD61D3" w:rsidRDefault="00DF26F8" w:rsidP="00080449">
            <w:pPr>
              <w:jc w:val="right"/>
              <w:rPr>
                <w:color w:val="000000"/>
                <w:sz w:val="20"/>
                <w:szCs w:val="20"/>
              </w:rPr>
            </w:pPr>
            <w:r>
              <w:rPr>
                <w:color w:val="000000" w:themeColor="text1"/>
                <w:sz w:val="20"/>
                <w:szCs w:val="20"/>
              </w:rPr>
              <w:t>0,73</w:t>
            </w:r>
          </w:p>
        </w:tc>
      </w:tr>
      <w:tr w:rsidR="00DF26F8" w:rsidRPr="00F11D91" w14:paraId="65015DEB" w14:textId="77777777" w:rsidTr="00080449">
        <w:trPr>
          <w:trHeight w:val="53"/>
          <w:jc w:val="center"/>
        </w:trPr>
        <w:tc>
          <w:tcPr>
            <w:tcW w:w="305" w:type="pct"/>
            <w:tcBorders>
              <w:top w:val="nil"/>
              <w:left w:val="single" w:sz="4" w:space="0" w:color="auto"/>
              <w:bottom w:val="single" w:sz="4" w:space="0" w:color="auto"/>
              <w:right w:val="single" w:sz="4" w:space="0" w:color="auto"/>
            </w:tcBorders>
            <w:shd w:val="clear" w:color="auto" w:fill="auto"/>
          </w:tcPr>
          <w:p w14:paraId="09DB45C3" w14:textId="77777777" w:rsidR="00DF26F8" w:rsidRPr="00F11D91" w:rsidRDefault="00DF26F8" w:rsidP="00080449">
            <w:pPr>
              <w:jc w:val="left"/>
              <w:rPr>
                <w:color w:val="000000"/>
                <w:sz w:val="20"/>
                <w:szCs w:val="20"/>
              </w:rPr>
            </w:pPr>
            <w:r>
              <w:rPr>
                <w:color w:val="000000"/>
                <w:sz w:val="20"/>
                <w:szCs w:val="20"/>
              </w:rPr>
              <w:t>4.1.3</w:t>
            </w:r>
          </w:p>
        </w:tc>
        <w:tc>
          <w:tcPr>
            <w:tcW w:w="4257" w:type="pct"/>
            <w:gridSpan w:val="7"/>
            <w:tcBorders>
              <w:top w:val="nil"/>
              <w:left w:val="nil"/>
              <w:bottom w:val="single" w:sz="4" w:space="0" w:color="auto"/>
              <w:right w:val="single" w:sz="4" w:space="0" w:color="auto"/>
            </w:tcBorders>
            <w:shd w:val="clear" w:color="auto" w:fill="auto"/>
          </w:tcPr>
          <w:p w14:paraId="3C0FF41A" w14:textId="77777777" w:rsidR="00DF26F8" w:rsidRPr="00F11D91" w:rsidRDefault="00DF26F8" w:rsidP="00080449">
            <w:pPr>
              <w:jc w:val="left"/>
              <w:rPr>
                <w:color w:val="000000"/>
                <w:sz w:val="20"/>
                <w:szCs w:val="20"/>
              </w:rPr>
            </w:pPr>
            <w:r>
              <w:rPr>
                <w:color w:val="000000"/>
                <w:sz w:val="20"/>
                <w:szCs w:val="20"/>
              </w:rPr>
              <w:t>Consumo admisible remanente para HCFC-22 (toneladas PAO)</w:t>
            </w:r>
          </w:p>
        </w:tc>
        <w:tc>
          <w:tcPr>
            <w:tcW w:w="439" w:type="pct"/>
            <w:tcBorders>
              <w:top w:val="nil"/>
              <w:left w:val="nil"/>
              <w:bottom w:val="single" w:sz="4" w:space="0" w:color="auto"/>
              <w:right w:val="single" w:sz="4" w:space="0" w:color="auto"/>
            </w:tcBorders>
            <w:shd w:val="clear" w:color="auto" w:fill="auto"/>
          </w:tcPr>
          <w:p w14:paraId="4B144E01" w14:textId="77777777" w:rsidR="00DF26F8" w:rsidRPr="00F11D91" w:rsidRDefault="00DF26F8" w:rsidP="00080449">
            <w:pPr>
              <w:jc w:val="right"/>
              <w:rPr>
                <w:color w:val="000000"/>
                <w:sz w:val="20"/>
                <w:szCs w:val="20"/>
              </w:rPr>
            </w:pPr>
            <w:r>
              <w:rPr>
                <w:color w:val="000000"/>
                <w:sz w:val="20"/>
                <w:szCs w:val="20"/>
              </w:rPr>
              <w:t>0</w:t>
            </w:r>
          </w:p>
        </w:tc>
      </w:tr>
    </w:tbl>
    <w:p w14:paraId="007CED3F" w14:textId="77777777" w:rsidR="00DF26F8" w:rsidRPr="00316F33" w:rsidRDefault="00DF26F8" w:rsidP="00DF26F8">
      <w:pPr>
        <w:pStyle w:val="Heading1"/>
        <w:numPr>
          <w:ilvl w:val="0"/>
          <w:numId w:val="0"/>
        </w:numPr>
        <w:rPr>
          <w:sz w:val="16"/>
          <w:szCs w:val="16"/>
        </w:rPr>
      </w:pPr>
      <w:r>
        <w:rPr>
          <w:sz w:val="18"/>
          <w:szCs w:val="16"/>
        </w:rPr>
        <w:t>* Fecha de terminación de la etapa I según la decisión 93/36 y el anexo XIV del documento UNEP/OzL.Pro/ExCom/93/105:</w:t>
      </w:r>
      <w:r>
        <w:rPr>
          <w:sz w:val="16"/>
          <w:szCs w:val="16"/>
        </w:rPr>
        <w:t xml:space="preserve"> 31 de diciembre de 2024.</w:t>
      </w:r>
    </w:p>
    <w:p w14:paraId="53A63A70" w14:textId="77777777" w:rsidR="00DF26F8" w:rsidRPr="00F11D91" w:rsidRDefault="00DF26F8" w:rsidP="00DF26F8">
      <w:pPr>
        <w:keepNext/>
        <w:spacing w:before="360" w:after="240"/>
        <w:rPr>
          <w:b/>
        </w:rPr>
      </w:pPr>
      <w:r>
        <w:rPr>
          <w:b/>
        </w:rPr>
        <w:t>APÉNDICE 3-A: CALENDARIO DE APROBACIÓN DE LA FINANCIACIÓN</w:t>
      </w:r>
    </w:p>
    <w:p w14:paraId="2B1CCF81" w14:textId="77777777" w:rsidR="00DF26F8" w:rsidRPr="00F11D91" w:rsidRDefault="00DF26F8" w:rsidP="006C0182">
      <w:pPr>
        <w:pStyle w:val="Heading1"/>
        <w:numPr>
          <w:ilvl w:val="0"/>
          <w:numId w:val="6"/>
        </w:numPr>
        <w:tabs>
          <w:tab w:val="clear" w:pos="0"/>
          <w:tab w:val="num" w:pos="720"/>
        </w:tabs>
      </w:pPr>
      <w:r>
        <w:t>La financiación para los tramos futuros se considerará para aprobación en la segunda reunión del año especificado en el Apéndice 2-A.</w:t>
      </w:r>
    </w:p>
    <w:p w14:paraId="0B514DA0" w14:textId="77777777" w:rsidR="00DF26F8" w:rsidRDefault="00DF26F8" w:rsidP="00DF26F8">
      <w:pPr>
        <w:keepNext/>
        <w:spacing w:before="360" w:after="240"/>
        <w:rPr>
          <w:b/>
        </w:rPr>
      </w:pPr>
      <w:r>
        <w:rPr>
          <w:b/>
        </w:rPr>
        <w:t>APÉNDICE 4-A: FORMATO DE INFORMES Y PLANES DE EJECUCIÓN DE TRAMOS</w:t>
      </w:r>
    </w:p>
    <w:p w14:paraId="491BAAB9" w14:textId="77777777" w:rsidR="00DF26F8" w:rsidRPr="00962629" w:rsidRDefault="00DF26F8" w:rsidP="006C0182">
      <w:pPr>
        <w:pStyle w:val="Heading1"/>
        <w:numPr>
          <w:ilvl w:val="0"/>
          <w:numId w:val="10"/>
        </w:numPr>
        <w:tabs>
          <w:tab w:val="clear" w:pos="0"/>
        </w:tabs>
      </w:pPr>
      <w:r>
        <w:t>Los informes y planes de ejecución de cada solicitud de tramo constarán de cinco partes:</w:t>
      </w:r>
    </w:p>
    <w:p w14:paraId="45714C81" w14:textId="77777777" w:rsidR="00DF26F8" w:rsidRPr="00B375EA" w:rsidRDefault="00DF26F8" w:rsidP="00B02BB2">
      <w:pPr>
        <w:pStyle w:val="Heading2"/>
        <w:widowControl/>
        <w:numPr>
          <w:ilvl w:val="1"/>
          <w:numId w:val="7"/>
        </w:numPr>
        <w:tabs>
          <w:tab w:val="num" w:pos="360"/>
        </w:tabs>
        <w:ind w:left="1440"/>
      </w:pPr>
      <w: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destacar además los logros, experiencias y problemas relativos a las actividades previstas en el Plan, haciendo constar los cambios que pudieran haberse operado en las circunstancias del País y otros antecedentes relevantes. El informe también deberá notificar y justificar los cambios respecto de los planes de ejecución de tramos anteriores, tales como retrasos, usos de la flexibilidad para la reasignación de fondos durante la ejecución de un tramo, según lo previsto en el apartado 7 del presente Acuerdo, u otros cambios;</w:t>
      </w:r>
    </w:p>
    <w:p w14:paraId="2690CDC7" w14:textId="77777777" w:rsidR="00DF26F8" w:rsidRPr="00B375EA" w:rsidRDefault="00DF26F8" w:rsidP="00B02BB2">
      <w:pPr>
        <w:pStyle w:val="Heading2"/>
        <w:widowControl/>
        <w:numPr>
          <w:ilvl w:val="1"/>
          <w:numId w:val="2"/>
        </w:numPr>
        <w:ind w:left="1440"/>
      </w:pPr>
      <w:r>
        <w:t>Una verificación independiente de los resultados del Plan y del consumo de las sustancias, según lo previsto en el inciso 5 b) del Acuerdo. Salvo indicación en contrario del Comité Ejecutivo, este informe de verificación se deberá acompañar a cada solicitud de tramo y deberá abarcar el consumo de todos los años especificados en el inciso 5 a) del Acuerdo para los que el Comité manifieste no haber recibido aún el informe de verificación;</w:t>
      </w:r>
    </w:p>
    <w:p w14:paraId="1C3307C3" w14:textId="77777777" w:rsidR="00DF26F8" w:rsidRPr="00B375EA" w:rsidRDefault="00DF26F8" w:rsidP="00B02BB2">
      <w:pPr>
        <w:pStyle w:val="Heading2"/>
        <w:widowControl/>
        <w:numPr>
          <w:ilvl w:val="1"/>
          <w:numId w:val="2"/>
        </w:numPr>
        <w:ind w:left="1440"/>
      </w:pPr>
      <w:r>
        <w:t xml:space="preserve">Una descripción por escrito de las actividades que se llevarán a cabo durante el período cubierto por el tramo solicitado, destacando los hitos de ejecución, el plazo de realización y la interdependencia de las actividades, y teniendo en cuenta la experiencia adquirida y los </w:t>
      </w:r>
      <w:r>
        <w:lastRenderedPageBreak/>
        <w:t>avances logrados en la ejecución de los tramos anteriores; los datos del plan se facilitarán por año civil. La descripción también debe incluir una referencia al Plan general y a los progresos realizados, así como a los posibles cambios del Plan general que se prevean. La descripción también debe especificar y explicar detalladamente dichos cambios en el plan general. La descripción de futuras actividades se podrá presentar como parte del informe descriptivo previsto en el inciso b) anterior;</w:t>
      </w:r>
    </w:p>
    <w:p w14:paraId="6CBD8DB7" w14:textId="77777777" w:rsidR="00DF26F8" w:rsidRPr="00B375EA" w:rsidRDefault="00DF26F8" w:rsidP="00B02BB2">
      <w:pPr>
        <w:pStyle w:val="Heading2"/>
        <w:widowControl/>
        <w:numPr>
          <w:ilvl w:val="1"/>
          <w:numId w:val="2"/>
        </w:numPr>
        <w:ind w:left="1440"/>
      </w:pPr>
      <w:r>
        <w:t>Un conjunto de información cuantitativa para todos los informes y planes de ejecución de tramos, presentada a través de una base de datos en línea; y</w:t>
      </w:r>
    </w:p>
    <w:p w14:paraId="3EF2A96E" w14:textId="77777777" w:rsidR="00DF26F8" w:rsidRPr="00B375EA" w:rsidRDefault="00DF26F8" w:rsidP="00B02BB2">
      <w:pPr>
        <w:pStyle w:val="Heading2"/>
        <w:widowControl/>
        <w:numPr>
          <w:ilvl w:val="1"/>
          <w:numId w:val="2"/>
        </w:numPr>
        <w:ind w:left="1440"/>
      </w:pPr>
      <w:r>
        <w:t>Un resumen ejecutivo de unos cinco párrafos con una síntesis de la información estipulada en los incisos 1 a) a 1 d) anteriores.</w:t>
      </w:r>
    </w:p>
    <w:p w14:paraId="7E5AB5DA" w14:textId="77777777" w:rsidR="00DF26F8" w:rsidRPr="00B375EA" w:rsidRDefault="00DF26F8" w:rsidP="006C0182">
      <w:pPr>
        <w:pStyle w:val="Heading1"/>
        <w:tabs>
          <w:tab w:val="clear" w:pos="0"/>
          <w:tab w:val="num" w:pos="720"/>
        </w:tabs>
      </w:pPr>
      <w:r>
        <w:t>Cuando en un mismo año se estén ejecutando en paralelo dos etapas del Plan, al elaborar los informes y planes de ejecución de tramos se deberá tener en cuenta lo siguiente:</w:t>
      </w:r>
    </w:p>
    <w:p w14:paraId="78FF64AD" w14:textId="77777777" w:rsidR="00DF26F8" w:rsidRPr="00B375EA" w:rsidRDefault="00DF26F8" w:rsidP="00B02BB2">
      <w:pPr>
        <w:pStyle w:val="Heading2"/>
        <w:widowControl/>
        <w:numPr>
          <w:ilvl w:val="1"/>
          <w:numId w:val="8"/>
        </w:numPr>
        <w:tabs>
          <w:tab w:val="num" w:pos="360"/>
        </w:tabs>
        <w:ind w:left="1440"/>
      </w:pPr>
      <w:r>
        <w:t>Los informes y planes de ejecución de tramos previstos en el presente Acuerdo deberán abarcar únicamente las actividades y fondos aquí contemplados; y</w:t>
      </w:r>
    </w:p>
    <w:p w14:paraId="78C6440B" w14:textId="77777777" w:rsidR="00DF26F8" w:rsidRPr="00B375EA" w:rsidRDefault="00DF26F8" w:rsidP="00B02BB2">
      <w:pPr>
        <w:pStyle w:val="Heading2"/>
        <w:widowControl/>
        <w:numPr>
          <w:ilvl w:val="1"/>
          <w:numId w:val="2"/>
        </w:numPr>
        <w:ind w:left="1440"/>
      </w:pPr>
      <w:r>
        <w:t>Cuando el Apéndice 2-A de cada Acuerdo contemple distintas metas de consumo de HCFC para etapas en curso en un mismo año, servirá de referencia para el cumplimiento de dichos Acuerdos y como base para la verificación independiente la que resulte menor.</w:t>
      </w:r>
    </w:p>
    <w:p w14:paraId="692D5C4B" w14:textId="77777777" w:rsidR="00DF26F8" w:rsidRPr="00C34A45" w:rsidRDefault="00DF26F8" w:rsidP="00DF26F8">
      <w:pPr>
        <w:keepNext/>
        <w:widowControl w:val="0"/>
        <w:spacing w:before="360" w:after="240"/>
        <w:rPr>
          <w:b/>
        </w:rPr>
      </w:pPr>
      <w:r>
        <w:rPr>
          <w:b/>
        </w:rPr>
        <w:t>APÉNDICE 5-A: INSTITUCIONES Y FUNCIONES DE SUPERVISIÓN</w:t>
      </w:r>
    </w:p>
    <w:p w14:paraId="0C3AA4A8" w14:textId="77777777" w:rsidR="00DF26F8" w:rsidRPr="00F41A6A" w:rsidRDefault="00DF26F8" w:rsidP="006C0182">
      <w:pPr>
        <w:pStyle w:val="Heading1"/>
        <w:numPr>
          <w:ilvl w:val="0"/>
          <w:numId w:val="9"/>
        </w:numPr>
        <w:tabs>
          <w:tab w:val="clear" w:pos="0"/>
          <w:tab w:val="num" w:pos="720"/>
        </w:tabs>
        <w:rPr>
          <w:rFonts w:eastAsia="Calibri" w:cstheme="minorHAnsi"/>
        </w:rPr>
      </w:pPr>
      <w:r>
        <w:t>La supervisión general correrá a cargo del Gobierno, a través de la Dependencia Nacional del Ozono (NOU), con la asistencia del OE Principal. La NOU presentará al OE Principal informes anuales sobre el estado de ejecución del Plan.</w:t>
      </w:r>
    </w:p>
    <w:p w14:paraId="40CB7ABA" w14:textId="77777777" w:rsidR="00DF26F8" w:rsidRPr="00F41A6A" w:rsidRDefault="00DF26F8" w:rsidP="006C0182">
      <w:pPr>
        <w:pStyle w:val="Heading1"/>
        <w:numPr>
          <w:ilvl w:val="0"/>
          <w:numId w:val="9"/>
        </w:numPr>
        <w:tabs>
          <w:tab w:val="clear" w:pos="0"/>
          <w:tab w:val="num" w:pos="720"/>
        </w:tabs>
        <w:rPr>
          <w:rFonts w:eastAsia="Calibri" w:cstheme="minorHAnsi"/>
        </w:rPr>
      </w:pPr>
      <w:r>
        <w:t>El consumo se controlará y determinará a partir de los datos oficiales de importación y exportación de sustancias registrados por los departamentos gubernamentales competentes. La NOU recopilará y comunicará anualmente los siguientes datos e información dentro de los plazos pertinentes:</w:t>
      </w:r>
    </w:p>
    <w:p w14:paraId="5930062A" w14:textId="77777777" w:rsidR="00DF26F8" w:rsidRPr="00F41A6A" w:rsidRDefault="00DF26F8" w:rsidP="00DF26F8">
      <w:pPr>
        <w:pStyle w:val="Heading1"/>
        <w:numPr>
          <w:ilvl w:val="0"/>
          <w:numId w:val="0"/>
        </w:numPr>
        <w:ind w:left="1440" w:hanging="720"/>
        <w:rPr>
          <w:rFonts w:cstheme="minorHAnsi"/>
        </w:rPr>
      </w:pPr>
      <w:r>
        <w:t xml:space="preserve">a) </w:t>
      </w:r>
      <w:r>
        <w:tab/>
        <w:t xml:space="preserve">Informes sobre el consumo de sustancias que deben presentarse a la Secretaría del Ozono de conformidad con el artículo 7 del Protocolo de Montreal; y </w:t>
      </w:r>
    </w:p>
    <w:p w14:paraId="226955DF" w14:textId="77777777" w:rsidR="00DF26F8" w:rsidRPr="00F41A6A" w:rsidRDefault="00DF26F8" w:rsidP="00DF26F8">
      <w:pPr>
        <w:pStyle w:val="Heading1"/>
        <w:numPr>
          <w:ilvl w:val="0"/>
          <w:numId w:val="0"/>
        </w:numPr>
        <w:ind w:left="1440" w:hanging="720"/>
        <w:rPr>
          <w:rFonts w:eastAsia="Calibri" w:cstheme="minorHAnsi"/>
        </w:rPr>
      </w:pPr>
      <w:r>
        <w:t xml:space="preserve">b) </w:t>
      </w:r>
      <w:r>
        <w:tab/>
        <w:t>Informes de datos de los programas de país que se presentarán a la Secretaría del Fondo Multilateral.</w:t>
      </w:r>
    </w:p>
    <w:p w14:paraId="3E1012F8" w14:textId="77777777" w:rsidR="00DF26F8" w:rsidRPr="00F41A6A" w:rsidRDefault="00DF26F8" w:rsidP="006C0182">
      <w:pPr>
        <w:pStyle w:val="Heading1"/>
        <w:numPr>
          <w:ilvl w:val="0"/>
          <w:numId w:val="9"/>
        </w:numPr>
        <w:tabs>
          <w:tab w:val="clear" w:pos="0"/>
          <w:tab w:val="num" w:pos="720"/>
        </w:tabs>
        <w:rPr>
          <w:rFonts w:eastAsia="Calibri" w:cstheme="minorHAnsi"/>
        </w:rPr>
      </w:pPr>
      <w:r>
        <w:t>La supervisión del desarrollo del Plan y la verificación de la consecución de los objetivos de rendimiento serán confiadas a un contratista local independiente o a uno o más consultores locales independientes por el OE Principal. La empresa o consultor(es) responsable(s) de la verificación tendrá(n) pleno acceso a la información técnica y financiera pertinente relacionada con la ejecución del Plan.</w:t>
      </w:r>
    </w:p>
    <w:p w14:paraId="09B48E76" w14:textId="77777777" w:rsidR="00DF26F8" w:rsidRPr="001C3FA8" w:rsidRDefault="00DF26F8" w:rsidP="00DF26F8">
      <w:pPr>
        <w:keepNext/>
        <w:widowControl w:val="0"/>
        <w:spacing w:before="360" w:after="240"/>
        <w:rPr>
          <w:b/>
        </w:rPr>
      </w:pPr>
      <w:r>
        <w:rPr>
          <w:b/>
        </w:rPr>
        <w:t xml:space="preserve">APÉNDICE 6-A: FUNCIONES DEL ORGANISMO DE EJECUCIÓN PRINCIPAL </w:t>
      </w:r>
    </w:p>
    <w:p w14:paraId="6EC9FA97" w14:textId="77777777" w:rsidR="00DF26F8" w:rsidRPr="00B375EA" w:rsidRDefault="00DF26F8" w:rsidP="006C0182">
      <w:pPr>
        <w:pStyle w:val="Heading1"/>
        <w:numPr>
          <w:ilvl w:val="0"/>
          <w:numId w:val="11"/>
        </w:numPr>
        <w:tabs>
          <w:tab w:val="clear" w:pos="0"/>
          <w:tab w:val="num" w:pos="720"/>
        </w:tabs>
      </w:pPr>
      <w:r>
        <w:t>El OE Principal tendrá, como mínimo, las siguientes responsabilidades:</w:t>
      </w:r>
    </w:p>
    <w:p w14:paraId="559F55C3" w14:textId="77777777" w:rsidR="00DF26F8" w:rsidRPr="00B375EA" w:rsidRDefault="00DF26F8" w:rsidP="00B02BB2">
      <w:pPr>
        <w:pStyle w:val="Heading2"/>
        <w:widowControl/>
        <w:numPr>
          <w:ilvl w:val="1"/>
          <w:numId w:val="12"/>
        </w:numPr>
        <w:tabs>
          <w:tab w:val="num" w:pos="360"/>
        </w:tabs>
        <w:ind w:left="1440"/>
      </w:pPr>
      <w:r>
        <w:t>Velar por la verificación financiera y el desempeño según lo previsto en el presente Acuerdo y en los procedimientos y requisitos internos específicos establecidos en el Plan del País;</w:t>
      </w:r>
    </w:p>
    <w:p w14:paraId="5CA9EAB0" w14:textId="77777777" w:rsidR="00DF26F8" w:rsidRPr="00B375EA" w:rsidRDefault="00DF26F8" w:rsidP="00B02BB2">
      <w:pPr>
        <w:pStyle w:val="Heading2"/>
        <w:widowControl/>
        <w:numPr>
          <w:ilvl w:val="1"/>
          <w:numId w:val="12"/>
        </w:numPr>
        <w:tabs>
          <w:tab w:val="num" w:pos="360"/>
        </w:tabs>
        <w:ind w:left="1440"/>
      </w:pPr>
      <w:r>
        <w:lastRenderedPageBreak/>
        <w:t>Brindar asistencia al País para preparar los informes y planes de ejecución de tramos conforme al Apéndice 4</w:t>
      </w:r>
      <w:r>
        <w:noBreakHyphen/>
        <w:t>A;</w:t>
      </w:r>
    </w:p>
    <w:p w14:paraId="7D9D3B66" w14:textId="77777777" w:rsidR="00DF26F8" w:rsidRPr="00B375EA" w:rsidRDefault="00DF26F8" w:rsidP="00B02BB2">
      <w:pPr>
        <w:pStyle w:val="Heading2"/>
        <w:widowControl/>
        <w:numPr>
          <w:ilvl w:val="1"/>
          <w:numId w:val="2"/>
        </w:numPr>
        <w:ind w:left="1440"/>
      </w:pPr>
      <w:r>
        <w:t>Proporcionar al Comité Ejecutivo verificación independiente de haberse alcanzado las metas y completado las actividades previstas en el plan de ejecución del tramo, de conformidad con el Apéndice 4-A;</w:t>
      </w:r>
    </w:p>
    <w:p w14:paraId="13FCB39D" w14:textId="77777777" w:rsidR="00DF26F8" w:rsidRPr="00B375EA" w:rsidRDefault="00DF26F8" w:rsidP="00B02BB2">
      <w:pPr>
        <w:pStyle w:val="Heading2"/>
        <w:widowControl/>
        <w:numPr>
          <w:ilvl w:val="1"/>
          <w:numId w:val="2"/>
        </w:numPr>
        <w:ind w:left="1440"/>
      </w:pPr>
      <w:r>
        <w:t>Actualizar el plan general y los futuros planes de ejecución de tramos de modo que reflejen las experiencias y avances logrados, conforme a los incisos 1 c) y 1 d) del Apéndice 4-A;</w:t>
      </w:r>
    </w:p>
    <w:p w14:paraId="608355BD" w14:textId="77777777" w:rsidR="00DF26F8" w:rsidRPr="00B375EA" w:rsidRDefault="00DF26F8" w:rsidP="00B02BB2">
      <w:pPr>
        <w:pStyle w:val="Heading2"/>
        <w:widowControl/>
        <w:numPr>
          <w:ilvl w:val="1"/>
          <w:numId w:val="2"/>
        </w:numPr>
        <w:ind w:left="1440"/>
      </w:pPr>
      <w:r>
        <w:t>Cumplir los requisitos de presentación de informes para los informes y planes de ejecución de tramos y el plan general tal y como se especifica en el Apéndice 4-A para su presentación al Comité Ejecutivo, y debe incluir las actividades ejecutadas por el OE Cooperante;</w:t>
      </w:r>
    </w:p>
    <w:p w14:paraId="297D2D58" w14:textId="77777777" w:rsidR="00DF26F8" w:rsidRPr="00B375EA" w:rsidRDefault="00DF26F8" w:rsidP="00B02BB2">
      <w:pPr>
        <w:pStyle w:val="Heading2"/>
        <w:widowControl/>
        <w:numPr>
          <w:ilvl w:val="1"/>
          <w:numId w:val="2"/>
        </w:numPr>
        <w:ind w:left="1440"/>
      </w:pPr>
      <w:r>
        <w:t>En caso de que el último tramo de financiación se solicite uno o más años antes del último año para el que se había establecido un objetivo de consumo, deberán presentarse informes anuales de ejecución de tramo y, si procede, informes de verificación sobre la etapa actual del Plan hasta que se hayan completado todas las actividades previstas y se hayan alcanzado los objetivos de consumo de HCFC;</w:t>
      </w:r>
    </w:p>
    <w:p w14:paraId="42416235" w14:textId="77777777" w:rsidR="00DF26F8" w:rsidRPr="00B375EA" w:rsidRDefault="00DF26F8" w:rsidP="00B02BB2">
      <w:pPr>
        <w:pStyle w:val="Heading2"/>
        <w:widowControl/>
        <w:numPr>
          <w:ilvl w:val="1"/>
          <w:numId w:val="2"/>
        </w:numPr>
        <w:ind w:left="1440"/>
      </w:pPr>
      <w:r>
        <w:t>Velar por que las evaluaciones técnicas las realicen expertos independientes calificados;</w:t>
      </w:r>
    </w:p>
    <w:p w14:paraId="616171E7" w14:textId="77777777" w:rsidR="00DF26F8" w:rsidRPr="00F11D91" w:rsidRDefault="00DF26F8" w:rsidP="00B02BB2">
      <w:pPr>
        <w:pStyle w:val="Heading2"/>
        <w:widowControl/>
        <w:numPr>
          <w:ilvl w:val="1"/>
          <w:numId w:val="2"/>
        </w:numPr>
        <w:ind w:left="1440"/>
      </w:pPr>
      <w:r>
        <w:t>Llevar a cabo las labores de supervisión que sea menester;</w:t>
      </w:r>
    </w:p>
    <w:p w14:paraId="725BA546" w14:textId="77777777" w:rsidR="00DF26F8" w:rsidRPr="00F11D91" w:rsidRDefault="00DF26F8" w:rsidP="00B02BB2">
      <w:pPr>
        <w:pStyle w:val="Heading2"/>
        <w:widowControl/>
        <w:numPr>
          <w:ilvl w:val="1"/>
          <w:numId w:val="2"/>
        </w:numPr>
        <w:ind w:left="1440"/>
      </w:pPr>
      <w:r>
        <w:t>Cerciorarse de que exista un mecanismo operativo que permita una ejecución eficaz y transparente del plan de ejecución del tramo y la obtención de datos fidedignos;</w:t>
      </w:r>
    </w:p>
    <w:p w14:paraId="40E06005" w14:textId="77777777" w:rsidR="00DF26F8" w:rsidRPr="00F11D91" w:rsidRDefault="00DF26F8" w:rsidP="00B02BB2">
      <w:pPr>
        <w:pStyle w:val="Heading2"/>
        <w:widowControl/>
        <w:numPr>
          <w:ilvl w:val="1"/>
          <w:numId w:val="2"/>
        </w:numPr>
        <w:ind w:left="1440"/>
      </w:pPr>
      <w:r>
        <w:t>Coordinar las actividades del OE Cooperante y garantizar una adecuada secuencia de actividades;</w:t>
      </w:r>
    </w:p>
    <w:p w14:paraId="7AD087BD" w14:textId="77777777" w:rsidR="00DF26F8" w:rsidRPr="00F11D91" w:rsidRDefault="00DF26F8" w:rsidP="00B02BB2">
      <w:pPr>
        <w:pStyle w:val="Heading2"/>
        <w:widowControl/>
        <w:numPr>
          <w:ilvl w:val="1"/>
          <w:numId w:val="2"/>
        </w:numPr>
        <w:ind w:left="1440"/>
      </w:pPr>
      <w:r>
        <w:t>De reducirse los fondos en razón del incumplimiento previsto en el párrafo 11 del Acuerdo, asignar las reducciones a las distintas partidas presupuestarias y al financiamiento de los organismos principal y cooperante en consulta con el País y con el organismo cooperante;</w:t>
      </w:r>
    </w:p>
    <w:p w14:paraId="2CF45B64" w14:textId="77777777" w:rsidR="00DF26F8" w:rsidRPr="00B375EA" w:rsidRDefault="00DF26F8" w:rsidP="00B02BB2">
      <w:pPr>
        <w:pStyle w:val="Heading2"/>
        <w:widowControl/>
        <w:numPr>
          <w:ilvl w:val="1"/>
          <w:numId w:val="2"/>
        </w:numPr>
        <w:ind w:left="1440"/>
      </w:pPr>
      <w:r>
        <w:t>Asegurar que los desembolsos hechos al País se basen en el uso de los indicadores;</w:t>
      </w:r>
    </w:p>
    <w:p w14:paraId="3562DD60" w14:textId="77777777" w:rsidR="00DF26F8" w:rsidRPr="00B3273C" w:rsidRDefault="00DF26F8" w:rsidP="00B02BB2">
      <w:pPr>
        <w:pStyle w:val="Heading2"/>
        <w:widowControl/>
        <w:numPr>
          <w:ilvl w:val="1"/>
          <w:numId w:val="2"/>
        </w:numPr>
        <w:ind w:left="1440"/>
      </w:pPr>
      <w:r>
        <w:t xml:space="preserve">Colaborar en materia de gestión, apoyo técnico y desarrollo de políticas, según sea necesario; </w:t>
      </w:r>
    </w:p>
    <w:p w14:paraId="2CD381BF" w14:textId="77777777" w:rsidR="00DF26F8" w:rsidRPr="00B3273C" w:rsidRDefault="00DF26F8" w:rsidP="00B02BB2">
      <w:pPr>
        <w:pStyle w:val="Heading2"/>
        <w:widowControl/>
        <w:numPr>
          <w:ilvl w:val="1"/>
          <w:numId w:val="2"/>
        </w:numPr>
        <w:ind w:left="1440"/>
      </w:pPr>
      <w:r>
        <w:t>Consensuar con el OE Cooperante las medidas de planificación, coordinación y presentación de informes que faciliten la ejecución del Plan; y</w:t>
      </w:r>
    </w:p>
    <w:p w14:paraId="49253602" w14:textId="77777777" w:rsidR="00DF26F8" w:rsidRPr="00B3273C" w:rsidRDefault="00DF26F8" w:rsidP="00B02BB2">
      <w:pPr>
        <w:pStyle w:val="Heading2"/>
        <w:widowControl/>
        <w:numPr>
          <w:ilvl w:val="1"/>
          <w:numId w:val="2"/>
        </w:numPr>
        <w:ind w:left="1440"/>
      </w:pPr>
      <w:r>
        <w:t>Transferir oportunamente al País y a las empresas respectivas los fondos necesarios para la ejecución de las actividades contempladas en el proyecto.</w:t>
      </w:r>
    </w:p>
    <w:p w14:paraId="3395B85A" w14:textId="77777777" w:rsidR="00DF26F8" w:rsidRPr="00B375EA" w:rsidRDefault="00DF26F8" w:rsidP="006C0182">
      <w:pPr>
        <w:pStyle w:val="Heading1"/>
        <w:tabs>
          <w:tab w:val="clear" w:pos="0"/>
          <w:tab w:val="num" w:pos="720"/>
        </w:tabs>
      </w:pPr>
      <w:r>
        <w:t>En consulta con el País, y tomando en cuenta sus puntos de vista, el OE Principal seleccionará a una entidad independiente para realizar la verificación de los resultados del Plan y del consumo de las sustancias indicadas en el Apéndice 1-A, según lo previsto en los incisos 5 b) del Acuerdo y 1 b) del Apéndice 4-A.</w:t>
      </w:r>
    </w:p>
    <w:p w14:paraId="11CE356E" w14:textId="77777777" w:rsidR="00DF26F8" w:rsidRPr="00B3273C" w:rsidRDefault="00DF26F8" w:rsidP="00DF26F8">
      <w:pPr>
        <w:pStyle w:val="Heading1"/>
        <w:numPr>
          <w:ilvl w:val="0"/>
          <w:numId w:val="0"/>
        </w:numPr>
        <w:spacing w:before="360"/>
      </w:pPr>
      <w:r>
        <w:rPr>
          <w:b/>
        </w:rPr>
        <w:t>APÉNDICE 6-B: FUNCIONES DE LOS ORGANISMOS COOPERANTES</w:t>
      </w:r>
    </w:p>
    <w:p w14:paraId="2EE4838B" w14:textId="77777777" w:rsidR="00DF26F8" w:rsidRPr="00B3273C" w:rsidRDefault="00DF26F8" w:rsidP="00DF26F8">
      <w:pPr>
        <w:pStyle w:val="Heading1"/>
        <w:numPr>
          <w:ilvl w:val="0"/>
          <w:numId w:val="0"/>
        </w:numPr>
      </w:pPr>
      <w:r>
        <w:lastRenderedPageBreak/>
        <w:t>1.</w:t>
      </w:r>
      <w:r>
        <w:tab/>
        <w:t xml:space="preserve">El OE cooperante será responsable de una serie de actividades. Éstas se especifican con más detalle en el Plan, e incluyen como mínimo las siguientes: </w:t>
      </w:r>
    </w:p>
    <w:p w14:paraId="0F974962" w14:textId="77777777" w:rsidR="00DF26F8" w:rsidRPr="00B3273C" w:rsidRDefault="00DF26F8" w:rsidP="00D63E98">
      <w:pPr>
        <w:pStyle w:val="Heading2"/>
        <w:widowControl/>
        <w:numPr>
          <w:ilvl w:val="1"/>
          <w:numId w:val="24"/>
        </w:numPr>
        <w:ind w:hanging="720"/>
      </w:pPr>
      <w:r>
        <w:t xml:space="preserve">Apoyar el desarrollo de políticas, cuando sea necesario; </w:t>
      </w:r>
    </w:p>
    <w:p w14:paraId="39E6FEEE" w14:textId="77777777" w:rsidR="00DF26F8" w:rsidRPr="00B3273C" w:rsidRDefault="00DF26F8" w:rsidP="001A3398">
      <w:pPr>
        <w:pStyle w:val="Heading2"/>
        <w:widowControl/>
        <w:numPr>
          <w:ilvl w:val="1"/>
          <w:numId w:val="24"/>
        </w:numPr>
        <w:ind w:hanging="720"/>
      </w:pPr>
      <w:r>
        <w:t xml:space="preserve">Colaborar con el País en la ejecución y evaluación de las actividades que financie como OE Cooperante, remitiéndose al OE Principal para garantizar una secuencia coordinada de actividades; </w:t>
      </w:r>
    </w:p>
    <w:p w14:paraId="6DCED17E" w14:textId="77777777" w:rsidR="00DF26F8" w:rsidRPr="00B3273C" w:rsidRDefault="00DF26F8" w:rsidP="001A3398">
      <w:pPr>
        <w:pStyle w:val="Heading2"/>
        <w:widowControl/>
        <w:numPr>
          <w:ilvl w:val="1"/>
          <w:numId w:val="24"/>
        </w:numPr>
        <w:ind w:hanging="720"/>
      </w:pPr>
      <w:r>
        <w:t>Informar de estas actividades al OE Principal para su inclusión en los informes refundidos que se presenten con arreglo al Apéndice 4-A; y</w:t>
      </w:r>
    </w:p>
    <w:p w14:paraId="3247B13B" w14:textId="77777777" w:rsidR="00DF26F8" w:rsidRPr="00B3273C" w:rsidRDefault="00DF26F8" w:rsidP="001A3398">
      <w:pPr>
        <w:pStyle w:val="Heading2"/>
        <w:widowControl/>
        <w:numPr>
          <w:ilvl w:val="1"/>
          <w:numId w:val="24"/>
        </w:numPr>
        <w:ind w:hanging="720"/>
      </w:pPr>
      <w:r>
        <w:t>Consensuar con el OE Principal las medidas de planificación, coordinación y presentación de informes que faciliten la ejecución del Plan.</w:t>
      </w:r>
    </w:p>
    <w:p w14:paraId="0366F1FD" w14:textId="77777777" w:rsidR="00DF26F8" w:rsidRPr="00B3273C" w:rsidRDefault="00DF26F8" w:rsidP="00DF26F8">
      <w:pPr>
        <w:keepNext/>
        <w:widowControl w:val="0"/>
        <w:spacing w:before="360" w:after="240"/>
        <w:rPr>
          <w:b/>
        </w:rPr>
      </w:pPr>
      <w:r>
        <w:rPr>
          <w:b/>
        </w:rPr>
        <w:t>APÉNDICE 7-A: REDUCCIÓN DEL FINANCIAMIENTO EN CASO DE INCUMPLIMIENTO</w:t>
      </w:r>
    </w:p>
    <w:p w14:paraId="1F5E2A50" w14:textId="77777777" w:rsidR="00DF26F8" w:rsidRPr="00B3273C" w:rsidRDefault="00DF26F8" w:rsidP="006C0182">
      <w:pPr>
        <w:pStyle w:val="Heading1"/>
        <w:keepNext/>
        <w:numPr>
          <w:ilvl w:val="0"/>
          <w:numId w:val="5"/>
        </w:numPr>
        <w:tabs>
          <w:tab w:val="clear" w:pos="0"/>
          <w:tab w:val="num" w:pos="720"/>
        </w:tabs>
        <w:spacing w:before="360"/>
      </w:pPr>
      <w:r>
        <w:t>De conformidad con el párrafo 11 del Acuerdo, el monto de financiación proporcionada podrá reducirse en 180 $EUA por kg PAO de consumo que supere el nivel definido en el renglón 1.2 del Apéndice 2-A para cada año en que no se haya logrado el objetivo especificado en el renglón 1.2 del Apéndice 2-A, quedando entendido que la reducción de financiación máxima no excedería el nivel de financiación del tramo que se solicita. Podría evaluarse la adopción de medidas adicionales en aquellos casos en que el incumplimiento se prolongue durante dos años consecutivos.</w:t>
      </w:r>
    </w:p>
    <w:p w14:paraId="7A8A09C3" w14:textId="77777777" w:rsidR="00DF26F8" w:rsidRPr="00B375EA" w:rsidRDefault="00DF26F8" w:rsidP="006C0182">
      <w:pPr>
        <w:pStyle w:val="Heading1"/>
        <w:tabs>
          <w:tab w:val="clear" w:pos="0"/>
        </w:tabs>
      </w:pPr>
      <w:r>
        <w:t>Cuando corresponda sancionar en un año en que estén vigentes dos Acuerdos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p>
    <w:p w14:paraId="1CA581B7" w14:textId="77777777" w:rsidR="00DF26F8" w:rsidRPr="009B0D30" w:rsidRDefault="00DF26F8" w:rsidP="00DF26F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DF26F8" w:rsidRPr="009B0D30" w14:paraId="3D150EE4" w14:textId="77777777" w:rsidTr="00080449">
        <w:tc>
          <w:tcPr>
            <w:tcW w:w="1915" w:type="dxa"/>
          </w:tcPr>
          <w:p w14:paraId="146E1755" w14:textId="77777777" w:rsidR="00DF26F8" w:rsidRPr="009B0D30" w:rsidRDefault="00DF26F8" w:rsidP="00080449"/>
        </w:tc>
        <w:tc>
          <w:tcPr>
            <w:tcW w:w="1915" w:type="dxa"/>
          </w:tcPr>
          <w:p w14:paraId="5E81E727" w14:textId="77777777" w:rsidR="00DF26F8" w:rsidRPr="009B0D30" w:rsidRDefault="00DF26F8" w:rsidP="00080449"/>
        </w:tc>
        <w:tc>
          <w:tcPr>
            <w:tcW w:w="1915" w:type="dxa"/>
            <w:tcBorders>
              <w:bottom w:val="single" w:sz="4" w:space="0" w:color="auto"/>
            </w:tcBorders>
          </w:tcPr>
          <w:p w14:paraId="388DA3C0" w14:textId="77777777" w:rsidR="00DF26F8" w:rsidRPr="009B0D30" w:rsidRDefault="00DF26F8" w:rsidP="00080449"/>
        </w:tc>
        <w:tc>
          <w:tcPr>
            <w:tcW w:w="1915" w:type="dxa"/>
          </w:tcPr>
          <w:p w14:paraId="2CCFDBC3" w14:textId="77777777" w:rsidR="00DF26F8" w:rsidRPr="009B0D30" w:rsidRDefault="00DF26F8" w:rsidP="00080449"/>
        </w:tc>
        <w:tc>
          <w:tcPr>
            <w:tcW w:w="1916" w:type="dxa"/>
          </w:tcPr>
          <w:p w14:paraId="3D2E879B" w14:textId="77777777" w:rsidR="00DF26F8" w:rsidRPr="009B0D30" w:rsidRDefault="00DF26F8" w:rsidP="00080449"/>
        </w:tc>
      </w:tr>
    </w:tbl>
    <w:p w14:paraId="6BE9028A" w14:textId="77777777" w:rsidR="00DF26F8" w:rsidRPr="009B0D30" w:rsidRDefault="00DF26F8" w:rsidP="00DF26F8"/>
    <w:p w14:paraId="65134D6F" w14:textId="77777777" w:rsidR="00DF26F8" w:rsidRDefault="00DF26F8" w:rsidP="00DF26F8"/>
    <w:p w14:paraId="7DD0EC16" w14:textId="77777777" w:rsidR="00DF26F8" w:rsidRPr="00DF26F8" w:rsidRDefault="00DF26F8"/>
    <w:sectPr w:rsidR="00DF26F8" w:rsidRPr="00DF26F8" w:rsidSect="001D05D3">
      <w:headerReference w:type="even" r:id="rId20"/>
      <w:headerReference w:type="default" r:id="rId21"/>
      <w:headerReference w:type="first" r:id="rId22"/>
      <w:footerReference w:type="first" r:id="rId23"/>
      <w:pgSz w:w="12240" w:h="15840"/>
      <w:pgMar w:top="1440" w:right="135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20EF7" w14:textId="77777777" w:rsidR="003C499F" w:rsidRDefault="003C499F" w:rsidP="00C82179">
      <w:r>
        <w:separator/>
      </w:r>
    </w:p>
  </w:endnote>
  <w:endnote w:type="continuationSeparator" w:id="0">
    <w:p w14:paraId="3EE92242" w14:textId="77777777" w:rsidR="003C499F" w:rsidRDefault="003C499F" w:rsidP="00C82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21192979"/>
      <w:docPartObj>
        <w:docPartGallery w:val="Page Numbers (Bottom of Page)"/>
        <w:docPartUnique/>
      </w:docPartObj>
    </w:sdtPr>
    <w:sdtEndPr>
      <w:rPr>
        <w:noProof/>
      </w:rPr>
    </w:sdtEndPr>
    <w:sdtContent>
      <w:p w14:paraId="7B826B33" w14:textId="5D5149A6" w:rsidR="006F6D53" w:rsidRDefault="006F6D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C65698" w14:textId="77777777" w:rsidR="006F6D53" w:rsidRDefault="006F6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8438173"/>
      <w:docPartObj>
        <w:docPartGallery w:val="Page Numbers (Bottom of Page)"/>
        <w:docPartUnique/>
      </w:docPartObj>
    </w:sdtPr>
    <w:sdtEndPr>
      <w:rPr>
        <w:noProof/>
      </w:rPr>
    </w:sdtEndPr>
    <w:sdtContent>
      <w:p w14:paraId="7CA350D3" w14:textId="756384F9" w:rsidR="006F6D53" w:rsidRDefault="006F6D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A2FC37" w14:textId="77777777" w:rsidR="006F6D53" w:rsidRDefault="006F6D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B781B" w14:textId="4496D6D5" w:rsidR="006F6D53" w:rsidRPr="006F6D53" w:rsidRDefault="006F6D53" w:rsidP="006F6D53">
    <w:pPr>
      <w:pBdr>
        <w:top w:val="single" w:sz="4" w:space="1" w:color="auto"/>
        <w:left w:val="single" w:sz="4" w:space="4" w:color="auto"/>
        <w:bottom w:val="single" w:sz="4" w:space="1" w:color="auto"/>
        <w:right w:val="single" w:sz="4" w:space="20"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2766766"/>
      <w:docPartObj>
        <w:docPartGallery w:val="Page Numbers (Bottom of Page)"/>
        <w:docPartUnique/>
      </w:docPartObj>
    </w:sdtPr>
    <w:sdtEndPr>
      <w:rPr>
        <w:noProof/>
      </w:rPr>
    </w:sdtEndPr>
    <w:sdtContent>
      <w:p w14:paraId="2811514F" w14:textId="25768253" w:rsidR="001D05D3" w:rsidRDefault="001D05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825ED" w14:textId="5233D707" w:rsidR="001D05D3" w:rsidRPr="001D05D3" w:rsidRDefault="001D05D3" w:rsidP="001D0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9C3AB" w14:textId="77777777" w:rsidR="003C499F" w:rsidRDefault="003C499F" w:rsidP="00C82179">
      <w:r>
        <w:separator/>
      </w:r>
    </w:p>
  </w:footnote>
  <w:footnote w:type="continuationSeparator" w:id="0">
    <w:p w14:paraId="62EB8A29" w14:textId="77777777" w:rsidR="003C499F" w:rsidRDefault="003C499F" w:rsidP="00C82179">
      <w:r>
        <w:continuationSeparator/>
      </w:r>
    </w:p>
  </w:footnote>
  <w:footnote w:id="1">
    <w:p w14:paraId="7915EBA5" w14:textId="66AEB16A" w:rsidR="00C82179" w:rsidRPr="00C82179" w:rsidRDefault="00C82179" w:rsidP="001D05D3">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03B0E9DF" w14:textId="77777777" w:rsidR="00DF26F8" w:rsidRPr="00996241" w:rsidRDefault="00DF26F8" w:rsidP="00DF26F8">
      <w:pPr>
        <w:pStyle w:val="FootnoteText"/>
      </w:pPr>
      <w:r>
        <w:rPr>
          <w:rStyle w:val="FootnoteReference"/>
        </w:rPr>
        <w:footnoteRef/>
      </w:r>
      <w:r>
        <w:t xml:space="preserve"> Según la carta de 31 de julio de 2024 del Ministerio de Medio Ambiente, Agricultura y Ganadería de Burundi a la Secretaría.</w:t>
      </w:r>
    </w:p>
  </w:footnote>
  <w:footnote w:id="3">
    <w:p w14:paraId="3508AFB5" w14:textId="77777777" w:rsidR="00DF26F8" w:rsidRPr="009931F4" w:rsidRDefault="00DF26F8" w:rsidP="00DF26F8">
      <w:pPr>
        <w:pStyle w:val="FootnoteText"/>
        <w:rPr>
          <w:highlight w:val="cyan"/>
        </w:rPr>
      </w:pPr>
      <w:r>
        <w:rPr>
          <w:rStyle w:val="FootnoteReference"/>
        </w:rPr>
        <w:footnoteRef/>
      </w:r>
      <w:r>
        <w:t xml:space="preserve"> Decisión 65/23</w:t>
      </w:r>
    </w:p>
  </w:footnote>
  <w:footnote w:id="4">
    <w:p w14:paraId="2949863A" w14:textId="77777777" w:rsidR="00DF26F8" w:rsidRPr="00352449" w:rsidRDefault="00DF26F8" w:rsidP="00DF26F8">
      <w:pPr>
        <w:pStyle w:val="FootnoteText"/>
      </w:pPr>
      <w:r>
        <w:rPr>
          <w:rStyle w:val="FootnoteReference"/>
        </w:rPr>
        <w:footnoteRef/>
      </w:r>
      <w:r>
        <w:t xml:space="preserve"> Decisión 81/42</w:t>
      </w:r>
    </w:p>
  </w:footnote>
  <w:footnote w:id="5">
    <w:p w14:paraId="04AF1FE3" w14:textId="77777777" w:rsidR="00DF26F8" w:rsidRPr="000D09E4" w:rsidRDefault="00DF26F8" w:rsidP="00DF26F8">
      <w:pPr>
        <w:pStyle w:val="FootnoteText"/>
      </w:pPr>
      <w:r>
        <w:rPr>
          <w:rStyle w:val="FootnoteReference"/>
        </w:rPr>
        <w:footnoteRef/>
      </w:r>
      <w:r>
        <w:t xml:space="preserve"> De conformidad con la decisión 81/42, la financiación total aprobada para la etapa I del PGEH para cumplir con la reducción del 35 % de la base de referencia de HCFC se ajustó de 332 000 a 210 000 $EUA, en consonancia con la decisión 60/44(f)(xii); y el saldo máximo de financiación elegible para el país para la eliminación total de HCFC se determinó en 418 000 $EUA, en consonancia con la decisión 74/50(c)(xii), con los ajustes de financiación necesarios que se realizarán durante la aprobación de la etapa II del PGEH para el país.</w:t>
      </w:r>
    </w:p>
  </w:footnote>
  <w:footnote w:id="6">
    <w:p w14:paraId="4D66FF83" w14:textId="77777777" w:rsidR="00DF26F8" w:rsidRPr="00770005" w:rsidRDefault="00DF26F8" w:rsidP="00DF26F8">
      <w:pPr>
        <w:widowControl w:val="0"/>
        <w:contextualSpacing/>
      </w:pPr>
      <w:r>
        <w:rPr>
          <w:rStyle w:val="FootnoteReference"/>
          <w:sz w:val="20"/>
          <w:szCs w:val="20"/>
        </w:rPr>
        <w:footnoteRef/>
      </w:r>
      <w:r>
        <w:rPr>
          <w:sz w:val="20"/>
          <w:szCs w:val="20"/>
        </w:rPr>
        <w:t xml:space="preserve"> Incluye juegos de llaves de carraca, herramientas de abocardado y estampado, herramientas de expansión, kits de soldadura fuerte, juegos de manómetros para colectores de válvulas, colectores digitales de cuatro vías con mangueras, bombas de vacío, estaciones de carga portátiles para hidrocarburos (HC), máquinas de recuperación, unidades de recuperación para refrigerantes, incluidos los refrigerantes inflamables A3.</w:t>
      </w:r>
    </w:p>
  </w:footnote>
  <w:footnote w:id="7">
    <w:p w14:paraId="16A00490" w14:textId="77777777" w:rsidR="00DF26F8" w:rsidRPr="00513339" w:rsidRDefault="00DF26F8" w:rsidP="00DF26F8">
      <w:pPr>
        <w:pStyle w:val="FootnoteText"/>
      </w:pPr>
      <w:r>
        <w:rPr>
          <w:rStyle w:val="FootnoteReference"/>
        </w:rPr>
        <w:footnoteRef/>
      </w:r>
      <w:r w:rsidRPr="00513339">
        <w:t xml:space="preserve"> Las actividades propuestas han tenido en cuenta las recomendaciones del informe de verificación de la 93ª reunión, incluida una mayor sensibilización y capacitación de los importadores y funcionarios de aduanas sobre el sistema de licencias y cuotas; el desarrollo de un sistema de permisos en línea para un seguimiento más eficaz; y el suministro de equipos adicionales de identificación de refrigerantes para los funcionarios de aduanas en las fronteras.</w:t>
      </w:r>
    </w:p>
  </w:footnote>
  <w:footnote w:id="8">
    <w:p w14:paraId="13DBD1E5" w14:textId="77777777" w:rsidR="00DF26F8" w:rsidRPr="00513339" w:rsidRDefault="00DF26F8" w:rsidP="00DF26F8">
      <w:pPr>
        <w:pStyle w:val="FootnoteText"/>
      </w:pPr>
      <w:r>
        <w:rPr>
          <w:rStyle w:val="FootnoteReference"/>
        </w:rPr>
        <w:footnoteRef/>
      </w:r>
      <w:r w:rsidRPr="00513339">
        <w:t xml:space="preserve"> El equipo que se va a adquirir incluye filtros secadores, bombas de vacío, balanzas electrónicas, mangueras, detectores de fugas por infrarrojos, piezas de campo para medidores de pinza compactos, cortatubos, juegos de llaves de carraca, herramientas de abocardado y estampado, kits de soldadura fuerte, multímetros digitales portátiles, juegos de manómetros para colectores de válvulas, unidad de recuperación, botellas de refrigerante.</w:t>
      </w:r>
    </w:p>
    <w:p w14:paraId="730FFFE7" w14:textId="77777777" w:rsidR="00DF26F8" w:rsidRPr="00B33AEE" w:rsidRDefault="00DF26F8" w:rsidP="00DF26F8">
      <w:pPr>
        <w:pStyle w:val="FootnoteText"/>
      </w:pPr>
    </w:p>
  </w:footnote>
  <w:footnote w:id="9">
    <w:p w14:paraId="5EBFA344" w14:textId="77777777" w:rsidR="00DF26F8" w:rsidRPr="004434A3" w:rsidRDefault="00DF26F8" w:rsidP="00DF26F8">
      <w:pPr>
        <w:pStyle w:val="FootnoteText"/>
      </w:pPr>
      <w:r>
        <w:rPr>
          <w:rStyle w:val="FootnoteReference"/>
        </w:rPr>
        <w:footnoteRef/>
      </w:r>
      <w:r>
        <w:t xml:space="preserve"> El consumo de HCFC puede ser superior a cero en cualquier año siempre que la suma de sus niveles de consumo calculados durante el período de diez años comprendido entre el 1 de enero de 2030 y el 1 de enero de 2040, dividida por 10, no supere el 2,5 % del consumo básico de referencia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D9467" w14:textId="77777777" w:rsidR="006F6D53" w:rsidRDefault="006F6D53" w:rsidP="006F6D5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6542A882" w14:textId="77777777" w:rsidR="006F6D53" w:rsidRDefault="006F6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75609" w14:textId="68E98CED" w:rsidR="006F6D53" w:rsidRDefault="006F6D53" w:rsidP="006F6D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53A75161" w14:textId="77777777" w:rsidR="006F6D53" w:rsidRDefault="006F6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9D54E" w14:textId="77777777" w:rsidR="001D05D3" w:rsidRDefault="001D05D3" w:rsidP="001D05D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42456" w14:textId="77777777" w:rsidR="001D05D3" w:rsidRPr="001D05D3" w:rsidRDefault="001D05D3" w:rsidP="006F6D53">
    <w:pPr>
      <w:rPr>
        <w:lang w:val="en-US"/>
      </w:rPr>
    </w:pPr>
    <w:r>
      <w:fldChar w:fldCharType="begin"/>
    </w:r>
    <w:r w:rsidRPr="001D05D3">
      <w:rPr>
        <w:lang w:val="en-US"/>
      </w:rPr>
      <w:instrText xml:space="preserve"> DOCPROPERTY "Document number"  \* MERGEFORMAT </w:instrText>
    </w:r>
    <w:r>
      <w:fldChar w:fldCharType="separate"/>
    </w:r>
    <w:r w:rsidRPr="001D05D3">
      <w:rPr>
        <w:lang w:val="en-US"/>
      </w:rPr>
      <w:t>UNEP/</w:t>
    </w:r>
    <w:proofErr w:type="spellStart"/>
    <w:r w:rsidRPr="001D05D3">
      <w:rPr>
        <w:lang w:val="en-US"/>
      </w:rPr>
      <w:t>OzL.Pro</w:t>
    </w:r>
    <w:proofErr w:type="spellEnd"/>
    <w:r w:rsidRPr="001D05D3">
      <w:rPr>
        <w:lang w:val="en-US"/>
      </w:rPr>
      <w:t>/ExCom/95/44</w:t>
    </w:r>
    <w:r>
      <w:fldChar w:fldCharType="end"/>
    </w:r>
  </w:p>
  <w:p w14:paraId="6902DECA" w14:textId="77777777" w:rsidR="001D05D3" w:rsidRPr="001D05D3" w:rsidRDefault="001D05D3" w:rsidP="006F6D53">
    <w:pPr>
      <w:rPr>
        <w:lang w:val="en-US"/>
      </w:rPr>
    </w:pPr>
    <w:r w:rsidRPr="001D05D3">
      <w:rPr>
        <w:lang w:val="en-US"/>
      </w:rPr>
      <w:t>Anexo I</w:t>
    </w:r>
  </w:p>
  <w:p w14:paraId="2E29ECA3" w14:textId="77777777" w:rsidR="001D05D3" w:rsidRPr="001D05D3" w:rsidRDefault="001D05D3">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C94BE" w14:textId="77777777" w:rsidR="001D05D3" w:rsidRDefault="001D05D3" w:rsidP="006F6D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/95/44</w:t>
    </w:r>
    <w:r>
      <w:fldChar w:fldCharType="end"/>
    </w:r>
  </w:p>
  <w:p w14:paraId="32FBE9A5" w14:textId="71BE4B96" w:rsidR="001D05D3" w:rsidRDefault="001D05D3" w:rsidP="006F6D53">
    <w:pPr>
      <w:jc w:val="right"/>
    </w:pPr>
    <w:r>
      <w:t>Anexo I</w:t>
    </w:r>
  </w:p>
  <w:p w14:paraId="74A2E149" w14:textId="77777777" w:rsidR="001D05D3" w:rsidRDefault="001D05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56C0E" w14:textId="77777777" w:rsidR="001D05D3" w:rsidRPr="001D05D3" w:rsidRDefault="001D05D3" w:rsidP="001D05D3">
    <w:pPr>
      <w:jc w:val="right"/>
      <w:rPr>
        <w:lang w:val="en-US"/>
      </w:rPr>
    </w:pPr>
    <w:r>
      <w:fldChar w:fldCharType="begin"/>
    </w:r>
    <w:r w:rsidRPr="001D05D3">
      <w:rPr>
        <w:lang w:val="en-US"/>
      </w:rPr>
      <w:instrText xml:space="preserve"> DOCPROPERTY "Document number"  \* MERGEFORMAT </w:instrText>
    </w:r>
    <w:r>
      <w:fldChar w:fldCharType="separate"/>
    </w:r>
    <w:r w:rsidRPr="001D05D3">
      <w:rPr>
        <w:lang w:val="en-US"/>
      </w:rPr>
      <w:t>UNEP/</w:t>
    </w:r>
    <w:proofErr w:type="spellStart"/>
    <w:r w:rsidRPr="001D05D3">
      <w:rPr>
        <w:lang w:val="en-US"/>
      </w:rPr>
      <w:t>OzL.Pro</w:t>
    </w:r>
    <w:proofErr w:type="spellEnd"/>
    <w:r w:rsidRPr="001D05D3">
      <w:rPr>
        <w:lang w:val="en-US"/>
      </w:rPr>
      <w:t>/ExCom/95/44</w:t>
    </w:r>
    <w:r>
      <w:fldChar w:fldCharType="end"/>
    </w:r>
  </w:p>
  <w:p w14:paraId="7EEF3FA1" w14:textId="77777777" w:rsidR="001D05D3" w:rsidRPr="001D05D3" w:rsidRDefault="001D05D3" w:rsidP="001D05D3">
    <w:pPr>
      <w:jc w:val="right"/>
      <w:rPr>
        <w:lang w:val="en-US"/>
      </w:rPr>
    </w:pPr>
    <w:r w:rsidRPr="001D05D3">
      <w:rPr>
        <w:lang w:val="en-US"/>
      </w:rPr>
      <w:t>Anexo I</w:t>
    </w:r>
  </w:p>
  <w:p w14:paraId="0EB8DF91" w14:textId="77777777" w:rsidR="001D05D3" w:rsidRPr="001D05D3" w:rsidRDefault="001D05D3" w:rsidP="001D05D3">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EF4D07A"/>
    <w:lvl w:ilvl="0">
      <w:start w:val="1"/>
      <w:numFmt w:val="decimal"/>
      <w:pStyle w:val="Heading1"/>
      <w:lvlText w:val="%1."/>
      <w:lvlJc w:val="left"/>
      <w:pPr>
        <w:tabs>
          <w:tab w:val="num" w:pos="0"/>
        </w:tabs>
        <w:ind w:left="0" w:firstLine="0"/>
      </w:pPr>
      <w:rPr>
        <w:rFonts w:hint="default"/>
      </w:rPr>
    </w:lvl>
    <w:lvl w:ilvl="1">
      <w:numFmt w:val="lowerLetter"/>
      <w:lvlText w:val="(%2)"/>
      <w:lvlJc w:val="left"/>
      <w:pPr>
        <w:tabs>
          <w:tab w:val="num" w:pos="-720"/>
        </w:tabs>
        <w:ind w:left="7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5DE2709"/>
    <w:multiLevelType w:val="hybridMultilevel"/>
    <w:tmpl w:val="65AA82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CA0345"/>
    <w:multiLevelType w:val="hybridMultilevel"/>
    <w:tmpl w:val="8D50D4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B0172BE"/>
    <w:multiLevelType w:val="hybridMultilevel"/>
    <w:tmpl w:val="2664477C"/>
    <w:lvl w:ilvl="0" w:tplc="869EF1D4">
      <w:start w:val="1"/>
      <w:numFmt w:val="lowerLetter"/>
      <w:lvlText w:val="(%1)"/>
      <w:lvlJc w:val="left"/>
      <w:pPr>
        <w:ind w:left="1440" w:hanging="360"/>
      </w:pPr>
      <w:rPr>
        <w:rFonts w:hint="default"/>
      </w:rPr>
    </w:lvl>
    <w:lvl w:ilvl="1" w:tplc="869EF1D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E6E01"/>
    <w:multiLevelType w:val="hybridMultilevel"/>
    <w:tmpl w:val="DFD21DE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60473E9"/>
    <w:multiLevelType w:val="hybridMultilevel"/>
    <w:tmpl w:val="8D50D4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81637436">
    <w:abstractNumId w:val="5"/>
  </w:num>
  <w:num w:numId="2" w16cid:durableId="842863112">
    <w:abstractNumId w:val="0"/>
  </w:num>
  <w:num w:numId="3" w16cid:durableId="907350428">
    <w:abstractNumId w:val="0"/>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5748169">
    <w:abstractNumId w:val="0"/>
    <w:lvlOverride w:ilvl="0">
      <w:startOverride w:val="1"/>
    </w:lvlOverride>
  </w:num>
  <w:num w:numId="5" w16cid:durableId="1796175898">
    <w:abstractNumId w:val="0"/>
    <w:lvlOverride w:ilvl="0">
      <w:startOverride w:val="1"/>
    </w:lvlOverride>
  </w:num>
  <w:num w:numId="6" w16cid:durableId="3912733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825894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236087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47340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56893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113613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65395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9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819160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250738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1444836">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6579955">
    <w:abstractNumId w:val="0"/>
    <w:lvlOverride w:ilvl="0">
      <w:startOverride w:val="1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6596259">
    <w:abstractNumId w:val="6"/>
  </w:num>
  <w:num w:numId="19" w16cid:durableId="1510102749">
    <w:abstractNumId w:val="1"/>
  </w:num>
  <w:num w:numId="20" w16cid:durableId="897327277">
    <w:abstractNumId w:val="4"/>
  </w:num>
  <w:num w:numId="21" w16cid:durableId="52324615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848044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0015115">
    <w:abstractNumId w:val="2"/>
  </w:num>
  <w:num w:numId="24" w16cid:durableId="1631300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179"/>
    <w:rsid w:val="000042D2"/>
    <w:rsid w:val="0005189D"/>
    <w:rsid w:val="001133A5"/>
    <w:rsid w:val="001A3398"/>
    <w:rsid w:val="001D05D3"/>
    <w:rsid w:val="002A4BAB"/>
    <w:rsid w:val="00357E6D"/>
    <w:rsid w:val="003C195D"/>
    <w:rsid w:val="003C499F"/>
    <w:rsid w:val="005640FC"/>
    <w:rsid w:val="00626BB3"/>
    <w:rsid w:val="006C0182"/>
    <w:rsid w:val="006F6D53"/>
    <w:rsid w:val="007D626D"/>
    <w:rsid w:val="00903A42"/>
    <w:rsid w:val="009617EE"/>
    <w:rsid w:val="009B5B47"/>
    <w:rsid w:val="009F24DC"/>
    <w:rsid w:val="009F33FC"/>
    <w:rsid w:val="00A25FDC"/>
    <w:rsid w:val="00A52C0D"/>
    <w:rsid w:val="00AD356F"/>
    <w:rsid w:val="00B02BB2"/>
    <w:rsid w:val="00BB3C63"/>
    <w:rsid w:val="00C82179"/>
    <w:rsid w:val="00C93C84"/>
    <w:rsid w:val="00CE6750"/>
    <w:rsid w:val="00D63E98"/>
    <w:rsid w:val="00D735F3"/>
    <w:rsid w:val="00D86F2D"/>
    <w:rsid w:val="00DF26F8"/>
    <w:rsid w:val="00E74420"/>
    <w:rsid w:val="00E86870"/>
    <w:rsid w:val="00F32F10"/>
    <w:rsid w:val="00F84418"/>
    <w:rsid w:val="00FB5A42"/>
    <w:rsid w:val="00FE204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82B31"/>
  <w15:chartTrackingRefBased/>
  <w15:docId w15:val="{EA4EC1E9-51BC-471A-8792-F0135DF0E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179"/>
    <w:pPr>
      <w:spacing w:after="0" w:line="240" w:lineRule="auto"/>
      <w:jc w:val="both"/>
    </w:pPr>
    <w:rPr>
      <w:rFonts w:ascii="Times New Roman" w:eastAsia="Times New Roman" w:hAnsi="Times New Roman" w:cs="Times New Roman"/>
      <w:kern w:val="0"/>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DF26F8"/>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DF26F8"/>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DF26F8"/>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DF26F8"/>
    <w:pPr>
      <w:keepNext/>
      <w:numPr>
        <w:ilvl w:val="3"/>
        <w:numId w:val="2"/>
      </w:numPr>
      <w:spacing w:before="240" w:after="60"/>
      <w:outlineLvl w:val="3"/>
    </w:pPr>
  </w:style>
  <w:style w:type="paragraph" w:styleId="Heading6">
    <w:name w:val="heading 6"/>
    <w:basedOn w:val="Normal"/>
    <w:next w:val="Normal"/>
    <w:link w:val="Heading6Char"/>
    <w:qFormat/>
    <w:rsid w:val="00DF26F8"/>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DF26F8"/>
    <w:pPr>
      <w:numPr>
        <w:ilvl w:val="6"/>
        <w:numId w:val="2"/>
      </w:numPr>
      <w:spacing w:before="240" w:after="60"/>
      <w:outlineLvl w:val="6"/>
    </w:pPr>
    <w:rPr>
      <w:rFonts w:ascii="Arial" w:hAnsi="Arial"/>
    </w:rPr>
  </w:style>
  <w:style w:type="paragraph" w:styleId="Heading9">
    <w:name w:val="heading 9"/>
    <w:basedOn w:val="Normal"/>
    <w:next w:val="Normal"/>
    <w:link w:val="Heading9Char"/>
    <w:qFormat/>
    <w:rsid w:val="00DF26F8"/>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学术论文的三线表"/>
    <w:basedOn w:val="TableNormal"/>
    <w:qFormat/>
    <w:rsid w:val="00C82179"/>
    <w:pPr>
      <w:spacing w:after="0" w:line="240" w:lineRule="auto"/>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8217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82179"/>
    <w:rPr>
      <w:rFonts w:ascii="Times New Roman" w:eastAsia="Times New Roman" w:hAnsi="Times New Roman" w:cs="Times New Roman"/>
      <w:kern w:val="0"/>
      <w:sz w:val="20"/>
      <w:szCs w:val="20"/>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82179"/>
    <w:rPr>
      <w:vertAlign w:val="superscript"/>
    </w:rPr>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lp1"/>
    <w:basedOn w:val="Normal"/>
    <w:link w:val="ListParagraphChar"/>
    <w:uiPriority w:val="34"/>
    <w:qFormat/>
    <w:rsid w:val="00C82179"/>
    <w:pPr>
      <w:ind w:left="720"/>
      <w:contextualSpacing/>
    </w:p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basedOn w:val="DefaultParagraphFont"/>
    <w:link w:val="ListParagraph"/>
    <w:uiPriority w:val="34"/>
    <w:qFormat/>
    <w:locked/>
    <w:rsid w:val="00C82179"/>
    <w:rPr>
      <w:rFonts w:ascii="Times New Roman" w:eastAsia="Times New Roman" w:hAnsi="Times New Roman" w:cs="Times New Roman"/>
      <w:kern w:val="0"/>
      <w:lang w:val="es-ES"/>
    </w:rPr>
  </w:style>
  <w:style w:type="table" w:customStyle="1" w:styleId="TableGrid1">
    <w:name w:val="Table Grid1"/>
    <w:basedOn w:val="TableNormal"/>
    <w:next w:val="TableGrid"/>
    <w:uiPriority w:val="59"/>
    <w:rsid w:val="003C195D"/>
    <w:pPr>
      <w:spacing w:after="0" w:line="240" w:lineRule="auto"/>
      <w:jc w:val="both"/>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
    <w:rsid w:val="00DF26F8"/>
    <w:rPr>
      <w:rFonts w:asciiTheme="majorHAnsi" w:eastAsiaTheme="majorEastAsia" w:hAnsiTheme="majorHAnsi" w:cstheme="majorBidi"/>
      <w:color w:val="365F91" w:themeColor="accent1" w:themeShade="BF"/>
      <w:kern w:val="0"/>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F26F8"/>
    <w:rPr>
      <w:rFonts w:ascii="Times New Roman" w:eastAsia="Times New Roman" w:hAnsi="Times New Roman" w:cs="Times New Roman"/>
      <w:kern w:val="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F26F8"/>
    <w:rPr>
      <w:rFonts w:ascii="Times New Roman" w:eastAsia="Times New Roman" w:hAnsi="Times New Roman" w:cs="Times New Roman"/>
      <w:kern w:val="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DF26F8"/>
    <w:rPr>
      <w:rFonts w:ascii="Times New Roman" w:eastAsia="Times New Roman" w:hAnsi="Times New Roman" w:cs="Times New Roman"/>
      <w:kern w:val="0"/>
    </w:rPr>
  </w:style>
  <w:style w:type="character" w:customStyle="1" w:styleId="Heading6Char">
    <w:name w:val="Heading 6 Char"/>
    <w:basedOn w:val="DefaultParagraphFont"/>
    <w:link w:val="Heading6"/>
    <w:rsid w:val="00DF26F8"/>
    <w:rPr>
      <w:rFonts w:ascii="Arial" w:eastAsia="Times New Roman" w:hAnsi="Arial" w:cs="Times New Roman"/>
      <w:i/>
      <w:kern w:val="0"/>
    </w:rPr>
  </w:style>
  <w:style w:type="character" w:customStyle="1" w:styleId="Heading7Char">
    <w:name w:val="Heading 7 Char"/>
    <w:basedOn w:val="DefaultParagraphFont"/>
    <w:link w:val="Heading7"/>
    <w:rsid w:val="00DF26F8"/>
    <w:rPr>
      <w:rFonts w:ascii="Arial" w:eastAsia="Times New Roman" w:hAnsi="Arial" w:cs="Times New Roman"/>
      <w:kern w:val="0"/>
    </w:rPr>
  </w:style>
  <w:style w:type="character" w:customStyle="1" w:styleId="Heading9Char">
    <w:name w:val="Heading 9 Char"/>
    <w:basedOn w:val="DefaultParagraphFont"/>
    <w:link w:val="Heading9"/>
    <w:rsid w:val="00DF26F8"/>
    <w:rPr>
      <w:rFonts w:ascii="Arial" w:eastAsia="Times New Roman" w:hAnsi="Arial" w:cs="Times New Roman"/>
      <w:i/>
      <w:kern w:val="0"/>
      <w:sz w:val="18"/>
    </w:rPr>
  </w:style>
  <w:style w:type="paragraph" w:customStyle="1" w:styleId="0Heading0">
    <w:name w:val="0 Heading 0"/>
    <w:link w:val="0Heading0Char"/>
    <w:qFormat/>
    <w:rsid w:val="00DF26F8"/>
    <w:pPr>
      <w:spacing w:after="0" w:line="240" w:lineRule="auto"/>
    </w:pPr>
    <w:rPr>
      <w:rFonts w:ascii="Times New Roman" w:eastAsia="Times New Roman" w:hAnsi="Times New Roman" w:cs="Times New Roman"/>
      <w:kern w:val="0"/>
    </w:r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DF26F8"/>
    <w:rPr>
      <w:rFonts w:ascii="Times New Roman" w:eastAsia="Times New Roman" w:hAnsi="Times New Roman" w:cs="Times New Roman"/>
      <w:kern w:val="0"/>
    </w:rPr>
  </w:style>
  <w:style w:type="character" w:customStyle="1" w:styleId="0Heading0Char">
    <w:name w:val="0 Heading 0 Char"/>
    <w:link w:val="0Heading0"/>
    <w:qFormat/>
    <w:rsid w:val="00DF26F8"/>
    <w:rPr>
      <w:rFonts w:ascii="Times New Roman" w:eastAsia="Times New Roman" w:hAnsi="Times New Roman" w:cs="Times New Roman"/>
      <w:kern w:val="0"/>
    </w:rPr>
  </w:style>
  <w:style w:type="paragraph" w:styleId="Header">
    <w:name w:val="header"/>
    <w:basedOn w:val="Normal"/>
    <w:link w:val="HeaderChar"/>
    <w:uiPriority w:val="99"/>
    <w:unhideWhenUsed/>
    <w:rsid w:val="006F6D53"/>
    <w:pPr>
      <w:tabs>
        <w:tab w:val="center" w:pos="4680"/>
        <w:tab w:val="right" w:pos="9360"/>
      </w:tabs>
    </w:pPr>
  </w:style>
  <w:style w:type="character" w:customStyle="1" w:styleId="HeaderChar">
    <w:name w:val="Header Char"/>
    <w:basedOn w:val="DefaultParagraphFont"/>
    <w:link w:val="Header"/>
    <w:uiPriority w:val="99"/>
    <w:rsid w:val="006F6D53"/>
    <w:rPr>
      <w:rFonts w:ascii="Times New Roman" w:eastAsia="Times New Roman" w:hAnsi="Times New Roman" w:cs="Times New Roman"/>
      <w:kern w:val="0"/>
    </w:rPr>
  </w:style>
  <w:style w:type="paragraph" w:styleId="Footer">
    <w:name w:val="footer"/>
    <w:basedOn w:val="Normal"/>
    <w:link w:val="FooterChar"/>
    <w:uiPriority w:val="99"/>
    <w:unhideWhenUsed/>
    <w:rsid w:val="006F6D53"/>
    <w:pPr>
      <w:tabs>
        <w:tab w:val="center" w:pos="4680"/>
        <w:tab w:val="right" w:pos="9360"/>
      </w:tabs>
    </w:pPr>
  </w:style>
  <w:style w:type="character" w:customStyle="1" w:styleId="FooterChar">
    <w:name w:val="Footer Char"/>
    <w:basedOn w:val="DefaultParagraphFont"/>
    <w:link w:val="Footer"/>
    <w:uiPriority w:val="99"/>
    <w:rsid w:val="006F6D53"/>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F733435C-044A-486B-9823-BD99068175C2}">
  <ds:schemaRefs>
    <ds:schemaRef ds:uri="http://schemas.microsoft.com/sharepoint/v3/contenttype/forms"/>
  </ds:schemaRefs>
</ds:datastoreItem>
</file>

<file path=customXml/itemProps2.xml><?xml version="1.0" encoding="utf-8"?>
<ds:datastoreItem xmlns:ds="http://schemas.openxmlformats.org/officeDocument/2006/customXml" ds:itemID="{B2A1D34D-5B12-4C1E-AAA7-BD3A0E5BB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E92BB-3701-4697-A4B5-C8DBF1AAA050}">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7897</Words>
  <Characters>45017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Propuesta de proyecto: Burundi</vt:lpstr>
    </vt:vector>
  </TitlesOfParts>
  <Company/>
  <LinksUpToDate>false</LinksUpToDate>
  <CharactersWithSpaces>52809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Burundi</dc:title>
  <dc:subject/>
  <dc:creator>José María Riquelme Gómez</dc:creator>
  <cp:keywords/>
  <dc:description/>
  <cp:lastModifiedBy>Angela Xue He Yan</cp:lastModifiedBy>
  <cp:revision>14</cp:revision>
  <dcterms:created xsi:type="dcterms:W3CDTF">2024-10-27T17:16:00Z</dcterms:created>
  <dcterms:modified xsi:type="dcterms:W3CDTF">2024-10-27T19:58:00Z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UNEP/OzL.Pro/ExCom/95/44</vt:lpwstr>
  </property>
  <property fmtid="{D5CDD505-2E9C-101B-9397-08002B2CF9AE}" pid="3" name="Recorded date">
    <vt:lpwstr>10/23/2024</vt:lpwstr>
  </property>
  <property fmtid="{D5CDD505-2E9C-101B-9397-08002B2CF9AE}" pid="4" name="MediaServiceImageTags">
    <vt:lpwstr/>
  </property>
  <property fmtid="{D5CDD505-2E9C-101B-9397-08002B2CF9AE}" pid="5" name="ContentTypeId">
    <vt:lpwstr>0x010100C5F60F8E60516143877F7AC30EFBB2F3</vt:lpwstr>
  </property>
</Properties>
</file>