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347363" w14:paraId="57D667A0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0534B98" w14:textId="77777777" w:rsidR="00441083" w:rsidRPr="0034736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347363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3687D100" w14:textId="77777777" w:rsidR="00441083" w:rsidRPr="0034736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347363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1369AB1E" w14:textId="77777777" w:rsidR="00441083" w:rsidRPr="0034736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347363">
              <w:rPr>
                <w:rFonts w:ascii="Univers Bold" w:hAnsi="Univers Bold"/>
                <w:b/>
                <w:sz w:val="72"/>
                <w:lang w:val="fr-FR"/>
              </w:rPr>
              <w:t xml:space="preserve">          EP</w:t>
            </w:r>
          </w:p>
        </w:tc>
      </w:tr>
      <w:tr w:rsidR="00441083" w:rsidRPr="00347363" w14:paraId="6710BAE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525B23" w14:textId="77777777" w:rsidR="00441083" w:rsidRPr="00347363" w:rsidRDefault="00C6443E">
            <w:pPr>
              <w:spacing w:before="120"/>
              <w:rPr>
                <w:lang w:val="fr-FR"/>
              </w:rPr>
            </w:pPr>
            <w:r w:rsidRPr="00347363"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4B7A15F1" wp14:editId="25A8ACC6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347363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52F8E2D3" wp14:editId="312289A7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7F2AC7" w14:textId="77777777" w:rsidR="00441083" w:rsidRPr="0034736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6298DEB2" w14:textId="77777777" w:rsidR="00441083" w:rsidRPr="0034736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347363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1DA43AAB" w14:textId="77777777" w:rsidR="00441083" w:rsidRPr="00347363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347363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406B6A18" w14:textId="77777777" w:rsidR="00441083" w:rsidRPr="00347363" w:rsidRDefault="00E60D9C">
            <w:pPr>
              <w:rPr>
                <w:rFonts w:ascii="Univers" w:hAnsi="Univers"/>
                <w:b/>
                <w:sz w:val="32"/>
                <w:lang w:val="fr-FR"/>
              </w:rPr>
            </w:pPr>
            <w:proofErr w:type="gramStart"/>
            <w:r w:rsidRPr="00347363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  <w:proofErr w:type="gramEnd"/>
          </w:p>
          <w:p w14:paraId="73D1E87E" w14:textId="77777777" w:rsidR="00441083" w:rsidRPr="00347363" w:rsidRDefault="00E60D9C">
            <w:pPr>
              <w:spacing w:before="720"/>
              <w:ind w:left="158"/>
              <w:rPr>
                <w:lang w:val="fr-FR"/>
              </w:rPr>
            </w:pPr>
            <w:r w:rsidRPr="00347363"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6D11871" w14:textId="77777777" w:rsidR="00441083" w:rsidRPr="00347363" w:rsidRDefault="00441083">
            <w:pPr>
              <w:rPr>
                <w:lang w:val="fr-FR"/>
              </w:rPr>
            </w:pPr>
          </w:p>
          <w:p w14:paraId="2EA38BD5" w14:textId="77777777" w:rsidR="00441083" w:rsidRPr="00347363" w:rsidRDefault="00E60D9C">
            <w:pPr>
              <w:rPr>
                <w:lang w:val="fr-FR"/>
              </w:rPr>
            </w:pPr>
            <w:proofErr w:type="spellStart"/>
            <w:r w:rsidRPr="00347363">
              <w:rPr>
                <w:lang w:val="fr-FR"/>
              </w:rPr>
              <w:t>Distr</w:t>
            </w:r>
            <w:proofErr w:type="spellEnd"/>
            <w:r w:rsidRPr="00347363">
              <w:rPr>
                <w:lang w:val="fr-FR"/>
              </w:rPr>
              <w:t>.</w:t>
            </w:r>
          </w:p>
          <w:p w14:paraId="5338299E" w14:textId="77777777" w:rsidR="00441083" w:rsidRPr="00347363" w:rsidRDefault="00E60D9C" w:rsidP="00DD3433">
            <w:pPr>
              <w:rPr>
                <w:lang w:val="fr-FR"/>
              </w:rPr>
            </w:pPr>
            <w:r w:rsidRPr="00347363">
              <w:rPr>
                <w:lang w:val="fr-FR"/>
              </w:rPr>
              <w:t>G</w:t>
            </w:r>
            <w:r w:rsidR="00DD3433" w:rsidRPr="00347363">
              <w:rPr>
                <w:lang w:val="fr-FR"/>
              </w:rPr>
              <w:t>É</w:t>
            </w:r>
            <w:r w:rsidRPr="00347363">
              <w:rPr>
                <w:lang w:val="fr-FR"/>
              </w:rPr>
              <w:t>N</w:t>
            </w:r>
            <w:r w:rsidR="00DD3433" w:rsidRPr="00347363">
              <w:rPr>
                <w:lang w:val="fr-FR"/>
              </w:rPr>
              <w:t>É</w:t>
            </w:r>
            <w:r w:rsidRPr="00347363">
              <w:rPr>
                <w:lang w:val="fr-FR"/>
              </w:rPr>
              <w:t>RAL</w:t>
            </w:r>
            <w:r w:rsidR="00FF3CF1" w:rsidRPr="00347363">
              <w:rPr>
                <w:lang w:val="fr-FR"/>
              </w:rPr>
              <w:t>E</w:t>
            </w:r>
          </w:p>
          <w:p w14:paraId="2CA177EE" w14:textId="77777777" w:rsidR="00441083" w:rsidRPr="00347363" w:rsidRDefault="00441083">
            <w:pPr>
              <w:rPr>
                <w:lang w:val="fr-FR"/>
              </w:rPr>
            </w:pPr>
          </w:p>
          <w:bookmarkStart w:id="0" w:name="_GoBack"/>
          <w:p w14:paraId="49829DA8" w14:textId="47C03DB5" w:rsidR="00441083" w:rsidRPr="00347363" w:rsidRDefault="00E60D9C">
            <w:pPr>
              <w:rPr>
                <w:lang w:val="fr-FR"/>
              </w:rPr>
            </w:pPr>
            <w:r w:rsidRPr="00347363">
              <w:rPr>
                <w:lang w:val="fr-FR"/>
              </w:rPr>
              <w:fldChar w:fldCharType="begin"/>
            </w:r>
            <w:r w:rsidRPr="00347363">
              <w:rPr>
                <w:lang w:val="fr-FR"/>
              </w:rPr>
              <w:instrText xml:space="preserve"> DOCPROPERTY "Document number"  \* MERGEFORMAT </w:instrText>
            </w:r>
            <w:r w:rsidRPr="00347363">
              <w:rPr>
                <w:lang w:val="fr-FR"/>
              </w:rPr>
              <w:fldChar w:fldCharType="separate"/>
            </w:r>
            <w:r w:rsidR="00F85BD1">
              <w:rPr>
                <w:lang w:val="fr-FR"/>
              </w:rPr>
              <w:t>UNEP/</w:t>
            </w:r>
            <w:proofErr w:type="spellStart"/>
            <w:r w:rsidR="00F85BD1">
              <w:rPr>
                <w:lang w:val="fr-FR"/>
              </w:rPr>
              <w:t>OzL.Pro</w:t>
            </w:r>
            <w:proofErr w:type="spellEnd"/>
            <w:r w:rsidR="00F85BD1">
              <w:rPr>
                <w:lang w:val="fr-FR"/>
              </w:rPr>
              <w:t>/</w:t>
            </w:r>
            <w:proofErr w:type="spellStart"/>
            <w:r w:rsidR="00F85BD1">
              <w:rPr>
                <w:lang w:val="fr-FR"/>
              </w:rPr>
              <w:t>ExCom</w:t>
            </w:r>
            <w:proofErr w:type="spellEnd"/>
            <w:r w:rsidR="00F85BD1">
              <w:rPr>
                <w:lang w:val="fr-FR"/>
              </w:rPr>
              <w:t>/84/3</w:t>
            </w:r>
            <w:r w:rsidRPr="00347363">
              <w:rPr>
                <w:lang w:val="fr-FR"/>
              </w:rPr>
              <w:fldChar w:fldCharType="end"/>
            </w:r>
          </w:p>
          <w:p w14:paraId="32E718B7" w14:textId="70C068E3" w:rsidR="002F0B57" w:rsidRPr="00347363" w:rsidRDefault="002F0B57" w:rsidP="000F6C8E">
            <w:pPr>
              <w:rPr>
                <w:lang w:val="fr-FR"/>
              </w:rPr>
            </w:pPr>
            <w:r w:rsidRPr="00347363">
              <w:rPr>
                <w:lang w:val="fr-FR"/>
              </w:rPr>
              <w:fldChar w:fldCharType="begin"/>
            </w:r>
            <w:r w:rsidRPr="00347363">
              <w:rPr>
                <w:lang w:val="fr-FR"/>
              </w:rPr>
              <w:instrText xml:space="preserve"> DOCPROPERTY "Revision date" \@ "d MMMM YYYY"  \* MERGEFORMAT </w:instrText>
            </w:r>
            <w:r w:rsidRPr="00347363">
              <w:rPr>
                <w:lang w:val="fr-FR"/>
              </w:rPr>
              <w:fldChar w:fldCharType="separate"/>
            </w:r>
            <w:r w:rsidR="00F85BD1">
              <w:rPr>
                <w:lang w:val="fr-FR"/>
              </w:rPr>
              <w:t>27 novembre 2019</w:t>
            </w:r>
            <w:r w:rsidRPr="00347363">
              <w:rPr>
                <w:lang w:val="fr-FR"/>
              </w:rPr>
              <w:fldChar w:fldCharType="end"/>
            </w:r>
          </w:p>
          <w:bookmarkEnd w:id="0"/>
          <w:p w14:paraId="66ABE06C" w14:textId="77777777" w:rsidR="00441083" w:rsidRPr="00347363" w:rsidRDefault="00FC5578">
            <w:pPr>
              <w:rPr>
                <w:caps/>
                <w:lang w:val="fr-FR"/>
              </w:rPr>
            </w:pPr>
            <w:r w:rsidRPr="00347363">
              <w:rPr>
                <w:caps/>
                <w:lang w:val="fr-FR"/>
              </w:rPr>
              <w:br/>
            </w:r>
            <w:r w:rsidR="00E60D9C" w:rsidRPr="00347363">
              <w:rPr>
                <w:caps/>
                <w:lang w:val="fr-FR"/>
              </w:rPr>
              <w:t>FRANÇAIS</w:t>
            </w:r>
          </w:p>
          <w:p w14:paraId="6ACD750F" w14:textId="77777777" w:rsidR="00441083" w:rsidRPr="00347363" w:rsidRDefault="00E60D9C">
            <w:pPr>
              <w:rPr>
                <w:lang w:val="fr-FR"/>
              </w:rPr>
            </w:pPr>
            <w:r w:rsidRPr="00347363">
              <w:rPr>
                <w:lang w:val="fr-FR"/>
              </w:rPr>
              <w:t xml:space="preserve">ORIGINAL: </w:t>
            </w:r>
            <w:r w:rsidR="0091161A" w:rsidRPr="00347363">
              <w:rPr>
                <w:lang w:val="fr-FR"/>
              </w:rPr>
              <w:t>ANGLAIS</w:t>
            </w:r>
          </w:p>
        </w:tc>
      </w:tr>
    </w:tbl>
    <w:p w14:paraId="07DE4274" w14:textId="77777777" w:rsidR="00441083" w:rsidRPr="00347363" w:rsidRDefault="00441083">
      <w:pPr>
        <w:jc w:val="left"/>
        <w:rPr>
          <w:lang w:val="fr-FR"/>
        </w:rPr>
      </w:pPr>
    </w:p>
    <w:p w14:paraId="74A80127" w14:textId="77777777" w:rsidR="00441083" w:rsidRPr="00347363" w:rsidRDefault="00E60D9C" w:rsidP="00DD3433">
      <w:pPr>
        <w:jc w:val="left"/>
        <w:rPr>
          <w:lang w:val="fr-FR"/>
        </w:rPr>
      </w:pPr>
      <w:r w:rsidRPr="00347363">
        <w:rPr>
          <w:lang w:val="fr-FR"/>
        </w:rPr>
        <w:t>COMIT</w:t>
      </w:r>
      <w:r w:rsidR="00DD3433" w:rsidRPr="00347363">
        <w:rPr>
          <w:lang w:val="fr-FR"/>
        </w:rPr>
        <w:t>É</w:t>
      </w:r>
      <w:r w:rsidRPr="00347363">
        <w:rPr>
          <w:lang w:val="fr-FR"/>
        </w:rPr>
        <w:t xml:space="preserve"> EX</w:t>
      </w:r>
      <w:r w:rsidR="00DD3433" w:rsidRPr="00347363">
        <w:rPr>
          <w:lang w:val="fr-FR"/>
        </w:rPr>
        <w:t xml:space="preserve">ÉCUTIF </w:t>
      </w:r>
      <w:r w:rsidR="00DD3433" w:rsidRPr="00347363">
        <w:rPr>
          <w:lang w:val="fr-FR"/>
        </w:rPr>
        <w:br/>
        <w:t xml:space="preserve">  DU FONDS MULTILATÉ</w:t>
      </w:r>
      <w:r w:rsidRPr="00347363">
        <w:rPr>
          <w:lang w:val="fr-FR"/>
        </w:rPr>
        <w:t xml:space="preserve">RAL AUX FINS </w:t>
      </w:r>
      <w:r w:rsidRPr="00347363">
        <w:rPr>
          <w:lang w:val="fr-FR"/>
        </w:rPr>
        <w:br/>
        <w:t xml:space="preserve">  D’APPLICATION DU PROTOCOLE DE MONTR</w:t>
      </w:r>
      <w:r w:rsidR="00DD3433" w:rsidRPr="00347363">
        <w:rPr>
          <w:lang w:val="fr-FR"/>
        </w:rPr>
        <w:t>É</w:t>
      </w:r>
      <w:r w:rsidRPr="00347363">
        <w:rPr>
          <w:lang w:val="fr-FR"/>
        </w:rPr>
        <w:t>AL</w:t>
      </w:r>
      <w:r w:rsidRPr="00347363">
        <w:rPr>
          <w:lang w:val="fr-FR"/>
        </w:rPr>
        <w:br/>
      </w:r>
      <w:r w:rsidR="00E54871" w:rsidRPr="00347363">
        <w:rPr>
          <w:lang w:val="fr-FR"/>
        </w:rPr>
        <w:t>Quatre</w:t>
      </w:r>
      <w:r w:rsidRPr="00347363">
        <w:rPr>
          <w:lang w:val="fr-FR"/>
        </w:rPr>
        <w:t>-</w:t>
      </w:r>
      <w:r w:rsidR="00E54871" w:rsidRPr="00347363">
        <w:rPr>
          <w:lang w:val="fr-FR"/>
        </w:rPr>
        <w:t>vingt</w:t>
      </w:r>
      <w:r w:rsidR="00AE63D8" w:rsidRPr="00347363">
        <w:rPr>
          <w:lang w:val="fr-FR"/>
        </w:rPr>
        <w:t>-</w:t>
      </w:r>
      <w:r w:rsidR="00AC013C" w:rsidRPr="00347363">
        <w:rPr>
          <w:lang w:val="fr-FR"/>
        </w:rPr>
        <w:t>quat</w:t>
      </w:r>
      <w:r w:rsidR="004C2C87" w:rsidRPr="00347363">
        <w:rPr>
          <w:lang w:val="fr-FR"/>
        </w:rPr>
        <w:t>ri</w:t>
      </w:r>
      <w:r w:rsidR="00E54871" w:rsidRPr="00347363">
        <w:rPr>
          <w:lang w:val="fr-FR"/>
        </w:rPr>
        <w:t>ème</w:t>
      </w:r>
      <w:r w:rsidR="00FC5578" w:rsidRPr="00347363">
        <w:rPr>
          <w:lang w:val="fr-FR"/>
        </w:rPr>
        <w:t xml:space="preserve"> </w:t>
      </w:r>
      <w:r w:rsidRPr="00347363">
        <w:rPr>
          <w:lang w:val="fr-FR"/>
        </w:rPr>
        <w:t>réunion</w:t>
      </w:r>
    </w:p>
    <w:p w14:paraId="6C412B07" w14:textId="32B309FE" w:rsidR="00441083" w:rsidRPr="00347363" w:rsidRDefault="00E54871" w:rsidP="00AC013C">
      <w:pPr>
        <w:jc w:val="left"/>
        <w:rPr>
          <w:lang w:val="fr-FR"/>
        </w:rPr>
      </w:pPr>
      <w:r w:rsidRPr="00347363">
        <w:rPr>
          <w:lang w:val="fr-FR"/>
        </w:rPr>
        <w:t>Montréal,</w:t>
      </w:r>
      <w:r w:rsidR="00FC5578" w:rsidRPr="00347363">
        <w:rPr>
          <w:lang w:val="fr-FR"/>
        </w:rPr>
        <w:t xml:space="preserve"> </w:t>
      </w:r>
      <w:r w:rsidR="00AC013C" w:rsidRPr="00347363">
        <w:rPr>
          <w:lang w:val="fr-FR"/>
        </w:rPr>
        <w:t xml:space="preserve">16 </w:t>
      </w:r>
      <w:r w:rsidR="00E60D9C" w:rsidRPr="00347363">
        <w:rPr>
          <w:lang w:val="fr-FR"/>
        </w:rPr>
        <w:t xml:space="preserve">– </w:t>
      </w:r>
      <w:r w:rsidR="00AC013C" w:rsidRPr="00347363">
        <w:rPr>
          <w:lang w:val="fr-FR"/>
        </w:rPr>
        <w:t>20</w:t>
      </w:r>
      <w:r w:rsidR="00C31A2E">
        <w:rPr>
          <w:lang w:val="fr-FR"/>
        </w:rPr>
        <w:t> </w:t>
      </w:r>
      <w:r w:rsidR="00AC013C" w:rsidRPr="00347363">
        <w:rPr>
          <w:lang w:val="fr-FR"/>
        </w:rPr>
        <w:t>décembre</w:t>
      </w:r>
      <w:r w:rsidR="004C2C87" w:rsidRPr="00347363">
        <w:rPr>
          <w:lang w:val="fr-FR"/>
        </w:rPr>
        <w:t xml:space="preserve"> 2019</w:t>
      </w:r>
    </w:p>
    <w:p w14:paraId="1B1CA11C" w14:textId="77777777" w:rsidR="00441083" w:rsidRPr="00347363" w:rsidRDefault="00441083">
      <w:pPr>
        <w:jc w:val="left"/>
        <w:rPr>
          <w:lang w:val="fr-FR"/>
        </w:rPr>
      </w:pPr>
    </w:p>
    <w:p w14:paraId="4E0F4376" w14:textId="77777777" w:rsidR="00347363" w:rsidRPr="00347363" w:rsidRDefault="00347363" w:rsidP="00347363">
      <w:pPr>
        <w:pStyle w:val="0Heading0"/>
        <w:spacing w:line="360" w:lineRule="auto"/>
        <w:jc w:val="center"/>
        <w:rPr>
          <w:b/>
          <w:bCs/>
          <w:lang w:val="fr-FR"/>
        </w:rPr>
      </w:pPr>
      <w:r w:rsidRPr="00347363">
        <w:rPr>
          <w:b/>
          <w:bCs/>
          <w:lang w:val="fr-FR"/>
        </w:rPr>
        <w:t>ÉTAT DES CONTRIBUTIONS ET DES DÉCAISSEMENTS</w:t>
      </w:r>
    </w:p>
    <w:p w14:paraId="3A9BE7CD" w14:textId="42012AB4" w:rsidR="00347363" w:rsidRDefault="00347363" w:rsidP="00347363">
      <w:pPr>
        <w:pStyle w:val="0Heading0"/>
        <w:spacing w:line="360" w:lineRule="auto"/>
        <w:jc w:val="center"/>
        <w:rPr>
          <w:b/>
          <w:bCs/>
          <w:lang w:val="fr-FR"/>
        </w:rPr>
      </w:pPr>
      <w:r w:rsidRPr="00347363">
        <w:rPr>
          <w:b/>
          <w:bCs/>
          <w:lang w:val="fr-FR"/>
        </w:rPr>
        <w:t>Rapport du Trésorier</w:t>
      </w:r>
    </w:p>
    <w:p w14:paraId="41D0020C" w14:textId="77777777" w:rsidR="00DB4882" w:rsidRPr="00347363" w:rsidRDefault="00DB4882" w:rsidP="00347363">
      <w:pPr>
        <w:pStyle w:val="0Heading0"/>
        <w:spacing w:line="360" w:lineRule="auto"/>
        <w:jc w:val="center"/>
        <w:rPr>
          <w:b/>
          <w:bCs/>
          <w:lang w:val="fr-FR"/>
        </w:rPr>
      </w:pPr>
    </w:p>
    <w:p w14:paraId="651F7F2D" w14:textId="0590CCAB" w:rsidR="00347363" w:rsidRPr="00347363" w:rsidRDefault="00347363" w:rsidP="00347363">
      <w:pPr>
        <w:pStyle w:val="0Heading0"/>
        <w:numPr>
          <w:ilvl w:val="0"/>
          <w:numId w:val="24"/>
        </w:numPr>
        <w:tabs>
          <w:tab w:val="left" w:pos="0"/>
        </w:tabs>
        <w:spacing w:after="240"/>
        <w:ind w:left="0" w:firstLine="0"/>
        <w:jc w:val="both"/>
        <w:rPr>
          <w:lang w:val="fr-FR"/>
        </w:rPr>
      </w:pPr>
      <w:r w:rsidRPr="00347363">
        <w:rPr>
          <w:lang w:val="fr-FR"/>
        </w:rPr>
        <w:t>Le présent document fournit de</w:t>
      </w:r>
      <w:r w:rsidR="000121BE">
        <w:rPr>
          <w:lang w:val="fr-FR"/>
        </w:rPr>
        <w:t xml:space="preserve">s </w:t>
      </w:r>
      <w:r w:rsidRPr="00347363">
        <w:rPr>
          <w:lang w:val="fr-FR"/>
        </w:rPr>
        <w:t>information</w:t>
      </w:r>
      <w:r w:rsidR="000121BE">
        <w:rPr>
          <w:lang w:val="fr-FR"/>
        </w:rPr>
        <w:t>s</w:t>
      </w:r>
      <w:r w:rsidRPr="00347363">
        <w:rPr>
          <w:lang w:val="fr-FR"/>
        </w:rPr>
        <w:t xml:space="preserve"> concernant l’état du Fonds</w:t>
      </w:r>
      <w:r w:rsidRPr="00347363">
        <w:rPr>
          <w:rStyle w:val="FootnoteReference"/>
          <w:lang w:val="fr-FR"/>
        </w:rPr>
        <w:footnoteReference w:id="1"/>
      </w:r>
      <w:r w:rsidRPr="00347363">
        <w:rPr>
          <w:lang w:val="fr-FR"/>
        </w:rPr>
        <w:t xml:space="preserve"> tel qu’il est enregistré au PNUE en date du 26</w:t>
      </w:r>
      <w:r w:rsidR="00C31A2E">
        <w:rPr>
          <w:lang w:val="fr-FR"/>
        </w:rPr>
        <w:t> </w:t>
      </w:r>
      <w:r w:rsidRPr="00347363">
        <w:rPr>
          <w:lang w:val="fr-FR"/>
        </w:rPr>
        <w:t>novembre 2019. L’Annexe I du présent document contient les tableaux suivants</w:t>
      </w:r>
      <w:r w:rsidR="00DE03FC">
        <w:rPr>
          <w:lang w:val="fr-FR"/>
        </w:rPr>
        <w:t> </w:t>
      </w:r>
      <w:r w:rsidRPr="00347363">
        <w:rPr>
          <w:lang w:val="fr-FR"/>
        </w:rPr>
        <w:t>:</w:t>
      </w:r>
    </w:p>
    <w:p w14:paraId="045ED80A" w14:textId="40E5A6C4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1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État du Fonds de 1991 à 2020</w:t>
      </w:r>
    </w:p>
    <w:p w14:paraId="4592A052" w14:textId="173A085C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2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1991 à 2020 Sommaire de l’état des contributions et d’autres revenus</w:t>
      </w:r>
    </w:p>
    <w:p w14:paraId="251D3578" w14:textId="72CAADE4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3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1991 à 2020 Sommaire de l’état des contributions</w:t>
      </w:r>
    </w:p>
    <w:p w14:paraId="6C99019A" w14:textId="4F8A8E61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4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État des contributions pour 2018-2020</w:t>
      </w:r>
    </w:p>
    <w:p w14:paraId="44DF55F3" w14:textId="36935795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5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État des contributions pour 2020</w:t>
      </w:r>
    </w:p>
    <w:p w14:paraId="46F11F6C" w14:textId="39F07F80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6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État des contributions pour 2019</w:t>
      </w:r>
    </w:p>
    <w:p w14:paraId="2B4F4B67" w14:textId="00503F24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7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État des contributions pour 2018</w:t>
      </w:r>
    </w:p>
    <w:p w14:paraId="1C0C67BE" w14:textId="2825302F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8</w:t>
      </w:r>
      <w:r w:rsidR="00DE03FC">
        <w:rPr>
          <w:lang w:val="fr-FR"/>
        </w:rPr>
        <w:t> </w:t>
      </w:r>
      <w:r w:rsidRPr="00347363">
        <w:rPr>
          <w:lang w:val="fr-FR"/>
        </w:rPr>
        <w:t>: État des contributions pour 2015-20</w:t>
      </w:r>
      <w:r w:rsidR="0035207F">
        <w:rPr>
          <w:lang w:val="fr-FR"/>
        </w:rPr>
        <w:t>17</w:t>
      </w:r>
    </w:p>
    <w:p w14:paraId="22F495C7" w14:textId="1C81C284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9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État des contributions pour 2017</w:t>
      </w:r>
    </w:p>
    <w:p w14:paraId="1C22BE26" w14:textId="35416362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10</w:t>
      </w:r>
      <w:r w:rsidR="00E7116F">
        <w:rPr>
          <w:lang w:val="fr-FR"/>
        </w:rPr>
        <w:t> :</w:t>
      </w:r>
      <w:r w:rsidRPr="00347363">
        <w:rPr>
          <w:lang w:val="fr-FR"/>
        </w:rPr>
        <w:t xml:space="preserve"> État des contributions pour 2016</w:t>
      </w:r>
    </w:p>
    <w:p w14:paraId="7BE57CE3" w14:textId="5C293577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11</w:t>
      </w:r>
      <w:r w:rsidR="00DE03FC">
        <w:rPr>
          <w:lang w:val="fr-FR"/>
        </w:rPr>
        <w:t> </w:t>
      </w:r>
      <w:r w:rsidRPr="00347363">
        <w:rPr>
          <w:lang w:val="fr-FR"/>
        </w:rPr>
        <w:t>: État des contributions pour 2015</w:t>
      </w:r>
    </w:p>
    <w:p w14:paraId="2DF4FC70" w14:textId="5B01B230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12</w:t>
      </w:r>
      <w:r w:rsidR="00DE03FC">
        <w:rPr>
          <w:lang w:val="fr-FR"/>
        </w:rPr>
        <w:t> </w:t>
      </w:r>
      <w:r w:rsidRPr="00347363">
        <w:rPr>
          <w:lang w:val="fr-FR"/>
        </w:rPr>
        <w:t>: Sommaire de l’état des contributions pour 2012-2014</w:t>
      </w:r>
    </w:p>
    <w:p w14:paraId="2A8524CA" w14:textId="6FEDDD5F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lang w:val="fr-FR"/>
        </w:rPr>
        <w:t>Tableau</w:t>
      </w:r>
      <w:r w:rsidR="00D92621">
        <w:rPr>
          <w:lang w:val="fr-FR"/>
        </w:rPr>
        <w:t> </w:t>
      </w:r>
      <w:r w:rsidRPr="00347363">
        <w:rPr>
          <w:lang w:val="fr-FR"/>
        </w:rPr>
        <w:t>13</w:t>
      </w:r>
      <w:r w:rsidR="00DE03FC">
        <w:rPr>
          <w:lang w:val="fr-FR"/>
        </w:rPr>
        <w:t> </w:t>
      </w:r>
      <w:r w:rsidRPr="00347363">
        <w:rPr>
          <w:lang w:val="fr-FR"/>
        </w:rPr>
        <w:t>: État des contributions pour 2014</w:t>
      </w:r>
    </w:p>
    <w:p w14:paraId="50E11387" w14:textId="60BB0566" w:rsidR="00347363" w:rsidRPr="00347363" w:rsidRDefault="00347363" w:rsidP="00347363">
      <w:pPr>
        <w:pStyle w:val="0Heading0"/>
        <w:numPr>
          <w:ilvl w:val="0"/>
          <w:numId w:val="25"/>
        </w:numPr>
        <w:ind w:left="1440" w:hanging="720"/>
        <w:jc w:val="both"/>
        <w:rPr>
          <w:lang w:val="fr-FR"/>
        </w:rPr>
      </w:pPr>
      <w:r w:rsidRPr="00347363">
        <w:rPr>
          <w:color w:val="000000"/>
          <w:lang w:val="fr-FR"/>
        </w:rPr>
        <w:t>Tableau</w:t>
      </w:r>
      <w:r w:rsidR="00D92621">
        <w:rPr>
          <w:color w:val="000000"/>
          <w:lang w:val="fr-FR"/>
        </w:rPr>
        <w:t> </w:t>
      </w:r>
      <w:r w:rsidRPr="00347363">
        <w:rPr>
          <w:color w:val="000000"/>
          <w:lang w:val="fr-FR"/>
        </w:rPr>
        <w:t>14</w:t>
      </w:r>
      <w:r w:rsidR="00DE03FC">
        <w:rPr>
          <w:color w:val="000000"/>
          <w:lang w:val="fr-FR"/>
        </w:rPr>
        <w:t> </w:t>
      </w:r>
      <w:r w:rsidRPr="00347363">
        <w:rPr>
          <w:color w:val="000000"/>
          <w:lang w:val="fr-FR"/>
        </w:rPr>
        <w:t xml:space="preserve">: </w:t>
      </w:r>
      <w:r w:rsidRPr="00347363">
        <w:rPr>
          <w:lang w:val="fr-FR"/>
        </w:rPr>
        <w:t>2004 à 2019 Grand livre des billets à ordre</w:t>
      </w:r>
      <w:r w:rsidRPr="00347363">
        <w:rPr>
          <w:rStyle w:val="FootnoteReference"/>
          <w:lang w:val="fr-FR"/>
        </w:rPr>
        <w:footnoteReference w:id="2"/>
      </w:r>
    </w:p>
    <w:p w14:paraId="483BAF59" w14:textId="0ED8478D" w:rsidR="00347363" w:rsidRPr="00347363" w:rsidRDefault="00347363" w:rsidP="00347363">
      <w:pPr>
        <w:pStyle w:val="0Heading0"/>
        <w:tabs>
          <w:tab w:val="left" w:pos="709"/>
        </w:tabs>
        <w:jc w:val="both"/>
        <w:rPr>
          <w:b/>
          <w:lang w:val="fr-FR"/>
        </w:rPr>
      </w:pPr>
      <w:r w:rsidRPr="00347363">
        <w:rPr>
          <w:b/>
          <w:lang w:val="fr-FR"/>
        </w:rPr>
        <w:lastRenderedPageBreak/>
        <w:t xml:space="preserve">État du Fonds </w:t>
      </w:r>
    </w:p>
    <w:p w14:paraId="34C2D77A" w14:textId="77777777" w:rsidR="00347363" w:rsidRPr="00347363" w:rsidRDefault="00347363" w:rsidP="00347363">
      <w:pPr>
        <w:pStyle w:val="0Heading0"/>
        <w:tabs>
          <w:tab w:val="left" w:pos="709"/>
        </w:tabs>
        <w:jc w:val="both"/>
        <w:rPr>
          <w:lang w:val="fr-FR"/>
        </w:rPr>
      </w:pPr>
    </w:p>
    <w:p w14:paraId="31D13D9C" w14:textId="6FB5FF78" w:rsidR="00347363" w:rsidRPr="00347363" w:rsidRDefault="00347363" w:rsidP="00347363">
      <w:pPr>
        <w:pStyle w:val="0Heading0"/>
        <w:numPr>
          <w:ilvl w:val="0"/>
          <w:numId w:val="24"/>
        </w:numPr>
        <w:tabs>
          <w:tab w:val="left" w:pos="0"/>
        </w:tabs>
        <w:spacing w:after="240"/>
        <w:ind w:left="0" w:firstLine="0"/>
        <w:jc w:val="both"/>
        <w:rPr>
          <w:lang w:val="fr-FR"/>
        </w:rPr>
      </w:pPr>
      <w:r w:rsidRPr="00347363">
        <w:rPr>
          <w:lang w:val="fr-FR"/>
        </w:rPr>
        <w:t>Au 26</w:t>
      </w:r>
      <w:r w:rsidR="00C31A2E">
        <w:rPr>
          <w:lang w:val="fr-FR"/>
        </w:rPr>
        <w:t> </w:t>
      </w:r>
      <w:r w:rsidRPr="00347363">
        <w:rPr>
          <w:lang w:val="fr-FR"/>
        </w:rPr>
        <w:t>novembre 2019, le solde du fonds est de 219</w:t>
      </w:r>
      <w:r w:rsidR="00DF65C3">
        <w:rPr>
          <w:lang w:val="fr-FR"/>
        </w:rPr>
        <w:t> 542 </w:t>
      </w:r>
      <w:r w:rsidRPr="00347363">
        <w:rPr>
          <w:lang w:val="fr-FR"/>
        </w:rPr>
        <w:t>509</w:t>
      </w:r>
      <w:r w:rsidR="00C31A2E">
        <w:rPr>
          <w:lang w:val="fr-FR"/>
        </w:rPr>
        <w:t> </w:t>
      </w:r>
      <w:r w:rsidRPr="00347363">
        <w:rPr>
          <w:lang w:val="fr-FR"/>
        </w:rPr>
        <w:t>$ US en espèces, après la considération de tous les fonds approuvés par le</w:t>
      </w:r>
      <w:r w:rsidR="00366A64">
        <w:rPr>
          <w:lang w:val="fr-FR"/>
        </w:rPr>
        <w:t xml:space="preserve"> Comité exécutif, jusqu’à la 83</w:t>
      </w:r>
      <w:r w:rsidR="00366A64" w:rsidRPr="00366A64">
        <w:rPr>
          <w:vertAlign w:val="superscript"/>
          <w:lang w:val="fr-FR"/>
        </w:rPr>
        <w:t>e</w:t>
      </w:r>
      <w:r w:rsidR="00366A64">
        <w:rPr>
          <w:lang w:val="fr-FR"/>
        </w:rPr>
        <w:t xml:space="preserve"> </w:t>
      </w:r>
      <w:r w:rsidRPr="00347363">
        <w:rPr>
          <w:lang w:val="fr-FR"/>
        </w:rPr>
        <w:t xml:space="preserve">réunion incluse. Il ne reste aucun billet à ordre en attente d’encaissement.  </w:t>
      </w:r>
    </w:p>
    <w:p w14:paraId="43355ECA" w14:textId="1F0D5D64" w:rsidR="00347363" w:rsidRPr="00347363" w:rsidRDefault="00347363" w:rsidP="00347363">
      <w:pPr>
        <w:pStyle w:val="ListParagraph"/>
        <w:numPr>
          <w:ilvl w:val="0"/>
          <w:numId w:val="24"/>
        </w:numPr>
        <w:tabs>
          <w:tab w:val="left" w:pos="0"/>
        </w:tabs>
        <w:ind w:left="0" w:firstLine="0"/>
      </w:pPr>
      <w:r w:rsidRPr="00347363">
        <w:t>Trente-neuf Parties ont entièrement ou partiellement payé leur contribution de 2019, représentant 86</w:t>
      </w:r>
      <w:r w:rsidR="00DE03FC">
        <w:t> </w:t>
      </w:r>
      <w:r w:rsidRPr="00347363">
        <w:t>% des paiements par rapport au total des promesses d’apport pour 2019</w:t>
      </w:r>
      <w:r w:rsidR="00697359">
        <w:t>.</w:t>
      </w:r>
      <w:r w:rsidRPr="00347363">
        <w:rPr>
          <w:rStyle w:val="FootnoteReference"/>
        </w:rPr>
        <w:footnoteReference w:id="3"/>
      </w:r>
    </w:p>
    <w:p w14:paraId="71825268" w14:textId="77777777" w:rsidR="00347363" w:rsidRPr="00347363" w:rsidRDefault="00347363" w:rsidP="00347363">
      <w:pPr>
        <w:pStyle w:val="ListParagraph"/>
        <w:ind w:left="851"/>
      </w:pPr>
    </w:p>
    <w:p w14:paraId="2FA0569E" w14:textId="2BE78DA6" w:rsidR="00347363" w:rsidRPr="00347363" w:rsidRDefault="00347363" w:rsidP="00697359">
      <w:pPr>
        <w:pStyle w:val="ListParagraph"/>
        <w:numPr>
          <w:ilvl w:val="0"/>
          <w:numId w:val="24"/>
        </w:numPr>
        <w:tabs>
          <w:tab w:val="left" w:pos="0"/>
        </w:tabs>
        <w:ind w:left="0" w:firstLine="0"/>
      </w:pPr>
      <w:r w:rsidRPr="00347363">
        <w:t>Le système de taux de change fixe (FERM)</w:t>
      </w:r>
      <w:r w:rsidR="001F6E85" w:rsidRPr="001F6E85">
        <w:rPr>
          <w:rStyle w:val="FootnoteReference"/>
          <w:highlight w:val="yellow"/>
        </w:rPr>
        <w:footnoteReference w:id="4"/>
      </w:r>
      <w:r w:rsidRPr="00347363">
        <w:t xml:space="preserve"> a été mis à jour et reflète </w:t>
      </w:r>
      <w:r w:rsidR="00461972">
        <w:t>une</w:t>
      </w:r>
      <w:r w:rsidRPr="00347363">
        <w:t xml:space="preserve"> perte causée p</w:t>
      </w:r>
      <w:r w:rsidR="00EA48BA">
        <w:t>a</w:t>
      </w:r>
      <w:r w:rsidR="00697359">
        <w:t xml:space="preserve">r </w:t>
      </w:r>
      <w:r w:rsidRPr="00347363">
        <w:t>le FERM de 32</w:t>
      </w:r>
      <w:r w:rsidR="00DF65C3">
        <w:t> 493 </w:t>
      </w:r>
      <w:r w:rsidRPr="00347363">
        <w:t>656</w:t>
      </w:r>
      <w:r w:rsidR="00C31A2E">
        <w:t> </w:t>
      </w:r>
      <w:r w:rsidRPr="00347363">
        <w:t>$ US depuis son entrée en vigueur, ce qui est inférieur aux 32</w:t>
      </w:r>
      <w:r w:rsidR="00DF65C3">
        <w:t> 777 </w:t>
      </w:r>
      <w:r w:rsidRPr="00347363">
        <w:t>234</w:t>
      </w:r>
      <w:r w:rsidR="00C31A2E">
        <w:t> </w:t>
      </w:r>
      <w:r w:rsidR="00697359">
        <w:t>$ US communiqués lors de la 83</w:t>
      </w:r>
      <w:r w:rsidR="00697359" w:rsidRPr="00697359">
        <w:rPr>
          <w:vertAlign w:val="superscript"/>
        </w:rPr>
        <w:t>e</w:t>
      </w:r>
      <w:r w:rsidR="00697359">
        <w:t xml:space="preserve"> </w:t>
      </w:r>
      <w:r w:rsidRPr="00347363">
        <w:t xml:space="preserve">réunion. </w:t>
      </w:r>
    </w:p>
    <w:p w14:paraId="3527C889" w14:textId="77777777" w:rsidR="00347363" w:rsidRPr="00347363" w:rsidRDefault="00347363" w:rsidP="00347363">
      <w:pPr>
        <w:autoSpaceDE w:val="0"/>
        <w:autoSpaceDN w:val="0"/>
        <w:adjustRightInd w:val="0"/>
        <w:rPr>
          <w:b/>
          <w:bCs/>
          <w:lang w:val="fr-FR" w:bidi="hi-IN"/>
        </w:rPr>
      </w:pPr>
    </w:p>
    <w:p w14:paraId="52450124" w14:textId="77777777" w:rsidR="00347363" w:rsidRPr="00347363" w:rsidRDefault="00347363" w:rsidP="00347363">
      <w:pPr>
        <w:autoSpaceDE w:val="0"/>
        <w:autoSpaceDN w:val="0"/>
        <w:adjustRightInd w:val="0"/>
        <w:rPr>
          <w:b/>
          <w:bCs/>
          <w:lang w:val="fr-FR"/>
        </w:rPr>
      </w:pPr>
      <w:r w:rsidRPr="00347363">
        <w:rPr>
          <w:b/>
          <w:bCs/>
          <w:lang w:val="fr-FR"/>
        </w:rPr>
        <w:t>Mesures concernant les contributions non acquittées</w:t>
      </w:r>
    </w:p>
    <w:p w14:paraId="3C49A5F5" w14:textId="77777777" w:rsidR="00347363" w:rsidRPr="00347363" w:rsidRDefault="00347363" w:rsidP="00347363">
      <w:pPr>
        <w:autoSpaceDE w:val="0"/>
        <w:autoSpaceDN w:val="0"/>
        <w:adjustRightInd w:val="0"/>
        <w:rPr>
          <w:b/>
          <w:bCs/>
          <w:lang w:val="fr-FR" w:bidi="hi-IN"/>
        </w:rPr>
      </w:pPr>
    </w:p>
    <w:p w14:paraId="707086B6" w14:textId="3F58A29E" w:rsidR="00347363" w:rsidRPr="00347363" w:rsidRDefault="00347363" w:rsidP="0034736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240"/>
        <w:ind w:left="0" w:firstLine="0"/>
      </w:pPr>
      <w:r w:rsidRPr="00347363">
        <w:t>En février 2019 et début novembre 2019, le Trésorier a distribué les factures à toutes les Parties non visées par l’Article</w:t>
      </w:r>
      <w:r w:rsidR="00D92621">
        <w:t> </w:t>
      </w:r>
      <w:r w:rsidRPr="00347363">
        <w:t>5 pour leurs contributions de 2019 au Fonds, ainsi que des rappels aux parties ayant des promesses d’apport non acquittées, le cas échéant</w:t>
      </w:r>
      <w:r w:rsidR="00B47EFF">
        <w:t>.</w:t>
      </w:r>
      <w:r w:rsidRPr="00347363">
        <w:rPr>
          <w:rStyle w:val="FootnoteReference"/>
        </w:rPr>
        <w:footnoteReference w:id="5"/>
      </w:r>
      <w:r w:rsidRPr="00347363">
        <w:t xml:space="preserve"> </w:t>
      </w:r>
    </w:p>
    <w:p w14:paraId="27ECE4BC" w14:textId="18A7E4D2" w:rsidR="00347363" w:rsidRPr="00347363" w:rsidRDefault="00347363" w:rsidP="00347363">
      <w:pPr>
        <w:pStyle w:val="Heading1"/>
        <w:numPr>
          <w:ilvl w:val="0"/>
          <w:numId w:val="24"/>
        </w:numPr>
        <w:tabs>
          <w:tab w:val="left" w:pos="708"/>
        </w:tabs>
        <w:ind w:left="0" w:firstLine="0"/>
        <w:rPr>
          <w:lang w:val="fr-FR"/>
        </w:rPr>
      </w:pPr>
      <w:r w:rsidRPr="00347363">
        <w:rPr>
          <w:lang w:val="fr-FR"/>
        </w:rPr>
        <w:t>À titre de suivi à la décision</w:t>
      </w:r>
      <w:r w:rsidR="00D92621">
        <w:rPr>
          <w:lang w:val="fr-FR"/>
        </w:rPr>
        <w:t> </w:t>
      </w:r>
      <w:r w:rsidRPr="00347363">
        <w:rPr>
          <w:lang w:val="fr-FR"/>
        </w:rPr>
        <w:t>83/2(e)</w:t>
      </w:r>
      <w:r w:rsidR="00B47EFF">
        <w:rPr>
          <w:lang w:val="fr-FR"/>
        </w:rPr>
        <w:t>,</w:t>
      </w:r>
      <w:r w:rsidRPr="00347363">
        <w:rPr>
          <w:rStyle w:val="FootnoteReference"/>
          <w:lang w:val="fr-FR" w:bidi="hi-IN"/>
        </w:rPr>
        <w:footnoteReference w:id="6"/>
      </w:r>
      <w:r w:rsidRPr="00347363">
        <w:rPr>
          <w:lang w:val="fr-FR"/>
        </w:rPr>
        <w:t xml:space="preserve"> le Chef du Secrétariat a assisté à une réunion</w:t>
      </w:r>
      <w:r w:rsidRPr="00347363">
        <w:rPr>
          <w:rStyle w:val="FootnoteReference"/>
          <w:lang w:val="fr-FR" w:bidi="hi-IN"/>
        </w:rPr>
        <w:footnoteReference w:id="7"/>
      </w:r>
      <w:r w:rsidRPr="00347363">
        <w:rPr>
          <w:lang w:val="fr-FR"/>
        </w:rPr>
        <w:t xml:space="preserve"> du réseau des administrateurs des Bureaux de l’ozone d’Europe et d’Asie Centrale pour réamorcer les discussions avec les représentants du Gouvernement ukrainien</w:t>
      </w:r>
      <w:r w:rsidR="00DE03FC">
        <w:rPr>
          <w:lang w:val="fr-FR"/>
        </w:rPr>
        <w:t> </w:t>
      </w:r>
      <w:r w:rsidRPr="00347363">
        <w:rPr>
          <w:lang w:val="fr-FR"/>
        </w:rPr>
        <w:t>; cependant, le gouvernement nouvellement constitué n’a pas encore désigné le représentant en charge des sujets relatifs au Fonds multilatéral. De plus, le Chef du Secrétariat a continué à communiquer avec les représentants gouvernementaux des pays non visés par l’Article</w:t>
      </w:r>
      <w:r w:rsidR="00D92621">
        <w:rPr>
          <w:lang w:val="fr-FR"/>
        </w:rPr>
        <w:t> </w:t>
      </w:r>
      <w:r w:rsidRPr="00347363">
        <w:rPr>
          <w:lang w:val="fr-FR"/>
        </w:rPr>
        <w:t>5 ayant des contribution</w:t>
      </w:r>
      <w:r w:rsidR="00EF1292">
        <w:rPr>
          <w:lang w:val="fr-FR"/>
        </w:rPr>
        <w:t>s en souffrance</w:t>
      </w:r>
      <w:r w:rsidRPr="00347363">
        <w:rPr>
          <w:lang w:val="fr-FR"/>
        </w:rPr>
        <w:t xml:space="preserve"> depuis </w:t>
      </w:r>
      <w:r w:rsidR="00EF1292">
        <w:rPr>
          <w:lang w:val="fr-FR"/>
        </w:rPr>
        <w:t xml:space="preserve">au moins </w:t>
      </w:r>
      <w:r w:rsidRPr="00347363">
        <w:rPr>
          <w:lang w:val="fr-FR"/>
        </w:rPr>
        <w:t>une période triennale les invitant à des discussions bilatérales pour commencer les versements. D’autres mises</w:t>
      </w:r>
      <w:r w:rsidR="00B47EFF">
        <w:rPr>
          <w:lang w:val="fr-FR"/>
        </w:rPr>
        <w:t xml:space="preserve"> à jour seront fournies à la 84</w:t>
      </w:r>
      <w:r w:rsidR="00B47EFF" w:rsidRPr="00B47EFF">
        <w:rPr>
          <w:vertAlign w:val="superscript"/>
          <w:lang w:val="fr-FR"/>
        </w:rPr>
        <w:t>e</w:t>
      </w:r>
      <w:r w:rsidR="00B47EFF">
        <w:rPr>
          <w:lang w:val="fr-FR"/>
        </w:rPr>
        <w:t> </w:t>
      </w:r>
      <w:r w:rsidRPr="00347363">
        <w:rPr>
          <w:lang w:val="fr-FR"/>
        </w:rPr>
        <w:t>réunion, s’il y a lieu.</w:t>
      </w:r>
    </w:p>
    <w:p w14:paraId="460FDA70" w14:textId="77777777" w:rsidR="00347363" w:rsidRPr="00347363" w:rsidRDefault="00347363" w:rsidP="00347363">
      <w:pPr>
        <w:autoSpaceDE w:val="0"/>
        <w:autoSpaceDN w:val="0"/>
        <w:adjustRightInd w:val="0"/>
        <w:rPr>
          <w:b/>
          <w:bCs/>
          <w:lang w:val="fr-FR"/>
        </w:rPr>
      </w:pPr>
      <w:r w:rsidRPr="00347363">
        <w:rPr>
          <w:b/>
          <w:bCs/>
          <w:lang w:val="fr-FR"/>
        </w:rPr>
        <w:t>Recommandations</w:t>
      </w:r>
    </w:p>
    <w:p w14:paraId="693BC1DE" w14:textId="77777777" w:rsidR="00347363" w:rsidRPr="00347363" w:rsidRDefault="00347363" w:rsidP="00347363">
      <w:pPr>
        <w:autoSpaceDE w:val="0"/>
        <w:autoSpaceDN w:val="0"/>
        <w:adjustRightInd w:val="0"/>
        <w:rPr>
          <w:b/>
          <w:bCs/>
          <w:sz w:val="20"/>
          <w:szCs w:val="20"/>
          <w:lang w:val="fr-FR" w:bidi="hi-IN"/>
        </w:rPr>
      </w:pPr>
    </w:p>
    <w:p w14:paraId="348950EB" w14:textId="7AFF847E" w:rsidR="00347363" w:rsidRPr="00347363" w:rsidRDefault="00347363" w:rsidP="0034736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240"/>
        <w:ind w:left="0" w:firstLine="0"/>
      </w:pPr>
      <w:r w:rsidRPr="00347363">
        <w:t>Le Comité exécutif pourrait envisager</w:t>
      </w:r>
      <w:r w:rsidR="00DE03FC">
        <w:t> </w:t>
      </w:r>
      <w:r w:rsidRPr="00347363">
        <w:t>:</w:t>
      </w:r>
    </w:p>
    <w:p w14:paraId="12F21719" w14:textId="77777777" w:rsidR="00347363" w:rsidRPr="00347363" w:rsidRDefault="00347363" w:rsidP="00347363">
      <w:pPr>
        <w:pStyle w:val="ListParagraph"/>
        <w:autoSpaceDE w:val="0"/>
        <w:autoSpaceDN w:val="0"/>
        <w:adjustRightInd w:val="0"/>
        <w:ind w:left="0"/>
        <w:rPr>
          <w:sz w:val="20"/>
          <w:szCs w:val="20"/>
          <w:lang w:bidi="hi-IN"/>
        </w:rPr>
      </w:pPr>
    </w:p>
    <w:p w14:paraId="269DA709" w14:textId="31263456" w:rsidR="00347363" w:rsidRDefault="00347363" w:rsidP="00854B9B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1418" w:hanging="698"/>
        <w:rPr>
          <w:lang w:bidi="hi-IN"/>
        </w:rPr>
      </w:pPr>
      <w:r w:rsidRPr="00347363">
        <w:t>De prendre note du rapport du Trésorier sur l’état des contributions et des décaissements, se trouvant à l’Annexe I du présent document</w:t>
      </w:r>
      <w:r w:rsidR="00DE03FC">
        <w:t> </w:t>
      </w:r>
      <w:r w:rsidRPr="00347363">
        <w:t xml:space="preserve">; </w:t>
      </w:r>
    </w:p>
    <w:p w14:paraId="21B289A1" w14:textId="77777777" w:rsidR="00583A95" w:rsidRPr="00347363" w:rsidRDefault="00583A95" w:rsidP="00583A95">
      <w:pPr>
        <w:pStyle w:val="ListParagraph"/>
        <w:autoSpaceDE w:val="0"/>
        <w:autoSpaceDN w:val="0"/>
        <w:adjustRightInd w:val="0"/>
        <w:ind w:left="1418"/>
        <w:rPr>
          <w:lang w:bidi="hi-IN"/>
        </w:rPr>
      </w:pPr>
    </w:p>
    <w:p w14:paraId="091DC66F" w14:textId="31765E62" w:rsidR="00347363" w:rsidRPr="00347363" w:rsidRDefault="00347363" w:rsidP="00347363">
      <w:pPr>
        <w:pStyle w:val="ListParagraph"/>
        <w:numPr>
          <w:ilvl w:val="0"/>
          <w:numId w:val="26"/>
        </w:numPr>
        <w:autoSpaceDE w:val="0"/>
        <w:autoSpaceDN w:val="0"/>
        <w:adjustRightInd w:val="0"/>
        <w:ind w:left="1418" w:hanging="698"/>
      </w:pPr>
      <w:r w:rsidRPr="00347363">
        <w:t xml:space="preserve">D’inviter instamment toutes les Parties à verser l’intégralité de leurs contributions au Fonds multilatéral dans </w:t>
      </w:r>
      <w:r w:rsidR="00377395" w:rsidRPr="00347363">
        <w:t>les meilleurs</w:t>
      </w:r>
      <w:r w:rsidR="000D7302">
        <w:t xml:space="preserve"> délais possible</w:t>
      </w:r>
      <w:r w:rsidR="00DE03FC">
        <w:t> </w:t>
      </w:r>
      <w:r w:rsidRPr="00347363">
        <w:t>;</w:t>
      </w:r>
    </w:p>
    <w:p w14:paraId="565252B6" w14:textId="77777777" w:rsidR="00347363" w:rsidRPr="00347363" w:rsidRDefault="00347363" w:rsidP="00347363">
      <w:pPr>
        <w:pStyle w:val="ListParagraph"/>
        <w:autoSpaceDE w:val="0"/>
        <w:autoSpaceDN w:val="0"/>
        <w:adjustRightInd w:val="0"/>
        <w:ind w:left="1418"/>
        <w:rPr>
          <w:lang w:bidi="hi-IN"/>
        </w:rPr>
      </w:pPr>
    </w:p>
    <w:p w14:paraId="12B51B4A" w14:textId="16988436" w:rsidR="00441083" w:rsidRPr="001076C7" w:rsidRDefault="00347363" w:rsidP="001076C7">
      <w:pPr>
        <w:pStyle w:val="ListParagraph"/>
        <w:numPr>
          <w:ilvl w:val="0"/>
          <w:numId w:val="26"/>
        </w:numPr>
        <w:ind w:left="1418" w:hanging="698"/>
      </w:pPr>
      <w:r w:rsidRPr="00347363">
        <w:t>De demander au Chef du Secrétariat et au Trésorier de poursuivre le suivi auprès des Parties ayant des contributions en souffrance depuis au moins une période triennale et d</w:t>
      </w:r>
      <w:r w:rsidR="00932AE9">
        <w:t>’en rendre compte lors de la 85</w:t>
      </w:r>
      <w:r w:rsidR="00932AE9" w:rsidRPr="00932AE9">
        <w:rPr>
          <w:vertAlign w:val="superscript"/>
        </w:rPr>
        <w:t>e</w:t>
      </w:r>
      <w:r w:rsidR="00932AE9">
        <w:t xml:space="preserve"> </w:t>
      </w:r>
      <w:r w:rsidRPr="00347363">
        <w:t>réunion</w:t>
      </w:r>
    </w:p>
    <w:sectPr w:rsidR="00441083" w:rsidRPr="001076C7" w:rsidSect="00347363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344C4" w14:textId="77777777" w:rsidR="00347363" w:rsidRDefault="00347363">
      <w:r>
        <w:separator/>
      </w:r>
    </w:p>
  </w:endnote>
  <w:endnote w:type="continuationSeparator" w:id="0">
    <w:p w14:paraId="4F0AA8A7" w14:textId="77777777" w:rsidR="00347363" w:rsidRDefault="0034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105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B03EA9" w14:textId="33D2109D" w:rsidR="00583A95" w:rsidRDefault="00583A9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5B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F1D301" w14:textId="77777777" w:rsidR="0078110D" w:rsidRDefault="007811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627965"/>
      <w:docPartObj>
        <w:docPartGallery w:val="Page Numbers (Bottom of Page)"/>
        <w:docPartUnique/>
      </w:docPartObj>
    </w:sdtPr>
    <w:sdtEndPr/>
    <w:sdtContent>
      <w:p w14:paraId="1F427BD8" w14:textId="4E06D043" w:rsidR="00461037" w:rsidRDefault="0046103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4882" w:rsidRPr="00DB4882">
          <w:rPr>
            <w:noProof/>
            <w:lang w:val="fr-FR"/>
          </w:rPr>
          <w:t>3</w:t>
        </w:r>
        <w:r>
          <w:fldChar w:fldCharType="end"/>
        </w:r>
      </w:p>
    </w:sdtContent>
  </w:sdt>
  <w:p w14:paraId="4E640EBC" w14:textId="77777777" w:rsidR="0078110D" w:rsidRDefault="007811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B905E" w14:textId="6ED3A4C4" w:rsidR="00583A95" w:rsidRDefault="00583A95" w:rsidP="00583A9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 w:rsidRPr="00583A95">
      <w:rPr>
        <w:rFonts w:cs="MS Serif"/>
        <w:sz w:val="20"/>
        <w:lang w:val="fr-FR"/>
      </w:rPr>
      <w:t xml:space="preserve"> </w:t>
    </w: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14:paraId="18EE2B89" w14:textId="77777777" w:rsidR="00583A95" w:rsidRDefault="00583A95" w:rsidP="00583A95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2EECAEE1" w14:textId="4677469A" w:rsidR="00441083" w:rsidRPr="00583A95" w:rsidRDefault="00441083">
    <w:pPr>
      <w:pStyle w:val="Footer"/>
      <w:jc w:val="center"/>
      <w:rPr>
        <w:lang w:val="fr-FR"/>
      </w:rPr>
    </w:pPr>
  </w:p>
  <w:p w14:paraId="48FDCB06" w14:textId="77777777" w:rsidR="00441083" w:rsidRPr="00583A95" w:rsidRDefault="00441083">
    <w:pPr>
      <w:jc w:val="center"/>
      <w:rPr>
        <w:sz w:val="18"/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078CB5" w14:textId="77777777" w:rsidR="00347363" w:rsidRDefault="00347363">
      <w:r>
        <w:separator/>
      </w:r>
    </w:p>
  </w:footnote>
  <w:footnote w:type="continuationSeparator" w:id="0">
    <w:p w14:paraId="6EF99022" w14:textId="77777777" w:rsidR="00347363" w:rsidRDefault="00347363">
      <w:r>
        <w:continuationSeparator/>
      </w:r>
    </w:p>
  </w:footnote>
  <w:footnote w:id="1">
    <w:p w14:paraId="71EC8E7D" w14:textId="14A9A61E" w:rsidR="00347363" w:rsidRPr="00AB0FFB" w:rsidRDefault="00347363" w:rsidP="00347363">
      <w:pPr>
        <w:pStyle w:val="FootnoteText"/>
        <w:rPr>
          <w:lang w:val="fr-FR"/>
        </w:rPr>
      </w:pPr>
      <w:r w:rsidRPr="00AB0FFB">
        <w:rPr>
          <w:rStyle w:val="FootnoteReference"/>
          <w:lang w:val="fr-FR"/>
        </w:rPr>
        <w:footnoteRef/>
      </w:r>
      <w:r w:rsidRPr="00AB0FFB">
        <w:rPr>
          <w:lang w:val="fr-FR"/>
        </w:rPr>
        <w:t>Le Comité exécutif a demandé que l’explication de la méthodologie et des hypothèses qui sont utilisées par le Trésorier soit rendue accessible sur l’intranet (décision</w:t>
      </w:r>
      <w:r w:rsidR="00D92621" w:rsidRPr="00AB0FFB">
        <w:rPr>
          <w:lang w:val="fr-FR"/>
        </w:rPr>
        <w:t> </w:t>
      </w:r>
      <w:r w:rsidRPr="00AB0FFB">
        <w:rPr>
          <w:lang w:val="fr-FR"/>
        </w:rPr>
        <w:t>40/2</w:t>
      </w:r>
      <w:r w:rsidR="00E7116F" w:rsidRPr="00AB0FFB">
        <w:rPr>
          <w:lang w:val="fr-FR"/>
        </w:rPr>
        <w:t xml:space="preserve"> </w:t>
      </w:r>
      <w:r w:rsidRPr="00AB0FFB">
        <w:rPr>
          <w:lang w:val="fr-FR"/>
        </w:rPr>
        <w:t>(b)(i)). Ce compte-rendu des hypothèses et de la méthodologie, d’abord publié dans le document UNEP/</w:t>
      </w:r>
      <w:proofErr w:type="spellStart"/>
      <w:r w:rsidRPr="00AB0FFB">
        <w:rPr>
          <w:lang w:val="fr-FR"/>
        </w:rPr>
        <w:t>OzL.Pro</w:t>
      </w:r>
      <w:proofErr w:type="spellEnd"/>
      <w:r w:rsidRPr="00AB0FFB">
        <w:rPr>
          <w:lang w:val="fr-FR"/>
        </w:rPr>
        <w:t>/</w:t>
      </w:r>
      <w:proofErr w:type="spellStart"/>
      <w:r w:rsidRPr="00AB0FFB">
        <w:rPr>
          <w:lang w:val="fr-FR"/>
        </w:rPr>
        <w:t>ExCom</w:t>
      </w:r>
      <w:proofErr w:type="spellEnd"/>
      <w:r w:rsidRPr="00AB0FFB">
        <w:rPr>
          <w:lang w:val="fr-FR"/>
        </w:rPr>
        <w:t>/39/3/Rev.1 du rapport du Trésorier, est toujours accessible à titre de référence pour les membres du Comité exécutif sur la partie restreinte du site du Fonds multilatéral.</w:t>
      </w:r>
    </w:p>
  </w:footnote>
  <w:footnote w:id="2">
    <w:p w14:paraId="1B23482D" w14:textId="77777777" w:rsidR="00347363" w:rsidRPr="00C24F6D" w:rsidRDefault="00347363" w:rsidP="00347363">
      <w:pPr>
        <w:rPr>
          <w:sz w:val="20"/>
          <w:szCs w:val="20"/>
          <w:lang w:val="fr-FR"/>
        </w:rPr>
      </w:pPr>
      <w:r w:rsidRPr="00C24F6D">
        <w:rPr>
          <w:rStyle w:val="FootnoteReference"/>
          <w:lang w:val="fr-FR"/>
        </w:rPr>
        <w:footnoteRef/>
      </w:r>
      <w:r w:rsidRPr="00C24F6D">
        <w:rPr>
          <w:lang w:val="fr-FR"/>
        </w:rPr>
        <w:t xml:space="preserve"> </w:t>
      </w:r>
      <w:r w:rsidRPr="00C24F6D">
        <w:rPr>
          <w:sz w:val="20"/>
          <w:szCs w:val="20"/>
          <w:lang w:val="fr-FR"/>
        </w:rPr>
        <w:t>Le Comité exécutif a demandé au Trésorier de faire circuler au Secrétariat et dans les agences d’exécution, avant chaque réunion du Comité exécutif, un grand livre indiquant si les billets à ordre sont transférés, reçus ou encaissés (décision 45/59</w:t>
      </w:r>
      <w:r w:rsidR="00E7116F" w:rsidRPr="00C24F6D">
        <w:rPr>
          <w:sz w:val="20"/>
          <w:szCs w:val="20"/>
          <w:lang w:val="fr-FR"/>
        </w:rPr>
        <w:t xml:space="preserve"> </w:t>
      </w:r>
      <w:r w:rsidRPr="00C24F6D">
        <w:rPr>
          <w:sz w:val="20"/>
          <w:szCs w:val="20"/>
          <w:lang w:val="fr-FR"/>
        </w:rPr>
        <w:t>(f)(i)).</w:t>
      </w:r>
    </w:p>
    <w:p w14:paraId="33949614" w14:textId="77777777" w:rsidR="00347363" w:rsidRPr="00C24F6D" w:rsidRDefault="00347363" w:rsidP="00347363">
      <w:pPr>
        <w:rPr>
          <w:lang w:val="fr-FR"/>
        </w:rPr>
      </w:pPr>
    </w:p>
  </w:footnote>
  <w:footnote w:id="3">
    <w:p w14:paraId="7E488070" w14:textId="2BF156EF" w:rsidR="001F6E85" w:rsidRPr="00C24F6D" w:rsidRDefault="00347363" w:rsidP="00347363">
      <w:pPr>
        <w:pStyle w:val="FootnoteText"/>
        <w:rPr>
          <w:lang w:val="fr-FR"/>
        </w:rPr>
      </w:pPr>
      <w:r w:rsidRPr="00C24F6D">
        <w:rPr>
          <w:rStyle w:val="FootnoteReference"/>
          <w:lang w:val="fr-FR"/>
        </w:rPr>
        <w:footnoteRef/>
      </w:r>
      <w:r w:rsidRPr="00C24F6D">
        <w:rPr>
          <w:lang w:val="fr-FR"/>
        </w:rPr>
        <w:t xml:space="preserve"> En réponse à la décision</w:t>
      </w:r>
      <w:r w:rsidR="00D92621" w:rsidRPr="00C24F6D">
        <w:rPr>
          <w:lang w:val="fr-FR"/>
        </w:rPr>
        <w:t> </w:t>
      </w:r>
      <w:r w:rsidRPr="00C24F6D">
        <w:rPr>
          <w:lang w:val="fr-FR"/>
        </w:rPr>
        <w:t>41/2, la liste des contributions non acquittées pour certains pays dont l’économie est en transition sera accessible sur demande.</w:t>
      </w:r>
    </w:p>
  </w:footnote>
  <w:footnote w:id="4">
    <w:p w14:paraId="6D31E32E" w14:textId="03EB2BBD" w:rsidR="001F6E85" w:rsidRPr="001F6E85" w:rsidRDefault="001F6E85" w:rsidP="00A47A4A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1F6E85">
        <w:rPr>
          <w:lang w:val="fr-FR"/>
        </w:rPr>
        <w:t xml:space="preserve"> </w:t>
      </w:r>
      <w:r w:rsidR="00A47A4A">
        <w:rPr>
          <w:lang w:val="fr-FR"/>
        </w:rPr>
        <w:t>Au total, 14 parties ont décidé d’utiliser le mécanisme de taux de change fixe pour la période triennale 2018-2020 conformément de la décision 81/1 b).</w:t>
      </w:r>
    </w:p>
  </w:footnote>
  <w:footnote w:id="5">
    <w:p w14:paraId="78426A94" w14:textId="64FB4484" w:rsidR="00347363" w:rsidRPr="00C24F6D" w:rsidRDefault="00347363" w:rsidP="00347363">
      <w:pPr>
        <w:pStyle w:val="FootnoteText"/>
        <w:rPr>
          <w:lang w:val="fr-FR"/>
        </w:rPr>
      </w:pPr>
      <w:r w:rsidRPr="00C24F6D">
        <w:rPr>
          <w:rStyle w:val="FootnoteReference"/>
          <w:lang w:val="fr-FR"/>
        </w:rPr>
        <w:footnoteRef/>
      </w:r>
      <w:r w:rsidRPr="00C24F6D">
        <w:rPr>
          <w:lang w:val="fr-FR"/>
        </w:rPr>
        <w:t xml:space="preserve"> En réponse à la décision XI/6 paragraphe</w:t>
      </w:r>
      <w:r w:rsidR="00D92621" w:rsidRPr="00C24F6D">
        <w:rPr>
          <w:lang w:val="fr-FR"/>
        </w:rPr>
        <w:t> </w:t>
      </w:r>
      <w:r w:rsidRPr="00C24F6D">
        <w:rPr>
          <w:lang w:val="fr-FR"/>
        </w:rPr>
        <w:t>7 (encourageant les Parties à tenter de payer le plus tôt possible pendant l’année civile), à la décision</w:t>
      </w:r>
      <w:r w:rsidR="00D92621" w:rsidRPr="00C24F6D">
        <w:rPr>
          <w:lang w:val="fr-FR"/>
        </w:rPr>
        <w:t> </w:t>
      </w:r>
      <w:r w:rsidRPr="00C24F6D">
        <w:rPr>
          <w:lang w:val="fr-FR"/>
        </w:rPr>
        <w:t>XVII/41 paragraphe</w:t>
      </w:r>
      <w:r w:rsidR="00D92621" w:rsidRPr="00C24F6D">
        <w:rPr>
          <w:lang w:val="fr-FR"/>
        </w:rPr>
        <w:t> </w:t>
      </w:r>
      <w:r w:rsidRPr="00C24F6D">
        <w:rPr>
          <w:lang w:val="fr-FR"/>
        </w:rPr>
        <w:t xml:space="preserve">5 (encourageant les Parties à payer leur contribution au Fonds </w:t>
      </w:r>
      <w:r w:rsidR="00334683">
        <w:rPr>
          <w:lang w:val="fr-FR"/>
        </w:rPr>
        <w:t>dans son intégralité</w:t>
      </w:r>
      <w:r w:rsidRPr="00C24F6D">
        <w:rPr>
          <w:lang w:val="fr-FR"/>
        </w:rPr>
        <w:t xml:space="preserve"> et le plus tôt possible), et à la décision</w:t>
      </w:r>
      <w:r w:rsidR="00D92621" w:rsidRPr="00C24F6D">
        <w:rPr>
          <w:lang w:val="fr-FR"/>
        </w:rPr>
        <w:t> </w:t>
      </w:r>
      <w:r w:rsidRPr="00C24F6D">
        <w:rPr>
          <w:lang w:val="fr-FR"/>
        </w:rPr>
        <w:t>XVI/37 (encourageant certaines Parties qui n’ont jamais payé leur contribution au Fonds, ou qui l’ont fait avec une somme inférieure à l</w:t>
      </w:r>
      <w:r w:rsidR="00247E1F">
        <w:rPr>
          <w:lang w:val="fr-FR"/>
        </w:rPr>
        <w:t>a</w:t>
      </w:r>
      <w:r w:rsidRPr="00C24F6D">
        <w:rPr>
          <w:lang w:val="fr-FR"/>
        </w:rPr>
        <w:t xml:space="preserve"> contribution prévue, à le faire le plus tôt possible).</w:t>
      </w:r>
    </w:p>
  </w:footnote>
  <w:footnote w:id="6">
    <w:p w14:paraId="26FFB883" w14:textId="07E29017" w:rsidR="00347363" w:rsidRPr="00C24F6D" w:rsidRDefault="00347363" w:rsidP="00347363">
      <w:pPr>
        <w:pStyle w:val="FootnoteText"/>
        <w:rPr>
          <w:lang w:val="fr-FR"/>
        </w:rPr>
      </w:pPr>
      <w:r w:rsidRPr="00C24F6D">
        <w:rPr>
          <w:rStyle w:val="FootnoteReference"/>
          <w:lang w:val="fr-FR"/>
        </w:rPr>
        <w:footnoteRef/>
      </w:r>
      <w:r w:rsidRPr="00C24F6D">
        <w:rPr>
          <w:lang w:val="fr-FR"/>
        </w:rPr>
        <w:t>Le Chef du Secrétariat et le Trésorier ont reçu la demande de poursuivre le suivi auprès des pays ayant des contributions en souffrance depuis une ou plusieurs périodes triennales et d</w:t>
      </w:r>
      <w:r w:rsidR="001F6E85">
        <w:rPr>
          <w:lang w:val="fr-FR"/>
        </w:rPr>
        <w:t>’en rendre compte lors de la 84</w:t>
      </w:r>
      <w:r w:rsidR="001F6E85" w:rsidRPr="001F6E85">
        <w:rPr>
          <w:vertAlign w:val="superscript"/>
          <w:lang w:val="fr-FR"/>
        </w:rPr>
        <w:t>e</w:t>
      </w:r>
      <w:r w:rsidR="001F6E85">
        <w:rPr>
          <w:lang w:val="fr-FR"/>
        </w:rPr>
        <w:t xml:space="preserve"> </w:t>
      </w:r>
      <w:r w:rsidRPr="00C24F6D">
        <w:rPr>
          <w:lang w:val="fr-FR"/>
        </w:rPr>
        <w:t>réunion.</w:t>
      </w:r>
    </w:p>
  </w:footnote>
  <w:footnote w:id="7">
    <w:p w14:paraId="3B564019" w14:textId="1C7AF3F5" w:rsidR="00347363" w:rsidRDefault="00347363" w:rsidP="00347363">
      <w:pPr>
        <w:pStyle w:val="FootnoteText"/>
      </w:pPr>
      <w:r w:rsidRPr="00C24F6D">
        <w:rPr>
          <w:rStyle w:val="FootnoteReference"/>
          <w:lang w:val="fr-FR"/>
        </w:rPr>
        <w:footnoteRef/>
      </w:r>
      <w:r w:rsidRPr="00C24F6D">
        <w:rPr>
          <w:lang w:val="fr-FR"/>
        </w:rPr>
        <w:t>Kiev, Ukraine, 23-27</w:t>
      </w:r>
      <w:r w:rsidR="00C31A2E" w:rsidRPr="00C24F6D">
        <w:rPr>
          <w:lang w:val="fr-FR"/>
        </w:rPr>
        <w:t> </w:t>
      </w:r>
      <w:r w:rsidRPr="00C24F6D">
        <w:rPr>
          <w:lang w:val="fr-FR"/>
        </w:rPr>
        <w:t>septembre 2019.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5918B" w14:textId="77777777" w:rsidR="001076C7" w:rsidRPr="00347363" w:rsidRDefault="001076C7" w:rsidP="001076C7">
    <w:pPr>
      <w:rPr>
        <w:lang w:val="fr-FR"/>
      </w:rPr>
    </w:pPr>
    <w:r w:rsidRPr="00347363">
      <w:rPr>
        <w:lang w:val="fr-FR"/>
      </w:rPr>
      <w:fldChar w:fldCharType="begin"/>
    </w:r>
    <w:r w:rsidRPr="00347363">
      <w:rPr>
        <w:lang w:val="fr-FR"/>
      </w:rPr>
      <w:instrText xml:space="preserve"> DOCPROPERTY "Document number"  \* MERGEFORMAT </w:instrText>
    </w:r>
    <w:r w:rsidRPr="00347363">
      <w:rPr>
        <w:lang w:val="fr-FR"/>
      </w:rPr>
      <w:fldChar w:fldCharType="separate"/>
    </w:r>
    <w:r>
      <w:rPr>
        <w:lang w:val="fr-FR"/>
      </w:rPr>
      <w:t>UNEP/</w:t>
    </w:r>
    <w:proofErr w:type="spellStart"/>
    <w:r>
      <w:rPr>
        <w:lang w:val="fr-FR"/>
      </w:rPr>
      <w:t>OzL.Pro</w:t>
    </w:r>
    <w:proofErr w:type="spellEnd"/>
    <w:r>
      <w:rPr>
        <w:lang w:val="fr-FR"/>
      </w:rPr>
      <w:t>/</w:t>
    </w:r>
    <w:proofErr w:type="spellStart"/>
    <w:r>
      <w:rPr>
        <w:lang w:val="fr-FR"/>
      </w:rPr>
      <w:t>ExCom</w:t>
    </w:r>
    <w:proofErr w:type="spellEnd"/>
    <w:r>
      <w:rPr>
        <w:lang w:val="fr-FR"/>
      </w:rPr>
      <w:t>/84/3</w:t>
    </w:r>
    <w:r w:rsidRPr="00347363">
      <w:rPr>
        <w:lang w:val="fr-FR"/>
      </w:rPr>
      <w:fldChar w:fldCharType="end"/>
    </w:r>
  </w:p>
  <w:p w14:paraId="330869BC" w14:textId="77777777" w:rsidR="00461037" w:rsidRDefault="00461037" w:rsidP="00461037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B3B79" w14:textId="13C5A322" w:rsidR="00461037" w:rsidRDefault="00461037" w:rsidP="0046103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83A95">
      <w:t>UNEP/</w:t>
    </w:r>
    <w:proofErr w:type="spellStart"/>
    <w:r w:rsidR="00583A95">
      <w:t>OzL.Pro</w:t>
    </w:r>
    <w:proofErr w:type="spellEnd"/>
    <w:r w:rsidR="00583A95">
      <w:t>/</w:t>
    </w:r>
    <w:proofErr w:type="spellStart"/>
    <w:r w:rsidR="00583A95">
      <w:t>ExCom</w:t>
    </w:r>
    <w:proofErr w:type="spellEnd"/>
    <w:r w:rsidR="00583A95">
      <w:t>/84/3</w:t>
    </w:r>
    <w:r>
      <w:fldChar w:fldCharType="end"/>
    </w:r>
  </w:p>
  <w:p w14:paraId="3C385B68" w14:textId="0B21F7F7" w:rsidR="0078110D" w:rsidRDefault="0078110D">
    <w:pPr>
      <w:pStyle w:val="Header"/>
      <w:rPr>
        <w:b/>
        <w:bCs/>
      </w:rPr>
    </w:pPr>
  </w:p>
  <w:p w14:paraId="3132804B" w14:textId="77777777" w:rsidR="00E13363" w:rsidRPr="00461037" w:rsidRDefault="00E13363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2E108D"/>
    <w:multiLevelType w:val="hybridMultilevel"/>
    <w:tmpl w:val="293C3C00"/>
    <w:lvl w:ilvl="0" w:tplc="49F21CC8">
      <w:start w:val="1"/>
      <w:numFmt w:val="lowerLetter"/>
      <w:lvlText w:val="(%1)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5E807F6"/>
    <w:multiLevelType w:val="hybridMultilevel"/>
    <w:tmpl w:val="B04CCC2A"/>
    <w:lvl w:ilvl="0" w:tplc="0054DB9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6"/>
  </w:num>
  <w:num w:numId="18">
    <w:abstractNumId w:val="18"/>
  </w:num>
  <w:num w:numId="19">
    <w:abstractNumId w:val="20"/>
  </w:num>
  <w:num w:numId="20">
    <w:abstractNumId w:val="15"/>
  </w:num>
  <w:num w:numId="21">
    <w:abstractNumId w:val="11"/>
  </w:num>
  <w:num w:numId="22">
    <w:abstractNumId w:val="13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363"/>
    <w:rsid w:val="000121BE"/>
    <w:rsid w:val="00016C94"/>
    <w:rsid w:val="000820C0"/>
    <w:rsid w:val="000D7302"/>
    <w:rsid w:val="000F6C8E"/>
    <w:rsid w:val="001076C7"/>
    <w:rsid w:val="0015286A"/>
    <w:rsid w:val="001C3D0C"/>
    <w:rsid w:val="001D4CE7"/>
    <w:rsid w:val="001F6E85"/>
    <w:rsid w:val="00247E1F"/>
    <w:rsid w:val="00265AF0"/>
    <w:rsid w:val="002E0270"/>
    <w:rsid w:val="002F0B57"/>
    <w:rsid w:val="00334683"/>
    <w:rsid w:val="00347363"/>
    <w:rsid w:val="0035207F"/>
    <w:rsid w:val="00366A64"/>
    <w:rsid w:val="00377395"/>
    <w:rsid w:val="003A0CA4"/>
    <w:rsid w:val="003D6452"/>
    <w:rsid w:val="00441083"/>
    <w:rsid w:val="00461037"/>
    <w:rsid w:val="00461972"/>
    <w:rsid w:val="004C2C87"/>
    <w:rsid w:val="004E3A36"/>
    <w:rsid w:val="00583A95"/>
    <w:rsid w:val="005B3CAD"/>
    <w:rsid w:val="005C278F"/>
    <w:rsid w:val="00605093"/>
    <w:rsid w:val="00697359"/>
    <w:rsid w:val="007034FA"/>
    <w:rsid w:val="0075750B"/>
    <w:rsid w:val="0078110D"/>
    <w:rsid w:val="007F3115"/>
    <w:rsid w:val="008418B3"/>
    <w:rsid w:val="0091161A"/>
    <w:rsid w:val="00932AE9"/>
    <w:rsid w:val="00972E99"/>
    <w:rsid w:val="009A5180"/>
    <w:rsid w:val="009B6293"/>
    <w:rsid w:val="00A47A4A"/>
    <w:rsid w:val="00A86B13"/>
    <w:rsid w:val="00AA77F4"/>
    <w:rsid w:val="00AB0FFB"/>
    <w:rsid w:val="00AC013C"/>
    <w:rsid w:val="00AE63D8"/>
    <w:rsid w:val="00B47EFF"/>
    <w:rsid w:val="00B811F2"/>
    <w:rsid w:val="00B855D2"/>
    <w:rsid w:val="00BC3C7D"/>
    <w:rsid w:val="00C24F6D"/>
    <w:rsid w:val="00C31A2E"/>
    <w:rsid w:val="00C6443E"/>
    <w:rsid w:val="00D7654A"/>
    <w:rsid w:val="00D92621"/>
    <w:rsid w:val="00DB0722"/>
    <w:rsid w:val="00DB210D"/>
    <w:rsid w:val="00DB4882"/>
    <w:rsid w:val="00DB4E64"/>
    <w:rsid w:val="00DD3433"/>
    <w:rsid w:val="00DE03FC"/>
    <w:rsid w:val="00DF65C3"/>
    <w:rsid w:val="00E13363"/>
    <w:rsid w:val="00E348C6"/>
    <w:rsid w:val="00E54871"/>
    <w:rsid w:val="00E60D9C"/>
    <w:rsid w:val="00E7116F"/>
    <w:rsid w:val="00EA48BA"/>
    <w:rsid w:val="00EB2067"/>
    <w:rsid w:val="00EF1292"/>
    <w:rsid w:val="00F34745"/>
    <w:rsid w:val="00F37A42"/>
    <w:rsid w:val="00F557F5"/>
    <w:rsid w:val="00F85BD1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0377D81"/>
  <w15:docId w15:val="{93F41B37-CC4C-4663-8E10-AFA1C59F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character" w:customStyle="1" w:styleId="FootnoteTextChar">
    <w:name w:val="Footnote Text Char"/>
    <w:aliases w:val="Char1 Char,Char1 Char Char Char,Fußnotentextf Char"/>
    <w:basedOn w:val="DefaultParagraphFont"/>
    <w:link w:val="FootnoteText"/>
    <w:uiPriority w:val="99"/>
    <w:semiHidden/>
    <w:locked/>
    <w:rsid w:val="00347363"/>
  </w:style>
  <w:style w:type="paragraph" w:styleId="FootnoteText">
    <w:name w:val="footnote text"/>
    <w:aliases w:val="Char1,Char1 Char Char,Fußnotentextf"/>
    <w:basedOn w:val="Normal"/>
    <w:link w:val="FootnoteTextChar"/>
    <w:uiPriority w:val="99"/>
    <w:semiHidden/>
    <w:unhideWhenUsed/>
    <w:qFormat/>
    <w:rsid w:val="00347363"/>
    <w:rPr>
      <w:sz w:val="20"/>
      <w:szCs w:val="20"/>
      <w:lang w:val="en-US"/>
    </w:rPr>
  </w:style>
  <w:style w:type="character" w:customStyle="1" w:styleId="NotedebasdepageCar1">
    <w:name w:val="Note de bas de page Car1"/>
    <w:basedOn w:val="DefaultParagraphFont"/>
    <w:uiPriority w:val="99"/>
    <w:semiHidden/>
    <w:rsid w:val="00347363"/>
    <w:rPr>
      <w:lang w:val="en-GB"/>
    </w:rPr>
  </w:style>
  <w:style w:type="paragraph" w:styleId="ListParagraph">
    <w:name w:val="List Paragraph"/>
    <w:basedOn w:val="Normal"/>
    <w:uiPriority w:val="34"/>
    <w:qFormat/>
    <w:rsid w:val="00347363"/>
    <w:pPr>
      <w:ind w:left="720"/>
      <w:contextualSpacing/>
    </w:pPr>
    <w:rPr>
      <w:lang w:val="fr-FR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semiHidden/>
    <w:unhideWhenUsed/>
    <w:rsid w:val="003473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%20-%20EURL%20FAE%20TRADUCTION\FAE%20Traduction\CLIENTS\UN\201912_session\F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310e179b-1379-4e79-9b74-d5a32b1812d3">Pre-session</DocumentType>
    <Document_x0020_Number xmlns="8662b4aa-cf42-4f00-a3f0-9d3b4acad230">UNEP/OzL.Pro/ExCom/84/3</Document_x0020_Numb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9683CADC4F284EA5F0B82357B5BF3A" ma:contentTypeVersion="2" ma:contentTypeDescription="Create a new document." ma:contentTypeScope="" ma:versionID="068ecf6b82cce04dbb15b641d5edd95a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ec3297cc96d292a79aedb3c4ee5cf4fc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0B4EAA-5D95-46FB-8B9B-2506881B938F}"/>
</file>

<file path=customXml/itemProps2.xml><?xml version="1.0" encoding="utf-8"?>
<ds:datastoreItem xmlns:ds="http://schemas.openxmlformats.org/officeDocument/2006/customXml" ds:itemID="{E25343B5-A258-4B6B-8880-0C49321B2BD6}"/>
</file>

<file path=customXml/itemProps3.xml><?xml version="1.0" encoding="utf-8"?>
<ds:datastoreItem xmlns:ds="http://schemas.openxmlformats.org/officeDocument/2006/customXml" ds:itemID="{036C1CE8-8450-4930-AC58-3EF98342D8F5}"/>
</file>

<file path=customXml/itemProps4.xml><?xml version="1.0" encoding="utf-8"?>
<ds:datastoreItem xmlns:ds="http://schemas.openxmlformats.org/officeDocument/2006/customXml" ds:itemID="{60FB0602-8439-46EC-99CB-D0D9177BEDCB}"/>
</file>

<file path=docProps/app.xml><?xml version="1.0" encoding="utf-8"?>
<Properties xmlns="http://schemas.openxmlformats.org/officeDocument/2006/extended-properties" xmlns:vt="http://schemas.openxmlformats.org/officeDocument/2006/docPropsVTypes">
  <Template>F84-Template</Template>
  <TotalTime>49</TotalTime>
  <Pages>2</Pages>
  <Words>579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État des contributions et des décaissements</vt:lpstr>
    </vt:vector>
  </TitlesOfParts>
  <Company>UNMFS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État des contributions et des décaissements</dc:title>
  <dc:creator>fae-t</dc:creator>
  <cp:lastModifiedBy>HBE</cp:lastModifiedBy>
  <cp:revision>71</cp:revision>
  <cp:lastPrinted>2001-05-26T16:40:00Z</cp:lastPrinted>
  <dcterms:created xsi:type="dcterms:W3CDTF">2019-11-28T16:12:00Z</dcterms:created>
  <dcterms:modified xsi:type="dcterms:W3CDTF">2019-11-30T21:37:00Z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UNEP/OzL.Pro/ExCom/84/3</vt:lpwstr>
  </property>
  <property fmtid="{D5CDD505-2E9C-101B-9397-08002B2CF9AE}" pid="3" name="Revision date">
    <vt:lpwstr>11/27/2019</vt:lpwstr>
  </property>
  <property fmtid="{D5CDD505-2E9C-101B-9397-08002B2CF9AE}" pid="4" name="ContentTypeId">
    <vt:lpwstr>0x010100109683CADC4F284EA5F0B82357B5BF3A</vt:lpwstr>
  </property>
</Properties>
</file>