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BE7258" w14:paraId="6A5ADCB2" w14:textId="77777777" w:rsidTr="00383518">
        <w:trPr>
          <w:trHeight w:val="720"/>
        </w:trPr>
        <w:tc>
          <w:tcPr>
            <w:tcW w:w="7061" w:type="dxa"/>
            <w:gridSpan w:val="2"/>
            <w:tcBorders>
              <w:bottom w:val="single" w:sz="18" w:space="0" w:color="auto"/>
            </w:tcBorders>
          </w:tcPr>
          <w:p w14:paraId="76CE1DAE" w14:textId="77777777" w:rsidR="00BE7258" w:rsidRDefault="00BE7258" w:rsidP="003835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bookmarkStart w:id="0" w:name="_Hlk117684343"/>
            <w:r>
              <w:rPr>
                <w:rFonts w:ascii="Univers" w:hAnsi="Univers"/>
                <w:b/>
                <w:sz w:val="28"/>
                <w:szCs w:val="28"/>
              </w:rPr>
              <w:t>NATIONS</w:t>
            </w:r>
          </w:p>
          <w:p w14:paraId="5C559658" w14:textId="77777777" w:rsidR="00BE7258" w:rsidRDefault="00BE7258" w:rsidP="003835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5A758ACE" w14:textId="77777777" w:rsidR="00BE7258" w:rsidRDefault="00BE7258" w:rsidP="00383518">
            <w:pPr>
              <w:tabs>
                <w:tab w:val="left" w:pos="3010"/>
              </w:tabs>
              <w:jc w:val="center"/>
              <w:rPr>
                <w:sz w:val="52"/>
                <w:szCs w:val="52"/>
              </w:rPr>
            </w:pPr>
            <w:r>
              <w:rPr>
                <w:rFonts w:ascii="Univers Bold" w:hAnsi="Univers Bold"/>
                <w:b/>
                <w:sz w:val="72"/>
              </w:rPr>
              <w:t xml:space="preserve">          EP</w:t>
            </w:r>
          </w:p>
        </w:tc>
      </w:tr>
      <w:tr w:rsidR="00BE7258" w14:paraId="360A85B1" w14:textId="77777777" w:rsidTr="003835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D18D07" w14:textId="77777777" w:rsidR="00BE7258" w:rsidRDefault="00BE7258" w:rsidP="00383518">
            <w:pPr>
              <w:spacing w:before="120"/>
            </w:pPr>
            <w:r>
              <w:rPr>
                <w:noProof/>
                <w:lang w:val="en-CA" w:eastAsia="en-CA"/>
              </w:rPr>
              <w:drawing>
                <wp:anchor distT="0" distB="0" distL="114300" distR="114300" simplePos="0" relativeHeight="251659264" behindDoc="0" locked="0" layoutInCell="1" allowOverlap="1" wp14:anchorId="69B956FF" wp14:editId="064B6D93">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16B75A53" wp14:editId="1310E54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108CB67D" w14:textId="77777777" w:rsidR="002A3911" w:rsidRDefault="002A3911" w:rsidP="003835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166E1E75" w14:textId="62AC8C3C" w:rsidR="00BE7258" w:rsidRDefault="00BE7258" w:rsidP="0038351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Programme des</w:t>
            </w:r>
          </w:p>
          <w:p w14:paraId="199327E7" w14:textId="77777777" w:rsidR="00BE7258" w:rsidRDefault="00BE7258" w:rsidP="00383518">
            <w:pPr>
              <w:rPr>
                <w:rFonts w:ascii="Univers" w:hAnsi="Univers"/>
                <w:b/>
                <w:sz w:val="32"/>
              </w:rPr>
            </w:pPr>
            <w:r>
              <w:rPr>
                <w:rFonts w:ascii="Univers" w:hAnsi="Univers"/>
                <w:b/>
                <w:sz w:val="32"/>
              </w:rPr>
              <w:t>Nations Unies pour</w:t>
            </w:r>
          </w:p>
          <w:p w14:paraId="3D6E81A4" w14:textId="77777777" w:rsidR="00BE7258" w:rsidRDefault="00BE7258" w:rsidP="00383518">
            <w:pPr>
              <w:rPr>
                <w:rFonts w:ascii="Univers" w:hAnsi="Univers"/>
                <w:b/>
                <w:sz w:val="32"/>
              </w:rPr>
            </w:pPr>
            <w:proofErr w:type="gramStart"/>
            <w:r>
              <w:rPr>
                <w:rFonts w:ascii="Univers" w:hAnsi="Univers"/>
                <w:b/>
                <w:sz w:val="32"/>
              </w:rPr>
              <w:t>l’environnement</w:t>
            </w:r>
            <w:proofErr w:type="gramEnd"/>
          </w:p>
          <w:p w14:paraId="5370374F" w14:textId="77777777" w:rsidR="00BE7258" w:rsidRDefault="00BE7258" w:rsidP="00383518">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49398F42" w14:textId="77777777" w:rsidR="002A3911" w:rsidRDefault="002A3911" w:rsidP="00383518">
            <w:pPr>
              <w:rPr>
                <w:lang w:val="fr-FR"/>
              </w:rPr>
            </w:pPr>
          </w:p>
          <w:p w14:paraId="04A17FC5" w14:textId="45F0FD7D" w:rsidR="00BE7258" w:rsidRPr="00DD3433" w:rsidRDefault="00BE7258" w:rsidP="00383518">
            <w:pPr>
              <w:rPr>
                <w:lang w:val="fr-FR"/>
              </w:rPr>
            </w:pPr>
            <w:proofErr w:type="spellStart"/>
            <w:r w:rsidRPr="00DD3433">
              <w:rPr>
                <w:lang w:val="fr-FR"/>
              </w:rPr>
              <w:t>Distr</w:t>
            </w:r>
            <w:proofErr w:type="spellEnd"/>
            <w:r w:rsidRPr="00DD3433">
              <w:rPr>
                <w:lang w:val="fr-FR"/>
              </w:rPr>
              <w:t>.</w:t>
            </w:r>
          </w:p>
          <w:p w14:paraId="42AF63FC" w14:textId="77777777" w:rsidR="00BE7258" w:rsidRPr="00DD3433" w:rsidRDefault="00BE7258" w:rsidP="00383518">
            <w:pPr>
              <w:rPr>
                <w:lang w:val="fr-FR"/>
              </w:rPr>
            </w:pPr>
            <w:r w:rsidRPr="00DD3433">
              <w:rPr>
                <w:lang w:val="fr-FR"/>
              </w:rPr>
              <w:t>GÉNÉRALE</w:t>
            </w:r>
          </w:p>
          <w:p w14:paraId="5D9B95F5" w14:textId="77777777" w:rsidR="00BE7258" w:rsidRPr="00DD3433" w:rsidRDefault="00BE7258" w:rsidP="00383518">
            <w:pPr>
              <w:rPr>
                <w:lang w:val="fr-FR"/>
              </w:rPr>
            </w:pPr>
          </w:p>
          <w:p w14:paraId="34D4C8EC" w14:textId="59D83B3E" w:rsidR="00BE7258" w:rsidRPr="00BE7258" w:rsidRDefault="00BE7258" w:rsidP="00383518">
            <w:r>
              <w:fldChar w:fldCharType="begin"/>
            </w:r>
            <w:r w:rsidRPr="00BE7258">
              <w:instrText xml:space="preserve"> DOCPROPERTY "Document number"  \* MERGEFORMAT </w:instrText>
            </w:r>
            <w:r>
              <w:fldChar w:fldCharType="separate"/>
            </w:r>
            <w:r w:rsidR="00DB0A90">
              <w:t>UNEP/</w:t>
            </w:r>
            <w:proofErr w:type="spellStart"/>
            <w:r w:rsidR="00DB0A90">
              <w:t>OzL.Pro</w:t>
            </w:r>
            <w:proofErr w:type="spellEnd"/>
            <w:r w:rsidR="00DB0A90">
              <w:t>/</w:t>
            </w:r>
            <w:proofErr w:type="spellStart"/>
            <w:r w:rsidR="00DB0A90">
              <w:t>ExCom</w:t>
            </w:r>
            <w:proofErr w:type="spellEnd"/>
            <w:r w:rsidR="00DB0A90">
              <w:t>/91/46</w:t>
            </w:r>
            <w:r>
              <w:fldChar w:fldCharType="end"/>
            </w:r>
          </w:p>
          <w:p w14:paraId="622CD54E" w14:textId="4D8DC455" w:rsidR="00BE7258" w:rsidRPr="006D7A4D" w:rsidRDefault="00BE7258" w:rsidP="00383518">
            <w:r>
              <w:fldChar w:fldCharType="begin"/>
            </w:r>
            <w:r w:rsidRPr="006D7A4D">
              <w:instrText xml:space="preserve"> DOCPROPERTY "Revision date" \@ "d MMMM YYYY"  \* MERGEFORMAT </w:instrText>
            </w:r>
            <w:r>
              <w:fldChar w:fldCharType="separate"/>
            </w:r>
            <w:r w:rsidRPr="006D7A4D">
              <w:t>10 novembre 2022</w:t>
            </w:r>
            <w:r>
              <w:fldChar w:fldCharType="end"/>
            </w:r>
          </w:p>
          <w:p w14:paraId="6D000DCA" w14:textId="77777777" w:rsidR="00BE7258" w:rsidRDefault="00BE7258" w:rsidP="00383518">
            <w:pPr>
              <w:rPr>
                <w:caps/>
                <w:lang w:val="fr-FR"/>
              </w:rPr>
            </w:pPr>
            <w:r w:rsidRPr="006D7A4D">
              <w:rPr>
                <w:caps/>
              </w:rPr>
              <w:br/>
            </w:r>
            <w:r>
              <w:rPr>
                <w:caps/>
                <w:lang w:val="fr-FR"/>
              </w:rPr>
              <w:t>FRANÇAIS</w:t>
            </w:r>
          </w:p>
          <w:p w14:paraId="361DF346" w14:textId="77777777" w:rsidR="00BE7258" w:rsidRDefault="00BE7258" w:rsidP="00383518">
            <w:r>
              <w:t>ORIGINAL: ANGLAIS</w:t>
            </w:r>
          </w:p>
        </w:tc>
      </w:tr>
    </w:tbl>
    <w:p w14:paraId="3F4715EA" w14:textId="77777777" w:rsidR="00BE7258" w:rsidRDefault="00BE7258" w:rsidP="00BE7258">
      <w:pPr>
        <w:jc w:val="left"/>
      </w:pPr>
      <w:r>
        <w:t xml:space="preserve">COMITÉ EXÉCUTIF </w:t>
      </w:r>
      <w:r>
        <w:br/>
        <w:t xml:space="preserve">  DU FONDS MULTILATÉRAL AUX FINS </w:t>
      </w:r>
      <w:r>
        <w:br/>
        <w:t xml:space="preserve">  D’APPLICATION DU PROTOCOLE DE MONTRÉAL</w:t>
      </w:r>
      <w:r>
        <w:br/>
        <w:t>Quatre-vingt-onzième</w:t>
      </w:r>
      <w:r w:rsidRPr="00FC5578">
        <w:t xml:space="preserve"> </w:t>
      </w:r>
      <w:r>
        <w:t>réunion</w:t>
      </w:r>
    </w:p>
    <w:p w14:paraId="25207871" w14:textId="77777777" w:rsidR="00BE7258" w:rsidRPr="00B07F02" w:rsidRDefault="00BE7258" w:rsidP="00BE7258">
      <w:pPr>
        <w:jc w:val="left"/>
        <w:rPr>
          <w:lang w:val="fr-FR"/>
        </w:rPr>
      </w:pPr>
      <w:r w:rsidRPr="00B07F02">
        <w:rPr>
          <w:lang w:val="fr-FR"/>
        </w:rPr>
        <w:t xml:space="preserve">Montréal, </w:t>
      </w:r>
      <w:r>
        <w:rPr>
          <w:lang w:val="fr-FR"/>
        </w:rPr>
        <w:t>5-9 décembre</w:t>
      </w:r>
      <w:r w:rsidRPr="00B07F02">
        <w:rPr>
          <w:lang w:val="fr-FR"/>
        </w:rPr>
        <w:t xml:space="preserve"> 2022</w:t>
      </w:r>
    </w:p>
    <w:p w14:paraId="24634CF0" w14:textId="52ECEDE4" w:rsidR="00643975" w:rsidRPr="008922F8" w:rsidRDefault="002B3565" w:rsidP="00620F5C">
      <w:pPr>
        <w:suppressAutoHyphens/>
        <w:jc w:val="left"/>
      </w:pPr>
      <w:r>
        <w:t>Point 9(c) de l’ordre du jour provisoire</w:t>
      </w:r>
      <w:r w:rsidR="00537267" w:rsidRPr="008922F8">
        <w:rPr>
          <w:rStyle w:val="FootnoteReference"/>
        </w:rPr>
        <w:footnoteReference w:id="1"/>
      </w:r>
    </w:p>
    <w:bookmarkEnd w:id="0"/>
    <w:p w14:paraId="30A4A916" w14:textId="77777777" w:rsidR="00C15867" w:rsidRPr="008922F8" w:rsidRDefault="00C15867" w:rsidP="00620F5C">
      <w:pPr>
        <w:suppressAutoHyphens/>
        <w:jc w:val="left"/>
      </w:pPr>
    </w:p>
    <w:p w14:paraId="180A366E" w14:textId="2A59D0E1" w:rsidR="00437B20" w:rsidRDefault="00437B20" w:rsidP="00620F5C">
      <w:pPr>
        <w:suppressAutoHyphens/>
      </w:pPr>
    </w:p>
    <w:p w14:paraId="52AF19B6" w14:textId="77777777" w:rsidR="002A3911" w:rsidRPr="008922F8" w:rsidRDefault="002A3911" w:rsidP="00620F5C">
      <w:pPr>
        <w:suppressAutoHyphens/>
      </w:pPr>
    </w:p>
    <w:p w14:paraId="5AD6CF3C" w14:textId="4039B191" w:rsidR="00437B20" w:rsidRDefault="00DB0A90" w:rsidP="00620F5C">
      <w:pPr>
        <w:suppressAutoHyphens/>
        <w:jc w:val="center"/>
        <w:rPr>
          <w:b/>
        </w:rPr>
      </w:pPr>
      <w:r>
        <w:rPr>
          <w:b/>
        </w:rPr>
        <w:t>PROPOSITION DE PROJET : MONTÉNÉGRO</w:t>
      </w:r>
    </w:p>
    <w:p w14:paraId="005DD24F" w14:textId="77777777" w:rsidR="002A3911" w:rsidRPr="008922F8" w:rsidRDefault="002A3911" w:rsidP="00620F5C">
      <w:pPr>
        <w:suppressAutoHyphens/>
        <w:jc w:val="center"/>
        <w:rPr>
          <w:b/>
        </w:rPr>
      </w:pPr>
    </w:p>
    <w:p w14:paraId="7DD91041" w14:textId="77777777" w:rsidR="00437B20" w:rsidRPr="008922F8" w:rsidRDefault="00437B20" w:rsidP="00620F5C">
      <w:pPr>
        <w:suppressAutoHyphens/>
      </w:pPr>
    </w:p>
    <w:p w14:paraId="0B517731" w14:textId="77777777" w:rsidR="00437B20" w:rsidRPr="008922F8" w:rsidRDefault="00437B20" w:rsidP="00620F5C">
      <w:pPr>
        <w:suppressAutoHyphens/>
      </w:pPr>
    </w:p>
    <w:p w14:paraId="4F5643BA" w14:textId="47350145" w:rsidR="00437B20" w:rsidRPr="008922F8" w:rsidRDefault="00437B20" w:rsidP="00620F5C">
      <w:pPr>
        <w:suppressAutoHyphens/>
        <w:ind w:firstLine="720"/>
      </w:pPr>
      <w:r>
        <w:t xml:space="preserve">Le présent document contient les commentaires et la recommandation du Secrétariat du Fonds sur la proposition de projet suivante : </w:t>
      </w:r>
    </w:p>
    <w:p w14:paraId="3B7127DD" w14:textId="77777777" w:rsidR="00437B20" w:rsidRPr="008922F8" w:rsidRDefault="00437B20" w:rsidP="00620F5C">
      <w:pPr>
        <w:suppressAutoHyphens/>
      </w:pPr>
    </w:p>
    <w:p w14:paraId="7F131555" w14:textId="77777777" w:rsidR="00437B20" w:rsidRPr="008922F8" w:rsidRDefault="00437B20" w:rsidP="00620F5C">
      <w:pPr>
        <w:suppressAutoHyphens/>
        <w:rPr>
          <w:u w:val="single"/>
        </w:rPr>
      </w:pPr>
      <w:r>
        <w:rPr>
          <w:u w:val="single"/>
        </w:rPr>
        <w:t>Élimination</w:t>
      </w:r>
    </w:p>
    <w:p w14:paraId="1A266C18" w14:textId="77777777" w:rsidR="00437B20" w:rsidRPr="008922F8" w:rsidRDefault="00437B20" w:rsidP="00620F5C">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8922F8" w14:paraId="1F07E3B6" w14:textId="77777777" w:rsidTr="00692233">
        <w:tc>
          <w:tcPr>
            <w:tcW w:w="6941" w:type="dxa"/>
          </w:tcPr>
          <w:p w14:paraId="4F0DA544" w14:textId="3B646ECA" w:rsidR="00437B20" w:rsidRPr="008922F8" w:rsidRDefault="00437B20" w:rsidP="00620F5C">
            <w:pPr>
              <w:pStyle w:val="ListParagraph"/>
              <w:numPr>
                <w:ilvl w:val="0"/>
                <w:numId w:val="10"/>
              </w:numPr>
              <w:suppressAutoHyphens/>
              <w:ind w:hanging="830"/>
              <w:jc w:val="left"/>
            </w:pPr>
            <w:r>
              <w:t>Plan de gestion de l’élimination des HCFC (phase II, deuxième tranche)</w:t>
            </w:r>
          </w:p>
        </w:tc>
        <w:tc>
          <w:tcPr>
            <w:tcW w:w="2409" w:type="dxa"/>
          </w:tcPr>
          <w:p w14:paraId="598A05A8" w14:textId="16FB19F2" w:rsidR="00437B20" w:rsidRPr="008922F8" w:rsidRDefault="00FC782D" w:rsidP="00620F5C">
            <w:pPr>
              <w:suppressAutoHyphens/>
              <w:jc w:val="right"/>
            </w:pPr>
            <w:r>
              <w:t>ONUDI</w:t>
            </w:r>
          </w:p>
        </w:tc>
      </w:tr>
    </w:tbl>
    <w:p w14:paraId="0CB78341" w14:textId="77777777" w:rsidR="00437B20" w:rsidRPr="008922F8" w:rsidRDefault="00437B20" w:rsidP="00620F5C">
      <w:pPr>
        <w:suppressAutoHyphens/>
      </w:pPr>
    </w:p>
    <w:p w14:paraId="773308AF" w14:textId="77777777" w:rsidR="00437B20" w:rsidRPr="008922F8" w:rsidRDefault="00437B20" w:rsidP="00620F5C">
      <w:pPr>
        <w:suppressAutoHyphens/>
      </w:pPr>
    </w:p>
    <w:p w14:paraId="7BE12AFD" w14:textId="77777777" w:rsidR="00437B20" w:rsidRPr="008922F8" w:rsidRDefault="00437B20" w:rsidP="00620F5C">
      <w:pPr>
        <w:suppressAutoHyphens/>
      </w:pPr>
    </w:p>
    <w:p w14:paraId="083B3136" w14:textId="77777777" w:rsidR="00437B20" w:rsidRPr="008922F8" w:rsidRDefault="00437B20" w:rsidP="00620F5C">
      <w:pPr>
        <w:suppressAutoHyphens/>
      </w:pPr>
      <w:r>
        <w:br w:type="page"/>
      </w:r>
    </w:p>
    <w:p w14:paraId="61DB9D7C" w14:textId="09E19CC4" w:rsidR="00437B20" w:rsidRPr="008922F8" w:rsidRDefault="00437B20" w:rsidP="00620F5C">
      <w:pPr>
        <w:suppressAutoHyphens/>
        <w:jc w:val="center"/>
        <w:rPr>
          <w:b/>
        </w:rPr>
      </w:pPr>
      <w:r>
        <w:rPr>
          <w:b/>
        </w:rPr>
        <w:lastRenderedPageBreak/>
        <w:t>FEUILLE D’ÉVALUATION DU PROJET – PROJETS PLURIANNUELS</w:t>
      </w:r>
    </w:p>
    <w:p w14:paraId="407DB460" w14:textId="77777777" w:rsidR="008A6F28" w:rsidRPr="008922F8" w:rsidRDefault="008A6F28" w:rsidP="00620F5C">
      <w:pPr>
        <w:suppressAutoHyphens/>
        <w:jc w:val="center"/>
        <w:rPr>
          <w:b/>
        </w:rPr>
      </w:pPr>
    </w:p>
    <w:p w14:paraId="403E77D8" w14:textId="0741D919" w:rsidR="00437B20" w:rsidRPr="007A4737" w:rsidRDefault="00FC782D" w:rsidP="00620F5C">
      <w:pPr>
        <w:suppressAutoHyphens/>
        <w:jc w:val="center"/>
        <w:rPr>
          <w:b/>
          <w:bCs/>
        </w:rPr>
      </w:pPr>
      <w:r>
        <w:rPr>
          <w:b/>
          <w:bCs/>
        </w:rPr>
        <w:t>Monténégro</w:t>
      </w:r>
    </w:p>
    <w:p w14:paraId="2F470F44" w14:textId="77777777" w:rsidR="00830019" w:rsidRPr="008922F8" w:rsidRDefault="00830019" w:rsidP="00620F5C">
      <w:pPr>
        <w:suppressAutoHyphens/>
        <w:jc w:val="center"/>
      </w:pPr>
    </w:p>
    <w:tbl>
      <w:tblPr>
        <w:tblStyle w:val="TableGrid"/>
        <w:tblW w:w="104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27"/>
        <w:gridCol w:w="2409"/>
        <w:gridCol w:w="3069"/>
      </w:tblGrid>
      <w:tr w:rsidR="0039481A" w:rsidRPr="008922F8" w14:paraId="457FE69C" w14:textId="77777777" w:rsidTr="00DB0A90">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6AF6D1B6" w14:textId="77777777" w:rsidR="0039481A" w:rsidRPr="008922F8" w:rsidRDefault="0039481A" w:rsidP="00620F5C">
            <w:pPr>
              <w:suppressAutoHyphens/>
              <w:jc w:val="left"/>
              <w:rPr>
                <w:b/>
                <w:sz w:val="20"/>
                <w:szCs w:val="20"/>
              </w:rPr>
            </w:pPr>
            <w:r>
              <w:rPr>
                <w:b/>
                <w:sz w:val="20"/>
                <w:szCs w:val="20"/>
              </w:rPr>
              <w:t>(I) TITRE DU PROJET</w:t>
            </w:r>
          </w:p>
        </w:tc>
        <w:tc>
          <w:tcPr>
            <w:tcW w:w="2127" w:type="dxa"/>
            <w:tcBorders>
              <w:top w:val="single" w:sz="4" w:space="0" w:color="666699"/>
              <w:left w:val="single" w:sz="4" w:space="0" w:color="666699"/>
              <w:bottom w:val="single" w:sz="4" w:space="0" w:color="666699"/>
              <w:right w:val="single" w:sz="4" w:space="0" w:color="666699"/>
            </w:tcBorders>
            <w:hideMark/>
          </w:tcPr>
          <w:p w14:paraId="19D815F3" w14:textId="7B875677" w:rsidR="0039481A" w:rsidRPr="008922F8" w:rsidRDefault="0039481A" w:rsidP="00620F5C">
            <w:pPr>
              <w:suppressAutoHyphens/>
              <w:jc w:val="center"/>
              <w:rPr>
                <w:b/>
                <w:sz w:val="20"/>
                <w:szCs w:val="20"/>
              </w:rPr>
            </w:pPr>
            <w:r>
              <w:rPr>
                <w:b/>
                <w:sz w:val="20"/>
                <w:szCs w:val="20"/>
              </w:rPr>
              <w:t>AGENC</w:t>
            </w:r>
            <w:r w:rsidR="00EB20FC">
              <w:rPr>
                <w:b/>
                <w:sz w:val="20"/>
                <w:szCs w:val="20"/>
              </w:rPr>
              <w:t>E</w:t>
            </w:r>
          </w:p>
        </w:tc>
        <w:tc>
          <w:tcPr>
            <w:tcW w:w="2409" w:type="dxa"/>
            <w:tcBorders>
              <w:top w:val="single" w:sz="4" w:space="0" w:color="666699"/>
              <w:left w:val="single" w:sz="4" w:space="0" w:color="666699"/>
              <w:bottom w:val="single" w:sz="4" w:space="0" w:color="666699"/>
              <w:right w:val="single" w:sz="4" w:space="0" w:color="666699"/>
            </w:tcBorders>
            <w:hideMark/>
          </w:tcPr>
          <w:p w14:paraId="11CED53C" w14:textId="77777777" w:rsidR="0039481A" w:rsidRPr="008922F8" w:rsidRDefault="0039481A" w:rsidP="00620F5C">
            <w:pPr>
              <w:suppressAutoHyphens/>
              <w:jc w:val="center"/>
              <w:rPr>
                <w:b/>
                <w:sz w:val="20"/>
                <w:szCs w:val="20"/>
              </w:rPr>
            </w:pPr>
            <w:r>
              <w:rPr>
                <w:b/>
                <w:sz w:val="20"/>
                <w:szCs w:val="20"/>
              </w:rPr>
              <w:t>RÉUNION APPROUVÉE</w:t>
            </w:r>
          </w:p>
        </w:tc>
        <w:tc>
          <w:tcPr>
            <w:tcW w:w="3069" w:type="dxa"/>
            <w:tcBorders>
              <w:top w:val="single" w:sz="4" w:space="0" w:color="666699"/>
              <w:left w:val="single" w:sz="4" w:space="0" w:color="666699"/>
              <w:bottom w:val="single" w:sz="4" w:space="0" w:color="666699"/>
              <w:right w:val="single" w:sz="4" w:space="0" w:color="666699"/>
            </w:tcBorders>
            <w:hideMark/>
          </w:tcPr>
          <w:p w14:paraId="46D71CFD" w14:textId="77777777" w:rsidR="0039481A" w:rsidRPr="008922F8" w:rsidRDefault="0039481A" w:rsidP="00620F5C">
            <w:pPr>
              <w:suppressAutoHyphens/>
              <w:jc w:val="center"/>
              <w:rPr>
                <w:b/>
                <w:sz w:val="20"/>
                <w:szCs w:val="20"/>
              </w:rPr>
            </w:pPr>
            <w:r>
              <w:rPr>
                <w:b/>
                <w:sz w:val="20"/>
                <w:szCs w:val="20"/>
              </w:rPr>
              <w:t>MESURE DE CONTRÔLE</w:t>
            </w:r>
          </w:p>
        </w:tc>
      </w:tr>
      <w:tr w:rsidR="0039481A" w:rsidRPr="008922F8" w14:paraId="5CA7C6E9" w14:textId="77777777" w:rsidTr="00DB0A90">
        <w:trPr>
          <w:trHeight w:val="240"/>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56BEBA33" w14:textId="557E5ABD" w:rsidR="0039481A" w:rsidRPr="008922F8" w:rsidRDefault="0039481A" w:rsidP="00620F5C">
            <w:pPr>
              <w:suppressAutoHyphens/>
              <w:jc w:val="center"/>
              <w:rPr>
                <w:sz w:val="20"/>
                <w:szCs w:val="20"/>
              </w:rPr>
            </w:pPr>
            <w:r>
              <w:rPr>
                <w:sz w:val="20"/>
                <w:szCs w:val="20"/>
              </w:rPr>
              <w:t>Plan de l’élimination des HCFC (phase II)</w:t>
            </w:r>
          </w:p>
        </w:tc>
        <w:tc>
          <w:tcPr>
            <w:tcW w:w="2127" w:type="dxa"/>
            <w:tcBorders>
              <w:top w:val="single" w:sz="4" w:space="0" w:color="666699"/>
              <w:left w:val="single" w:sz="4" w:space="0" w:color="666699"/>
              <w:bottom w:val="single" w:sz="4" w:space="0" w:color="666699"/>
              <w:right w:val="single" w:sz="4" w:space="0" w:color="666699"/>
            </w:tcBorders>
            <w:vAlign w:val="center"/>
          </w:tcPr>
          <w:p w14:paraId="6DFA13F6" w14:textId="3E4CEE08" w:rsidR="0039481A" w:rsidRPr="008922F8" w:rsidRDefault="00FC782D" w:rsidP="00620F5C">
            <w:pPr>
              <w:suppressAutoHyphens/>
              <w:jc w:val="center"/>
              <w:rPr>
                <w:sz w:val="20"/>
                <w:szCs w:val="20"/>
              </w:rPr>
            </w:pPr>
            <w:r>
              <w:rPr>
                <w:color w:val="000000" w:themeColor="text1"/>
                <w:sz w:val="20"/>
                <w:szCs w:val="20"/>
              </w:rPr>
              <w:t>ONUDI (principale)</w:t>
            </w:r>
          </w:p>
        </w:tc>
        <w:tc>
          <w:tcPr>
            <w:tcW w:w="2409" w:type="dxa"/>
            <w:tcBorders>
              <w:top w:val="single" w:sz="4" w:space="0" w:color="666699"/>
              <w:left w:val="single" w:sz="4" w:space="0" w:color="666699"/>
              <w:bottom w:val="single" w:sz="4" w:space="0" w:color="666699"/>
              <w:right w:val="single" w:sz="4" w:space="0" w:color="666699"/>
            </w:tcBorders>
            <w:vAlign w:val="center"/>
          </w:tcPr>
          <w:p w14:paraId="2DDCB19D" w14:textId="63ED845E" w:rsidR="0039481A" w:rsidRPr="008922F8" w:rsidRDefault="00EB55C1" w:rsidP="00620F5C">
            <w:pPr>
              <w:suppressAutoHyphens/>
              <w:jc w:val="center"/>
              <w:rPr>
                <w:sz w:val="20"/>
                <w:szCs w:val="20"/>
              </w:rPr>
            </w:pPr>
            <w:r>
              <w:rPr>
                <w:sz w:val="20"/>
                <w:szCs w:val="20"/>
              </w:rPr>
              <w:t>85</w:t>
            </w:r>
            <w:r>
              <w:rPr>
                <w:sz w:val="20"/>
                <w:szCs w:val="20"/>
                <w:vertAlign w:val="superscript"/>
              </w:rPr>
              <w:t>e</w:t>
            </w:r>
          </w:p>
        </w:tc>
        <w:tc>
          <w:tcPr>
            <w:tcW w:w="3069" w:type="dxa"/>
            <w:tcBorders>
              <w:top w:val="single" w:sz="4" w:space="0" w:color="666699"/>
              <w:left w:val="single" w:sz="4" w:space="0" w:color="666699"/>
              <w:bottom w:val="single" w:sz="4" w:space="0" w:color="666699"/>
              <w:right w:val="single" w:sz="4" w:space="0" w:color="666699"/>
            </w:tcBorders>
            <w:vAlign w:val="center"/>
          </w:tcPr>
          <w:p w14:paraId="0696A796" w14:textId="718A8A62" w:rsidR="0039481A" w:rsidRPr="008922F8" w:rsidRDefault="00491E80" w:rsidP="00620F5C">
            <w:pPr>
              <w:suppressAutoHyphens/>
              <w:jc w:val="center"/>
              <w:rPr>
                <w:sz w:val="20"/>
                <w:szCs w:val="20"/>
              </w:rPr>
            </w:pPr>
            <w:r>
              <w:rPr>
                <w:sz w:val="20"/>
                <w:szCs w:val="20"/>
              </w:rPr>
              <w:t>Élimination à 100 % d’ici 2025</w:t>
            </w:r>
          </w:p>
        </w:tc>
      </w:tr>
    </w:tbl>
    <w:p w14:paraId="2B86B2EF" w14:textId="77777777" w:rsidR="0039481A" w:rsidRPr="008922F8" w:rsidRDefault="0039481A" w:rsidP="00620F5C">
      <w:pPr>
        <w:suppressAutoHyphens/>
        <w:jc w:val="center"/>
        <w:rPr>
          <w:sz w:val="20"/>
          <w:szCs w:val="20"/>
        </w:rPr>
      </w:pPr>
    </w:p>
    <w:tbl>
      <w:tblPr>
        <w:tblStyle w:val="TableGrid"/>
        <w:tblW w:w="104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835"/>
      </w:tblGrid>
      <w:tr w:rsidR="0039481A" w:rsidRPr="008922F8" w14:paraId="3060F626" w14:textId="77777777" w:rsidTr="00DB0A90">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698B4FF1" w14:textId="77777777" w:rsidR="0039481A" w:rsidRPr="008922F8" w:rsidRDefault="0039481A" w:rsidP="00620F5C">
            <w:pPr>
              <w:suppressAutoHyphens/>
              <w:jc w:val="left"/>
              <w:rPr>
                <w:b/>
                <w:sz w:val="20"/>
                <w:szCs w:val="20"/>
              </w:rPr>
            </w:pPr>
            <w:r>
              <w:rPr>
                <w:b/>
                <w:sz w:val="20"/>
                <w:szCs w:val="20"/>
              </w:rPr>
              <w:t>(II) DERNIÈRES DONNÉES DE L’ARTICLE 7 (Annexe C groupe l)</w:t>
            </w:r>
          </w:p>
        </w:tc>
        <w:tc>
          <w:tcPr>
            <w:tcW w:w="2400" w:type="dxa"/>
            <w:tcBorders>
              <w:top w:val="single" w:sz="4" w:space="0" w:color="666699"/>
              <w:left w:val="single" w:sz="4" w:space="0" w:color="666699"/>
              <w:bottom w:val="single" w:sz="4" w:space="0" w:color="666699"/>
              <w:right w:val="single" w:sz="4" w:space="0" w:color="666699"/>
            </w:tcBorders>
            <w:hideMark/>
          </w:tcPr>
          <w:p w14:paraId="2086B794" w14:textId="19F14C4C" w:rsidR="0039481A" w:rsidRPr="008922F8" w:rsidRDefault="0039481A" w:rsidP="00620F5C">
            <w:pPr>
              <w:suppressAutoHyphens/>
              <w:jc w:val="center"/>
              <w:rPr>
                <w:sz w:val="20"/>
                <w:szCs w:val="20"/>
              </w:rPr>
            </w:pPr>
            <w:r>
              <w:rPr>
                <w:sz w:val="20"/>
                <w:szCs w:val="20"/>
              </w:rPr>
              <w:t>Année : 2021</w:t>
            </w:r>
          </w:p>
        </w:tc>
        <w:tc>
          <w:tcPr>
            <w:tcW w:w="2835" w:type="dxa"/>
            <w:tcBorders>
              <w:top w:val="single" w:sz="4" w:space="0" w:color="666699"/>
              <w:left w:val="single" w:sz="4" w:space="0" w:color="666699"/>
              <w:bottom w:val="single" w:sz="4" w:space="0" w:color="666699"/>
              <w:right w:val="single" w:sz="4" w:space="0" w:color="666699"/>
            </w:tcBorders>
            <w:hideMark/>
          </w:tcPr>
          <w:p w14:paraId="6B3D793C" w14:textId="16F8A5D6" w:rsidR="0039481A" w:rsidRPr="008922F8" w:rsidRDefault="002E7FE2" w:rsidP="00620F5C">
            <w:pPr>
              <w:suppressAutoHyphens/>
              <w:jc w:val="right"/>
              <w:rPr>
                <w:sz w:val="20"/>
                <w:szCs w:val="20"/>
              </w:rPr>
            </w:pPr>
            <w:r>
              <w:rPr>
                <w:sz w:val="20"/>
                <w:szCs w:val="20"/>
              </w:rPr>
              <w:t>0,10 tonne PAO</w:t>
            </w:r>
          </w:p>
        </w:tc>
      </w:tr>
    </w:tbl>
    <w:p w14:paraId="12CFD351" w14:textId="77777777" w:rsidR="0039481A" w:rsidRPr="008922F8" w:rsidRDefault="0039481A" w:rsidP="00620F5C">
      <w:pPr>
        <w:suppressAutoHyphens/>
        <w:jc w:val="center"/>
        <w:rPr>
          <w:sz w:val="20"/>
          <w:szCs w:val="20"/>
        </w:rPr>
      </w:pPr>
    </w:p>
    <w:tbl>
      <w:tblPr>
        <w:tblStyle w:val="TableGrid"/>
        <w:tblW w:w="104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75"/>
        <w:gridCol w:w="1049"/>
        <w:gridCol w:w="841"/>
        <w:gridCol w:w="718"/>
        <w:gridCol w:w="1262"/>
        <w:gridCol w:w="1170"/>
        <w:gridCol w:w="900"/>
        <w:gridCol w:w="1064"/>
        <w:gridCol w:w="826"/>
        <w:gridCol w:w="1530"/>
      </w:tblGrid>
      <w:tr w:rsidR="0039481A" w:rsidRPr="008922F8" w14:paraId="1AEF5767" w14:textId="77777777" w:rsidTr="00DB0A90">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49EA9727" w14:textId="77777777" w:rsidR="0039481A" w:rsidRPr="008922F8" w:rsidRDefault="0039481A" w:rsidP="00620F5C">
            <w:pPr>
              <w:suppressAutoHyphens/>
              <w:jc w:val="left"/>
              <w:rPr>
                <w:b/>
                <w:sz w:val="20"/>
                <w:szCs w:val="20"/>
              </w:rPr>
            </w:pPr>
            <w:r>
              <w:rPr>
                <w:b/>
                <w:sz w:val="20"/>
                <w:szCs w:val="20"/>
              </w:rPr>
              <w:t>(III) DERNIÈRES DONNÉES SECTORIELLES DU PROGRAMME DU PAYS (tonnes PAO)</w:t>
            </w:r>
          </w:p>
        </w:tc>
        <w:tc>
          <w:tcPr>
            <w:tcW w:w="2356" w:type="dxa"/>
            <w:gridSpan w:val="2"/>
            <w:tcBorders>
              <w:top w:val="single" w:sz="4" w:space="0" w:color="666699"/>
              <w:left w:val="single" w:sz="4" w:space="0" w:color="666699"/>
              <w:bottom w:val="single" w:sz="4" w:space="0" w:color="666699"/>
              <w:right w:val="single" w:sz="4" w:space="0" w:color="666699"/>
            </w:tcBorders>
            <w:hideMark/>
          </w:tcPr>
          <w:p w14:paraId="47B58D02" w14:textId="77777777" w:rsidR="0039481A" w:rsidRPr="008922F8" w:rsidRDefault="0039481A" w:rsidP="00620F5C">
            <w:pPr>
              <w:suppressAutoHyphens/>
              <w:jc w:val="right"/>
              <w:rPr>
                <w:b/>
                <w:sz w:val="20"/>
                <w:szCs w:val="20"/>
              </w:rPr>
            </w:pPr>
            <w:r>
              <w:rPr>
                <w:b/>
                <w:sz w:val="20"/>
                <w:szCs w:val="20"/>
              </w:rPr>
              <w:t>Année : 2021</w:t>
            </w:r>
          </w:p>
        </w:tc>
      </w:tr>
      <w:tr w:rsidR="0039481A" w:rsidRPr="008922F8" w14:paraId="5B66F1E1" w14:textId="77777777" w:rsidTr="00DB0A90">
        <w:trPr>
          <w:trHeight w:val="249"/>
        </w:trPr>
        <w:tc>
          <w:tcPr>
            <w:tcW w:w="1075" w:type="dxa"/>
            <w:tcBorders>
              <w:top w:val="single" w:sz="4" w:space="0" w:color="666699"/>
              <w:left w:val="single" w:sz="4" w:space="0" w:color="666699"/>
              <w:bottom w:val="single" w:sz="4" w:space="0" w:color="666699"/>
              <w:right w:val="single" w:sz="4" w:space="0" w:color="666699"/>
            </w:tcBorders>
            <w:hideMark/>
          </w:tcPr>
          <w:p w14:paraId="6AF8BD71" w14:textId="77777777" w:rsidR="0039481A" w:rsidRPr="008922F8" w:rsidRDefault="0039481A" w:rsidP="00620F5C">
            <w:pPr>
              <w:suppressAutoHyphens/>
              <w:jc w:val="center"/>
              <w:rPr>
                <w:sz w:val="20"/>
                <w:szCs w:val="20"/>
              </w:rPr>
            </w:pPr>
            <w:r>
              <w:rPr>
                <w:sz w:val="20"/>
                <w:szCs w:val="20"/>
              </w:rPr>
              <w:t>Substance chimique</w:t>
            </w:r>
          </w:p>
        </w:tc>
        <w:tc>
          <w:tcPr>
            <w:tcW w:w="1049" w:type="dxa"/>
            <w:tcBorders>
              <w:top w:val="single" w:sz="4" w:space="0" w:color="666699"/>
              <w:left w:val="single" w:sz="4" w:space="0" w:color="666699"/>
              <w:bottom w:val="single" w:sz="4" w:space="0" w:color="666699"/>
              <w:right w:val="single" w:sz="4" w:space="0" w:color="666699"/>
            </w:tcBorders>
            <w:hideMark/>
          </w:tcPr>
          <w:p w14:paraId="63888CA3" w14:textId="77777777" w:rsidR="0039481A" w:rsidRPr="008922F8" w:rsidRDefault="0039481A" w:rsidP="00620F5C">
            <w:pPr>
              <w:suppressAutoHyphens/>
              <w:jc w:val="center"/>
              <w:rPr>
                <w:sz w:val="20"/>
                <w:szCs w:val="20"/>
              </w:rPr>
            </w:pPr>
            <w:r>
              <w:rPr>
                <w:sz w:val="20"/>
                <w:szCs w:val="20"/>
              </w:rPr>
              <w:t>Aérosol</w:t>
            </w:r>
          </w:p>
        </w:tc>
        <w:tc>
          <w:tcPr>
            <w:tcW w:w="841" w:type="dxa"/>
            <w:tcBorders>
              <w:top w:val="single" w:sz="4" w:space="0" w:color="666699"/>
              <w:left w:val="single" w:sz="4" w:space="0" w:color="666699"/>
              <w:bottom w:val="single" w:sz="4" w:space="0" w:color="666699"/>
              <w:right w:val="single" w:sz="4" w:space="0" w:color="666699"/>
            </w:tcBorders>
            <w:hideMark/>
          </w:tcPr>
          <w:p w14:paraId="08883B56" w14:textId="77777777" w:rsidR="0039481A" w:rsidRPr="008922F8" w:rsidRDefault="0039481A" w:rsidP="00620F5C">
            <w:pPr>
              <w:suppressAutoHyphens/>
              <w:jc w:val="center"/>
              <w:rPr>
                <w:sz w:val="20"/>
                <w:szCs w:val="20"/>
              </w:rPr>
            </w:pPr>
            <w:r>
              <w:rPr>
                <w:sz w:val="20"/>
                <w:szCs w:val="20"/>
              </w:rPr>
              <w:t>Mousse</w:t>
            </w:r>
          </w:p>
        </w:tc>
        <w:tc>
          <w:tcPr>
            <w:tcW w:w="718" w:type="dxa"/>
            <w:tcBorders>
              <w:top w:val="single" w:sz="4" w:space="0" w:color="666699"/>
              <w:left w:val="single" w:sz="4" w:space="0" w:color="666699"/>
              <w:bottom w:val="single" w:sz="4" w:space="0" w:color="666699"/>
              <w:right w:val="single" w:sz="4" w:space="0" w:color="666699"/>
            </w:tcBorders>
            <w:hideMark/>
          </w:tcPr>
          <w:p w14:paraId="52768EA8" w14:textId="77777777" w:rsidR="00DB0A90" w:rsidRDefault="0039481A" w:rsidP="00620F5C">
            <w:pPr>
              <w:suppressAutoHyphens/>
              <w:jc w:val="center"/>
              <w:rPr>
                <w:sz w:val="20"/>
                <w:szCs w:val="20"/>
              </w:rPr>
            </w:pPr>
            <w:r>
              <w:rPr>
                <w:sz w:val="20"/>
                <w:szCs w:val="20"/>
              </w:rPr>
              <w:t>Lutte contre l’in</w:t>
            </w:r>
            <w:r w:rsidR="00DB0A90">
              <w:rPr>
                <w:sz w:val="20"/>
                <w:szCs w:val="20"/>
              </w:rPr>
              <w:t>-</w:t>
            </w:r>
          </w:p>
          <w:p w14:paraId="6D58F7DB" w14:textId="5554744E" w:rsidR="0039481A" w:rsidRPr="008922F8" w:rsidRDefault="00DB0A90" w:rsidP="00620F5C">
            <w:pPr>
              <w:suppressAutoHyphens/>
              <w:jc w:val="center"/>
              <w:rPr>
                <w:sz w:val="20"/>
                <w:szCs w:val="20"/>
              </w:rPr>
            </w:pPr>
            <w:proofErr w:type="spellStart"/>
            <w:proofErr w:type="gramStart"/>
            <w:r>
              <w:rPr>
                <w:sz w:val="20"/>
                <w:szCs w:val="20"/>
              </w:rPr>
              <w:t>c</w:t>
            </w:r>
            <w:r w:rsidR="0039481A">
              <w:rPr>
                <w:sz w:val="20"/>
                <w:szCs w:val="20"/>
              </w:rPr>
              <w:t>en</w:t>
            </w:r>
            <w:proofErr w:type="spellEnd"/>
            <w:proofErr w:type="gramEnd"/>
            <w:r>
              <w:rPr>
                <w:sz w:val="20"/>
                <w:szCs w:val="20"/>
              </w:rPr>
              <w:t>-</w:t>
            </w:r>
            <w:r w:rsidR="0039481A">
              <w:rPr>
                <w:sz w:val="20"/>
                <w:szCs w:val="20"/>
              </w:rPr>
              <w:t>die</w:t>
            </w:r>
          </w:p>
        </w:tc>
        <w:tc>
          <w:tcPr>
            <w:tcW w:w="2432" w:type="dxa"/>
            <w:gridSpan w:val="2"/>
            <w:tcBorders>
              <w:top w:val="single" w:sz="4" w:space="0" w:color="666699"/>
              <w:left w:val="single" w:sz="4" w:space="0" w:color="666699"/>
              <w:bottom w:val="single" w:sz="4" w:space="0" w:color="666699"/>
              <w:right w:val="single" w:sz="4" w:space="0" w:color="666699"/>
            </w:tcBorders>
            <w:hideMark/>
          </w:tcPr>
          <w:p w14:paraId="09296D72" w14:textId="77777777" w:rsidR="0039481A" w:rsidRPr="008922F8" w:rsidRDefault="0039481A" w:rsidP="00620F5C">
            <w:pPr>
              <w:suppressAutoHyphens/>
              <w:jc w:val="center"/>
              <w:rPr>
                <w:sz w:val="20"/>
                <w:szCs w:val="20"/>
              </w:rPr>
            </w:pPr>
            <w:r>
              <w:rPr>
                <w:sz w:val="20"/>
                <w:szCs w:val="20"/>
              </w:rPr>
              <w:t>Réfrigération</w:t>
            </w:r>
          </w:p>
        </w:tc>
        <w:tc>
          <w:tcPr>
            <w:tcW w:w="900" w:type="dxa"/>
            <w:tcBorders>
              <w:top w:val="single" w:sz="4" w:space="0" w:color="666699"/>
              <w:left w:val="single" w:sz="4" w:space="0" w:color="666699"/>
              <w:bottom w:val="single" w:sz="4" w:space="0" w:color="666699"/>
              <w:right w:val="single" w:sz="4" w:space="0" w:color="666699"/>
            </w:tcBorders>
            <w:hideMark/>
          </w:tcPr>
          <w:p w14:paraId="15585CA6" w14:textId="23FEB29A" w:rsidR="0039481A" w:rsidRPr="008922F8" w:rsidRDefault="0039481A" w:rsidP="00620F5C">
            <w:pPr>
              <w:suppressAutoHyphens/>
              <w:jc w:val="center"/>
              <w:rPr>
                <w:sz w:val="20"/>
                <w:szCs w:val="20"/>
              </w:rPr>
            </w:pPr>
            <w:r>
              <w:rPr>
                <w:sz w:val="20"/>
                <w:szCs w:val="20"/>
              </w:rPr>
              <w:t>Solvant</w:t>
            </w:r>
          </w:p>
        </w:tc>
        <w:tc>
          <w:tcPr>
            <w:tcW w:w="1064" w:type="dxa"/>
            <w:tcBorders>
              <w:top w:val="single" w:sz="4" w:space="0" w:color="666699"/>
              <w:left w:val="single" w:sz="4" w:space="0" w:color="666699"/>
              <w:bottom w:val="single" w:sz="4" w:space="0" w:color="666699"/>
              <w:right w:val="single" w:sz="4" w:space="0" w:color="666699"/>
            </w:tcBorders>
            <w:hideMark/>
          </w:tcPr>
          <w:p w14:paraId="3EAC2F54" w14:textId="77777777" w:rsidR="00DB0A90" w:rsidRDefault="0039481A" w:rsidP="00620F5C">
            <w:pPr>
              <w:suppressAutoHyphens/>
              <w:jc w:val="center"/>
              <w:rPr>
                <w:sz w:val="20"/>
                <w:szCs w:val="20"/>
              </w:rPr>
            </w:pPr>
            <w:r>
              <w:rPr>
                <w:sz w:val="20"/>
                <w:szCs w:val="20"/>
              </w:rPr>
              <w:t>Agent de trans</w:t>
            </w:r>
            <w:r w:rsidR="00DB0A90">
              <w:rPr>
                <w:sz w:val="20"/>
                <w:szCs w:val="20"/>
              </w:rPr>
              <w:t>-</w:t>
            </w:r>
          </w:p>
          <w:p w14:paraId="79E7028D" w14:textId="6EA07890" w:rsidR="0039481A" w:rsidRPr="008922F8" w:rsidRDefault="0039481A" w:rsidP="00DB0A90">
            <w:pPr>
              <w:suppressAutoHyphens/>
              <w:jc w:val="center"/>
              <w:rPr>
                <w:sz w:val="20"/>
                <w:szCs w:val="20"/>
              </w:rPr>
            </w:pPr>
            <w:r>
              <w:rPr>
                <w:sz w:val="20"/>
                <w:szCs w:val="20"/>
              </w:rPr>
              <w:t>formation</w:t>
            </w:r>
          </w:p>
        </w:tc>
        <w:tc>
          <w:tcPr>
            <w:tcW w:w="826" w:type="dxa"/>
            <w:tcBorders>
              <w:top w:val="single" w:sz="4" w:space="0" w:color="666699"/>
              <w:left w:val="single" w:sz="4" w:space="0" w:color="666699"/>
              <w:bottom w:val="single" w:sz="4" w:space="0" w:color="666699"/>
              <w:right w:val="single" w:sz="4" w:space="0" w:color="666699"/>
            </w:tcBorders>
            <w:hideMark/>
          </w:tcPr>
          <w:p w14:paraId="64B63BD8" w14:textId="3E22AF53" w:rsidR="00DB0A90" w:rsidRDefault="0039481A" w:rsidP="00620F5C">
            <w:pPr>
              <w:suppressAutoHyphens/>
              <w:jc w:val="center"/>
              <w:rPr>
                <w:sz w:val="20"/>
                <w:szCs w:val="20"/>
              </w:rPr>
            </w:pPr>
            <w:proofErr w:type="spellStart"/>
            <w:r>
              <w:rPr>
                <w:sz w:val="20"/>
                <w:szCs w:val="20"/>
              </w:rPr>
              <w:t>Utilisa</w:t>
            </w:r>
            <w:r w:rsidR="00DB0A90">
              <w:rPr>
                <w:sz w:val="20"/>
                <w:szCs w:val="20"/>
              </w:rPr>
              <w:t>-</w:t>
            </w:r>
            <w:r>
              <w:rPr>
                <w:sz w:val="20"/>
                <w:szCs w:val="20"/>
              </w:rPr>
              <w:t>tion</w:t>
            </w:r>
            <w:proofErr w:type="spellEnd"/>
            <w:r>
              <w:rPr>
                <w:sz w:val="20"/>
                <w:szCs w:val="20"/>
              </w:rPr>
              <w:t xml:space="preserve"> en </w:t>
            </w:r>
            <w:proofErr w:type="spellStart"/>
            <w:r>
              <w:rPr>
                <w:sz w:val="20"/>
                <w:szCs w:val="20"/>
              </w:rPr>
              <w:t>labora</w:t>
            </w:r>
            <w:proofErr w:type="spellEnd"/>
            <w:r w:rsidR="00DB0A90">
              <w:rPr>
                <w:sz w:val="20"/>
                <w:szCs w:val="20"/>
              </w:rPr>
              <w:t>-</w:t>
            </w:r>
          </w:p>
          <w:p w14:paraId="2E59C88B" w14:textId="59F9F198" w:rsidR="0039481A" w:rsidRPr="008922F8" w:rsidRDefault="0039481A" w:rsidP="00620F5C">
            <w:pPr>
              <w:suppressAutoHyphens/>
              <w:jc w:val="center"/>
              <w:rPr>
                <w:sz w:val="20"/>
                <w:szCs w:val="20"/>
              </w:rPr>
            </w:pPr>
            <w:proofErr w:type="spellStart"/>
            <w:proofErr w:type="gramStart"/>
            <w:r>
              <w:rPr>
                <w:sz w:val="20"/>
                <w:szCs w:val="20"/>
              </w:rPr>
              <w:t>toire</w:t>
            </w:r>
            <w:proofErr w:type="spellEnd"/>
            <w:proofErr w:type="gramEnd"/>
          </w:p>
        </w:tc>
        <w:tc>
          <w:tcPr>
            <w:tcW w:w="1530" w:type="dxa"/>
            <w:tcBorders>
              <w:top w:val="single" w:sz="4" w:space="0" w:color="666699"/>
              <w:left w:val="single" w:sz="4" w:space="0" w:color="666699"/>
              <w:bottom w:val="single" w:sz="4" w:space="0" w:color="666699"/>
              <w:right w:val="single" w:sz="4" w:space="0" w:color="666699"/>
            </w:tcBorders>
            <w:hideMark/>
          </w:tcPr>
          <w:p w14:paraId="456F56EF" w14:textId="77777777" w:rsidR="0039481A" w:rsidRPr="008922F8" w:rsidRDefault="0039481A" w:rsidP="00620F5C">
            <w:pPr>
              <w:suppressAutoHyphens/>
              <w:jc w:val="center"/>
              <w:rPr>
                <w:sz w:val="20"/>
                <w:szCs w:val="20"/>
              </w:rPr>
            </w:pPr>
            <w:r>
              <w:rPr>
                <w:sz w:val="20"/>
                <w:szCs w:val="20"/>
              </w:rPr>
              <w:t>Consommation totale pour le secteur</w:t>
            </w:r>
          </w:p>
        </w:tc>
      </w:tr>
      <w:tr w:rsidR="0039481A" w:rsidRPr="008922F8" w14:paraId="252F37C1" w14:textId="77777777" w:rsidTr="00DB0A90">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175A2386" w14:textId="77777777" w:rsidR="0039481A" w:rsidRPr="008922F8" w:rsidRDefault="0039481A" w:rsidP="00620F5C">
            <w:pPr>
              <w:suppressAutoHyphens/>
              <w:jc w:val="center"/>
              <w:rPr>
                <w:sz w:val="20"/>
                <w:szCs w:val="20"/>
              </w:rPr>
            </w:pPr>
            <w:r>
              <w:rPr>
                <w:sz w:val="20"/>
                <w:szCs w:val="20"/>
              </w:rPr>
              <w:t xml:space="preserve"> </w:t>
            </w:r>
          </w:p>
        </w:tc>
        <w:tc>
          <w:tcPr>
            <w:tcW w:w="1262" w:type="dxa"/>
            <w:tcBorders>
              <w:top w:val="single" w:sz="4" w:space="0" w:color="666699"/>
              <w:left w:val="single" w:sz="4" w:space="0" w:color="666699"/>
              <w:bottom w:val="single" w:sz="4" w:space="0" w:color="666699"/>
              <w:right w:val="single" w:sz="4" w:space="0" w:color="666699"/>
            </w:tcBorders>
            <w:hideMark/>
          </w:tcPr>
          <w:p w14:paraId="78119CE6" w14:textId="77777777" w:rsidR="0039481A" w:rsidRPr="008922F8" w:rsidRDefault="0039481A" w:rsidP="00620F5C">
            <w:pPr>
              <w:suppressAutoHyphens/>
              <w:jc w:val="center"/>
              <w:rPr>
                <w:sz w:val="20"/>
                <w:szCs w:val="20"/>
              </w:rPr>
            </w:pPr>
            <w:r>
              <w:rPr>
                <w:sz w:val="20"/>
                <w:szCs w:val="20"/>
              </w:rPr>
              <w:t>Fabrication</w:t>
            </w:r>
          </w:p>
        </w:tc>
        <w:tc>
          <w:tcPr>
            <w:tcW w:w="1170" w:type="dxa"/>
            <w:tcBorders>
              <w:top w:val="single" w:sz="4" w:space="0" w:color="666699"/>
              <w:left w:val="single" w:sz="4" w:space="0" w:color="666699"/>
              <w:bottom w:val="single" w:sz="4" w:space="0" w:color="666699"/>
              <w:right w:val="single" w:sz="4" w:space="0" w:color="666699"/>
            </w:tcBorders>
            <w:hideMark/>
          </w:tcPr>
          <w:p w14:paraId="56BD1FDC" w14:textId="77777777" w:rsidR="0039481A" w:rsidRPr="008922F8" w:rsidRDefault="0039481A" w:rsidP="00620F5C">
            <w:pPr>
              <w:suppressAutoHyphens/>
              <w:jc w:val="center"/>
              <w:rPr>
                <w:sz w:val="20"/>
                <w:szCs w:val="20"/>
              </w:rPr>
            </w:pPr>
            <w:r>
              <w:rPr>
                <w:sz w:val="20"/>
                <w:szCs w:val="20"/>
              </w:rPr>
              <w:t>Entretien</w:t>
            </w:r>
          </w:p>
        </w:tc>
        <w:tc>
          <w:tcPr>
            <w:tcW w:w="4320" w:type="dxa"/>
            <w:gridSpan w:val="4"/>
            <w:tcBorders>
              <w:top w:val="single" w:sz="4" w:space="0" w:color="666699"/>
              <w:left w:val="single" w:sz="4" w:space="0" w:color="666699"/>
              <w:bottom w:val="single" w:sz="4" w:space="0" w:color="666699"/>
              <w:right w:val="single" w:sz="4" w:space="0" w:color="666699"/>
            </w:tcBorders>
          </w:tcPr>
          <w:p w14:paraId="307C21F3" w14:textId="77777777" w:rsidR="0039481A" w:rsidRPr="008922F8" w:rsidRDefault="0039481A" w:rsidP="00620F5C">
            <w:pPr>
              <w:suppressAutoHyphens/>
              <w:jc w:val="center"/>
              <w:rPr>
                <w:sz w:val="20"/>
                <w:szCs w:val="20"/>
              </w:rPr>
            </w:pPr>
          </w:p>
        </w:tc>
      </w:tr>
      <w:tr w:rsidR="00B94152" w:rsidRPr="008922F8" w14:paraId="45E82256" w14:textId="77777777" w:rsidTr="00DB0A90">
        <w:trPr>
          <w:trHeight w:val="249"/>
        </w:trPr>
        <w:tc>
          <w:tcPr>
            <w:tcW w:w="1075" w:type="dxa"/>
            <w:tcBorders>
              <w:top w:val="single" w:sz="4" w:space="0" w:color="666699"/>
              <w:left w:val="single" w:sz="4" w:space="0" w:color="666699"/>
              <w:bottom w:val="single" w:sz="4" w:space="0" w:color="666699"/>
              <w:right w:val="single" w:sz="4" w:space="0" w:color="666699"/>
            </w:tcBorders>
            <w:hideMark/>
          </w:tcPr>
          <w:p w14:paraId="1F7A9DBD" w14:textId="77777777" w:rsidR="00B94152" w:rsidRPr="008922F8" w:rsidRDefault="00B94152" w:rsidP="00620F5C">
            <w:pPr>
              <w:suppressAutoHyphens/>
              <w:jc w:val="left"/>
              <w:rPr>
                <w:sz w:val="20"/>
                <w:szCs w:val="20"/>
              </w:rPr>
            </w:pPr>
            <w:r>
              <w:rPr>
                <w:sz w:val="20"/>
                <w:szCs w:val="20"/>
              </w:rPr>
              <w:t>HCFC-22</w:t>
            </w:r>
          </w:p>
        </w:tc>
        <w:tc>
          <w:tcPr>
            <w:tcW w:w="1049" w:type="dxa"/>
            <w:tcBorders>
              <w:top w:val="single" w:sz="4" w:space="0" w:color="666699"/>
              <w:left w:val="single" w:sz="4" w:space="0" w:color="666699"/>
              <w:bottom w:val="single" w:sz="4" w:space="0" w:color="666699"/>
              <w:right w:val="single" w:sz="4" w:space="0" w:color="666699"/>
            </w:tcBorders>
          </w:tcPr>
          <w:p w14:paraId="3E021F19" w14:textId="77777777" w:rsidR="00B94152" w:rsidRPr="008922F8" w:rsidRDefault="00B94152" w:rsidP="00620F5C">
            <w:pPr>
              <w:suppressAutoHyphens/>
              <w:jc w:val="right"/>
              <w:rPr>
                <w:sz w:val="20"/>
                <w:szCs w:val="20"/>
              </w:rPr>
            </w:pPr>
          </w:p>
        </w:tc>
        <w:tc>
          <w:tcPr>
            <w:tcW w:w="841" w:type="dxa"/>
            <w:tcBorders>
              <w:top w:val="single" w:sz="4" w:space="0" w:color="666699"/>
              <w:left w:val="single" w:sz="4" w:space="0" w:color="666699"/>
              <w:bottom w:val="single" w:sz="4" w:space="0" w:color="666699"/>
              <w:right w:val="single" w:sz="4" w:space="0" w:color="666699"/>
            </w:tcBorders>
          </w:tcPr>
          <w:p w14:paraId="726FC7D6" w14:textId="77777777" w:rsidR="00B94152" w:rsidRPr="008922F8" w:rsidRDefault="00B94152" w:rsidP="00620F5C">
            <w:pPr>
              <w:suppressAutoHyphens/>
              <w:jc w:val="right"/>
              <w:rPr>
                <w:sz w:val="20"/>
                <w:szCs w:val="20"/>
              </w:rPr>
            </w:pPr>
          </w:p>
        </w:tc>
        <w:tc>
          <w:tcPr>
            <w:tcW w:w="718" w:type="dxa"/>
            <w:tcBorders>
              <w:top w:val="single" w:sz="4" w:space="0" w:color="666699"/>
              <w:left w:val="single" w:sz="4" w:space="0" w:color="666699"/>
              <w:bottom w:val="single" w:sz="4" w:space="0" w:color="666699"/>
              <w:right w:val="single" w:sz="4" w:space="0" w:color="666699"/>
            </w:tcBorders>
          </w:tcPr>
          <w:p w14:paraId="45526111" w14:textId="77777777" w:rsidR="00B94152" w:rsidRPr="008922F8" w:rsidRDefault="00B94152" w:rsidP="00620F5C">
            <w:pPr>
              <w:suppressAutoHyphens/>
              <w:jc w:val="right"/>
              <w:rPr>
                <w:sz w:val="20"/>
                <w:szCs w:val="20"/>
              </w:rPr>
            </w:pPr>
          </w:p>
        </w:tc>
        <w:tc>
          <w:tcPr>
            <w:tcW w:w="1262" w:type="dxa"/>
            <w:tcBorders>
              <w:top w:val="single" w:sz="4" w:space="0" w:color="666699"/>
              <w:left w:val="single" w:sz="4" w:space="0" w:color="666699"/>
              <w:bottom w:val="single" w:sz="4" w:space="0" w:color="666699"/>
              <w:right w:val="single" w:sz="4" w:space="0" w:color="666699"/>
            </w:tcBorders>
          </w:tcPr>
          <w:p w14:paraId="04629AA0" w14:textId="77777777" w:rsidR="00B94152" w:rsidRPr="008922F8" w:rsidRDefault="00B94152" w:rsidP="00620F5C">
            <w:pPr>
              <w:suppressAutoHyphens/>
              <w:jc w:val="right"/>
              <w:rPr>
                <w:sz w:val="20"/>
                <w:szCs w:val="20"/>
              </w:rPr>
            </w:pPr>
          </w:p>
        </w:tc>
        <w:tc>
          <w:tcPr>
            <w:tcW w:w="1170" w:type="dxa"/>
            <w:tcBorders>
              <w:top w:val="single" w:sz="4" w:space="0" w:color="666699"/>
              <w:left w:val="single" w:sz="4" w:space="0" w:color="666699"/>
              <w:bottom w:val="single" w:sz="4" w:space="0" w:color="666699"/>
              <w:right w:val="single" w:sz="4" w:space="0" w:color="666699"/>
            </w:tcBorders>
          </w:tcPr>
          <w:p w14:paraId="55D2B09C" w14:textId="559C870C" w:rsidR="00B94152" w:rsidRPr="008922F8" w:rsidRDefault="00AE54E3" w:rsidP="00620F5C">
            <w:pPr>
              <w:suppressAutoHyphens/>
              <w:jc w:val="right"/>
              <w:rPr>
                <w:sz w:val="20"/>
                <w:szCs w:val="20"/>
              </w:rPr>
            </w:pPr>
            <w:r>
              <w:rPr>
                <w:sz w:val="20"/>
                <w:szCs w:val="20"/>
              </w:rPr>
              <w:t>0,10</w:t>
            </w:r>
          </w:p>
        </w:tc>
        <w:tc>
          <w:tcPr>
            <w:tcW w:w="900" w:type="dxa"/>
            <w:tcBorders>
              <w:top w:val="single" w:sz="4" w:space="0" w:color="666699"/>
              <w:left w:val="single" w:sz="4" w:space="0" w:color="666699"/>
              <w:bottom w:val="single" w:sz="4" w:space="0" w:color="666699"/>
              <w:right w:val="single" w:sz="4" w:space="0" w:color="666699"/>
            </w:tcBorders>
          </w:tcPr>
          <w:p w14:paraId="0ECE2B43" w14:textId="77777777" w:rsidR="00B94152" w:rsidRPr="008922F8" w:rsidRDefault="00B94152" w:rsidP="00620F5C">
            <w:pPr>
              <w:suppressAutoHyphens/>
              <w:jc w:val="right"/>
              <w:rPr>
                <w:sz w:val="20"/>
                <w:szCs w:val="20"/>
              </w:rPr>
            </w:pPr>
          </w:p>
        </w:tc>
        <w:tc>
          <w:tcPr>
            <w:tcW w:w="1064" w:type="dxa"/>
            <w:tcBorders>
              <w:top w:val="single" w:sz="4" w:space="0" w:color="666699"/>
              <w:left w:val="single" w:sz="4" w:space="0" w:color="666699"/>
              <w:bottom w:val="single" w:sz="4" w:space="0" w:color="666699"/>
              <w:right w:val="single" w:sz="4" w:space="0" w:color="666699"/>
            </w:tcBorders>
          </w:tcPr>
          <w:p w14:paraId="165E73F9" w14:textId="77777777" w:rsidR="00B94152" w:rsidRPr="008922F8" w:rsidRDefault="00B94152" w:rsidP="00620F5C">
            <w:pPr>
              <w:suppressAutoHyphens/>
              <w:jc w:val="right"/>
              <w:rPr>
                <w:sz w:val="20"/>
                <w:szCs w:val="20"/>
              </w:rPr>
            </w:pPr>
          </w:p>
        </w:tc>
        <w:tc>
          <w:tcPr>
            <w:tcW w:w="826" w:type="dxa"/>
            <w:tcBorders>
              <w:top w:val="single" w:sz="4" w:space="0" w:color="666699"/>
              <w:left w:val="single" w:sz="4" w:space="0" w:color="666699"/>
              <w:bottom w:val="single" w:sz="4" w:space="0" w:color="666699"/>
              <w:right w:val="single" w:sz="4" w:space="0" w:color="666699"/>
            </w:tcBorders>
          </w:tcPr>
          <w:p w14:paraId="4093C7A3" w14:textId="77777777" w:rsidR="00B94152" w:rsidRPr="008922F8" w:rsidRDefault="00B94152" w:rsidP="00620F5C">
            <w:pPr>
              <w:suppressAutoHyphens/>
              <w:jc w:val="right"/>
              <w:rPr>
                <w:sz w:val="20"/>
                <w:szCs w:val="20"/>
              </w:rPr>
            </w:pPr>
          </w:p>
        </w:tc>
        <w:tc>
          <w:tcPr>
            <w:tcW w:w="1530" w:type="dxa"/>
            <w:tcBorders>
              <w:top w:val="single" w:sz="4" w:space="0" w:color="666699"/>
              <w:left w:val="single" w:sz="4" w:space="0" w:color="666699"/>
              <w:bottom w:val="single" w:sz="4" w:space="0" w:color="666699"/>
              <w:right w:val="single" w:sz="4" w:space="0" w:color="666699"/>
            </w:tcBorders>
          </w:tcPr>
          <w:p w14:paraId="005E8A31" w14:textId="770435E9" w:rsidR="00B94152" w:rsidRPr="008922F8" w:rsidRDefault="00AE54E3" w:rsidP="00620F5C">
            <w:pPr>
              <w:suppressAutoHyphens/>
              <w:jc w:val="right"/>
              <w:rPr>
                <w:sz w:val="20"/>
                <w:szCs w:val="20"/>
              </w:rPr>
            </w:pPr>
            <w:r>
              <w:rPr>
                <w:color w:val="000000" w:themeColor="text1"/>
                <w:sz w:val="20"/>
                <w:szCs w:val="20"/>
              </w:rPr>
              <w:t>0,10</w:t>
            </w:r>
          </w:p>
        </w:tc>
      </w:tr>
    </w:tbl>
    <w:p w14:paraId="1AF421E3" w14:textId="77777777" w:rsidR="0039481A" w:rsidRPr="008922F8" w:rsidRDefault="0039481A" w:rsidP="00620F5C">
      <w:pPr>
        <w:suppressAutoHyphens/>
        <w:jc w:val="center"/>
        <w:rPr>
          <w:sz w:val="20"/>
          <w:szCs w:val="20"/>
        </w:rPr>
      </w:pPr>
    </w:p>
    <w:tbl>
      <w:tblPr>
        <w:tblStyle w:val="TableGrid"/>
        <w:tblW w:w="104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935"/>
      </w:tblGrid>
      <w:tr w:rsidR="0039481A" w:rsidRPr="008922F8" w14:paraId="70416901" w14:textId="77777777" w:rsidTr="00DB0A90">
        <w:trPr>
          <w:trHeight w:val="276"/>
        </w:trPr>
        <w:tc>
          <w:tcPr>
            <w:tcW w:w="10435" w:type="dxa"/>
            <w:gridSpan w:val="4"/>
            <w:tcBorders>
              <w:top w:val="single" w:sz="4" w:space="0" w:color="666699"/>
              <w:left w:val="single" w:sz="4" w:space="0" w:color="666699"/>
              <w:bottom w:val="single" w:sz="4" w:space="0" w:color="666699"/>
              <w:right w:val="single" w:sz="4" w:space="0" w:color="666699"/>
            </w:tcBorders>
            <w:hideMark/>
          </w:tcPr>
          <w:p w14:paraId="22C4BADD" w14:textId="77777777" w:rsidR="0039481A" w:rsidRPr="008922F8" w:rsidRDefault="0039481A" w:rsidP="00620F5C">
            <w:pPr>
              <w:suppressAutoHyphens/>
              <w:jc w:val="left"/>
              <w:rPr>
                <w:b/>
                <w:sz w:val="20"/>
                <w:szCs w:val="20"/>
              </w:rPr>
            </w:pPr>
            <w:r>
              <w:rPr>
                <w:b/>
                <w:sz w:val="20"/>
                <w:szCs w:val="20"/>
              </w:rPr>
              <w:t>(IV) DONNÉES SUR LA CONSOMMATION (tonnes PAO)</w:t>
            </w:r>
          </w:p>
        </w:tc>
      </w:tr>
      <w:tr w:rsidR="0039481A" w:rsidRPr="008922F8" w14:paraId="6CA8CFFB" w14:textId="77777777" w:rsidTr="00DB0A90">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18663876" w14:textId="66891F77" w:rsidR="0039481A" w:rsidRPr="008922F8" w:rsidRDefault="0039481A" w:rsidP="00620F5C">
            <w:pPr>
              <w:suppressAutoHyphens/>
              <w:jc w:val="center"/>
              <w:rPr>
                <w:sz w:val="20"/>
                <w:szCs w:val="20"/>
              </w:rPr>
            </w:pPr>
            <w:r>
              <w:rPr>
                <w:sz w:val="20"/>
                <w:szCs w:val="20"/>
              </w:rPr>
              <w:t>Référence de 2009-2010</w:t>
            </w:r>
            <w:r w:rsidR="00083CCE">
              <w:rPr>
                <w:sz w:val="20"/>
                <w:szCs w:val="20"/>
              </w:rPr>
              <w:t> </w:t>
            </w:r>
            <w:r>
              <w:rPr>
                <w:sz w:val="20"/>
                <w:szCs w:val="20"/>
              </w:rPr>
              <w:t>:</w:t>
            </w:r>
          </w:p>
        </w:tc>
        <w:tc>
          <w:tcPr>
            <w:tcW w:w="1701" w:type="dxa"/>
            <w:tcBorders>
              <w:top w:val="single" w:sz="4" w:space="0" w:color="666699"/>
              <w:left w:val="single" w:sz="4" w:space="0" w:color="666699"/>
              <w:bottom w:val="single" w:sz="4" w:space="0" w:color="666699"/>
              <w:right w:val="single" w:sz="4" w:space="0" w:color="666699"/>
            </w:tcBorders>
            <w:hideMark/>
          </w:tcPr>
          <w:p w14:paraId="2490CC54" w14:textId="23472686" w:rsidR="0039481A" w:rsidRPr="008922F8" w:rsidRDefault="002E7FE2" w:rsidP="00620F5C">
            <w:pPr>
              <w:suppressAutoHyphens/>
              <w:jc w:val="right"/>
              <w:rPr>
                <w:sz w:val="20"/>
                <w:szCs w:val="20"/>
              </w:rPr>
            </w:pPr>
            <w:r>
              <w:rPr>
                <w:color w:val="000000" w:themeColor="text1"/>
                <w:sz w:val="20"/>
                <w:szCs w:val="20"/>
              </w:rPr>
              <w:t>0,80</w:t>
            </w:r>
          </w:p>
        </w:tc>
        <w:tc>
          <w:tcPr>
            <w:tcW w:w="4394" w:type="dxa"/>
            <w:tcBorders>
              <w:top w:val="single" w:sz="4" w:space="0" w:color="666699"/>
              <w:left w:val="single" w:sz="4" w:space="0" w:color="666699"/>
              <w:bottom w:val="single" w:sz="4" w:space="0" w:color="666699"/>
              <w:right w:val="single" w:sz="4" w:space="0" w:color="666699"/>
            </w:tcBorders>
            <w:hideMark/>
          </w:tcPr>
          <w:p w14:paraId="61FB749A" w14:textId="77777777" w:rsidR="0039481A" w:rsidRPr="008922F8" w:rsidRDefault="0039481A" w:rsidP="00620F5C">
            <w:pPr>
              <w:suppressAutoHyphens/>
              <w:jc w:val="center"/>
              <w:rPr>
                <w:sz w:val="20"/>
                <w:szCs w:val="20"/>
              </w:rPr>
            </w:pPr>
            <w:r>
              <w:rPr>
                <w:sz w:val="20"/>
                <w:szCs w:val="20"/>
              </w:rPr>
              <w:t>Point de départ des réductions globales durables :</w:t>
            </w:r>
          </w:p>
        </w:tc>
        <w:tc>
          <w:tcPr>
            <w:tcW w:w="1935" w:type="dxa"/>
            <w:tcBorders>
              <w:top w:val="single" w:sz="4" w:space="0" w:color="666699"/>
              <w:left w:val="single" w:sz="4" w:space="0" w:color="666699"/>
              <w:bottom w:val="single" w:sz="4" w:space="0" w:color="666699"/>
              <w:right w:val="single" w:sz="4" w:space="0" w:color="666699"/>
            </w:tcBorders>
            <w:hideMark/>
          </w:tcPr>
          <w:p w14:paraId="06B519BB" w14:textId="53E1DDD8" w:rsidR="0039481A" w:rsidRPr="008922F8" w:rsidRDefault="002E7FE2" w:rsidP="00620F5C">
            <w:pPr>
              <w:suppressAutoHyphens/>
              <w:jc w:val="right"/>
              <w:rPr>
                <w:sz w:val="20"/>
                <w:szCs w:val="20"/>
              </w:rPr>
            </w:pPr>
            <w:r>
              <w:rPr>
                <w:color w:val="000000" w:themeColor="text1"/>
                <w:sz w:val="20"/>
                <w:szCs w:val="20"/>
              </w:rPr>
              <w:t>0,80</w:t>
            </w:r>
          </w:p>
        </w:tc>
      </w:tr>
      <w:tr w:rsidR="0039481A" w:rsidRPr="004F32E5" w14:paraId="5FDFD218" w14:textId="77777777" w:rsidTr="00DB0A90">
        <w:trPr>
          <w:trHeight w:val="276"/>
        </w:trPr>
        <w:tc>
          <w:tcPr>
            <w:tcW w:w="10435" w:type="dxa"/>
            <w:gridSpan w:val="4"/>
            <w:tcBorders>
              <w:top w:val="single" w:sz="4" w:space="0" w:color="666699"/>
              <w:left w:val="single" w:sz="4" w:space="0" w:color="666699"/>
              <w:bottom w:val="single" w:sz="4" w:space="0" w:color="666699"/>
              <w:right w:val="single" w:sz="4" w:space="0" w:color="666699"/>
            </w:tcBorders>
            <w:hideMark/>
          </w:tcPr>
          <w:p w14:paraId="233FC11A" w14:textId="45C743C7" w:rsidR="0039481A" w:rsidRPr="004F32E5" w:rsidRDefault="0039481A" w:rsidP="00620F5C">
            <w:pPr>
              <w:suppressAutoHyphens/>
              <w:jc w:val="center"/>
              <w:rPr>
                <w:b/>
                <w:sz w:val="20"/>
                <w:szCs w:val="20"/>
              </w:rPr>
            </w:pPr>
            <w:r>
              <w:rPr>
                <w:b/>
                <w:sz w:val="20"/>
                <w:szCs w:val="20"/>
              </w:rPr>
              <w:t>CONSOMMATION ADMISSIBLE AU FINANCEMENT</w:t>
            </w:r>
          </w:p>
        </w:tc>
      </w:tr>
      <w:tr w:rsidR="0039481A" w:rsidRPr="004F32E5" w14:paraId="51AAF54F" w14:textId="77777777" w:rsidTr="00DB0A90">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288BBFC8" w14:textId="77777777" w:rsidR="0039481A" w:rsidRPr="004F32E5" w:rsidRDefault="0039481A" w:rsidP="00620F5C">
            <w:pPr>
              <w:suppressAutoHyphens/>
              <w:jc w:val="center"/>
              <w:rPr>
                <w:sz w:val="20"/>
                <w:szCs w:val="20"/>
              </w:rPr>
            </w:pPr>
            <w:r>
              <w:rPr>
                <w:sz w:val="20"/>
                <w:szCs w:val="20"/>
              </w:rPr>
              <w:t>Déjà approuvée :</w:t>
            </w:r>
          </w:p>
        </w:tc>
        <w:tc>
          <w:tcPr>
            <w:tcW w:w="1701" w:type="dxa"/>
            <w:tcBorders>
              <w:top w:val="single" w:sz="4" w:space="0" w:color="666699"/>
              <w:left w:val="single" w:sz="4" w:space="0" w:color="666699"/>
              <w:bottom w:val="single" w:sz="4" w:space="0" w:color="666699"/>
              <w:right w:val="single" w:sz="4" w:space="0" w:color="666699"/>
            </w:tcBorders>
            <w:hideMark/>
          </w:tcPr>
          <w:p w14:paraId="14492610" w14:textId="4C81B0EE" w:rsidR="0039481A" w:rsidRPr="004F32E5" w:rsidRDefault="00356FC1" w:rsidP="00620F5C">
            <w:pPr>
              <w:suppressAutoHyphens/>
              <w:jc w:val="right"/>
              <w:rPr>
                <w:sz w:val="20"/>
                <w:szCs w:val="20"/>
              </w:rPr>
            </w:pPr>
            <w:r>
              <w:rPr>
                <w:sz w:val="20"/>
                <w:szCs w:val="20"/>
              </w:rPr>
              <w:t>0,8</w:t>
            </w:r>
          </w:p>
        </w:tc>
        <w:tc>
          <w:tcPr>
            <w:tcW w:w="4394" w:type="dxa"/>
            <w:tcBorders>
              <w:top w:val="single" w:sz="4" w:space="0" w:color="666699"/>
              <w:left w:val="single" w:sz="4" w:space="0" w:color="666699"/>
              <w:bottom w:val="single" w:sz="4" w:space="0" w:color="666699"/>
              <w:right w:val="single" w:sz="4" w:space="0" w:color="666699"/>
            </w:tcBorders>
            <w:hideMark/>
          </w:tcPr>
          <w:p w14:paraId="5545F573" w14:textId="77777777" w:rsidR="0039481A" w:rsidRPr="004F32E5" w:rsidRDefault="0039481A" w:rsidP="00620F5C">
            <w:pPr>
              <w:suppressAutoHyphens/>
              <w:jc w:val="center"/>
              <w:rPr>
                <w:i/>
                <w:sz w:val="20"/>
                <w:szCs w:val="20"/>
              </w:rPr>
            </w:pPr>
            <w:r>
              <w:rPr>
                <w:sz w:val="20"/>
                <w:szCs w:val="20"/>
              </w:rPr>
              <w:t>Restante :</w:t>
            </w:r>
          </w:p>
        </w:tc>
        <w:tc>
          <w:tcPr>
            <w:tcW w:w="1935" w:type="dxa"/>
            <w:tcBorders>
              <w:top w:val="single" w:sz="4" w:space="0" w:color="666699"/>
              <w:left w:val="single" w:sz="4" w:space="0" w:color="666699"/>
              <w:bottom w:val="single" w:sz="4" w:space="0" w:color="666699"/>
              <w:right w:val="single" w:sz="4" w:space="0" w:color="666699"/>
            </w:tcBorders>
            <w:hideMark/>
          </w:tcPr>
          <w:p w14:paraId="77E61B1C" w14:textId="2F29420A" w:rsidR="0039481A" w:rsidRPr="004F32E5" w:rsidRDefault="005E0B13" w:rsidP="00620F5C">
            <w:pPr>
              <w:suppressAutoHyphens/>
              <w:jc w:val="right"/>
              <w:rPr>
                <w:sz w:val="20"/>
                <w:szCs w:val="20"/>
              </w:rPr>
            </w:pPr>
            <w:r>
              <w:rPr>
                <w:color w:val="000000" w:themeColor="text1"/>
                <w:sz w:val="20"/>
                <w:szCs w:val="20"/>
              </w:rPr>
              <w:t xml:space="preserve"> 0</w:t>
            </w:r>
          </w:p>
        </w:tc>
      </w:tr>
    </w:tbl>
    <w:p w14:paraId="2691C685" w14:textId="77777777" w:rsidR="0039481A" w:rsidRPr="004F32E5" w:rsidRDefault="0039481A" w:rsidP="00620F5C">
      <w:pPr>
        <w:suppressAutoHyphens/>
        <w:jc w:val="center"/>
        <w:rPr>
          <w:sz w:val="20"/>
          <w:szCs w:val="20"/>
        </w:rPr>
      </w:pPr>
    </w:p>
    <w:tbl>
      <w:tblPr>
        <w:tblStyle w:val="TableGrid"/>
        <w:tblW w:w="558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64"/>
        <w:gridCol w:w="2905"/>
        <w:gridCol w:w="1459"/>
        <w:gridCol w:w="1459"/>
        <w:gridCol w:w="1459"/>
        <w:gridCol w:w="1989"/>
      </w:tblGrid>
      <w:tr w:rsidR="0039481A" w:rsidRPr="004F32E5" w14:paraId="23B1A9F9" w14:textId="77777777" w:rsidTr="00DB0A90">
        <w:trPr>
          <w:trHeight w:val="264"/>
        </w:trPr>
        <w:tc>
          <w:tcPr>
            <w:tcW w:w="1950" w:type="pct"/>
            <w:gridSpan w:val="2"/>
            <w:tcBorders>
              <w:top w:val="single" w:sz="4" w:space="0" w:color="666699"/>
              <w:left w:val="single" w:sz="4" w:space="0" w:color="666699"/>
              <w:bottom w:val="single" w:sz="4" w:space="0" w:color="666699"/>
              <w:right w:val="single" w:sz="4" w:space="0" w:color="666699"/>
            </w:tcBorders>
            <w:hideMark/>
          </w:tcPr>
          <w:p w14:paraId="4179A898" w14:textId="618199F7" w:rsidR="0039481A" w:rsidRPr="004F32E5" w:rsidRDefault="0039481A" w:rsidP="00620F5C">
            <w:pPr>
              <w:suppressAutoHyphens/>
              <w:jc w:val="left"/>
              <w:rPr>
                <w:b/>
                <w:sz w:val="20"/>
                <w:szCs w:val="20"/>
              </w:rPr>
            </w:pPr>
            <w:r>
              <w:rPr>
                <w:b/>
                <w:sz w:val="20"/>
                <w:szCs w:val="20"/>
              </w:rPr>
              <w:t>(V) PLAN D’ACTIVITÉS ENDOSSÉ</w:t>
            </w:r>
          </w:p>
        </w:tc>
        <w:tc>
          <w:tcPr>
            <w:tcW w:w="699" w:type="pct"/>
            <w:tcBorders>
              <w:top w:val="single" w:sz="4" w:space="0" w:color="666699"/>
              <w:left w:val="single" w:sz="4" w:space="0" w:color="666699"/>
              <w:bottom w:val="single" w:sz="4" w:space="0" w:color="666699"/>
              <w:right w:val="single" w:sz="4" w:space="0" w:color="666699"/>
            </w:tcBorders>
            <w:hideMark/>
          </w:tcPr>
          <w:p w14:paraId="7345A59C" w14:textId="77777777" w:rsidR="0039481A" w:rsidRPr="004F32E5" w:rsidRDefault="0039481A" w:rsidP="00620F5C">
            <w:pPr>
              <w:suppressAutoHyphens/>
              <w:jc w:val="center"/>
              <w:rPr>
                <w:b/>
                <w:sz w:val="20"/>
                <w:szCs w:val="20"/>
              </w:rPr>
            </w:pPr>
            <w:r>
              <w:rPr>
                <w:b/>
                <w:sz w:val="20"/>
                <w:szCs w:val="20"/>
              </w:rPr>
              <w:t>2022</w:t>
            </w:r>
          </w:p>
        </w:tc>
        <w:tc>
          <w:tcPr>
            <w:tcW w:w="699" w:type="pct"/>
            <w:tcBorders>
              <w:top w:val="single" w:sz="4" w:space="0" w:color="666699"/>
              <w:left w:val="single" w:sz="4" w:space="0" w:color="666699"/>
              <w:bottom w:val="single" w:sz="4" w:space="0" w:color="666699"/>
              <w:right w:val="single" w:sz="4" w:space="0" w:color="666699"/>
            </w:tcBorders>
            <w:hideMark/>
          </w:tcPr>
          <w:p w14:paraId="51EF3C12" w14:textId="77777777" w:rsidR="0039481A" w:rsidRPr="004F32E5" w:rsidRDefault="0039481A" w:rsidP="00620F5C">
            <w:pPr>
              <w:suppressAutoHyphens/>
              <w:jc w:val="center"/>
              <w:rPr>
                <w:b/>
                <w:sz w:val="20"/>
                <w:szCs w:val="20"/>
              </w:rPr>
            </w:pPr>
            <w:r>
              <w:rPr>
                <w:b/>
                <w:sz w:val="20"/>
                <w:szCs w:val="20"/>
              </w:rPr>
              <w:t>2023</w:t>
            </w:r>
          </w:p>
        </w:tc>
        <w:tc>
          <w:tcPr>
            <w:tcW w:w="699" w:type="pct"/>
            <w:tcBorders>
              <w:top w:val="single" w:sz="4" w:space="0" w:color="666699"/>
              <w:left w:val="single" w:sz="4" w:space="0" w:color="666699"/>
              <w:bottom w:val="single" w:sz="4" w:space="0" w:color="666699"/>
              <w:right w:val="single" w:sz="4" w:space="0" w:color="666699"/>
            </w:tcBorders>
            <w:hideMark/>
          </w:tcPr>
          <w:p w14:paraId="61E055AE" w14:textId="77777777" w:rsidR="0039481A" w:rsidRPr="004F32E5" w:rsidRDefault="0039481A" w:rsidP="00620F5C">
            <w:pPr>
              <w:suppressAutoHyphens/>
              <w:jc w:val="center"/>
              <w:rPr>
                <w:b/>
                <w:sz w:val="20"/>
                <w:szCs w:val="20"/>
              </w:rPr>
            </w:pPr>
            <w:r>
              <w:rPr>
                <w:b/>
                <w:sz w:val="20"/>
                <w:szCs w:val="20"/>
              </w:rPr>
              <w:t>2024</w:t>
            </w:r>
          </w:p>
        </w:tc>
        <w:tc>
          <w:tcPr>
            <w:tcW w:w="953" w:type="pct"/>
            <w:tcBorders>
              <w:top w:val="single" w:sz="4" w:space="0" w:color="666699"/>
              <w:left w:val="single" w:sz="4" w:space="0" w:color="666699"/>
              <w:bottom w:val="single" w:sz="4" w:space="0" w:color="666699"/>
              <w:right w:val="single" w:sz="4" w:space="0" w:color="666699"/>
            </w:tcBorders>
            <w:hideMark/>
          </w:tcPr>
          <w:p w14:paraId="7643D790" w14:textId="77777777" w:rsidR="0039481A" w:rsidRPr="004F32E5" w:rsidRDefault="0039481A" w:rsidP="00620F5C">
            <w:pPr>
              <w:suppressAutoHyphens/>
              <w:jc w:val="center"/>
              <w:rPr>
                <w:b/>
                <w:sz w:val="20"/>
                <w:szCs w:val="20"/>
              </w:rPr>
            </w:pPr>
            <w:r>
              <w:rPr>
                <w:b/>
                <w:sz w:val="20"/>
                <w:szCs w:val="20"/>
              </w:rPr>
              <w:t>Total</w:t>
            </w:r>
          </w:p>
        </w:tc>
      </w:tr>
      <w:tr w:rsidR="00633D26" w:rsidRPr="008922F8" w14:paraId="4B3CF2F3" w14:textId="77777777" w:rsidTr="00DB0A90">
        <w:trPr>
          <w:trHeight w:val="187"/>
        </w:trPr>
        <w:tc>
          <w:tcPr>
            <w:tcW w:w="558" w:type="pct"/>
            <w:vMerge w:val="restart"/>
            <w:tcBorders>
              <w:top w:val="single" w:sz="4" w:space="0" w:color="666699"/>
              <w:left w:val="single" w:sz="4" w:space="0" w:color="666699"/>
              <w:bottom w:val="single" w:sz="4" w:space="0" w:color="666699"/>
              <w:right w:val="single" w:sz="4" w:space="0" w:color="666699"/>
            </w:tcBorders>
            <w:vAlign w:val="center"/>
            <w:hideMark/>
          </w:tcPr>
          <w:p w14:paraId="71D27644" w14:textId="2EB02473" w:rsidR="00633D26" w:rsidRPr="004F32E5" w:rsidRDefault="00FC782D" w:rsidP="00620F5C">
            <w:pPr>
              <w:suppressAutoHyphens/>
              <w:jc w:val="center"/>
              <w:rPr>
                <w:sz w:val="20"/>
                <w:szCs w:val="20"/>
              </w:rPr>
            </w:pPr>
            <w:r>
              <w:rPr>
                <w:color w:val="000000" w:themeColor="text1"/>
                <w:sz w:val="20"/>
                <w:szCs w:val="20"/>
              </w:rPr>
              <w:t>ONUDI</w:t>
            </w:r>
          </w:p>
        </w:tc>
        <w:tc>
          <w:tcPr>
            <w:tcW w:w="1391" w:type="pct"/>
            <w:tcBorders>
              <w:top w:val="single" w:sz="4" w:space="0" w:color="666699"/>
              <w:left w:val="single" w:sz="4" w:space="0" w:color="666699"/>
              <w:bottom w:val="single" w:sz="4" w:space="0" w:color="666699"/>
              <w:right w:val="single" w:sz="4" w:space="0" w:color="666699"/>
            </w:tcBorders>
            <w:hideMark/>
          </w:tcPr>
          <w:p w14:paraId="3210137A" w14:textId="77777777" w:rsidR="00633D26" w:rsidRPr="004F32E5" w:rsidRDefault="00633D26" w:rsidP="00620F5C">
            <w:pPr>
              <w:suppressAutoHyphens/>
              <w:jc w:val="left"/>
              <w:rPr>
                <w:sz w:val="20"/>
                <w:szCs w:val="20"/>
              </w:rPr>
            </w:pPr>
            <w:r>
              <w:rPr>
                <w:sz w:val="20"/>
                <w:szCs w:val="20"/>
              </w:rPr>
              <w:t>Élimination des SAO (tonnes PAO)</w:t>
            </w:r>
          </w:p>
        </w:tc>
        <w:tc>
          <w:tcPr>
            <w:tcW w:w="699" w:type="pct"/>
            <w:tcBorders>
              <w:top w:val="single" w:sz="4" w:space="0" w:color="666699"/>
              <w:left w:val="single" w:sz="4" w:space="0" w:color="666699"/>
              <w:bottom w:val="single" w:sz="4" w:space="0" w:color="666699"/>
              <w:right w:val="single" w:sz="4" w:space="0" w:color="666699"/>
            </w:tcBorders>
          </w:tcPr>
          <w:p w14:paraId="2DC80411" w14:textId="161E91CB" w:rsidR="00633D26" w:rsidRPr="004F32E5" w:rsidRDefault="00E205E1" w:rsidP="00620F5C">
            <w:pPr>
              <w:suppressAutoHyphens/>
              <w:jc w:val="right"/>
              <w:rPr>
                <w:sz w:val="20"/>
                <w:szCs w:val="20"/>
              </w:rPr>
            </w:pPr>
            <w:r>
              <w:rPr>
                <w:sz w:val="20"/>
                <w:szCs w:val="20"/>
              </w:rPr>
              <w:t>0,23</w:t>
            </w:r>
          </w:p>
        </w:tc>
        <w:tc>
          <w:tcPr>
            <w:tcW w:w="699" w:type="pct"/>
            <w:tcBorders>
              <w:top w:val="single" w:sz="4" w:space="0" w:color="666699"/>
              <w:left w:val="single" w:sz="4" w:space="0" w:color="666699"/>
              <w:bottom w:val="single" w:sz="4" w:space="0" w:color="666699"/>
              <w:right w:val="single" w:sz="4" w:space="0" w:color="666699"/>
            </w:tcBorders>
          </w:tcPr>
          <w:p w14:paraId="6D50C45C" w14:textId="2DCBD271" w:rsidR="00633D26" w:rsidRPr="004F32E5" w:rsidRDefault="00E205E1" w:rsidP="00620F5C">
            <w:pPr>
              <w:suppressAutoHyphens/>
              <w:jc w:val="right"/>
              <w:rPr>
                <w:sz w:val="20"/>
                <w:szCs w:val="20"/>
              </w:rPr>
            </w:pPr>
            <w:r>
              <w:rPr>
                <w:sz w:val="20"/>
                <w:szCs w:val="20"/>
              </w:rPr>
              <w:t>0</w:t>
            </w:r>
          </w:p>
        </w:tc>
        <w:tc>
          <w:tcPr>
            <w:tcW w:w="699" w:type="pct"/>
            <w:tcBorders>
              <w:top w:val="single" w:sz="4" w:space="0" w:color="666699"/>
              <w:left w:val="single" w:sz="4" w:space="0" w:color="666699"/>
              <w:bottom w:val="single" w:sz="4" w:space="0" w:color="666699"/>
              <w:right w:val="single" w:sz="4" w:space="0" w:color="666699"/>
            </w:tcBorders>
          </w:tcPr>
          <w:p w14:paraId="4E89E280" w14:textId="7F550DA4" w:rsidR="00633D26" w:rsidRPr="004F32E5" w:rsidRDefault="00E205E1" w:rsidP="00620F5C">
            <w:pPr>
              <w:suppressAutoHyphens/>
              <w:jc w:val="right"/>
              <w:rPr>
                <w:sz w:val="20"/>
                <w:szCs w:val="20"/>
              </w:rPr>
            </w:pPr>
            <w:r>
              <w:rPr>
                <w:sz w:val="20"/>
                <w:szCs w:val="20"/>
              </w:rPr>
              <w:t>0</w:t>
            </w:r>
          </w:p>
        </w:tc>
        <w:tc>
          <w:tcPr>
            <w:tcW w:w="953" w:type="pct"/>
            <w:tcBorders>
              <w:top w:val="single" w:sz="4" w:space="0" w:color="666699"/>
              <w:left w:val="single" w:sz="4" w:space="0" w:color="666699"/>
              <w:bottom w:val="single" w:sz="4" w:space="0" w:color="666699"/>
              <w:right w:val="single" w:sz="4" w:space="0" w:color="666699"/>
            </w:tcBorders>
          </w:tcPr>
          <w:p w14:paraId="1AC323B1" w14:textId="16460087" w:rsidR="00633D26" w:rsidRPr="008922F8" w:rsidRDefault="00E205E1" w:rsidP="00620F5C">
            <w:pPr>
              <w:suppressAutoHyphens/>
              <w:jc w:val="right"/>
              <w:rPr>
                <w:sz w:val="20"/>
                <w:szCs w:val="20"/>
              </w:rPr>
            </w:pPr>
            <w:r>
              <w:rPr>
                <w:sz w:val="20"/>
                <w:szCs w:val="20"/>
              </w:rPr>
              <w:t>0,23</w:t>
            </w:r>
          </w:p>
        </w:tc>
      </w:tr>
      <w:tr w:rsidR="00633D26" w:rsidRPr="008922F8" w14:paraId="2817AC2F" w14:textId="77777777" w:rsidTr="00DB0A90">
        <w:trPr>
          <w:trHeight w:val="55"/>
        </w:trPr>
        <w:tc>
          <w:tcPr>
            <w:tcW w:w="558" w:type="pct"/>
            <w:vMerge/>
            <w:tcBorders>
              <w:top w:val="single" w:sz="4" w:space="0" w:color="666699"/>
              <w:left w:val="single" w:sz="4" w:space="0" w:color="666699"/>
              <w:bottom w:val="single" w:sz="4" w:space="0" w:color="666699"/>
              <w:right w:val="single" w:sz="4" w:space="0" w:color="666699"/>
            </w:tcBorders>
            <w:vAlign w:val="center"/>
            <w:hideMark/>
          </w:tcPr>
          <w:p w14:paraId="7C413036" w14:textId="77777777" w:rsidR="00633D26" w:rsidRPr="008922F8" w:rsidRDefault="00633D26" w:rsidP="00620F5C">
            <w:pPr>
              <w:suppressAutoHyphens/>
              <w:rPr>
                <w:sz w:val="20"/>
                <w:szCs w:val="20"/>
              </w:rPr>
            </w:pPr>
          </w:p>
        </w:tc>
        <w:tc>
          <w:tcPr>
            <w:tcW w:w="1391" w:type="pct"/>
            <w:tcBorders>
              <w:top w:val="single" w:sz="4" w:space="0" w:color="666699"/>
              <w:left w:val="single" w:sz="4" w:space="0" w:color="666699"/>
              <w:bottom w:val="single" w:sz="4" w:space="0" w:color="666699"/>
              <w:right w:val="single" w:sz="4" w:space="0" w:color="666699"/>
            </w:tcBorders>
            <w:hideMark/>
          </w:tcPr>
          <w:p w14:paraId="6BE382F2" w14:textId="3DF4A93A" w:rsidR="00633D26" w:rsidRPr="008922F8" w:rsidRDefault="00633D26" w:rsidP="00620F5C">
            <w:pPr>
              <w:suppressAutoHyphens/>
              <w:jc w:val="left"/>
              <w:rPr>
                <w:sz w:val="20"/>
                <w:szCs w:val="20"/>
              </w:rPr>
            </w:pPr>
            <w:r>
              <w:rPr>
                <w:sz w:val="20"/>
                <w:szCs w:val="20"/>
              </w:rPr>
              <w:t>Financement ($ US)</w:t>
            </w:r>
          </w:p>
        </w:tc>
        <w:tc>
          <w:tcPr>
            <w:tcW w:w="699" w:type="pct"/>
            <w:tcBorders>
              <w:top w:val="single" w:sz="4" w:space="0" w:color="666699"/>
              <w:left w:val="single" w:sz="4" w:space="0" w:color="666699"/>
              <w:bottom w:val="single" w:sz="4" w:space="0" w:color="666699"/>
              <w:right w:val="single" w:sz="4" w:space="0" w:color="666699"/>
            </w:tcBorders>
          </w:tcPr>
          <w:p w14:paraId="12237D85" w14:textId="5CCC0DE7" w:rsidR="00633D26" w:rsidRPr="008922F8" w:rsidRDefault="00E205E1" w:rsidP="00620F5C">
            <w:pPr>
              <w:suppressAutoHyphens/>
              <w:jc w:val="right"/>
              <w:rPr>
                <w:sz w:val="20"/>
                <w:szCs w:val="20"/>
              </w:rPr>
            </w:pPr>
            <w:r>
              <w:rPr>
                <w:sz w:val="20"/>
                <w:szCs w:val="20"/>
              </w:rPr>
              <w:t>294 250</w:t>
            </w:r>
          </w:p>
        </w:tc>
        <w:tc>
          <w:tcPr>
            <w:tcW w:w="699" w:type="pct"/>
            <w:tcBorders>
              <w:top w:val="single" w:sz="4" w:space="0" w:color="666699"/>
              <w:left w:val="single" w:sz="4" w:space="0" w:color="666699"/>
              <w:bottom w:val="single" w:sz="4" w:space="0" w:color="666699"/>
              <w:right w:val="single" w:sz="4" w:space="0" w:color="666699"/>
            </w:tcBorders>
          </w:tcPr>
          <w:p w14:paraId="769317AD" w14:textId="1B3E4969" w:rsidR="00633D26" w:rsidRPr="008922F8" w:rsidRDefault="00E205E1" w:rsidP="00620F5C">
            <w:pPr>
              <w:suppressAutoHyphens/>
              <w:jc w:val="right"/>
              <w:rPr>
                <w:sz w:val="20"/>
                <w:szCs w:val="20"/>
              </w:rPr>
            </w:pPr>
            <w:r>
              <w:rPr>
                <w:sz w:val="20"/>
                <w:szCs w:val="20"/>
              </w:rPr>
              <w:t>0</w:t>
            </w:r>
          </w:p>
        </w:tc>
        <w:tc>
          <w:tcPr>
            <w:tcW w:w="699" w:type="pct"/>
            <w:tcBorders>
              <w:top w:val="single" w:sz="4" w:space="0" w:color="666699"/>
              <w:left w:val="single" w:sz="4" w:space="0" w:color="666699"/>
              <w:bottom w:val="single" w:sz="4" w:space="0" w:color="666699"/>
              <w:right w:val="single" w:sz="4" w:space="0" w:color="666699"/>
            </w:tcBorders>
          </w:tcPr>
          <w:p w14:paraId="0400492E" w14:textId="3F93099A" w:rsidR="00633D26" w:rsidRPr="008922F8" w:rsidRDefault="00E205E1" w:rsidP="00620F5C">
            <w:pPr>
              <w:suppressAutoHyphens/>
              <w:jc w:val="right"/>
              <w:rPr>
                <w:sz w:val="20"/>
                <w:szCs w:val="20"/>
              </w:rPr>
            </w:pPr>
            <w:r>
              <w:rPr>
                <w:sz w:val="20"/>
                <w:szCs w:val="20"/>
              </w:rPr>
              <w:t>0</w:t>
            </w:r>
          </w:p>
        </w:tc>
        <w:tc>
          <w:tcPr>
            <w:tcW w:w="953" w:type="pct"/>
            <w:tcBorders>
              <w:top w:val="single" w:sz="4" w:space="0" w:color="666699"/>
              <w:left w:val="single" w:sz="4" w:space="0" w:color="666699"/>
              <w:bottom w:val="single" w:sz="4" w:space="0" w:color="666699"/>
              <w:right w:val="single" w:sz="4" w:space="0" w:color="666699"/>
            </w:tcBorders>
          </w:tcPr>
          <w:p w14:paraId="1A040A9B" w14:textId="25D33D38" w:rsidR="00633D26" w:rsidRPr="008922F8" w:rsidRDefault="00AF0BC9" w:rsidP="00620F5C">
            <w:pPr>
              <w:suppressAutoHyphens/>
              <w:jc w:val="right"/>
              <w:rPr>
                <w:sz w:val="20"/>
                <w:szCs w:val="20"/>
              </w:rPr>
            </w:pPr>
            <w:r>
              <w:rPr>
                <w:sz w:val="20"/>
                <w:szCs w:val="20"/>
              </w:rPr>
              <w:t>294 250</w:t>
            </w:r>
          </w:p>
        </w:tc>
      </w:tr>
    </w:tbl>
    <w:p w14:paraId="4B506602" w14:textId="6AEBC643" w:rsidR="0039481A" w:rsidRPr="008922F8" w:rsidRDefault="0039481A" w:rsidP="00620F5C">
      <w:pPr>
        <w:suppressAutoHyphens/>
        <w:jc w:val="center"/>
        <w:rPr>
          <w:sz w:val="20"/>
          <w:szCs w:val="20"/>
        </w:rPr>
      </w:pPr>
    </w:p>
    <w:tbl>
      <w:tblPr>
        <w:tblStyle w:val="TableGrid"/>
        <w:tblW w:w="104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23"/>
        <w:gridCol w:w="846"/>
        <w:gridCol w:w="1411"/>
        <w:gridCol w:w="1128"/>
        <w:gridCol w:w="940"/>
        <w:gridCol w:w="1128"/>
        <w:gridCol w:w="940"/>
        <w:gridCol w:w="940"/>
        <w:gridCol w:w="940"/>
        <w:gridCol w:w="1034"/>
      </w:tblGrid>
      <w:tr w:rsidR="002E7FE2" w:rsidRPr="008922F8" w14:paraId="04524C30" w14:textId="77777777" w:rsidTr="00DB0A90">
        <w:trPr>
          <w:trHeight w:val="287"/>
        </w:trPr>
        <w:tc>
          <w:tcPr>
            <w:tcW w:w="3380" w:type="dxa"/>
            <w:gridSpan w:val="3"/>
            <w:tcBorders>
              <w:top w:val="single" w:sz="4" w:space="0" w:color="666699"/>
              <w:left w:val="single" w:sz="4" w:space="0" w:color="666699"/>
              <w:bottom w:val="single" w:sz="4" w:space="0" w:color="666699"/>
              <w:right w:val="single" w:sz="4" w:space="0" w:color="666699"/>
            </w:tcBorders>
            <w:hideMark/>
          </w:tcPr>
          <w:p w14:paraId="66663277" w14:textId="77777777" w:rsidR="002E7FE2" w:rsidRPr="008922F8" w:rsidRDefault="002E7FE2" w:rsidP="00620F5C">
            <w:pPr>
              <w:suppressAutoHyphens/>
              <w:spacing w:afterLines="20" w:after="48"/>
              <w:jc w:val="left"/>
              <w:rPr>
                <w:b/>
                <w:sz w:val="20"/>
                <w:szCs w:val="20"/>
              </w:rPr>
            </w:pPr>
            <w:r>
              <w:rPr>
                <w:b/>
                <w:sz w:val="20"/>
                <w:szCs w:val="20"/>
              </w:rPr>
              <w:t>(VI) DONNÉES DU PROJET</w:t>
            </w:r>
          </w:p>
        </w:tc>
        <w:tc>
          <w:tcPr>
            <w:tcW w:w="1128" w:type="dxa"/>
            <w:tcBorders>
              <w:top w:val="single" w:sz="4" w:space="0" w:color="666699"/>
              <w:left w:val="single" w:sz="4" w:space="0" w:color="666699"/>
              <w:bottom w:val="single" w:sz="4" w:space="0" w:color="666699"/>
              <w:right w:val="single" w:sz="4" w:space="0" w:color="666699"/>
            </w:tcBorders>
            <w:hideMark/>
          </w:tcPr>
          <w:p w14:paraId="79AAF3F7" w14:textId="2A1AFAA4" w:rsidR="002E7FE2" w:rsidRPr="008922F8" w:rsidRDefault="002E7FE2" w:rsidP="00620F5C">
            <w:pPr>
              <w:suppressAutoHyphens/>
              <w:spacing w:afterLines="20" w:after="48"/>
              <w:jc w:val="center"/>
              <w:rPr>
                <w:b/>
                <w:sz w:val="20"/>
                <w:szCs w:val="20"/>
              </w:rPr>
            </w:pPr>
            <w:r>
              <w:rPr>
                <w:b/>
                <w:sz w:val="20"/>
                <w:szCs w:val="20"/>
              </w:rPr>
              <w:t>2020</w:t>
            </w:r>
          </w:p>
        </w:tc>
        <w:tc>
          <w:tcPr>
            <w:tcW w:w="940" w:type="dxa"/>
            <w:tcBorders>
              <w:top w:val="single" w:sz="4" w:space="0" w:color="666699"/>
              <w:left w:val="single" w:sz="4" w:space="0" w:color="666699"/>
              <w:bottom w:val="single" w:sz="4" w:space="0" w:color="666699"/>
              <w:right w:val="single" w:sz="4" w:space="0" w:color="666699"/>
            </w:tcBorders>
            <w:hideMark/>
          </w:tcPr>
          <w:p w14:paraId="2E5E4AC9" w14:textId="434BFC64" w:rsidR="002E7FE2" w:rsidRPr="008922F8" w:rsidRDefault="002E7FE2" w:rsidP="00620F5C">
            <w:pPr>
              <w:suppressAutoHyphens/>
              <w:spacing w:afterLines="20" w:after="48"/>
              <w:jc w:val="center"/>
              <w:rPr>
                <w:b/>
                <w:sz w:val="20"/>
                <w:szCs w:val="20"/>
              </w:rPr>
            </w:pPr>
            <w:r>
              <w:rPr>
                <w:b/>
                <w:sz w:val="20"/>
                <w:szCs w:val="20"/>
              </w:rPr>
              <w:t>2021</w:t>
            </w:r>
          </w:p>
        </w:tc>
        <w:tc>
          <w:tcPr>
            <w:tcW w:w="1128" w:type="dxa"/>
            <w:tcBorders>
              <w:top w:val="single" w:sz="4" w:space="0" w:color="666699"/>
              <w:left w:val="single" w:sz="4" w:space="0" w:color="666699"/>
              <w:bottom w:val="single" w:sz="4" w:space="0" w:color="666699"/>
              <w:right w:val="single" w:sz="4" w:space="0" w:color="666699"/>
            </w:tcBorders>
            <w:hideMark/>
          </w:tcPr>
          <w:p w14:paraId="11F6E19E" w14:textId="25A99974" w:rsidR="002E7FE2" w:rsidRPr="008922F8" w:rsidRDefault="002E7FE2" w:rsidP="00620F5C">
            <w:pPr>
              <w:suppressAutoHyphens/>
              <w:spacing w:afterLines="20" w:after="48"/>
              <w:jc w:val="center"/>
              <w:rPr>
                <w:b/>
                <w:sz w:val="20"/>
                <w:szCs w:val="20"/>
              </w:rPr>
            </w:pPr>
            <w:r>
              <w:rPr>
                <w:b/>
                <w:sz w:val="20"/>
                <w:szCs w:val="20"/>
              </w:rPr>
              <w:t>2022</w:t>
            </w:r>
          </w:p>
        </w:tc>
        <w:tc>
          <w:tcPr>
            <w:tcW w:w="940" w:type="dxa"/>
            <w:tcBorders>
              <w:top w:val="single" w:sz="4" w:space="0" w:color="666699"/>
              <w:left w:val="single" w:sz="4" w:space="0" w:color="666699"/>
              <w:bottom w:val="single" w:sz="4" w:space="0" w:color="666699"/>
              <w:right w:val="single" w:sz="4" w:space="0" w:color="666699"/>
            </w:tcBorders>
            <w:hideMark/>
          </w:tcPr>
          <w:p w14:paraId="473A33C1" w14:textId="41BDB490" w:rsidR="002E7FE2" w:rsidRPr="008922F8" w:rsidRDefault="002E7FE2" w:rsidP="00620F5C">
            <w:pPr>
              <w:suppressAutoHyphens/>
              <w:spacing w:afterLines="20" w:after="48"/>
              <w:jc w:val="center"/>
              <w:rPr>
                <w:b/>
                <w:sz w:val="20"/>
                <w:szCs w:val="20"/>
              </w:rPr>
            </w:pPr>
            <w:r>
              <w:rPr>
                <w:b/>
                <w:sz w:val="20"/>
                <w:szCs w:val="20"/>
              </w:rPr>
              <w:t>2023</w:t>
            </w:r>
          </w:p>
        </w:tc>
        <w:tc>
          <w:tcPr>
            <w:tcW w:w="940" w:type="dxa"/>
            <w:tcBorders>
              <w:top w:val="single" w:sz="4" w:space="0" w:color="666699"/>
              <w:left w:val="single" w:sz="4" w:space="0" w:color="666699"/>
              <w:bottom w:val="single" w:sz="4" w:space="0" w:color="666699"/>
              <w:right w:val="single" w:sz="4" w:space="0" w:color="666699"/>
            </w:tcBorders>
            <w:hideMark/>
          </w:tcPr>
          <w:p w14:paraId="1EE04649" w14:textId="27B9BEF2" w:rsidR="002E7FE2" w:rsidRPr="008922F8" w:rsidRDefault="002E7FE2" w:rsidP="00620F5C">
            <w:pPr>
              <w:suppressAutoHyphens/>
              <w:spacing w:afterLines="20" w:after="48"/>
              <w:jc w:val="center"/>
              <w:rPr>
                <w:b/>
                <w:sz w:val="20"/>
                <w:szCs w:val="20"/>
              </w:rPr>
            </w:pPr>
            <w:r>
              <w:rPr>
                <w:b/>
                <w:sz w:val="20"/>
                <w:szCs w:val="20"/>
              </w:rPr>
              <w:t>2024</w:t>
            </w:r>
          </w:p>
        </w:tc>
        <w:tc>
          <w:tcPr>
            <w:tcW w:w="940" w:type="dxa"/>
            <w:tcBorders>
              <w:top w:val="single" w:sz="4" w:space="0" w:color="666699"/>
              <w:left w:val="single" w:sz="4" w:space="0" w:color="666699"/>
              <w:bottom w:val="single" w:sz="4" w:space="0" w:color="666699"/>
              <w:right w:val="single" w:sz="4" w:space="0" w:color="666699"/>
            </w:tcBorders>
          </w:tcPr>
          <w:p w14:paraId="050550BB" w14:textId="7F32F7CE" w:rsidR="002E7FE2" w:rsidRPr="008922F8" w:rsidRDefault="002E7FE2" w:rsidP="00620F5C">
            <w:pPr>
              <w:suppressAutoHyphens/>
              <w:spacing w:afterLines="20" w:after="48"/>
              <w:jc w:val="center"/>
              <w:rPr>
                <w:b/>
                <w:sz w:val="20"/>
                <w:szCs w:val="20"/>
              </w:rPr>
            </w:pPr>
            <w:r>
              <w:rPr>
                <w:b/>
                <w:sz w:val="20"/>
                <w:szCs w:val="20"/>
              </w:rPr>
              <w:t>2025</w:t>
            </w:r>
          </w:p>
        </w:tc>
        <w:tc>
          <w:tcPr>
            <w:tcW w:w="1034" w:type="dxa"/>
            <w:tcBorders>
              <w:top w:val="single" w:sz="4" w:space="0" w:color="666699"/>
              <w:left w:val="single" w:sz="4" w:space="0" w:color="666699"/>
              <w:bottom w:val="single" w:sz="4" w:space="0" w:color="666699"/>
              <w:right w:val="single" w:sz="4" w:space="0" w:color="666699"/>
            </w:tcBorders>
            <w:hideMark/>
          </w:tcPr>
          <w:p w14:paraId="1CF529D3" w14:textId="5F7ACC87" w:rsidR="002E7FE2" w:rsidRPr="008922F8" w:rsidRDefault="002E7FE2" w:rsidP="00620F5C">
            <w:pPr>
              <w:suppressAutoHyphens/>
              <w:spacing w:afterLines="20" w:after="48"/>
              <w:jc w:val="center"/>
              <w:rPr>
                <w:b/>
                <w:sz w:val="20"/>
                <w:szCs w:val="20"/>
              </w:rPr>
            </w:pPr>
            <w:r>
              <w:rPr>
                <w:b/>
                <w:sz w:val="20"/>
                <w:szCs w:val="20"/>
              </w:rPr>
              <w:t>Total</w:t>
            </w:r>
          </w:p>
        </w:tc>
      </w:tr>
      <w:tr w:rsidR="00746608" w:rsidRPr="008922F8" w14:paraId="07702941" w14:textId="77777777" w:rsidTr="00DB0A90">
        <w:trPr>
          <w:trHeight w:val="170"/>
        </w:trPr>
        <w:tc>
          <w:tcPr>
            <w:tcW w:w="3380" w:type="dxa"/>
            <w:gridSpan w:val="3"/>
            <w:tcBorders>
              <w:top w:val="single" w:sz="4" w:space="0" w:color="666699"/>
              <w:left w:val="single" w:sz="4" w:space="0" w:color="666699"/>
              <w:bottom w:val="single" w:sz="4" w:space="0" w:color="666699"/>
              <w:right w:val="single" w:sz="4" w:space="0" w:color="666699"/>
            </w:tcBorders>
            <w:hideMark/>
          </w:tcPr>
          <w:p w14:paraId="64417A51" w14:textId="003C0414" w:rsidR="00746608" w:rsidRPr="008922F8" w:rsidRDefault="00746608" w:rsidP="00620F5C">
            <w:pPr>
              <w:suppressAutoHyphens/>
              <w:spacing w:afterLines="20" w:after="48"/>
              <w:jc w:val="left"/>
              <w:rPr>
                <w:sz w:val="20"/>
                <w:szCs w:val="20"/>
              </w:rPr>
            </w:pPr>
            <w:r>
              <w:rPr>
                <w:sz w:val="20"/>
                <w:szCs w:val="20"/>
              </w:rPr>
              <w:t>Limites de consommation du Protocole de Montréal</w:t>
            </w:r>
          </w:p>
        </w:tc>
        <w:tc>
          <w:tcPr>
            <w:tcW w:w="1128" w:type="dxa"/>
            <w:tcBorders>
              <w:top w:val="single" w:sz="4" w:space="0" w:color="666699"/>
              <w:left w:val="single" w:sz="4" w:space="0" w:color="666699"/>
              <w:bottom w:val="single" w:sz="4" w:space="0" w:color="666699"/>
              <w:right w:val="single" w:sz="4" w:space="0" w:color="666699"/>
            </w:tcBorders>
          </w:tcPr>
          <w:p w14:paraId="3EFE6E10" w14:textId="5753685C" w:rsidR="00746608" w:rsidRPr="008922F8" w:rsidRDefault="00746608" w:rsidP="00620F5C">
            <w:pPr>
              <w:suppressAutoHyphens/>
              <w:spacing w:afterLines="20" w:after="48"/>
              <w:jc w:val="right"/>
              <w:rPr>
                <w:sz w:val="20"/>
                <w:szCs w:val="20"/>
              </w:rPr>
            </w:pPr>
            <w:r>
              <w:rPr>
                <w:sz w:val="20"/>
                <w:szCs w:val="20"/>
              </w:rPr>
              <w:t>0,52</w:t>
            </w:r>
          </w:p>
        </w:tc>
        <w:tc>
          <w:tcPr>
            <w:tcW w:w="940" w:type="dxa"/>
            <w:tcBorders>
              <w:top w:val="single" w:sz="4" w:space="0" w:color="666699"/>
              <w:left w:val="single" w:sz="4" w:space="0" w:color="666699"/>
              <w:bottom w:val="single" w:sz="4" w:space="0" w:color="666699"/>
              <w:right w:val="single" w:sz="4" w:space="0" w:color="666699"/>
            </w:tcBorders>
          </w:tcPr>
          <w:p w14:paraId="41D12039" w14:textId="35D78663" w:rsidR="00746608" w:rsidRPr="008922F8" w:rsidRDefault="00746608" w:rsidP="00620F5C">
            <w:pPr>
              <w:suppressAutoHyphens/>
              <w:spacing w:afterLines="20" w:after="48"/>
              <w:jc w:val="right"/>
              <w:rPr>
                <w:sz w:val="20"/>
                <w:szCs w:val="20"/>
              </w:rPr>
            </w:pPr>
            <w:r>
              <w:rPr>
                <w:sz w:val="20"/>
                <w:szCs w:val="20"/>
              </w:rPr>
              <w:t>0,52</w:t>
            </w:r>
          </w:p>
        </w:tc>
        <w:tc>
          <w:tcPr>
            <w:tcW w:w="1128" w:type="dxa"/>
            <w:tcBorders>
              <w:top w:val="single" w:sz="4" w:space="0" w:color="666699"/>
              <w:left w:val="single" w:sz="4" w:space="0" w:color="666699"/>
              <w:bottom w:val="single" w:sz="4" w:space="0" w:color="666699"/>
              <w:right w:val="single" w:sz="4" w:space="0" w:color="666699"/>
            </w:tcBorders>
          </w:tcPr>
          <w:p w14:paraId="0FA2AB45" w14:textId="284B4C33" w:rsidR="00746608" w:rsidRPr="008922F8" w:rsidRDefault="00746608" w:rsidP="00620F5C">
            <w:pPr>
              <w:suppressAutoHyphens/>
              <w:spacing w:afterLines="20" w:after="48"/>
              <w:jc w:val="right"/>
              <w:rPr>
                <w:sz w:val="20"/>
                <w:szCs w:val="20"/>
              </w:rPr>
            </w:pPr>
            <w:r>
              <w:rPr>
                <w:sz w:val="20"/>
                <w:szCs w:val="20"/>
              </w:rPr>
              <w:t>0,52</w:t>
            </w:r>
          </w:p>
        </w:tc>
        <w:tc>
          <w:tcPr>
            <w:tcW w:w="940" w:type="dxa"/>
            <w:tcBorders>
              <w:top w:val="single" w:sz="4" w:space="0" w:color="666699"/>
              <w:left w:val="single" w:sz="4" w:space="0" w:color="666699"/>
              <w:bottom w:val="single" w:sz="4" w:space="0" w:color="666699"/>
              <w:right w:val="single" w:sz="4" w:space="0" w:color="666699"/>
            </w:tcBorders>
          </w:tcPr>
          <w:p w14:paraId="6E9125DE" w14:textId="6BB6F7E6" w:rsidR="00746608" w:rsidRPr="008922F8" w:rsidRDefault="00746608" w:rsidP="00620F5C">
            <w:pPr>
              <w:suppressAutoHyphens/>
              <w:spacing w:afterLines="20" w:after="48"/>
              <w:jc w:val="right"/>
              <w:rPr>
                <w:sz w:val="20"/>
                <w:szCs w:val="20"/>
              </w:rPr>
            </w:pPr>
            <w:r>
              <w:rPr>
                <w:sz w:val="20"/>
                <w:szCs w:val="20"/>
              </w:rPr>
              <w:t>0,52</w:t>
            </w:r>
          </w:p>
        </w:tc>
        <w:tc>
          <w:tcPr>
            <w:tcW w:w="940" w:type="dxa"/>
            <w:tcBorders>
              <w:top w:val="single" w:sz="4" w:space="0" w:color="666699"/>
              <w:left w:val="single" w:sz="4" w:space="0" w:color="666699"/>
              <w:bottom w:val="single" w:sz="4" w:space="0" w:color="666699"/>
              <w:right w:val="single" w:sz="4" w:space="0" w:color="666699"/>
            </w:tcBorders>
          </w:tcPr>
          <w:p w14:paraId="5166B181" w14:textId="6551154F" w:rsidR="00746608" w:rsidRPr="008922F8" w:rsidRDefault="00746608" w:rsidP="00620F5C">
            <w:pPr>
              <w:suppressAutoHyphens/>
              <w:spacing w:afterLines="20" w:after="48"/>
              <w:jc w:val="right"/>
              <w:rPr>
                <w:sz w:val="20"/>
                <w:szCs w:val="20"/>
              </w:rPr>
            </w:pPr>
            <w:r>
              <w:rPr>
                <w:sz w:val="20"/>
                <w:szCs w:val="20"/>
              </w:rPr>
              <w:t>0,52</w:t>
            </w:r>
          </w:p>
        </w:tc>
        <w:tc>
          <w:tcPr>
            <w:tcW w:w="940" w:type="dxa"/>
            <w:tcBorders>
              <w:top w:val="single" w:sz="4" w:space="0" w:color="666699"/>
              <w:left w:val="single" w:sz="4" w:space="0" w:color="666699"/>
              <w:bottom w:val="single" w:sz="4" w:space="0" w:color="666699"/>
              <w:right w:val="single" w:sz="4" w:space="0" w:color="666699"/>
            </w:tcBorders>
          </w:tcPr>
          <w:p w14:paraId="118293DB" w14:textId="72AB611F" w:rsidR="00746608" w:rsidRPr="008922F8" w:rsidRDefault="00746608" w:rsidP="00620F5C">
            <w:pPr>
              <w:suppressAutoHyphens/>
              <w:spacing w:afterLines="20" w:after="48"/>
              <w:jc w:val="right"/>
              <w:rPr>
                <w:sz w:val="20"/>
                <w:szCs w:val="20"/>
              </w:rPr>
            </w:pPr>
            <w:r>
              <w:rPr>
                <w:sz w:val="20"/>
                <w:szCs w:val="20"/>
              </w:rPr>
              <w:t>0,26</w:t>
            </w:r>
          </w:p>
        </w:tc>
        <w:tc>
          <w:tcPr>
            <w:tcW w:w="1034" w:type="dxa"/>
            <w:tcBorders>
              <w:top w:val="single" w:sz="4" w:space="0" w:color="666699"/>
              <w:left w:val="single" w:sz="4" w:space="0" w:color="666699"/>
              <w:bottom w:val="single" w:sz="4" w:space="0" w:color="666699"/>
              <w:right w:val="single" w:sz="4" w:space="0" w:color="666699"/>
            </w:tcBorders>
            <w:hideMark/>
          </w:tcPr>
          <w:p w14:paraId="6BB48571" w14:textId="37F6C8D0" w:rsidR="00746608" w:rsidRPr="008922F8" w:rsidRDefault="00746608" w:rsidP="00620F5C">
            <w:pPr>
              <w:suppressAutoHyphens/>
              <w:spacing w:afterLines="20" w:after="48"/>
              <w:jc w:val="right"/>
              <w:rPr>
                <w:sz w:val="20"/>
                <w:szCs w:val="20"/>
              </w:rPr>
            </w:pPr>
            <w:r>
              <w:rPr>
                <w:sz w:val="20"/>
                <w:szCs w:val="20"/>
              </w:rPr>
              <w:t>s. o.</w:t>
            </w:r>
          </w:p>
        </w:tc>
      </w:tr>
      <w:tr w:rsidR="00746608" w:rsidRPr="008922F8" w14:paraId="583296C5" w14:textId="77777777" w:rsidTr="00DB0A90">
        <w:trPr>
          <w:trHeight w:val="80"/>
        </w:trPr>
        <w:tc>
          <w:tcPr>
            <w:tcW w:w="3380" w:type="dxa"/>
            <w:gridSpan w:val="3"/>
            <w:tcBorders>
              <w:top w:val="single" w:sz="4" w:space="0" w:color="666699"/>
              <w:left w:val="single" w:sz="4" w:space="0" w:color="666699"/>
              <w:bottom w:val="single" w:sz="4" w:space="0" w:color="666699"/>
              <w:right w:val="single" w:sz="4" w:space="0" w:color="666699"/>
            </w:tcBorders>
            <w:hideMark/>
          </w:tcPr>
          <w:p w14:paraId="74EB56FC" w14:textId="081831CD" w:rsidR="00746608" w:rsidRPr="008922F8" w:rsidRDefault="00746608" w:rsidP="00620F5C">
            <w:pPr>
              <w:suppressAutoHyphens/>
              <w:spacing w:afterLines="20" w:after="48"/>
              <w:jc w:val="left"/>
              <w:rPr>
                <w:sz w:val="20"/>
                <w:szCs w:val="20"/>
              </w:rPr>
            </w:pPr>
            <w:r>
              <w:rPr>
                <w:sz w:val="20"/>
                <w:szCs w:val="20"/>
              </w:rPr>
              <w:t>Consommation maximale autorisée (tonnes PAO)</w:t>
            </w:r>
          </w:p>
        </w:tc>
        <w:tc>
          <w:tcPr>
            <w:tcW w:w="1128" w:type="dxa"/>
            <w:tcBorders>
              <w:top w:val="single" w:sz="4" w:space="0" w:color="666699"/>
              <w:left w:val="single" w:sz="4" w:space="0" w:color="666699"/>
              <w:bottom w:val="single" w:sz="4" w:space="0" w:color="666699"/>
              <w:right w:val="single" w:sz="4" w:space="0" w:color="666699"/>
            </w:tcBorders>
          </w:tcPr>
          <w:p w14:paraId="0375007B" w14:textId="33B9D1E8" w:rsidR="00746608" w:rsidRPr="008922F8" w:rsidRDefault="00746608" w:rsidP="00620F5C">
            <w:pPr>
              <w:suppressAutoHyphens/>
              <w:spacing w:afterLines="20" w:after="48"/>
              <w:jc w:val="right"/>
              <w:rPr>
                <w:sz w:val="20"/>
                <w:szCs w:val="20"/>
              </w:rPr>
            </w:pPr>
            <w:r>
              <w:rPr>
                <w:sz w:val="20"/>
                <w:szCs w:val="20"/>
              </w:rPr>
              <w:t>0,52</w:t>
            </w:r>
          </w:p>
        </w:tc>
        <w:tc>
          <w:tcPr>
            <w:tcW w:w="940" w:type="dxa"/>
            <w:tcBorders>
              <w:top w:val="single" w:sz="4" w:space="0" w:color="666699"/>
              <w:left w:val="single" w:sz="4" w:space="0" w:color="666699"/>
              <w:bottom w:val="single" w:sz="4" w:space="0" w:color="666699"/>
              <w:right w:val="single" w:sz="4" w:space="0" w:color="666699"/>
            </w:tcBorders>
          </w:tcPr>
          <w:p w14:paraId="3AA016C5" w14:textId="7AB67DA1" w:rsidR="00746608" w:rsidRPr="008922F8" w:rsidRDefault="00746608" w:rsidP="00620F5C">
            <w:pPr>
              <w:suppressAutoHyphens/>
              <w:spacing w:afterLines="20" w:after="48"/>
              <w:jc w:val="right"/>
              <w:rPr>
                <w:sz w:val="20"/>
                <w:szCs w:val="20"/>
              </w:rPr>
            </w:pPr>
            <w:r>
              <w:rPr>
                <w:sz w:val="20"/>
                <w:szCs w:val="20"/>
              </w:rPr>
              <w:t>0,39</w:t>
            </w:r>
          </w:p>
        </w:tc>
        <w:tc>
          <w:tcPr>
            <w:tcW w:w="1128" w:type="dxa"/>
            <w:tcBorders>
              <w:top w:val="single" w:sz="4" w:space="0" w:color="666699"/>
              <w:left w:val="single" w:sz="4" w:space="0" w:color="666699"/>
              <w:bottom w:val="single" w:sz="4" w:space="0" w:color="666699"/>
              <w:right w:val="single" w:sz="4" w:space="0" w:color="666699"/>
            </w:tcBorders>
          </w:tcPr>
          <w:p w14:paraId="668FC4AF" w14:textId="45FE8D36" w:rsidR="00746608" w:rsidRPr="008922F8" w:rsidRDefault="00746608" w:rsidP="00620F5C">
            <w:pPr>
              <w:suppressAutoHyphens/>
              <w:spacing w:afterLines="20" w:after="48"/>
              <w:jc w:val="right"/>
              <w:rPr>
                <w:sz w:val="20"/>
                <w:szCs w:val="20"/>
              </w:rPr>
            </w:pPr>
            <w:r>
              <w:rPr>
                <w:sz w:val="20"/>
                <w:szCs w:val="20"/>
              </w:rPr>
              <w:t>0,23</w:t>
            </w:r>
          </w:p>
        </w:tc>
        <w:tc>
          <w:tcPr>
            <w:tcW w:w="940" w:type="dxa"/>
            <w:tcBorders>
              <w:top w:val="single" w:sz="4" w:space="0" w:color="666699"/>
              <w:left w:val="single" w:sz="4" w:space="0" w:color="666699"/>
              <w:bottom w:val="single" w:sz="4" w:space="0" w:color="666699"/>
              <w:right w:val="single" w:sz="4" w:space="0" w:color="666699"/>
            </w:tcBorders>
          </w:tcPr>
          <w:p w14:paraId="34794F95" w14:textId="517C370B" w:rsidR="00746608" w:rsidRPr="008922F8" w:rsidRDefault="00746608" w:rsidP="00620F5C">
            <w:pPr>
              <w:suppressAutoHyphens/>
              <w:spacing w:afterLines="20" w:after="48"/>
              <w:jc w:val="right"/>
              <w:rPr>
                <w:sz w:val="20"/>
                <w:szCs w:val="20"/>
              </w:rPr>
            </w:pPr>
            <w:r>
              <w:rPr>
                <w:sz w:val="20"/>
                <w:szCs w:val="20"/>
              </w:rPr>
              <w:t>0,15</w:t>
            </w:r>
          </w:p>
        </w:tc>
        <w:tc>
          <w:tcPr>
            <w:tcW w:w="940" w:type="dxa"/>
            <w:tcBorders>
              <w:top w:val="single" w:sz="4" w:space="0" w:color="666699"/>
              <w:left w:val="single" w:sz="4" w:space="0" w:color="666699"/>
              <w:bottom w:val="single" w:sz="4" w:space="0" w:color="666699"/>
              <w:right w:val="single" w:sz="4" w:space="0" w:color="666699"/>
            </w:tcBorders>
          </w:tcPr>
          <w:p w14:paraId="2CEED116" w14:textId="25588673" w:rsidR="00746608" w:rsidRPr="008922F8" w:rsidRDefault="00746608" w:rsidP="00620F5C">
            <w:pPr>
              <w:suppressAutoHyphens/>
              <w:spacing w:afterLines="20" w:after="48"/>
              <w:jc w:val="right"/>
              <w:rPr>
                <w:sz w:val="20"/>
                <w:szCs w:val="20"/>
              </w:rPr>
            </w:pPr>
            <w:r>
              <w:rPr>
                <w:sz w:val="20"/>
                <w:szCs w:val="20"/>
              </w:rPr>
              <w:t>0,08</w:t>
            </w:r>
          </w:p>
        </w:tc>
        <w:tc>
          <w:tcPr>
            <w:tcW w:w="940" w:type="dxa"/>
            <w:tcBorders>
              <w:top w:val="single" w:sz="4" w:space="0" w:color="666699"/>
              <w:left w:val="single" w:sz="4" w:space="0" w:color="666699"/>
              <w:bottom w:val="single" w:sz="4" w:space="0" w:color="666699"/>
              <w:right w:val="single" w:sz="4" w:space="0" w:color="666699"/>
            </w:tcBorders>
          </w:tcPr>
          <w:p w14:paraId="0E81B108" w14:textId="502AC15E" w:rsidR="00746608" w:rsidRPr="008922F8" w:rsidRDefault="00746608" w:rsidP="00620F5C">
            <w:pPr>
              <w:suppressAutoHyphens/>
              <w:spacing w:afterLines="20" w:after="48"/>
              <w:jc w:val="right"/>
              <w:rPr>
                <w:sz w:val="20"/>
                <w:szCs w:val="20"/>
              </w:rPr>
            </w:pPr>
            <w:r>
              <w:rPr>
                <w:sz w:val="20"/>
                <w:szCs w:val="20"/>
              </w:rPr>
              <w:t>0</w:t>
            </w:r>
          </w:p>
        </w:tc>
        <w:tc>
          <w:tcPr>
            <w:tcW w:w="1034" w:type="dxa"/>
            <w:tcBorders>
              <w:top w:val="single" w:sz="4" w:space="0" w:color="666699"/>
              <w:left w:val="single" w:sz="4" w:space="0" w:color="666699"/>
              <w:bottom w:val="single" w:sz="4" w:space="0" w:color="666699"/>
              <w:right w:val="single" w:sz="4" w:space="0" w:color="666699"/>
            </w:tcBorders>
            <w:hideMark/>
          </w:tcPr>
          <w:p w14:paraId="60D7F72E" w14:textId="596EE630" w:rsidR="00746608" w:rsidRPr="008922F8" w:rsidRDefault="00746608" w:rsidP="00620F5C">
            <w:pPr>
              <w:suppressAutoHyphens/>
              <w:spacing w:afterLines="20" w:after="48"/>
              <w:jc w:val="right"/>
              <w:rPr>
                <w:sz w:val="20"/>
                <w:szCs w:val="20"/>
              </w:rPr>
            </w:pPr>
            <w:r>
              <w:rPr>
                <w:sz w:val="20"/>
                <w:szCs w:val="20"/>
              </w:rPr>
              <w:t>s. o.</w:t>
            </w:r>
          </w:p>
        </w:tc>
      </w:tr>
      <w:tr w:rsidR="00746608" w:rsidRPr="008922F8" w14:paraId="01C86D78" w14:textId="77777777" w:rsidTr="00DB0A90">
        <w:trPr>
          <w:trHeight w:val="344"/>
        </w:trPr>
        <w:tc>
          <w:tcPr>
            <w:tcW w:w="1123" w:type="dxa"/>
            <w:vMerge w:val="restart"/>
            <w:tcBorders>
              <w:top w:val="single" w:sz="4" w:space="0" w:color="666699"/>
              <w:left w:val="single" w:sz="4" w:space="0" w:color="666699"/>
              <w:bottom w:val="single" w:sz="4" w:space="0" w:color="666699"/>
              <w:right w:val="single" w:sz="4" w:space="0" w:color="666699"/>
            </w:tcBorders>
            <w:vAlign w:val="center"/>
            <w:hideMark/>
          </w:tcPr>
          <w:p w14:paraId="27CEF576" w14:textId="01F7C856" w:rsidR="00746608" w:rsidRPr="008922F8" w:rsidRDefault="00746608" w:rsidP="00620F5C">
            <w:pPr>
              <w:suppressAutoHyphens/>
              <w:spacing w:afterLines="20" w:after="48"/>
              <w:jc w:val="left"/>
              <w:rPr>
                <w:sz w:val="20"/>
                <w:szCs w:val="20"/>
              </w:rPr>
            </w:pPr>
            <w:r>
              <w:rPr>
                <w:sz w:val="20"/>
                <w:szCs w:val="20"/>
              </w:rPr>
              <w:t>Fonds approuvés en principe ($ US)</w:t>
            </w:r>
          </w:p>
        </w:tc>
        <w:tc>
          <w:tcPr>
            <w:tcW w:w="846" w:type="dxa"/>
            <w:vMerge w:val="restart"/>
            <w:tcBorders>
              <w:top w:val="single" w:sz="4" w:space="0" w:color="666699"/>
              <w:left w:val="single" w:sz="4" w:space="0" w:color="666699"/>
              <w:bottom w:val="single" w:sz="4" w:space="0" w:color="666699"/>
              <w:right w:val="single" w:sz="4" w:space="0" w:color="666699"/>
            </w:tcBorders>
            <w:vAlign w:val="center"/>
            <w:hideMark/>
          </w:tcPr>
          <w:p w14:paraId="49AB66F0" w14:textId="78DCFD6A" w:rsidR="00746608" w:rsidRPr="008922F8" w:rsidRDefault="00746608" w:rsidP="00620F5C">
            <w:pPr>
              <w:suppressAutoHyphens/>
              <w:spacing w:afterLines="20" w:after="48"/>
              <w:jc w:val="center"/>
              <w:rPr>
                <w:sz w:val="20"/>
                <w:szCs w:val="20"/>
              </w:rPr>
            </w:pPr>
            <w:r>
              <w:rPr>
                <w:color w:val="000000" w:themeColor="text1"/>
                <w:sz w:val="20"/>
                <w:szCs w:val="20"/>
              </w:rPr>
              <w:t>ONUDI</w:t>
            </w:r>
          </w:p>
        </w:tc>
        <w:tc>
          <w:tcPr>
            <w:tcW w:w="1410" w:type="dxa"/>
            <w:tcBorders>
              <w:top w:val="single" w:sz="4" w:space="0" w:color="666699"/>
              <w:left w:val="single" w:sz="4" w:space="0" w:color="666699"/>
              <w:bottom w:val="single" w:sz="4" w:space="0" w:color="666699"/>
              <w:right w:val="single" w:sz="4" w:space="0" w:color="666699"/>
            </w:tcBorders>
            <w:hideMark/>
          </w:tcPr>
          <w:p w14:paraId="4F98F26F" w14:textId="77777777" w:rsidR="00746608" w:rsidRPr="008922F8" w:rsidRDefault="00746608" w:rsidP="00620F5C">
            <w:pPr>
              <w:suppressAutoHyphens/>
              <w:spacing w:afterLines="20" w:after="48"/>
              <w:jc w:val="left"/>
              <w:rPr>
                <w:sz w:val="20"/>
                <w:szCs w:val="20"/>
              </w:rPr>
            </w:pPr>
            <w:r>
              <w:rPr>
                <w:sz w:val="20"/>
                <w:szCs w:val="20"/>
              </w:rPr>
              <w:t>Coûts du projet</w:t>
            </w:r>
          </w:p>
        </w:tc>
        <w:tc>
          <w:tcPr>
            <w:tcW w:w="1128" w:type="dxa"/>
            <w:tcBorders>
              <w:top w:val="single" w:sz="4" w:space="0" w:color="666699"/>
              <w:left w:val="single" w:sz="4" w:space="0" w:color="666699"/>
              <w:bottom w:val="single" w:sz="4" w:space="0" w:color="666699"/>
              <w:right w:val="single" w:sz="4" w:space="0" w:color="666699"/>
            </w:tcBorders>
          </w:tcPr>
          <w:p w14:paraId="39995FB8" w14:textId="00B93CBF" w:rsidR="00746608" w:rsidRPr="008922F8" w:rsidRDefault="00746608" w:rsidP="00620F5C">
            <w:pPr>
              <w:suppressAutoHyphens/>
              <w:spacing w:afterLines="20" w:after="48"/>
              <w:jc w:val="right"/>
              <w:rPr>
                <w:color w:val="000000"/>
                <w:sz w:val="20"/>
                <w:szCs w:val="20"/>
              </w:rPr>
            </w:pPr>
            <w:r>
              <w:rPr>
                <w:sz w:val="20"/>
                <w:szCs w:val="20"/>
              </w:rPr>
              <w:t>296 500</w:t>
            </w:r>
          </w:p>
        </w:tc>
        <w:tc>
          <w:tcPr>
            <w:tcW w:w="940" w:type="dxa"/>
            <w:tcBorders>
              <w:top w:val="single" w:sz="4" w:space="0" w:color="666699"/>
              <w:left w:val="single" w:sz="4" w:space="0" w:color="666699"/>
              <w:bottom w:val="single" w:sz="4" w:space="0" w:color="666699"/>
              <w:right w:val="single" w:sz="4" w:space="0" w:color="666699"/>
            </w:tcBorders>
          </w:tcPr>
          <w:p w14:paraId="4BF9F60D" w14:textId="5D5C11D3" w:rsidR="00746608" w:rsidRPr="008922F8" w:rsidRDefault="00746608" w:rsidP="00620F5C">
            <w:pPr>
              <w:suppressAutoHyphens/>
              <w:spacing w:afterLines="20" w:after="48"/>
              <w:jc w:val="right"/>
              <w:rPr>
                <w:color w:val="000000"/>
                <w:sz w:val="20"/>
                <w:szCs w:val="20"/>
              </w:rPr>
            </w:pPr>
            <w:r>
              <w:rPr>
                <w:sz w:val="20"/>
                <w:szCs w:val="20"/>
              </w:rPr>
              <w:t>0</w:t>
            </w:r>
          </w:p>
        </w:tc>
        <w:tc>
          <w:tcPr>
            <w:tcW w:w="1128" w:type="dxa"/>
            <w:tcBorders>
              <w:top w:val="single" w:sz="4" w:space="0" w:color="666699"/>
              <w:left w:val="single" w:sz="4" w:space="0" w:color="666699"/>
              <w:bottom w:val="single" w:sz="4" w:space="0" w:color="666699"/>
              <w:right w:val="single" w:sz="4" w:space="0" w:color="666699"/>
            </w:tcBorders>
          </w:tcPr>
          <w:p w14:paraId="5EF818FB" w14:textId="3024AC76" w:rsidR="00746608" w:rsidRPr="008922F8" w:rsidRDefault="00746608" w:rsidP="00620F5C">
            <w:pPr>
              <w:suppressAutoHyphens/>
              <w:spacing w:afterLines="20" w:after="48"/>
              <w:jc w:val="right"/>
              <w:rPr>
                <w:color w:val="000000"/>
                <w:sz w:val="20"/>
                <w:szCs w:val="20"/>
              </w:rPr>
            </w:pPr>
            <w:r>
              <w:rPr>
                <w:sz w:val="20"/>
                <w:szCs w:val="20"/>
              </w:rPr>
              <w:t>275 000</w:t>
            </w:r>
          </w:p>
        </w:tc>
        <w:tc>
          <w:tcPr>
            <w:tcW w:w="940" w:type="dxa"/>
            <w:tcBorders>
              <w:top w:val="single" w:sz="4" w:space="0" w:color="666699"/>
              <w:left w:val="single" w:sz="4" w:space="0" w:color="666699"/>
              <w:bottom w:val="single" w:sz="4" w:space="0" w:color="666699"/>
              <w:right w:val="single" w:sz="4" w:space="0" w:color="666699"/>
            </w:tcBorders>
          </w:tcPr>
          <w:p w14:paraId="6EE34340" w14:textId="09F903E3" w:rsidR="00746608" w:rsidRPr="008922F8" w:rsidRDefault="00746608" w:rsidP="00620F5C">
            <w:pPr>
              <w:suppressAutoHyphens/>
              <w:spacing w:afterLines="20" w:after="48"/>
              <w:jc w:val="right"/>
              <w:rPr>
                <w:color w:val="000000"/>
                <w:sz w:val="20"/>
                <w:szCs w:val="20"/>
              </w:rPr>
            </w:pPr>
            <w:r>
              <w:rPr>
                <w:sz w:val="20"/>
                <w:szCs w:val="20"/>
              </w:rPr>
              <w:t>0</w:t>
            </w:r>
          </w:p>
        </w:tc>
        <w:tc>
          <w:tcPr>
            <w:tcW w:w="940" w:type="dxa"/>
            <w:tcBorders>
              <w:top w:val="single" w:sz="4" w:space="0" w:color="666699"/>
              <w:left w:val="single" w:sz="4" w:space="0" w:color="666699"/>
              <w:bottom w:val="single" w:sz="4" w:space="0" w:color="666699"/>
              <w:right w:val="single" w:sz="4" w:space="0" w:color="666699"/>
            </w:tcBorders>
          </w:tcPr>
          <w:p w14:paraId="1F97E7F0" w14:textId="3116C6D9" w:rsidR="00746608" w:rsidRPr="008922F8" w:rsidRDefault="00746608" w:rsidP="00620F5C">
            <w:pPr>
              <w:suppressAutoHyphens/>
              <w:spacing w:afterLines="20" w:after="48"/>
              <w:jc w:val="right"/>
              <w:rPr>
                <w:color w:val="000000"/>
                <w:sz w:val="20"/>
                <w:szCs w:val="20"/>
              </w:rPr>
            </w:pPr>
            <w:r>
              <w:rPr>
                <w:sz w:val="20"/>
                <w:szCs w:val="20"/>
              </w:rPr>
              <w:t>0</w:t>
            </w:r>
          </w:p>
        </w:tc>
        <w:tc>
          <w:tcPr>
            <w:tcW w:w="940" w:type="dxa"/>
            <w:tcBorders>
              <w:top w:val="single" w:sz="4" w:space="0" w:color="666699"/>
              <w:left w:val="single" w:sz="4" w:space="0" w:color="666699"/>
              <w:bottom w:val="single" w:sz="4" w:space="0" w:color="666699"/>
              <w:right w:val="single" w:sz="4" w:space="0" w:color="666699"/>
            </w:tcBorders>
          </w:tcPr>
          <w:p w14:paraId="33E96FF6" w14:textId="51D75330" w:rsidR="00746608" w:rsidRPr="008922F8" w:rsidRDefault="00746608" w:rsidP="00620F5C">
            <w:pPr>
              <w:suppressAutoHyphens/>
              <w:spacing w:afterLines="20" w:after="48"/>
              <w:jc w:val="right"/>
              <w:rPr>
                <w:color w:val="000000"/>
                <w:sz w:val="20"/>
                <w:szCs w:val="20"/>
              </w:rPr>
            </w:pPr>
            <w:r>
              <w:rPr>
                <w:sz w:val="20"/>
                <w:szCs w:val="20"/>
              </w:rPr>
              <w:t>64 000</w:t>
            </w:r>
          </w:p>
        </w:tc>
        <w:tc>
          <w:tcPr>
            <w:tcW w:w="1034" w:type="dxa"/>
            <w:tcBorders>
              <w:top w:val="single" w:sz="4" w:space="0" w:color="666699"/>
              <w:left w:val="single" w:sz="4" w:space="0" w:color="666699"/>
              <w:bottom w:val="single" w:sz="4" w:space="0" w:color="666699"/>
              <w:right w:val="single" w:sz="4" w:space="0" w:color="666699"/>
            </w:tcBorders>
          </w:tcPr>
          <w:p w14:paraId="21A99511" w14:textId="4C9F48E8" w:rsidR="00746608" w:rsidRPr="008922F8" w:rsidRDefault="00746608" w:rsidP="00620F5C">
            <w:pPr>
              <w:suppressAutoHyphens/>
              <w:spacing w:afterLines="20" w:after="48"/>
              <w:jc w:val="right"/>
              <w:rPr>
                <w:color w:val="000000"/>
                <w:sz w:val="20"/>
                <w:szCs w:val="20"/>
              </w:rPr>
            </w:pPr>
            <w:r>
              <w:rPr>
                <w:sz w:val="20"/>
                <w:szCs w:val="20"/>
              </w:rPr>
              <w:t>635 500</w:t>
            </w:r>
          </w:p>
        </w:tc>
      </w:tr>
      <w:tr w:rsidR="00746608" w:rsidRPr="008922F8" w14:paraId="335E54C8" w14:textId="77777777" w:rsidTr="00DB0A90">
        <w:trPr>
          <w:trHeight w:val="345"/>
        </w:trPr>
        <w:tc>
          <w:tcPr>
            <w:tcW w:w="1123" w:type="dxa"/>
            <w:vMerge/>
            <w:tcBorders>
              <w:top w:val="single" w:sz="4" w:space="0" w:color="666699"/>
              <w:left w:val="single" w:sz="4" w:space="0" w:color="666699"/>
              <w:bottom w:val="single" w:sz="4" w:space="0" w:color="666699"/>
              <w:right w:val="single" w:sz="4" w:space="0" w:color="666699"/>
            </w:tcBorders>
            <w:vAlign w:val="center"/>
            <w:hideMark/>
          </w:tcPr>
          <w:p w14:paraId="011C423B" w14:textId="77777777" w:rsidR="00746608" w:rsidRPr="008922F8" w:rsidRDefault="00746608" w:rsidP="00620F5C">
            <w:pPr>
              <w:suppressAutoHyphens/>
              <w:rPr>
                <w:sz w:val="20"/>
                <w:szCs w:val="20"/>
              </w:rPr>
            </w:pPr>
          </w:p>
        </w:tc>
        <w:tc>
          <w:tcPr>
            <w:tcW w:w="846" w:type="dxa"/>
            <w:vMerge/>
            <w:tcBorders>
              <w:top w:val="single" w:sz="4" w:space="0" w:color="666699"/>
              <w:left w:val="single" w:sz="4" w:space="0" w:color="666699"/>
              <w:bottom w:val="single" w:sz="4" w:space="0" w:color="666699"/>
              <w:right w:val="single" w:sz="4" w:space="0" w:color="666699"/>
            </w:tcBorders>
            <w:vAlign w:val="center"/>
            <w:hideMark/>
          </w:tcPr>
          <w:p w14:paraId="3425764D" w14:textId="77777777" w:rsidR="00746608" w:rsidRPr="008922F8" w:rsidRDefault="00746608" w:rsidP="00620F5C">
            <w:pPr>
              <w:suppressAutoHyphens/>
              <w:jc w:val="center"/>
              <w:rPr>
                <w:sz w:val="20"/>
                <w:szCs w:val="20"/>
              </w:rPr>
            </w:pPr>
          </w:p>
        </w:tc>
        <w:tc>
          <w:tcPr>
            <w:tcW w:w="1410" w:type="dxa"/>
            <w:tcBorders>
              <w:top w:val="single" w:sz="4" w:space="0" w:color="666699"/>
              <w:left w:val="single" w:sz="4" w:space="0" w:color="666699"/>
              <w:bottom w:val="single" w:sz="4" w:space="0" w:color="666699"/>
              <w:right w:val="single" w:sz="4" w:space="0" w:color="666699"/>
            </w:tcBorders>
            <w:hideMark/>
          </w:tcPr>
          <w:p w14:paraId="1C384089" w14:textId="77777777" w:rsidR="00746608" w:rsidRPr="008922F8" w:rsidRDefault="00746608" w:rsidP="00620F5C">
            <w:pPr>
              <w:suppressAutoHyphens/>
              <w:spacing w:afterLines="20" w:after="48"/>
              <w:jc w:val="left"/>
              <w:rPr>
                <w:sz w:val="20"/>
                <w:szCs w:val="20"/>
              </w:rPr>
            </w:pPr>
            <w:r>
              <w:rPr>
                <w:sz w:val="20"/>
                <w:szCs w:val="20"/>
              </w:rPr>
              <w:t>Coûts d’appui</w:t>
            </w:r>
          </w:p>
        </w:tc>
        <w:tc>
          <w:tcPr>
            <w:tcW w:w="1128" w:type="dxa"/>
            <w:tcBorders>
              <w:top w:val="single" w:sz="4" w:space="0" w:color="666699"/>
              <w:left w:val="single" w:sz="4" w:space="0" w:color="666699"/>
              <w:bottom w:val="single" w:sz="4" w:space="0" w:color="666699"/>
              <w:right w:val="single" w:sz="4" w:space="0" w:color="666699"/>
            </w:tcBorders>
          </w:tcPr>
          <w:p w14:paraId="351082ED" w14:textId="15BCB869" w:rsidR="00746608" w:rsidRPr="008922F8" w:rsidRDefault="00746608" w:rsidP="00620F5C">
            <w:pPr>
              <w:suppressAutoHyphens/>
              <w:spacing w:afterLines="20" w:after="48"/>
              <w:jc w:val="right"/>
              <w:rPr>
                <w:color w:val="000000"/>
                <w:sz w:val="20"/>
                <w:szCs w:val="20"/>
              </w:rPr>
            </w:pPr>
            <w:r>
              <w:rPr>
                <w:sz w:val="20"/>
                <w:szCs w:val="20"/>
              </w:rPr>
              <w:t>20 755</w:t>
            </w:r>
          </w:p>
        </w:tc>
        <w:tc>
          <w:tcPr>
            <w:tcW w:w="940" w:type="dxa"/>
            <w:tcBorders>
              <w:top w:val="single" w:sz="4" w:space="0" w:color="666699"/>
              <w:left w:val="single" w:sz="4" w:space="0" w:color="666699"/>
              <w:bottom w:val="single" w:sz="4" w:space="0" w:color="666699"/>
              <w:right w:val="single" w:sz="4" w:space="0" w:color="666699"/>
            </w:tcBorders>
          </w:tcPr>
          <w:p w14:paraId="557B944D" w14:textId="03FB5C9B" w:rsidR="00746608" w:rsidRPr="008922F8" w:rsidRDefault="00746608" w:rsidP="00620F5C">
            <w:pPr>
              <w:suppressAutoHyphens/>
              <w:spacing w:afterLines="20" w:after="48"/>
              <w:jc w:val="right"/>
              <w:rPr>
                <w:color w:val="000000"/>
                <w:sz w:val="20"/>
                <w:szCs w:val="20"/>
              </w:rPr>
            </w:pPr>
            <w:r>
              <w:rPr>
                <w:sz w:val="20"/>
                <w:szCs w:val="20"/>
              </w:rPr>
              <w:t>0</w:t>
            </w:r>
          </w:p>
        </w:tc>
        <w:tc>
          <w:tcPr>
            <w:tcW w:w="1128" w:type="dxa"/>
            <w:tcBorders>
              <w:top w:val="single" w:sz="4" w:space="0" w:color="666699"/>
              <w:left w:val="single" w:sz="4" w:space="0" w:color="666699"/>
              <w:bottom w:val="single" w:sz="4" w:space="0" w:color="666699"/>
              <w:right w:val="single" w:sz="4" w:space="0" w:color="666699"/>
            </w:tcBorders>
          </w:tcPr>
          <w:p w14:paraId="5AC3F893" w14:textId="5D1C4C39" w:rsidR="00746608" w:rsidRPr="008922F8" w:rsidRDefault="00746608" w:rsidP="00620F5C">
            <w:pPr>
              <w:suppressAutoHyphens/>
              <w:spacing w:afterLines="20" w:after="48"/>
              <w:jc w:val="right"/>
              <w:rPr>
                <w:color w:val="000000"/>
                <w:sz w:val="20"/>
                <w:szCs w:val="20"/>
              </w:rPr>
            </w:pPr>
            <w:r>
              <w:rPr>
                <w:sz w:val="20"/>
                <w:szCs w:val="20"/>
              </w:rPr>
              <w:t>19 250</w:t>
            </w:r>
          </w:p>
        </w:tc>
        <w:tc>
          <w:tcPr>
            <w:tcW w:w="940" w:type="dxa"/>
            <w:tcBorders>
              <w:top w:val="single" w:sz="4" w:space="0" w:color="666699"/>
              <w:left w:val="single" w:sz="4" w:space="0" w:color="666699"/>
              <w:bottom w:val="single" w:sz="4" w:space="0" w:color="666699"/>
              <w:right w:val="single" w:sz="4" w:space="0" w:color="666699"/>
            </w:tcBorders>
          </w:tcPr>
          <w:p w14:paraId="2B241185" w14:textId="21A4FD1A" w:rsidR="00746608" w:rsidRPr="008922F8" w:rsidRDefault="00746608" w:rsidP="00620F5C">
            <w:pPr>
              <w:suppressAutoHyphens/>
              <w:spacing w:afterLines="20" w:after="48"/>
              <w:jc w:val="right"/>
              <w:rPr>
                <w:color w:val="000000"/>
                <w:sz w:val="20"/>
                <w:szCs w:val="20"/>
              </w:rPr>
            </w:pPr>
            <w:r>
              <w:rPr>
                <w:sz w:val="20"/>
                <w:szCs w:val="20"/>
              </w:rPr>
              <w:t>0</w:t>
            </w:r>
          </w:p>
        </w:tc>
        <w:tc>
          <w:tcPr>
            <w:tcW w:w="940" w:type="dxa"/>
            <w:tcBorders>
              <w:top w:val="single" w:sz="4" w:space="0" w:color="666699"/>
              <w:left w:val="single" w:sz="4" w:space="0" w:color="666699"/>
              <w:bottom w:val="single" w:sz="4" w:space="0" w:color="666699"/>
              <w:right w:val="single" w:sz="4" w:space="0" w:color="666699"/>
            </w:tcBorders>
          </w:tcPr>
          <w:p w14:paraId="21C0F2C3" w14:textId="518E927B" w:rsidR="00746608" w:rsidRPr="008922F8" w:rsidRDefault="00746608" w:rsidP="00620F5C">
            <w:pPr>
              <w:suppressAutoHyphens/>
              <w:spacing w:afterLines="20" w:after="48"/>
              <w:jc w:val="right"/>
              <w:rPr>
                <w:color w:val="000000"/>
                <w:sz w:val="20"/>
                <w:szCs w:val="20"/>
              </w:rPr>
            </w:pPr>
            <w:r>
              <w:rPr>
                <w:sz w:val="20"/>
                <w:szCs w:val="20"/>
              </w:rPr>
              <w:t>0</w:t>
            </w:r>
          </w:p>
        </w:tc>
        <w:tc>
          <w:tcPr>
            <w:tcW w:w="940" w:type="dxa"/>
            <w:tcBorders>
              <w:top w:val="single" w:sz="4" w:space="0" w:color="666699"/>
              <w:left w:val="single" w:sz="4" w:space="0" w:color="666699"/>
              <w:bottom w:val="single" w:sz="4" w:space="0" w:color="666699"/>
              <w:right w:val="single" w:sz="4" w:space="0" w:color="666699"/>
            </w:tcBorders>
          </w:tcPr>
          <w:p w14:paraId="4658B2A2" w14:textId="65964FD3" w:rsidR="00746608" w:rsidRPr="008922F8" w:rsidRDefault="00746608" w:rsidP="00620F5C">
            <w:pPr>
              <w:suppressAutoHyphens/>
              <w:spacing w:afterLines="20" w:after="48"/>
              <w:jc w:val="right"/>
              <w:rPr>
                <w:color w:val="000000"/>
                <w:sz w:val="20"/>
                <w:szCs w:val="20"/>
              </w:rPr>
            </w:pPr>
            <w:r>
              <w:rPr>
                <w:sz w:val="20"/>
                <w:szCs w:val="20"/>
              </w:rPr>
              <w:t>4 480</w:t>
            </w:r>
          </w:p>
        </w:tc>
        <w:tc>
          <w:tcPr>
            <w:tcW w:w="1034" w:type="dxa"/>
            <w:tcBorders>
              <w:top w:val="single" w:sz="4" w:space="0" w:color="666699"/>
              <w:left w:val="single" w:sz="4" w:space="0" w:color="666699"/>
              <w:bottom w:val="single" w:sz="4" w:space="0" w:color="666699"/>
              <w:right w:val="single" w:sz="4" w:space="0" w:color="666699"/>
            </w:tcBorders>
          </w:tcPr>
          <w:p w14:paraId="022DD558" w14:textId="52813502" w:rsidR="00746608" w:rsidRPr="008922F8" w:rsidRDefault="00746608" w:rsidP="00620F5C">
            <w:pPr>
              <w:suppressAutoHyphens/>
              <w:spacing w:afterLines="20" w:after="48"/>
              <w:jc w:val="right"/>
              <w:rPr>
                <w:color w:val="000000"/>
                <w:sz w:val="20"/>
                <w:szCs w:val="20"/>
              </w:rPr>
            </w:pPr>
            <w:r>
              <w:rPr>
                <w:sz w:val="20"/>
                <w:szCs w:val="20"/>
              </w:rPr>
              <w:t>44 485</w:t>
            </w:r>
          </w:p>
        </w:tc>
      </w:tr>
      <w:tr w:rsidR="00746608" w:rsidRPr="008922F8" w14:paraId="22498B42" w14:textId="77777777" w:rsidTr="00DB0A90">
        <w:trPr>
          <w:trHeight w:val="345"/>
        </w:trPr>
        <w:tc>
          <w:tcPr>
            <w:tcW w:w="1969" w:type="dxa"/>
            <w:gridSpan w:val="2"/>
            <w:vMerge w:val="restart"/>
            <w:tcBorders>
              <w:top w:val="single" w:sz="4" w:space="0" w:color="666699"/>
              <w:left w:val="single" w:sz="4" w:space="0" w:color="666699"/>
              <w:bottom w:val="single" w:sz="4" w:space="0" w:color="666699"/>
              <w:right w:val="single" w:sz="4" w:space="0" w:color="666699"/>
            </w:tcBorders>
            <w:hideMark/>
          </w:tcPr>
          <w:p w14:paraId="0AB74AB4" w14:textId="72FFDE1A" w:rsidR="00746608" w:rsidRPr="008922F8" w:rsidRDefault="00746608" w:rsidP="00620F5C">
            <w:pPr>
              <w:suppressAutoHyphens/>
              <w:spacing w:afterLines="20" w:after="48"/>
              <w:jc w:val="left"/>
              <w:rPr>
                <w:sz w:val="20"/>
                <w:szCs w:val="20"/>
              </w:rPr>
            </w:pPr>
            <w:r>
              <w:rPr>
                <w:sz w:val="20"/>
                <w:szCs w:val="20"/>
              </w:rPr>
              <w:t xml:space="preserve">Fonds approuvés par </w:t>
            </w:r>
            <w:proofErr w:type="spellStart"/>
            <w:r>
              <w:rPr>
                <w:sz w:val="20"/>
                <w:szCs w:val="20"/>
              </w:rPr>
              <w:t>ExCom</w:t>
            </w:r>
            <w:proofErr w:type="spellEnd"/>
            <w:r>
              <w:rPr>
                <w:sz w:val="20"/>
                <w:szCs w:val="20"/>
              </w:rPr>
              <w:t xml:space="preserve"> ($ US)</w:t>
            </w:r>
          </w:p>
        </w:tc>
        <w:tc>
          <w:tcPr>
            <w:tcW w:w="1410" w:type="dxa"/>
            <w:tcBorders>
              <w:top w:val="single" w:sz="4" w:space="0" w:color="666699"/>
              <w:left w:val="single" w:sz="4" w:space="0" w:color="666699"/>
              <w:bottom w:val="single" w:sz="4" w:space="0" w:color="666699"/>
              <w:right w:val="single" w:sz="4" w:space="0" w:color="666699"/>
            </w:tcBorders>
            <w:hideMark/>
          </w:tcPr>
          <w:p w14:paraId="34B98E6B" w14:textId="77777777" w:rsidR="00746608" w:rsidRPr="008922F8" w:rsidRDefault="00746608" w:rsidP="00620F5C">
            <w:pPr>
              <w:suppressAutoHyphens/>
              <w:spacing w:afterLines="20" w:after="48"/>
              <w:jc w:val="left"/>
              <w:rPr>
                <w:sz w:val="20"/>
                <w:szCs w:val="20"/>
              </w:rPr>
            </w:pPr>
            <w:r>
              <w:rPr>
                <w:sz w:val="20"/>
                <w:szCs w:val="20"/>
              </w:rPr>
              <w:t>Coûts du projet</w:t>
            </w:r>
          </w:p>
        </w:tc>
        <w:tc>
          <w:tcPr>
            <w:tcW w:w="1128" w:type="dxa"/>
            <w:tcBorders>
              <w:top w:val="single" w:sz="4" w:space="0" w:color="666699"/>
              <w:left w:val="single" w:sz="4" w:space="0" w:color="666699"/>
              <w:bottom w:val="single" w:sz="4" w:space="0" w:color="666699"/>
              <w:right w:val="single" w:sz="4" w:space="0" w:color="666699"/>
            </w:tcBorders>
          </w:tcPr>
          <w:p w14:paraId="4D996D19" w14:textId="339299CE" w:rsidR="00746608" w:rsidRPr="008922F8" w:rsidRDefault="00746608" w:rsidP="00620F5C">
            <w:pPr>
              <w:suppressAutoHyphens/>
              <w:spacing w:afterLines="20" w:after="48"/>
              <w:jc w:val="right"/>
              <w:rPr>
                <w:color w:val="000000"/>
                <w:sz w:val="20"/>
                <w:szCs w:val="20"/>
              </w:rPr>
            </w:pPr>
            <w:r>
              <w:rPr>
                <w:sz w:val="20"/>
                <w:szCs w:val="20"/>
              </w:rPr>
              <w:t>296 500</w:t>
            </w:r>
          </w:p>
        </w:tc>
        <w:tc>
          <w:tcPr>
            <w:tcW w:w="940" w:type="dxa"/>
            <w:tcBorders>
              <w:top w:val="single" w:sz="4" w:space="0" w:color="666699"/>
              <w:left w:val="single" w:sz="4" w:space="0" w:color="666699"/>
              <w:bottom w:val="single" w:sz="4" w:space="0" w:color="666699"/>
              <w:right w:val="single" w:sz="4" w:space="0" w:color="666699"/>
            </w:tcBorders>
            <w:vAlign w:val="center"/>
          </w:tcPr>
          <w:p w14:paraId="11FB23D6" w14:textId="3880783E" w:rsidR="00746608" w:rsidRPr="008922F8" w:rsidRDefault="00746608" w:rsidP="00620F5C">
            <w:pPr>
              <w:suppressAutoHyphens/>
              <w:spacing w:afterLines="20" w:after="48"/>
              <w:jc w:val="right"/>
              <w:rPr>
                <w:color w:val="000000"/>
                <w:sz w:val="20"/>
                <w:szCs w:val="20"/>
              </w:rPr>
            </w:pPr>
            <w:r>
              <w:rPr>
                <w:color w:val="000000"/>
                <w:sz w:val="20"/>
                <w:szCs w:val="20"/>
              </w:rPr>
              <w:t>0</w:t>
            </w:r>
          </w:p>
        </w:tc>
        <w:tc>
          <w:tcPr>
            <w:tcW w:w="1128" w:type="dxa"/>
            <w:tcBorders>
              <w:top w:val="single" w:sz="4" w:space="0" w:color="666699"/>
              <w:left w:val="single" w:sz="4" w:space="0" w:color="666699"/>
              <w:bottom w:val="single" w:sz="4" w:space="0" w:color="666699"/>
              <w:right w:val="single" w:sz="4" w:space="0" w:color="666699"/>
            </w:tcBorders>
            <w:vAlign w:val="center"/>
          </w:tcPr>
          <w:p w14:paraId="474837BA" w14:textId="05282D30"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vAlign w:val="center"/>
          </w:tcPr>
          <w:p w14:paraId="388EAF17" w14:textId="66EBF523"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vAlign w:val="center"/>
          </w:tcPr>
          <w:p w14:paraId="54DFDAFF" w14:textId="77777777"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tcPr>
          <w:p w14:paraId="0199A125" w14:textId="77777777" w:rsidR="00746608" w:rsidRPr="008922F8" w:rsidRDefault="00746608" w:rsidP="00620F5C">
            <w:pPr>
              <w:suppressAutoHyphens/>
              <w:spacing w:afterLines="20" w:after="48"/>
              <w:jc w:val="right"/>
              <w:rPr>
                <w:color w:val="000000"/>
                <w:sz w:val="20"/>
                <w:szCs w:val="20"/>
                <w:lang w:eastAsia="en-CA"/>
              </w:rPr>
            </w:pPr>
          </w:p>
        </w:tc>
        <w:tc>
          <w:tcPr>
            <w:tcW w:w="1034" w:type="dxa"/>
            <w:tcBorders>
              <w:top w:val="single" w:sz="4" w:space="0" w:color="666699"/>
              <w:left w:val="single" w:sz="4" w:space="0" w:color="666699"/>
              <w:bottom w:val="single" w:sz="4" w:space="0" w:color="666699"/>
              <w:right w:val="single" w:sz="4" w:space="0" w:color="666699"/>
            </w:tcBorders>
          </w:tcPr>
          <w:p w14:paraId="2AE15A14" w14:textId="685761B5" w:rsidR="00746608" w:rsidRPr="008922F8" w:rsidRDefault="00746608" w:rsidP="00620F5C">
            <w:pPr>
              <w:suppressAutoHyphens/>
              <w:spacing w:afterLines="20" w:after="48"/>
              <w:jc w:val="right"/>
              <w:rPr>
                <w:color w:val="000000"/>
                <w:sz w:val="20"/>
                <w:szCs w:val="20"/>
              </w:rPr>
            </w:pPr>
            <w:r>
              <w:rPr>
                <w:sz w:val="20"/>
                <w:szCs w:val="20"/>
              </w:rPr>
              <w:t>296 500</w:t>
            </w:r>
          </w:p>
        </w:tc>
      </w:tr>
      <w:tr w:rsidR="00746608" w:rsidRPr="008922F8" w14:paraId="3A5658D9" w14:textId="77777777" w:rsidTr="00DB0A90">
        <w:trPr>
          <w:trHeight w:val="345"/>
        </w:trPr>
        <w:tc>
          <w:tcPr>
            <w:tcW w:w="1969" w:type="dxa"/>
            <w:gridSpan w:val="2"/>
            <w:vMerge/>
            <w:tcBorders>
              <w:top w:val="single" w:sz="4" w:space="0" w:color="666699"/>
              <w:left w:val="single" w:sz="4" w:space="0" w:color="666699"/>
              <w:bottom w:val="single" w:sz="4" w:space="0" w:color="666699"/>
              <w:right w:val="single" w:sz="4" w:space="0" w:color="666699"/>
            </w:tcBorders>
            <w:vAlign w:val="center"/>
            <w:hideMark/>
          </w:tcPr>
          <w:p w14:paraId="7A701C38" w14:textId="77777777" w:rsidR="00746608" w:rsidRPr="008922F8" w:rsidRDefault="00746608" w:rsidP="00620F5C">
            <w:pPr>
              <w:suppressAutoHyphens/>
              <w:rPr>
                <w:sz w:val="20"/>
                <w:szCs w:val="20"/>
              </w:rPr>
            </w:pPr>
          </w:p>
        </w:tc>
        <w:tc>
          <w:tcPr>
            <w:tcW w:w="1410" w:type="dxa"/>
            <w:tcBorders>
              <w:top w:val="single" w:sz="4" w:space="0" w:color="666699"/>
              <w:left w:val="single" w:sz="4" w:space="0" w:color="666699"/>
              <w:bottom w:val="single" w:sz="4" w:space="0" w:color="666699"/>
              <w:right w:val="single" w:sz="4" w:space="0" w:color="666699"/>
            </w:tcBorders>
            <w:hideMark/>
          </w:tcPr>
          <w:p w14:paraId="39F787DB" w14:textId="77777777" w:rsidR="00746608" w:rsidRPr="008922F8" w:rsidRDefault="00746608" w:rsidP="00620F5C">
            <w:pPr>
              <w:suppressAutoHyphens/>
              <w:spacing w:afterLines="20" w:after="48"/>
              <w:jc w:val="left"/>
              <w:rPr>
                <w:sz w:val="20"/>
                <w:szCs w:val="20"/>
              </w:rPr>
            </w:pPr>
            <w:r>
              <w:rPr>
                <w:sz w:val="20"/>
                <w:szCs w:val="20"/>
              </w:rPr>
              <w:t>Coûts d’appui</w:t>
            </w:r>
          </w:p>
        </w:tc>
        <w:tc>
          <w:tcPr>
            <w:tcW w:w="1128" w:type="dxa"/>
            <w:tcBorders>
              <w:top w:val="single" w:sz="4" w:space="0" w:color="666699"/>
              <w:left w:val="single" w:sz="4" w:space="0" w:color="666699"/>
              <w:bottom w:val="single" w:sz="4" w:space="0" w:color="666699"/>
              <w:right w:val="single" w:sz="4" w:space="0" w:color="666699"/>
            </w:tcBorders>
          </w:tcPr>
          <w:p w14:paraId="6823AB9B" w14:textId="1A235612" w:rsidR="00746608" w:rsidRPr="008922F8" w:rsidRDefault="00746608" w:rsidP="00620F5C">
            <w:pPr>
              <w:suppressAutoHyphens/>
              <w:spacing w:afterLines="20" w:after="48"/>
              <w:jc w:val="right"/>
              <w:rPr>
                <w:color w:val="000000"/>
                <w:sz w:val="20"/>
                <w:szCs w:val="20"/>
              </w:rPr>
            </w:pPr>
            <w:r>
              <w:rPr>
                <w:sz w:val="20"/>
                <w:szCs w:val="20"/>
              </w:rPr>
              <w:t>20 755</w:t>
            </w:r>
          </w:p>
        </w:tc>
        <w:tc>
          <w:tcPr>
            <w:tcW w:w="940" w:type="dxa"/>
            <w:tcBorders>
              <w:top w:val="single" w:sz="4" w:space="0" w:color="666699"/>
              <w:left w:val="single" w:sz="4" w:space="0" w:color="666699"/>
              <w:bottom w:val="single" w:sz="4" w:space="0" w:color="666699"/>
              <w:right w:val="single" w:sz="4" w:space="0" w:color="666699"/>
            </w:tcBorders>
            <w:vAlign w:val="center"/>
          </w:tcPr>
          <w:p w14:paraId="3B7B4B5A" w14:textId="3391AA61" w:rsidR="00746608" w:rsidRPr="008922F8" w:rsidRDefault="00746608" w:rsidP="00620F5C">
            <w:pPr>
              <w:suppressAutoHyphens/>
              <w:spacing w:afterLines="20" w:after="48"/>
              <w:jc w:val="right"/>
              <w:rPr>
                <w:color w:val="000000"/>
                <w:sz w:val="20"/>
                <w:szCs w:val="20"/>
              </w:rPr>
            </w:pPr>
            <w:r>
              <w:rPr>
                <w:color w:val="000000"/>
                <w:sz w:val="20"/>
                <w:szCs w:val="20"/>
              </w:rPr>
              <w:t>0</w:t>
            </w:r>
          </w:p>
        </w:tc>
        <w:tc>
          <w:tcPr>
            <w:tcW w:w="1128" w:type="dxa"/>
            <w:tcBorders>
              <w:top w:val="single" w:sz="4" w:space="0" w:color="666699"/>
              <w:left w:val="single" w:sz="4" w:space="0" w:color="666699"/>
              <w:bottom w:val="single" w:sz="4" w:space="0" w:color="666699"/>
              <w:right w:val="single" w:sz="4" w:space="0" w:color="666699"/>
            </w:tcBorders>
            <w:vAlign w:val="center"/>
          </w:tcPr>
          <w:p w14:paraId="08845E66" w14:textId="2ACFDFC9"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vAlign w:val="center"/>
          </w:tcPr>
          <w:p w14:paraId="59261CD6" w14:textId="09B2C8D9"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vAlign w:val="center"/>
          </w:tcPr>
          <w:p w14:paraId="262D16E9" w14:textId="77777777"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tcPr>
          <w:p w14:paraId="74979FFD" w14:textId="77777777" w:rsidR="00746608" w:rsidRPr="008922F8" w:rsidRDefault="00746608" w:rsidP="00620F5C">
            <w:pPr>
              <w:suppressAutoHyphens/>
              <w:spacing w:afterLines="20" w:after="48"/>
              <w:jc w:val="right"/>
              <w:rPr>
                <w:color w:val="000000"/>
                <w:sz w:val="20"/>
                <w:szCs w:val="20"/>
                <w:lang w:eastAsia="en-CA"/>
              </w:rPr>
            </w:pPr>
          </w:p>
        </w:tc>
        <w:tc>
          <w:tcPr>
            <w:tcW w:w="1034" w:type="dxa"/>
            <w:tcBorders>
              <w:top w:val="single" w:sz="4" w:space="0" w:color="666699"/>
              <w:left w:val="single" w:sz="4" w:space="0" w:color="666699"/>
              <w:bottom w:val="single" w:sz="4" w:space="0" w:color="666699"/>
              <w:right w:val="single" w:sz="4" w:space="0" w:color="666699"/>
            </w:tcBorders>
          </w:tcPr>
          <w:p w14:paraId="2AD4A1F7" w14:textId="7B4C4859" w:rsidR="00746608" w:rsidRPr="008922F8" w:rsidRDefault="00746608" w:rsidP="00620F5C">
            <w:pPr>
              <w:suppressAutoHyphens/>
              <w:spacing w:afterLines="20" w:after="48"/>
              <w:jc w:val="right"/>
              <w:rPr>
                <w:color w:val="000000"/>
                <w:sz w:val="20"/>
                <w:szCs w:val="20"/>
              </w:rPr>
            </w:pPr>
            <w:r>
              <w:rPr>
                <w:sz w:val="20"/>
                <w:szCs w:val="20"/>
              </w:rPr>
              <w:t>20 755</w:t>
            </w:r>
          </w:p>
        </w:tc>
      </w:tr>
      <w:tr w:rsidR="00746608" w:rsidRPr="008922F8" w14:paraId="611A07A7" w14:textId="77777777" w:rsidTr="00DB0A90">
        <w:trPr>
          <w:trHeight w:val="345"/>
        </w:trPr>
        <w:tc>
          <w:tcPr>
            <w:tcW w:w="1969" w:type="dxa"/>
            <w:gridSpan w:val="2"/>
            <w:vMerge w:val="restart"/>
            <w:tcBorders>
              <w:top w:val="single" w:sz="4" w:space="0" w:color="666699"/>
              <w:left w:val="single" w:sz="4" w:space="0" w:color="666699"/>
              <w:bottom w:val="single" w:sz="4" w:space="0" w:color="666699"/>
              <w:right w:val="single" w:sz="4" w:space="0" w:color="666699"/>
            </w:tcBorders>
            <w:hideMark/>
          </w:tcPr>
          <w:p w14:paraId="1D9B47B0" w14:textId="41E7C0F5" w:rsidR="00746608" w:rsidRPr="008922F8" w:rsidRDefault="00746608" w:rsidP="00620F5C">
            <w:pPr>
              <w:suppressAutoHyphens/>
              <w:spacing w:afterLines="20" w:after="48"/>
              <w:jc w:val="left"/>
              <w:rPr>
                <w:sz w:val="20"/>
                <w:szCs w:val="20"/>
              </w:rPr>
            </w:pPr>
            <w:r>
              <w:rPr>
                <w:sz w:val="20"/>
                <w:szCs w:val="20"/>
              </w:rPr>
              <w:t>Total des fonds recommandés pour approbation à cette réunion ($ US)</w:t>
            </w:r>
          </w:p>
        </w:tc>
        <w:tc>
          <w:tcPr>
            <w:tcW w:w="1410" w:type="dxa"/>
            <w:tcBorders>
              <w:top w:val="single" w:sz="4" w:space="0" w:color="666699"/>
              <w:left w:val="single" w:sz="4" w:space="0" w:color="666699"/>
              <w:bottom w:val="single" w:sz="4" w:space="0" w:color="666699"/>
              <w:right w:val="single" w:sz="4" w:space="0" w:color="666699"/>
            </w:tcBorders>
            <w:vAlign w:val="center"/>
            <w:hideMark/>
          </w:tcPr>
          <w:p w14:paraId="6919F005" w14:textId="77777777" w:rsidR="00746608" w:rsidRPr="008922F8" w:rsidRDefault="00746608" w:rsidP="00620F5C">
            <w:pPr>
              <w:suppressAutoHyphens/>
              <w:spacing w:afterLines="20" w:after="48"/>
              <w:jc w:val="left"/>
              <w:rPr>
                <w:sz w:val="20"/>
                <w:szCs w:val="20"/>
              </w:rPr>
            </w:pPr>
            <w:r>
              <w:rPr>
                <w:sz w:val="20"/>
                <w:szCs w:val="20"/>
              </w:rPr>
              <w:t>Coûts du projet</w:t>
            </w:r>
          </w:p>
        </w:tc>
        <w:tc>
          <w:tcPr>
            <w:tcW w:w="1128" w:type="dxa"/>
            <w:tcBorders>
              <w:top w:val="single" w:sz="4" w:space="0" w:color="666699"/>
              <w:left w:val="single" w:sz="4" w:space="0" w:color="666699"/>
              <w:bottom w:val="single" w:sz="4" w:space="0" w:color="666699"/>
              <w:right w:val="single" w:sz="4" w:space="0" w:color="666699"/>
            </w:tcBorders>
            <w:vAlign w:val="center"/>
          </w:tcPr>
          <w:p w14:paraId="2319DBCA" w14:textId="77777777"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vAlign w:val="center"/>
          </w:tcPr>
          <w:p w14:paraId="3211A468" w14:textId="77777777" w:rsidR="00746608" w:rsidRPr="008922F8" w:rsidRDefault="00746608" w:rsidP="00620F5C">
            <w:pPr>
              <w:suppressAutoHyphens/>
              <w:spacing w:afterLines="20" w:after="48"/>
              <w:jc w:val="right"/>
              <w:rPr>
                <w:color w:val="000000"/>
                <w:sz w:val="20"/>
                <w:szCs w:val="20"/>
                <w:lang w:eastAsia="en-CA"/>
              </w:rPr>
            </w:pPr>
          </w:p>
        </w:tc>
        <w:tc>
          <w:tcPr>
            <w:tcW w:w="1128" w:type="dxa"/>
            <w:tcBorders>
              <w:top w:val="single" w:sz="4" w:space="0" w:color="666699"/>
              <w:left w:val="single" w:sz="4" w:space="0" w:color="666699"/>
              <w:bottom w:val="single" w:sz="4" w:space="0" w:color="666699"/>
              <w:right w:val="single" w:sz="4" w:space="0" w:color="666699"/>
            </w:tcBorders>
          </w:tcPr>
          <w:p w14:paraId="5ED53CF3" w14:textId="380ECD72" w:rsidR="00746608" w:rsidRPr="008922F8" w:rsidRDefault="00746608" w:rsidP="00620F5C">
            <w:pPr>
              <w:suppressAutoHyphens/>
              <w:spacing w:afterLines="20" w:after="48"/>
              <w:jc w:val="right"/>
              <w:rPr>
                <w:color w:val="000000"/>
                <w:sz w:val="20"/>
                <w:szCs w:val="20"/>
              </w:rPr>
            </w:pPr>
            <w:r>
              <w:rPr>
                <w:sz w:val="20"/>
                <w:szCs w:val="20"/>
              </w:rPr>
              <w:t>275 000</w:t>
            </w:r>
          </w:p>
        </w:tc>
        <w:tc>
          <w:tcPr>
            <w:tcW w:w="940" w:type="dxa"/>
            <w:tcBorders>
              <w:top w:val="single" w:sz="4" w:space="0" w:color="666699"/>
              <w:left w:val="single" w:sz="4" w:space="0" w:color="666699"/>
              <w:bottom w:val="single" w:sz="4" w:space="0" w:color="666699"/>
              <w:right w:val="single" w:sz="4" w:space="0" w:color="666699"/>
            </w:tcBorders>
            <w:vAlign w:val="center"/>
          </w:tcPr>
          <w:p w14:paraId="35902027" w14:textId="77777777"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vAlign w:val="center"/>
          </w:tcPr>
          <w:p w14:paraId="752E44E4" w14:textId="326ECDCC"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tcPr>
          <w:p w14:paraId="23C17111" w14:textId="77777777" w:rsidR="00746608" w:rsidRPr="008922F8" w:rsidRDefault="00746608" w:rsidP="00620F5C">
            <w:pPr>
              <w:suppressAutoHyphens/>
              <w:spacing w:afterLines="20" w:after="48"/>
              <w:jc w:val="right"/>
              <w:rPr>
                <w:color w:val="000000"/>
                <w:sz w:val="20"/>
                <w:szCs w:val="20"/>
                <w:lang w:eastAsia="en-CA"/>
              </w:rPr>
            </w:pPr>
          </w:p>
        </w:tc>
        <w:tc>
          <w:tcPr>
            <w:tcW w:w="1034" w:type="dxa"/>
            <w:tcBorders>
              <w:top w:val="single" w:sz="4" w:space="0" w:color="666699"/>
              <w:left w:val="single" w:sz="4" w:space="0" w:color="666699"/>
              <w:bottom w:val="single" w:sz="4" w:space="0" w:color="666699"/>
              <w:right w:val="single" w:sz="4" w:space="0" w:color="666699"/>
            </w:tcBorders>
          </w:tcPr>
          <w:p w14:paraId="0B15DF09" w14:textId="25F2BDD8" w:rsidR="00746608" w:rsidRPr="008922F8" w:rsidRDefault="00746608" w:rsidP="00620F5C">
            <w:pPr>
              <w:suppressAutoHyphens/>
              <w:spacing w:afterLines="20" w:after="48"/>
              <w:jc w:val="right"/>
              <w:rPr>
                <w:color w:val="000000"/>
                <w:sz w:val="20"/>
                <w:szCs w:val="20"/>
              </w:rPr>
            </w:pPr>
            <w:r>
              <w:rPr>
                <w:sz w:val="20"/>
                <w:szCs w:val="20"/>
              </w:rPr>
              <w:t>275 000</w:t>
            </w:r>
          </w:p>
        </w:tc>
      </w:tr>
      <w:tr w:rsidR="00746608" w:rsidRPr="008922F8" w14:paraId="46048083" w14:textId="77777777" w:rsidTr="00DB0A90">
        <w:trPr>
          <w:trHeight w:val="345"/>
        </w:trPr>
        <w:tc>
          <w:tcPr>
            <w:tcW w:w="1969" w:type="dxa"/>
            <w:gridSpan w:val="2"/>
            <w:vMerge/>
            <w:tcBorders>
              <w:top w:val="single" w:sz="4" w:space="0" w:color="666699"/>
              <w:left w:val="single" w:sz="4" w:space="0" w:color="666699"/>
              <w:bottom w:val="single" w:sz="4" w:space="0" w:color="666699"/>
              <w:right w:val="single" w:sz="4" w:space="0" w:color="666699"/>
            </w:tcBorders>
            <w:vAlign w:val="center"/>
            <w:hideMark/>
          </w:tcPr>
          <w:p w14:paraId="3EA47207" w14:textId="77777777" w:rsidR="00746608" w:rsidRPr="008922F8" w:rsidRDefault="00746608" w:rsidP="00620F5C">
            <w:pPr>
              <w:suppressAutoHyphens/>
              <w:rPr>
                <w:sz w:val="20"/>
                <w:szCs w:val="20"/>
              </w:rPr>
            </w:pPr>
          </w:p>
        </w:tc>
        <w:tc>
          <w:tcPr>
            <w:tcW w:w="1410" w:type="dxa"/>
            <w:tcBorders>
              <w:top w:val="single" w:sz="4" w:space="0" w:color="666699"/>
              <w:left w:val="single" w:sz="4" w:space="0" w:color="666699"/>
              <w:bottom w:val="single" w:sz="4" w:space="0" w:color="666699"/>
              <w:right w:val="single" w:sz="4" w:space="0" w:color="666699"/>
            </w:tcBorders>
            <w:vAlign w:val="center"/>
            <w:hideMark/>
          </w:tcPr>
          <w:p w14:paraId="45B740A6" w14:textId="77777777" w:rsidR="00746608" w:rsidRPr="008922F8" w:rsidRDefault="00746608" w:rsidP="00620F5C">
            <w:pPr>
              <w:suppressAutoHyphens/>
              <w:spacing w:afterLines="20" w:after="48"/>
              <w:jc w:val="left"/>
              <w:rPr>
                <w:sz w:val="20"/>
                <w:szCs w:val="20"/>
              </w:rPr>
            </w:pPr>
            <w:r>
              <w:rPr>
                <w:sz w:val="20"/>
                <w:szCs w:val="20"/>
              </w:rPr>
              <w:t>Coûts d’appui</w:t>
            </w:r>
          </w:p>
        </w:tc>
        <w:tc>
          <w:tcPr>
            <w:tcW w:w="1128" w:type="dxa"/>
            <w:tcBorders>
              <w:top w:val="single" w:sz="4" w:space="0" w:color="666699"/>
              <w:left w:val="single" w:sz="4" w:space="0" w:color="666699"/>
              <w:bottom w:val="single" w:sz="4" w:space="0" w:color="666699"/>
              <w:right w:val="single" w:sz="4" w:space="0" w:color="666699"/>
            </w:tcBorders>
            <w:vAlign w:val="center"/>
          </w:tcPr>
          <w:p w14:paraId="2237EC6F" w14:textId="77777777"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vAlign w:val="center"/>
          </w:tcPr>
          <w:p w14:paraId="567626C7" w14:textId="77777777" w:rsidR="00746608" w:rsidRPr="008922F8" w:rsidRDefault="00746608" w:rsidP="00620F5C">
            <w:pPr>
              <w:suppressAutoHyphens/>
              <w:spacing w:afterLines="20" w:after="48"/>
              <w:jc w:val="right"/>
              <w:rPr>
                <w:color w:val="000000"/>
                <w:sz w:val="20"/>
                <w:szCs w:val="20"/>
                <w:lang w:eastAsia="en-CA"/>
              </w:rPr>
            </w:pPr>
          </w:p>
        </w:tc>
        <w:tc>
          <w:tcPr>
            <w:tcW w:w="1128" w:type="dxa"/>
            <w:tcBorders>
              <w:top w:val="single" w:sz="4" w:space="0" w:color="666699"/>
              <w:left w:val="single" w:sz="4" w:space="0" w:color="666699"/>
              <w:bottom w:val="single" w:sz="4" w:space="0" w:color="666699"/>
              <w:right w:val="single" w:sz="4" w:space="0" w:color="666699"/>
            </w:tcBorders>
          </w:tcPr>
          <w:p w14:paraId="49A3B137" w14:textId="2AEC6A21" w:rsidR="00746608" w:rsidRPr="008922F8" w:rsidRDefault="00746608" w:rsidP="00620F5C">
            <w:pPr>
              <w:suppressAutoHyphens/>
              <w:spacing w:afterLines="20" w:after="48"/>
              <w:jc w:val="right"/>
              <w:rPr>
                <w:color w:val="000000"/>
                <w:sz w:val="20"/>
                <w:szCs w:val="20"/>
              </w:rPr>
            </w:pPr>
            <w:r>
              <w:rPr>
                <w:sz w:val="20"/>
                <w:szCs w:val="20"/>
              </w:rPr>
              <w:t>19 250</w:t>
            </w:r>
          </w:p>
        </w:tc>
        <w:tc>
          <w:tcPr>
            <w:tcW w:w="940" w:type="dxa"/>
            <w:tcBorders>
              <w:top w:val="single" w:sz="4" w:space="0" w:color="666699"/>
              <w:left w:val="single" w:sz="4" w:space="0" w:color="666699"/>
              <w:bottom w:val="single" w:sz="4" w:space="0" w:color="666699"/>
              <w:right w:val="single" w:sz="4" w:space="0" w:color="666699"/>
            </w:tcBorders>
            <w:vAlign w:val="center"/>
          </w:tcPr>
          <w:p w14:paraId="27D27561" w14:textId="77777777"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vAlign w:val="center"/>
          </w:tcPr>
          <w:p w14:paraId="4FEDE161" w14:textId="44483A6D" w:rsidR="00746608" w:rsidRPr="008922F8" w:rsidRDefault="00746608" w:rsidP="00620F5C">
            <w:pPr>
              <w:suppressAutoHyphens/>
              <w:spacing w:afterLines="20" w:after="48"/>
              <w:jc w:val="right"/>
              <w:rPr>
                <w:color w:val="000000"/>
                <w:sz w:val="20"/>
                <w:szCs w:val="20"/>
                <w:lang w:eastAsia="en-CA"/>
              </w:rPr>
            </w:pPr>
          </w:p>
        </w:tc>
        <w:tc>
          <w:tcPr>
            <w:tcW w:w="940" w:type="dxa"/>
            <w:tcBorders>
              <w:top w:val="single" w:sz="4" w:space="0" w:color="666699"/>
              <w:left w:val="single" w:sz="4" w:space="0" w:color="666699"/>
              <w:bottom w:val="single" w:sz="4" w:space="0" w:color="666699"/>
              <w:right w:val="single" w:sz="4" w:space="0" w:color="666699"/>
            </w:tcBorders>
          </w:tcPr>
          <w:p w14:paraId="667DA726" w14:textId="77777777" w:rsidR="00746608" w:rsidRPr="008922F8" w:rsidRDefault="00746608" w:rsidP="00620F5C">
            <w:pPr>
              <w:suppressAutoHyphens/>
              <w:spacing w:afterLines="20" w:after="48"/>
              <w:jc w:val="right"/>
              <w:rPr>
                <w:color w:val="000000"/>
                <w:sz w:val="20"/>
                <w:szCs w:val="20"/>
                <w:lang w:eastAsia="en-CA"/>
              </w:rPr>
            </w:pPr>
          </w:p>
        </w:tc>
        <w:tc>
          <w:tcPr>
            <w:tcW w:w="1034" w:type="dxa"/>
            <w:tcBorders>
              <w:top w:val="single" w:sz="4" w:space="0" w:color="666699"/>
              <w:left w:val="single" w:sz="4" w:space="0" w:color="666699"/>
              <w:bottom w:val="single" w:sz="4" w:space="0" w:color="666699"/>
              <w:right w:val="single" w:sz="4" w:space="0" w:color="666699"/>
            </w:tcBorders>
          </w:tcPr>
          <w:p w14:paraId="73EC2997" w14:textId="6C69CA74" w:rsidR="00746608" w:rsidRPr="008922F8" w:rsidRDefault="00746608" w:rsidP="00620F5C">
            <w:pPr>
              <w:suppressAutoHyphens/>
              <w:spacing w:afterLines="20" w:after="48"/>
              <w:jc w:val="right"/>
              <w:rPr>
                <w:color w:val="000000"/>
                <w:sz w:val="20"/>
                <w:szCs w:val="20"/>
              </w:rPr>
            </w:pPr>
            <w:r>
              <w:rPr>
                <w:sz w:val="20"/>
                <w:szCs w:val="20"/>
              </w:rPr>
              <w:t>19 250</w:t>
            </w:r>
          </w:p>
        </w:tc>
      </w:tr>
    </w:tbl>
    <w:p w14:paraId="1634259E" w14:textId="77777777" w:rsidR="0039481A" w:rsidRPr="008922F8" w:rsidRDefault="0039481A" w:rsidP="00620F5C">
      <w:pPr>
        <w:suppressAutoHyphens/>
        <w:jc w:val="left"/>
        <w:rPr>
          <w:sz w:val="20"/>
          <w:szCs w:val="20"/>
        </w:rPr>
      </w:pPr>
    </w:p>
    <w:tbl>
      <w:tblPr>
        <w:tblStyle w:val="TableGrid"/>
        <w:tblW w:w="1043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490"/>
      </w:tblGrid>
      <w:tr w:rsidR="0039481A" w:rsidRPr="008922F8" w14:paraId="08429530" w14:textId="77777777" w:rsidTr="00DB0A90">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6993CCC7" w14:textId="77777777" w:rsidR="0039481A" w:rsidRPr="008922F8" w:rsidRDefault="0039481A" w:rsidP="00620F5C">
            <w:pPr>
              <w:suppressAutoHyphens/>
              <w:spacing w:after="60"/>
              <w:jc w:val="left"/>
              <w:rPr>
                <w:b/>
                <w:sz w:val="20"/>
                <w:szCs w:val="20"/>
              </w:rPr>
            </w:pPr>
            <w:r>
              <w:rPr>
                <w:b/>
                <w:sz w:val="20"/>
                <w:szCs w:val="20"/>
              </w:rPr>
              <w:t>Recommandation du Secrétariat :</w:t>
            </w:r>
          </w:p>
        </w:tc>
        <w:tc>
          <w:tcPr>
            <w:tcW w:w="5490" w:type="dxa"/>
            <w:tcBorders>
              <w:top w:val="single" w:sz="4" w:space="0" w:color="666699"/>
              <w:left w:val="single" w:sz="4" w:space="0" w:color="666699"/>
              <w:bottom w:val="single" w:sz="4" w:space="0" w:color="666699"/>
              <w:right w:val="single" w:sz="4" w:space="0" w:color="666699"/>
            </w:tcBorders>
            <w:hideMark/>
          </w:tcPr>
          <w:p w14:paraId="6623D8D7" w14:textId="3C16A588" w:rsidR="0039481A" w:rsidRPr="008922F8" w:rsidRDefault="00831938" w:rsidP="00620F5C">
            <w:pPr>
              <w:suppressAutoHyphens/>
              <w:spacing w:after="60"/>
              <w:jc w:val="center"/>
              <w:rPr>
                <w:sz w:val="20"/>
                <w:szCs w:val="20"/>
              </w:rPr>
            </w:pPr>
            <w:r>
              <w:rPr>
                <w:sz w:val="20"/>
                <w:szCs w:val="20"/>
              </w:rPr>
              <w:t>Approbation globale</w:t>
            </w:r>
          </w:p>
        </w:tc>
      </w:tr>
    </w:tbl>
    <w:p w14:paraId="6DC47D1F" w14:textId="77777777" w:rsidR="00437B20" w:rsidRPr="008922F8" w:rsidRDefault="00437B20" w:rsidP="00620F5C">
      <w:pPr>
        <w:suppressAutoHyphens/>
      </w:pPr>
      <w:r>
        <w:br w:type="page"/>
      </w:r>
    </w:p>
    <w:p w14:paraId="794173AD" w14:textId="77777777" w:rsidR="00C30065" w:rsidRDefault="00C30065" w:rsidP="00620F5C">
      <w:pPr>
        <w:suppressAutoHyphens/>
        <w:jc w:val="center"/>
        <w:rPr>
          <w:b/>
        </w:rPr>
      </w:pPr>
    </w:p>
    <w:p w14:paraId="2600F5AA" w14:textId="6E316D78" w:rsidR="00437B20" w:rsidRPr="008922F8" w:rsidRDefault="00437B20" w:rsidP="00620F5C">
      <w:pPr>
        <w:suppressAutoHyphens/>
        <w:jc w:val="center"/>
        <w:rPr>
          <w:b/>
        </w:rPr>
      </w:pPr>
      <w:r>
        <w:rPr>
          <w:b/>
        </w:rPr>
        <w:t>DESCRIPTION DU PROJET</w:t>
      </w:r>
    </w:p>
    <w:p w14:paraId="0DDD47B6" w14:textId="77777777" w:rsidR="00437B20" w:rsidRPr="008922F8" w:rsidRDefault="00437B20" w:rsidP="00620F5C">
      <w:pPr>
        <w:suppressAutoHyphens/>
      </w:pPr>
    </w:p>
    <w:p w14:paraId="415DCFD8" w14:textId="5D8C1010" w:rsidR="00670DE2" w:rsidRPr="00E9140F" w:rsidRDefault="00437B20" w:rsidP="00620F5C">
      <w:pPr>
        <w:pStyle w:val="Heading1"/>
        <w:suppressAutoHyphens/>
      </w:pPr>
      <w:r>
        <w:t>Au nom du gouvernement du Monténégro, l’ONUDI, à titre d’agence d’exécution désignée, a présenté une demande de financement pour la deuxième tranche de la phase II du plan de gestion de l’élimination des HCFC (PGEH), pour un montant de 275 000 $ US, plus des coûts d’appui d’agence de 19 250 $ US</w:t>
      </w:r>
      <w:r w:rsidRPr="008922F8">
        <w:rPr>
          <w:rStyle w:val="FootnoteReference"/>
        </w:rPr>
        <w:footnoteReference w:id="2"/>
      </w:r>
      <w:r>
        <w:t xml:space="preserve">. La présentation comprend un rapport périodique sur la mise en œuvre de la première tranche, un rapport sur le renforcement institutionnel (RI) conformément au format approuvé dans la décision 74/51, le rapport de vérification de la consommation des HCFC pour 2020 et 2021, ainsi que le plan de mise en œuvre de la tranche pour 2023 à 2025. </w:t>
      </w:r>
    </w:p>
    <w:p w14:paraId="23E8C8D0" w14:textId="77777777" w:rsidR="00437B20" w:rsidRPr="008922F8" w:rsidRDefault="00437B20" w:rsidP="00620F5C">
      <w:pPr>
        <w:suppressAutoHyphens/>
        <w:rPr>
          <w:u w:val="single"/>
        </w:rPr>
      </w:pPr>
      <w:r>
        <w:rPr>
          <w:u w:val="single"/>
        </w:rPr>
        <w:t>Rapport sur la consommation des HCFC</w:t>
      </w:r>
    </w:p>
    <w:p w14:paraId="346C87CA" w14:textId="77777777" w:rsidR="00437B20" w:rsidRPr="008922F8" w:rsidRDefault="00437B20" w:rsidP="00620F5C">
      <w:pPr>
        <w:suppressAutoHyphens/>
      </w:pPr>
    </w:p>
    <w:p w14:paraId="42A21B03" w14:textId="4564C51F" w:rsidR="00437B20" w:rsidRPr="008922F8" w:rsidRDefault="00437B20" w:rsidP="00620F5C">
      <w:pPr>
        <w:pStyle w:val="Heading1"/>
        <w:suppressAutoHyphens/>
      </w:pPr>
      <w:r>
        <w:t xml:space="preserve">Le gouvernement du Monténégro a rapporté une consommation de 0,10 tonne PAO de HCFC en 2021, ce qui est 88 pour cent inférieur à la valeur de référence pour la conformité. La consommation de HCFC pour 2017 à 2021 est indiquée au tableau 1. </w:t>
      </w:r>
    </w:p>
    <w:p w14:paraId="2FCBFD8E" w14:textId="1B3E0FAD" w:rsidR="00437B20" w:rsidRPr="008922F8" w:rsidRDefault="00437B20" w:rsidP="00620F5C">
      <w:pPr>
        <w:suppressAutoHyphens/>
        <w:rPr>
          <w:b/>
        </w:rPr>
      </w:pPr>
      <w:r>
        <w:rPr>
          <w:b/>
        </w:rPr>
        <w:t>Tableau 1. Consommation de HCFC au Monténégro (2017-2021, données de l’Article 7)</w:t>
      </w:r>
    </w:p>
    <w:tbl>
      <w:tblPr>
        <w:tblW w:w="4998" w:type="pct"/>
        <w:tblLook w:val="04A0" w:firstRow="1" w:lastRow="0" w:firstColumn="1" w:lastColumn="0" w:noHBand="0" w:noVBand="1"/>
      </w:tblPr>
      <w:tblGrid>
        <w:gridCol w:w="2198"/>
        <w:gridCol w:w="1031"/>
        <w:gridCol w:w="1033"/>
        <w:gridCol w:w="1031"/>
        <w:gridCol w:w="1032"/>
        <w:gridCol w:w="1032"/>
        <w:gridCol w:w="1989"/>
      </w:tblGrid>
      <w:tr w:rsidR="00746608" w:rsidRPr="008922F8" w14:paraId="15446762" w14:textId="77777777" w:rsidTr="00A620AD">
        <w:trPr>
          <w:trHeight w:val="248"/>
          <w:tblHeader/>
        </w:trPr>
        <w:tc>
          <w:tcPr>
            <w:tcW w:w="124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8EE5B0" w14:textId="77777777" w:rsidR="00746608" w:rsidRPr="008922F8" w:rsidRDefault="00746608" w:rsidP="00620F5C">
            <w:pPr>
              <w:suppressAutoHyphens/>
              <w:jc w:val="left"/>
              <w:rPr>
                <w:b/>
                <w:bCs/>
                <w:color w:val="000000"/>
                <w:sz w:val="21"/>
                <w:szCs w:val="21"/>
              </w:rPr>
            </w:pPr>
            <w:r>
              <w:rPr>
                <w:b/>
                <w:bCs/>
                <w:color w:val="000000"/>
                <w:sz w:val="21"/>
                <w:szCs w:val="21"/>
              </w:rPr>
              <w:t>HCFC-22</w:t>
            </w:r>
          </w:p>
        </w:tc>
        <w:tc>
          <w:tcPr>
            <w:tcW w:w="625" w:type="pct"/>
            <w:tcBorders>
              <w:top w:val="single" w:sz="4" w:space="0" w:color="auto"/>
              <w:left w:val="single" w:sz="4" w:space="0" w:color="auto"/>
              <w:bottom w:val="single" w:sz="4" w:space="0" w:color="auto"/>
              <w:right w:val="single" w:sz="4" w:space="0" w:color="auto"/>
            </w:tcBorders>
          </w:tcPr>
          <w:p w14:paraId="0A7ADAEC" w14:textId="77777777" w:rsidR="00746608" w:rsidRPr="008922F8" w:rsidRDefault="00746608" w:rsidP="00620F5C">
            <w:pPr>
              <w:suppressAutoHyphens/>
              <w:jc w:val="center"/>
              <w:rPr>
                <w:b/>
                <w:bCs/>
                <w:color w:val="000000"/>
                <w:sz w:val="21"/>
                <w:szCs w:val="21"/>
              </w:rPr>
            </w:pPr>
            <w:r>
              <w:rPr>
                <w:b/>
                <w:bCs/>
                <w:color w:val="000000"/>
                <w:sz w:val="21"/>
                <w:szCs w:val="21"/>
              </w:rPr>
              <w:t>2017</w:t>
            </w:r>
          </w:p>
        </w:tc>
        <w:tc>
          <w:tcPr>
            <w:tcW w:w="626" w:type="pct"/>
            <w:tcBorders>
              <w:top w:val="single" w:sz="4" w:space="0" w:color="auto"/>
              <w:left w:val="single" w:sz="4" w:space="0" w:color="auto"/>
              <w:bottom w:val="single" w:sz="4" w:space="0" w:color="auto"/>
              <w:right w:val="single" w:sz="4" w:space="0" w:color="auto"/>
            </w:tcBorders>
          </w:tcPr>
          <w:p w14:paraId="262D3BB8" w14:textId="77777777" w:rsidR="00746608" w:rsidRPr="008922F8" w:rsidRDefault="00746608" w:rsidP="00620F5C">
            <w:pPr>
              <w:suppressAutoHyphens/>
              <w:jc w:val="center"/>
              <w:rPr>
                <w:b/>
                <w:bCs/>
                <w:color w:val="000000"/>
                <w:sz w:val="21"/>
                <w:szCs w:val="21"/>
              </w:rPr>
            </w:pPr>
            <w:r>
              <w:rPr>
                <w:b/>
                <w:bCs/>
                <w:color w:val="000000"/>
                <w:sz w:val="21"/>
                <w:szCs w:val="21"/>
              </w:rPr>
              <w:t>2018</w:t>
            </w:r>
          </w:p>
        </w:tc>
        <w:tc>
          <w:tcPr>
            <w:tcW w:w="625" w:type="pct"/>
            <w:tcBorders>
              <w:top w:val="single" w:sz="4" w:space="0" w:color="auto"/>
              <w:left w:val="single" w:sz="4" w:space="0" w:color="auto"/>
              <w:bottom w:val="single" w:sz="4" w:space="0" w:color="auto"/>
              <w:right w:val="single" w:sz="4" w:space="0" w:color="auto"/>
            </w:tcBorders>
            <w:vAlign w:val="center"/>
          </w:tcPr>
          <w:p w14:paraId="3058CD39" w14:textId="77777777" w:rsidR="00746608" w:rsidRPr="008922F8" w:rsidRDefault="00746608" w:rsidP="00620F5C">
            <w:pPr>
              <w:suppressAutoHyphens/>
              <w:jc w:val="center"/>
              <w:rPr>
                <w:b/>
                <w:bCs/>
                <w:color w:val="000000"/>
                <w:sz w:val="21"/>
                <w:szCs w:val="21"/>
              </w:rPr>
            </w:pPr>
            <w:r>
              <w:rPr>
                <w:b/>
                <w:bCs/>
                <w:color w:val="000000"/>
                <w:sz w:val="21"/>
                <w:szCs w:val="21"/>
              </w:rPr>
              <w:t>2019</w:t>
            </w:r>
          </w:p>
        </w:tc>
        <w:tc>
          <w:tcPr>
            <w:tcW w:w="625" w:type="pct"/>
            <w:tcBorders>
              <w:top w:val="single" w:sz="4" w:space="0" w:color="auto"/>
              <w:left w:val="single" w:sz="4" w:space="0" w:color="auto"/>
              <w:bottom w:val="single" w:sz="4" w:space="0" w:color="auto"/>
              <w:right w:val="single" w:sz="4" w:space="0" w:color="auto"/>
            </w:tcBorders>
            <w:vAlign w:val="center"/>
          </w:tcPr>
          <w:p w14:paraId="5483E95A" w14:textId="6A76AD31" w:rsidR="00746608" w:rsidRPr="008922F8" w:rsidRDefault="00746608" w:rsidP="00620F5C">
            <w:pPr>
              <w:suppressAutoHyphens/>
              <w:jc w:val="center"/>
              <w:rPr>
                <w:b/>
                <w:bCs/>
                <w:color w:val="000000"/>
                <w:sz w:val="21"/>
                <w:szCs w:val="21"/>
              </w:rPr>
            </w:pPr>
            <w:r>
              <w:rPr>
                <w:b/>
                <w:bCs/>
                <w:color w:val="000000"/>
                <w:sz w:val="21"/>
                <w:szCs w:val="21"/>
              </w:rPr>
              <w:t>2020</w:t>
            </w:r>
          </w:p>
        </w:tc>
        <w:tc>
          <w:tcPr>
            <w:tcW w:w="625" w:type="pct"/>
            <w:tcBorders>
              <w:top w:val="single" w:sz="4" w:space="0" w:color="auto"/>
              <w:left w:val="single" w:sz="4" w:space="0" w:color="auto"/>
              <w:bottom w:val="single" w:sz="4" w:space="0" w:color="auto"/>
              <w:right w:val="single" w:sz="4" w:space="0" w:color="auto"/>
            </w:tcBorders>
          </w:tcPr>
          <w:p w14:paraId="639C04AC" w14:textId="00FEB9B8" w:rsidR="00746608" w:rsidRPr="008922F8" w:rsidRDefault="00746608" w:rsidP="00620F5C">
            <w:pPr>
              <w:suppressAutoHyphens/>
              <w:jc w:val="center"/>
              <w:rPr>
                <w:b/>
                <w:bCs/>
                <w:color w:val="000000"/>
                <w:sz w:val="21"/>
                <w:szCs w:val="21"/>
              </w:rPr>
            </w:pPr>
            <w:r>
              <w:rPr>
                <w:b/>
                <w:bCs/>
                <w:color w:val="000000"/>
                <w:sz w:val="21"/>
                <w:szCs w:val="21"/>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5D334" w14:textId="7A276613" w:rsidR="00746608" w:rsidRPr="008922F8" w:rsidRDefault="00746608" w:rsidP="00620F5C">
            <w:pPr>
              <w:suppressAutoHyphens/>
              <w:jc w:val="center"/>
              <w:rPr>
                <w:b/>
                <w:bCs/>
                <w:color w:val="000000"/>
                <w:sz w:val="21"/>
                <w:szCs w:val="21"/>
              </w:rPr>
            </w:pPr>
            <w:r>
              <w:rPr>
                <w:b/>
                <w:bCs/>
                <w:color w:val="000000"/>
                <w:sz w:val="21"/>
                <w:szCs w:val="21"/>
              </w:rPr>
              <w:t>Valeur de référence</w:t>
            </w:r>
          </w:p>
        </w:tc>
      </w:tr>
      <w:tr w:rsidR="00746608" w:rsidRPr="008922F8" w14:paraId="159AEE3F" w14:textId="77777777" w:rsidTr="00746608">
        <w:trPr>
          <w:trHeight w:val="240"/>
        </w:trPr>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3EC6E1" w14:textId="77777777" w:rsidR="00746608" w:rsidRPr="008922F8" w:rsidRDefault="00746608" w:rsidP="00620F5C">
            <w:pPr>
              <w:suppressAutoHyphens/>
              <w:jc w:val="left"/>
              <w:rPr>
                <w:bCs/>
                <w:color w:val="000000"/>
                <w:sz w:val="21"/>
                <w:szCs w:val="21"/>
              </w:rPr>
            </w:pPr>
            <w:r>
              <w:rPr>
                <w:bCs/>
                <w:color w:val="000000"/>
                <w:sz w:val="21"/>
                <w:szCs w:val="21"/>
              </w:rPr>
              <w:t>Tonnes métriques (</w:t>
            </w:r>
            <w:proofErr w:type="spellStart"/>
            <w:r>
              <w:rPr>
                <w:bCs/>
                <w:color w:val="000000"/>
                <w:sz w:val="21"/>
                <w:szCs w:val="21"/>
              </w:rPr>
              <w:t>tm</w:t>
            </w:r>
            <w:proofErr w:type="spellEnd"/>
            <w:r>
              <w:rPr>
                <w:bCs/>
                <w:color w:val="000000"/>
                <w:sz w:val="21"/>
                <w:szCs w:val="21"/>
              </w:rPr>
              <w:t>)</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24A8E44" w14:textId="77777777" w:rsidR="00746608" w:rsidRPr="008922F8" w:rsidRDefault="00746608" w:rsidP="00620F5C">
            <w:pPr>
              <w:suppressAutoHyphens/>
              <w:jc w:val="right"/>
              <w:rPr>
                <w:sz w:val="21"/>
                <w:szCs w:val="21"/>
              </w:rPr>
            </w:pPr>
            <w:r>
              <w:rPr>
                <w:sz w:val="21"/>
                <w:szCs w:val="21"/>
              </w:rPr>
              <w:t>3,54</w:t>
            </w:r>
          </w:p>
        </w:tc>
        <w:tc>
          <w:tcPr>
            <w:tcW w:w="626" w:type="pct"/>
            <w:tcBorders>
              <w:top w:val="nil"/>
              <w:left w:val="single" w:sz="4" w:space="0" w:color="auto"/>
              <w:bottom w:val="single" w:sz="4" w:space="0" w:color="auto"/>
              <w:right w:val="single" w:sz="4" w:space="0" w:color="auto"/>
            </w:tcBorders>
            <w:tcMar>
              <w:left w:w="115" w:type="dxa"/>
              <w:right w:w="230" w:type="dxa"/>
            </w:tcMar>
          </w:tcPr>
          <w:p w14:paraId="6140A962" w14:textId="77777777" w:rsidR="00746608" w:rsidRPr="008922F8" w:rsidRDefault="00746608" w:rsidP="00620F5C">
            <w:pPr>
              <w:suppressAutoHyphens/>
              <w:jc w:val="right"/>
              <w:rPr>
                <w:rFonts w:eastAsiaTheme="minorHAnsi"/>
                <w:color w:val="000000"/>
                <w:sz w:val="21"/>
                <w:szCs w:val="21"/>
              </w:rPr>
            </w:pPr>
            <w:r>
              <w:rPr>
                <w:color w:val="000000"/>
                <w:sz w:val="21"/>
                <w:szCs w:val="21"/>
              </w:rPr>
              <w:t>3,09</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08AEF6E9" w14:textId="77777777" w:rsidR="00746608" w:rsidRPr="008922F8" w:rsidRDefault="00746608" w:rsidP="00620F5C">
            <w:pPr>
              <w:suppressAutoHyphens/>
              <w:jc w:val="right"/>
              <w:rPr>
                <w:color w:val="000000"/>
                <w:sz w:val="21"/>
                <w:szCs w:val="21"/>
              </w:rPr>
            </w:pPr>
            <w:r>
              <w:rPr>
                <w:color w:val="000000"/>
                <w:sz w:val="21"/>
                <w:szCs w:val="21"/>
              </w:rPr>
              <w:t>0,94</w:t>
            </w:r>
          </w:p>
        </w:tc>
        <w:tc>
          <w:tcPr>
            <w:tcW w:w="625" w:type="pct"/>
            <w:tcBorders>
              <w:top w:val="nil"/>
              <w:left w:val="single" w:sz="4" w:space="0" w:color="auto"/>
              <w:bottom w:val="single" w:sz="4" w:space="0" w:color="auto"/>
              <w:right w:val="single" w:sz="4" w:space="0" w:color="auto"/>
            </w:tcBorders>
          </w:tcPr>
          <w:p w14:paraId="19C6A71B" w14:textId="24C5830A" w:rsidR="00746608" w:rsidRPr="008922F8" w:rsidRDefault="00AE54E3" w:rsidP="00620F5C">
            <w:pPr>
              <w:suppressAutoHyphens/>
              <w:jc w:val="right"/>
              <w:rPr>
                <w:bCs/>
                <w:color w:val="000000"/>
                <w:sz w:val="21"/>
                <w:szCs w:val="21"/>
              </w:rPr>
            </w:pPr>
            <w:r>
              <w:rPr>
                <w:bCs/>
                <w:color w:val="000000"/>
                <w:sz w:val="21"/>
                <w:szCs w:val="21"/>
              </w:rPr>
              <w:t>2,45</w:t>
            </w:r>
          </w:p>
        </w:tc>
        <w:tc>
          <w:tcPr>
            <w:tcW w:w="625" w:type="pct"/>
            <w:tcBorders>
              <w:top w:val="nil"/>
              <w:left w:val="single" w:sz="4" w:space="0" w:color="auto"/>
              <w:bottom w:val="single" w:sz="4" w:space="0" w:color="auto"/>
              <w:right w:val="single" w:sz="4" w:space="0" w:color="auto"/>
            </w:tcBorders>
          </w:tcPr>
          <w:p w14:paraId="75056616" w14:textId="273D1BF5" w:rsidR="00746608" w:rsidRPr="008922F8" w:rsidRDefault="00AE54E3" w:rsidP="00620F5C">
            <w:pPr>
              <w:suppressAutoHyphens/>
              <w:jc w:val="right"/>
              <w:rPr>
                <w:bCs/>
                <w:color w:val="000000"/>
                <w:sz w:val="21"/>
                <w:szCs w:val="21"/>
              </w:rPr>
            </w:pPr>
            <w:r>
              <w:rPr>
                <w:bCs/>
                <w:color w:val="000000"/>
                <w:sz w:val="21"/>
                <w:szCs w:val="21"/>
              </w:rPr>
              <w:t>1,89</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3B43081C" w14:textId="6E663ECC" w:rsidR="00746608" w:rsidRPr="008922F8" w:rsidRDefault="00746608" w:rsidP="00620F5C">
            <w:pPr>
              <w:suppressAutoHyphens/>
              <w:jc w:val="right"/>
              <w:rPr>
                <w:bCs/>
                <w:color w:val="000000"/>
                <w:sz w:val="21"/>
                <w:szCs w:val="21"/>
              </w:rPr>
            </w:pPr>
            <w:r>
              <w:rPr>
                <w:bCs/>
                <w:color w:val="000000"/>
                <w:sz w:val="21"/>
                <w:szCs w:val="21"/>
              </w:rPr>
              <w:t>13,90</w:t>
            </w:r>
          </w:p>
        </w:tc>
      </w:tr>
      <w:tr w:rsidR="00746608" w:rsidRPr="00102315" w14:paraId="207AA3E1" w14:textId="77777777" w:rsidTr="00746608">
        <w:trPr>
          <w:trHeight w:val="40"/>
        </w:trPr>
        <w:tc>
          <w:tcPr>
            <w:tcW w:w="124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B292B8" w14:textId="77777777" w:rsidR="00746608" w:rsidRPr="00102315" w:rsidRDefault="00746608" w:rsidP="00620F5C">
            <w:pPr>
              <w:suppressAutoHyphens/>
              <w:jc w:val="left"/>
              <w:rPr>
                <w:color w:val="000000"/>
                <w:sz w:val="21"/>
                <w:szCs w:val="21"/>
              </w:rPr>
            </w:pPr>
            <w:r>
              <w:rPr>
                <w:bCs/>
                <w:color w:val="000000"/>
                <w:sz w:val="21"/>
                <w:szCs w:val="21"/>
              </w:rPr>
              <w:t>Tonnes PAO</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781F2BB" w14:textId="77777777" w:rsidR="00746608" w:rsidRPr="00102315" w:rsidRDefault="00746608" w:rsidP="00620F5C">
            <w:pPr>
              <w:suppressAutoHyphens/>
              <w:jc w:val="right"/>
              <w:rPr>
                <w:sz w:val="21"/>
                <w:szCs w:val="21"/>
              </w:rPr>
            </w:pPr>
            <w:r>
              <w:rPr>
                <w:sz w:val="21"/>
                <w:szCs w:val="21"/>
              </w:rPr>
              <w:t>0,19</w:t>
            </w:r>
          </w:p>
        </w:tc>
        <w:tc>
          <w:tcPr>
            <w:tcW w:w="626" w:type="pct"/>
            <w:tcBorders>
              <w:top w:val="nil"/>
              <w:left w:val="single" w:sz="4" w:space="0" w:color="auto"/>
              <w:bottom w:val="single" w:sz="4" w:space="0" w:color="auto"/>
              <w:right w:val="single" w:sz="4" w:space="0" w:color="auto"/>
            </w:tcBorders>
            <w:tcMar>
              <w:left w:w="115" w:type="dxa"/>
              <w:right w:w="230" w:type="dxa"/>
            </w:tcMar>
          </w:tcPr>
          <w:p w14:paraId="7F49EFFC" w14:textId="77777777" w:rsidR="00746608" w:rsidRPr="00102315" w:rsidRDefault="00746608" w:rsidP="00620F5C">
            <w:pPr>
              <w:suppressAutoHyphens/>
              <w:jc w:val="right"/>
              <w:rPr>
                <w:rFonts w:eastAsiaTheme="minorHAnsi"/>
                <w:color w:val="000000"/>
                <w:sz w:val="21"/>
                <w:szCs w:val="21"/>
              </w:rPr>
            </w:pPr>
            <w:r>
              <w:rPr>
                <w:color w:val="000000"/>
                <w:sz w:val="21"/>
                <w:szCs w:val="21"/>
              </w:rPr>
              <w:t>0,17</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28880A5" w14:textId="77777777" w:rsidR="00746608" w:rsidRPr="00102315" w:rsidRDefault="00746608" w:rsidP="00620F5C">
            <w:pPr>
              <w:suppressAutoHyphens/>
              <w:jc w:val="right"/>
              <w:rPr>
                <w:rFonts w:eastAsiaTheme="minorHAnsi"/>
                <w:color w:val="000000"/>
                <w:sz w:val="21"/>
                <w:szCs w:val="21"/>
              </w:rPr>
            </w:pPr>
            <w:r>
              <w:rPr>
                <w:color w:val="000000"/>
                <w:sz w:val="21"/>
                <w:szCs w:val="21"/>
              </w:rPr>
              <w:t>0,05</w:t>
            </w:r>
          </w:p>
        </w:tc>
        <w:tc>
          <w:tcPr>
            <w:tcW w:w="625" w:type="pct"/>
            <w:tcBorders>
              <w:top w:val="nil"/>
              <w:left w:val="single" w:sz="4" w:space="0" w:color="auto"/>
              <w:bottom w:val="single" w:sz="4" w:space="0" w:color="auto"/>
              <w:right w:val="single" w:sz="4" w:space="0" w:color="auto"/>
            </w:tcBorders>
          </w:tcPr>
          <w:p w14:paraId="509CBB76" w14:textId="08785E71" w:rsidR="00746608" w:rsidRPr="00102315" w:rsidRDefault="00AE54E3" w:rsidP="00620F5C">
            <w:pPr>
              <w:suppressAutoHyphens/>
              <w:jc w:val="right"/>
              <w:rPr>
                <w:rFonts w:eastAsiaTheme="minorHAnsi"/>
                <w:color w:val="000000"/>
                <w:sz w:val="21"/>
                <w:szCs w:val="21"/>
              </w:rPr>
            </w:pPr>
            <w:r>
              <w:rPr>
                <w:color w:val="000000"/>
                <w:sz w:val="21"/>
                <w:szCs w:val="21"/>
              </w:rPr>
              <w:t>0,13</w:t>
            </w:r>
          </w:p>
        </w:tc>
        <w:tc>
          <w:tcPr>
            <w:tcW w:w="625" w:type="pct"/>
            <w:tcBorders>
              <w:top w:val="nil"/>
              <w:left w:val="single" w:sz="4" w:space="0" w:color="auto"/>
              <w:bottom w:val="single" w:sz="4" w:space="0" w:color="auto"/>
              <w:right w:val="single" w:sz="4" w:space="0" w:color="auto"/>
            </w:tcBorders>
          </w:tcPr>
          <w:p w14:paraId="27D08B7D" w14:textId="7CB7D07C" w:rsidR="00746608" w:rsidRPr="00102315" w:rsidRDefault="00AE54E3" w:rsidP="00620F5C">
            <w:pPr>
              <w:suppressAutoHyphens/>
              <w:jc w:val="right"/>
              <w:rPr>
                <w:rFonts w:eastAsiaTheme="minorHAnsi"/>
                <w:color w:val="000000"/>
                <w:sz w:val="21"/>
                <w:szCs w:val="21"/>
              </w:rPr>
            </w:pPr>
            <w:r>
              <w:rPr>
                <w:color w:val="000000"/>
                <w:sz w:val="21"/>
                <w:szCs w:val="21"/>
              </w:rPr>
              <w:t>0,10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59BC1B92" w14:textId="63840C2C" w:rsidR="00746608" w:rsidRPr="00102315" w:rsidRDefault="00746608" w:rsidP="00620F5C">
            <w:pPr>
              <w:suppressAutoHyphens/>
              <w:jc w:val="right"/>
              <w:rPr>
                <w:rFonts w:eastAsiaTheme="minorHAnsi"/>
                <w:color w:val="000000"/>
                <w:sz w:val="21"/>
                <w:szCs w:val="21"/>
              </w:rPr>
            </w:pPr>
            <w:r>
              <w:rPr>
                <w:color w:val="000000"/>
                <w:sz w:val="21"/>
                <w:szCs w:val="21"/>
              </w:rPr>
              <w:t>0,80</w:t>
            </w:r>
          </w:p>
        </w:tc>
      </w:tr>
    </w:tbl>
    <w:p w14:paraId="08372AF3" w14:textId="77777777" w:rsidR="00437B20" w:rsidRPr="00102315" w:rsidRDefault="00437B20" w:rsidP="00620F5C">
      <w:pPr>
        <w:suppressAutoHyphens/>
      </w:pPr>
    </w:p>
    <w:p w14:paraId="7F8B8B9F" w14:textId="52AEDDBE" w:rsidR="0004369D" w:rsidRDefault="00102315" w:rsidP="00620F5C">
      <w:pPr>
        <w:pStyle w:val="Heading1"/>
        <w:suppressAutoHyphens/>
        <w:rPr>
          <w:rFonts w:eastAsia="Calibri"/>
        </w:rPr>
      </w:pPr>
      <w:r>
        <w:t xml:space="preserve">La consommation de HCFC-22, qui est utilisé exclusivement pour l’entretien des appareils de réfrigération et de climatisation, a diminué depuis 2017 et demeure considérablement sous la consommation maximale autorisée dans l’Accord sur le PGEH en raison de la mise en œuvre des activités du PGEH et des dispositions législatives, y compris l’interdiction sur l’importation d’appareils fonctionnant aux HCFC depuis 2012. L’importation d’appareils de réfrigération et de climatisation fonctionnant sans HCFC a également réduit la demande pour les HCFC frigorigènes. </w:t>
      </w:r>
    </w:p>
    <w:p w14:paraId="4C6A20B6" w14:textId="784DFBB8" w:rsidR="00437B20" w:rsidRPr="0004369D" w:rsidRDefault="00437B20" w:rsidP="00620F5C">
      <w:pPr>
        <w:pStyle w:val="Heading1"/>
        <w:numPr>
          <w:ilvl w:val="0"/>
          <w:numId w:val="0"/>
        </w:numPr>
        <w:suppressAutoHyphens/>
        <w:rPr>
          <w:i/>
        </w:rPr>
      </w:pPr>
      <w:r>
        <w:rPr>
          <w:i/>
        </w:rPr>
        <w:t xml:space="preserve">Rapport sur la mise en œuvre du programme du pays </w:t>
      </w:r>
    </w:p>
    <w:p w14:paraId="285194A8" w14:textId="3CAC9298" w:rsidR="00437B20" w:rsidRPr="008922F8" w:rsidRDefault="00437B20" w:rsidP="00620F5C">
      <w:pPr>
        <w:pStyle w:val="Heading1"/>
        <w:suppressAutoHyphens/>
      </w:pPr>
      <w:r>
        <w:t xml:space="preserve">Le gouvernement du Monténégro a communiqué des données du secteur de la consommation des HCFC dans le cadre du rapport de mise en œuvre du programme du pays de 2020 et 2021, et ces données correspondent aux données déclarées en vertu de l’Article 7 du Protocole de Montréal. </w:t>
      </w:r>
    </w:p>
    <w:p w14:paraId="6A70277A" w14:textId="2B3C5415" w:rsidR="00437B20" w:rsidRPr="008922F8" w:rsidRDefault="00437B20" w:rsidP="00620F5C">
      <w:pPr>
        <w:suppressAutoHyphens/>
        <w:rPr>
          <w:i/>
        </w:rPr>
      </w:pPr>
      <w:r>
        <w:rPr>
          <w:i/>
        </w:rPr>
        <w:t xml:space="preserve">Rapport de vérification </w:t>
      </w:r>
    </w:p>
    <w:p w14:paraId="6BA75865" w14:textId="77777777" w:rsidR="00437B20" w:rsidRPr="008922F8" w:rsidRDefault="00437B20" w:rsidP="00620F5C">
      <w:pPr>
        <w:suppressAutoHyphens/>
      </w:pPr>
    </w:p>
    <w:p w14:paraId="08B8A292" w14:textId="037A8D11" w:rsidR="007B7E55" w:rsidRPr="007B7E55" w:rsidRDefault="00BD2E65" w:rsidP="00620F5C">
      <w:pPr>
        <w:pStyle w:val="Heading1"/>
        <w:suppressAutoHyphens/>
      </w:pPr>
      <w:r>
        <w:rPr>
          <w:color w:val="000000" w:themeColor="text1"/>
        </w:rPr>
        <w:t xml:space="preserve">Le rapport de vérification a confirmé que le gouvernement continue de mettre en œuvre un système d’octroi de permis et de quotas pour l’importation et l’exportation des HCFC, que la consommation totale de HCFC en vertu de l’Article 7 du Protocole de Montréal pour 2020 et 2021 était exacte (comme l’indique le Tableau 1 ci-dessus) et que le régime </w:t>
      </w:r>
      <w:r>
        <w:t>de certification nationale pour les techniciens de l’entretien des réfrigérateur</w:t>
      </w:r>
      <w:r w:rsidR="006D78DD">
        <w:t>s</w:t>
      </w:r>
      <w:r>
        <w:t xml:space="preserve"> et climatiseurs est fonctionnel. Le rapport de vérification a également examiné les quantités importées de HFC, y compris le HFC-32, le HFC-134a, le R-404A, le R-407C, le R-410A et le HFC-365mfc (un ingrédient des polyols </w:t>
      </w:r>
      <w:proofErr w:type="spellStart"/>
      <w:r>
        <w:t>prémélangés</w:t>
      </w:r>
      <w:proofErr w:type="spellEnd"/>
      <w:r>
        <w:t>), qui confirmaient les quantités communiquées dans les données du programme du pays pour 2019 à 2021.</w:t>
      </w:r>
    </w:p>
    <w:p w14:paraId="7BC90BD7" w14:textId="6F42BDC7" w:rsidR="006B3360" w:rsidRPr="006C6ABD" w:rsidRDefault="00C10EE4" w:rsidP="00620F5C">
      <w:pPr>
        <w:pStyle w:val="Heading1"/>
        <w:suppressAutoHyphens/>
      </w:pPr>
      <w:r>
        <w:t xml:space="preserve">Le rapport de vérification recommandait notamment d’axer les ateliers destinés aux importateurs et aux entreprises </w:t>
      </w:r>
      <w:r>
        <w:rPr>
          <w:color w:val="000000" w:themeColor="text1"/>
        </w:rPr>
        <w:t>de réfrigération et de climatisation sur la manière de remplir les formulaires relatifs à leurs obligations annuelles de reddition de compte</w:t>
      </w:r>
      <w:r w:rsidR="001E2F4E">
        <w:rPr>
          <w:color w:val="000000" w:themeColor="text1"/>
        </w:rPr>
        <w:t>s</w:t>
      </w:r>
      <w:r>
        <w:rPr>
          <w:color w:val="000000" w:themeColor="text1"/>
        </w:rPr>
        <w:t xml:space="preserve"> (importations et exportations de substances et d’équipements, récupération et recyclage [RR]) et sur le fait de tenir compte de la nécessité de lignes directrices ou d’instructions par vidéo pour remplir les formulaires; d’envisager une prolongation de la date </w:t>
      </w:r>
      <w:r>
        <w:rPr>
          <w:color w:val="000000" w:themeColor="text1"/>
        </w:rPr>
        <w:lastRenderedPageBreak/>
        <w:t>limite pour la soumission des rapports annuels sur les importations des parties prenantes du 31 janvier à la fin de février; et la formation des agents des douanes en se fondant sur le nouveau manuel de formation. L’ONUDI a confirmé que les recommandations seront traitées dans le cadre de la phase II du PGEH.</w:t>
      </w:r>
    </w:p>
    <w:p w14:paraId="5C0072AA" w14:textId="390476AA" w:rsidR="00437B20" w:rsidRPr="008922F8" w:rsidRDefault="00437B20" w:rsidP="00F44FBC">
      <w:pPr>
        <w:keepNext/>
        <w:keepLines/>
        <w:suppressAutoHyphens/>
        <w:rPr>
          <w:u w:val="single"/>
        </w:rPr>
      </w:pPr>
      <w:r>
        <w:rPr>
          <w:u w:val="single"/>
        </w:rPr>
        <w:t>Rapport périodique sur la mise en œuvre de la première tranche de la phase II du PGEH</w:t>
      </w:r>
    </w:p>
    <w:p w14:paraId="183BC3D2" w14:textId="77777777" w:rsidR="00437B20" w:rsidRPr="008922F8" w:rsidRDefault="00437B20" w:rsidP="00F44FBC">
      <w:pPr>
        <w:keepNext/>
        <w:keepLines/>
        <w:suppressAutoHyphens/>
      </w:pPr>
    </w:p>
    <w:p w14:paraId="47D3FD85" w14:textId="6AE56EA6" w:rsidR="00437B20" w:rsidRDefault="00437B20" w:rsidP="00F44FBC">
      <w:pPr>
        <w:keepNext/>
        <w:keepLines/>
        <w:suppressAutoHyphens/>
        <w:rPr>
          <w:i/>
        </w:rPr>
      </w:pPr>
      <w:r>
        <w:rPr>
          <w:i/>
        </w:rPr>
        <w:t>Cadre juridique</w:t>
      </w:r>
    </w:p>
    <w:p w14:paraId="7ED2B6A9" w14:textId="74B66202" w:rsidR="00452B6F" w:rsidRDefault="00452B6F" w:rsidP="00F44FBC">
      <w:pPr>
        <w:keepNext/>
        <w:keepLines/>
        <w:suppressAutoHyphens/>
        <w:rPr>
          <w:i/>
        </w:rPr>
      </w:pPr>
    </w:p>
    <w:p w14:paraId="17170550" w14:textId="4526EA83" w:rsidR="00832858" w:rsidRPr="001260C0" w:rsidRDefault="002B2157" w:rsidP="00F44FBC">
      <w:pPr>
        <w:pStyle w:val="Heading1"/>
        <w:keepNext/>
        <w:keepLines/>
        <w:suppressAutoHyphens/>
      </w:pPr>
      <w:bookmarkStart w:id="1" w:name="_Hlk118719212"/>
      <w:r>
        <w:t xml:space="preserve">La </w:t>
      </w:r>
      <w:r>
        <w:rPr>
          <w:i/>
          <w:iCs/>
        </w:rPr>
        <w:t>Loi sur la protection contre les impacts négatifs des changements climatiques</w:t>
      </w:r>
      <w:r>
        <w:t xml:space="preserve"> (Gazette officielle du MNE, n</w:t>
      </w:r>
      <w:r>
        <w:rPr>
          <w:vertAlign w:val="superscript"/>
        </w:rPr>
        <w:t>o</w:t>
      </w:r>
      <w:r>
        <w:t xml:space="preserve"> 073/190) est entrée en vigueur le 1</w:t>
      </w:r>
      <w:r>
        <w:rPr>
          <w:vertAlign w:val="superscript"/>
        </w:rPr>
        <w:t>er</w:t>
      </w:r>
      <w:r>
        <w:t> janvier 2020</w:t>
      </w:r>
      <w:bookmarkEnd w:id="1"/>
      <w:r>
        <w:t>. Elle établit plusieurs interdictions</w:t>
      </w:r>
      <w:r w:rsidR="00ED2BF9">
        <w:rPr>
          <w:rStyle w:val="FootnoteReference"/>
        </w:rPr>
        <w:footnoteReference w:id="3"/>
      </w:r>
      <w:r>
        <w:t xml:space="preserve"> sur les substances appauvrissant la couche d’ozone (SAO) ainsi que l’importation, l’exportation, le commerce et la manutention d’appareils fonctionnant avec des SAO. Successivement, le Règlement sur les SAO et les produits de remplacement (les gaz fluorés) (Gazette officielle du MNE n</w:t>
      </w:r>
      <w:r>
        <w:rPr>
          <w:vertAlign w:val="superscript"/>
        </w:rPr>
        <w:t>o</w:t>
      </w:r>
      <w:r>
        <w:t xml:space="preserve"> 079/21) a été adopté en juillet 2021. Il comprend des dispositions sur l’élimination complète des HCFC d’ici le 1</w:t>
      </w:r>
      <w:r>
        <w:rPr>
          <w:vertAlign w:val="superscript"/>
        </w:rPr>
        <w:t>er</w:t>
      </w:r>
      <w:r>
        <w:t> janvier 2025</w:t>
      </w:r>
      <w:r w:rsidR="00FA25D8">
        <w:t>,</w:t>
      </w:r>
      <w:r>
        <w:t xml:space="preserve"> permettant les importations de HCFC uniquement pour l’entretien des appareils de réfrigération et de climatisation existants; l’établissement du calendrier de réduction des HFC conformément à l’Amendement de Kigali; la mise en place d’un système d’octroi de quotas pour les HFC à partir du 1</w:t>
      </w:r>
      <w:r>
        <w:rPr>
          <w:vertAlign w:val="superscript"/>
        </w:rPr>
        <w:t>er</w:t>
      </w:r>
      <w:r>
        <w:t> janvier 2024; et la restriction des ventes de SAO et de gaz fluorés aux entreprises autorisées. En outre, les exploitants de réfrigérateurs et de climatiseurs doivent enregistrer leurs appareils contenant 3 kg ou plus de SAO, et à partir de 5 tonnes équivalent CO</w:t>
      </w:r>
      <w:r>
        <w:rPr>
          <w:vertAlign w:val="subscript"/>
        </w:rPr>
        <w:t>2</w:t>
      </w:r>
      <w:r>
        <w:t xml:space="preserve"> de gaz fluorés, conserver des registres ou journaux d’entretien et effectuer des vérifications obligatoires de fuites. Plusieurs livres de règles indiquent les procédures détaillées et les documents nécessaires requis aux termes du récent règlement, y compris les permis d’importation et d’exportation, les licences de réfrigération et de climatisation, ainsi que le perfectionnement des compétences pour le personnel en réfrigération et climatisation. Le Système harmonisé, y compris les codes de tarifs pour les SAO et les gaz fluorés, sera adopté à la fin de 2022. </w:t>
      </w:r>
    </w:p>
    <w:p w14:paraId="66F7DE01" w14:textId="00FF8201" w:rsidR="00356D12" w:rsidRPr="001260C0" w:rsidRDefault="00356D12" w:rsidP="00620F5C">
      <w:pPr>
        <w:pStyle w:val="Heading1"/>
        <w:suppressAutoHyphens/>
      </w:pPr>
      <w:r>
        <w:t>Deux inspecteurs de l’environnement ont reçu une formation sur la législation nationale en matière de SAO, la mise en œuvre du Protocole de Montréal, les nouveaux frigorigènes, la dénomination et l’étiquetage des substances contrôlées, l’emballage des substances contrôlées, les questions de sécurité, avec une session pratique sur l’utilisation des identifiants de frigorigènes. Les inspect</w:t>
      </w:r>
      <w:r w:rsidR="00227F8E">
        <w:t>rice</w:t>
      </w:r>
      <w:r>
        <w:t xml:space="preserve">s sont deux femmes. Un nouveau manuel de formation pour les agents des douanes a été préparé et quatre cours de formation d’un jour ont été planifiés pour novembre 2022 pour 50 agents des douanes. Cinq identifiants de frigorigènes ont été achetés et devraient être livrés d’ici le 31 décembre 2022. </w:t>
      </w:r>
    </w:p>
    <w:p w14:paraId="16010AC9" w14:textId="76C30B52" w:rsidR="00437B20" w:rsidRDefault="00437B20" w:rsidP="00620F5C">
      <w:pPr>
        <w:suppressAutoHyphens/>
        <w:rPr>
          <w:i/>
        </w:rPr>
      </w:pPr>
      <w:r>
        <w:rPr>
          <w:i/>
        </w:rPr>
        <w:t>Secteur de l’entretien en réfrigération</w:t>
      </w:r>
    </w:p>
    <w:p w14:paraId="339643BF" w14:textId="26B1D313" w:rsidR="00071B74" w:rsidRDefault="00071B74" w:rsidP="00620F5C">
      <w:pPr>
        <w:suppressAutoHyphens/>
        <w:rPr>
          <w:i/>
        </w:rPr>
      </w:pPr>
    </w:p>
    <w:p w14:paraId="67850035" w14:textId="17DD74B3" w:rsidR="00200645" w:rsidRPr="004F32E5" w:rsidRDefault="00200645" w:rsidP="00620F5C">
      <w:pPr>
        <w:pStyle w:val="Heading1"/>
        <w:suppressAutoHyphens/>
      </w:pPr>
      <w:r>
        <w:t xml:space="preserve">Les activités suivantes ont été mises en œuvre : </w:t>
      </w:r>
    </w:p>
    <w:p w14:paraId="6E1AA049" w14:textId="5828154C" w:rsidR="00D162DF" w:rsidRDefault="007871B7" w:rsidP="00620F5C">
      <w:pPr>
        <w:pStyle w:val="Heading2"/>
        <w:widowControl/>
        <w:numPr>
          <w:ilvl w:val="1"/>
          <w:numId w:val="1"/>
        </w:numPr>
        <w:suppressAutoHyphens/>
      </w:pPr>
      <w:r>
        <w:t xml:space="preserve">La formation et la certification de deux formateurs selon les exigences sur les gaz fluorés; deux ateliers pour un total de 21 techniciens sur les bonnes pratiques d’entretien, y compris une session pratique sur l’utilisation des identifiants de frigorigènes (21 techniciens en réfrigération et climatisation ont reçu une attestation d’achèvement); des versions électroniques des manuels, des brochures et des vidéos de formation ont été distribuées aux ateliers de formation; un manuel de formation provisoire pour les techniciens d’entretien en réfrigération et climatisation suivant le livre de règles sur le perfectionnement des compétences adopté en 2021; </w:t>
      </w:r>
    </w:p>
    <w:p w14:paraId="27156A5E" w14:textId="2A281308" w:rsidR="00E9580A" w:rsidRPr="00DC52F3" w:rsidRDefault="004D780D" w:rsidP="00620F5C">
      <w:pPr>
        <w:pStyle w:val="Heading2"/>
        <w:widowControl/>
        <w:numPr>
          <w:ilvl w:val="1"/>
          <w:numId w:val="1"/>
        </w:numPr>
        <w:suppressAutoHyphens/>
      </w:pPr>
      <w:r>
        <w:lastRenderedPageBreak/>
        <w:t xml:space="preserve">Début de l’achat de quatre unités pour démontrer l’utilisation correcte des frigorigènes et la simulation de pannes et de réparation d’appareils pour les centres de formation, et 15 ensembles d’outils et d’équipement qui seront distribués parmi les ateliers et les techniciens; </w:t>
      </w:r>
    </w:p>
    <w:p w14:paraId="7A8823E2" w14:textId="652B0EBE" w:rsidR="00B05F06" w:rsidRDefault="004D780D" w:rsidP="00620F5C">
      <w:pPr>
        <w:pStyle w:val="Heading2"/>
        <w:widowControl/>
        <w:numPr>
          <w:ilvl w:val="1"/>
          <w:numId w:val="1"/>
        </w:numPr>
        <w:suppressAutoHyphens/>
      </w:pPr>
      <w:r>
        <w:t>Réunion entre l’Unité nationale de l’ozone (UNO) et la Chambre de l’économie, ainsi que les représentants du secteur de la réfrigération et de la climatisation pour convenir des nouvelles étapes pour rétablir une association de la réfrigération et de la climatisation; après un renouvellement informel de l’association de la réfrigération et de la climatisation, une réunion a eu lieu avec les représentants des importateurs et des entreprises de réfrigération et de climatisation pour discuter des nouveaux règlements nationaux, de la mise en œuvre du PGEH et du plan de mise en œuvre de l’Amendement de Kigali sur les HFC; des livrets d’information sur la récente législation et les substituts aux SAO ont été distribués aux importateurs et aux techniciens en réfrigération et climatisation; et le code sur les bonnes pratiques a été rédigé.</w:t>
      </w:r>
    </w:p>
    <w:p w14:paraId="7BAA2EED" w14:textId="77BE44F3" w:rsidR="009E692D" w:rsidRPr="00994B39" w:rsidRDefault="009E692D" w:rsidP="00620F5C">
      <w:pPr>
        <w:pStyle w:val="Heading1"/>
        <w:numPr>
          <w:ilvl w:val="0"/>
          <w:numId w:val="0"/>
        </w:numPr>
        <w:suppressAutoHyphens/>
        <w:rPr>
          <w:rStyle w:val="CommentReference"/>
          <w:i/>
          <w:sz w:val="22"/>
          <w:szCs w:val="22"/>
        </w:rPr>
      </w:pPr>
      <w:r>
        <w:rPr>
          <w:i/>
        </w:rPr>
        <w:t>RI</w:t>
      </w:r>
    </w:p>
    <w:p w14:paraId="4AD7477D" w14:textId="4C5398DE" w:rsidR="009E692D" w:rsidRPr="00994B39" w:rsidRDefault="009E692D" w:rsidP="00620F5C">
      <w:pPr>
        <w:pStyle w:val="Heading1"/>
        <w:tabs>
          <w:tab w:val="clear" w:pos="0"/>
        </w:tabs>
        <w:suppressAutoHyphens/>
      </w:pPr>
      <w:r>
        <w:t xml:space="preserve">L’UNO relève de l’Agence pour la protection de l’environnement (EPA), qui se trouve sous la responsabilité du </w:t>
      </w:r>
      <w:r>
        <w:rPr>
          <w:color w:val="000000"/>
        </w:rPr>
        <w:t>ministère de l’Écologie, de la Planification spatiale et de l’Urbanisme</w:t>
      </w:r>
      <w:r w:rsidRPr="00994B39">
        <w:rPr>
          <w:rStyle w:val="FootnoteReference"/>
          <w:color w:val="000000"/>
          <w:lang w:val="en-US" w:eastAsia="en-GB"/>
        </w:rPr>
        <w:footnoteReference w:id="4"/>
      </w:r>
      <w:r>
        <w:rPr>
          <w:color w:val="000000"/>
        </w:rPr>
        <w:t>.</w:t>
      </w:r>
      <w:r>
        <w:t xml:space="preserve"> Le financement pour l’UNO (c.-à-d. projet de RI) a été inclus dans le cadre de la phase II du PGEH. Les activités suivantes seront mises en œuvre dans la première t</w:t>
      </w:r>
      <w:r w:rsidR="000151E0">
        <w:t>r</w:t>
      </w:r>
      <w:r>
        <w:t xml:space="preserve">anche relative au projet de RI seulement : </w:t>
      </w:r>
    </w:p>
    <w:p w14:paraId="14408D14" w14:textId="2EE616EB" w:rsidR="00024336" w:rsidRDefault="004D780D" w:rsidP="00620F5C">
      <w:pPr>
        <w:pStyle w:val="Heading2"/>
        <w:widowControl/>
        <w:numPr>
          <w:ilvl w:val="1"/>
          <w:numId w:val="1"/>
        </w:numPr>
        <w:suppressAutoHyphens/>
      </w:pPr>
      <w:r>
        <w:t>Émission de permis d’importation et d’exportation; surveillance de la mise en œuvre de la stratégie d’élimination des HCFC y compris la réorganisation des activités reportées en raison de la pandémie de COVID-19; assurer la relation entre les agences gouvernementales impliquées dans le contrôle des SAO et des gaz fluorés; émission de licences pour les entreprises d’entretien des réfrigérateurs et climatiseurs qui effectuent l’installation, la maintenance ou la réparation et la mise hors service de substances contenant des SAO et des substituts; effectuer la sensibilisation du public dans les écoles et célébrer la Journée internationale de la protection de la couche d’ozone 2021, puisque les activités en personne ont été annulées en 2020, en raison de la COVID-19;</w:t>
      </w:r>
    </w:p>
    <w:p w14:paraId="433E3996" w14:textId="70FAC0C5" w:rsidR="00211521" w:rsidRDefault="009E692D" w:rsidP="00620F5C">
      <w:pPr>
        <w:pStyle w:val="Heading2"/>
        <w:widowControl/>
        <w:numPr>
          <w:ilvl w:val="1"/>
          <w:numId w:val="1"/>
        </w:numPr>
        <w:suppressAutoHyphens/>
      </w:pPr>
      <w:r>
        <w:t>Surveillance continue de la consommation des SAO et des gaz fluorés, des données sur les frigorigènes récupérés et recyclés ainsi que de l’importation et de l’exportation des appareils fonctionnant aux HFC; déclaration des données aux termes de l’Article 7 du Protocole et des rapport</w:t>
      </w:r>
      <w:r w:rsidR="00895176">
        <w:t>s</w:t>
      </w:r>
      <w:r>
        <w:t xml:space="preserve"> sur les données du programme du pays; et établissement et mise sur pied d’un système électronique pour l’inventaire des appareils de réfrigération et de climatisation, les entreprises d’entretien autorisées, les techniciens certifiés, les frigorigènes recyclés ou récupérés, les importateurs, les importateurs et exportateurs de substances, ainsi que les importateurs et exportateurs d’appareils contenant des SAO et leurs substituts;</w:t>
      </w:r>
    </w:p>
    <w:p w14:paraId="0C8043B6" w14:textId="2EFB2B03" w:rsidR="009E692D" w:rsidRDefault="004D780D" w:rsidP="00620F5C">
      <w:pPr>
        <w:pStyle w:val="Heading2"/>
        <w:widowControl/>
        <w:numPr>
          <w:ilvl w:val="1"/>
          <w:numId w:val="1"/>
        </w:numPr>
        <w:suppressAutoHyphens/>
      </w:pPr>
      <w:r>
        <w:t>Participation à des réunions d’experts, à des réunions régionales du Programme d’aide à la conformité du PNUE et aux réunions internationales du Protocole de Montréal, qui ont été organisées en ligne en raison de la pandémie de COVID-19; le Monténégro a agi comme vice-président du bureau de la trente-deuxième réunion des Parties au Protocole de Montréal; et a participé au mécanisme sur le consentement préalable éclairé et informel de l’exportation et de l’importation des SAO.</w:t>
      </w:r>
    </w:p>
    <w:p w14:paraId="2C880ED1" w14:textId="25C266D2" w:rsidR="006856B0" w:rsidRDefault="006856B0" w:rsidP="00620F5C">
      <w:pPr>
        <w:pStyle w:val="Heading1"/>
        <w:suppressAutoHyphens/>
      </w:pPr>
      <w:r>
        <w:lastRenderedPageBreak/>
        <w:t xml:space="preserve">Pendant la première tranche, le pays </w:t>
      </w:r>
      <w:r w:rsidR="002D1481">
        <w:t>a</w:t>
      </w:r>
      <w:r>
        <w:t xml:space="preserve"> entièrement atteint 14 des 15 indicateurs de rendement du RI et l’un a été partiellement atteint en raison des défis de mise en œuvre occasionnés par la pandémie de COVID-19. </w:t>
      </w:r>
    </w:p>
    <w:p w14:paraId="45DC5F64" w14:textId="7542AF9C" w:rsidR="00437B20" w:rsidRPr="00025285" w:rsidRDefault="00437B20" w:rsidP="00620F5C">
      <w:pPr>
        <w:suppressAutoHyphens/>
        <w:rPr>
          <w:i/>
        </w:rPr>
      </w:pPr>
      <w:r>
        <w:rPr>
          <w:i/>
        </w:rPr>
        <w:t>Mise en œuvre et suivi du projet</w:t>
      </w:r>
    </w:p>
    <w:p w14:paraId="32444F47" w14:textId="77777777" w:rsidR="00437B20" w:rsidRPr="00025285" w:rsidRDefault="00437B20" w:rsidP="00620F5C">
      <w:pPr>
        <w:suppressAutoHyphens/>
      </w:pPr>
    </w:p>
    <w:p w14:paraId="132E47FB" w14:textId="42AA24A0" w:rsidR="00202460" w:rsidRPr="004001DC" w:rsidRDefault="002C0103" w:rsidP="00620F5C">
      <w:pPr>
        <w:pStyle w:val="Heading1"/>
        <w:suppressAutoHyphens/>
        <w:rPr>
          <w:color w:val="000000"/>
        </w:rPr>
      </w:pPr>
      <w:r>
        <w:t xml:space="preserve">Il n’y a pas d’Unité de surveillance du projet mise sur pied dans le cadre de la phase II du PGEH pour le Monténégro. L’UNO et l’ONUDI ont surveillé la mise en œuvre du PGEH et ont préparé les rapports correspondants pour la première tranche. Dans la première tranche, sur un budget de 10 000 $ US, les décaissements en septembre 2022 s’élevaient à un total de 4 500 $ US, ce qui comprend les consultants (2 000 $ US), les déplacements (2 000 $ US) ainsi que les ateliers et réunions (500 $ US). </w:t>
      </w:r>
    </w:p>
    <w:p w14:paraId="4519B511" w14:textId="4C7A80D4" w:rsidR="00F5236C" w:rsidRPr="004001DC" w:rsidRDefault="00437B20" w:rsidP="00620F5C">
      <w:pPr>
        <w:suppressAutoHyphens/>
        <w:rPr>
          <w:u w:val="single"/>
        </w:rPr>
      </w:pPr>
      <w:r>
        <w:rPr>
          <w:u w:val="single"/>
        </w:rPr>
        <w:t>État du décaissement des fonds</w:t>
      </w:r>
    </w:p>
    <w:p w14:paraId="12AD16FE" w14:textId="77777777" w:rsidR="00F5236C" w:rsidRPr="004001DC" w:rsidRDefault="00F5236C" w:rsidP="00620F5C">
      <w:pPr>
        <w:suppressAutoHyphens/>
      </w:pPr>
    </w:p>
    <w:p w14:paraId="01F26690" w14:textId="59DEAD09" w:rsidR="00437B20" w:rsidRPr="004001DC" w:rsidRDefault="00437B20" w:rsidP="00620F5C">
      <w:pPr>
        <w:pStyle w:val="Heading1"/>
        <w:suppressAutoHyphens/>
      </w:pPr>
      <w:r>
        <w:t xml:space="preserve"> En date de septembre 2022, des 296 500 $ US approuvés jusqu’ici pour l’ONUDI, 86 464 $ US (29 pour cent) avaient été décaissés. Le solde de 210 036 $ US sera décaissé en 2022 et 2023. </w:t>
      </w:r>
    </w:p>
    <w:p w14:paraId="713FD132" w14:textId="3BFB09E6" w:rsidR="00437B20" w:rsidRPr="00F7423C" w:rsidRDefault="00437B20" w:rsidP="00F44FBC">
      <w:pPr>
        <w:keepNext/>
        <w:keepLines/>
        <w:suppressAutoHyphens/>
        <w:rPr>
          <w:u w:val="single"/>
        </w:rPr>
      </w:pPr>
      <w:r>
        <w:rPr>
          <w:u w:val="single"/>
        </w:rPr>
        <w:t>Plan de mise en œuvre de la deuxième tranche du PGEH</w:t>
      </w:r>
    </w:p>
    <w:p w14:paraId="38495AF5" w14:textId="67EA758A" w:rsidR="00437B20" w:rsidRPr="00F7423C" w:rsidRDefault="00437B20" w:rsidP="00F44FBC">
      <w:pPr>
        <w:keepNext/>
        <w:keepLines/>
        <w:suppressAutoHyphens/>
      </w:pPr>
    </w:p>
    <w:p w14:paraId="71334324" w14:textId="2DEF49F3" w:rsidR="00437B20" w:rsidRPr="00F7423C" w:rsidRDefault="00437B20" w:rsidP="00F44FBC">
      <w:pPr>
        <w:pStyle w:val="Heading1"/>
        <w:keepNext/>
        <w:keepLines/>
        <w:suppressAutoHyphens/>
      </w:pPr>
      <w:r>
        <w:t>Les activités suivantes seront mises en œuvre entre janvier 2023 et décembre 2025</w:t>
      </w:r>
      <w:r w:rsidR="00C00501">
        <w:t> </w:t>
      </w:r>
      <w:r>
        <w:t>:</w:t>
      </w:r>
    </w:p>
    <w:p w14:paraId="46A16D0C" w14:textId="4FF4C9F1" w:rsidR="004A7BB8" w:rsidRPr="00C30065" w:rsidRDefault="004A7BB8" w:rsidP="00620F5C">
      <w:pPr>
        <w:pStyle w:val="Heading2"/>
        <w:widowControl/>
        <w:numPr>
          <w:ilvl w:val="1"/>
          <w:numId w:val="1"/>
        </w:numPr>
        <w:suppressAutoHyphens/>
      </w:pPr>
      <w:r>
        <w:t>Former et certifier dix formateurs selon les exigences sur les gaz fluorés et 34 techniciens sur les bonnes pratiques d’entretien, y compris la gestion des frigorigènes naturels et synthétiques; mise à jour des documents de formation conformément au livre de règles national, officiel et pertinent adopté en 2021 (84 000 $ US et le solde restant de la tranche précédente);</w:t>
      </w:r>
    </w:p>
    <w:p w14:paraId="107C0220" w14:textId="4747B453" w:rsidR="004A7BB8" w:rsidRPr="00C30065" w:rsidRDefault="004A7BB8" w:rsidP="00620F5C">
      <w:pPr>
        <w:pStyle w:val="Heading2"/>
        <w:widowControl/>
        <w:numPr>
          <w:ilvl w:val="1"/>
          <w:numId w:val="1"/>
        </w:numPr>
        <w:suppressAutoHyphens/>
      </w:pPr>
      <w:r>
        <w:t>Acquérir un identifiant de frigorigène, quatre unités d’équipement de simulation de réfrigération et de climatisation pour les centres de formation, et 55 ensembles d’outils et d’équipements</w:t>
      </w:r>
      <w:r w:rsidR="00147D2E" w:rsidRPr="00C30065">
        <w:rPr>
          <w:rStyle w:val="FootnoteReference"/>
        </w:rPr>
        <w:footnoteReference w:id="5"/>
      </w:r>
      <w:r>
        <w:t xml:space="preserve"> pour inciter les ateliers autorisés et les techniciens à adopter les nouvelles méthodes de travail (91 000 $ US et le solde restant de la tranche précédente); </w:t>
      </w:r>
    </w:p>
    <w:p w14:paraId="006A4877" w14:textId="1B43C1AB" w:rsidR="004A7BB8" w:rsidRPr="00C30065" w:rsidRDefault="004D780D" w:rsidP="00620F5C">
      <w:pPr>
        <w:pStyle w:val="Heading2"/>
        <w:widowControl/>
        <w:numPr>
          <w:ilvl w:val="1"/>
          <w:numId w:val="1"/>
        </w:numPr>
        <w:suppressAutoHyphens/>
      </w:pPr>
      <w:r>
        <w:t xml:space="preserve">Fournir du soutien à l’association de la réfrigération et de la climatisation pour mettre à niveau le code sur les bonnes pratiques (5 000 $ US); </w:t>
      </w:r>
    </w:p>
    <w:p w14:paraId="086AB19C" w14:textId="2C074408" w:rsidR="004A7BB8" w:rsidRPr="00C30065" w:rsidRDefault="004A7BB8" w:rsidP="00620F5C">
      <w:pPr>
        <w:pStyle w:val="Heading2"/>
        <w:widowControl/>
        <w:numPr>
          <w:ilvl w:val="1"/>
          <w:numId w:val="1"/>
        </w:numPr>
        <w:suppressAutoHyphens/>
      </w:pPr>
      <w:r>
        <w:t>Surveiller les cibles de rendement du PGEH (10 000 $ US et le solde restant de la tranche précédente);</w:t>
      </w:r>
    </w:p>
    <w:p w14:paraId="002C5FE1" w14:textId="1D24796E" w:rsidR="004A7BB8" w:rsidRPr="00F7423C" w:rsidRDefault="004A7BB8" w:rsidP="00DB0A90">
      <w:pPr>
        <w:pStyle w:val="Heading2"/>
        <w:widowControl/>
        <w:numPr>
          <w:ilvl w:val="1"/>
          <w:numId w:val="1"/>
        </w:numPr>
        <w:suppressAutoHyphens/>
        <w:spacing w:after="120"/>
      </w:pPr>
      <w:r>
        <w:t>Renouveler le soutien au RI (85 000 $ US).</w:t>
      </w:r>
    </w:p>
    <w:p w14:paraId="59680A84" w14:textId="77777777" w:rsidR="004A7BB8" w:rsidRPr="004A7BB8" w:rsidRDefault="004A7BB8" w:rsidP="00DB0A90">
      <w:pPr>
        <w:suppressAutoHyphens/>
        <w:spacing w:after="120"/>
      </w:pPr>
    </w:p>
    <w:p w14:paraId="1C6325C5" w14:textId="77777777" w:rsidR="00437B20" w:rsidRPr="008922F8" w:rsidRDefault="00437B20" w:rsidP="00DB0A90">
      <w:pPr>
        <w:suppressAutoHyphens/>
        <w:spacing w:after="120"/>
        <w:jc w:val="center"/>
        <w:rPr>
          <w:b/>
        </w:rPr>
      </w:pPr>
      <w:r>
        <w:rPr>
          <w:b/>
        </w:rPr>
        <w:t>OBSERVATIONS ET RECOMMANDATION DU SECRÉTARIAT</w:t>
      </w:r>
    </w:p>
    <w:p w14:paraId="58E3ED0D" w14:textId="3D5F176E" w:rsidR="00437B20" w:rsidRDefault="00437B20" w:rsidP="00DB0A90">
      <w:pPr>
        <w:suppressAutoHyphens/>
        <w:spacing w:after="120"/>
        <w:rPr>
          <w:b/>
        </w:rPr>
      </w:pPr>
      <w:r>
        <w:rPr>
          <w:b/>
        </w:rPr>
        <w:t>OBSERVATIONS</w:t>
      </w:r>
    </w:p>
    <w:p w14:paraId="776A7B9F" w14:textId="77777777" w:rsidR="005F3D45" w:rsidRPr="00442B1E" w:rsidRDefault="005F3D45" w:rsidP="00DB0A90">
      <w:pPr>
        <w:pStyle w:val="Heading1"/>
        <w:numPr>
          <w:ilvl w:val="0"/>
          <w:numId w:val="0"/>
        </w:numPr>
        <w:suppressAutoHyphens/>
        <w:spacing w:after="120"/>
        <w:rPr>
          <w:bCs/>
          <w:u w:val="single"/>
        </w:rPr>
      </w:pPr>
      <w:r>
        <w:rPr>
          <w:bCs/>
          <w:u w:val="single"/>
        </w:rPr>
        <w:t>État de la mise en œuvre de la phase I du PGEH</w:t>
      </w:r>
    </w:p>
    <w:p w14:paraId="4B157A1F" w14:textId="7CF3F425" w:rsidR="005F3D45" w:rsidRPr="00210248" w:rsidRDefault="001F3ADB" w:rsidP="00620F5C">
      <w:pPr>
        <w:pStyle w:val="Heading1"/>
        <w:suppressAutoHyphens/>
      </w:pPr>
      <w:r>
        <w:t xml:space="preserve">Conformément à la décision 81/29, le Secrétariat a interrogé l’ONUDI au sujet de la situation sur la présentation du rapport d’achèvement de projet en relevant que les activités dans le cadre de la cinquième </w:t>
      </w:r>
      <w:r>
        <w:lastRenderedPageBreak/>
        <w:t>et dernière tranche de la phase I du PGEH, approuvée à la 85</w:t>
      </w:r>
      <w:r>
        <w:rPr>
          <w:vertAlign w:val="superscript"/>
        </w:rPr>
        <w:t>e</w:t>
      </w:r>
      <w:r>
        <w:t> réunion, avaient été techniquement achevées et que l’achèvement financier était en cours. L’ONUDI a indiqué qu’elle a amorcé le processus de renvoi des soldes et la clôture financière du projet, et qu’elle prépare le rapport d’achèvement de projet qui sera présenté au Secrétariat dans un avenir proche. Le Secrétariat prend note des défis de mise en œuvre engendrés par les conditions restrictives dans le cadre de la pandémie de COVID-19, reconnaît que toutes les activités de la phase I ont été achevées sur le plan opérationnel et recommande par conséquent que le Comité exécutif examine la demande de financement pour la deuxième tranche de la phase II du PGEH sur une base exceptionnelle, étant entendu que le financement ne sera pas transféré à l’ONUDI tant que le rapport d’achèvement de projet pour la phase I n’aura pas été présenté au Secrétariat. </w:t>
      </w:r>
    </w:p>
    <w:p w14:paraId="2125BF2E" w14:textId="77777777" w:rsidR="00AD78CF" w:rsidRPr="00AD78CF" w:rsidRDefault="00AD78CF" w:rsidP="00620F5C">
      <w:pPr>
        <w:keepNext/>
        <w:suppressAutoHyphens/>
        <w:rPr>
          <w:u w:val="single"/>
        </w:rPr>
      </w:pPr>
      <w:r>
        <w:rPr>
          <w:u w:val="single"/>
        </w:rPr>
        <w:t xml:space="preserve">Rapport de vérification </w:t>
      </w:r>
    </w:p>
    <w:p w14:paraId="67A5AB69" w14:textId="7670D45A" w:rsidR="000247F1" w:rsidRDefault="000247F1" w:rsidP="00620F5C">
      <w:pPr>
        <w:keepNext/>
        <w:suppressAutoHyphens/>
      </w:pPr>
    </w:p>
    <w:p w14:paraId="0B35C192" w14:textId="7B0315B0" w:rsidR="000247F1" w:rsidRPr="00606D29" w:rsidRDefault="008147CD" w:rsidP="00620F5C">
      <w:pPr>
        <w:pStyle w:val="Heading1"/>
        <w:keepNext/>
        <w:suppressAutoHyphens/>
      </w:pPr>
      <w:r>
        <w:t>Lors de la 85</w:t>
      </w:r>
      <w:r>
        <w:rPr>
          <w:vertAlign w:val="superscript"/>
        </w:rPr>
        <w:t>e</w:t>
      </w:r>
      <w:r>
        <w:t> réunion, l’ONUDI a demandé d’inclure, dans le cadre de la deuxième tranche de la phase II du PGEH pour le Monténégro, une mise à jour sur les progrès concernant la mise en œuvre des recommandations du rapport de vérification présenté à la 85</w:t>
      </w:r>
      <w:r>
        <w:rPr>
          <w:vertAlign w:val="superscript"/>
        </w:rPr>
        <w:t>e</w:t>
      </w:r>
      <w:r>
        <w:t xml:space="preserve"> réunion. L’ONUDI a confirmé que toutes les recommandations avaient été traitées ou étaient en voie de l’être, y compris l’adoption des nouveaux règlements sur les bonbonnes jetables, le règlement sur les SAO et les gaz fluorés, les obligations d’inscription des appareils et les vérifications obligatoires de fuites. En outre, l’ONU teste un système de gestion de base de données qui a été élaboré dans le cadre du PGEH pour inscrire les opérateurs d’appareils, les techniciens certifiés, les entreprises autorisées, l’équipement, les rapports annuels sur la récupération et le recyclage, l’importation et l’exportation des substances, l’importation et l’exportation d’appareils, et un répertoire des importateurs. Le nombre d’entreprises important des HFC a diminué de </w:t>
      </w:r>
      <w:proofErr w:type="spellStart"/>
      <w:r>
        <w:t>neuf`en</w:t>
      </w:r>
      <w:proofErr w:type="spellEnd"/>
      <w:r>
        <w:t xml:space="preserve"> 2019 à cinq en 2021. L’ONUDI a conclu que cette diminution des importateurs découlait de la législation nationale récemment adoptée, y compris l’interdiction sur les bonbonnes non rechargeables et l’exigence de vendre des SAO et des gaz fluorés uniquement aux entreprises autorisées. </w:t>
      </w:r>
    </w:p>
    <w:p w14:paraId="6B338FC7" w14:textId="7272E43F" w:rsidR="00437B20" w:rsidRPr="008922F8" w:rsidRDefault="00437B20" w:rsidP="00620F5C">
      <w:pPr>
        <w:suppressAutoHyphens/>
        <w:rPr>
          <w:u w:val="single"/>
        </w:rPr>
      </w:pPr>
      <w:r>
        <w:rPr>
          <w:u w:val="single"/>
        </w:rPr>
        <w:t>Rapport périodique sur la mise en œuvre de la première tranche du PGEH</w:t>
      </w:r>
    </w:p>
    <w:p w14:paraId="341FAD98" w14:textId="77777777" w:rsidR="00437B20" w:rsidRPr="008922F8" w:rsidRDefault="00437B20" w:rsidP="00620F5C">
      <w:pPr>
        <w:suppressAutoHyphens/>
      </w:pPr>
    </w:p>
    <w:p w14:paraId="3E537410" w14:textId="77777777" w:rsidR="00437B20" w:rsidRPr="008922F8" w:rsidRDefault="00437B20" w:rsidP="00620F5C">
      <w:pPr>
        <w:suppressAutoHyphens/>
        <w:rPr>
          <w:i/>
        </w:rPr>
      </w:pPr>
      <w:r>
        <w:rPr>
          <w:i/>
        </w:rPr>
        <w:t>Cadre juridique</w:t>
      </w:r>
    </w:p>
    <w:p w14:paraId="22986D78" w14:textId="77777777" w:rsidR="00437B20" w:rsidRPr="008922F8" w:rsidRDefault="00437B20" w:rsidP="00620F5C">
      <w:pPr>
        <w:suppressAutoHyphens/>
      </w:pPr>
    </w:p>
    <w:p w14:paraId="2AF5C7CB" w14:textId="68A610D0" w:rsidR="00165D54" w:rsidRPr="007323EA" w:rsidRDefault="00165D54" w:rsidP="00620F5C">
      <w:pPr>
        <w:pStyle w:val="Heading1"/>
        <w:suppressAutoHyphens/>
      </w:pPr>
      <w:r>
        <w:t>Le gouvernement du Monténégro a déjà émis des quotas d’importation de HCFC pour 2022 à 0,21 tonne PAO (3,8 </w:t>
      </w:r>
      <w:proofErr w:type="spellStart"/>
      <w:r>
        <w:t>tm</w:t>
      </w:r>
      <w:proofErr w:type="spellEnd"/>
      <w:r>
        <w:t xml:space="preserve">), ce qui est 60 pour cent inférieur à la cible de contrôle du Protocole de Montréal et 9 pour cent inférieur à la cible établie dans l’Accord avec le Comité exécutif. </w:t>
      </w:r>
    </w:p>
    <w:p w14:paraId="0B408085" w14:textId="77777777" w:rsidR="002D0A0F" w:rsidRPr="00FF17BC" w:rsidRDefault="002D0A0F" w:rsidP="00620F5C">
      <w:pPr>
        <w:suppressAutoHyphens/>
        <w:rPr>
          <w:i/>
        </w:rPr>
      </w:pPr>
      <w:r>
        <w:rPr>
          <w:i/>
        </w:rPr>
        <w:t>Secteur de l’entretien en réfrigération</w:t>
      </w:r>
    </w:p>
    <w:p w14:paraId="7B9C8758" w14:textId="1118401E" w:rsidR="002D0A0F" w:rsidRPr="00FF17BC" w:rsidRDefault="002D0A0F" w:rsidP="00620F5C">
      <w:pPr>
        <w:suppressAutoHyphens/>
      </w:pPr>
    </w:p>
    <w:p w14:paraId="14FDA97C" w14:textId="35EA283A" w:rsidR="00AE1AB6" w:rsidRPr="009A7BCB" w:rsidRDefault="004D780D" w:rsidP="00620F5C">
      <w:pPr>
        <w:pStyle w:val="Heading1"/>
        <w:suppressAutoHyphens/>
      </w:pPr>
      <w:r>
        <w:t>La pandémie de COVID-19 a retardé la mise en œuvre de certaines activités dans la première tranche de la phase II, y compris la formation des agents des douanes et des techniciens en réfrigération et climatisation, ainsi que l’acquisition d’identifiants de frigorigènes et d’unités de démonstration de réfrigération et de climatisation pour le centre de formation. L’ONUDI a indiqué que les activités dans le cadre de la première tranche de la phase II seraient mises en œuvre sans changements importants avant la fin de 2023</w:t>
      </w:r>
      <w:r w:rsidR="00A93EE2">
        <w:t>.</w:t>
      </w:r>
      <w:r>
        <w:t xml:space="preserve"> Le Secrétariat a noté que le solde inutilisé de la première tranche de la phase II du PGEH (210 036 $ US) était d’un montant similaire à celui demandé pour la deuxième tranche (275 000 $ US). L’ONUDI a assuré que le gouvernement du Monténégro et l’agence d’exécution pouvaient mettre en œuvre avec succès des activités en parallèle dans le cadre des première et deuxième tranches. </w:t>
      </w:r>
    </w:p>
    <w:p w14:paraId="4D860D85" w14:textId="4A37B3FB" w:rsidR="001E5A2B" w:rsidRDefault="001959E8" w:rsidP="00620F5C">
      <w:pPr>
        <w:pStyle w:val="Heading1"/>
        <w:suppressAutoHyphens/>
      </w:pPr>
      <w:r>
        <w:t xml:space="preserve">En ce qui concerne l’approvisionnement en cours des unités de démonstration pour les centres de formation, le plan initial était d’acheter quatre unités déjà assemblées, mais les prix plus élevés pour les unités assemblées ont plutôt conduit à l’achat des pièces nécessaires, qui seront assemblées au centre de formation avec l’assistance technique de l’ONUDI. Après les retards d’expédition, la livraison de 15 ensembles d’outils et équipements d’entretien est prévue pour le début de 2023. L’EPA et l’UNO </w:t>
      </w:r>
      <w:r>
        <w:lastRenderedPageBreak/>
        <w:t>annonceront un appel public pour attribuer les outils d’entretien</w:t>
      </w:r>
      <w:r w:rsidR="003740CC">
        <w:rPr>
          <w:rStyle w:val="FootnoteReference"/>
        </w:rPr>
        <w:footnoteReference w:id="6"/>
      </w:r>
      <w:r>
        <w:t xml:space="preserve">. Le coût total des unités de démonstration et des ensembles d’outils devrait demeurer dans les budgets alloués. </w:t>
      </w:r>
    </w:p>
    <w:p w14:paraId="5A085F20" w14:textId="35AAB5D4" w:rsidR="00DF2292" w:rsidRPr="00387E0F" w:rsidRDefault="00686D99" w:rsidP="00620F5C">
      <w:pPr>
        <w:pStyle w:val="Heading1"/>
        <w:suppressAutoHyphens/>
      </w:pPr>
      <w:r>
        <w:t>Le rapport de vérification a confirmé que le régime de récupération et de recyclage avait permis de récupérer et recycler 2,9, 2,2 et 2,6 </w:t>
      </w:r>
      <w:proofErr w:type="spellStart"/>
      <w:r>
        <w:t>tm</w:t>
      </w:r>
      <w:proofErr w:type="spellEnd"/>
      <w:r>
        <w:t xml:space="preserve"> de frigorigènes en 2019, 2020 et 2021, respectivement (HCFC-22, HFC-134a, HFC-32, R-404A, R-407C, R-410A). Le rapport de vérification a aussi indiqué que l’équipement de récupération et de recyclage acquis dans le cadre du plan de gestion de l’élimination finale des CFC et du PGEH était en fin de vie utile. Après une question du Secrétariat, l’ONUDI a indiqué que la deuxième tranche de financement serait utilisée pour fournir de l’équipement amélioré de récupération et de recyclage aux centres de formation et aux techniciens en réfrigération et climatisation, pour former les formateurs et les techniciens, et pour mettre au point les ententes pour le rétablissement de l’association de la réfrigération et de la climatisation. </w:t>
      </w:r>
    </w:p>
    <w:p w14:paraId="750CBB64" w14:textId="264EFB20" w:rsidR="007547C1" w:rsidRDefault="007547C1" w:rsidP="00620F5C">
      <w:pPr>
        <w:pStyle w:val="Heading1"/>
        <w:suppressAutoHyphens/>
      </w:pPr>
      <w:r>
        <w:t>Le Secrétariat a noté que la composante de formation des formateurs de la deuxième tranche du plan de mise en œuvre comprend « la formation sur la reconversion vers des substituts inflammables ou toxiques ». L’ONUDI a confirmé qu’aucune reconversion physique n’est appuyée dans le cadre du PGEH et que les formateurs seront éduqués sur les risques et les procédures adéquates pour l’entretien comport</w:t>
      </w:r>
      <w:r w:rsidR="00366618">
        <w:t xml:space="preserve">ant </w:t>
      </w:r>
      <w:r>
        <w:t xml:space="preserve">des frigorigènes toxiques, des frigorigènes inflammables ou des appareils reconvertis vers des frigorigènes inflammables ou autres. </w:t>
      </w:r>
    </w:p>
    <w:p w14:paraId="2B923772" w14:textId="77777777" w:rsidR="00437B20" w:rsidRPr="008922F8" w:rsidRDefault="00437B20" w:rsidP="00F44FBC">
      <w:pPr>
        <w:keepNext/>
        <w:keepLines/>
        <w:suppressAutoHyphens/>
        <w:rPr>
          <w:u w:val="single"/>
        </w:rPr>
      </w:pPr>
      <w:r>
        <w:rPr>
          <w:u w:val="single"/>
        </w:rPr>
        <w:t>Mise en œuvre de la politique sur les sexes</w:t>
      </w:r>
      <w:r w:rsidRPr="008922F8">
        <w:rPr>
          <w:rStyle w:val="FootnoteReference"/>
          <w:u w:val="single"/>
        </w:rPr>
        <w:footnoteReference w:id="7"/>
      </w:r>
    </w:p>
    <w:p w14:paraId="2365E995" w14:textId="77777777" w:rsidR="00437B20" w:rsidRPr="008922F8" w:rsidRDefault="00437B20" w:rsidP="00F44FBC">
      <w:pPr>
        <w:keepNext/>
        <w:keepLines/>
        <w:suppressAutoHyphens/>
      </w:pPr>
    </w:p>
    <w:p w14:paraId="0D892FD4" w14:textId="2FC0D340" w:rsidR="008E1379" w:rsidRPr="004F32E5" w:rsidRDefault="006E1821" w:rsidP="00F44FBC">
      <w:pPr>
        <w:pStyle w:val="Heading1"/>
        <w:keepNext/>
        <w:keepLines/>
        <w:tabs>
          <w:tab w:val="clear" w:pos="0"/>
        </w:tabs>
        <w:suppressAutoHyphens/>
      </w:pPr>
      <w:r>
        <w:t xml:space="preserve">L’ONUDI a indiqué que la participation paritaire des représentants des contreparties gouvernementales et de l’industrie est encouragée pendant la mise en œuvre de la phase II du PGEH et que les données propres à chaque sexe seront recueillies. Le pays cherchera à s’assurer que les femmes expertes au sein du secteur privé et du gouvernement reçoivent des possibilités égales de participer aux activités du PGEH, y compris notamment en s’assurant que les femmes et les hommes ont un accès égal à l’équipement et aux documents fournis grâce aux ateliers de formation et en faisant la promotion des formatrices dans le secteur de la réfrigération et de la climatisation. Les aspects sur les sexes seront intégrés dans les documents de formation. En outre, tous les experts de l’UNO nationaux et internationaux recrutés dans le cadre de la phase II du PGEH doivent </w:t>
      </w:r>
      <w:r w:rsidR="001E799B">
        <w:t xml:space="preserve">exécuter </w:t>
      </w:r>
      <w:r>
        <w:t xml:space="preserve">avec succès les cours en ligne d’ONU Femmes, « Je connais le genre ». </w:t>
      </w:r>
    </w:p>
    <w:p w14:paraId="09D0BDE6" w14:textId="0D293466" w:rsidR="00437B20" w:rsidRPr="008922F8" w:rsidRDefault="00437B20" w:rsidP="00620F5C">
      <w:pPr>
        <w:suppressAutoHyphens/>
        <w:rPr>
          <w:u w:val="single"/>
        </w:rPr>
      </w:pPr>
      <w:r>
        <w:rPr>
          <w:u w:val="single"/>
        </w:rPr>
        <w:t>Durabilité de l’élimination des HCFC et évaluation des risques</w:t>
      </w:r>
    </w:p>
    <w:p w14:paraId="2811C50C" w14:textId="77777777" w:rsidR="00437B20" w:rsidRPr="008922F8" w:rsidRDefault="00437B20" w:rsidP="00620F5C">
      <w:pPr>
        <w:suppressAutoHyphens/>
        <w:rPr>
          <w:u w:val="single"/>
        </w:rPr>
      </w:pPr>
    </w:p>
    <w:p w14:paraId="48816918" w14:textId="1F88C71B" w:rsidR="00D75E0D" w:rsidRDefault="00CA2C98" w:rsidP="00620F5C">
      <w:pPr>
        <w:pStyle w:val="Heading1"/>
        <w:tabs>
          <w:tab w:val="clear" w:pos="0"/>
        </w:tabs>
        <w:suppressAutoHyphens/>
      </w:pPr>
      <w:r>
        <w:t>La durabilité de l’élimination des HCFC au Monténégro est appuyée par les mesures de contrôle renforcées sur l’importation des HCFC et des appareils fonctionnant aux HCFC, qui visent à appuyer l’élimination complète des HCFC d’ici le 1</w:t>
      </w:r>
      <w:r>
        <w:rPr>
          <w:vertAlign w:val="superscript"/>
        </w:rPr>
        <w:t>er</w:t>
      </w:r>
      <w:r>
        <w:t xml:space="preserve"> janvier 2025. Les importations de HCFC sont permises uniquement pour entretenir les appareils existants et le pays conserve un répertoire des appareils de réfrigération et de climatisation et impose des vérifications obligatoires de fuites. Le régime de permis et de quota est soutenu par une communication efficace et constructive entre le point focal des douanes et l’UNO. En outre, le potentiel du commerce illicite est atténué par la coopération entre le point focal des douanes et d’autres bureaux de douanes dans les pays du réseau de l’Europe et de l’Asie centrale. Malgré le retard dans le rétablissement de l’association de la réfrigération et de la climatisation, de bonnes communications existent désormais entre l’UNO et les entreprises du secteur de la réfrigération et de la climatisation. Le Secrétariat a noté que des risques comme la pandémie de COVID-19 et les difficultés à obtenir de l’équipement technique avaient engendré des retards dans la mise en œuvre de la première tranche, mais a reconnu qu’ils étaient hors du contrôle de l’agence d’exécution. Malgré les retards, l’amorce </w:t>
      </w:r>
      <w:r>
        <w:lastRenderedPageBreak/>
        <w:t>rapide de la deuxième tranche de la phase II, particulièrement les activités relatives à l’approvisionnement, est importante pour la réussite générale du PGEH et l’atteinte de la cible d’élimination complète des HCFC d’ici le 1</w:t>
      </w:r>
      <w:r>
        <w:rPr>
          <w:vertAlign w:val="superscript"/>
        </w:rPr>
        <w:t>er</w:t>
      </w:r>
      <w:r>
        <w:t xml:space="preserve"> janvier 2025. </w:t>
      </w:r>
    </w:p>
    <w:p w14:paraId="28533506" w14:textId="366F2970" w:rsidR="00437B20" w:rsidRPr="00691D74" w:rsidRDefault="00437B20" w:rsidP="00620F5C">
      <w:pPr>
        <w:pStyle w:val="Heading1"/>
        <w:numPr>
          <w:ilvl w:val="0"/>
          <w:numId w:val="0"/>
        </w:numPr>
        <w:suppressAutoHyphens/>
        <w:rPr>
          <w:u w:val="single"/>
        </w:rPr>
      </w:pPr>
      <w:r>
        <w:rPr>
          <w:u w:val="single"/>
        </w:rPr>
        <w:t xml:space="preserve">Conclusion </w:t>
      </w:r>
    </w:p>
    <w:p w14:paraId="64C57458" w14:textId="13750DE7" w:rsidR="002E6309" w:rsidRDefault="000004D1" w:rsidP="00620F5C">
      <w:pPr>
        <w:pStyle w:val="Heading1"/>
        <w:tabs>
          <w:tab w:val="clear" w:pos="0"/>
        </w:tabs>
        <w:suppressAutoHyphens/>
      </w:pPr>
      <w:r>
        <w:t xml:space="preserve">Le gouvernement du Monténégro a continué de mettre en œuvre efficacement son système d’octroi de permis et de quotas sur l’importation et l’exportation des HCFC, atteignant la conformité avec ses cibles de consommation de HCFC pour 2020 et 2021, comme le confirme le rapport de vérification indépendant. En 2021, la consommation de HCFC était de 88 pour cent inférieure à la valeur de référence et de 74 pour cent inférieure aux cibles établies dans l’Accord du PGEH. Toute la législation nécessaire à l’élimination des HCFC est en place. Malgré les défis de la pandémie de COVID-19, l’agence d’exécution a </w:t>
      </w:r>
      <w:proofErr w:type="gramStart"/>
      <w:r>
        <w:t>fait des progrès</w:t>
      </w:r>
      <w:proofErr w:type="gramEnd"/>
      <w:r>
        <w:t xml:space="preserve"> dans l’organisation de la formation des douanes ainsi que la formation et la certification des formateurs et des techniciens en réfrigération et climatisation, et elle a pris des mesures pour rétablir l’association de la réfrigération et de la climatisation. Un niveau suffisant de mise en œuvre de la première tranche du PGEH a été atteint et des plans sont en place pour réorganiser les activités reportées et les mettre en œuvre en parallèle avec les activités de la deuxième tranche. L’ONUDI a respecté le seuil de décaissement de 20 pour cent pour la tranche précédente et a décaissé 29</w:t>
      </w:r>
      <w:r w:rsidR="00604A1F">
        <w:t> </w:t>
      </w:r>
      <w:r>
        <w:t>pour cent des fonds totaux.</w:t>
      </w:r>
    </w:p>
    <w:p w14:paraId="71C91E22" w14:textId="15E822D1" w:rsidR="00437B20" w:rsidRPr="00DF2292" w:rsidRDefault="00437B20" w:rsidP="00620F5C">
      <w:pPr>
        <w:suppressAutoHyphens/>
        <w:rPr>
          <w:b/>
          <w:color w:val="000000" w:themeColor="text1"/>
        </w:rPr>
      </w:pPr>
      <w:r>
        <w:rPr>
          <w:b/>
          <w:color w:val="000000" w:themeColor="text1"/>
        </w:rPr>
        <w:t xml:space="preserve">RECOMMANDATION </w:t>
      </w:r>
    </w:p>
    <w:p w14:paraId="1640B1D8" w14:textId="4AF37054" w:rsidR="008922F8" w:rsidRPr="00DF2292" w:rsidRDefault="008922F8" w:rsidP="00620F5C">
      <w:pPr>
        <w:suppressAutoHyphens/>
        <w:rPr>
          <w:b/>
          <w:color w:val="000000" w:themeColor="text1"/>
        </w:rPr>
      </w:pPr>
    </w:p>
    <w:p w14:paraId="1AD928D1" w14:textId="6D73B9A4" w:rsidR="00437B20" w:rsidRPr="00490C62" w:rsidRDefault="00437B20" w:rsidP="00620F5C">
      <w:pPr>
        <w:pStyle w:val="Heading1"/>
      </w:pPr>
      <w:r>
        <w:t>Le Secrétariat du Fonds recommande que le Comité exécutif prenne note du rapport périodique sur la mise en œuvre de la première tranche de la phase II du plan de gestion de l’élimination des HCFC (PGEH) du Monténégro, et recommande en outre l’approbation générale de la deuxième tranche de la phase II du PGEH du Monténégro, ainsi que le plan de mise en œuvre de la tranche correspondante pour 2023-2025 au</w:t>
      </w:r>
      <w:r w:rsidR="00F707B5">
        <w:t xml:space="preserve"> niveau</w:t>
      </w:r>
      <w:r>
        <w:t xml:space="preserve"> de financement indiqué dans le tableau ci-dessous, sur une base exceptionnelle, étant entendu que le Trésorier transférera le financement à l’ONUDI uniquement une fois que le Secrétariat aura confirmé qu’il a reçu le rapport d’achèvement du projet pour la phase I du PGEH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A587B" w:rsidRPr="00FC2FA3" w14:paraId="5A946CA0" w14:textId="77777777" w:rsidTr="00CB78BF">
        <w:trPr>
          <w:tblHeader/>
        </w:trPr>
        <w:tc>
          <w:tcPr>
            <w:tcW w:w="293" w:type="pct"/>
          </w:tcPr>
          <w:p w14:paraId="23CB2D7E" w14:textId="77777777" w:rsidR="005A587B" w:rsidRPr="00DF2292" w:rsidRDefault="005A587B" w:rsidP="00620F5C">
            <w:pPr>
              <w:suppressAutoHyphens/>
              <w:jc w:val="center"/>
              <w:rPr>
                <w:b/>
                <w:bCs/>
                <w:color w:val="000000" w:themeColor="text1"/>
                <w:sz w:val="20"/>
                <w:szCs w:val="20"/>
              </w:rPr>
            </w:pPr>
          </w:p>
        </w:tc>
        <w:tc>
          <w:tcPr>
            <w:tcW w:w="2337" w:type="pct"/>
          </w:tcPr>
          <w:p w14:paraId="449CF19F" w14:textId="77777777" w:rsidR="005A587B" w:rsidRPr="00DF2292" w:rsidRDefault="005A587B" w:rsidP="00620F5C">
            <w:pPr>
              <w:suppressAutoHyphens/>
              <w:jc w:val="center"/>
              <w:rPr>
                <w:b/>
                <w:bCs/>
                <w:color w:val="000000" w:themeColor="text1"/>
                <w:sz w:val="20"/>
                <w:szCs w:val="20"/>
              </w:rPr>
            </w:pPr>
            <w:r>
              <w:rPr>
                <w:b/>
                <w:bCs/>
                <w:color w:val="000000" w:themeColor="text1"/>
                <w:sz w:val="20"/>
                <w:szCs w:val="20"/>
              </w:rPr>
              <w:t>Titre du projet</w:t>
            </w:r>
          </w:p>
        </w:tc>
        <w:tc>
          <w:tcPr>
            <w:tcW w:w="790" w:type="pct"/>
            <w:tcMar>
              <w:left w:w="29" w:type="dxa"/>
              <w:right w:w="29" w:type="dxa"/>
            </w:tcMar>
          </w:tcPr>
          <w:p w14:paraId="53EE391A" w14:textId="4AE4173D" w:rsidR="005A587B" w:rsidRPr="00DF2292" w:rsidRDefault="005A587B" w:rsidP="00620F5C">
            <w:pPr>
              <w:suppressAutoHyphens/>
              <w:jc w:val="center"/>
              <w:rPr>
                <w:b/>
                <w:bCs/>
                <w:color w:val="000000" w:themeColor="text1"/>
                <w:sz w:val="20"/>
                <w:szCs w:val="20"/>
              </w:rPr>
            </w:pPr>
            <w:r>
              <w:rPr>
                <w:b/>
                <w:bCs/>
                <w:color w:val="000000" w:themeColor="text1"/>
                <w:sz w:val="20"/>
                <w:szCs w:val="20"/>
              </w:rPr>
              <w:t>Financement du projet ($ US)</w:t>
            </w:r>
          </w:p>
        </w:tc>
        <w:tc>
          <w:tcPr>
            <w:tcW w:w="747" w:type="pct"/>
            <w:tcMar>
              <w:left w:w="29" w:type="dxa"/>
              <w:right w:w="29" w:type="dxa"/>
            </w:tcMar>
          </w:tcPr>
          <w:p w14:paraId="75117A33" w14:textId="11BADC12" w:rsidR="005A587B" w:rsidRPr="00DF2292" w:rsidRDefault="005A587B" w:rsidP="00620F5C">
            <w:pPr>
              <w:suppressAutoHyphens/>
              <w:jc w:val="center"/>
              <w:rPr>
                <w:b/>
                <w:bCs/>
                <w:color w:val="000000" w:themeColor="text1"/>
                <w:sz w:val="20"/>
                <w:szCs w:val="20"/>
              </w:rPr>
            </w:pPr>
            <w:r>
              <w:rPr>
                <w:b/>
                <w:bCs/>
                <w:color w:val="000000" w:themeColor="text1"/>
                <w:sz w:val="20"/>
                <w:szCs w:val="20"/>
              </w:rPr>
              <w:t>Coûts d’appui ($ US)</w:t>
            </w:r>
          </w:p>
        </w:tc>
        <w:tc>
          <w:tcPr>
            <w:tcW w:w="833" w:type="pct"/>
            <w:tcMar>
              <w:left w:w="29" w:type="dxa"/>
              <w:right w:w="29" w:type="dxa"/>
            </w:tcMar>
          </w:tcPr>
          <w:p w14:paraId="3A89FBFA" w14:textId="77777777" w:rsidR="005A587B" w:rsidRPr="00FC2FA3" w:rsidRDefault="005A587B" w:rsidP="00620F5C">
            <w:pPr>
              <w:suppressAutoHyphens/>
              <w:jc w:val="center"/>
              <w:rPr>
                <w:b/>
                <w:bCs/>
                <w:color w:val="000000" w:themeColor="text1"/>
                <w:sz w:val="20"/>
                <w:szCs w:val="20"/>
              </w:rPr>
            </w:pPr>
            <w:r>
              <w:rPr>
                <w:b/>
                <w:bCs/>
                <w:color w:val="000000" w:themeColor="text1"/>
                <w:sz w:val="20"/>
                <w:szCs w:val="20"/>
              </w:rPr>
              <w:t>Agence d’exécution</w:t>
            </w:r>
          </w:p>
        </w:tc>
      </w:tr>
      <w:tr w:rsidR="005A587B" w:rsidRPr="00FC2FA3" w14:paraId="0C460864" w14:textId="77777777" w:rsidTr="00CB78BF">
        <w:tc>
          <w:tcPr>
            <w:tcW w:w="293" w:type="pct"/>
          </w:tcPr>
          <w:p w14:paraId="0B1828EB" w14:textId="77777777" w:rsidR="005A587B" w:rsidRPr="00FC2FA3" w:rsidRDefault="005A587B" w:rsidP="00620F5C">
            <w:pPr>
              <w:suppressAutoHyphens/>
              <w:rPr>
                <w:color w:val="000000" w:themeColor="text1"/>
                <w:sz w:val="20"/>
                <w:szCs w:val="20"/>
              </w:rPr>
            </w:pPr>
            <w:r>
              <w:rPr>
                <w:color w:val="000000" w:themeColor="text1"/>
                <w:sz w:val="20"/>
                <w:szCs w:val="20"/>
              </w:rPr>
              <w:t>(</w:t>
            </w:r>
            <w:proofErr w:type="gramStart"/>
            <w:r>
              <w:rPr>
                <w:color w:val="000000" w:themeColor="text1"/>
                <w:sz w:val="20"/>
                <w:szCs w:val="20"/>
              </w:rPr>
              <w:t>a</w:t>
            </w:r>
            <w:proofErr w:type="gramEnd"/>
            <w:r>
              <w:rPr>
                <w:color w:val="000000" w:themeColor="text1"/>
                <w:sz w:val="20"/>
                <w:szCs w:val="20"/>
              </w:rPr>
              <w:t>)</w:t>
            </w:r>
          </w:p>
        </w:tc>
        <w:tc>
          <w:tcPr>
            <w:tcW w:w="2337" w:type="pct"/>
          </w:tcPr>
          <w:p w14:paraId="38E67D56" w14:textId="77777777" w:rsidR="005A587B" w:rsidRPr="00FC2FA3" w:rsidRDefault="005A587B" w:rsidP="00620F5C">
            <w:pPr>
              <w:suppressAutoHyphens/>
              <w:jc w:val="left"/>
              <w:rPr>
                <w:color w:val="000000" w:themeColor="text1"/>
                <w:sz w:val="20"/>
                <w:szCs w:val="20"/>
              </w:rPr>
            </w:pPr>
            <w:r>
              <w:rPr>
                <w:color w:val="000000" w:themeColor="text1"/>
                <w:sz w:val="20"/>
                <w:szCs w:val="20"/>
              </w:rPr>
              <w:t xml:space="preserve">Plan de gestion de l’élimination des HCFC (phase </w:t>
            </w:r>
            <w:r>
              <w:rPr>
                <w:color w:val="000000" w:themeColor="text1"/>
              </w:rPr>
              <w:t>II</w:t>
            </w:r>
            <w:r>
              <w:rPr>
                <w:color w:val="000000" w:themeColor="text1"/>
                <w:sz w:val="20"/>
                <w:szCs w:val="20"/>
              </w:rPr>
              <w:t>, deuxième tranche)</w:t>
            </w:r>
          </w:p>
        </w:tc>
        <w:tc>
          <w:tcPr>
            <w:tcW w:w="790" w:type="pct"/>
          </w:tcPr>
          <w:p w14:paraId="7D632E65" w14:textId="77777777" w:rsidR="005A587B" w:rsidRPr="00FC2FA3" w:rsidRDefault="005A587B" w:rsidP="00620F5C">
            <w:pPr>
              <w:suppressAutoHyphens/>
              <w:jc w:val="right"/>
              <w:rPr>
                <w:color w:val="000000" w:themeColor="text1"/>
                <w:sz w:val="20"/>
                <w:szCs w:val="20"/>
              </w:rPr>
            </w:pPr>
            <w:r>
              <w:rPr>
                <w:color w:val="000000" w:themeColor="text1"/>
                <w:sz w:val="20"/>
                <w:szCs w:val="20"/>
              </w:rPr>
              <w:t>275 000</w:t>
            </w:r>
          </w:p>
        </w:tc>
        <w:tc>
          <w:tcPr>
            <w:tcW w:w="747" w:type="pct"/>
          </w:tcPr>
          <w:p w14:paraId="60F7D6F2" w14:textId="77777777" w:rsidR="005A587B" w:rsidRPr="00FC2FA3" w:rsidRDefault="005A587B" w:rsidP="00620F5C">
            <w:pPr>
              <w:suppressAutoHyphens/>
              <w:jc w:val="right"/>
              <w:rPr>
                <w:color w:val="000000" w:themeColor="text1"/>
              </w:rPr>
            </w:pPr>
            <w:r>
              <w:rPr>
                <w:color w:val="000000" w:themeColor="text1"/>
                <w:sz w:val="20"/>
                <w:szCs w:val="20"/>
              </w:rPr>
              <w:t>19 250</w:t>
            </w:r>
          </w:p>
        </w:tc>
        <w:tc>
          <w:tcPr>
            <w:tcW w:w="833" w:type="pct"/>
          </w:tcPr>
          <w:p w14:paraId="1EFDDE4E" w14:textId="77777777" w:rsidR="005A587B" w:rsidRPr="00FC2FA3" w:rsidRDefault="005A587B" w:rsidP="00620F5C">
            <w:pPr>
              <w:suppressAutoHyphens/>
              <w:jc w:val="center"/>
              <w:rPr>
                <w:color w:val="000000" w:themeColor="text1"/>
                <w:sz w:val="20"/>
                <w:szCs w:val="20"/>
              </w:rPr>
            </w:pPr>
            <w:r>
              <w:rPr>
                <w:color w:val="000000" w:themeColor="text1"/>
                <w:sz w:val="20"/>
                <w:szCs w:val="20"/>
              </w:rPr>
              <w:t>ONUDI</w:t>
            </w:r>
          </w:p>
        </w:tc>
      </w:tr>
    </w:tbl>
    <w:p w14:paraId="75BCA4B0" w14:textId="77777777" w:rsidR="005A587B" w:rsidRPr="00FC2FA3" w:rsidRDefault="005A587B" w:rsidP="00620F5C">
      <w:pPr>
        <w:suppressAutoHyphens/>
        <w:rPr>
          <w:color w:val="000000" w:themeColor="text1"/>
        </w:rPr>
      </w:pPr>
    </w:p>
    <w:p w14:paraId="7B3139A4" w14:textId="77777777" w:rsidR="005A587B" w:rsidRPr="005A587B" w:rsidRDefault="005A587B" w:rsidP="00620F5C">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37B20" w:rsidRPr="008922F8" w14:paraId="4F2FCE3D" w14:textId="77777777" w:rsidTr="00692A82">
        <w:tc>
          <w:tcPr>
            <w:tcW w:w="1871" w:type="dxa"/>
          </w:tcPr>
          <w:p w14:paraId="711A5C06" w14:textId="77777777" w:rsidR="00437B20" w:rsidRPr="008922F8" w:rsidRDefault="00437B20" w:rsidP="00620F5C">
            <w:pPr>
              <w:suppressAutoHyphens/>
            </w:pPr>
          </w:p>
        </w:tc>
        <w:tc>
          <w:tcPr>
            <w:tcW w:w="1872" w:type="dxa"/>
          </w:tcPr>
          <w:p w14:paraId="1B493324" w14:textId="77777777" w:rsidR="00437B20" w:rsidRPr="008922F8" w:rsidRDefault="00437B20" w:rsidP="00620F5C">
            <w:pPr>
              <w:suppressAutoHyphens/>
            </w:pPr>
          </w:p>
        </w:tc>
        <w:tc>
          <w:tcPr>
            <w:tcW w:w="1872" w:type="dxa"/>
            <w:tcBorders>
              <w:bottom w:val="single" w:sz="4" w:space="0" w:color="auto"/>
            </w:tcBorders>
          </w:tcPr>
          <w:p w14:paraId="623BA15A" w14:textId="77777777" w:rsidR="00437B20" w:rsidRPr="008922F8" w:rsidRDefault="00437B20" w:rsidP="00620F5C">
            <w:pPr>
              <w:suppressAutoHyphens/>
            </w:pPr>
          </w:p>
        </w:tc>
        <w:tc>
          <w:tcPr>
            <w:tcW w:w="1872" w:type="dxa"/>
          </w:tcPr>
          <w:p w14:paraId="24A9D928" w14:textId="77777777" w:rsidR="00437B20" w:rsidRPr="008922F8" w:rsidRDefault="00437B20" w:rsidP="00620F5C">
            <w:pPr>
              <w:suppressAutoHyphens/>
            </w:pPr>
          </w:p>
        </w:tc>
        <w:tc>
          <w:tcPr>
            <w:tcW w:w="1873" w:type="dxa"/>
          </w:tcPr>
          <w:p w14:paraId="22FC96BE" w14:textId="77777777" w:rsidR="00437B20" w:rsidRPr="008922F8" w:rsidRDefault="00437B20" w:rsidP="00620F5C">
            <w:pPr>
              <w:suppressAutoHyphens/>
            </w:pPr>
          </w:p>
        </w:tc>
      </w:tr>
    </w:tbl>
    <w:p w14:paraId="61D53938" w14:textId="007A06DC" w:rsidR="00437B20" w:rsidRPr="008922F8" w:rsidRDefault="00437B20" w:rsidP="00620F5C">
      <w:pPr>
        <w:suppressAutoHyphens/>
      </w:pPr>
    </w:p>
    <w:sectPr w:rsidR="00437B20" w:rsidRPr="008922F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98EADF" w14:textId="77777777" w:rsidR="00C14056" w:rsidRDefault="00C14056" w:rsidP="004A504B">
      <w:r>
        <w:separator/>
      </w:r>
    </w:p>
  </w:endnote>
  <w:endnote w:type="continuationSeparator" w:id="0">
    <w:p w14:paraId="6B50F41F" w14:textId="77777777" w:rsidR="00C14056" w:rsidRDefault="00C1405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E49B8" w14:textId="77777777" w:rsidR="00EB20FC" w:rsidRPr="00EB20FC" w:rsidRDefault="00EB20FC" w:rsidP="00EB20FC">
    <w:pPr>
      <w:pBdr>
        <w:top w:val="single" w:sz="4" w:space="1" w:color="auto"/>
        <w:left w:val="single" w:sz="4" w:space="4" w:color="auto"/>
        <w:bottom w:val="single" w:sz="4" w:space="1" w:color="auto"/>
        <w:right w:val="single" w:sz="4" w:space="4" w:color="auto"/>
      </w:pBdr>
      <w:jc w:val="center"/>
      <w:rPr>
        <w:sz w:val="18"/>
        <w:szCs w:val="18"/>
      </w:rPr>
    </w:pPr>
    <w:r w:rsidRPr="00EB20FC">
      <w:rPr>
        <w:sz w:val="18"/>
        <w:szCs w:val="18"/>
      </w:rPr>
      <w:t xml:space="preserve">Les documents de présession du Comité exécutif du Fonds multilatéral aux fins d’application du Protocole de </w:t>
    </w:r>
  </w:p>
  <w:p w14:paraId="29119B9C" w14:textId="099EF715" w:rsidR="004E7F9C" w:rsidRDefault="00EB20FC" w:rsidP="00EB20FC">
    <w:pPr>
      <w:pBdr>
        <w:top w:val="single" w:sz="4" w:space="1" w:color="auto"/>
        <w:left w:val="single" w:sz="4" w:space="4" w:color="auto"/>
        <w:bottom w:val="single" w:sz="4" w:space="1" w:color="auto"/>
        <w:right w:val="single" w:sz="4" w:space="4" w:color="auto"/>
      </w:pBdr>
      <w:jc w:val="center"/>
      <w:rPr>
        <w:sz w:val="18"/>
        <w:szCs w:val="18"/>
      </w:rPr>
    </w:pPr>
    <w:r w:rsidRPr="00EB20FC">
      <w:rPr>
        <w:sz w:val="18"/>
        <w:szCs w:val="18"/>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BF22B" w14:textId="77777777" w:rsidR="00C14056" w:rsidRDefault="00C14056" w:rsidP="004A504B">
      <w:r>
        <w:separator/>
      </w:r>
    </w:p>
  </w:footnote>
  <w:footnote w:type="continuationSeparator" w:id="0">
    <w:p w14:paraId="1596E1C9" w14:textId="77777777" w:rsidR="00C14056" w:rsidRDefault="00C14056" w:rsidP="004A504B">
      <w:r>
        <w:continuationSeparator/>
      </w:r>
    </w:p>
  </w:footnote>
  <w:footnote w:id="1">
    <w:p w14:paraId="77C8403E" w14:textId="227A3868" w:rsidR="00537267" w:rsidRDefault="00537267" w:rsidP="00537267">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/91/1</w:t>
      </w:r>
    </w:p>
    <w:p w14:paraId="45D2A6BA" w14:textId="77777777" w:rsidR="002A3911" w:rsidRPr="00643975" w:rsidRDefault="002A3911" w:rsidP="00537267">
      <w:pPr>
        <w:pStyle w:val="FootnoteText"/>
        <w:spacing w:after="60"/>
      </w:pPr>
    </w:p>
  </w:footnote>
  <w:footnote w:id="2">
    <w:p w14:paraId="5D8F0BF3" w14:textId="6FDA417A" w:rsidR="00437B20" w:rsidRPr="00FE3307" w:rsidRDefault="00437B20" w:rsidP="00437B20">
      <w:pPr>
        <w:pStyle w:val="FootnoteText"/>
      </w:pPr>
      <w:r>
        <w:rPr>
          <w:rStyle w:val="FootnoteReference"/>
        </w:rPr>
        <w:footnoteRef/>
      </w:r>
      <w:r>
        <w:t xml:space="preserve"> Conformément à la lettre du 30 septembre 2022 de l’Agence de protection environnementale adressée à l’ONUDI.</w:t>
      </w:r>
    </w:p>
  </w:footnote>
  <w:footnote w:id="3">
    <w:p w14:paraId="6086FA2A" w14:textId="0CA30D9E" w:rsidR="00BA5C44" w:rsidRDefault="00ED2BF9" w:rsidP="00BA5C44">
      <w:pPr>
        <w:autoSpaceDE w:val="0"/>
        <w:autoSpaceDN w:val="0"/>
        <w:adjustRightInd w:val="0"/>
        <w:rPr>
          <w:b/>
          <w:bCs/>
        </w:rPr>
      </w:pPr>
      <w:r>
        <w:rPr>
          <w:rStyle w:val="FootnoteReference"/>
        </w:rPr>
        <w:footnoteRef/>
      </w:r>
      <w:r>
        <w:t xml:space="preserve"> </w:t>
      </w:r>
      <w:r>
        <w:rPr>
          <w:sz w:val="20"/>
          <w:szCs w:val="20"/>
        </w:rPr>
        <w:t>Le Monténégro a interdit les SAO dans les activités suivantes : fabrication; commerce international avec des pays qui ne sont pas des Parties au Protocole de Montréal; importation et exportation sans permis; importation et vente de bonbonnes jetables : vente au détail; importation de produits usagés, recyclés et récupérés; et rejet dans l’environnement, y compris le rinçage. Par ailleurs, l’importation et la vente de produits et d’appareils à base de SAO ainsi que des systèmes de chargement conçus pour les frigorigènes de remplacement avec des SAO sont interdites.</w:t>
      </w:r>
    </w:p>
    <w:p w14:paraId="2B7172AF" w14:textId="35381525" w:rsidR="00ED2BF9" w:rsidRDefault="00ED2BF9">
      <w:pPr>
        <w:pStyle w:val="FootnoteText"/>
      </w:pPr>
    </w:p>
  </w:footnote>
  <w:footnote w:id="4">
    <w:p w14:paraId="51768410" w14:textId="06148D21" w:rsidR="009E692D" w:rsidRDefault="009E692D">
      <w:pPr>
        <w:pStyle w:val="FootnoteText"/>
      </w:pPr>
      <w:r>
        <w:rPr>
          <w:rStyle w:val="FootnoteReference"/>
        </w:rPr>
        <w:footnoteRef/>
      </w:r>
      <w:r>
        <w:t xml:space="preserve"> Anciennement, le ministère du Développement durable et du Tourisme.</w:t>
      </w:r>
    </w:p>
  </w:footnote>
  <w:footnote w:id="5">
    <w:p w14:paraId="4B39433F" w14:textId="68CDAB51" w:rsidR="00147D2E" w:rsidRDefault="00147D2E">
      <w:pPr>
        <w:pStyle w:val="FootnoteText"/>
      </w:pPr>
      <w:r>
        <w:rPr>
          <w:rStyle w:val="FootnoteReference"/>
        </w:rPr>
        <w:footnoteRef/>
      </w:r>
      <w:r>
        <w:t xml:space="preserve"> La liste provisoire de l’équipement comprend une balance de charge de frigorigène avec un étui de transport; des tuyaux de chargement; une trousse universelle de rinçage; un détecteur de fuites; un manomètre de collecteur mécanique avec des tuyaux; un manomètre de collecteur numérique à fonctions multiples; des pinces de perçage avec un raccord SAE de 1/4 po (64 mm); des bonbonnes de récupération; une machine de récupération de frigorigène; un coupe-tube; une pompe à vide avec une électrovanne et un vacuomètre.</w:t>
      </w:r>
    </w:p>
  </w:footnote>
  <w:footnote w:id="6">
    <w:p w14:paraId="2AFE97AE" w14:textId="5C2664F6" w:rsidR="003740CC" w:rsidRDefault="003740CC">
      <w:pPr>
        <w:pStyle w:val="FootnoteText"/>
      </w:pPr>
      <w:r>
        <w:rPr>
          <w:rStyle w:val="FootnoteReference"/>
        </w:rPr>
        <w:footnoteRef/>
      </w:r>
      <w:r>
        <w:t xml:space="preserve"> Bonbonnes d’azote libre d’oxygène, trousses de brasage, compteurs à pince, ensembles de collecteurs, pompes à vide, balances, détecteurs de fuites électroniques, thermomètres, bonbonnes de récupération et outils de purge à l’azote.</w:t>
      </w:r>
    </w:p>
  </w:footnote>
  <w:footnote w:id="7">
    <w:p w14:paraId="53CA4BA8" w14:textId="694A8847" w:rsidR="00437B20" w:rsidRPr="00382D3E" w:rsidRDefault="00437B20" w:rsidP="00437B20">
      <w:pPr>
        <w:pStyle w:val="FootnoteText"/>
      </w:pPr>
      <w:r>
        <w:rPr>
          <w:rStyle w:val="FootnoteReference"/>
        </w:rPr>
        <w:footnoteRef/>
      </w:r>
      <w:r>
        <w:t xml:space="preserve"> Conformément à la décision 84/92(d), la décision 90/48(c) encourageait les agences bilatérales et d’exécution à continuer de veiller à ce que la politique opérationnelle sur l’égalité hommes femmes soit appliquée à tous les projets, en tenant compte des activités particulières présentées au tableau 2 du document UNEP/</w:t>
      </w:r>
      <w:proofErr w:type="spellStart"/>
      <w:r>
        <w:t>OzL.Pro</w:t>
      </w:r>
      <w:proofErr w:type="spellEnd"/>
      <w:r>
        <w:t>/</w:t>
      </w:r>
      <w:proofErr w:type="spellStart"/>
      <w:r>
        <w:t>ExCom</w:t>
      </w:r>
      <w:proofErr w:type="spellEnd"/>
      <w:r>
        <w:t>/90/37.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6BBB91A5" w:rsidR="00DC6A10" w:rsidRPr="0033525D" w:rsidRDefault="00F757B9">
    <w:r>
      <w:fldChar w:fldCharType="begin"/>
    </w:r>
    <w:r>
      <w:instrText xml:space="preserve"> DOCPROPERTY "Document number"  \* MERGEFORMAT </w:instrText>
    </w:r>
    <w:r>
      <w:fldChar w:fldCharType="separate"/>
    </w:r>
    <w:r w:rsidR="00DB0A90">
      <w:t>UNEP/</w:t>
    </w:r>
    <w:proofErr w:type="spellStart"/>
    <w:r w:rsidR="00DB0A90">
      <w:t>OzL.Pro</w:t>
    </w:r>
    <w:proofErr w:type="spellEnd"/>
    <w:r w:rsidR="00DB0A90">
      <w:t>/</w:t>
    </w:r>
    <w:proofErr w:type="spellStart"/>
    <w:r w:rsidR="00DB0A90">
      <w:t>ExCom</w:t>
    </w:r>
    <w:proofErr w:type="spellEnd"/>
    <w:r w:rsidR="00DB0A90">
      <w:t>/91/46</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53447349" w:rsidR="00DC6A10" w:rsidRPr="0033525D" w:rsidRDefault="00F757B9">
    <w:pPr>
      <w:jc w:val="right"/>
    </w:pPr>
    <w:r>
      <w:fldChar w:fldCharType="begin"/>
    </w:r>
    <w:r>
      <w:instrText xml:space="preserve"> DOCPROPERTY "Document number"  \* MERGEFORMAT </w:instrText>
    </w:r>
    <w:r>
      <w:fldChar w:fldCharType="separate"/>
    </w:r>
    <w:r w:rsidR="00DB0A90">
      <w:t>UNEP/</w:t>
    </w:r>
    <w:proofErr w:type="spellStart"/>
    <w:r w:rsidR="00DB0A90">
      <w:t>OzL.Pro</w:t>
    </w:r>
    <w:proofErr w:type="spellEnd"/>
    <w:r w:rsidR="00DB0A90">
      <w:t>/</w:t>
    </w:r>
    <w:proofErr w:type="spellStart"/>
    <w:r w:rsidR="00DB0A90">
      <w:t>ExCom</w:t>
    </w:r>
    <w:proofErr w:type="spellEnd"/>
    <w:r w:rsidR="00DB0A90">
      <w:t>/91/46</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09488289">
    <w:abstractNumId w:val="0"/>
  </w:num>
  <w:num w:numId="2" w16cid:durableId="1372683336">
    <w:abstractNumId w:val="0"/>
  </w:num>
  <w:num w:numId="3" w16cid:durableId="1178539221">
    <w:abstractNumId w:val="0"/>
  </w:num>
  <w:num w:numId="4" w16cid:durableId="639577376">
    <w:abstractNumId w:val="0"/>
  </w:num>
  <w:num w:numId="5" w16cid:durableId="1020005505">
    <w:abstractNumId w:val="1"/>
  </w:num>
  <w:num w:numId="6" w16cid:durableId="989098916">
    <w:abstractNumId w:val="3"/>
  </w:num>
  <w:num w:numId="7" w16cid:durableId="203490171">
    <w:abstractNumId w:val="4"/>
  </w:num>
  <w:num w:numId="8" w16cid:durableId="2091270831">
    <w:abstractNumId w:val="6"/>
  </w:num>
  <w:num w:numId="9" w16cid:durableId="614603343">
    <w:abstractNumId w:val="2"/>
  </w:num>
  <w:num w:numId="10" w16cid:durableId="491876117">
    <w:abstractNumId w:val="5"/>
  </w:num>
  <w:num w:numId="11" w16cid:durableId="460921673">
    <w:abstractNumId w:val="0"/>
  </w:num>
  <w:num w:numId="12" w16cid:durableId="9532665">
    <w:abstractNumId w:val="0"/>
  </w:num>
  <w:num w:numId="13" w16cid:durableId="1198857932">
    <w:abstractNumId w:val="0"/>
  </w:num>
  <w:num w:numId="14" w16cid:durableId="1774325470">
    <w:abstractNumId w:val="0"/>
  </w:num>
  <w:num w:numId="15" w16cid:durableId="1685448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4D1"/>
    <w:rsid w:val="00000FED"/>
    <w:rsid w:val="000040E8"/>
    <w:rsid w:val="0000434E"/>
    <w:rsid w:val="000151E0"/>
    <w:rsid w:val="000153C1"/>
    <w:rsid w:val="000211A9"/>
    <w:rsid w:val="00021238"/>
    <w:rsid w:val="00024336"/>
    <w:rsid w:val="000247F1"/>
    <w:rsid w:val="00025285"/>
    <w:rsid w:val="00031260"/>
    <w:rsid w:val="00034476"/>
    <w:rsid w:val="0003681A"/>
    <w:rsid w:val="000372B7"/>
    <w:rsid w:val="00040E3C"/>
    <w:rsid w:val="0004369D"/>
    <w:rsid w:val="00050F6E"/>
    <w:rsid w:val="00052E1A"/>
    <w:rsid w:val="00057E5C"/>
    <w:rsid w:val="00061EC2"/>
    <w:rsid w:val="00062C8D"/>
    <w:rsid w:val="00063502"/>
    <w:rsid w:val="00063628"/>
    <w:rsid w:val="00066CE8"/>
    <w:rsid w:val="00067F33"/>
    <w:rsid w:val="00070839"/>
    <w:rsid w:val="00071B74"/>
    <w:rsid w:val="0007244E"/>
    <w:rsid w:val="000727E1"/>
    <w:rsid w:val="000764D2"/>
    <w:rsid w:val="0007654A"/>
    <w:rsid w:val="00080ED0"/>
    <w:rsid w:val="00083CCE"/>
    <w:rsid w:val="00085B8F"/>
    <w:rsid w:val="00090481"/>
    <w:rsid w:val="000949C0"/>
    <w:rsid w:val="000A2237"/>
    <w:rsid w:val="000A2F95"/>
    <w:rsid w:val="000A3826"/>
    <w:rsid w:val="000A3EA6"/>
    <w:rsid w:val="000A5811"/>
    <w:rsid w:val="000A6C26"/>
    <w:rsid w:val="000B4155"/>
    <w:rsid w:val="000C07A6"/>
    <w:rsid w:val="000D0421"/>
    <w:rsid w:val="000D10F4"/>
    <w:rsid w:val="000D4A20"/>
    <w:rsid w:val="000D52A4"/>
    <w:rsid w:val="000E07BC"/>
    <w:rsid w:val="000E67D9"/>
    <w:rsid w:val="000F0608"/>
    <w:rsid w:val="000F1BB3"/>
    <w:rsid w:val="000F1CD4"/>
    <w:rsid w:val="000F3197"/>
    <w:rsid w:val="000F3CF0"/>
    <w:rsid w:val="000F4103"/>
    <w:rsid w:val="000F70A7"/>
    <w:rsid w:val="00100657"/>
    <w:rsid w:val="0010072B"/>
    <w:rsid w:val="00102315"/>
    <w:rsid w:val="00102CFD"/>
    <w:rsid w:val="00106211"/>
    <w:rsid w:val="00113CCA"/>
    <w:rsid w:val="001213EE"/>
    <w:rsid w:val="00122E19"/>
    <w:rsid w:val="00122F25"/>
    <w:rsid w:val="001260C0"/>
    <w:rsid w:val="00126791"/>
    <w:rsid w:val="0013043B"/>
    <w:rsid w:val="00131261"/>
    <w:rsid w:val="00135980"/>
    <w:rsid w:val="0013786F"/>
    <w:rsid w:val="00147D2E"/>
    <w:rsid w:val="001509E4"/>
    <w:rsid w:val="00150FED"/>
    <w:rsid w:val="00151044"/>
    <w:rsid w:val="00164719"/>
    <w:rsid w:val="00165D54"/>
    <w:rsid w:val="00166FC4"/>
    <w:rsid w:val="001677AC"/>
    <w:rsid w:val="001773B9"/>
    <w:rsid w:val="001804EA"/>
    <w:rsid w:val="00180E1E"/>
    <w:rsid w:val="00183415"/>
    <w:rsid w:val="00185424"/>
    <w:rsid w:val="00186607"/>
    <w:rsid w:val="001874BC"/>
    <w:rsid w:val="001875F0"/>
    <w:rsid w:val="00190A61"/>
    <w:rsid w:val="00190C01"/>
    <w:rsid w:val="00194807"/>
    <w:rsid w:val="001959E8"/>
    <w:rsid w:val="00195E0E"/>
    <w:rsid w:val="00195ECB"/>
    <w:rsid w:val="001A2215"/>
    <w:rsid w:val="001A3342"/>
    <w:rsid w:val="001A3E3D"/>
    <w:rsid w:val="001A7049"/>
    <w:rsid w:val="001A7C0D"/>
    <w:rsid w:val="001B1604"/>
    <w:rsid w:val="001B1E40"/>
    <w:rsid w:val="001B2FCF"/>
    <w:rsid w:val="001B7E4C"/>
    <w:rsid w:val="001C5B14"/>
    <w:rsid w:val="001C628F"/>
    <w:rsid w:val="001C764E"/>
    <w:rsid w:val="001D1560"/>
    <w:rsid w:val="001E1052"/>
    <w:rsid w:val="001E21B1"/>
    <w:rsid w:val="001E2F4E"/>
    <w:rsid w:val="001E2F93"/>
    <w:rsid w:val="001E4554"/>
    <w:rsid w:val="001E5A2B"/>
    <w:rsid w:val="001E61E5"/>
    <w:rsid w:val="001E67DE"/>
    <w:rsid w:val="001E799B"/>
    <w:rsid w:val="001F2159"/>
    <w:rsid w:val="001F351E"/>
    <w:rsid w:val="001F3ADB"/>
    <w:rsid w:val="001F53FD"/>
    <w:rsid w:val="001F55CE"/>
    <w:rsid w:val="001F7E14"/>
    <w:rsid w:val="00200645"/>
    <w:rsid w:val="00202460"/>
    <w:rsid w:val="00202A4A"/>
    <w:rsid w:val="00205775"/>
    <w:rsid w:val="00205B3A"/>
    <w:rsid w:val="0020702E"/>
    <w:rsid w:val="00210B8B"/>
    <w:rsid w:val="00211521"/>
    <w:rsid w:val="00211DF0"/>
    <w:rsid w:val="002130BA"/>
    <w:rsid w:val="00214863"/>
    <w:rsid w:val="002156B4"/>
    <w:rsid w:val="002244A9"/>
    <w:rsid w:val="00224FCD"/>
    <w:rsid w:val="002279AF"/>
    <w:rsid w:val="00227F8E"/>
    <w:rsid w:val="00231FA7"/>
    <w:rsid w:val="00243015"/>
    <w:rsid w:val="00247F90"/>
    <w:rsid w:val="002520F1"/>
    <w:rsid w:val="0025272B"/>
    <w:rsid w:val="00253222"/>
    <w:rsid w:val="002561E5"/>
    <w:rsid w:val="00261C13"/>
    <w:rsid w:val="00262847"/>
    <w:rsid w:val="00264BA2"/>
    <w:rsid w:val="00264C3A"/>
    <w:rsid w:val="00264C42"/>
    <w:rsid w:val="00265988"/>
    <w:rsid w:val="00271488"/>
    <w:rsid w:val="00271908"/>
    <w:rsid w:val="002778DB"/>
    <w:rsid w:val="00281BB2"/>
    <w:rsid w:val="00283D18"/>
    <w:rsid w:val="00291725"/>
    <w:rsid w:val="0029312A"/>
    <w:rsid w:val="002A03C3"/>
    <w:rsid w:val="002A3911"/>
    <w:rsid w:val="002A44BB"/>
    <w:rsid w:val="002B2157"/>
    <w:rsid w:val="002B254E"/>
    <w:rsid w:val="002B3565"/>
    <w:rsid w:val="002B3DBD"/>
    <w:rsid w:val="002B5ADB"/>
    <w:rsid w:val="002B5FEF"/>
    <w:rsid w:val="002B6EF7"/>
    <w:rsid w:val="002B6F60"/>
    <w:rsid w:val="002B72E9"/>
    <w:rsid w:val="002C00D8"/>
    <w:rsid w:val="002C0103"/>
    <w:rsid w:val="002C5427"/>
    <w:rsid w:val="002C7998"/>
    <w:rsid w:val="002C7DCC"/>
    <w:rsid w:val="002D0A0F"/>
    <w:rsid w:val="002D0BDD"/>
    <w:rsid w:val="002D1481"/>
    <w:rsid w:val="002D1D4F"/>
    <w:rsid w:val="002D274D"/>
    <w:rsid w:val="002D2DE7"/>
    <w:rsid w:val="002D4535"/>
    <w:rsid w:val="002D50C8"/>
    <w:rsid w:val="002D61B6"/>
    <w:rsid w:val="002D6D7C"/>
    <w:rsid w:val="002E2A7B"/>
    <w:rsid w:val="002E6309"/>
    <w:rsid w:val="002E7FE2"/>
    <w:rsid w:val="002F1BDA"/>
    <w:rsid w:val="002F1E53"/>
    <w:rsid w:val="002F2CAA"/>
    <w:rsid w:val="002F2E6C"/>
    <w:rsid w:val="002F6718"/>
    <w:rsid w:val="002F6850"/>
    <w:rsid w:val="0030052C"/>
    <w:rsid w:val="00303AEE"/>
    <w:rsid w:val="0030715E"/>
    <w:rsid w:val="00315481"/>
    <w:rsid w:val="0031583A"/>
    <w:rsid w:val="00317D52"/>
    <w:rsid w:val="003222BD"/>
    <w:rsid w:val="003306E1"/>
    <w:rsid w:val="003320E4"/>
    <w:rsid w:val="0033525D"/>
    <w:rsid w:val="0033661F"/>
    <w:rsid w:val="003414F3"/>
    <w:rsid w:val="00341999"/>
    <w:rsid w:val="00341E0E"/>
    <w:rsid w:val="00344E80"/>
    <w:rsid w:val="0034645B"/>
    <w:rsid w:val="00351329"/>
    <w:rsid w:val="00355404"/>
    <w:rsid w:val="0035613E"/>
    <w:rsid w:val="00356D12"/>
    <w:rsid w:val="00356FC1"/>
    <w:rsid w:val="00361F9C"/>
    <w:rsid w:val="00363DE1"/>
    <w:rsid w:val="00363EE9"/>
    <w:rsid w:val="00366263"/>
    <w:rsid w:val="00366618"/>
    <w:rsid w:val="003669E3"/>
    <w:rsid w:val="003740CC"/>
    <w:rsid w:val="00376128"/>
    <w:rsid w:val="003765B4"/>
    <w:rsid w:val="0037742E"/>
    <w:rsid w:val="00377D56"/>
    <w:rsid w:val="0038245A"/>
    <w:rsid w:val="003840E6"/>
    <w:rsid w:val="00385CFC"/>
    <w:rsid w:val="00387E0F"/>
    <w:rsid w:val="00391CD0"/>
    <w:rsid w:val="0039337A"/>
    <w:rsid w:val="0039481A"/>
    <w:rsid w:val="00396C04"/>
    <w:rsid w:val="003A04AE"/>
    <w:rsid w:val="003A3189"/>
    <w:rsid w:val="003A333A"/>
    <w:rsid w:val="003A3CA7"/>
    <w:rsid w:val="003B14BB"/>
    <w:rsid w:val="003B33BD"/>
    <w:rsid w:val="003B4CD6"/>
    <w:rsid w:val="003B569D"/>
    <w:rsid w:val="003C3B39"/>
    <w:rsid w:val="003C3C0E"/>
    <w:rsid w:val="003C3FE6"/>
    <w:rsid w:val="003C5332"/>
    <w:rsid w:val="003D269A"/>
    <w:rsid w:val="003D42A6"/>
    <w:rsid w:val="003D4F21"/>
    <w:rsid w:val="003D4FAC"/>
    <w:rsid w:val="003D76B4"/>
    <w:rsid w:val="003E18DA"/>
    <w:rsid w:val="003E4737"/>
    <w:rsid w:val="003E647E"/>
    <w:rsid w:val="003E7906"/>
    <w:rsid w:val="003F000F"/>
    <w:rsid w:val="003F0F49"/>
    <w:rsid w:val="003F171F"/>
    <w:rsid w:val="003F3C50"/>
    <w:rsid w:val="004001DC"/>
    <w:rsid w:val="00406202"/>
    <w:rsid w:val="00406A6A"/>
    <w:rsid w:val="00406B22"/>
    <w:rsid w:val="00411F15"/>
    <w:rsid w:val="00425CA1"/>
    <w:rsid w:val="00426CB4"/>
    <w:rsid w:val="00430B68"/>
    <w:rsid w:val="004328A7"/>
    <w:rsid w:val="004330AB"/>
    <w:rsid w:val="00433829"/>
    <w:rsid w:val="00434C74"/>
    <w:rsid w:val="004362A3"/>
    <w:rsid w:val="00437B20"/>
    <w:rsid w:val="00437C0C"/>
    <w:rsid w:val="00443D39"/>
    <w:rsid w:val="00446818"/>
    <w:rsid w:val="00452B6F"/>
    <w:rsid w:val="00456EB4"/>
    <w:rsid w:val="00457827"/>
    <w:rsid w:val="00460B14"/>
    <w:rsid w:val="00466E77"/>
    <w:rsid w:val="004718F3"/>
    <w:rsid w:val="00475040"/>
    <w:rsid w:val="0048024F"/>
    <w:rsid w:val="00490C06"/>
    <w:rsid w:val="00490C62"/>
    <w:rsid w:val="00491E80"/>
    <w:rsid w:val="00493D40"/>
    <w:rsid w:val="00493EE3"/>
    <w:rsid w:val="00495A8F"/>
    <w:rsid w:val="004967B6"/>
    <w:rsid w:val="00497EA6"/>
    <w:rsid w:val="004A1CC3"/>
    <w:rsid w:val="004A396C"/>
    <w:rsid w:val="004A4EDF"/>
    <w:rsid w:val="004A504B"/>
    <w:rsid w:val="004A6911"/>
    <w:rsid w:val="004A7BB8"/>
    <w:rsid w:val="004B54E0"/>
    <w:rsid w:val="004B69BF"/>
    <w:rsid w:val="004B7384"/>
    <w:rsid w:val="004C335C"/>
    <w:rsid w:val="004C3768"/>
    <w:rsid w:val="004C403B"/>
    <w:rsid w:val="004C4269"/>
    <w:rsid w:val="004C79A2"/>
    <w:rsid w:val="004D455F"/>
    <w:rsid w:val="004D5B2A"/>
    <w:rsid w:val="004D6236"/>
    <w:rsid w:val="004D627A"/>
    <w:rsid w:val="004D643A"/>
    <w:rsid w:val="004D780D"/>
    <w:rsid w:val="004D7F90"/>
    <w:rsid w:val="004E4DBB"/>
    <w:rsid w:val="004E4E41"/>
    <w:rsid w:val="004E73DB"/>
    <w:rsid w:val="004E7F1A"/>
    <w:rsid w:val="004E7F9C"/>
    <w:rsid w:val="004F32E5"/>
    <w:rsid w:val="004F3493"/>
    <w:rsid w:val="004F5143"/>
    <w:rsid w:val="004F6ADE"/>
    <w:rsid w:val="00502269"/>
    <w:rsid w:val="00503227"/>
    <w:rsid w:val="0050705B"/>
    <w:rsid w:val="005122F2"/>
    <w:rsid w:val="00512B09"/>
    <w:rsid w:val="00514045"/>
    <w:rsid w:val="00514123"/>
    <w:rsid w:val="00517FF2"/>
    <w:rsid w:val="00520978"/>
    <w:rsid w:val="005220ED"/>
    <w:rsid w:val="00533796"/>
    <w:rsid w:val="0053462A"/>
    <w:rsid w:val="00537267"/>
    <w:rsid w:val="00537343"/>
    <w:rsid w:val="00546F09"/>
    <w:rsid w:val="00551AC4"/>
    <w:rsid w:val="00553585"/>
    <w:rsid w:val="00555D75"/>
    <w:rsid w:val="00560DF0"/>
    <w:rsid w:val="00565379"/>
    <w:rsid w:val="0056759C"/>
    <w:rsid w:val="00574835"/>
    <w:rsid w:val="005765CE"/>
    <w:rsid w:val="00580051"/>
    <w:rsid w:val="00580073"/>
    <w:rsid w:val="00586ED3"/>
    <w:rsid w:val="0059513E"/>
    <w:rsid w:val="005A148A"/>
    <w:rsid w:val="005A587B"/>
    <w:rsid w:val="005A6AA4"/>
    <w:rsid w:val="005A6D9F"/>
    <w:rsid w:val="005B36A9"/>
    <w:rsid w:val="005B4250"/>
    <w:rsid w:val="005B48FF"/>
    <w:rsid w:val="005B76E8"/>
    <w:rsid w:val="005C1E32"/>
    <w:rsid w:val="005D2FFB"/>
    <w:rsid w:val="005D363F"/>
    <w:rsid w:val="005E0B13"/>
    <w:rsid w:val="005E1472"/>
    <w:rsid w:val="005F3D45"/>
    <w:rsid w:val="005F4A97"/>
    <w:rsid w:val="00600E28"/>
    <w:rsid w:val="0060136D"/>
    <w:rsid w:val="00604A1F"/>
    <w:rsid w:val="00604BEA"/>
    <w:rsid w:val="00604C15"/>
    <w:rsid w:val="00606D29"/>
    <w:rsid w:val="00611D2F"/>
    <w:rsid w:val="006158D5"/>
    <w:rsid w:val="00620F5C"/>
    <w:rsid w:val="00621048"/>
    <w:rsid w:val="00625D83"/>
    <w:rsid w:val="006266A7"/>
    <w:rsid w:val="00631C9A"/>
    <w:rsid w:val="006330AA"/>
    <w:rsid w:val="00633D26"/>
    <w:rsid w:val="00643975"/>
    <w:rsid w:val="00644B40"/>
    <w:rsid w:val="00651984"/>
    <w:rsid w:val="00651D74"/>
    <w:rsid w:val="00656BCB"/>
    <w:rsid w:val="006601A1"/>
    <w:rsid w:val="00661154"/>
    <w:rsid w:val="006623E7"/>
    <w:rsid w:val="00662B80"/>
    <w:rsid w:val="006655B7"/>
    <w:rsid w:val="00665C23"/>
    <w:rsid w:val="00670DE2"/>
    <w:rsid w:val="00670F6C"/>
    <w:rsid w:val="00676E58"/>
    <w:rsid w:val="006852C7"/>
    <w:rsid w:val="006852CE"/>
    <w:rsid w:val="006856B0"/>
    <w:rsid w:val="00686D99"/>
    <w:rsid w:val="00686DB4"/>
    <w:rsid w:val="00687D2A"/>
    <w:rsid w:val="00691D74"/>
    <w:rsid w:val="00692A82"/>
    <w:rsid w:val="00692D14"/>
    <w:rsid w:val="00694817"/>
    <w:rsid w:val="006948BF"/>
    <w:rsid w:val="006A5501"/>
    <w:rsid w:val="006B252B"/>
    <w:rsid w:val="006B3360"/>
    <w:rsid w:val="006B3832"/>
    <w:rsid w:val="006B65C7"/>
    <w:rsid w:val="006B7421"/>
    <w:rsid w:val="006C155A"/>
    <w:rsid w:val="006C1727"/>
    <w:rsid w:val="006C32FD"/>
    <w:rsid w:val="006C39CE"/>
    <w:rsid w:val="006C3CFA"/>
    <w:rsid w:val="006C51C9"/>
    <w:rsid w:val="006C6ABD"/>
    <w:rsid w:val="006D0534"/>
    <w:rsid w:val="006D0FCC"/>
    <w:rsid w:val="006D21F5"/>
    <w:rsid w:val="006D3089"/>
    <w:rsid w:val="006D4724"/>
    <w:rsid w:val="006D5B3E"/>
    <w:rsid w:val="006D78DD"/>
    <w:rsid w:val="006D7A4D"/>
    <w:rsid w:val="006E126D"/>
    <w:rsid w:val="006E1821"/>
    <w:rsid w:val="006E1FC3"/>
    <w:rsid w:val="006F064E"/>
    <w:rsid w:val="006F11AF"/>
    <w:rsid w:val="00704CE9"/>
    <w:rsid w:val="00705192"/>
    <w:rsid w:val="0070616B"/>
    <w:rsid w:val="00706295"/>
    <w:rsid w:val="00706FDA"/>
    <w:rsid w:val="0071004E"/>
    <w:rsid w:val="007107C8"/>
    <w:rsid w:val="00711F9A"/>
    <w:rsid w:val="00713810"/>
    <w:rsid w:val="0071790E"/>
    <w:rsid w:val="007205DA"/>
    <w:rsid w:val="007261CF"/>
    <w:rsid w:val="00727807"/>
    <w:rsid w:val="007303A5"/>
    <w:rsid w:val="0073049B"/>
    <w:rsid w:val="00730B3E"/>
    <w:rsid w:val="007323EA"/>
    <w:rsid w:val="0073420B"/>
    <w:rsid w:val="00736367"/>
    <w:rsid w:val="00737CE9"/>
    <w:rsid w:val="00743094"/>
    <w:rsid w:val="00746608"/>
    <w:rsid w:val="0074760E"/>
    <w:rsid w:val="00750BB8"/>
    <w:rsid w:val="007522D3"/>
    <w:rsid w:val="00753CB7"/>
    <w:rsid w:val="007547C1"/>
    <w:rsid w:val="00754ABA"/>
    <w:rsid w:val="00757769"/>
    <w:rsid w:val="00770A6D"/>
    <w:rsid w:val="007716BA"/>
    <w:rsid w:val="0077284F"/>
    <w:rsid w:val="007813EE"/>
    <w:rsid w:val="00782B0D"/>
    <w:rsid w:val="007871B7"/>
    <w:rsid w:val="0079652E"/>
    <w:rsid w:val="007A1546"/>
    <w:rsid w:val="007A228C"/>
    <w:rsid w:val="007A368E"/>
    <w:rsid w:val="007A46E3"/>
    <w:rsid w:val="007A4737"/>
    <w:rsid w:val="007A5868"/>
    <w:rsid w:val="007B04CE"/>
    <w:rsid w:val="007B10DB"/>
    <w:rsid w:val="007B3F94"/>
    <w:rsid w:val="007B6871"/>
    <w:rsid w:val="007B7A2F"/>
    <w:rsid w:val="007B7E55"/>
    <w:rsid w:val="007C3A8F"/>
    <w:rsid w:val="007C3D33"/>
    <w:rsid w:val="007C47F1"/>
    <w:rsid w:val="007C4B15"/>
    <w:rsid w:val="007C68FC"/>
    <w:rsid w:val="007D1712"/>
    <w:rsid w:val="007D294A"/>
    <w:rsid w:val="007D47D2"/>
    <w:rsid w:val="007D6920"/>
    <w:rsid w:val="007D6EC0"/>
    <w:rsid w:val="007D7E1D"/>
    <w:rsid w:val="007E0040"/>
    <w:rsid w:val="007E2D0D"/>
    <w:rsid w:val="007E602D"/>
    <w:rsid w:val="008005FB"/>
    <w:rsid w:val="00800C5C"/>
    <w:rsid w:val="00803751"/>
    <w:rsid w:val="008147CD"/>
    <w:rsid w:val="00815B68"/>
    <w:rsid w:val="00817A3A"/>
    <w:rsid w:val="00826357"/>
    <w:rsid w:val="00830019"/>
    <w:rsid w:val="00831938"/>
    <w:rsid w:val="00831979"/>
    <w:rsid w:val="00832858"/>
    <w:rsid w:val="00835A51"/>
    <w:rsid w:val="00845878"/>
    <w:rsid w:val="00851352"/>
    <w:rsid w:val="0085667D"/>
    <w:rsid w:val="00857077"/>
    <w:rsid w:val="00857364"/>
    <w:rsid w:val="00863230"/>
    <w:rsid w:val="00865BD0"/>
    <w:rsid w:val="008669A4"/>
    <w:rsid w:val="00867E13"/>
    <w:rsid w:val="008717D8"/>
    <w:rsid w:val="0087215C"/>
    <w:rsid w:val="00872E29"/>
    <w:rsid w:val="00872EEA"/>
    <w:rsid w:val="00875D25"/>
    <w:rsid w:val="008767DB"/>
    <w:rsid w:val="00880E35"/>
    <w:rsid w:val="00883D8C"/>
    <w:rsid w:val="008846A4"/>
    <w:rsid w:val="008875FE"/>
    <w:rsid w:val="00887F8E"/>
    <w:rsid w:val="008922F8"/>
    <w:rsid w:val="00894C0A"/>
    <w:rsid w:val="00895176"/>
    <w:rsid w:val="00896234"/>
    <w:rsid w:val="00897E43"/>
    <w:rsid w:val="008A1042"/>
    <w:rsid w:val="008A6F28"/>
    <w:rsid w:val="008A7576"/>
    <w:rsid w:val="008B1458"/>
    <w:rsid w:val="008B547A"/>
    <w:rsid w:val="008C07B5"/>
    <w:rsid w:val="008C18D3"/>
    <w:rsid w:val="008C222B"/>
    <w:rsid w:val="008C5738"/>
    <w:rsid w:val="008C5B35"/>
    <w:rsid w:val="008C7EAD"/>
    <w:rsid w:val="008D0CFE"/>
    <w:rsid w:val="008D6152"/>
    <w:rsid w:val="008D799B"/>
    <w:rsid w:val="008E1379"/>
    <w:rsid w:val="008E4294"/>
    <w:rsid w:val="008E48C9"/>
    <w:rsid w:val="008E4BF1"/>
    <w:rsid w:val="008E7BA9"/>
    <w:rsid w:val="008F0F81"/>
    <w:rsid w:val="008F27BF"/>
    <w:rsid w:val="008F47CD"/>
    <w:rsid w:val="008F5166"/>
    <w:rsid w:val="009006FF"/>
    <w:rsid w:val="009028EB"/>
    <w:rsid w:val="00903A01"/>
    <w:rsid w:val="00910751"/>
    <w:rsid w:val="00913F55"/>
    <w:rsid w:val="009142EC"/>
    <w:rsid w:val="009154C3"/>
    <w:rsid w:val="009227FD"/>
    <w:rsid w:val="00923540"/>
    <w:rsid w:val="00923C73"/>
    <w:rsid w:val="00926767"/>
    <w:rsid w:val="00930247"/>
    <w:rsid w:val="0093149A"/>
    <w:rsid w:val="009318C3"/>
    <w:rsid w:val="009332D2"/>
    <w:rsid w:val="00933E77"/>
    <w:rsid w:val="009361D5"/>
    <w:rsid w:val="009428A4"/>
    <w:rsid w:val="00943AF4"/>
    <w:rsid w:val="009447CE"/>
    <w:rsid w:val="00946AFC"/>
    <w:rsid w:val="00951CBC"/>
    <w:rsid w:val="00953D37"/>
    <w:rsid w:val="00962056"/>
    <w:rsid w:val="009659F4"/>
    <w:rsid w:val="00970D60"/>
    <w:rsid w:val="00972D2F"/>
    <w:rsid w:val="00980ED5"/>
    <w:rsid w:val="009819CE"/>
    <w:rsid w:val="00987054"/>
    <w:rsid w:val="0099011B"/>
    <w:rsid w:val="0099063D"/>
    <w:rsid w:val="0099390E"/>
    <w:rsid w:val="00994B39"/>
    <w:rsid w:val="009954B6"/>
    <w:rsid w:val="009960E5"/>
    <w:rsid w:val="00996EA7"/>
    <w:rsid w:val="009A17AA"/>
    <w:rsid w:val="009A36D8"/>
    <w:rsid w:val="009A7ADC"/>
    <w:rsid w:val="009A7BCB"/>
    <w:rsid w:val="009B0D30"/>
    <w:rsid w:val="009B165A"/>
    <w:rsid w:val="009B3F15"/>
    <w:rsid w:val="009B7048"/>
    <w:rsid w:val="009C19B7"/>
    <w:rsid w:val="009C20D9"/>
    <w:rsid w:val="009C318E"/>
    <w:rsid w:val="009C5ABB"/>
    <w:rsid w:val="009D0EBC"/>
    <w:rsid w:val="009D2B61"/>
    <w:rsid w:val="009D31E1"/>
    <w:rsid w:val="009D4E28"/>
    <w:rsid w:val="009D7C51"/>
    <w:rsid w:val="009E196C"/>
    <w:rsid w:val="009E2304"/>
    <w:rsid w:val="009E4B0C"/>
    <w:rsid w:val="009E692D"/>
    <w:rsid w:val="009E6DC2"/>
    <w:rsid w:val="009F36BF"/>
    <w:rsid w:val="00A05649"/>
    <w:rsid w:val="00A10673"/>
    <w:rsid w:val="00A111B6"/>
    <w:rsid w:val="00A127C7"/>
    <w:rsid w:val="00A26D27"/>
    <w:rsid w:val="00A27A24"/>
    <w:rsid w:val="00A30C4B"/>
    <w:rsid w:val="00A3250A"/>
    <w:rsid w:val="00A3439F"/>
    <w:rsid w:val="00A376EE"/>
    <w:rsid w:val="00A37B60"/>
    <w:rsid w:val="00A42A99"/>
    <w:rsid w:val="00A4399F"/>
    <w:rsid w:val="00A453AF"/>
    <w:rsid w:val="00A5151A"/>
    <w:rsid w:val="00A572D3"/>
    <w:rsid w:val="00A57E0A"/>
    <w:rsid w:val="00A60F0A"/>
    <w:rsid w:val="00A6273B"/>
    <w:rsid w:val="00A627E9"/>
    <w:rsid w:val="00A75083"/>
    <w:rsid w:val="00A808EC"/>
    <w:rsid w:val="00A82371"/>
    <w:rsid w:val="00A823F6"/>
    <w:rsid w:val="00A8719E"/>
    <w:rsid w:val="00A93A20"/>
    <w:rsid w:val="00A93EE2"/>
    <w:rsid w:val="00A96E71"/>
    <w:rsid w:val="00AA0A89"/>
    <w:rsid w:val="00AA156B"/>
    <w:rsid w:val="00AA516F"/>
    <w:rsid w:val="00AA5368"/>
    <w:rsid w:val="00AA6429"/>
    <w:rsid w:val="00AB103B"/>
    <w:rsid w:val="00AC01AA"/>
    <w:rsid w:val="00AC499D"/>
    <w:rsid w:val="00AC4F72"/>
    <w:rsid w:val="00AC7A1E"/>
    <w:rsid w:val="00AD022C"/>
    <w:rsid w:val="00AD5E85"/>
    <w:rsid w:val="00AD78CF"/>
    <w:rsid w:val="00AE009C"/>
    <w:rsid w:val="00AE1AB6"/>
    <w:rsid w:val="00AE54E3"/>
    <w:rsid w:val="00AE5C2E"/>
    <w:rsid w:val="00AF0BC9"/>
    <w:rsid w:val="00AF0F1C"/>
    <w:rsid w:val="00AF39FB"/>
    <w:rsid w:val="00AF5948"/>
    <w:rsid w:val="00AF741A"/>
    <w:rsid w:val="00B01ADB"/>
    <w:rsid w:val="00B02236"/>
    <w:rsid w:val="00B04161"/>
    <w:rsid w:val="00B056F9"/>
    <w:rsid w:val="00B05F06"/>
    <w:rsid w:val="00B104EC"/>
    <w:rsid w:val="00B10ABA"/>
    <w:rsid w:val="00B11E3D"/>
    <w:rsid w:val="00B131AA"/>
    <w:rsid w:val="00B14D2C"/>
    <w:rsid w:val="00B1668E"/>
    <w:rsid w:val="00B17E82"/>
    <w:rsid w:val="00B20CCE"/>
    <w:rsid w:val="00B22CD5"/>
    <w:rsid w:val="00B25548"/>
    <w:rsid w:val="00B300F3"/>
    <w:rsid w:val="00B3293B"/>
    <w:rsid w:val="00B33139"/>
    <w:rsid w:val="00B331CF"/>
    <w:rsid w:val="00B34C1A"/>
    <w:rsid w:val="00B4575A"/>
    <w:rsid w:val="00B46B2C"/>
    <w:rsid w:val="00B5102A"/>
    <w:rsid w:val="00B5114B"/>
    <w:rsid w:val="00B5135D"/>
    <w:rsid w:val="00B575BA"/>
    <w:rsid w:val="00B601A6"/>
    <w:rsid w:val="00B6630C"/>
    <w:rsid w:val="00B71608"/>
    <w:rsid w:val="00B73F9E"/>
    <w:rsid w:val="00B76429"/>
    <w:rsid w:val="00B83BF3"/>
    <w:rsid w:val="00B85786"/>
    <w:rsid w:val="00B86471"/>
    <w:rsid w:val="00B9077B"/>
    <w:rsid w:val="00B94152"/>
    <w:rsid w:val="00B956D4"/>
    <w:rsid w:val="00B97446"/>
    <w:rsid w:val="00BA3DCC"/>
    <w:rsid w:val="00BA5C44"/>
    <w:rsid w:val="00BA7432"/>
    <w:rsid w:val="00BA7AA7"/>
    <w:rsid w:val="00BB2217"/>
    <w:rsid w:val="00BB2764"/>
    <w:rsid w:val="00BC1AA0"/>
    <w:rsid w:val="00BC1B8D"/>
    <w:rsid w:val="00BC2495"/>
    <w:rsid w:val="00BC314A"/>
    <w:rsid w:val="00BC7EB9"/>
    <w:rsid w:val="00BD01A8"/>
    <w:rsid w:val="00BD22AF"/>
    <w:rsid w:val="00BD2643"/>
    <w:rsid w:val="00BD2E65"/>
    <w:rsid w:val="00BD408E"/>
    <w:rsid w:val="00BD49F4"/>
    <w:rsid w:val="00BD56B1"/>
    <w:rsid w:val="00BD6558"/>
    <w:rsid w:val="00BD72FB"/>
    <w:rsid w:val="00BD7377"/>
    <w:rsid w:val="00BE7258"/>
    <w:rsid w:val="00BF2AD7"/>
    <w:rsid w:val="00BF2F76"/>
    <w:rsid w:val="00BF3022"/>
    <w:rsid w:val="00BF3214"/>
    <w:rsid w:val="00BF5573"/>
    <w:rsid w:val="00C00501"/>
    <w:rsid w:val="00C04A90"/>
    <w:rsid w:val="00C108B6"/>
    <w:rsid w:val="00C10EE4"/>
    <w:rsid w:val="00C12C5E"/>
    <w:rsid w:val="00C12E1F"/>
    <w:rsid w:val="00C14056"/>
    <w:rsid w:val="00C15867"/>
    <w:rsid w:val="00C1759D"/>
    <w:rsid w:val="00C20185"/>
    <w:rsid w:val="00C21B35"/>
    <w:rsid w:val="00C2296D"/>
    <w:rsid w:val="00C23155"/>
    <w:rsid w:val="00C30065"/>
    <w:rsid w:val="00C30EB9"/>
    <w:rsid w:val="00C34924"/>
    <w:rsid w:val="00C36BFE"/>
    <w:rsid w:val="00C408A9"/>
    <w:rsid w:val="00C40C41"/>
    <w:rsid w:val="00C425B5"/>
    <w:rsid w:val="00C4499A"/>
    <w:rsid w:val="00C457A7"/>
    <w:rsid w:val="00C45885"/>
    <w:rsid w:val="00C50465"/>
    <w:rsid w:val="00C50F22"/>
    <w:rsid w:val="00C51406"/>
    <w:rsid w:val="00C521D3"/>
    <w:rsid w:val="00C52265"/>
    <w:rsid w:val="00C57971"/>
    <w:rsid w:val="00C62CE9"/>
    <w:rsid w:val="00C65BD7"/>
    <w:rsid w:val="00C65DAF"/>
    <w:rsid w:val="00C66D50"/>
    <w:rsid w:val="00C70926"/>
    <w:rsid w:val="00C75997"/>
    <w:rsid w:val="00C75AB8"/>
    <w:rsid w:val="00C76BA4"/>
    <w:rsid w:val="00C83A48"/>
    <w:rsid w:val="00C85865"/>
    <w:rsid w:val="00C85E85"/>
    <w:rsid w:val="00C8672E"/>
    <w:rsid w:val="00C92612"/>
    <w:rsid w:val="00C926E1"/>
    <w:rsid w:val="00C927A5"/>
    <w:rsid w:val="00C968EF"/>
    <w:rsid w:val="00C96E8D"/>
    <w:rsid w:val="00C97B2E"/>
    <w:rsid w:val="00CA1A63"/>
    <w:rsid w:val="00CA2C98"/>
    <w:rsid w:val="00CA2EAE"/>
    <w:rsid w:val="00CA30C7"/>
    <w:rsid w:val="00CA4AC1"/>
    <w:rsid w:val="00CA59FB"/>
    <w:rsid w:val="00CB0316"/>
    <w:rsid w:val="00CB0B11"/>
    <w:rsid w:val="00CB426A"/>
    <w:rsid w:val="00CB5354"/>
    <w:rsid w:val="00CC3C9E"/>
    <w:rsid w:val="00CC6A14"/>
    <w:rsid w:val="00CC70A3"/>
    <w:rsid w:val="00CD09C3"/>
    <w:rsid w:val="00CD4442"/>
    <w:rsid w:val="00CD53C3"/>
    <w:rsid w:val="00CD574E"/>
    <w:rsid w:val="00CD71F7"/>
    <w:rsid w:val="00CE1838"/>
    <w:rsid w:val="00CE18DC"/>
    <w:rsid w:val="00CE37B3"/>
    <w:rsid w:val="00CE4C22"/>
    <w:rsid w:val="00CE76E5"/>
    <w:rsid w:val="00CF2969"/>
    <w:rsid w:val="00CF2BB8"/>
    <w:rsid w:val="00CF2CF1"/>
    <w:rsid w:val="00CF31B9"/>
    <w:rsid w:val="00CF41EC"/>
    <w:rsid w:val="00CF5D04"/>
    <w:rsid w:val="00D03211"/>
    <w:rsid w:val="00D04DE4"/>
    <w:rsid w:val="00D063F1"/>
    <w:rsid w:val="00D1284D"/>
    <w:rsid w:val="00D14F22"/>
    <w:rsid w:val="00D162DF"/>
    <w:rsid w:val="00D31A8B"/>
    <w:rsid w:val="00D33A2A"/>
    <w:rsid w:val="00D350DA"/>
    <w:rsid w:val="00D416A9"/>
    <w:rsid w:val="00D42F15"/>
    <w:rsid w:val="00D46241"/>
    <w:rsid w:val="00D4741C"/>
    <w:rsid w:val="00D47A2B"/>
    <w:rsid w:val="00D50A05"/>
    <w:rsid w:val="00D56BE4"/>
    <w:rsid w:val="00D57918"/>
    <w:rsid w:val="00D64A06"/>
    <w:rsid w:val="00D65605"/>
    <w:rsid w:val="00D67581"/>
    <w:rsid w:val="00D70423"/>
    <w:rsid w:val="00D7395E"/>
    <w:rsid w:val="00D73D22"/>
    <w:rsid w:val="00D73DC6"/>
    <w:rsid w:val="00D74C1A"/>
    <w:rsid w:val="00D754C1"/>
    <w:rsid w:val="00D75DC9"/>
    <w:rsid w:val="00D75E0D"/>
    <w:rsid w:val="00D76A77"/>
    <w:rsid w:val="00D77239"/>
    <w:rsid w:val="00D77393"/>
    <w:rsid w:val="00D77A35"/>
    <w:rsid w:val="00D81B3E"/>
    <w:rsid w:val="00D859B6"/>
    <w:rsid w:val="00D860B6"/>
    <w:rsid w:val="00D86E5F"/>
    <w:rsid w:val="00D872BD"/>
    <w:rsid w:val="00D87C33"/>
    <w:rsid w:val="00D90C70"/>
    <w:rsid w:val="00D90E49"/>
    <w:rsid w:val="00D931B4"/>
    <w:rsid w:val="00D94603"/>
    <w:rsid w:val="00D94E91"/>
    <w:rsid w:val="00D96ADE"/>
    <w:rsid w:val="00DA0CE2"/>
    <w:rsid w:val="00DA2279"/>
    <w:rsid w:val="00DA2D2B"/>
    <w:rsid w:val="00DA4BAF"/>
    <w:rsid w:val="00DA7A07"/>
    <w:rsid w:val="00DB06A8"/>
    <w:rsid w:val="00DB0A90"/>
    <w:rsid w:val="00DB233C"/>
    <w:rsid w:val="00DC0B2C"/>
    <w:rsid w:val="00DC0F1A"/>
    <w:rsid w:val="00DC1C1B"/>
    <w:rsid w:val="00DC50A1"/>
    <w:rsid w:val="00DC52F3"/>
    <w:rsid w:val="00DC6A10"/>
    <w:rsid w:val="00DD108E"/>
    <w:rsid w:val="00DD79E2"/>
    <w:rsid w:val="00DE657E"/>
    <w:rsid w:val="00DF0373"/>
    <w:rsid w:val="00DF2292"/>
    <w:rsid w:val="00DF4704"/>
    <w:rsid w:val="00DF6AE6"/>
    <w:rsid w:val="00E024AA"/>
    <w:rsid w:val="00E104B0"/>
    <w:rsid w:val="00E15C77"/>
    <w:rsid w:val="00E205E1"/>
    <w:rsid w:val="00E21245"/>
    <w:rsid w:val="00E231E4"/>
    <w:rsid w:val="00E250F1"/>
    <w:rsid w:val="00E278A1"/>
    <w:rsid w:val="00E30C5D"/>
    <w:rsid w:val="00E30E47"/>
    <w:rsid w:val="00E352F1"/>
    <w:rsid w:val="00E3550D"/>
    <w:rsid w:val="00E36725"/>
    <w:rsid w:val="00E43CB1"/>
    <w:rsid w:val="00E45501"/>
    <w:rsid w:val="00E461FD"/>
    <w:rsid w:val="00E52838"/>
    <w:rsid w:val="00E614E0"/>
    <w:rsid w:val="00E73F7F"/>
    <w:rsid w:val="00E753E8"/>
    <w:rsid w:val="00E75EE5"/>
    <w:rsid w:val="00E85409"/>
    <w:rsid w:val="00E90778"/>
    <w:rsid w:val="00E9140F"/>
    <w:rsid w:val="00E932B3"/>
    <w:rsid w:val="00E93798"/>
    <w:rsid w:val="00E9580A"/>
    <w:rsid w:val="00EA0B3C"/>
    <w:rsid w:val="00EA429F"/>
    <w:rsid w:val="00EA45A2"/>
    <w:rsid w:val="00EA4B70"/>
    <w:rsid w:val="00EA4F9E"/>
    <w:rsid w:val="00EA63CA"/>
    <w:rsid w:val="00EA6D3B"/>
    <w:rsid w:val="00EB00AD"/>
    <w:rsid w:val="00EB136C"/>
    <w:rsid w:val="00EB20FC"/>
    <w:rsid w:val="00EB2133"/>
    <w:rsid w:val="00EB2FD1"/>
    <w:rsid w:val="00EB480E"/>
    <w:rsid w:val="00EB55C1"/>
    <w:rsid w:val="00EB5EC6"/>
    <w:rsid w:val="00EB7DEF"/>
    <w:rsid w:val="00EB7FC9"/>
    <w:rsid w:val="00EC1888"/>
    <w:rsid w:val="00EC52BD"/>
    <w:rsid w:val="00EC5FE3"/>
    <w:rsid w:val="00ED09E5"/>
    <w:rsid w:val="00ED1BCF"/>
    <w:rsid w:val="00ED20E3"/>
    <w:rsid w:val="00ED27E8"/>
    <w:rsid w:val="00ED2BF9"/>
    <w:rsid w:val="00ED692D"/>
    <w:rsid w:val="00ED7137"/>
    <w:rsid w:val="00EE0E42"/>
    <w:rsid w:val="00EE3008"/>
    <w:rsid w:val="00EF0651"/>
    <w:rsid w:val="00EF06EA"/>
    <w:rsid w:val="00F0246D"/>
    <w:rsid w:val="00F025A8"/>
    <w:rsid w:val="00F1427F"/>
    <w:rsid w:val="00F1555D"/>
    <w:rsid w:val="00F177B8"/>
    <w:rsid w:val="00F21088"/>
    <w:rsid w:val="00F23C07"/>
    <w:rsid w:val="00F242EE"/>
    <w:rsid w:val="00F25300"/>
    <w:rsid w:val="00F25D78"/>
    <w:rsid w:val="00F31C2E"/>
    <w:rsid w:val="00F327E7"/>
    <w:rsid w:val="00F35746"/>
    <w:rsid w:val="00F367A0"/>
    <w:rsid w:val="00F370A5"/>
    <w:rsid w:val="00F37AE4"/>
    <w:rsid w:val="00F4445A"/>
    <w:rsid w:val="00F447C7"/>
    <w:rsid w:val="00F44FBC"/>
    <w:rsid w:val="00F459B4"/>
    <w:rsid w:val="00F47056"/>
    <w:rsid w:val="00F5211B"/>
    <w:rsid w:val="00F5236C"/>
    <w:rsid w:val="00F554A9"/>
    <w:rsid w:val="00F60A12"/>
    <w:rsid w:val="00F62606"/>
    <w:rsid w:val="00F643D6"/>
    <w:rsid w:val="00F6480A"/>
    <w:rsid w:val="00F707B5"/>
    <w:rsid w:val="00F716FD"/>
    <w:rsid w:val="00F7376A"/>
    <w:rsid w:val="00F73CDE"/>
    <w:rsid w:val="00F7423C"/>
    <w:rsid w:val="00F757B9"/>
    <w:rsid w:val="00F80355"/>
    <w:rsid w:val="00F85613"/>
    <w:rsid w:val="00F873FC"/>
    <w:rsid w:val="00F87996"/>
    <w:rsid w:val="00F87C43"/>
    <w:rsid w:val="00F92C77"/>
    <w:rsid w:val="00F941E1"/>
    <w:rsid w:val="00F960B6"/>
    <w:rsid w:val="00FA25D8"/>
    <w:rsid w:val="00FA3FB3"/>
    <w:rsid w:val="00FA5722"/>
    <w:rsid w:val="00FB0C81"/>
    <w:rsid w:val="00FB581A"/>
    <w:rsid w:val="00FB6A62"/>
    <w:rsid w:val="00FB6AEB"/>
    <w:rsid w:val="00FC2200"/>
    <w:rsid w:val="00FC2540"/>
    <w:rsid w:val="00FC2FA3"/>
    <w:rsid w:val="00FC3B02"/>
    <w:rsid w:val="00FC782D"/>
    <w:rsid w:val="00FE26E2"/>
    <w:rsid w:val="00FE3AD3"/>
    <w:rsid w:val="00FF0204"/>
    <w:rsid w:val="00FF17BC"/>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87B"/>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fr-CA"/>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437B20"/>
    <w:pPr>
      <w:ind w:left="720"/>
      <w:contextualSpacing/>
    </w:pPr>
  </w:style>
  <w:style w:type="paragraph" w:styleId="Revision">
    <w:name w:val="Revision"/>
    <w:hidden/>
    <w:uiPriority w:val="99"/>
    <w:semiHidden/>
    <w:rsid w:val="00437B20"/>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7B20"/>
    <w:rPr>
      <w:sz w:val="22"/>
      <w:szCs w:val="22"/>
      <w:lang w:val="fr-CA"/>
    </w:rPr>
  </w:style>
  <w:style w:type="character" w:customStyle="1" w:styleId="ListParagraphChar">
    <w:name w:val="List Paragraph Char"/>
    <w:basedOn w:val="DefaultParagraphFont"/>
    <w:link w:val="ListParagraph"/>
    <w:uiPriority w:val="34"/>
    <w:locked/>
    <w:rsid w:val="009E692D"/>
    <w:rPr>
      <w:sz w:val="22"/>
      <w:szCs w:val="22"/>
      <w:lang w:val="fr-CA"/>
    </w:rPr>
  </w:style>
  <w:style w:type="paragraph" w:customStyle="1" w:styleId="BodyText21">
    <w:name w:val="Body Text 21"/>
    <w:basedOn w:val="Normal"/>
    <w:rsid w:val="00B10ABA"/>
    <w:pPr>
      <w:widowControl w:val="0"/>
      <w:tabs>
        <w:tab w:val="left" w:pos="-850"/>
        <w:tab w:val="left" w:pos="1"/>
        <w:tab w:val="left" w:pos="850"/>
        <w:tab w:val="left" w:pos="1701"/>
        <w:tab w:val="left" w:pos="2552"/>
        <w:tab w:val="left" w:pos="3403"/>
        <w:tab w:val="left" w:pos="4254"/>
        <w:tab w:val="left" w:pos="5104"/>
        <w:tab w:val="left" w:pos="5955"/>
        <w:tab w:val="left" w:pos="6806"/>
        <w:tab w:val="left" w:pos="7657"/>
        <w:tab w:val="left" w:pos="8508"/>
        <w:tab w:val="left" w:pos="9358"/>
        <w:tab w:val="left" w:pos="10209"/>
        <w:tab w:val="left" w:pos="11060"/>
        <w:tab w:val="left" w:pos="11911"/>
        <w:tab w:val="left" w:pos="12762"/>
        <w:tab w:val="left" w:pos="13612"/>
        <w:tab w:val="left" w:pos="14463"/>
        <w:tab w:val="left" w:pos="15314"/>
        <w:tab w:val="left" w:pos="16165"/>
        <w:tab w:val="left" w:pos="17016"/>
        <w:tab w:val="left" w:pos="17866"/>
        <w:tab w:val="left" w:pos="18717"/>
        <w:tab w:val="left" w:pos="19568"/>
        <w:tab w:val="left" w:pos="20419"/>
        <w:tab w:val="left" w:pos="21270"/>
        <w:tab w:val="left" w:pos="22120"/>
        <w:tab w:val="left" w:pos="22971"/>
        <w:tab w:val="left" w:pos="23822"/>
        <w:tab w:val="left" w:pos="24673"/>
        <w:tab w:val="left" w:pos="25524"/>
        <w:tab w:val="left" w:pos="26374"/>
        <w:tab w:val="left" w:pos="27225"/>
        <w:tab w:val="left" w:pos="28076"/>
        <w:tab w:val="left" w:pos="28927"/>
        <w:tab w:val="left" w:pos="29778"/>
        <w:tab w:val="left" w:pos="30628"/>
        <w:tab w:val="left" w:pos="31479"/>
      </w:tabs>
    </w:pPr>
    <w:rPr>
      <w:rFonts w:eastAsia="MS Mincho"/>
      <w:sz w:val="20"/>
      <w:szCs w:val="20"/>
    </w:rPr>
  </w:style>
  <w:style w:type="paragraph" w:customStyle="1" w:styleId="Default">
    <w:name w:val="Default"/>
    <w:rsid w:val="00F177B8"/>
    <w:pPr>
      <w:autoSpaceDE w:val="0"/>
      <w:autoSpaceDN w:val="0"/>
      <w:adjustRightInd w:val="0"/>
    </w:pPr>
    <w:rPr>
      <w:rFonts w:ascii="Calibri" w:hAnsi="Calibri" w:cs="Calibri"/>
      <w:color w:val="000000"/>
      <w:sz w:val="24"/>
      <w:szCs w:val="24"/>
    </w:rPr>
  </w:style>
  <w:style w:type="paragraph" w:styleId="NormalWeb">
    <w:name w:val="Normal (Web)"/>
    <w:basedOn w:val="Normal"/>
    <w:uiPriority w:val="99"/>
    <w:semiHidden/>
    <w:unhideWhenUsed/>
    <w:rsid w:val="004B69BF"/>
    <w:pPr>
      <w:spacing w:before="100" w:beforeAutospacing="1" w:after="100" w:afterAutospacing="1"/>
      <w:jc w:val="left"/>
    </w:pPr>
    <w:rPr>
      <w:sz w:val="24"/>
      <w:szCs w:val="24"/>
      <w:lang w:eastAsia="en-GB"/>
    </w:rPr>
  </w:style>
  <w:style w:type="character" w:customStyle="1" w:styleId="cf01">
    <w:name w:val="cf01"/>
    <w:basedOn w:val="DefaultParagraphFont"/>
    <w:rsid w:val="00495A8F"/>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95248787">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80570408">
      <w:bodyDiv w:val="1"/>
      <w:marLeft w:val="0"/>
      <w:marRight w:val="0"/>
      <w:marTop w:val="0"/>
      <w:marBottom w:val="0"/>
      <w:divBdr>
        <w:top w:val="none" w:sz="0" w:space="0" w:color="auto"/>
        <w:left w:val="none" w:sz="0" w:space="0" w:color="auto"/>
        <w:bottom w:val="none" w:sz="0" w:space="0" w:color="auto"/>
        <w:right w:val="none" w:sz="0" w:space="0" w:color="auto"/>
      </w:divBdr>
    </w:div>
    <w:div w:id="2081057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DDDAAB2DD85EE4DA1A734027396EA35" ma:contentTypeVersion="5" ma:contentTypeDescription="Create a new document." ma:contentTypeScope="" ma:versionID="cf447db865f0fded883e5d962b3d957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ECC7798-8D4F-FA4F-AAE4-7D99E7AF802E}"/>
</file>

<file path=customXml/itemProps2.xml><?xml version="1.0" encoding="utf-8"?>
<ds:datastoreItem xmlns:ds="http://schemas.openxmlformats.org/officeDocument/2006/customXml" ds:itemID="{7194C70A-892E-4BA2-A553-AF74FCD69A16}"/>
</file>

<file path=customXml/itemProps3.xml><?xml version="1.0" encoding="utf-8"?>
<ds:datastoreItem xmlns:ds="http://schemas.openxmlformats.org/officeDocument/2006/customXml" ds:itemID="{25490A33-9E05-4EE4-A5E3-0B333E77BFFC}"/>
</file>

<file path=customXml/itemProps4.xml><?xml version="1.0" encoding="utf-8"?>
<ds:datastoreItem xmlns:ds="http://schemas.openxmlformats.org/officeDocument/2006/customXml" ds:itemID="{F5E5107C-A3A7-437A-B03D-53E8323217F9}"/>
</file>

<file path=docProps/app.xml><?xml version="1.0" encoding="utf-8"?>
<Properties xmlns="http://schemas.openxmlformats.org/officeDocument/2006/extended-properties" xmlns:vt="http://schemas.openxmlformats.org/officeDocument/2006/docPropsVTypes">
  <Template>Normal</Template>
  <TotalTime>2</TotalTime>
  <Pages>9</Pages>
  <Words>4117</Words>
  <Characters>21693</Characters>
  <Application>Microsoft Office Word</Application>
  <DocSecurity>0</DocSecurity>
  <Lines>180</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Monténégro</vt:lpstr>
      <vt:lpstr>Project proposal: Montenegro</vt:lpstr>
    </vt:vector>
  </TitlesOfParts>
  <Company>UNMFS</Company>
  <LinksUpToDate>false</LinksUpToDate>
  <CharactersWithSpaces>25759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Monténégro</dc:title>
  <dc:subject>91st</dc:subject>
  <dc:creator>Dominika Anna Suwik</dc:creator>
  <cp:keywords>91st ExCom</cp:keywords>
  <dc:description>MV</dc:description>
  <cp:lastModifiedBy>HBE</cp:lastModifiedBy>
  <cp:revision>3</cp:revision>
  <cp:lastPrinted>2001-05-26T16:40:00Z</cp:lastPrinted>
  <dcterms:created xsi:type="dcterms:W3CDTF">2022-11-10T10:55:00Z</dcterms:created>
  <dcterms:modified xsi:type="dcterms:W3CDTF">2022-11-23T22:50:00Z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UNEP/OzL.Pro/ExCom/91/46</vt:lpwstr>
  </property>
  <property fmtid="{D5CDD505-2E9C-101B-9397-08002B2CF9AE}" pid="3" name="Revision date">
    <vt:lpwstr>11/10/2022</vt:lpwstr>
  </property>
  <property fmtid="{D5CDD505-2E9C-101B-9397-08002B2CF9AE}" pid="4" name="_DocHome">
    <vt:i4>1709682062</vt:i4>
  </property>
  <property fmtid="{D5CDD505-2E9C-101B-9397-08002B2CF9AE}" pid="5" name="ContentTypeId">
    <vt:lpwstr>0x010100BDDDAAB2DD85EE4DA1A734027396EA35</vt:lpwstr>
  </property>
</Properties>
</file>