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B69C7" w:rsidTr="009C59F7">
        <w:trPr>
          <w:trHeight w:val="720"/>
        </w:trPr>
        <w:tc>
          <w:tcPr>
            <w:tcW w:w="5490" w:type="dxa"/>
            <w:gridSpan w:val="2"/>
            <w:tcBorders>
              <w:bottom w:val="single" w:sz="18" w:space="0" w:color="auto"/>
            </w:tcBorders>
          </w:tcPr>
          <w:p w:rsidR="00C15867" w:rsidRPr="00AB69C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AB69C7">
              <w:rPr>
                <w:rFonts w:ascii="Univers" w:hAnsi="Univers"/>
                <w:b/>
                <w:sz w:val="28"/>
                <w:szCs w:val="28"/>
                <w:lang w:val="en-CA"/>
              </w:rPr>
              <w:t>UNITED</w:t>
            </w:r>
            <w:r w:rsidRPr="00AB69C7">
              <w:rPr>
                <w:rFonts w:ascii="Univers" w:hAnsi="Univers"/>
                <w:b/>
                <w:sz w:val="28"/>
                <w:szCs w:val="28"/>
                <w:lang w:val="en-CA"/>
              </w:rPr>
              <w:br/>
              <w:t>NATIONS</w:t>
            </w:r>
          </w:p>
        </w:tc>
        <w:tc>
          <w:tcPr>
            <w:tcW w:w="4590" w:type="dxa"/>
            <w:tcBorders>
              <w:bottom w:val="single" w:sz="18" w:space="0" w:color="auto"/>
            </w:tcBorders>
          </w:tcPr>
          <w:p w:rsidR="00C15867" w:rsidRPr="00AB69C7" w:rsidRDefault="00C15867" w:rsidP="009C59F7">
            <w:pPr>
              <w:jc w:val="right"/>
              <w:rPr>
                <w:sz w:val="52"/>
                <w:szCs w:val="52"/>
                <w:lang w:val="en-CA"/>
              </w:rPr>
            </w:pPr>
            <w:r w:rsidRPr="00AB69C7">
              <w:rPr>
                <w:rFonts w:ascii="Univers Bold" w:hAnsi="Univers Bold"/>
                <w:b/>
                <w:sz w:val="72"/>
                <w:lang w:val="en-CA"/>
              </w:rPr>
              <w:t>EP</w:t>
            </w:r>
          </w:p>
        </w:tc>
      </w:tr>
      <w:tr w:rsidR="00C15867" w:rsidRPr="00AB69C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AB69C7" w:rsidRDefault="00C15867" w:rsidP="009C59F7">
            <w:pPr>
              <w:spacing w:before="120"/>
              <w:rPr>
                <w:lang w:val="en-CA"/>
              </w:rPr>
            </w:pPr>
            <w:r w:rsidRPr="00AB69C7">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AB69C7">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AB69C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B69C7">
              <w:rPr>
                <w:rFonts w:ascii="Univers" w:hAnsi="Univers"/>
                <w:b/>
                <w:sz w:val="32"/>
                <w:lang w:val="en-CA"/>
              </w:rPr>
              <w:t>United Nations</w:t>
            </w:r>
          </w:p>
          <w:p w:rsidR="00C15867" w:rsidRPr="00AB69C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B69C7">
              <w:rPr>
                <w:rFonts w:ascii="Univers" w:hAnsi="Univers"/>
                <w:b/>
                <w:sz w:val="32"/>
                <w:lang w:val="en-CA"/>
              </w:rPr>
              <w:t>Environment</w:t>
            </w:r>
          </w:p>
          <w:p w:rsidR="00C15867" w:rsidRPr="00AB69C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B69C7">
              <w:rPr>
                <w:rFonts w:ascii="Univers" w:hAnsi="Univers"/>
                <w:b/>
                <w:sz w:val="32"/>
                <w:lang w:val="en-CA"/>
              </w:rPr>
              <w:t>Programme</w:t>
            </w:r>
          </w:p>
          <w:p w:rsidR="00C15867" w:rsidRPr="00AB69C7" w:rsidRDefault="00C15867" w:rsidP="009C59F7">
            <w:pPr>
              <w:spacing w:before="720"/>
              <w:ind w:left="158"/>
              <w:rPr>
                <w:lang w:val="en-CA"/>
              </w:rPr>
            </w:pPr>
          </w:p>
        </w:tc>
        <w:tc>
          <w:tcPr>
            <w:tcW w:w="4590" w:type="dxa"/>
            <w:tcBorders>
              <w:top w:val="nil"/>
              <w:left w:val="nil"/>
              <w:bottom w:val="single" w:sz="36" w:space="0" w:color="auto"/>
              <w:right w:val="nil"/>
            </w:tcBorders>
          </w:tcPr>
          <w:p w:rsidR="00C15867" w:rsidRPr="00AB69C7" w:rsidRDefault="00C15867" w:rsidP="009C59F7">
            <w:pPr>
              <w:rPr>
                <w:lang w:val="en-CA"/>
              </w:rPr>
            </w:pPr>
            <w:r w:rsidRPr="00AB69C7">
              <w:rPr>
                <w:lang w:val="en-CA"/>
              </w:rPr>
              <w:t>Distr.</w:t>
            </w:r>
          </w:p>
          <w:p w:rsidR="00923540" w:rsidRPr="00AB69C7" w:rsidRDefault="00923540" w:rsidP="00923540">
            <w:pPr>
              <w:rPr>
                <w:lang w:val="en-CA"/>
              </w:rPr>
            </w:pPr>
            <w:r w:rsidRPr="00AB69C7">
              <w:rPr>
                <w:lang w:val="en-CA"/>
              </w:rPr>
              <w:t>GENERAL</w:t>
            </w:r>
          </w:p>
          <w:p w:rsidR="00C15867" w:rsidRPr="00AB69C7" w:rsidRDefault="00C15867" w:rsidP="009C59F7">
            <w:pPr>
              <w:rPr>
                <w:lang w:val="en-CA"/>
              </w:rPr>
            </w:pPr>
          </w:p>
          <w:p w:rsidR="00C15867" w:rsidRPr="00AB69C7" w:rsidRDefault="00C15867" w:rsidP="009C59F7">
            <w:pPr>
              <w:rPr>
                <w:lang w:val="en-CA"/>
              </w:rPr>
            </w:pPr>
          </w:p>
          <w:p w:rsidR="00C15867" w:rsidRPr="00AB69C7" w:rsidRDefault="00AD20F3" w:rsidP="009C59F7">
            <w:pPr>
              <w:rPr>
                <w:lang w:val="en-CA"/>
              </w:rPr>
            </w:pPr>
            <w:r w:rsidRPr="00AB69C7">
              <w:rPr>
                <w:lang w:val="en-CA"/>
              </w:rPr>
              <w:fldChar w:fldCharType="begin"/>
            </w:r>
            <w:r w:rsidRPr="00AB69C7">
              <w:rPr>
                <w:lang w:val="en-CA"/>
              </w:rPr>
              <w:instrText xml:space="preserve"> DOCPROPERTY "Document number"  \* MERGEFORMAT </w:instrText>
            </w:r>
            <w:r w:rsidRPr="00AB69C7">
              <w:rPr>
                <w:lang w:val="en-CA"/>
              </w:rPr>
              <w:fldChar w:fldCharType="separate"/>
            </w:r>
            <w:r w:rsidR="008B5B9C" w:rsidRPr="00AB69C7">
              <w:rPr>
                <w:lang w:val="en-CA"/>
              </w:rPr>
              <w:t>UNEP/OzL.Pro/ExCom/81/54</w:t>
            </w:r>
            <w:r w:rsidRPr="00AB69C7">
              <w:rPr>
                <w:lang w:val="en-CA"/>
              </w:rPr>
              <w:fldChar w:fldCharType="end"/>
            </w:r>
          </w:p>
          <w:p w:rsidR="00C15867" w:rsidRPr="00AB69C7" w:rsidRDefault="00BC2495" w:rsidP="009C59F7">
            <w:pPr>
              <w:rPr>
                <w:lang w:val="en-CA"/>
              </w:rPr>
            </w:pPr>
            <w:r w:rsidRPr="00AB69C7">
              <w:rPr>
                <w:lang w:val="en-CA"/>
              </w:rPr>
              <w:fldChar w:fldCharType="begin"/>
            </w:r>
            <w:r w:rsidR="00851352" w:rsidRPr="00AB69C7">
              <w:rPr>
                <w:lang w:val="en-CA"/>
              </w:rPr>
              <w:instrText xml:space="preserve"> DOCPROPERTY "Revision date" \@ "d MMMM YYYY"  \* MERGEFORMAT </w:instrText>
            </w:r>
            <w:r w:rsidRPr="00AB69C7">
              <w:rPr>
                <w:lang w:val="en-CA"/>
              </w:rPr>
              <w:fldChar w:fldCharType="separate"/>
            </w:r>
            <w:r w:rsidR="008007C7">
              <w:rPr>
                <w:lang w:val="en-CA"/>
              </w:rPr>
              <w:t>1 June 2018</w:t>
            </w:r>
            <w:r w:rsidRPr="00AB69C7">
              <w:rPr>
                <w:lang w:val="en-CA"/>
              </w:rPr>
              <w:fldChar w:fldCharType="end"/>
            </w:r>
          </w:p>
          <w:p w:rsidR="00C15867" w:rsidRPr="00AB69C7" w:rsidRDefault="00C15867" w:rsidP="009C59F7">
            <w:pPr>
              <w:rPr>
                <w:caps/>
                <w:lang w:val="en-CA"/>
              </w:rPr>
            </w:pPr>
          </w:p>
          <w:p w:rsidR="00C15867" w:rsidRPr="00AB69C7" w:rsidRDefault="00C15867" w:rsidP="009C59F7">
            <w:pPr>
              <w:rPr>
                <w:lang w:val="en-CA"/>
              </w:rPr>
            </w:pPr>
            <w:r w:rsidRPr="00AB69C7">
              <w:rPr>
                <w:lang w:val="en-CA"/>
              </w:rPr>
              <w:t>ORIGINAL: ENGLISH</w:t>
            </w:r>
          </w:p>
        </w:tc>
      </w:tr>
    </w:tbl>
    <w:p w:rsidR="009E196C" w:rsidRPr="00AB69C7" w:rsidRDefault="00C15867" w:rsidP="009E196C">
      <w:pPr>
        <w:jc w:val="left"/>
        <w:rPr>
          <w:lang w:val="en-CA"/>
        </w:rPr>
      </w:pPr>
      <w:r w:rsidRPr="00AB69C7">
        <w:rPr>
          <w:lang w:val="en-CA"/>
        </w:rPr>
        <w:t>EXECUTIVE COMMITTEE OF</w:t>
      </w:r>
      <w:r w:rsidRPr="00AB69C7">
        <w:rPr>
          <w:lang w:val="en-CA"/>
        </w:rPr>
        <w:br/>
        <w:t xml:space="preserve">  THE MULTILATERAL FUND FOR THE</w:t>
      </w:r>
      <w:r w:rsidRPr="00AB69C7">
        <w:rPr>
          <w:lang w:val="en-CA"/>
        </w:rPr>
        <w:br/>
        <w:t xml:space="preserve">  IMPLEMENTATION OF THE MONTREAL PROTOCOL</w:t>
      </w:r>
      <w:r w:rsidRPr="00AB69C7">
        <w:rPr>
          <w:lang w:val="en-CA"/>
        </w:rPr>
        <w:br/>
      </w:r>
      <w:r w:rsidR="009E196C" w:rsidRPr="00AB69C7">
        <w:rPr>
          <w:lang w:val="en-CA"/>
        </w:rPr>
        <w:t>Eighty-first Meeting</w:t>
      </w:r>
    </w:p>
    <w:p w:rsidR="009E196C" w:rsidRPr="00AB69C7" w:rsidRDefault="009E196C" w:rsidP="009E196C">
      <w:pPr>
        <w:jc w:val="left"/>
        <w:rPr>
          <w:lang w:val="en-CA"/>
        </w:rPr>
      </w:pPr>
      <w:r w:rsidRPr="00AB69C7">
        <w:rPr>
          <w:lang w:val="en-CA"/>
        </w:rPr>
        <w:t>Montreal, 18-22 June 2018</w:t>
      </w:r>
    </w:p>
    <w:p w:rsidR="00C15867" w:rsidRPr="00AB69C7" w:rsidRDefault="00C15867" w:rsidP="009960E5">
      <w:pPr>
        <w:jc w:val="left"/>
        <w:rPr>
          <w:lang w:val="en-CA"/>
        </w:rPr>
      </w:pPr>
    </w:p>
    <w:p w:rsidR="004E7F9C" w:rsidRDefault="004E7F9C" w:rsidP="004E7F9C">
      <w:pPr>
        <w:pStyle w:val="Title1"/>
        <w:rPr>
          <w:lang w:val="en-CA"/>
        </w:rPr>
      </w:pPr>
    </w:p>
    <w:p w:rsidR="00A66C8F" w:rsidRDefault="00A66C8F" w:rsidP="004E7F9C">
      <w:pPr>
        <w:pStyle w:val="Title1"/>
        <w:rPr>
          <w:lang w:val="en-CA"/>
        </w:rPr>
      </w:pPr>
    </w:p>
    <w:p w:rsidR="00A66C8F" w:rsidRPr="00AB69C7" w:rsidRDefault="00A66C8F" w:rsidP="004E7F9C">
      <w:pPr>
        <w:pStyle w:val="Title1"/>
        <w:rPr>
          <w:lang w:val="en-CA"/>
        </w:rPr>
      </w:pPr>
    </w:p>
    <w:p w:rsidR="004E7F9C" w:rsidRPr="00AB69C7" w:rsidRDefault="00D14E25" w:rsidP="004E7F9C">
      <w:pPr>
        <w:pStyle w:val="Title1"/>
        <w:rPr>
          <w:lang w:val="en-CA"/>
        </w:rPr>
      </w:pPr>
      <w:r w:rsidRPr="00AB69C7">
        <w:rPr>
          <w:lang w:val="en-CA"/>
        </w:rPr>
        <w:t xml:space="preserve">Key aspects related to HFC-23 by-product control technologies (decisions 78/5(e), </w:t>
      </w:r>
      <w:r w:rsidR="00DE669C" w:rsidRPr="00AB69C7">
        <w:rPr>
          <w:lang w:val="en-CA"/>
        </w:rPr>
        <w:t xml:space="preserve">79/17(b), </w:t>
      </w:r>
      <w:r w:rsidRPr="00AB69C7">
        <w:rPr>
          <w:lang w:val="en-CA"/>
        </w:rPr>
        <w:t>79/47(e)</w:t>
      </w:r>
      <w:r w:rsidR="00DE669C" w:rsidRPr="00AB69C7">
        <w:rPr>
          <w:lang w:val="en-CA"/>
        </w:rPr>
        <w:t xml:space="preserve"> </w:t>
      </w:r>
      <w:r w:rsidRPr="00AB69C7">
        <w:rPr>
          <w:lang w:val="en-CA"/>
        </w:rPr>
        <w:t>and 80/77(b))</w:t>
      </w:r>
    </w:p>
    <w:p w:rsidR="004E7F9C" w:rsidRPr="00AB69C7" w:rsidRDefault="004E7F9C" w:rsidP="0053388F">
      <w:pPr>
        <w:rPr>
          <w:lang w:val="en-CA"/>
        </w:rPr>
      </w:pPr>
    </w:p>
    <w:p w:rsidR="0053388F" w:rsidRPr="00AB69C7" w:rsidRDefault="0053388F" w:rsidP="0053388F">
      <w:pPr>
        <w:rPr>
          <w:u w:val="single"/>
          <w:lang w:val="en-CA"/>
        </w:rPr>
      </w:pPr>
      <w:r w:rsidRPr="00AB69C7">
        <w:rPr>
          <w:u w:val="single"/>
          <w:lang w:val="en-CA"/>
        </w:rPr>
        <w:t>Background</w:t>
      </w:r>
    </w:p>
    <w:p w:rsidR="0053388F" w:rsidRPr="00AB69C7" w:rsidRDefault="0053388F" w:rsidP="0053388F">
      <w:pPr>
        <w:rPr>
          <w:lang w:val="en-CA"/>
        </w:rPr>
      </w:pPr>
    </w:p>
    <w:p w:rsidR="00FE6FA5" w:rsidRPr="00AB69C7" w:rsidRDefault="00FE6FA5" w:rsidP="00FE6FA5">
      <w:pPr>
        <w:pStyle w:val="Heading1"/>
        <w:rPr>
          <w:lang w:val="en-CA"/>
        </w:rPr>
      </w:pPr>
      <w:r w:rsidRPr="00AB69C7">
        <w:rPr>
          <w:lang w:val="en-CA" w:eastAsia="zh-CN"/>
        </w:rPr>
        <w:t>At the 79</w:t>
      </w:r>
      <w:r w:rsidRPr="00AB69C7">
        <w:rPr>
          <w:vertAlign w:val="superscript"/>
          <w:lang w:val="en-CA" w:eastAsia="zh-CN"/>
        </w:rPr>
        <w:t>th</w:t>
      </w:r>
      <w:r w:rsidR="00AB69C7">
        <w:rPr>
          <w:lang w:val="en-CA" w:eastAsia="zh-CN"/>
        </w:rPr>
        <w:t> meeting</w:t>
      </w:r>
      <w:r w:rsidRPr="00AB69C7">
        <w:rPr>
          <w:lang w:val="en-CA" w:eastAsia="zh-CN"/>
        </w:rPr>
        <w:t>, the Executive Committee requested the Secretariat to contract an independent consultant to undertake an evaluation of cost-effective and environmentally sustainable options of HFC-23 destruction from HCFC-22 production facilities and submit this report to the 81</w:t>
      </w:r>
      <w:r w:rsidRPr="00AB69C7">
        <w:rPr>
          <w:vertAlign w:val="superscript"/>
          <w:lang w:val="en-CA" w:eastAsia="zh-CN"/>
        </w:rPr>
        <w:t>st</w:t>
      </w:r>
      <w:r w:rsidR="00AB69C7">
        <w:rPr>
          <w:lang w:val="en-CA" w:eastAsia="zh-CN"/>
        </w:rPr>
        <w:t> meeting</w:t>
      </w:r>
      <w:r w:rsidRPr="00AB69C7">
        <w:rPr>
          <w:lang w:val="en-CA" w:eastAsia="zh-CN"/>
        </w:rPr>
        <w:t>.</w:t>
      </w:r>
    </w:p>
    <w:p w:rsidR="0053388F" w:rsidRPr="00AB69C7" w:rsidRDefault="008007C7" w:rsidP="006E63FC">
      <w:pPr>
        <w:pStyle w:val="Heading1"/>
        <w:rPr>
          <w:lang w:val="en-CA"/>
        </w:rPr>
      </w:pPr>
      <w:r>
        <w:rPr>
          <w:lang w:val="en-CA"/>
        </w:rPr>
        <w:t>T</w:t>
      </w:r>
      <w:r w:rsidR="006E63FC" w:rsidRPr="00AB69C7">
        <w:rPr>
          <w:lang w:val="en-CA"/>
        </w:rPr>
        <w:t xml:space="preserve">he scope of the </w:t>
      </w:r>
      <w:r w:rsidR="007559CF" w:rsidRPr="00AB69C7">
        <w:rPr>
          <w:lang w:val="en-CA"/>
        </w:rPr>
        <w:t>evaluation</w:t>
      </w:r>
      <w:r w:rsidR="006E63FC" w:rsidRPr="00AB69C7">
        <w:rPr>
          <w:lang w:val="en-CA"/>
        </w:rPr>
        <w:t xml:space="preserve"> would include:</w:t>
      </w:r>
    </w:p>
    <w:p w:rsidR="0053388F" w:rsidRPr="00AB69C7" w:rsidRDefault="0053388F" w:rsidP="006E63FC">
      <w:pPr>
        <w:pStyle w:val="Heading2"/>
        <w:rPr>
          <w:lang w:val="en-CA"/>
        </w:rPr>
      </w:pPr>
      <w:r w:rsidRPr="00AB69C7">
        <w:rPr>
          <w:lang w:val="en-CA"/>
        </w:rPr>
        <w:t>An assessment of the costs of incineration at an on-site destruction facility, based on characteristics of the facility, including destruction capacity, quantity and frequency of HFC</w:t>
      </w:r>
      <w:r w:rsidRPr="00AB69C7">
        <w:rPr>
          <w:lang w:val="en-CA"/>
        </w:rPr>
        <w:noBreakHyphen/>
        <w:t>23 to be destroyed, the expected remaining lifetime, location, and other relevant factors, including:</w:t>
      </w:r>
    </w:p>
    <w:p w:rsidR="0053388F" w:rsidRPr="00AB69C7" w:rsidRDefault="0053388F" w:rsidP="006E63FC">
      <w:pPr>
        <w:pStyle w:val="Heading3"/>
        <w:rPr>
          <w:lang w:val="en-CA"/>
        </w:rPr>
      </w:pPr>
      <w:r w:rsidRPr="00AB69C7">
        <w:rPr>
          <w:lang w:val="en-CA"/>
        </w:rPr>
        <w:t>Start-up costs for destruction facilities that might currently be in disuse;</w:t>
      </w:r>
    </w:p>
    <w:p w:rsidR="0053388F" w:rsidRPr="00AB69C7" w:rsidRDefault="0053388F" w:rsidP="006E63FC">
      <w:pPr>
        <w:pStyle w:val="Heading3"/>
        <w:rPr>
          <w:lang w:val="en-CA"/>
        </w:rPr>
      </w:pPr>
      <w:r w:rsidRPr="00AB69C7">
        <w:rPr>
          <w:lang w:val="en-CA"/>
        </w:rPr>
        <w:t>Costs to install a new destruction facility if one was not currently installed;</w:t>
      </w:r>
    </w:p>
    <w:p w:rsidR="0053388F" w:rsidRPr="00AB69C7" w:rsidRDefault="0053388F" w:rsidP="006E63FC">
      <w:pPr>
        <w:pStyle w:val="Heading3"/>
        <w:rPr>
          <w:lang w:val="en-CA"/>
        </w:rPr>
      </w:pPr>
      <w:r w:rsidRPr="00AB69C7">
        <w:rPr>
          <w:lang w:val="en-CA"/>
        </w:rPr>
        <w:t>Costs to operate a currently installed facility;</w:t>
      </w:r>
    </w:p>
    <w:p w:rsidR="0053388F" w:rsidRPr="00AB69C7" w:rsidRDefault="0053388F" w:rsidP="00097C46">
      <w:pPr>
        <w:pStyle w:val="Heading2"/>
        <w:rPr>
          <w:lang w:val="en-CA"/>
        </w:rPr>
      </w:pPr>
      <w:r w:rsidRPr="00AB69C7">
        <w:rPr>
          <w:lang w:val="en-CA"/>
        </w:rPr>
        <w:t>An assessment of the costs of incineration at an off-site destruction facility, including collection, transportation and incineration, based on the quantity of HFC-23 to be destroyed, location, and other relevant factors;</w:t>
      </w:r>
    </w:p>
    <w:p w:rsidR="0053388F" w:rsidRPr="00AB69C7" w:rsidRDefault="0053388F" w:rsidP="00097C46">
      <w:pPr>
        <w:pStyle w:val="Heading2"/>
        <w:rPr>
          <w:lang w:val="en-CA"/>
        </w:rPr>
      </w:pPr>
      <w:r w:rsidRPr="00AB69C7">
        <w:rPr>
          <w:lang w:val="en-CA"/>
        </w:rPr>
        <w:t>An assessment of the cost of destroying emissions of HFC-23 by-product through irreversible transformation and other new technologies, where information was available, based on the quantity of HFC-23 to be destroyed, location, and other relevant factors;</w:t>
      </w:r>
    </w:p>
    <w:p w:rsidR="0053388F" w:rsidRPr="00AB69C7" w:rsidRDefault="0053388F" w:rsidP="00A66C8F">
      <w:pPr>
        <w:pStyle w:val="Heading2"/>
        <w:keepNext/>
        <w:keepLines/>
        <w:rPr>
          <w:lang w:val="en-CA"/>
        </w:rPr>
      </w:pPr>
      <w:r w:rsidRPr="00AB69C7">
        <w:rPr>
          <w:lang w:val="en-CA"/>
        </w:rPr>
        <w:lastRenderedPageBreak/>
        <w:t>An assessment of the costs and measures to optimize the HCFC-22 production process to minimize the HFC-23 by-product generation rate and maximize the collection of HFC-23 by-product for destruction based on characteristics of the facility, including capacity, quantity of HFC</w:t>
      </w:r>
      <w:r w:rsidRPr="00AB69C7">
        <w:rPr>
          <w:lang w:val="en-CA"/>
        </w:rPr>
        <w:noBreakHyphen/>
        <w:t>23 by-product generated, the expected remaining lifetime, location, and other relevant factors;</w:t>
      </w:r>
    </w:p>
    <w:p w:rsidR="0053388F" w:rsidRPr="00AB69C7" w:rsidRDefault="0053388F" w:rsidP="00B51A36">
      <w:pPr>
        <w:pStyle w:val="Heading2"/>
        <w:rPr>
          <w:lang w:val="en-CA"/>
        </w:rPr>
      </w:pPr>
      <w:r w:rsidRPr="00AB69C7">
        <w:rPr>
          <w:lang w:val="en-CA"/>
        </w:rPr>
        <w:t>An assessment of the costs of different monitoring and verification methods;</w:t>
      </w:r>
      <w:r w:rsidR="00A66C8F">
        <w:rPr>
          <w:lang w:val="en-CA"/>
        </w:rPr>
        <w:t xml:space="preserve"> and</w:t>
      </w:r>
    </w:p>
    <w:p w:rsidR="0053388F" w:rsidRPr="00AB69C7" w:rsidRDefault="0053388F" w:rsidP="00B51A36">
      <w:pPr>
        <w:pStyle w:val="Heading2"/>
        <w:rPr>
          <w:lang w:val="en-CA"/>
        </w:rPr>
      </w:pPr>
      <w:r w:rsidRPr="00AB69C7">
        <w:rPr>
          <w:lang w:val="en-CA"/>
        </w:rPr>
        <w:t>An assessment of how the performance and costs of different destruction technology options would vary according to local conditions and the quantity of HF</w:t>
      </w:r>
      <w:r w:rsidR="00A66C8F">
        <w:rPr>
          <w:lang w:val="en-CA"/>
        </w:rPr>
        <w:t>C-23 by-product to be destroyed.</w:t>
      </w:r>
    </w:p>
    <w:p w:rsidR="00090830" w:rsidRPr="00AB69C7" w:rsidRDefault="00090830" w:rsidP="00090830">
      <w:pPr>
        <w:rPr>
          <w:u w:val="single"/>
          <w:lang w:val="en-CA"/>
        </w:rPr>
      </w:pPr>
      <w:r w:rsidRPr="00AB69C7">
        <w:rPr>
          <w:u w:val="single"/>
          <w:lang w:val="en-CA"/>
        </w:rPr>
        <w:t xml:space="preserve">Additional </w:t>
      </w:r>
      <w:r w:rsidRPr="002B3CBF">
        <w:rPr>
          <w:u w:val="single"/>
          <w:lang w:val="en-CA"/>
        </w:rPr>
        <w:t>information</w:t>
      </w:r>
      <w:r w:rsidR="008007C7" w:rsidRPr="002B3CBF">
        <w:rPr>
          <w:u w:val="single"/>
          <w:lang w:val="en-CA"/>
        </w:rPr>
        <w:t xml:space="preserve"> related to HFC-23 requested by the Executive Committee</w:t>
      </w:r>
    </w:p>
    <w:p w:rsidR="00090830" w:rsidRPr="00AB69C7" w:rsidRDefault="00090830" w:rsidP="00090830">
      <w:pPr>
        <w:rPr>
          <w:lang w:val="en-CA"/>
        </w:rPr>
      </w:pPr>
    </w:p>
    <w:p w:rsidR="001F558B" w:rsidRPr="00AB69C7" w:rsidRDefault="001F558B" w:rsidP="007E1132">
      <w:pPr>
        <w:pStyle w:val="Heading1"/>
        <w:rPr>
          <w:lang w:val="en-CA"/>
        </w:rPr>
      </w:pPr>
      <w:r w:rsidRPr="00AB69C7">
        <w:rPr>
          <w:lang w:val="en-CA"/>
        </w:rPr>
        <w:t>The Executive Committee requested the World Bank to submit the draft final report of the investigation on reducing HFC-23 by-product ratio using best practices to the 81</w:t>
      </w:r>
      <w:r w:rsidRPr="00AB69C7">
        <w:rPr>
          <w:vertAlign w:val="superscript"/>
          <w:lang w:val="en-CA"/>
        </w:rPr>
        <w:t>st</w:t>
      </w:r>
      <w:r w:rsidR="00AB69C7">
        <w:rPr>
          <w:lang w:val="en-CA"/>
        </w:rPr>
        <w:t> meeting</w:t>
      </w:r>
      <w:r w:rsidRPr="00AB69C7">
        <w:rPr>
          <w:lang w:val="en-CA"/>
        </w:rPr>
        <w:t xml:space="preserve"> (</w:t>
      </w:r>
      <w:r w:rsidR="00A66C8F">
        <w:rPr>
          <w:lang w:val="en-CA"/>
        </w:rPr>
        <w:t>decision </w:t>
      </w:r>
      <w:r w:rsidRPr="00AB69C7">
        <w:rPr>
          <w:lang w:val="en-CA"/>
        </w:rPr>
        <w:t xml:space="preserve">79/17(b)). </w:t>
      </w:r>
      <w:r w:rsidR="008007C7">
        <w:rPr>
          <w:lang w:val="en-CA"/>
        </w:rPr>
        <w:t>T</w:t>
      </w:r>
      <w:r w:rsidRPr="00AB69C7">
        <w:rPr>
          <w:lang w:val="en-CA"/>
        </w:rPr>
        <w:t xml:space="preserve">he summary of the report </w:t>
      </w:r>
      <w:r w:rsidR="008007C7">
        <w:rPr>
          <w:lang w:val="en-CA"/>
        </w:rPr>
        <w:t xml:space="preserve">submitted by the World Bank is contained </w:t>
      </w:r>
      <w:r w:rsidRPr="00AB69C7">
        <w:rPr>
          <w:lang w:val="en-CA"/>
        </w:rPr>
        <w:t xml:space="preserve">in </w:t>
      </w:r>
      <w:r w:rsidR="00CA20F2" w:rsidRPr="00AB69C7">
        <w:rPr>
          <w:lang w:val="en-CA"/>
        </w:rPr>
        <w:t>Annex</w:t>
      </w:r>
      <w:r w:rsidR="00AB69C7" w:rsidRPr="00AB69C7">
        <w:rPr>
          <w:lang w:val="en-CA"/>
        </w:rPr>
        <w:t> I</w:t>
      </w:r>
      <w:r w:rsidR="00A66C8F">
        <w:rPr>
          <w:lang w:val="en-CA"/>
        </w:rPr>
        <w:t>I</w:t>
      </w:r>
      <w:r w:rsidRPr="00AB69C7">
        <w:rPr>
          <w:lang w:val="en-CA"/>
        </w:rPr>
        <w:t xml:space="preserve"> of the present document.</w:t>
      </w:r>
    </w:p>
    <w:p w:rsidR="001F558B" w:rsidRPr="00AB69C7" w:rsidRDefault="001F558B" w:rsidP="001F558B">
      <w:pPr>
        <w:pStyle w:val="Heading1"/>
        <w:rPr>
          <w:lang w:val="en-CA"/>
        </w:rPr>
      </w:pPr>
      <w:r w:rsidRPr="00AB69C7">
        <w:rPr>
          <w:lang w:val="en-CA"/>
        </w:rPr>
        <w:t>The Executive Committee invited all relevant HCFC-22-producing Article 5 countries to provide to the Secretariat, on a voluntary basis, information relevant to the evaluation by 30 September 2017 (</w:t>
      </w:r>
      <w:r w:rsidR="00A66C8F">
        <w:rPr>
          <w:lang w:val="en-CA"/>
        </w:rPr>
        <w:t>decision </w:t>
      </w:r>
      <w:r w:rsidRPr="00AB69C7">
        <w:rPr>
          <w:lang w:val="en-CA"/>
        </w:rPr>
        <w:t>79/47(f))</w:t>
      </w:r>
      <w:r w:rsidR="008007C7">
        <w:rPr>
          <w:lang w:val="en-CA"/>
        </w:rPr>
        <w:t xml:space="preserve">, and subsequently </w:t>
      </w:r>
      <w:r w:rsidRPr="00AB69C7">
        <w:rPr>
          <w:lang w:val="en-CA"/>
        </w:rPr>
        <w:t>extended to 1 December 2017 (</w:t>
      </w:r>
      <w:r w:rsidR="00A66C8F">
        <w:rPr>
          <w:lang w:val="en-CA"/>
        </w:rPr>
        <w:t>decision </w:t>
      </w:r>
      <w:r w:rsidRPr="00AB69C7">
        <w:rPr>
          <w:lang w:val="en-CA"/>
        </w:rPr>
        <w:t xml:space="preserve">80/77(b)). </w:t>
      </w:r>
      <w:r w:rsidR="00CA20F2" w:rsidRPr="00AB69C7">
        <w:rPr>
          <w:lang w:val="en-CA"/>
        </w:rPr>
        <w:t xml:space="preserve">At the time of finalization of the present document, </w:t>
      </w:r>
      <w:r w:rsidR="004A4B59" w:rsidRPr="00AB69C7">
        <w:rPr>
          <w:lang w:val="en-CA"/>
        </w:rPr>
        <w:t>n</w:t>
      </w:r>
      <w:r w:rsidRPr="00AB69C7">
        <w:rPr>
          <w:lang w:val="en-CA"/>
        </w:rPr>
        <w:t xml:space="preserve">o such information was submitted. </w:t>
      </w:r>
    </w:p>
    <w:p w:rsidR="00195F69" w:rsidRPr="00B718C8" w:rsidRDefault="00195F69" w:rsidP="00097C46">
      <w:pPr>
        <w:pStyle w:val="Heading1"/>
        <w:rPr>
          <w:lang w:val="en-CA"/>
        </w:rPr>
      </w:pPr>
      <w:r w:rsidRPr="00AB69C7">
        <w:rPr>
          <w:lang w:val="en-CA"/>
        </w:rPr>
        <w:t>The Executive Committee requested the Secretariat to continue to explore whether there were HFC</w:t>
      </w:r>
      <w:r w:rsidR="00A66C8F">
        <w:rPr>
          <w:lang w:val="en-CA"/>
        </w:rPr>
        <w:noBreakHyphen/>
      </w:r>
      <w:r w:rsidRPr="00AB69C7">
        <w:rPr>
          <w:lang w:val="en-CA"/>
        </w:rPr>
        <w:t xml:space="preserve"> or other HCFC-producing facilities in any party that generated HFC-23 emissions (</w:t>
      </w:r>
      <w:r w:rsidR="00A66C8F">
        <w:rPr>
          <w:lang w:val="en-CA"/>
        </w:rPr>
        <w:t>decision </w:t>
      </w:r>
      <w:r w:rsidRPr="00AB69C7">
        <w:rPr>
          <w:lang w:val="en-CA"/>
        </w:rPr>
        <w:t xml:space="preserve">78/5(e)). </w:t>
      </w:r>
      <w:r w:rsidR="00DB0707" w:rsidRPr="00AB69C7">
        <w:rPr>
          <w:lang w:val="en-CA"/>
        </w:rPr>
        <w:t xml:space="preserve">The Secretariat undertook a review of the scientific literature, consulted with experts from </w:t>
      </w:r>
      <w:r w:rsidR="00AE4410" w:rsidRPr="00AB69C7">
        <w:rPr>
          <w:lang w:val="en-CA"/>
        </w:rPr>
        <w:t>the i</w:t>
      </w:r>
      <w:r w:rsidR="00DB0707" w:rsidRPr="00AB69C7">
        <w:rPr>
          <w:lang w:val="en-CA"/>
        </w:rPr>
        <w:t>mplementing agencies</w:t>
      </w:r>
      <w:r w:rsidR="00AE4410" w:rsidRPr="00AB69C7">
        <w:rPr>
          <w:lang w:val="en-CA"/>
        </w:rPr>
        <w:t xml:space="preserve">, and </w:t>
      </w:r>
      <w:r w:rsidR="008007C7">
        <w:rPr>
          <w:lang w:val="en-CA"/>
        </w:rPr>
        <w:t>other</w:t>
      </w:r>
      <w:r w:rsidR="00AE4410" w:rsidRPr="00AB69C7">
        <w:rPr>
          <w:lang w:val="en-CA"/>
        </w:rPr>
        <w:t xml:space="preserve"> organization</w:t>
      </w:r>
      <w:r w:rsidR="008007C7">
        <w:rPr>
          <w:lang w:val="en-CA"/>
        </w:rPr>
        <w:t>s</w:t>
      </w:r>
      <w:r w:rsidR="00AE4410" w:rsidRPr="00AB69C7">
        <w:rPr>
          <w:lang w:val="en-CA"/>
        </w:rPr>
        <w:t>.</w:t>
      </w:r>
      <w:r w:rsidR="00AE4410" w:rsidRPr="00AB69C7">
        <w:rPr>
          <w:rStyle w:val="FootnoteReference"/>
          <w:lang w:val="en-CA"/>
        </w:rPr>
        <w:footnoteReference w:id="1"/>
      </w:r>
      <w:r w:rsidR="00194D21" w:rsidRPr="00AB69C7">
        <w:rPr>
          <w:lang w:val="en-CA"/>
        </w:rPr>
        <w:t xml:space="preserve"> Based on that</w:t>
      </w:r>
      <w:r w:rsidR="00AE4410" w:rsidRPr="00AB69C7">
        <w:rPr>
          <w:lang w:val="en-CA"/>
        </w:rPr>
        <w:t xml:space="preserve"> </w:t>
      </w:r>
      <w:r w:rsidR="008007C7">
        <w:rPr>
          <w:lang w:val="en-CA"/>
        </w:rPr>
        <w:t>review</w:t>
      </w:r>
      <w:r w:rsidR="00AE4410" w:rsidRPr="00AB69C7">
        <w:rPr>
          <w:lang w:val="en-CA"/>
        </w:rPr>
        <w:t xml:space="preserve">, the Secretariat </w:t>
      </w:r>
      <w:r w:rsidR="008007C7" w:rsidRPr="00B718C8">
        <w:rPr>
          <w:lang w:val="en-CA"/>
        </w:rPr>
        <w:t>did not</w:t>
      </w:r>
      <w:r w:rsidR="00194D21" w:rsidRPr="00B718C8">
        <w:rPr>
          <w:lang w:val="en-CA"/>
        </w:rPr>
        <w:t xml:space="preserve"> identify</w:t>
      </w:r>
      <w:r w:rsidR="00AE4410" w:rsidRPr="00B718C8">
        <w:rPr>
          <w:lang w:val="en-CA"/>
        </w:rPr>
        <w:t xml:space="preserve"> any production facilities other than </w:t>
      </w:r>
      <w:r w:rsidR="00AD7A23" w:rsidRPr="00B718C8">
        <w:rPr>
          <w:lang w:val="en-CA"/>
        </w:rPr>
        <w:t xml:space="preserve">those that produce </w:t>
      </w:r>
      <w:r w:rsidR="00AE4410" w:rsidRPr="00B718C8">
        <w:rPr>
          <w:lang w:val="en-CA"/>
        </w:rPr>
        <w:t xml:space="preserve">HCFC-22 that generate HFC-23 by-product. </w:t>
      </w:r>
      <w:r w:rsidR="009F3731" w:rsidRPr="00B718C8">
        <w:rPr>
          <w:lang w:val="en-CA"/>
        </w:rPr>
        <w:t xml:space="preserve">The Secretariat notes that </w:t>
      </w:r>
      <w:r w:rsidR="00B718C8">
        <w:rPr>
          <w:lang w:val="en-CA"/>
        </w:rPr>
        <w:t>HCFC-22 is used as a feedstock in the production of other chemicals.</w:t>
      </w:r>
      <w:r w:rsidR="00973485" w:rsidRPr="00B718C8">
        <w:rPr>
          <w:rStyle w:val="FootnoteReference"/>
          <w:lang w:val="en-CA"/>
        </w:rPr>
        <w:footnoteReference w:id="2"/>
      </w:r>
      <w:r w:rsidR="00B718C8">
        <w:rPr>
          <w:lang w:val="en-CA"/>
        </w:rPr>
        <w:t xml:space="preserve"> </w:t>
      </w:r>
      <w:r w:rsidR="00973485">
        <w:rPr>
          <w:lang w:val="en-CA"/>
        </w:rPr>
        <w:t xml:space="preserve">Integrated production facilities </w:t>
      </w:r>
      <w:r w:rsidR="001E507A" w:rsidRPr="00B718C8">
        <w:rPr>
          <w:lang w:val="en-CA"/>
        </w:rPr>
        <w:t xml:space="preserve">that </w:t>
      </w:r>
      <w:r w:rsidR="00B718C8" w:rsidRPr="00B718C8">
        <w:rPr>
          <w:lang w:val="en-CA"/>
        </w:rPr>
        <w:t xml:space="preserve">generate </w:t>
      </w:r>
      <w:r w:rsidR="009F3731" w:rsidRPr="00B718C8">
        <w:rPr>
          <w:lang w:val="en-CA"/>
        </w:rPr>
        <w:t xml:space="preserve">HCFC-22 </w:t>
      </w:r>
      <w:r w:rsidR="00B718C8" w:rsidRPr="00B718C8">
        <w:rPr>
          <w:lang w:val="en-CA"/>
        </w:rPr>
        <w:t>as an intermediate</w:t>
      </w:r>
      <w:r w:rsidR="009F3731" w:rsidRPr="00B718C8">
        <w:rPr>
          <w:lang w:val="en-CA"/>
        </w:rPr>
        <w:t xml:space="preserve"> </w:t>
      </w:r>
      <w:r w:rsidR="00973485">
        <w:rPr>
          <w:lang w:val="en-CA"/>
        </w:rPr>
        <w:t xml:space="preserve">for the production of other chemicals </w:t>
      </w:r>
      <w:r w:rsidR="001E507A" w:rsidRPr="00B718C8">
        <w:rPr>
          <w:lang w:val="en-CA"/>
        </w:rPr>
        <w:t>would also generate HFC</w:t>
      </w:r>
      <w:r w:rsidR="00A66C8F" w:rsidRPr="00B718C8">
        <w:rPr>
          <w:lang w:val="en-CA"/>
        </w:rPr>
        <w:noBreakHyphen/>
      </w:r>
      <w:r w:rsidR="001E507A" w:rsidRPr="00B718C8">
        <w:rPr>
          <w:lang w:val="en-CA"/>
        </w:rPr>
        <w:t xml:space="preserve">23-by-product; however, that by-product is generated during the </w:t>
      </w:r>
      <w:r w:rsidR="00A96CB2">
        <w:rPr>
          <w:lang w:val="en-CA"/>
        </w:rPr>
        <w:t>reaction to produce the</w:t>
      </w:r>
      <w:r w:rsidR="001E507A" w:rsidRPr="00B718C8">
        <w:rPr>
          <w:lang w:val="en-CA"/>
        </w:rPr>
        <w:t xml:space="preserve"> HCFC-22</w:t>
      </w:r>
      <w:r w:rsidR="00A96CB2">
        <w:rPr>
          <w:lang w:val="en-CA"/>
        </w:rPr>
        <w:t xml:space="preserve"> intermediate</w:t>
      </w:r>
      <w:r w:rsidR="00973485">
        <w:rPr>
          <w:lang w:val="en-CA"/>
        </w:rPr>
        <w:t>,</w:t>
      </w:r>
      <w:r w:rsidR="004A0BFC" w:rsidRPr="00B718C8">
        <w:rPr>
          <w:lang w:val="en-CA"/>
        </w:rPr>
        <w:t xml:space="preserve"> rather than subsequent reactions between HCFC-22 and other chemicals to produce the desired product</w:t>
      </w:r>
      <w:r w:rsidR="002B3CEA" w:rsidRPr="00B718C8">
        <w:rPr>
          <w:lang w:val="en-CA"/>
        </w:rPr>
        <w:t>.</w:t>
      </w:r>
      <w:r w:rsidR="00AD7A23" w:rsidRPr="00B718C8">
        <w:rPr>
          <w:lang w:val="en-CA"/>
        </w:rPr>
        <w:t xml:space="preserve"> </w:t>
      </w:r>
    </w:p>
    <w:p w:rsidR="0053388F" w:rsidRPr="00AB69C7" w:rsidRDefault="0053388F" w:rsidP="00097C46">
      <w:pPr>
        <w:rPr>
          <w:u w:val="single"/>
          <w:lang w:val="en-CA"/>
        </w:rPr>
      </w:pPr>
      <w:r w:rsidRPr="00AB69C7">
        <w:rPr>
          <w:u w:val="single"/>
          <w:lang w:val="en-CA"/>
        </w:rPr>
        <w:t>Secretariat’s comments</w:t>
      </w:r>
    </w:p>
    <w:p w:rsidR="007F3892" w:rsidRDefault="007F3892" w:rsidP="00097C46">
      <w:pPr>
        <w:rPr>
          <w:u w:val="single"/>
          <w:lang w:val="en-CA"/>
        </w:rPr>
      </w:pPr>
    </w:p>
    <w:p w:rsidR="00EE3276" w:rsidRPr="00BE4C0D" w:rsidRDefault="00CF02D3" w:rsidP="004F29D1">
      <w:pPr>
        <w:pStyle w:val="Heading1"/>
        <w:rPr>
          <w:u w:val="single"/>
          <w:lang w:val="en-CA"/>
        </w:rPr>
      </w:pPr>
      <w:r w:rsidRPr="00BE4C0D">
        <w:rPr>
          <w:lang w:val="en-CA"/>
        </w:rPr>
        <w:t xml:space="preserve">In line with United Nations rules and regulations, </w:t>
      </w:r>
      <w:r w:rsidR="00F30A21" w:rsidRPr="00BE4C0D">
        <w:rPr>
          <w:lang w:val="en-CA"/>
        </w:rPr>
        <w:t>a vacancy</w:t>
      </w:r>
      <w:r w:rsidRPr="00BE4C0D">
        <w:rPr>
          <w:lang w:val="en-CA"/>
        </w:rPr>
        <w:t xml:space="preserve"> position </w:t>
      </w:r>
      <w:r w:rsidR="00F30A21" w:rsidRPr="00BE4C0D">
        <w:rPr>
          <w:lang w:val="en-CA"/>
        </w:rPr>
        <w:t xml:space="preserve">for the consultancy </w:t>
      </w:r>
      <w:r w:rsidRPr="00BE4C0D">
        <w:rPr>
          <w:lang w:val="en-CA"/>
        </w:rPr>
        <w:t>was posted to Inspira and a link to the job posting and the terms of reference</w:t>
      </w:r>
      <w:r w:rsidR="00F30A21" w:rsidRPr="00BE4C0D">
        <w:rPr>
          <w:lang w:val="en-CA"/>
        </w:rPr>
        <w:t xml:space="preserve"> (TOR)</w:t>
      </w:r>
      <w:r w:rsidRPr="00BE4C0D">
        <w:rPr>
          <w:lang w:val="en-CA"/>
        </w:rPr>
        <w:t xml:space="preserve"> for the position were advertised on the Secretariat’s website. </w:t>
      </w:r>
      <w:r w:rsidR="00F30A21" w:rsidRPr="00BE4C0D">
        <w:rPr>
          <w:lang w:val="en-CA"/>
        </w:rPr>
        <w:t>The consultant selected traveled to Montreal for in-depth discussions with the Secretariat on the methodology to respond to the TOR</w:t>
      </w:r>
      <w:r w:rsidR="00BE4C0D" w:rsidRPr="00BE4C0D">
        <w:rPr>
          <w:lang w:val="en-CA"/>
        </w:rPr>
        <w:t>, and engaged in regular consultations with the Secretariat throughout the report-writing process. The Secretariat undertook an extensive review of the consultant’s report, which is contained in Annex I to the present document. To facilitate the Executive Committee’s review, the following section</w:t>
      </w:r>
      <w:r w:rsidR="00D8121E">
        <w:rPr>
          <w:lang w:val="en-CA"/>
        </w:rPr>
        <w:t>, which was reviewed by the consultant,</w:t>
      </w:r>
      <w:r w:rsidR="00BE4C0D" w:rsidRPr="00BE4C0D">
        <w:rPr>
          <w:lang w:val="en-CA"/>
        </w:rPr>
        <w:t xml:space="preserve"> summarizes the main conclusions of the report.</w:t>
      </w:r>
    </w:p>
    <w:p w:rsidR="007F3892" w:rsidRPr="00AB69C7" w:rsidRDefault="007F3892" w:rsidP="008A21C4">
      <w:pPr>
        <w:keepNext/>
        <w:keepLines/>
        <w:rPr>
          <w:i/>
          <w:lang w:val="en-CA"/>
        </w:rPr>
      </w:pPr>
      <w:r w:rsidRPr="00AB69C7">
        <w:rPr>
          <w:i/>
          <w:lang w:val="en-CA"/>
        </w:rPr>
        <w:t>Cost of incineration at an on-site destruction facility</w:t>
      </w:r>
    </w:p>
    <w:p w:rsidR="0053388F" w:rsidRPr="00AB69C7" w:rsidRDefault="0053388F" w:rsidP="008A21C4">
      <w:pPr>
        <w:keepNext/>
        <w:keepLines/>
        <w:rPr>
          <w:lang w:val="en-CA"/>
        </w:rPr>
      </w:pPr>
    </w:p>
    <w:p w:rsidR="0053388F" w:rsidRPr="00AB69C7" w:rsidRDefault="007F3892" w:rsidP="008A21C4">
      <w:pPr>
        <w:pStyle w:val="Heading1"/>
        <w:keepNext/>
        <w:keepLines/>
        <w:rPr>
          <w:lang w:val="en-CA" w:eastAsia="zh-CN"/>
        </w:rPr>
      </w:pPr>
      <w:r w:rsidRPr="00AB69C7">
        <w:rPr>
          <w:lang w:val="en-CA" w:eastAsia="zh-CN"/>
        </w:rPr>
        <w:t>The main conclusions of the consultant’s evaluation are as follows:</w:t>
      </w:r>
    </w:p>
    <w:p w:rsidR="003A6C12" w:rsidRPr="00AB69C7" w:rsidRDefault="003A6C12" w:rsidP="00097C46">
      <w:pPr>
        <w:pStyle w:val="Heading2"/>
        <w:rPr>
          <w:lang w:val="en-CA" w:eastAsia="zh-CN"/>
        </w:rPr>
      </w:pPr>
      <w:r w:rsidRPr="00AB69C7">
        <w:rPr>
          <w:lang w:val="en-CA" w:eastAsia="zh-CN"/>
        </w:rPr>
        <w:t>A conservative estimate of the total fixed capital costs of a new incinerator installed mid-2017 in Eastern Central China ranges between US $9 million for a 400</w:t>
      </w:r>
      <w:r w:rsidR="00AB69C7">
        <w:rPr>
          <w:lang w:val="en-CA" w:eastAsia="zh-CN"/>
        </w:rPr>
        <w:t> metric tonnes (</w:t>
      </w:r>
      <w:r w:rsidRPr="00AB69C7">
        <w:rPr>
          <w:lang w:val="en-CA" w:eastAsia="zh-CN"/>
        </w:rPr>
        <w:t>mt</w:t>
      </w:r>
      <w:r w:rsidR="00AB69C7">
        <w:rPr>
          <w:lang w:val="en-CA" w:eastAsia="zh-CN"/>
        </w:rPr>
        <w:t>)</w:t>
      </w:r>
      <w:r w:rsidRPr="00AB69C7">
        <w:rPr>
          <w:lang w:val="en-CA" w:eastAsia="zh-CN"/>
        </w:rPr>
        <w:t>/y</w:t>
      </w:r>
      <w:r w:rsidR="00A66C8F">
        <w:rPr>
          <w:lang w:val="en-CA" w:eastAsia="zh-CN"/>
        </w:rPr>
        <w:t>r</w:t>
      </w:r>
      <w:r w:rsidRPr="00AB69C7">
        <w:rPr>
          <w:lang w:val="en-CA" w:eastAsia="zh-CN"/>
        </w:rPr>
        <w:t xml:space="preserve"> incinerator to US $27.1 million for a 2,400</w:t>
      </w:r>
      <w:r w:rsidR="00A66C8F">
        <w:rPr>
          <w:lang w:val="en-CA" w:eastAsia="zh-CN"/>
        </w:rPr>
        <w:t> mt/yr</w:t>
      </w:r>
      <w:r w:rsidRPr="00AB69C7">
        <w:rPr>
          <w:lang w:val="en-CA" w:eastAsia="zh-CN"/>
        </w:rPr>
        <w:t xml:space="preserve"> incinerator. The lower-bound estimate for this same range is between US $6.3 million and US $18.5 million.</w:t>
      </w:r>
      <w:r w:rsidR="00C00E75" w:rsidRPr="00AB69C7">
        <w:rPr>
          <w:lang w:val="en-CA" w:eastAsia="zh-CN"/>
        </w:rPr>
        <w:t xml:space="preserve"> Those costs are inclusive of all expected costs associated with the </w:t>
      </w:r>
      <w:r w:rsidR="00A336A1" w:rsidRPr="00AB69C7">
        <w:rPr>
          <w:lang w:val="en-CA" w:eastAsia="zh-CN"/>
        </w:rPr>
        <w:t xml:space="preserve">purchase and </w:t>
      </w:r>
      <w:r w:rsidR="00C00E75" w:rsidRPr="00AB69C7">
        <w:rPr>
          <w:lang w:val="en-CA" w:eastAsia="zh-CN"/>
        </w:rPr>
        <w:t>installation of a new incinerator, from permits, insurance and security, to procuring</w:t>
      </w:r>
      <w:r w:rsidR="00A336A1" w:rsidRPr="00AB69C7">
        <w:rPr>
          <w:lang w:val="en-CA" w:eastAsia="zh-CN"/>
        </w:rPr>
        <w:t>, shipping</w:t>
      </w:r>
      <w:r w:rsidR="00C00E75" w:rsidRPr="00AB69C7">
        <w:rPr>
          <w:lang w:val="en-CA" w:eastAsia="zh-CN"/>
        </w:rPr>
        <w:t xml:space="preserve"> and installing the equipment, </w:t>
      </w:r>
      <w:r w:rsidR="00C00E75" w:rsidRPr="00BE4C0D">
        <w:rPr>
          <w:lang w:val="en-CA" w:eastAsia="zh-CN"/>
        </w:rPr>
        <w:t>to all the costs associated with</w:t>
      </w:r>
      <w:r w:rsidR="00AA37AE" w:rsidRPr="00BE4C0D">
        <w:rPr>
          <w:lang w:val="en-CA" w:eastAsia="zh-CN"/>
        </w:rPr>
        <w:t xml:space="preserve"> the start up </w:t>
      </w:r>
      <w:r w:rsidR="00BE4C0D" w:rsidRPr="00BE4C0D">
        <w:rPr>
          <w:lang w:val="en-CA" w:eastAsia="zh-CN"/>
        </w:rPr>
        <w:t>and operation of the</w:t>
      </w:r>
      <w:r w:rsidR="00C00E75" w:rsidRPr="00BE4C0D">
        <w:rPr>
          <w:lang w:val="en-CA" w:eastAsia="zh-CN"/>
        </w:rPr>
        <w:t xml:space="preserve"> incinerator for at </w:t>
      </w:r>
      <w:r w:rsidR="00C00E75" w:rsidRPr="00BE4C0D">
        <w:rPr>
          <w:lang w:val="en-CA" w:eastAsia="zh-CN"/>
        </w:rPr>
        <w:lastRenderedPageBreak/>
        <w:t>least 72 hours;</w:t>
      </w:r>
      <w:r w:rsidR="00C00E75" w:rsidRPr="00AB69C7">
        <w:rPr>
          <w:lang w:val="en-CA" w:eastAsia="zh-CN"/>
        </w:rPr>
        <w:t xml:space="preserve"> </w:t>
      </w:r>
    </w:p>
    <w:p w:rsidR="003A6C12" w:rsidRDefault="00C00E75" w:rsidP="00C00E75">
      <w:pPr>
        <w:pStyle w:val="Heading2"/>
        <w:rPr>
          <w:lang w:val="en-CA" w:eastAsia="zh-CN"/>
        </w:rPr>
      </w:pPr>
      <w:r w:rsidRPr="00AB69C7">
        <w:rPr>
          <w:lang w:val="en-CA" w:eastAsia="zh-CN"/>
        </w:rPr>
        <w:t xml:space="preserve">Operating costs vary based on the </w:t>
      </w:r>
      <w:r w:rsidR="00CA292C">
        <w:rPr>
          <w:lang w:val="en-CA" w:eastAsia="zh-CN"/>
        </w:rPr>
        <w:t xml:space="preserve">capacity and </w:t>
      </w:r>
      <w:r w:rsidRPr="00AB69C7">
        <w:rPr>
          <w:lang w:val="en-CA" w:eastAsia="zh-CN"/>
        </w:rPr>
        <w:t xml:space="preserve">extent of utilization of </w:t>
      </w:r>
      <w:r w:rsidR="00CA292C">
        <w:rPr>
          <w:lang w:val="en-CA" w:eastAsia="zh-CN"/>
        </w:rPr>
        <w:t xml:space="preserve">that </w:t>
      </w:r>
      <w:r w:rsidRPr="00AB69C7">
        <w:rPr>
          <w:lang w:val="en-CA" w:eastAsia="zh-CN"/>
        </w:rPr>
        <w:t>capacity</w:t>
      </w:r>
      <w:r w:rsidR="00B366F2">
        <w:rPr>
          <w:lang w:val="en-CA" w:eastAsia="zh-CN"/>
        </w:rPr>
        <w:t>, varying between US $4.37/kg to US $1.</w:t>
      </w:r>
      <w:r w:rsidR="00CA292C">
        <w:rPr>
          <w:lang w:val="en-CA" w:eastAsia="zh-CN"/>
        </w:rPr>
        <w:t>45</w:t>
      </w:r>
      <w:r w:rsidR="00B366F2">
        <w:rPr>
          <w:lang w:val="en-CA" w:eastAsia="zh-CN"/>
        </w:rPr>
        <w:t>/kg as shown in Table 1.</w:t>
      </w:r>
      <w:r w:rsidR="00D2243C" w:rsidRPr="00AB69C7">
        <w:rPr>
          <w:lang w:val="en-CA" w:eastAsia="zh-CN"/>
        </w:rPr>
        <w:t xml:space="preserve"> </w:t>
      </w:r>
      <w:r w:rsidR="007366AB" w:rsidRPr="00AB69C7">
        <w:rPr>
          <w:lang w:val="en-CA" w:eastAsia="zh-CN"/>
        </w:rPr>
        <w:t xml:space="preserve"> </w:t>
      </w:r>
    </w:p>
    <w:p w:rsidR="0063049B" w:rsidRPr="0063049B" w:rsidRDefault="0063049B" w:rsidP="008A21C4">
      <w:pPr>
        <w:ind w:left="1440"/>
        <w:rPr>
          <w:b/>
          <w:lang w:val="en-CA" w:eastAsia="zh-CN"/>
        </w:rPr>
      </w:pPr>
      <w:r w:rsidRPr="0063049B">
        <w:rPr>
          <w:b/>
          <w:lang w:val="en-CA" w:eastAsia="zh-CN"/>
        </w:rPr>
        <w:t>Table 1: Upper</w:t>
      </w:r>
      <w:r w:rsidR="00A6385B">
        <w:rPr>
          <w:b/>
          <w:lang w:val="en-CA" w:eastAsia="zh-CN"/>
        </w:rPr>
        <w:t>- and lower-</w:t>
      </w:r>
      <w:r w:rsidRPr="0063049B">
        <w:rPr>
          <w:b/>
          <w:lang w:val="en-CA" w:eastAsia="zh-CN"/>
        </w:rPr>
        <w:t>bound estimated operating costs as function of capacity and extent of utilization for on-site incinerators</w:t>
      </w:r>
    </w:p>
    <w:tbl>
      <w:tblPr>
        <w:tblW w:w="4244" w:type="pct"/>
        <w:tblInd w:w="1413" w:type="dxa"/>
        <w:tblLook w:val="04A0" w:firstRow="1" w:lastRow="0" w:firstColumn="1" w:lastColumn="0" w:noHBand="0" w:noVBand="1"/>
      </w:tblPr>
      <w:tblGrid>
        <w:gridCol w:w="1554"/>
        <w:gridCol w:w="922"/>
        <w:gridCol w:w="780"/>
        <w:gridCol w:w="780"/>
        <w:gridCol w:w="780"/>
        <w:gridCol w:w="780"/>
        <w:gridCol w:w="780"/>
        <w:gridCol w:w="780"/>
        <w:gridCol w:w="780"/>
      </w:tblGrid>
      <w:tr w:rsidR="003D15CE" w:rsidRPr="003D15CE" w:rsidTr="008A21C4">
        <w:trPr>
          <w:trHeight w:val="255"/>
        </w:trPr>
        <w:tc>
          <w:tcPr>
            <w:tcW w:w="8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D15CE" w:rsidRPr="003D15CE" w:rsidRDefault="003D15CE" w:rsidP="003D15CE">
            <w:pPr>
              <w:jc w:val="left"/>
              <w:rPr>
                <w:color w:val="000000"/>
                <w:sz w:val="18"/>
                <w:szCs w:val="18"/>
                <w:lang w:val="en-US"/>
              </w:rPr>
            </w:pPr>
            <w:r w:rsidRPr="003D15CE">
              <w:rPr>
                <w:color w:val="000000"/>
                <w:sz w:val="18"/>
                <w:szCs w:val="18"/>
                <w:lang w:val="en-US"/>
              </w:rPr>
              <w:t> </w:t>
            </w:r>
          </w:p>
        </w:tc>
        <w:tc>
          <w:tcPr>
            <w:tcW w:w="4196" w:type="pct"/>
            <w:gridSpan w:val="8"/>
            <w:tcBorders>
              <w:top w:val="single" w:sz="4" w:space="0" w:color="auto"/>
              <w:left w:val="nil"/>
              <w:bottom w:val="single" w:sz="4" w:space="0" w:color="auto"/>
              <w:right w:val="single" w:sz="4" w:space="0" w:color="auto"/>
            </w:tcBorders>
            <w:shd w:val="clear" w:color="auto" w:fill="auto"/>
            <w:noWrap/>
            <w:vAlign w:val="bottom"/>
            <w:hideMark/>
          </w:tcPr>
          <w:p w:rsidR="003D15CE" w:rsidRPr="003D15CE" w:rsidRDefault="003D15CE" w:rsidP="003D15CE">
            <w:pPr>
              <w:jc w:val="center"/>
              <w:rPr>
                <w:b/>
                <w:color w:val="000000"/>
                <w:sz w:val="18"/>
                <w:szCs w:val="18"/>
                <w:lang w:val="en-US"/>
              </w:rPr>
            </w:pPr>
            <w:r w:rsidRPr="003D15CE">
              <w:rPr>
                <w:b/>
                <w:color w:val="000000"/>
                <w:sz w:val="18"/>
                <w:szCs w:val="18"/>
                <w:lang w:val="en-US"/>
              </w:rPr>
              <w:t>On-site incinerator capacity (mt/yr)</w:t>
            </w:r>
          </w:p>
        </w:tc>
      </w:tr>
      <w:tr w:rsidR="003D15CE" w:rsidRPr="003D15CE" w:rsidTr="008A21C4">
        <w:trPr>
          <w:trHeight w:val="255"/>
        </w:trPr>
        <w:tc>
          <w:tcPr>
            <w:tcW w:w="804" w:type="pct"/>
            <w:tcBorders>
              <w:top w:val="nil"/>
              <w:left w:val="single" w:sz="4" w:space="0" w:color="auto"/>
              <w:bottom w:val="single" w:sz="4" w:space="0" w:color="auto"/>
              <w:right w:val="single" w:sz="4" w:space="0" w:color="auto"/>
            </w:tcBorders>
            <w:shd w:val="clear" w:color="auto" w:fill="auto"/>
            <w:noWrap/>
            <w:vAlign w:val="bottom"/>
            <w:hideMark/>
          </w:tcPr>
          <w:p w:rsidR="003D15CE" w:rsidRPr="003D15CE" w:rsidRDefault="003D15CE" w:rsidP="003D15CE">
            <w:pPr>
              <w:jc w:val="left"/>
              <w:rPr>
                <w:color w:val="000000"/>
                <w:sz w:val="18"/>
                <w:szCs w:val="18"/>
                <w:lang w:val="en-US"/>
              </w:rPr>
            </w:pPr>
          </w:p>
        </w:tc>
        <w:tc>
          <w:tcPr>
            <w:tcW w:w="1131" w:type="pct"/>
            <w:gridSpan w:val="2"/>
            <w:tcBorders>
              <w:top w:val="single" w:sz="4" w:space="0" w:color="auto"/>
              <w:left w:val="nil"/>
              <w:bottom w:val="single" w:sz="4" w:space="0" w:color="auto"/>
              <w:right w:val="single" w:sz="4" w:space="0" w:color="auto"/>
            </w:tcBorders>
            <w:shd w:val="clear" w:color="auto" w:fill="auto"/>
            <w:noWrap/>
            <w:vAlign w:val="bottom"/>
            <w:hideMark/>
          </w:tcPr>
          <w:p w:rsidR="003D15CE" w:rsidRPr="003D15CE" w:rsidRDefault="003D15CE" w:rsidP="003D15CE">
            <w:pPr>
              <w:jc w:val="center"/>
              <w:rPr>
                <w:b/>
                <w:color w:val="000000"/>
                <w:sz w:val="18"/>
                <w:szCs w:val="18"/>
                <w:lang w:val="en-US"/>
              </w:rPr>
            </w:pPr>
            <w:r w:rsidRPr="003D15CE">
              <w:rPr>
                <w:b/>
                <w:color w:val="000000"/>
                <w:sz w:val="18"/>
                <w:szCs w:val="18"/>
                <w:lang w:val="en-US"/>
              </w:rPr>
              <w:t>400</w:t>
            </w:r>
          </w:p>
        </w:tc>
        <w:tc>
          <w:tcPr>
            <w:tcW w:w="1022" w:type="pct"/>
            <w:gridSpan w:val="2"/>
            <w:tcBorders>
              <w:top w:val="single" w:sz="4" w:space="0" w:color="auto"/>
              <w:left w:val="nil"/>
              <w:bottom w:val="single" w:sz="4" w:space="0" w:color="auto"/>
              <w:right w:val="single" w:sz="4" w:space="0" w:color="auto"/>
            </w:tcBorders>
            <w:shd w:val="clear" w:color="auto" w:fill="auto"/>
            <w:noWrap/>
            <w:vAlign w:val="bottom"/>
            <w:hideMark/>
          </w:tcPr>
          <w:p w:rsidR="003D15CE" w:rsidRPr="003D15CE" w:rsidRDefault="003D15CE" w:rsidP="003D15CE">
            <w:pPr>
              <w:jc w:val="center"/>
              <w:rPr>
                <w:b/>
                <w:color w:val="000000"/>
                <w:sz w:val="18"/>
                <w:szCs w:val="18"/>
                <w:lang w:val="en-US"/>
              </w:rPr>
            </w:pPr>
            <w:r w:rsidRPr="003D15CE">
              <w:rPr>
                <w:b/>
                <w:color w:val="000000"/>
                <w:sz w:val="18"/>
                <w:szCs w:val="18"/>
                <w:lang w:val="en-US"/>
              </w:rPr>
              <w:t>800</w:t>
            </w:r>
          </w:p>
        </w:tc>
        <w:tc>
          <w:tcPr>
            <w:tcW w:w="1022" w:type="pct"/>
            <w:gridSpan w:val="2"/>
            <w:tcBorders>
              <w:top w:val="single" w:sz="4" w:space="0" w:color="auto"/>
              <w:left w:val="nil"/>
              <w:bottom w:val="single" w:sz="4" w:space="0" w:color="auto"/>
              <w:right w:val="single" w:sz="4" w:space="0" w:color="auto"/>
            </w:tcBorders>
            <w:shd w:val="clear" w:color="auto" w:fill="auto"/>
            <w:noWrap/>
            <w:vAlign w:val="bottom"/>
            <w:hideMark/>
          </w:tcPr>
          <w:p w:rsidR="003D15CE" w:rsidRPr="003D15CE" w:rsidRDefault="003D15CE" w:rsidP="003D15CE">
            <w:pPr>
              <w:jc w:val="center"/>
              <w:rPr>
                <w:b/>
                <w:color w:val="000000"/>
                <w:sz w:val="18"/>
                <w:szCs w:val="18"/>
                <w:lang w:val="en-US"/>
              </w:rPr>
            </w:pPr>
            <w:r w:rsidRPr="003D15CE">
              <w:rPr>
                <w:b/>
                <w:color w:val="000000"/>
                <w:sz w:val="18"/>
                <w:szCs w:val="18"/>
                <w:lang w:val="en-US"/>
              </w:rPr>
              <w:t>1</w:t>
            </w:r>
            <w:r w:rsidR="002F2628">
              <w:rPr>
                <w:b/>
                <w:color w:val="000000"/>
                <w:sz w:val="18"/>
                <w:szCs w:val="18"/>
                <w:lang w:val="en-US"/>
              </w:rPr>
              <w:t>,</w:t>
            </w:r>
            <w:r w:rsidRPr="003D15CE">
              <w:rPr>
                <w:b/>
                <w:color w:val="000000"/>
                <w:sz w:val="18"/>
                <w:szCs w:val="18"/>
                <w:lang w:val="en-US"/>
              </w:rPr>
              <w:t>600</w:t>
            </w:r>
          </w:p>
        </w:tc>
        <w:tc>
          <w:tcPr>
            <w:tcW w:w="1022" w:type="pct"/>
            <w:gridSpan w:val="2"/>
            <w:tcBorders>
              <w:top w:val="single" w:sz="4" w:space="0" w:color="auto"/>
              <w:left w:val="nil"/>
              <w:bottom w:val="single" w:sz="4" w:space="0" w:color="auto"/>
              <w:right w:val="single" w:sz="4" w:space="0" w:color="auto"/>
            </w:tcBorders>
            <w:shd w:val="clear" w:color="auto" w:fill="auto"/>
            <w:noWrap/>
            <w:vAlign w:val="bottom"/>
            <w:hideMark/>
          </w:tcPr>
          <w:p w:rsidR="003D15CE" w:rsidRPr="003D15CE" w:rsidRDefault="003D15CE" w:rsidP="003D15CE">
            <w:pPr>
              <w:jc w:val="center"/>
              <w:rPr>
                <w:b/>
                <w:color w:val="000000"/>
                <w:sz w:val="18"/>
                <w:szCs w:val="18"/>
                <w:lang w:val="en-US"/>
              </w:rPr>
            </w:pPr>
            <w:r w:rsidRPr="003D15CE">
              <w:rPr>
                <w:b/>
                <w:color w:val="000000"/>
                <w:sz w:val="18"/>
                <w:szCs w:val="18"/>
                <w:lang w:val="en-US"/>
              </w:rPr>
              <w:t>2</w:t>
            </w:r>
            <w:r w:rsidR="002F2628">
              <w:rPr>
                <w:b/>
                <w:color w:val="000000"/>
                <w:sz w:val="18"/>
                <w:szCs w:val="18"/>
                <w:lang w:val="en-US"/>
              </w:rPr>
              <w:t>,</w:t>
            </w:r>
            <w:r w:rsidRPr="003D15CE">
              <w:rPr>
                <w:b/>
                <w:color w:val="000000"/>
                <w:sz w:val="18"/>
                <w:szCs w:val="18"/>
                <w:lang w:val="en-US"/>
              </w:rPr>
              <w:t>400</w:t>
            </w:r>
          </w:p>
        </w:tc>
      </w:tr>
      <w:tr w:rsidR="003D15CE" w:rsidRPr="008A21C4" w:rsidTr="008A21C4">
        <w:trPr>
          <w:trHeight w:val="510"/>
        </w:trPr>
        <w:tc>
          <w:tcPr>
            <w:tcW w:w="804" w:type="pct"/>
            <w:tcBorders>
              <w:top w:val="nil"/>
              <w:left w:val="single" w:sz="4" w:space="0" w:color="auto"/>
              <w:bottom w:val="single" w:sz="4" w:space="0" w:color="auto"/>
              <w:right w:val="single" w:sz="4" w:space="0" w:color="auto"/>
            </w:tcBorders>
            <w:shd w:val="clear" w:color="auto" w:fill="auto"/>
            <w:noWrap/>
            <w:vAlign w:val="bottom"/>
            <w:hideMark/>
          </w:tcPr>
          <w:p w:rsidR="003D15CE" w:rsidRPr="008A21C4" w:rsidRDefault="003D15CE" w:rsidP="003D15CE">
            <w:pPr>
              <w:jc w:val="left"/>
              <w:rPr>
                <w:b/>
                <w:color w:val="000000"/>
                <w:sz w:val="16"/>
                <w:szCs w:val="16"/>
                <w:lang w:val="en-US"/>
              </w:rPr>
            </w:pPr>
            <w:r w:rsidRPr="008A21C4">
              <w:rPr>
                <w:b/>
                <w:color w:val="000000"/>
                <w:sz w:val="16"/>
                <w:szCs w:val="16"/>
                <w:lang w:val="en-US"/>
              </w:rPr>
              <w:t>Per cent utilization </w:t>
            </w:r>
          </w:p>
        </w:tc>
        <w:tc>
          <w:tcPr>
            <w:tcW w:w="620" w:type="pct"/>
            <w:tcBorders>
              <w:top w:val="nil"/>
              <w:left w:val="nil"/>
              <w:bottom w:val="single" w:sz="4" w:space="0" w:color="auto"/>
              <w:right w:val="single" w:sz="4" w:space="0" w:color="auto"/>
            </w:tcBorders>
            <w:shd w:val="clear" w:color="auto" w:fill="auto"/>
            <w:vAlign w:val="bottom"/>
            <w:hideMark/>
          </w:tcPr>
          <w:p w:rsidR="003D15CE" w:rsidRPr="008A21C4" w:rsidRDefault="003D15CE" w:rsidP="008A21C4">
            <w:pPr>
              <w:jc w:val="center"/>
              <w:rPr>
                <w:b/>
                <w:color w:val="000000"/>
                <w:sz w:val="14"/>
                <w:szCs w:val="14"/>
                <w:lang w:val="en-US"/>
              </w:rPr>
            </w:pPr>
            <w:r w:rsidRPr="008A21C4">
              <w:rPr>
                <w:b/>
                <w:color w:val="000000"/>
                <w:sz w:val="14"/>
                <w:szCs w:val="14"/>
                <w:lang w:val="en-US"/>
              </w:rPr>
              <w:t>Lower-bound (US</w:t>
            </w:r>
            <w:r w:rsidR="008A21C4" w:rsidRPr="008A21C4">
              <w:rPr>
                <w:b/>
                <w:color w:val="000000"/>
                <w:sz w:val="14"/>
                <w:szCs w:val="14"/>
                <w:lang w:val="en-US"/>
              </w:rPr>
              <w:t> </w:t>
            </w:r>
            <w:r w:rsidRPr="008A21C4">
              <w:rPr>
                <w:b/>
                <w:color w:val="000000"/>
                <w:sz w:val="14"/>
                <w:szCs w:val="14"/>
                <w:lang w:val="en-US"/>
              </w:rPr>
              <w:t>$/kg)</w:t>
            </w:r>
          </w:p>
        </w:tc>
        <w:tc>
          <w:tcPr>
            <w:tcW w:w="511" w:type="pct"/>
            <w:tcBorders>
              <w:top w:val="nil"/>
              <w:left w:val="nil"/>
              <w:bottom w:val="single" w:sz="4" w:space="0" w:color="auto"/>
              <w:right w:val="single" w:sz="4" w:space="0" w:color="auto"/>
            </w:tcBorders>
            <w:shd w:val="clear" w:color="auto" w:fill="auto"/>
            <w:vAlign w:val="bottom"/>
            <w:hideMark/>
          </w:tcPr>
          <w:p w:rsidR="003D15CE" w:rsidRPr="008A21C4" w:rsidRDefault="003D15CE" w:rsidP="008A21C4">
            <w:pPr>
              <w:jc w:val="center"/>
              <w:rPr>
                <w:b/>
                <w:color w:val="000000"/>
                <w:sz w:val="14"/>
                <w:szCs w:val="14"/>
                <w:lang w:val="en-US"/>
              </w:rPr>
            </w:pPr>
            <w:r w:rsidRPr="008A21C4">
              <w:rPr>
                <w:b/>
                <w:color w:val="000000"/>
                <w:sz w:val="14"/>
                <w:szCs w:val="14"/>
                <w:lang w:val="en-US"/>
              </w:rPr>
              <w:t>Upper-bound (US</w:t>
            </w:r>
            <w:r w:rsidR="008A21C4" w:rsidRPr="008A21C4">
              <w:rPr>
                <w:b/>
                <w:color w:val="000000"/>
                <w:sz w:val="14"/>
                <w:szCs w:val="14"/>
                <w:lang w:val="en-US"/>
              </w:rPr>
              <w:t> </w:t>
            </w:r>
            <w:r w:rsidRPr="008A21C4">
              <w:rPr>
                <w:b/>
                <w:color w:val="000000"/>
                <w:sz w:val="14"/>
                <w:szCs w:val="14"/>
                <w:lang w:val="en-US"/>
              </w:rPr>
              <w:t>$/kg)</w:t>
            </w:r>
          </w:p>
        </w:tc>
        <w:tc>
          <w:tcPr>
            <w:tcW w:w="511" w:type="pct"/>
            <w:tcBorders>
              <w:top w:val="nil"/>
              <w:left w:val="nil"/>
              <w:bottom w:val="single" w:sz="4" w:space="0" w:color="auto"/>
              <w:right w:val="single" w:sz="4" w:space="0" w:color="auto"/>
            </w:tcBorders>
            <w:shd w:val="clear" w:color="auto" w:fill="auto"/>
            <w:vAlign w:val="bottom"/>
            <w:hideMark/>
          </w:tcPr>
          <w:p w:rsidR="003D15CE" w:rsidRPr="008A21C4" w:rsidRDefault="003D15CE" w:rsidP="008A21C4">
            <w:pPr>
              <w:jc w:val="center"/>
              <w:rPr>
                <w:b/>
                <w:color w:val="000000"/>
                <w:sz w:val="14"/>
                <w:szCs w:val="14"/>
                <w:lang w:val="en-US"/>
              </w:rPr>
            </w:pPr>
            <w:r w:rsidRPr="008A21C4">
              <w:rPr>
                <w:b/>
                <w:color w:val="000000"/>
                <w:sz w:val="14"/>
                <w:szCs w:val="14"/>
                <w:lang w:val="en-US"/>
              </w:rPr>
              <w:t>Lower-bound (US</w:t>
            </w:r>
            <w:r w:rsidR="008A21C4" w:rsidRPr="008A21C4">
              <w:rPr>
                <w:b/>
                <w:color w:val="000000"/>
                <w:sz w:val="14"/>
                <w:szCs w:val="14"/>
                <w:lang w:val="en-US"/>
              </w:rPr>
              <w:t> </w:t>
            </w:r>
            <w:r w:rsidRPr="008A21C4">
              <w:rPr>
                <w:b/>
                <w:color w:val="000000"/>
                <w:sz w:val="14"/>
                <w:szCs w:val="14"/>
                <w:lang w:val="en-US"/>
              </w:rPr>
              <w:t>$/kg)</w:t>
            </w:r>
          </w:p>
        </w:tc>
        <w:tc>
          <w:tcPr>
            <w:tcW w:w="511" w:type="pct"/>
            <w:tcBorders>
              <w:top w:val="nil"/>
              <w:left w:val="nil"/>
              <w:bottom w:val="single" w:sz="4" w:space="0" w:color="auto"/>
              <w:right w:val="single" w:sz="4" w:space="0" w:color="auto"/>
            </w:tcBorders>
            <w:shd w:val="clear" w:color="auto" w:fill="auto"/>
            <w:vAlign w:val="bottom"/>
            <w:hideMark/>
          </w:tcPr>
          <w:p w:rsidR="003D15CE" w:rsidRPr="008A21C4" w:rsidRDefault="003D15CE" w:rsidP="008A21C4">
            <w:pPr>
              <w:jc w:val="center"/>
              <w:rPr>
                <w:b/>
                <w:color w:val="000000"/>
                <w:sz w:val="14"/>
                <w:szCs w:val="14"/>
                <w:lang w:val="en-US"/>
              </w:rPr>
            </w:pPr>
            <w:r w:rsidRPr="008A21C4">
              <w:rPr>
                <w:b/>
                <w:color w:val="000000"/>
                <w:sz w:val="14"/>
                <w:szCs w:val="14"/>
                <w:lang w:val="en-US"/>
              </w:rPr>
              <w:t>Upper-bound (US</w:t>
            </w:r>
            <w:r w:rsidR="008A21C4" w:rsidRPr="008A21C4">
              <w:rPr>
                <w:b/>
                <w:color w:val="000000"/>
                <w:sz w:val="14"/>
                <w:szCs w:val="14"/>
                <w:lang w:val="en-US"/>
              </w:rPr>
              <w:t> </w:t>
            </w:r>
            <w:r w:rsidRPr="008A21C4">
              <w:rPr>
                <w:b/>
                <w:color w:val="000000"/>
                <w:sz w:val="14"/>
                <w:szCs w:val="14"/>
                <w:lang w:val="en-US"/>
              </w:rPr>
              <w:t>$/kg)</w:t>
            </w:r>
          </w:p>
        </w:tc>
        <w:tc>
          <w:tcPr>
            <w:tcW w:w="511" w:type="pct"/>
            <w:tcBorders>
              <w:top w:val="nil"/>
              <w:left w:val="nil"/>
              <w:bottom w:val="single" w:sz="4" w:space="0" w:color="auto"/>
              <w:right w:val="single" w:sz="4" w:space="0" w:color="auto"/>
            </w:tcBorders>
            <w:shd w:val="clear" w:color="auto" w:fill="auto"/>
            <w:vAlign w:val="bottom"/>
            <w:hideMark/>
          </w:tcPr>
          <w:p w:rsidR="003D15CE" w:rsidRPr="008A21C4" w:rsidRDefault="003D15CE" w:rsidP="008A21C4">
            <w:pPr>
              <w:jc w:val="center"/>
              <w:rPr>
                <w:b/>
                <w:color w:val="000000"/>
                <w:sz w:val="14"/>
                <w:szCs w:val="14"/>
                <w:lang w:val="en-US"/>
              </w:rPr>
            </w:pPr>
            <w:r w:rsidRPr="008A21C4">
              <w:rPr>
                <w:b/>
                <w:color w:val="000000"/>
                <w:sz w:val="14"/>
                <w:szCs w:val="14"/>
                <w:lang w:val="en-US"/>
              </w:rPr>
              <w:t>Lower-bound (US</w:t>
            </w:r>
            <w:r w:rsidR="008A21C4" w:rsidRPr="008A21C4">
              <w:rPr>
                <w:b/>
                <w:color w:val="000000"/>
                <w:sz w:val="14"/>
                <w:szCs w:val="14"/>
                <w:lang w:val="en-US"/>
              </w:rPr>
              <w:t> </w:t>
            </w:r>
            <w:r w:rsidRPr="008A21C4">
              <w:rPr>
                <w:b/>
                <w:color w:val="000000"/>
                <w:sz w:val="14"/>
                <w:szCs w:val="14"/>
                <w:lang w:val="en-US"/>
              </w:rPr>
              <w:t>$/kg)</w:t>
            </w:r>
          </w:p>
        </w:tc>
        <w:tc>
          <w:tcPr>
            <w:tcW w:w="511" w:type="pct"/>
            <w:tcBorders>
              <w:top w:val="nil"/>
              <w:left w:val="nil"/>
              <w:bottom w:val="single" w:sz="4" w:space="0" w:color="auto"/>
              <w:right w:val="single" w:sz="4" w:space="0" w:color="auto"/>
            </w:tcBorders>
            <w:shd w:val="clear" w:color="auto" w:fill="auto"/>
            <w:vAlign w:val="bottom"/>
            <w:hideMark/>
          </w:tcPr>
          <w:p w:rsidR="003D15CE" w:rsidRPr="008A21C4" w:rsidRDefault="003D15CE" w:rsidP="008A21C4">
            <w:pPr>
              <w:jc w:val="center"/>
              <w:rPr>
                <w:b/>
                <w:color w:val="000000"/>
                <w:sz w:val="14"/>
                <w:szCs w:val="14"/>
                <w:lang w:val="en-US"/>
              </w:rPr>
            </w:pPr>
            <w:r w:rsidRPr="008A21C4">
              <w:rPr>
                <w:b/>
                <w:color w:val="000000"/>
                <w:sz w:val="14"/>
                <w:szCs w:val="14"/>
                <w:lang w:val="en-US"/>
              </w:rPr>
              <w:t>Upper-bound (US</w:t>
            </w:r>
            <w:r w:rsidR="008A21C4" w:rsidRPr="008A21C4">
              <w:rPr>
                <w:b/>
                <w:color w:val="000000"/>
                <w:sz w:val="14"/>
                <w:szCs w:val="14"/>
                <w:lang w:val="en-US"/>
              </w:rPr>
              <w:t> </w:t>
            </w:r>
            <w:r w:rsidRPr="008A21C4">
              <w:rPr>
                <w:b/>
                <w:color w:val="000000"/>
                <w:sz w:val="14"/>
                <w:szCs w:val="14"/>
                <w:lang w:val="en-US"/>
              </w:rPr>
              <w:t>$/kg)</w:t>
            </w:r>
          </w:p>
        </w:tc>
        <w:tc>
          <w:tcPr>
            <w:tcW w:w="511" w:type="pct"/>
            <w:tcBorders>
              <w:top w:val="nil"/>
              <w:left w:val="nil"/>
              <w:bottom w:val="single" w:sz="4" w:space="0" w:color="auto"/>
              <w:right w:val="single" w:sz="4" w:space="0" w:color="auto"/>
            </w:tcBorders>
            <w:shd w:val="clear" w:color="auto" w:fill="auto"/>
            <w:vAlign w:val="bottom"/>
            <w:hideMark/>
          </w:tcPr>
          <w:p w:rsidR="003D15CE" w:rsidRPr="008A21C4" w:rsidRDefault="003D15CE" w:rsidP="008A21C4">
            <w:pPr>
              <w:jc w:val="center"/>
              <w:rPr>
                <w:b/>
                <w:color w:val="000000"/>
                <w:sz w:val="14"/>
                <w:szCs w:val="14"/>
                <w:lang w:val="en-US"/>
              </w:rPr>
            </w:pPr>
            <w:r w:rsidRPr="008A21C4">
              <w:rPr>
                <w:b/>
                <w:color w:val="000000"/>
                <w:sz w:val="14"/>
                <w:szCs w:val="14"/>
                <w:lang w:val="en-US"/>
              </w:rPr>
              <w:t>Lower-bound (US</w:t>
            </w:r>
            <w:r w:rsidR="008A21C4" w:rsidRPr="008A21C4">
              <w:rPr>
                <w:b/>
                <w:color w:val="000000"/>
                <w:sz w:val="14"/>
                <w:szCs w:val="14"/>
                <w:lang w:val="en-US"/>
              </w:rPr>
              <w:t> </w:t>
            </w:r>
            <w:r w:rsidRPr="008A21C4">
              <w:rPr>
                <w:b/>
                <w:color w:val="000000"/>
                <w:sz w:val="14"/>
                <w:szCs w:val="14"/>
                <w:lang w:val="en-US"/>
              </w:rPr>
              <w:t>$/kg)</w:t>
            </w:r>
          </w:p>
        </w:tc>
        <w:tc>
          <w:tcPr>
            <w:tcW w:w="511" w:type="pct"/>
            <w:tcBorders>
              <w:top w:val="nil"/>
              <w:left w:val="nil"/>
              <w:bottom w:val="single" w:sz="4" w:space="0" w:color="auto"/>
              <w:right w:val="single" w:sz="4" w:space="0" w:color="auto"/>
            </w:tcBorders>
            <w:shd w:val="clear" w:color="auto" w:fill="auto"/>
            <w:vAlign w:val="bottom"/>
            <w:hideMark/>
          </w:tcPr>
          <w:p w:rsidR="003D15CE" w:rsidRPr="008A21C4" w:rsidRDefault="003D15CE" w:rsidP="008A21C4">
            <w:pPr>
              <w:jc w:val="center"/>
              <w:rPr>
                <w:b/>
                <w:color w:val="000000"/>
                <w:sz w:val="14"/>
                <w:szCs w:val="14"/>
                <w:lang w:val="en-US"/>
              </w:rPr>
            </w:pPr>
            <w:r w:rsidRPr="008A21C4">
              <w:rPr>
                <w:b/>
                <w:color w:val="000000"/>
                <w:sz w:val="14"/>
                <w:szCs w:val="14"/>
                <w:lang w:val="en-US"/>
              </w:rPr>
              <w:t>Upper-bound (US</w:t>
            </w:r>
            <w:r w:rsidR="008A21C4" w:rsidRPr="008A21C4">
              <w:rPr>
                <w:b/>
                <w:color w:val="000000"/>
                <w:sz w:val="14"/>
                <w:szCs w:val="14"/>
                <w:lang w:val="en-US"/>
              </w:rPr>
              <w:t> </w:t>
            </w:r>
            <w:r w:rsidRPr="008A21C4">
              <w:rPr>
                <w:b/>
                <w:color w:val="000000"/>
                <w:sz w:val="14"/>
                <w:szCs w:val="14"/>
                <w:lang w:val="en-US"/>
              </w:rPr>
              <w:t>$/kg)</w:t>
            </w:r>
          </w:p>
        </w:tc>
      </w:tr>
      <w:tr w:rsidR="003D15CE" w:rsidRPr="003D15CE" w:rsidTr="008A21C4">
        <w:trPr>
          <w:trHeight w:val="255"/>
        </w:trPr>
        <w:tc>
          <w:tcPr>
            <w:tcW w:w="804" w:type="pct"/>
            <w:tcBorders>
              <w:top w:val="nil"/>
              <w:left w:val="single" w:sz="4" w:space="0" w:color="auto"/>
              <w:bottom w:val="single" w:sz="4" w:space="0" w:color="auto"/>
              <w:right w:val="single" w:sz="4" w:space="0" w:color="auto"/>
            </w:tcBorders>
            <w:shd w:val="clear" w:color="auto" w:fill="auto"/>
            <w:noWrap/>
            <w:vAlign w:val="center"/>
            <w:hideMark/>
          </w:tcPr>
          <w:p w:rsidR="003D15CE" w:rsidRPr="003D15CE" w:rsidRDefault="003D15CE" w:rsidP="008A21C4">
            <w:pPr>
              <w:jc w:val="left"/>
              <w:rPr>
                <w:color w:val="000000"/>
                <w:sz w:val="18"/>
                <w:szCs w:val="18"/>
                <w:lang w:val="en-US"/>
              </w:rPr>
            </w:pPr>
            <w:r w:rsidRPr="003D15CE">
              <w:rPr>
                <w:color w:val="000000"/>
                <w:sz w:val="18"/>
                <w:szCs w:val="18"/>
                <w:lang w:val="en-US"/>
              </w:rPr>
              <w:t>100</w:t>
            </w:r>
          </w:p>
        </w:tc>
        <w:tc>
          <w:tcPr>
            <w:tcW w:w="620"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2.22</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2.63</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1.80</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2.13</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1.55</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1.81</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1.45</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1.68</w:t>
            </w:r>
          </w:p>
        </w:tc>
      </w:tr>
      <w:tr w:rsidR="003D15CE" w:rsidRPr="003D15CE" w:rsidTr="008A21C4">
        <w:trPr>
          <w:trHeight w:val="255"/>
        </w:trPr>
        <w:tc>
          <w:tcPr>
            <w:tcW w:w="804" w:type="pct"/>
            <w:tcBorders>
              <w:top w:val="nil"/>
              <w:left w:val="single" w:sz="4" w:space="0" w:color="auto"/>
              <w:bottom w:val="single" w:sz="4" w:space="0" w:color="auto"/>
              <w:right w:val="single" w:sz="4" w:space="0" w:color="auto"/>
            </w:tcBorders>
            <w:shd w:val="clear" w:color="auto" w:fill="auto"/>
            <w:noWrap/>
            <w:vAlign w:val="center"/>
            <w:hideMark/>
          </w:tcPr>
          <w:p w:rsidR="003D15CE" w:rsidRPr="003D15CE" w:rsidRDefault="003D15CE" w:rsidP="008A21C4">
            <w:pPr>
              <w:jc w:val="left"/>
              <w:rPr>
                <w:color w:val="000000"/>
                <w:sz w:val="18"/>
                <w:szCs w:val="18"/>
                <w:lang w:val="en-US"/>
              </w:rPr>
            </w:pPr>
            <w:r w:rsidRPr="003D15CE">
              <w:rPr>
                <w:color w:val="000000"/>
                <w:sz w:val="18"/>
                <w:szCs w:val="18"/>
                <w:lang w:val="en-US"/>
              </w:rPr>
              <w:t>75</w:t>
            </w:r>
          </w:p>
        </w:tc>
        <w:tc>
          <w:tcPr>
            <w:tcW w:w="620"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2.66</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3.21</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2.10</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2.55</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1.77</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2.12</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1.63</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1.94</w:t>
            </w:r>
          </w:p>
        </w:tc>
      </w:tr>
      <w:tr w:rsidR="003D15CE" w:rsidRPr="003D15CE" w:rsidTr="008A21C4">
        <w:trPr>
          <w:trHeight w:val="255"/>
        </w:trPr>
        <w:tc>
          <w:tcPr>
            <w:tcW w:w="804" w:type="pct"/>
            <w:tcBorders>
              <w:top w:val="nil"/>
              <w:left w:val="single" w:sz="4" w:space="0" w:color="auto"/>
              <w:bottom w:val="single" w:sz="4" w:space="0" w:color="auto"/>
              <w:right w:val="single" w:sz="4" w:space="0" w:color="auto"/>
            </w:tcBorders>
            <w:shd w:val="clear" w:color="auto" w:fill="auto"/>
            <w:noWrap/>
            <w:vAlign w:val="center"/>
            <w:hideMark/>
          </w:tcPr>
          <w:p w:rsidR="003D15CE" w:rsidRPr="003D15CE" w:rsidRDefault="003D15CE" w:rsidP="008A21C4">
            <w:pPr>
              <w:jc w:val="left"/>
              <w:rPr>
                <w:color w:val="000000"/>
                <w:sz w:val="18"/>
                <w:szCs w:val="18"/>
                <w:lang w:val="en-US"/>
              </w:rPr>
            </w:pPr>
            <w:r w:rsidRPr="003D15CE">
              <w:rPr>
                <w:color w:val="000000"/>
                <w:sz w:val="18"/>
                <w:szCs w:val="18"/>
                <w:lang w:val="en-US"/>
              </w:rPr>
              <w:t>50</w:t>
            </w:r>
          </w:p>
        </w:tc>
        <w:tc>
          <w:tcPr>
            <w:tcW w:w="620"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3.54</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4.37</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2.71</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3.37</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2.21</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2.74</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2.01</w:t>
            </w:r>
          </w:p>
        </w:tc>
        <w:tc>
          <w:tcPr>
            <w:tcW w:w="511" w:type="pct"/>
            <w:tcBorders>
              <w:top w:val="nil"/>
              <w:left w:val="nil"/>
              <w:bottom w:val="single" w:sz="4" w:space="0" w:color="auto"/>
              <w:right w:val="single" w:sz="4" w:space="0" w:color="auto"/>
            </w:tcBorders>
            <w:shd w:val="clear" w:color="auto" w:fill="auto"/>
            <w:noWrap/>
            <w:vAlign w:val="center"/>
            <w:hideMark/>
          </w:tcPr>
          <w:p w:rsidR="003D15CE" w:rsidRPr="003D15CE" w:rsidRDefault="003D15CE" w:rsidP="008A21C4">
            <w:pPr>
              <w:jc w:val="right"/>
              <w:rPr>
                <w:color w:val="000000"/>
                <w:sz w:val="18"/>
                <w:szCs w:val="18"/>
                <w:lang w:val="en-US"/>
              </w:rPr>
            </w:pPr>
            <w:r w:rsidRPr="003D15CE">
              <w:rPr>
                <w:color w:val="000000"/>
                <w:sz w:val="18"/>
                <w:szCs w:val="18"/>
                <w:lang w:val="en-US"/>
              </w:rPr>
              <w:t>2.47</w:t>
            </w:r>
          </w:p>
        </w:tc>
      </w:tr>
    </w:tbl>
    <w:p w:rsidR="00147FA1" w:rsidRDefault="00147FA1" w:rsidP="00147FA1">
      <w:pPr>
        <w:rPr>
          <w:lang w:val="en-CA" w:eastAsia="zh-CN"/>
        </w:rPr>
      </w:pPr>
    </w:p>
    <w:p w:rsidR="00D2243C" w:rsidRPr="00AB69C7" w:rsidRDefault="007366AB" w:rsidP="007366AB">
      <w:pPr>
        <w:pStyle w:val="Heading2"/>
        <w:rPr>
          <w:lang w:val="en-CA" w:eastAsia="zh-CN"/>
        </w:rPr>
      </w:pPr>
      <w:r w:rsidRPr="00AB69C7">
        <w:rPr>
          <w:lang w:val="en-CA" w:eastAsia="zh-CN"/>
        </w:rPr>
        <w:t>Operating costs for existing incinerators are likely to be lower than those estimated for the case of a new incinerator. Such costs would likely be closer to the lower-bound estimates provided in the report, noting that specific costs can only be assessed based on site-specific characteristics</w:t>
      </w:r>
      <w:r w:rsidR="00D2243C" w:rsidRPr="00AB69C7">
        <w:rPr>
          <w:lang w:val="en-CA" w:eastAsia="zh-CN"/>
        </w:rPr>
        <w:t>; and</w:t>
      </w:r>
    </w:p>
    <w:p w:rsidR="007F3892" w:rsidRPr="00AB69C7" w:rsidRDefault="00D2243C" w:rsidP="00D2243C">
      <w:pPr>
        <w:pStyle w:val="Heading2"/>
        <w:rPr>
          <w:lang w:val="en-CA" w:eastAsia="zh-CN"/>
        </w:rPr>
      </w:pPr>
      <w:r w:rsidRPr="00AB69C7">
        <w:rPr>
          <w:lang w:val="en-CA" w:eastAsia="zh-CN"/>
        </w:rPr>
        <w:t>The costs to start-up a</w:t>
      </w:r>
      <w:r w:rsidRPr="00AB69C7">
        <w:rPr>
          <w:lang w:val="en-CA"/>
        </w:rPr>
        <w:t xml:space="preserve"> </w:t>
      </w:r>
      <w:r w:rsidRPr="00AB69C7">
        <w:rPr>
          <w:lang w:val="en-CA" w:eastAsia="zh-CN"/>
        </w:rPr>
        <w:t xml:space="preserve">facility that is currently in disuse </w:t>
      </w:r>
      <w:r w:rsidR="001C4A87" w:rsidRPr="00AB69C7">
        <w:rPr>
          <w:lang w:val="en-CA" w:eastAsia="zh-CN"/>
        </w:rPr>
        <w:t xml:space="preserve">are estimated to be US $575,000 and comprise </w:t>
      </w:r>
      <w:r w:rsidR="00F17120" w:rsidRPr="00AB69C7">
        <w:rPr>
          <w:lang w:val="en-CA" w:eastAsia="zh-CN"/>
        </w:rPr>
        <w:t>new acid-resistant refractory, new equipment purchases and installation, new instrument probes, and an upgraded distributed control system</w:t>
      </w:r>
      <w:r w:rsidR="007F3892" w:rsidRPr="00AB69C7">
        <w:rPr>
          <w:lang w:val="en-CA" w:eastAsia="zh-CN"/>
        </w:rPr>
        <w:t xml:space="preserve">. </w:t>
      </w:r>
      <w:r w:rsidR="00FE7F36">
        <w:rPr>
          <w:lang w:val="en-CA" w:eastAsia="zh-CN"/>
        </w:rPr>
        <w:t xml:space="preserve">Those costs could vary based on the capacity of the incinerator and site-specific conditions. </w:t>
      </w:r>
    </w:p>
    <w:p w:rsidR="00F17120" w:rsidRPr="00AB69C7" w:rsidRDefault="00F17120" w:rsidP="00F17120">
      <w:pPr>
        <w:rPr>
          <w:i/>
          <w:lang w:val="en-CA"/>
        </w:rPr>
      </w:pPr>
      <w:r w:rsidRPr="00AB69C7">
        <w:rPr>
          <w:i/>
          <w:lang w:val="en-CA"/>
        </w:rPr>
        <w:t>Cost of incineration at an off-site destruction facility</w:t>
      </w:r>
    </w:p>
    <w:p w:rsidR="00F17120" w:rsidRPr="00AB69C7" w:rsidRDefault="00F17120" w:rsidP="00F17120">
      <w:pPr>
        <w:rPr>
          <w:lang w:val="en-CA"/>
        </w:rPr>
      </w:pPr>
    </w:p>
    <w:p w:rsidR="00F17120" w:rsidRPr="00AB69C7" w:rsidRDefault="00F17120" w:rsidP="00F17120">
      <w:pPr>
        <w:pStyle w:val="Heading1"/>
        <w:rPr>
          <w:lang w:val="en-CA" w:eastAsia="zh-CN"/>
        </w:rPr>
      </w:pPr>
      <w:r w:rsidRPr="00AB69C7">
        <w:rPr>
          <w:lang w:val="en-CA" w:eastAsia="zh-CN"/>
        </w:rPr>
        <w:t>The main conclusions of the consultant’s evaluation are as follows:</w:t>
      </w:r>
    </w:p>
    <w:p w:rsidR="00776915" w:rsidRPr="00AB69C7" w:rsidRDefault="00F17120" w:rsidP="00F17120">
      <w:pPr>
        <w:pStyle w:val="Heading2"/>
        <w:rPr>
          <w:lang w:val="en-CA" w:eastAsia="zh-CN"/>
        </w:rPr>
      </w:pPr>
      <w:r w:rsidRPr="00AB69C7">
        <w:rPr>
          <w:lang w:val="en-CA" w:eastAsia="zh-CN"/>
        </w:rPr>
        <w:t>Costs to construct a</w:t>
      </w:r>
      <w:r w:rsidR="00776915" w:rsidRPr="00AB69C7">
        <w:rPr>
          <w:lang w:val="en-CA" w:eastAsia="zh-CN"/>
        </w:rPr>
        <w:t>nd operate a</w:t>
      </w:r>
      <w:r w:rsidRPr="00AB69C7">
        <w:rPr>
          <w:lang w:val="en-CA" w:eastAsia="zh-CN"/>
        </w:rPr>
        <w:t xml:space="preserve"> new, stand-alone incinerator are higher than for an on-site incinerator</w:t>
      </w:r>
      <w:r w:rsidR="001A2C19">
        <w:rPr>
          <w:lang w:val="en-CA" w:eastAsia="zh-CN"/>
        </w:rPr>
        <w:t xml:space="preserve"> given the need for additional equipment (e.g., receiving facilities for HFC-23 to be destroyed) and the loss of synergy-related benefits, including those related to labor, </w:t>
      </w:r>
      <w:r w:rsidR="0063049B">
        <w:rPr>
          <w:lang w:val="en-CA" w:eastAsia="zh-CN"/>
        </w:rPr>
        <w:t>supplies, overhead</w:t>
      </w:r>
      <w:r w:rsidR="001A2C19">
        <w:rPr>
          <w:lang w:val="en-CA" w:eastAsia="zh-CN"/>
        </w:rPr>
        <w:t>, and other costs</w:t>
      </w:r>
      <w:r w:rsidR="00A66C8F">
        <w:rPr>
          <w:lang w:val="en-CA" w:eastAsia="zh-CN"/>
        </w:rPr>
        <w:t>;</w:t>
      </w:r>
      <w:r w:rsidRPr="00AB69C7">
        <w:rPr>
          <w:lang w:val="en-CA" w:eastAsia="zh-CN"/>
        </w:rPr>
        <w:t xml:space="preserve"> </w:t>
      </w:r>
    </w:p>
    <w:p w:rsidR="0053388F" w:rsidRPr="00AB69C7" w:rsidRDefault="00F17120" w:rsidP="00F17120">
      <w:pPr>
        <w:pStyle w:val="Heading2"/>
        <w:rPr>
          <w:lang w:val="en-CA" w:eastAsia="zh-CN"/>
        </w:rPr>
      </w:pPr>
      <w:r w:rsidRPr="00AB69C7">
        <w:rPr>
          <w:lang w:val="en-CA" w:eastAsia="zh-CN"/>
        </w:rPr>
        <w:t>A conservative estimate of the total fixed capital costs of a new, stand-alone incinerator installed mid-2017 in Eastern Central China ranges between US $12.1 million for a 400</w:t>
      </w:r>
      <w:r w:rsidR="00A66C8F">
        <w:rPr>
          <w:lang w:val="en-CA" w:eastAsia="zh-CN"/>
        </w:rPr>
        <w:t> mt/yr</w:t>
      </w:r>
      <w:r w:rsidRPr="00AB69C7">
        <w:rPr>
          <w:lang w:val="en-CA" w:eastAsia="zh-CN"/>
        </w:rPr>
        <w:t xml:space="preserve"> incinerator to US $34.5 million for a 2,400</w:t>
      </w:r>
      <w:r w:rsidR="00A66C8F">
        <w:rPr>
          <w:lang w:val="en-CA" w:eastAsia="zh-CN"/>
        </w:rPr>
        <w:t> mt/yr</w:t>
      </w:r>
      <w:r w:rsidRPr="00AB69C7">
        <w:rPr>
          <w:lang w:val="en-CA" w:eastAsia="zh-CN"/>
        </w:rPr>
        <w:t xml:space="preserve"> incinerator. The lower-bound estimate for this same range is between US $</w:t>
      </w:r>
      <w:r w:rsidR="00776915" w:rsidRPr="00AB69C7">
        <w:rPr>
          <w:lang w:val="en-CA" w:eastAsia="zh-CN"/>
        </w:rPr>
        <w:t>8.8</w:t>
      </w:r>
      <w:r w:rsidRPr="00AB69C7">
        <w:rPr>
          <w:lang w:val="en-CA" w:eastAsia="zh-CN"/>
        </w:rPr>
        <w:t xml:space="preserve"> million and US $</w:t>
      </w:r>
      <w:r w:rsidR="00776915" w:rsidRPr="00AB69C7">
        <w:rPr>
          <w:lang w:val="en-CA" w:eastAsia="zh-CN"/>
        </w:rPr>
        <w:t>24.</w:t>
      </w:r>
      <w:r w:rsidRPr="00AB69C7">
        <w:rPr>
          <w:lang w:val="en-CA" w:eastAsia="zh-CN"/>
        </w:rPr>
        <w:t>5 million</w:t>
      </w:r>
      <w:r w:rsidR="00A66C8F">
        <w:rPr>
          <w:lang w:val="en-CA" w:eastAsia="zh-CN"/>
        </w:rPr>
        <w:t>; and</w:t>
      </w:r>
    </w:p>
    <w:p w:rsidR="00776915" w:rsidRDefault="00554470" w:rsidP="008A21C4">
      <w:pPr>
        <w:pStyle w:val="Heading2"/>
        <w:keepNext/>
        <w:keepLines/>
        <w:rPr>
          <w:lang w:val="en-CA" w:eastAsia="zh-CN"/>
        </w:rPr>
      </w:pPr>
      <w:r>
        <w:rPr>
          <w:lang w:val="en-CA" w:eastAsia="zh-CN"/>
        </w:rPr>
        <w:t>As in the case of an on-site destruction facility, o</w:t>
      </w:r>
      <w:r w:rsidRPr="00554470">
        <w:rPr>
          <w:lang w:val="en-CA" w:eastAsia="zh-CN"/>
        </w:rPr>
        <w:t>perating costs vary based on the capacity and extent of utilization of that capacity, varying between US $</w:t>
      </w:r>
      <w:r>
        <w:rPr>
          <w:lang w:val="en-CA" w:eastAsia="zh-CN"/>
        </w:rPr>
        <w:t>5.59</w:t>
      </w:r>
      <w:r w:rsidRPr="00554470">
        <w:rPr>
          <w:lang w:val="en-CA" w:eastAsia="zh-CN"/>
        </w:rPr>
        <w:t>/kg to</w:t>
      </w:r>
      <w:r>
        <w:rPr>
          <w:lang w:val="en-CA" w:eastAsia="zh-CN"/>
        </w:rPr>
        <w:t xml:space="preserve"> US $1.56/kg as shown in Table 2</w:t>
      </w:r>
      <w:r w:rsidRPr="00554470">
        <w:rPr>
          <w:lang w:val="en-CA" w:eastAsia="zh-CN"/>
        </w:rPr>
        <w:t>.</w:t>
      </w:r>
      <w:r>
        <w:rPr>
          <w:lang w:val="en-CA" w:eastAsia="zh-CN"/>
        </w:rPr>
        <w:t xml:space="preserve"> </w:t>
      </w:r>
      <w:r w:rsidR="00776915" w:rsidRPr="00AB69C7">
        <w:rPr>
          <w:lang w:val="en-CA" w:eastAsia="zh-CN"/>
        </w:rPr>
        <w:t xml:space="preserve">Operating costs </w:t>
      </w:r>
      <w:r>
        <w:rPr>
          <w:lang w:val="en-CA" w:eastAsia="zh-CN"/>
        </w:rPr>
        <w:t xml:space="preserve">in Table 2 </w:t>
      </w:r>
      <w:r w:rsidR="00AA37AE">
        <w:rPr>
          <w:lang w:val="en-CA" w:eastAsia="zh-CN"/>
        </w:rPr>
        <w:t xml:space="preserve">are </w:t>
      </w:r>
      <w:r w:rsidR="00AA37AE" w:rsidRPr="00AB69C7">
        <w:rPr>
          <w:lang w:val="en-CA" w:eastAsia="zh-CN"/>
        </w:rPr>
        <w:t xml:space="preserve">inclusive of collection, transportation to the off-site facility, </w:t>
      </w:r>
      <w:r w:rsidR="00AA37AE">
        <w:rPr>
          <w:lang w:val="en-CA" w:eastAsia="zh-CN"/>
        </w:rPr>
        <w:t>and incineration</w:t>
      </w:r>
      <w:r w:rsidRPr="00554470">
        <w:rPr>
          <w:lang w:val="en-CA" w:eastAsia="zh-CN"/>
        </w:rPr>
        <w:t xml:space="preserve">; </w:t>
      </w:r>
      <w:r>
        <w:rPr>
          <w:lang w:val="en-CA" w:eastAsia="zh-CN"/>
        </w:rPr>
        <w:t xml:space="preserve">i.e., </w:t>
      </w:r>
      <w:r w:rsidRPr="00554470">
        <w:rPr>
          <w:lang w:val="en-CA" w:eastAsia="zh-CN"/>
        </w:rPr>
        <w:t>t</w:t>
      </w:r>
      <w:r w:rsidR="00F82EEC" w:rsidRPr="00554470">
        <w:rPr>
          <w:lang w:val="en-CA" w:eastAsia="zh-CN"/>
        </w:rPr>
        <w:t>h</w:t>
      </w:r>
      <w:r w:rsidR="00462947" w:rsidRPr="00554470">
        <w:rPr>
          <w:lang w:val="en-CA" w:eastAsia="zh-CN"/>
        </w:rPr>
        <w:t>o</w:t>
      </w:r>
      <w:r w:rsidR="00F82EEC" w:rsidRPr="00554470">
        <w:rPr>
          <w:lang w:val="en-CA" w:eastAsia="zh-CN"/>
        </w:rPr>
        <w:t xml:space="preserve">se costs are </w:t>
      </w:r>
      <w:r w:rsidR="007670B9" w:rsidRPr="00554470">
        <w:rPr>
          <w:lang w:val="en-CA" w:eastAsia="zh-CN"/>
        </w:rPr>
        <w:t>the total costs to the HCFC-22 producer</w:t>
      </w:r>
      <w:r w:rsidR="00A66C8F" w:rsidRPr="00554470">
        <w:rPr>
          <w:lang w:val="en-CA" w:eastAsia="zh-CN"/>
        </w:rPr>
        <w:t>.</w:t>
      </w:r>
    </w:p>
    <w:p w:rsidR="00817D0C" w:rsidRPr="0063049B" w:rsidRDefault="00817D0C" w:rsidP="008A21C4">
      <w:pPr>
        <w:ind w:left="1440"/>
        <w:rPr>
          <w:b/>
          <w:lang w:val="en-CA" w:eastAsia="zh-CN"/>
        </w:rPr>
      </w:pPr>
      <w:r w:rsidRPr="0063049B">
        <w:rPr>
          <w:b/>
          <w:lang w:val="en-CA" w:eastAsia="zh-CN"/>
        </w:rPr>
        <w:t xml:space="preserve">Table </w:t>
      </w:r>
      <w:r>
        <w:rPr>
          <w:b/>
          <w:lang w:val="en-CA" w:eastAsia="zh-CN"/>
        </w:rPr>
        <w:t>2</w:t>
      </w:r>
      <w:r w:rsidRPr="0063049B">
        <w:rPr>
          <w:b/>
          <w:lang w:val="en-CA" w:eastAsia="zh-CN"/>
        </w:rPr>
        <w:t>: Upper</w:t>
      </w:r>
      <w:r>
        <w:rPr>
          <w:b/>
          <w:lang w:val="en-CA" w:eastAsia="zh-CN"/>
        </w:rPr>
        <w:t>- and lower-</w:t>
      </w:r>
      <w:r w:rsidRPr="0063049B">
        <w:rPr>
          <w:b/>
          <w:lang w:val="en-CA" w:eastAsia="zh-CN"/>
        </w:rPr>
        <w:t>bound estimated operating costs as function of capacity and extent of utilization for o</w:t>
      </w:r>
      <w:r>
        <w:rPr>
          <w:b/>
          <w:lang w:val="en-CA" w:eastAsia="zh-CN"/>
        </w:rPr>
        <w:t>ff</w:t>
      </w:r>
      <w:r w:rsidRPr="0063049B">
        <w:rPr>
          <w:b/>
          <w:lang w:val="en-CA" w:eastAsia="zh-CN"/>
        </w:rPr>
        <w:t>-site incinerators</w:t>
      </w:r>
    </w:p>
    <w:tbl>
      <w:tblPr>
        <w:tblW w:w="4244" w:type="pct"/>
        <w:tblInd w:w="1413" w:type="dxa"/>
        <w:tblLook w:val="04A0" w:firstRow="1" w:lastRow="0" w:firstColumn="1" w:lastColumn="0" w:noHBand="0" w:noVBand="1"/>
      </w:tblPr>
      <w:tblGrid>
        <w:gridCol w:w="1387"/>
        <w:gridCol w:w="816"/>
        <w:gridCol w:w="819"/>
        <w:gridCol w:w="819"/>
        <w:gridCol w:w="819"/>
        <w:gridCol w:w="819"/>
        <w:gridCol w:w="819"/>
        <w:gridCol w:w="819"/>
        <w:gridCol w:w="819"/>
      </w:tblGrid>
      <w:tr w:rsidR="00817D0C" w:rsidRPr="003D15CE" w:rsidTr="008A21C4">
        <w:trPr>
          <w:trHeight w:val="255"/>
        </w:trPr>
        <w:tc>
          <w:tcPr>
            <w:tcW w:w="19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17D0C" w:rsidRPr="003D15CE" w:rsidRDefault="00817D0C" w:rsidP="003630FA">
            <w:pPr>
              <w:jc w:val="left"/>
              <w:rPr>
                <w:color w:val="000000"/>
                <w:sz w:val="18"/>
                <w:szCs w:val="18"/>
                <w:lang w:val="en-US"/>
              </w:rPr>
            </w:pPr>
            <w:r w:rsidRPr="003D15CE">
              <w:rPr>
                <w:color w:val="000000"/>
                <w:sz w:val="18"/>
                <w:szCs w:val="18"/>
                <w:lang w:val="en-US"/>
              </w:rPr>
              <w:t> </w:t>
            </w:r>
          </w:p>
        </w:tc>
        <w:tc>
          <w:tcPr>
            <w:tcW w:w="4807" w:type="pct"/>
            <w:gridSpan w:val="8"/>
            <w:tcBorders>
              <w:top w:val="single" w:sz="4" w:space="0" w:color="auto"/>
              <w:left w:val="nil"/>
              <w:bottom w:val="single" w:sz="4" w:space="0" w:color="auto"/>
              <w:right w:val="single" w:sz="4" w:space="0" w:color="auto"/>
            </w:tcBorders>
            <w:shd w:val="clear" w:color="auto" w:fill="auto"/>
            <w:noWrap/>
            <w:vAlign w:val="bottom"/>
            <w:hideMark/>
          </w:tcPr>
          <w:p w:rsidR="00817D0C" w:rsidRPr="003D15CE" w:rsidRDefault="00817D0C" w:rsidP="00817D0C">
            <w:pPr>
              <w:jc w:val="center"/>
              <w:rPr>
                <w:b/>
                <w:color w:val="000000"/>
                <w:sz w:val="18"/>
                <w:szCs w:val="18"/>
                <w:lang w:val="en-US"/>
              </w:rPr>
            </w:pPr>
            <w:r w:rsidRPr="003D15CE">
              <w:rPr>
                <w:b/>
                <w:color w:val="000000"/>
                <w:sz w:val="18"/>
                <w:szCs w:val="18"/>
                <w:lang w:val="en-US"/>
              </w:rPr>
              <w:t>O</w:t>
            </w:r>
            <w:r>
              <w:rPr>
                <w:b/>
                <w:color w:val="000000"/>
                <w:sz w:val="18"/>
                <w:szCs w:val="18"/>
                <w:lang w:val="en-US"/>
              </w:rPr>
              <w:t>ff</w:t>
            </w:r>
            <w:r w:rsidRPr="003D15CE">
              <w:rPr>
                <w:b/>
                <w:color w:val="000000"/>
                <w:sz w:val="18"/>
                <w:szCs w:val="18"/>
                <w:lang w:val="en-US"/>
              </w:rPr>
              <w:t>-site incinerator capacity (mt/yr)</w:t>
            </w:r>
          </w:p>
        </w:tc>
      </w:tr>
      <w:tr w:rsidR="00817D0C" w:rsidRPr="003D15CE" w:rsidTr="008A21C4">
        <w:trPr>
          <w:trHeight w:val="255"/>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rsidR="00817D0C" w:rsidRPr="003D15CE" w:rsidRDefault="00817D0C" w:rsidP="003630FA">
            <w:pPr>
              <w:jc w:val="left"/>
              <w:rPr>
                <w:color w:val="000000"/>
                <w:sz w:val="18"/>
                <w:szCs w:val="18"/>
                <w:lang w:val="en-US"/>
              </w:rPr>
            </w:pPr>
          </w:p>
        </w:tc>
        <w:tc>
          <w:tcPr>
            <w:tcW w:w="1201" w:type="pct"/>
            <w:gridSpan w:val="2"/>
            <w:tcBorders>
              <w:top w:val="single" w:sz="4" w:space="0" w:color="auto"/>
              <w:left w:val="nil"/>
              <w:bottom w:val="single" w:sz="4" w:space="0" w:color="auto"/>
              <w:right w:val="single" w:sz="4" w:space="0" w:color="auto"/>
            </w:tcBorders>
            <w:shd w:val="clear" w:color="auto" w:fill="auto"/>
            <w:noWrap/>
            <w:vAlign w:val="bottom"/>
            <w:hideMark/>
          </w:tcPr>
          <w:p w:rsidR="00817D0C" w:rsidRPr="003D15CE" w:rsidRDefault="00817D0C" w:rsidP="003630FA">
            <w:pPr>
              <w:jc w:val="center"/>
              <w:rPr>
                <w:b/>
                <w:color w:val="000000"/>
                <w:sz w:val="18"/>
                <w:szCs w:val="18"/>
                <w:lang w:val="en-US"/>
              </w:rPr>
            </w:pPr>
            <w:r w:rsidRPr="003D15CE">
              <w:rPr>
                <w:b/>
                <w:color w:val="000000"/>
                <w:sz w:val="18"/>
                <w:szCs w:val="18"/>
                <w:lang w:val="en-US"/>
              </w:rPr>
              <w:t>400</w:t>
            </w:r>
          </w:p>
        </w:tc>
        <w:tc>
          <w:tcPr>
            <w:tcW w:w="1202" w:type="pct"/>
            <w:gridSpan w:val="2"/>
            <w:tcBorders>
              <w:top w:val="single" w:sz="4" w:space="0" w:color="auto"/>
              <w:left w:val="nil"/>
              <w:bottom w:val="single" w:sz="4" w:space="0" w:color="auto"/>
              <w:right w:val="single" w:sz="4" w:space="0" w:color="auto"/>
            </w:tcBorders>
            <w:shd w:val="clear" w:color="auto" w:fill="auto"/>
            <w:noWrap/>
            <w:vAlign w:val="bottom"/>
            <w:hideMark/>
          </w:tcPr>
          <w:p w:rsidR="00817D0C" w:rsidRPr="003D15CE" w:rsidRDefault="00817D0C" w:rsidP="003630FA">
            <w:pPr>
              <w:jc w:val="center"/>
              <w:rPr>
                <w:b/>
                <w:color w:val="000000"/>
                <w:sz w:val="18"/>
                <w:szCs w:val="18"/>
                <w:lang w:val="en-US"/>
              </w:rPr>
            </w:pPr>
            <w:r w:rsidRPr="003D15CE">
              <w:rPr>
                <w:b/>
                <w:color w:val="000000"/>
                <w:sz w:val="18"/>
                <w:szCs w:val="18"/>
                <w:lang w:val="en-US"/>
              </w:rPr>
              <w:t>800</w:t>
            </w:r>
          </w:p>
        </w:tc>
        <w:tc>
          <w:tcPr>
            <w:tcW w:w="1202" w:type="pct"/>
            <w:gridSpan w:val="2"/>
            <w:tcBorders>
              <w:top w:val="single" w:sz="4" w:space="0" w:color="auto"/>
              <w:left w:val="nil"/>
              <w:bottom w:val="single" w:sz="4" w:space="0" w:color="auto"/>
              <w:right w:val="single" w:sz="4" w:space="0" w:color="auto"/>
            </w:tcBorders>
            <w:shd w:val="clear" w:color="auto" w:fill="auto"/>
            <w:noWrap/>
            <w:vAlign w:val="bottom"/>
            <w:hideMark/>
          </w:tcPr>
          <w:p w:rsidR="00817D0C" w:rsidRPr="003D15CE" w:rsidRDefault="00817D0C" w:rsidP="003630FA">
            <w:pPr>
              <w:jc w:val="center"/>
              <w:rPr>
                <w:b/>
                <w:color w:val="000000"/>
                <w:sz w:val="18"/>
                <w:szCs w:val="18"/>
                <w:lang w:val="en-US"/>
              </w:rPr>
            </w:pPr>
            <w:r w:rsidRPr="003D15CE">
              <w:rPr>
                <w:b/>
                <w:color w:val="000000"/>
                <w:sz w:val="18"/>
                <w:szCs w:val="18"/>
                <w:lang w:val="en-US"/>
              </w:rPr>
              <w:t>1</w:t>
            </w:r>
            <w:r w:rsidR="002F2628">
              <w:rPr>
                <w:b/>
                <w:color w:val="000000"/>
                <w:sz w:val="18"/>
                <w:szCs w:val="18"/>
                <w:lang w:val="en-US"/>
              </w:rPr>
              <w:t>,</w:t>
            </w:r>
            <w:r w:rsidRPr="003D15CE">
              <w:rPr>
                <w:b/>
                <w:color w:val="000000"/>
                <w:sz w:val="18"/>
                <w:szCs w:val="18"/>
                <w:lang w:val="en-US"/>
              </w:rPr>
              <w:t>600</w:t>
            </w:r>
          </w:p>
        </w:tc>
        <w:tc>
          <w:tcPr>
            <w:tcW w:w="1202" w:type="pct"/>
            <w:gridSpan w:val="2"/>
            <w:tcBorders>
              <w:top w:val="single" w:sz="4" w:space="0" w:color="auto"/>
              <w:left w:val="nil"/>
              <w:bottom w:val="single" w:sz="4" w:space="0" w:color="auto"/>
              <w:right w:val="single" w:sz="4" w:space="0" w:color="auto"/>
            </w:tcBorders>
            <w:shd w:val="clear" w:color="auto" w:fill="auto"/>
            <w:noWrap/>
            <w:vAlign w:val="bottom"/>
            <w:hideMark/>
          </w:tcPr>
          <w:p w:rsidR="00817D0C" w:rsidRPr="003D15CE" w:rsidRDefault="00817D0C" w:rsidP="003630FA">
            <w:pPr>
              <w:jc w:val="center"/>
              <w:rPr>
                <w:b/>
                <w:color w:val="000000"/>
                <w:sz w:val="18"/>
                <w:szCs w:val="18"/>
                <w:lang w:val="en-US"/>
              </w:rPr>
            </w:pPr>
            <w:r w:rsidRPr="003D15CE">
              <w:rPr>
                <w:b/>
                <w:color w:val="000000"/>
                <w:sz w:val="18"/>
                <w:szCs w:val="18"/>
                <w:lang w:val="en-US"/>
              </w:rPr>
              <w:t>2</w:t>
            </w:r>
            <w:r w:rsidR="002F2628">
              <w:rPr>
                <w:b/>
                <w:color w:val="000000"/>
                <w:sz w:val="18"/>
                <w:szCs w:val="18"/>
                <w:lang w:val="en-US"/>
              </w:rPr>
              <w:t>,</w:t>
            </w:r>
            <w:r w:rsidRPr="003D15CE">
              <w:rPr>
                <w:b/>
                <w:color w:val="000000"/>
                <w:sz w:val="18"/>
                <w:szCs w:val="18"/>
                <w:lang w:val="en-US"/>
              </w:rPr>
              <w:t>400</w:t>
            </w:r>
          </w:p>
        </w:tc>
      </w:tr>
      <w:tr w:rsidR="00817D0C" w:rsidRPr="008A21C4" w:rsidTr="008A21C4">
        <w:trPr>
          <w:trHeight w:val="510"/>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rsidR="00817D0C" w:rsidRPr="008A21C4" w:rsidRDefault="00817D0C" w:rsidP="003630FA">
            <w:pPr>
              <w:jc w:val="left"/>
              <w:rPr>
                <w:b/>
                <w:color w:val="000000"/>
                <w:sz w:val="14"/>
                <w:szCs w:val="14"/>
                <w:lang w:val="en-US"/>
              </w:rPr>
            </w:pPr>
            <w:r w:rsidRPr="008A21C4">
              <w:rPr>
                <w:b/>
                <w:color w:val="000000"/>
                <w:sz w:val="14"/>
                <w:szCs w:val="14"/>
                <w:lang w:val="en-US"/>
              </w:rPr>
              <w:t>Per cent utilization </w:t>
            </w:r>
          </w:p>
        </w:tc>
        <w:tc>
          <w:tcPr>
            <w:tcW w:w="600" w:type="pct"/>
            <w:tcBorders>
              <w:top w:val="nil"/>
              <w:left w:val="nil"/>
              <w:bottom w:val="single" w:sz="4" w:space="0" w:color="auto"/>
              <w:right w:val="single" w:sz="4" w:space="0" w:color="auto"/>
            </w:tcBorders>
            <w:shd w:val="clear" w:color="auto" w:fill="auto"/>
            <w:vAlign w:val="bottom"/>
            <w:hideMark/>
          </w:tcPr>
          <w:p w:rsidR="00817D0C" w:rsidRPr="008A21C4" w:rsidRDefault="00817D0C" w:rsidP="008A21C4">
            <w:pPr>
              <w:jc w:val="center"/>
              <w:rPr>
                <w:b/>
                <w:color w:val="000000"/>
                <w:sz w:val="14"/>
                <w:szCs w:val="14"/>
                <w:lang w:val="en-US"/>
              </w:rPr>
            </w:pPr>
            <w:r w:rsidRPr="008A21C4">
              <w:rPr>
                <w:b/>
                <w:color w:val="000000"/>
                <w:sz w:val="14"/>
                <w:szCs w:val="14"/>
                <w:lang w:val="en-US"/>
              </w:rPr>
              <w:t>Lower-bound (US</w:t>
            </w:r>
            <w:r w:rsidR="008A21C4">
              <w:rPr>
                <w:b/>
                <w:color w:val="000000"/>
                <w:sz w:val="14"/>
                <w:szCs w:val="14"/>
                <w:lang w:val="en-US"/>
              </w:rPr>
              <w:t> </w:t>
            </w:r>
            <w:r w:rsidRPr="008A21C4">
              <w:rPr>
                <w:b/>
                <w:color w:val="000000"/>
                <w:sz w:val="14"/>
                <w:szCs w:val="14"/>
                <w:lang w:val="en-US"/>
              </w:rPr>
              <w:t>$/kg)</w:t>
            </w:r>
          </w:p>
        </w:tc>
        <w:tc>
          <w:tcPr>
            <w:tcW w:w="601" w:type="pct"/>
            <w:tcBorders>
              <w:top w:val="nil"/>
              <w:left w:val="nil"/>
              <w:bottom w:val="single" w:sz="4" w:space="0" w:color="auto"/>
              <w:right w:val="single" w:sz="4" w:space="0" w:color="auto"/>
            </w:tcBorders>
            <w:shd w:val="clear" w:color="auto" w:fill="auto"/>
            <w:vAlign w:val="bottom"/>
            <w:hideMark/>
          </w:tcPr>
          <w:p w:rsidR="00817D0C" w:rsidRPr="008A21C4" w:rsidRDefault="00817D0C" w:rsidP="008A21C4">
            <w:pPr>
              <w:jc w:val="center"/>
              <w:rPr>
                <w:b/>
                <w:color w:val="000000"/>
                <w:sz w:val="14"/>
                <w:szCs w:val="14"/>
                <w:lang w:val="en-US"/>
              </w:rPr>
            </w:pPr>
            <w:r w:rsidRPr="008A21C4">
              <w:rPr>
                <w:b/>
                <w:color w:val="000000"/>
                <w:sz w:val="14"/>
                <w:szCs w:val="14"/>
                <w:lang w:val="en-US"/>
              </w:rPr>
              <w:t>Upper-bound (US</w:t>
            </w:r>
            <w:r w:rsidR="008A21C4">
              <w:rPr>
                <w:b/>
                <w:color w:val="000000"/>
                <w:sz w:val="14"/>
                <w:szCs w:val="14"/>
                <w:lang w:val="en-US"/>
              </w:rPr>
              <w:t> </w:t>
            </w:r>
            <w:r w:rsidRPr="008A21C4">
              <w:rPr>
                <w:b/>
                <w:color w:val="000000"/>
                <w:sz w:val="14"/>
                <w:szCs w:val="14"/>
                <w:lang w:val="en-US"/>
              </w:rPr>
              <w:t>$/kg)</w:t>
            </w:r>
          </w:p>
        </w:tc>
        <w:tc>
          <w:tcPr>
            <w:tcW w:w="601" w:type="pct"/>
            <w:tcBorders>
              <w:top w:val="nil"/>
              <w:left w:val="nil"/>
              <w:bottom w:val="single" w:sz="4" w:space="0" w:color="auto"/>
              <w:right w:val="single" w:sz="4" w:space="0" w:color="auto"/>
            </w:tcBorders>
            <w:shd w:val="clear" w:color="auto" w:fill="auto"/>
            <w:vAlign w:val="bottom"/>
            <w:hideMark/>
          </w:tcPr>
          <w:p w:rsidR="00817D0C" w:rsidRPr="008A21C4" w:rsidRDefault="00817D0C" w:rsidP="008A21C4">
            <w:pPr>
              <w:jc w:val="center"/>
              <w:rPr>
                <w:b/>
                <w:color w:val="000000"/>
                <w:sz w:val="14"/>
                <w:szCs w:val="14"/>
                <w:lang w:val="en-US"/>
              </w:rPr>
            </w:pPr>
            <w:r w:rsidRPr="008A21C4">
              <w:rPr>
                <w:b/>
                <w:color w:val="000000"/>
                <w:sz w:val="14"/>
                <w:szCs w:val="14"/>
                <w:lang w:val="en-US"/>
              </w:rPr>
              <w:t>Lower-bound (US</w:t>
            </w:r>
            <w:r w:rsidR="008A21C4">
              <w:rPr>
                <w:b/>
                <w:color w:val="000000"/>
                <w:sz w:val="14"/>
                <w:szCs w:val="14"/>
                <w:lang w:val="en-US"/>
              </w:rPr>
              <w:t> </w:t>
            </w:r>
            <w:r w:rsidRPr="008A21C4">
              <w:rPr>
                <w:b/>
                <w:color w:val="000000"/>
                <w:sz w:val="14"/>
                <w:szCs w:val="14"/>
                <w:lang w:val="en-US"/>
              </w:rPr>
              <w:t>$/kg)</w:t>
            </w:r>
          </w:p>
        </w:tc>
        <w:tc>
          <w:tcPr>
            <w:tcW w:w="601" w:type="pct"/>
            <w:tcBorders>
              <w:top w:val="nil"/>
              <w:left w:val="nil"/>
              <w:bottom w:val="single" w:sz="4" w:space="0" w:color="auto"/>
              <w:right w:val="single" w:sz="4" w:space="0" w:color="auto"/>
            </w:tcBorders>
            <w:shd w:val="clear" w:color="auto" w:fill="auto"/>
            <w:vAlign w:val="bottom"/>
            <w:hideMark/>
          </w:tcPr>
          <w:p w:rsidR="00817D0C" w:rsidRPr="008A21C4" w:rsidRDefault="00817D0C" w:rsidP="008A21C4">
            <w:pPr>
              <w:jc w:val="center"/>
              <w:rPr>
                <w:b/>
                <w:color w:val="000000"/>
                <w:sz w:val="14"/>
                <w:szCs w:val="14"/>
                <w:lang w:val="en-US"/>
              </w:rPr>
            </w:pPr>
            <w:r w:rsidRPr="008A21C4">
              <w:rPr>
                <w:b/>
                <w:color w:val="000000"/>
                <w:sz w:val="14"/>
                <w:szCs w:val="14"/>
                <w:lang w:val="en-US"/>
              </w:rPr>
              <w:t>Upper-bound (US</w:t>
            </w:r>
            <w:r w:rsidR="008A21C4">
              <w:rPr>
                <w:b/>
                <w:color w:val="000000"/>
                <w:sz w:val="14"/>
                <w:szCs w:val="14"/>
                <w:lang w:val="en-US"/>
              </w:rPr>
              <w:t> </w:t>
            </w:r>
            <w:r w:rsidRPr="008A21C4">
              <w:rPr>
                <w:b/>
                <w:color w:val="000000"/>
                <w:sz w:val="14"/>
                <w:szCs w:val="14"/>
                <w:lang w:val="en-US"/>
              </w:rPr>
              <w:t>$/kg)</w:t>
            </w:r>
          </w:p>
        </w:tc>
        <w:tc>
          <w:tcPr>
            <w:tcW w:w="601" w:type="pct"/>
            <w:tcBorders>
              <w:top w:val="nil"/>
              <w:left w:val="nil"/>
              <w:bottom w:val="single" w:sz="4" w:space="0" w:color="auto"/>
              <w:right w:val="single" w:sz="4" w:space="0" w:color="auto"/>
            </w:tcBorders>
            <w:shd w:val="clear" w:color="auto" w:fill="auto"/>
            <w:vAlign w:val="bottom"/>
            <w:hideMark/>
          </w:tcPr>
          <w:p w:rsidR="00817D0C" w:rsidRPr="008A21C4" w:rsidRDefault="00817D0C" w:rsidP="008A21C4">
            <w:pPr>
              <w:jc w:val="center"/>
              <w:rPr>
                <w:b/>
                <w:color w:val="000000"/>
                <w:sz w:val="14"/>
                <w:szCs w:val="14"/>
                <w:lang w:val="en-US"/>
              </w:rPr>
            </w:pPr>
            <w:r w:rsidRPr="008A21C4">
              <w:rPr>
                <w:b/>
                <w:color w:val="000000"/>
                <w:sz w:val="14"/>
                <w:szCs w:val="14"/>
                <w:lang w:val="en-US"/>
              </w:rPr>
              <w:t>Lower-bound (US</w:t>
            </w:r>
            <w:r w:rsidR="008A21C4">
              <w:rPr>
                <w:b/>
                <w:color w:val="000000"/>
                <w:sz w:val="14"/>
                <w:szCs w:val="14"/>
                <w:lang w:val="en-US"/>
              </w:rPr>
              <w:t> </w:t>
            </w:r>
            <w:r w:rsidRPr="008A21C4">
              <w:rPr>
                <w:b/>
                <w:color w:val="000000"/>
                <w:sz w:val="14"/>
                <w:szCs w:val="14"/>
                <w:lang w:val="en-US"/>
              </w:rPr>
              <w:t>$/kg)</w:t>
            </w:r>
          </w:p>
        </w:tc>
        <w:tc>
          <w:tcPr>
            <w:tcW w:w="601" w:type="pct"/>
            <w:tcBorders>
              <w:top w:val="nil"/>
              <w:left w:val="nil"/>
              <w:bottom w:val="single" w:sz="4" w:space="0" w:color="auto"/>
              <w:right w:val="single" w:sz="4" w:space="0" w:color="auto"/>
            </w:tcBorders>
            <w:shd w:val="clear" w:color="auto" w:fill="auto"/>
            <w:vAlign w:val="bottom"/>
            <w:hideMark/>
          </w:tcPr>
          <w:p w:rsidR="00817D0C" w:rsidRPr="008A21C4" w:rsidRDefault="00817D0C" w:rsidP="008A21C4">
            <w:pPr>
              <w:jc w:val="center"/>
              <w:rPr>
                <w:b/>
                <w:color w:val="000000"/>
                <w:sz w:val="14"/>
                <w:szCs w:val="14"/>
                <w:lang w:val="en-US"/>
              </w:rPr>
            </w:pPr>
            <w:r w:rsidRPr="008A21C4">
              <w:rPr>
                <w:b/>
                <w:color w:val="000000"/>
                <w:sz w:val="14"/>
                <w:szCs w:val="14"/>
                <w:lang w:val="en-US"/>
              </w:rPr>
              <w:t>Upper-bound (US</w:t>
            </w:r>
            <w:r w:rsidR="008A21C4">
              <w:rPr>
                <w:b/>
                <w:color w:val="000000"/>
                <w:sz w:val="14"/>
                <w:szCs w:val="14"/>
                <w:lang w:val="en-US"/>
              </w:rPr>
              <w:t> </w:t>
            </w:r>
            <w:r w:rsidRPr="008A21C4">
              <w:rPr>
                <w:b/>
                <w:color w:val="000000"/>
                <w:sz w:val="14"/>
                <w:szCs w:val="14"/>
                <w:lang w:val="en-US"/>
              </w:rPr>
              <w:t>$/kg)</w:t>
            </w:r>
          </w:p>
        </w:tc>
        <w:tc>
          <w:tcPr>
            <w:tcW w:w="601" w:type="pct"/>
            <w:tcBorders>
              <w:top w:val="nil"/>
              <w:left w:val="nil"/>
              <w:bottom w:val="single" w:sz="4" w:space="0" w:color="auto"/>
              <w:right w:val="single" w:sz="4" w:space="0" w:color="auto"/>
            </w:tcBorders>
            <w:shd w:val="clear" w:color="auto" w:fill="auto"/>
            <w:vAlign w:val="bottom"/>
            <w:hideMark/>
          </w:tcPr>
          <w:p w:rsidR="00817D0C" w:rsidRPr="008A21C4" w:rsidRDefault="00817D0C" w:rsidP="008A21C4">
            <w:pPr>
              <w:jc w:val="center"/>
              <w:rPr>
                <w:b/>
                <w:color w:val="000000"/>
                <w:sz w:val="14"/>
                <w:szCs w:val="14"/>
                <w:lang w:val="en-US"/>
              </w:rPr>
            </w:pPr>
            <w:r w:rsidRPr="008A21C4">
              <w:rPr>
                <w:b/>
                <w:color w:val="000000"/>
                <w:sz w:val="14"/>
                <w:szCs w:val="14"/>
                <w:lang w:val="en-US"/>
              </w:rPr>
              <w:t>Lower-bound (US</w:t>
            </w:r>
            <w:r w:rsidR="008A21C4">
              <w:rPr>
                <w:b/>
                <w:color w:val="000000"/>
                <w:sz w:val="14"/>
                <w:szCs w:val="14"/>
                <w:lang w:val="en-US"/>
              </w:rPr>
              <w:t> </w:t>
            </w:r>
            <w:r w:rsidRPr="008A21C4">
              <w:rPr>
                <w:b/>
                <w:color w:val="000000"/>
                <w:sz w:val="14"/>
                <w:szCs w:val="14"/>
                <w:lang w:val="en-US"/>
              </w:rPr>
              <w:t>$/kg)</w:t>
            </w:r>
          </w:p>
        </w:tc>
        <w:tc>
          <w:tcPr>
            <w:tcW w:w="601" w:type="pct"/>
            <w:tcBorders>
              <w:top w:val="nil"/>
              <w:left w:val="nil"/>
              <w:bottom w:val="single" w:sz="4" w:space="0" w:color="auto"/>
              <w:right w:val="single" w:sz="4" w:space="0" w:color="auto"/>
            </w:tcBorders>
            <w:shd w:val="clear" w:color="auto" w:fill="auto"/>
            <w:vAlign w:val="bottom"/>
            <w:hideMark/>
          </w:tcPr>
          <w:p w:rsidR="00817D0C" w:rsidRPr="008A21C4" w:rsidRDefault="00817D0C" w:rsidP="008A21C4">
            <w:pPr>
              <w:jc w:val="center"/>
              <w:rPr>
                <w:b/>
                <w:color w:val="000000"/>
                <w:sz w:val="14"/>
                <w:szCs w:val="14"/>
                <w:lang w:val="en-US"/>
              </w:rPr>
            </w:pPr>
            <w:r w:rsidRPr="008A21C4">
              <w:rPr>
                <w:b/>
                <w:color w:val="000000"/>
                <w:sz w:val="14"/>
                <w:szCs w:val="14"/>
                <w:lang w:val="en-US"/>
              </w:rPr>
              <w:t>Upper-bound (US</w:t>
            </w:r>
            <w:r w:rsidR="008A21C4">
              <w:rPr>
                <w:b/>
                <w:color w:val="000000"/>
                <w:sz w:val="14"/>
                <w:szCs w:val="14"/>
                <w:lang w:val="en-US"/>
              </w:rPr>
              <w:t> </w:t>
            </w:r>
            <w:r w:rsidRPr="008A21C4">
              <w:rPr>
                <w:b/>
                <w:color w:val="000000"/>
                <w:sz w:val="14"/>
                <w:szCs w:val="14"/>
                <w:lang w:val="en-US"/>
              </w:rPr>
              <w:t>$/kg)</w:t>
            </w:r>
          </w:p>
        </w:tc>
      </w:tr>
      <w:tr w:rsidR="00817D0C" w:rsidRPr="003D15CE" w:rsidTr="008A21C4">
        <w:trPr>
          <w:trHeight w:val="255"/>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rsidR="00817D0C" w:rsidRPr="003D15CE" w:rsidRDefault="00817D0C" w:rsidP="008A21C4">
            <w:pPr>
              <w:jc w:val="left"/>
              <w:rPr>
                <w:color w:val="000000"/>
                <w:sz w:val="18"/>
                <w:szCs w:val="18"/>
                <w:lang w:val="en-US"/>
              </w:rPr>
            </w:pPr>
            <w:r w:rsidRPr="003D15CE">
              <w:rPr>
                <w:color w:val="000000"/>
                <w:sz w:val="18"/>
                <w:szCs w:val="18"/>
                <w:lang w:val="en-US"/>
              </w:rPr>
              <w:t>100</w:t>
            </w:r>
          </w:p>
        </w:tc>
        <w:tc>
          <w:tcPr>
            <w:tcW w:w="600"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2.81</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3.24</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2.11</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2.45</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1.71</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1.98</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1.56</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1.80</w:t>
            </w:r>
          </w:p>
        </w:tc>
      </w:tr>
      <w:tr w:rsidR="00817D0C" w:rsidRPr="003D15CE" w:rsidTr="008A21C4">
        <w:trPr>
          <w:trHeight w:val="255"/>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rsidR="00817D0C" w:rsidRPr="003D15CE" w:rsidRDefault="00817D0C" w:rsidP="008A21C4">
            <w:pPr>
              <w:jc w:val="left"/>
              <w:rPr>
                <w:color w:val="000000"/>
                <w:sz w:val="18"/>
                <w:szCs w:val="18"/>
                <w:lang w:val="en-US"/>
              </w:rPr>
            </w:pPr>
            <w:r w:rsidRPr="003D15CE">
              <w:rPr>
                <w:color w:val="000000"/>
                <w:sz w:val="18"/>
                <w:szCs w:val="18"/>
                <w:lang w:val="en-US"/>
              </w:rPr>
              <w:t>75</w:t>
            </w:r>
          </w:p>
        </w:tc>
        <w:tc>
          <w:tcPr>
            <w:tcW w:w="600"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3.45</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4.02</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2.52</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2.97</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1.99</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2.35</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1.79</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2.10</w:t>
            </w:r>
          </w:p>
        </w:tc>
      </w:tr>
      <w:tr w:rsidR="00817D0C" w:rsidRPr="003D15CE" w:rsidTr="008A21C4">
        <w:trPr>
          <w:trHeight w:val="255"/>
        </w:trPr>
        <w:tc>
          <w:tcPr>
            <w:tcW w:w="193" w:type="pct"/>
            <w:tcBorders>
              <w:top w:val="nil"/>
              <w:left w:val="single" w:sz="4" w:space="0" w:color="auto"/>
              <w:bottom w:val="single" w:sz="4" w:space="0" w:color="auto"/>
              <w:right w:val="single" w:sz="4" w:space="0" w:color="auto"/>
            </w:tcBorders>
            <w:shd w:val="clear" w:color="auto" w:fill="auto"/>
            <w:noWrap/>
            <w:vAlign w:val="bottom"/>
            <w:hideMark/>
          </w:tcPr>
          <w:p w:rsidR="00817D0C" w:rsidRPr="003D15CE" w:rsidRDefault="00817D0C" w:rsidP="008A21C4">
            <w:pPr>
              <w:jc w:val="left"/>
              <w:rPr>
                <w:color w:val="000000"/>
                <w:sz w:val="18"/>
                <w:szCs w:val="18"/>
                <w:lang w:val="en-US"/>
              </w:rPr>
            </w:pPr>
            <w:r w:rsidRPr="003D15CE">
              <w:rPr>
                <w:color w:val="000000"/>
                <w:sz w:val="18"/>
                <w:szCs w:val="18"/>
                <w:lang w:val="en-US"/>
              </w:rPr>
              <w:t>50</w:t>
            </w:r>
          </w:p>
        </w:tc>
        <w:tc>
          <w:tcPr>
            <w:tcW w:w="600"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4.73</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5.59</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3.33</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4.01</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2.54</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3.08</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2.23</w:t>
            </w:r>
          </w:p>
        </w:tc>
        <w:tc>
          <w:tcPr>
            <w:tcW w:w="601" w:type="pct"/>
            <w:tcBorders>
              <w:top w:val="nil"/>
              <w:left w:val="nil"/>
              <w:bottom w:val="single" w:sz="4" w:space="0" w:color="auto"/>
              <w:right w:val="single" w:sz="4" w:space="0" w:color="auto"/>
            </w:tcBorders>
            <w:shd w:val="clear" w:color="auto" w:fill="auto"/>
            <w:noWrap/>
            <w:vAlign w:val="center"/>
            <w:hideMark/>
          </w:tcPr>
          <w:p w:rsidR="00817D0C" w:rsidRPr="00817D0C" w:rsidRDefault="00817D0C" w:rsidP="008A21C4">
            <w:pPr>
              <w:jc w:val="right"/>
              <w:rPr>
                <w:sz w:val="18"/>
                <w:szCs w:val="18"/>
              </w:rPr>
            </w:pPr>
            <w:r w:rsidRPr="00817D0C">
              <w:rPr>
                <w:sz w:val="18"/>
                <w:szCs w:val="18"/>
              </w:rPr>
              <w:t>2.71</w:t>
            </w:r>
          </w:p>
        </w:tc>
      </w:tr>
    </w:tbl>
    <w:p w:rsidR="00817D0C" w:rsidRDefault="00817D0C" w:rsidP="00817D0C">
      <w:pPr>
        <w:rPr>
          <w:lang w:val="en-CA" w:eastAsia="zh-CN"/>
        </w:rPr>
      </w:pPr>
    </w:p>
    <w:p w:rsidR="00462947" w:rsidRPr="00AB69C7" w:rsidRDefault="00943C99" w:rsidP="00A66C8F">
      <w:pPr>
        <w:keepNext/>
        <w:keepLines/>
        <w:rPr>
          <w:i/>
          <w:lang w:val="en-CA"/>
        </w:rPr>
      </w:pPr>
      <w:r w:rsidRPr="00AB69C7">
        <w:rPr>
          <w:i/>
          <w:lang w:val="en-CA"/>
        </w:rPr>
        <w:lastRenderedPageBreak/>
        <w:t>Cost of destroying HFC-23 by-product through irreversible transformation and other new technologies</w:t>
      </w:r>
    </w:p>
    <w:p w:rsidR="00462947" w:rsidRPr="00AB69C7" w:rsidRDefault="00462947" w:rsidP="00A66C8F">
      <w:pPr>
        <w:keepNext/>
        <w:keepLines/>
        <w:rPr>
          <w:lang w:val="en-CA"/>
        </w:rPr>
      </w:pPr>
    </w:p>
    <w:p w:rsidR="00462947" w:rsidRPr="00AB69C7" w:rsidRDefault="00943C99" w:rsidP="00B57134">
      <w:pPr>
        <w:pStyle w:val="Heading1"/>
        <w:rPr>
          <w:lang w:val="en-CA" w:eastAsia="zh-CN"/>
        </w:rPr>
      </w:pPr>
      <w:r w:rsidRPr="00AB69C7">
        <w:rPr>
          <w:lang w:val="en-CA" w:eastAsia="zh-CN"/>
        </w:rPr>
        <w:t>Four technologies were assessed:  pyrolysis of HFC-23 into</w:t>
      </w:r>
      <w:r w:rsidR="00B57134">
        <w:rPr>
          <w:lang w:val="en-CA" w:eastAsia="zh-CN"/>
        </w:rPr>
        <w:t xml:space="preserve"> </w:t>
      </w:r>
      <w:r w:rsidR="0001484C">
        <w:rPr>
          <w:lang w:val="en-CA" w:eastAsia="zh-CN"/>
        </w:rPr>
        <w:t>carbonyl</w:t>
      </w:r>
      <w:r w:rsidR="00B57134" w:rsidRPr="00B57134">
        <w:rPr>
          <w:lang w:val="en-CA" w:eastAsia="zh-CN"/>
        </w:rPr>
        <w:t xml:space="preserve"> fluoride</w:t>
      </w:r>
      <w:r w:rsidRPr="00AB69C7">
        <w:rPr>
          <w:lang w:val="en-CA" w:eastAsia="zh-CN"/>
        </w:rPr>
        <w:t xml:space="preserve"> </w:t>
      </w:r>
      <w:r w:rsidR="00B57134">
        <w:rPr>
          <w:lang w:val="en-CA" w:eastAsia="zh-CN"/>
        </w:rPr>
        <w:t>(</w:t>
      </w:r>
      <w:r w:rsidRPr="00AB69C7">
        <w:rPr>
          <w:lang w:val="en-CA" w:eastAsia="zh-CN"/>
        </w:rPr>
        <w:t>COF</w:t>
      </w:r>
      <w:r w:rsidRPr="00AB69C7">
        <w:rPr>
          <w:vertAlign w:val="subscript"/>
          <w:lang w:val="en-CA" w:eastAsia="zh-CN"/>
        </w:rPr>
        <w:t>2</w:t>
      </w:r>
      <w:r w:rsidR="00554470" w:rsidRPr="00554470">
        <w:rPr>
          <w:lang w:val="en-CA" w:eastAsia="zh-CN"/>
        </w:rPr>
        <w:t>)</w:t>
      </w:r>
      <w:r w:rsidRPr="00AB69C7">
        <w:rPr>
          <w:lang w:val="en-CA" w:eastAsia="zh-CN"/>
        </w:rPr>
        <w:t xml:space="preserve">; iodization of HFC-23 into </w:t>
      </w:r>
      <w:r w:rsidR="00B57134">
        <w:rPr>
          <w:lang w:val="en-CA" w:eastAsia="zh-CN"/>
        </w:rPr>
        <w:t>t</w:t>
      </w:r>
      <w:r w:rsidR="00B57134" w:rsidRPr="00B57134">
        <w:rPr>
          <w:lang w:val="en-CA" w:eastAsia="zh-CN"/>
        </w:rPr>
        <w:t xml:space="preserve">rifluoroiodomethane </w:t>
      </w:r>
      <w:r w:rsidR="00B57134">
        <w:rPr>
          <w:lang w:val="en-CA" w:eastAsia="zh-CN"/>
        </w:rPr>
        <w:t>(</w:t>
      </w:r>
      <w:r w:rsidRPr="00AB69C7">
        <w:rPr>
          <w:lang w:val="en-CA" w:eastAsia="zh-CN"/>
        </w:rPr>
        <w:t>CF</w:t>
      </w:r>
      <w:r w:rsidRPr="00AB69C7">
        <w:rPr>
          <w:vertAlign w:val="subscript"/>
          <w:lang w:val="en-CA" w:eastAsia="zh-CN"/>
        </w:rPr>
        <w:t>3</w:t>
      </w:r>
      <w:r w:rsidRPr="00AB69C7">
        <w:rPr>
          <w:lang w:val="en-CA" w:eastAsia="zh-CN"/>
        </w:rPr>
        <w:t>I</w:t>
      </w:r>
      <w:r w:rsidR="00B57134">
        <w:rPr>
          <w:lang w:val="en-CA" w:eastAsia="zh-CN"/>
        </w:rPr>
        <w:t>)</w:t>
      </w:r>
      <w:r w:rsidRPr="00AB69C7">
        <w:rPr>
          <w:lang w:val="en-CA" w:eastAsia="zh-CN"/>
        </w:rPr>
        <w:t>;</w:t>
      </w:r>
      <w:r w:rsidR="0056205A" w:rsidRPr="00AB69C7">
        <w:rPr>
          <w:rStyle w:val="FootnoteReference"/>
          <w:lang w:val="en-CA" w:eastAsia="zh-CN"/>
        </w:rPr>
        <w:footnoteReference w:id="3"/>
      </w:r>
      <w:r w:rsidRPr="00AB69C7">
        <w:rPr>
          <w:lang w:val="en-CA" w:eastAsia="zh-CN"/>
        </w:rPr>
        <w:t xml:space="preserve"> </w:t>
      </w:r>
      <w:r w:rsidR="005D2D7E" w:rsidRPr="00AB69C7">
        <w:rPr>
          <w:lang w:val="en-CA" w:eastAsia="zh-CN"/>
        </w:rPr>
        <w:t>conversion to HCFC-22, vinylidene difluoride (VDF), or TFE and hexafluoropropylene (HFP);</w:t>
      </w:r>
      <w:r w:rsidR="0056205A" w:rsidRPr="00AB69C7">
        <w:rPr>
          <w:rStyle w:val="FootnoteReference"/>
          <w:lang w:val="en-CA" w:eastAsia="zh-CN"/>
        </w:rPr>
        <w:footnoteReference w:id="4"/>
      </w:r>
      <w:r w:rsidR="005D2D7E" w:rsidRPr="00AB69C7">
        <w:rPr>
          <w:lang w:val="en-CA" w:eastAsia="zh-CN"/>
        </w:rPr>
        <w:t xml:space="preserve"> </w:t>
      </w:r>
      <w:r w:rsidR="0056205A" w:rsidRPr="00AB69C7">
        <w:rPr>
          <w:lang w:val="en-CA" w:eastAsia="zh-CN"/>
        </w:rPr>
        <w:t>and chemical reaction with hydrogen and carbon dioxide.</w:t>
      </w:r>
      <w:r w:rsidR="0056205A" w:rsidRPr="00AB69C7">
        <w:rPr>
          <w:rStyle w:val="FootnoteReference"/>
          <w:lang w:val="en-CA" w:eastAsia="zh-CN"/>
        </w:rPr>
        <w:footnoteReference w:id="5"/>
      </w:r>
      <w:r w:rsidR="0056205A" w:rsidRPr="00AB69C7">
        <w:rPr>
          <w:lang w:val="en-CA" w:eastAsia="zh-CN"/>
        </w:rPr>
        <w:t xml:space="preserve"> </w:t>
      </w:r>
      <w:r w:rsidR="005C7B96" w:rsidRPr="00AB69C7">
        <w:rPr>
          <w:lang w:val="en-CA" w:eastAsia="zh-CN"/>
        </w:rPr>
        <w:t xml:space="preserve">Costs for the former three technologies </w:t>
      </w:r>
      <w:r w:rsidR="005C7B96" w:rsidRPr="006B12DC">
        <w:rPr>
          <w:lang w:val="en-CA" w:eastAsia="zh-CN"/>
        </w:rPr>
        <w:t xml:space="preserve">could not be assessed as those technologies are still in the research stage. For the latter, </w:t>
      </w:r>
      <w:r w:rsidR="007670B9" w:rsidRPr="006B12DC">
        <w:rPr>
          <w:lang w:val="en-CA" w:eastAsia="zh-CN"/>
        </w:rPr>
        <w:t>the technology provider did not provide the needed information and limited information is publicly available</w:t>
      </w:r>
      <w:r w:rsidR="006B12DC" w:rsidRPr="006B12DC">
        <w:rPr>
          <w:lang w:val="en-CA" w:eastAsia="zh-CN"/>
        </w:rPr>
        <w:t xml:space="preserve"> to estimate costs</w:t>
      </w:r>
      <w:r w:rsidR="007670B9" w:rsidRPr="006B12DC">
        <w:rPr>
          <w:lang w:val="en-CA" w:eastAsia="zh-CN"/>
        </w:rPr>
        <w:t>.</w:t>
      </w:r>
      <w:r w:rsidR="005C7B96" w:rsidRPr="006B12DC">
        <w:rPr>
          <w:lang w:val="en-CA" w:eastAsia="zh-CN"/>
        </w:rPr>
        <w:t xml:space="preserve"> </w:t>
      </w:r>
      <w:r w:rsidR="006B12DC" w:rsidRPr="006B12DC">
        <w:rPr>
          <w:lang w:val="en-CA" w:eastAsia="zh-CN"/>
        </w:rPr>
        <w:t>In particular, t</w:t>
      </w:r>
      <w:r w:rsidR="005C7B96" w:rsidRPr="006B12DC">
        <w:rPr>
          <w:lang w:val="en-CA" w:eastAsia="zh-CN"/>
        </w:rPr>
        <w:t>he consultant was not able to independently assess the operating costs suggested by the technology provider, no</w:t>
      </w:r>
      <w:r w:rsidR="00A365E2" w:rsidRPr="006B12DC">
        <w:rPr>
          <w:lang w:val="en-CA" w:eastAsia="zh-CN"/>
        </w:rPr>
        <w:t>r</w:t>
      </w:r>
      <w:r w:rsidR="005C7B96" w:rsidRPr="006B12DC">
        <w:rPr>
          <w:lang w:val="en-CA" w:eastAsia="zh-CN"/>
        </w:rPr>
        <w:t xml:space="preserve"> was the consultant able to estimate the capital costs of the necessary equipment; both of those costs would determine the payback period of the technology relative to an incinerator. </w:t>
      </w:r>
      <w:r w:rsidR="007670B9" w:rsidRPr="006B12DC">
        <w:rPr>
          <w:lang w:val="en-CA" w:eastAsia="zh-CN"/>
        </w:rPr>
        <w:t xml:space="preserve">However, </w:t>
      </w:r>
      <w:r w:rsidR="006B12DC" w:rsidRPr="006B12DC">
        <w:rPr>
          <w:lang w:val="en-CA" w:eastAsia="zh-CN"/>
        </w:rPr>
        <w:t xml:space="preserve">the consultant was able to assess the possible revenues from the technology </w:t>
      </w:r>
      <w:r w:rsidR="007670B9" w:rsidRPr="006B12DC">
        <w:rPr>
          <w:lang w:val="en-CA" w:eastAsia="zh-CN"/>
        </w:rPr>
        <w:t>b</w:t>
      </w:r>
      <w:r w:rsidR="005C7B96" w:rsidRPr="006B12DC">
        <w:rPr>
          <w:lang w:val="en-CA" w:eastAsia="zh-CN"/>
        </w:rPr>
        <w:t xml:space="preserve">ased on publicly available information </w:t>
      </w:r>
      <w:r w:rsidR="006B12DC" w:rsidRPr="006B12DC">
        <w:rPr>
          <w:lang w:val="en-CA" w:eastAsia="zh-CN"/>
        </w:rPr>
        <w:t>on</w:t>
      </w:r>
      <w:r w:rsidR="005C7B96" w:rsidRPr="006B12DC">
        <w:rPr>
          <w:lang w:val="en-CA" w:eastAsia="zh-CN"/>
        </w:rPr>
        <w:t xml:space="preserve"> the price of chemicals that would be produced</w:t>
      </w:r>
      <w:r w:rsidR="006B12DC" w:rsidRPr="006B12DC">
        <w:rPr>
          <w:lang w:val="en-CA" w:eastAsia="zh-CN"/>
        </w:rPr>
        <w:t xml:space="preserve"> through the conversion process. T</w:t>
      </w:r>
      <w:r w:rsidR="005C7B96" w:rsidRPr="006B12DC">
        <w:rPr>
          <w:lang w:val="en-CA" w:eastAsia="zh-CN"/>
        </w:rPr>
        <w:t xml:space="preserve">he </w:t>
      </w:r>
      <w:r w:rsidR="007670B9" w:rsidRPr="006B12DC">
        <w:rPr>
          <w:lang w:val="en-CA" w:eastAsia="zh-CN"/>
        </w:rPr>
        <w:t xml:space="preserve">consultant estimates that the </w:t>
      </w:r>
      <w:r w:rsidR="005C7B96" w:rsidRPr="006B12DC">
        <w:rPr>
          <w:lang w:val="en-CA" w:eastAsia="zh-CN"/>
        </w:rPr>
        <w:t>potential annual revenue from the conversion of 900</w:t>
      </w:r>
      <w:r w:rsidR="00097C46" w:rsidRPr="006B12DC">
        <w:rPr>
          <w:lang w:val="en-CA" w:eastAsia="zh-CN"/>
        </w:rPr>
        <w:t> </w:t>
      </w:r>
      <w:r w:rsidR="005C7B96" w:rsidRPr="006B12DC">
        <w:rPr>
          <w:lang w:val="en-CA" w:eastAsia="zh-CN"/>
        </w:rPr>
        <w:t>mt of HFC-23 would be approximately US $565,</w:t>
      </w:r>
      <w:r w:rsidR="005C7B96" w:rsidRPr="00AB69C7">
        <w:rPr>
          <w:lang w:val="en-CA" w:eastAsia="zh-CN"/>
        </w:rPr>
        <w:t xml:space="preserve">000. </w:t>
      </w:r>
    </w:p>
    <w:p w:rsidR="00F17120" w:rsidRPr="00AB69C7" w:rsidRDefault="000D1529" w:rsidP="000D1529">
      <w:pPr>
        <w:pStyle w:val="Heading2"/>
        <w:numPr>
          <w:ilvl w:val="0"/>
          <w:numId w:val="0"/>
        </w:numPr>
        <w:rPr>
          <w:i/>
          <w:lang w:val="en-CA" w:eastAsia="zh-CN"/>
        </w:rPr>
      </w:pPr>
      <w:r w:rsidRPr="00AB69C7">
        <w:rPr>
          <w:i/>
          <w:lang w:val="en-CA" w:eastAsia="zh-CN"/>
        </w:rPr>
        <w:t>Costs and measures to optimize the HCFC-22 production process to minimize the HFC-23 by-product and maximize the collection of HFC-23 by-product</w:t>
      </w:r>
    </w:p>
    <w:p w:rsidR="00E4387D" w:rsidRPr="00AB69C7" w:rsidRDefault="00E4387D" w:rsidP="00E4387D">
      <w:pPr>
        <w:pStyle w:val="Heading1"/>
        <w:rPr>
          <w:lang w:val="en-CA"/>
        </w:rPr>
      </w:pPr>
      <w:r w:rsidRPr="00AB69C7">
        <w:rPr>
          <w:lang w:val="en-CA"/>
        </w:rPr>
        <w:t>While specific measures to minimize the generation of HFC-23 by-product and maximize its collection will depend on site-specific requirements, three process changes were identified that could be applicable to HCFC-22 production facilities:</w:t>
      </w:r>
    </w:p>
    <w:p w:rsidR="00E4387D" w:rsidRPr="00AB69C7" w:rsidRDefault="00E4387D" w:rsidP="00E4387D">
      <w:pPr>
        <w:pStyle w:val="Heading2"/>
        <w:rPr>
          <w:lang w:val="en-CA"/>
        </w:rPr>
      </w:pPr>
      <w:r w:rsidRPr="00AB69C7">
        <w:rPr>
          <w:lang w:val="en-CA"/>
        </w:rPr>
        <w:t>Improvements to the HCFC-22 product distillation column, including replacing the column tray internals with structured packing, operating the column at a lower pressure and condenser temperature, and increasing the reflux ratio</w:t>
      </w:r>
      <w:r w:rsidR="00B57134">
        <w:rPr>
          <w:lang w:val="en-CA"/>
        </w:rPr>
        <w:t>, reducing the amount of HCFC</w:t>
      </w:r>
      <w:r w:rsidR="00B57134">
        <w:rPr>
          <w:lang w:val="en-CA"/>
        </w:rPr>
        <w:noBreakHyphen/>
        <w:t>22 carry over in the HFC</w:t>
      </w:r>
      <w:r w:rsidR="002C1E86">
        <w:rPr>
          <w:lang w:val="en-CA"/>
        </w:rPr>
        <w:t>-23</w:t>
      </w:r>
      <w:r w:rsidR="00B57134">
        <w:rPr>
          <w:lang w:val="en-CA"/>
        </w:rPr>
        <w:t xml:space="preserve"> stream from 8 per cent to 3 per cent;</w:t>
      </w:r>
    </w:p>
    <w:p w:rsidR="00E4387D" w:rsidRPr="00AB69C7" w:rsidRDefault="00E4387D" w:rsidP="00C66247">
      <w:pPr>
        <w:pStyle w:val="Heading2"/>
        <w:keepNext/>
        <w:keepLines/>
        <w:rPr>
          <w:lang w:val="en-CA"/>
        </w:rPr>
      </w:pPr>
      <w:r w:rsidRPr="00AB69C7">
        <w:rPr>
          <w:lang w:val="en-CA"/>
        </w:rPr>
        <w:t xml:space="preserve">Convert the HCFC-22 reactor to plug flow to </w:t>
      </w:r>
      <w:r w:rsidR="003A69B1" w:rsidRPr="00AB69C7">
        <w:rPr>
          <w:lang w:val="en-CA"/>
        </w:rPr>
        <w:t xml:space="preserve">increase mixing of the </w:t>
      </w:r>
      <w:r w:rsidR="003156B0" w:rsidRPr="00AB69C7">
        <w:rPr>
          <w:lang w:val="en-CA"/>
        </w:rPr>
        <w:t>hydrogen fluoride (</w:t>
      </w:r>
      <w:r w:rsidR="003A69B1" w:rsidRPr="00AB69C7">
        <w:rPr>
          <w:lang w:val="en-CA"/>
        </w:rPr>
        <w:t>HF</w:t>
      </w:r>
      <w:r w:rsidR="003156B0" w:rsidRPr="00AB69C7">
        <w:rPr>
          <w:lang w:val="en-CA"/>
        </w:rPr>
        <w:t>)</w:t>
      </w:r>
      <w:r w:rsidR="003A69B1" w:rsidRPr="00AB69C7">
        <w:rPr>
          <w:lang w:val="en-CA"/>
        </w:rPr>
        <w:t xml:space="preserve"> with </w:t>
      </w:r>
      <w:r w:rsidR="003A69B1" w:rsidRPr="002C1E86">
        <w:rPr>
          <w:lang w:val="en-CA"/>
        </w:rPr>
        <w:t xml:space="preserve">chloroform, and thereby </w:t>
      </w:r>
      <w:r w:rsidRPr="002C1E86">
        <w:rPr>
          <w:lang w:val="en-CA"/>
        </w:rPr>
        <w:t>enhance selectivity</w:t>
      </w:r>
      <w:r w:rsidR="00B57134" w:rsidRPr="002C1E86">
        <w:rPr>
          <w:lang w:val="en-CA"/>
        </w:rPr>
        <w:t>, resulting in a reduced HFC-23 by</w:t>
      </w:r>
      <w:r w:rsidR="00B57134" w:rsidRPr="002C1E86">
        <w:rPr>
          <w:lang w:val="en-CA"/>
        </w:rPr>
        <w:noBreakHyphen/>
        <w:t xml:space="preserve">product </w:t>
      </w:r>
      <w:r w:rsidR="002C1E86" w:rsidRPr="002C1E86">
        <w:rPr>
          <w:lang w:val="en-CA"/>
        </w:rPr>
        <w:t>generation rate</w:t>
      </w:r>
      <w:r w:rsidR="00B57134" w:rsidRPr="002C1E86">
        <w:rPr>
          <w:lang w:val="en-CA"/>
        </w:rPr>
        <w:t xml:space="preserve"> of approximately 1.75 per cent</w:t>
      </w:r>
      <w:r w:rsidRPr="00AB69C7">
        <w:rPr>
          <w:lang w:val="en-CA"/>
        </w:rPr>
        <w:t>; and</w:t>
      </w:r>
    </w:p>
    <w:p w:rsidR="0053388F" w:rsidRPr="003F4049" w:rsidRDefault="00E4387D" w:rsidP="00860664">
      <w:pPr>
        <w:pStyle w:val="Heading2"/>
        <w:rPr>
          <w:lang w:val="en-CA"/>
        </w:rPr>
      </w:pPr>
      <w:r w:rsidRPr="003F4049">
        <w:rPr>
          <w:lang w:val="en-CA"/>
        </w:rPr>
        <w:t xml:space="preserve">Convert from a </w:t>
      </w:r>
      <w:r w:rsidR="00097C46" w:rsidRPr="003F4049">
        <w:rPr>
          <w:lang w:val="en-CA"/>
        </w:rPr>
        <w:t>one</w:t>
      </w:r>
      <w:r w:rsidRPr="003F4049">
        <w:rPr>
          <w:lang w:val="en-CA"/>
        </w:rPr>
        <w:t xml:space="preserve">-stage to a </w:t>
      </w:r>
      <w:r w:rsidR="00097C46" w:rsidRPr="003F4049">
        <w:rPr>
          <w:lang w:val="en-CA"/>
        </w:rPr>
        <w:t>three</w:t>
      </w:r>
      <w:r w:rsidRPr="003F4049">
        <w:rPr>
          <w:lang w:val="en-CA"/>
        </w:rPr>
        <w:t>-stage HCFC-22 reactor</w:t>
      </w:r>
      <w:r w:rsidR="002C1E86" w:rsidRPr="003F4049">
        <w:rPr>
          <w:lang w:val="en-CA"/>
        </w:rPr>
        <w:t xml:space="preserve">, </w:t>
      </w:r>
      <w:r w:rsidR="00B57134" w:rsidRPr="003F4049">
        <w:rPr>
          <w:lang w:val="en-CA"/>
        </w:rPr>
        <w:t>resulting in a reduced HFC</w:t>
      </w:r>
      <w:r w:rsidR="00C66247" w:rsidRPr="003F4049">
        <w:rPr>
          <w:lang w:val="en-CA"/>
        </w:rPr>
        <w:noBreakHyphen/>
      </w:r>
      <w:r w:rsidR="00B57134" w:rsidRPr="003F4049">
        <w:rPr>
          <w:lang w:val="en-CA"/>
        </w:rPr>
        <w:t>23 by</w:t>
      </w:r>
      <w:r w:rsidR="00B57134" w:rsidRPr="003F4049">
        <w:rPr>
          <w:lang w:val="en-CA"/>
        </w:rPr>
        <w:noBreakHyphen/>
        <w:t xml:space="preserve">product ratio </w:t>
      </w:r>
      <w:r w:rsidR="007627B9" w:rsidRPr="003F4049">
        <w:rPr>
          <w:lang w:val="en-CA"/>
        </w:rPr>
        <w:t>of a</w:t>
      </w:r>
      <w:r w:rsidR="003F4049" w:rsidRPr="003F4049">
        <w:rPr>
          <w:lang w:val="en-CA"/>
        </w:rPr>
        <w:t xml:space="preserve">pproximately 1.4 per cent. </w:t>
      </w:r>
      <w:bookmarkStart w:id="0" w:name="_GoBack"/>
      <w:bookmarkEnd w:id="0"/>
      <w:r w:rsidR="007627B9" w:rsidRPr="003F4049">
        <w:rPr>
          <w:lang w:val="en-CA"/>
        </w:rPr>
        <w:t>Reducing the HFC-23 by-product be</w:t>
      </w:r>
      <w:r w:rsidR="00B57134" w:rsidRPr="003F4049">
        <w:rPr>
          <w:lang w:val="en-CA"/>
        </w:rPr>
        <w:t xml:space="preserve">low </w:t>
      </w:r>
      <w:r w:rsidR="007627B9" w:rsidRPr="003F4049">
        <w:rPr>
          <w:lang w:val="en-CA"/>
        </w:rPr>
        <w:t xml:space="preserve">1.4 per cent </w:t>
      </w:r>
      <w:r w:rsidR="00B57134" w:rsidRPr="003F4049">
        <w:rPr>
          <w:lang w:val="en-CA"/>
        </w:rPr>
        <w:t>would require research and development</w:t>
      </w:r>
      <w:r w:rsidR="007627B9" w:rsidRPr="003F4049">
        <w:rPr>
          <w:lang w:val="en-CA"/>
        </w:rPr>
        <w:t>,</w:t>
      </w:r>
      <w:r w:rsidR="00B57134" w:rsidRPr="003F4049">
        <w:rPr>
          <w:lang w:val="en-CA"/>
        </w:rPr>
        <w:t xml:space="preserve"> particularly for new catalysts.</w:t>
      </w:r>
    </w:p>
    <w:p w:rsidR="00735A87" w:rsidRPr="00F13ED5" w:rsidRDefault="00735A87" w:rsidP="00F13ED5">
      <w:pPr>
        <w:pStyle w:val="Heading1"/>
        <w:rPr>
          <w:lang w:val="en-CA"/>
        </w:rPr>
      </w:pPr>
      <w:r w:rsidRPr="00AB69C7">
        <w:rPr>
          <w:lang w:val="en-CA"/>
        </w:rPr>
        <w:t xml:space="preserve">Costs of the above measures will vary based on the specific HCFC-22 production facility. </w:t>
      </w:r>
      <w:r w:rsidR="00D36462">
        <w:rPr>
          <w:lang w:val="en-CA"/>
        </w:rPr>
        <w:t xml:space="preserve">As production facilities need to regularly replace equipment that reaches the end of its useful life, a facility would want to compare the additional costs of the measures </w:t>
      </w:r>
      <w:r w:rsidR="00F13ED5">
        <w:rPr>
          <w:lang w:val="en-CA"/>
        </w:rPr>
        <w:t xml:space="preserve">with the benefits </w:t>
      </w:r>
      <w:r w:rsidR="004968FA">
        <w:rPr>
          <w:lang w:val="en-CA"/>
        </w:rPr>
        <w:t>of</w:t>
      </w:r>
      <w:r w:rsidR="00F13ED5">
        <w:rPr>
          <w:lang w:val="en-CA"/>
        </w:rPr>
        <w:t xml:space="preserve"> their implementation when selecting the replacement equipment. D</w:t>
      </w:r>
      <w:r w:rsidRPr="00AB69C7">
        <w:rPr>
          <w:lang w:val="en-CA"/>
        </w:rPr>
        <w:t>istillation</w:t>
      </w:r>
      <w:r w:rsidR="00A365E2" w:rsidRPr="00AB69C7">
        <w:rPr>
          <w:lang w:val="en-CA"/>
        </w:rPr>
        <w:t xml:space="preserve"> columns</w:t>
      </w:r>
      <w:r w:rsidR="00B57134">
        <w:rPr>
          <w:lang w:val="en-CA"/>
        </w:rPr>
        <w:t xml:space="preserve"> </w:t>
      </w:r>
      <w:r w:rsidR="00F13ED5">
        <w:rPr>
          <w:lang w:val="en-CA"/>
        </w:rPr>
        <w:t xml:space="preserve">are expected to be replaced approximately </w:t>
      </w:r>
      <w:r w:rsidR="00B57134">
        <w:rPr>
          <w:lang w:val="en-CA"/>
        </w:rPr>
        <w:t>every ten years</w:t>
      </w:r>
      <w:r w:rsidR="00F13ED5">
        <w:rPr>
          <w:lang w:val="en-CA"/>
        </w:rPr>
        <w:t>, and i</w:t>
      </w:r>
      <w:r w:rsidRPr="00AB69C7">
        <w:rPr>
          <w:lang w:val="en-CA"/>
        </w:rPr>
        <w:t xml:space="preserve">t is expected that columns with structured packing would be selected given the increased revenue from improved separation and the reduced maintenance costs. </w:t>
      </w:r>
      <w:r w:rsidR="00F13ED5">
        <w:rPr>
          <w:lang w:val="en-CA"/>
        </w:rPr>
        <w:t>R</w:t>
      </w:r>
      <w:r w:rsidRPr="00AB69C7">
        <w:rPr>
          <w:lang w:val="en-CA"/>
        </w:rPr>
        <w:t xml:space="preserve">eactor </w:t>
      </w:r>
      <w:r w:rsidRPr="00F13ED5">
        <w:rPr>
          <w:lang w:val="en-CA"/>
        </w:rPr>
        <w:t>lifetimes range from 10 to 15</w:t>
      </w:r>
      <w:r w:rsidR="002D6690" w:rsidRPr="00F13ED5">
        <w:rPr>
          <w:lang w:val="en-CA"/>
        </w:rPr>
        <w:t> </w:t>
      </w:r>
      <w:r w:rsidRPr="00F13ED5">
        <w:rPr>
          <w:lang w:val="en-CA"/>
        </w:rPr>
        <w:t xml:space="preserve">years. In selecting a new reactor, a production facility would compare the </w:t>
      </w:r>
      <w:r w:rsidR="00F13ED5" w:rsidRPr="00F13ED5">
        <w:rPr>
          <w:lang w:val="en-CA"/>
        </w:rPr>
        <w:t>difference in</w:t>
      </w:r>
      <w:r w:rsidRPr="00F13ED5">
        <w:rPr>
          <w:lang w:val="en-CA"/>
        </w:rPr>
        <w:t xml:space="preserve"> cost </w:t>
      </w:r>
      <w:r w:rsidR="00F13ED5" w:rsidRPr="00F13ED5">
        <w:rPr>
          <w:lang w:val="en-CA"/>
        </w:rPr>
        <w:t xml:space="preserve">between </w:t>
      </w:r>
      <w:r w:rsidRPr="00F13ED5">
        <w:rPr>
          <w:lang w:val="en-CA"/>
        </w:rPr>
        <w:t xml:space="preserve">a three-stage </w:t>
      </w:r>
      <w:r w:rsidR="00F13ED5" w:rsidRPr="00F13ED5">
        <w:rPr>
          <w:lang w:val="en-CA"/>
        </w:rPr>
        <w:t xml:space="preserve">and a one-stage </w:t>
      </w:r>
      <w:r w:rsidRPr="00F13ED5">
        <w:rPr>
          <w:lang w:val="en-CA"/>
        </w:rPr>
        <w:t>reactor with the benefits associated with improved selectivity toward HCFC</w:t>
      </w:r>
      <w:r w:rsidR="00C66247">
        <w:rPr>
          <w:lang w:val="en-CA"/>
        </w:rPr>
        <w:noBreakHyphen/>
      </w:r>
      <w:r w:rsidRPr="00F13ED5">
        <w:rPr>
          <w:lang w:val="en-CA"/>
        </w:rPr>
        <w:t xml:space="preserve">22. </w:t>
      </w:r>
      <w:r w:rsidR="008704DF" w:rsidRPr="00F13ED5">
        <w:rPr>
          <w:lang w:val="en-CA"/>
        </w:rPr>
        <w:t>For example, a 0.5</w:t>
      </w:r>
      <w:r w:rsidR="00AB69C7" w:rsidRPr="00F13ED5">
        <w:rPr>
          <w:lang w:val="en-CA"/>
        </w:rPr>
        <w:t> per cent</w:t>
      </w:r>
      <w:r w:rsidR="008704DF" w:rsidRPr="00F13ED5">
        <w:rPr>
          <w:lang w:val="en-CA"/>
        </w:rPr>
        <w:t xml:space="preserve"> increase in selectivity toward HCFC-22 at a facility producing 27,000</w:t>
      </w:r>
      <w:r w:rsidR="00A66C8F" w:rsidRPr="00F13ED5">
        <w:rPr>
          <w:lang w:val="en-CA"/>
        </w:rPr>
        <w:t> mt/yr</w:t>
      </w:r>
      <w:r w:rsidR="008704DF" w:rsidRPr="00F13ED5">
        <w:rPr>
          <w:lang w:val="en-CA"/>
        </w:rPr>
        <w:t xml:space="preserve"> of HCFC-22 can be expected to generate additional revenue of approximately US $300,000 per year when the price of HCFC-22 is US $2.20/kg. </w:t>
      </w:r>
    </w:p>
    <w:p w:rsidR="004B7C14" w:rsidRPr="00AB69C7" w:rsidRDefault="004B7C14" w:rsidP="004B7C14">
      <w:pPr>
        <w:pStyle w:val="Heading1"/>
        <w:rPr>
          <w:lang w:val="en-CA"/>
        </w:rPr>
      </w:pPr>
      <w:r w:rsidRPr="00AB69C7">
        <w:rPr>
          <w:lang w:val="en-CA"/>
        </w:rPr>
        <w:lastRenderedPageBreak/>
        <w:t>The Secretariat was not able to undertake a detailed review of the summary of the investigation on reducing HFC-23 by-product ratio using best practices submitted by the World Bank</w:t>
      </w:r>
      <w:r w:rsidR="00A365E2" w:rsidRPr="00AB69C7">
        <w:rPr>
          <w:lang w:val="en-CA"/>
        </w:rPr>
        <w:t xml:space="preserve"> </w:t>
      </w:r>
      <w:r w:rsidR="002B3CBF">
        <w:rPr>
          <w:lang w:val="en-CA"/>
        </w:rPr>
        <w:t xml:space="preserve">on 10 March 2018 </w:t>
      </w:r>
      <w:r w:rsidR="00A365E2" w:rsidRPr="00AB69C7">
        <w:rPr>
          <w:lang w:val="en-CA"/>
        </w:rPr>
        <w:t>by the time of finalization of the present document</w:t>
      </w:r>
      <w:r w:rsidRPr="00AB69C7">
        <w:rPr>
          <w:lang w:val="en-CA"/>
        </w:rPr>
        <w:t>. However, the following observations are relevant:</w:t>
      </w:r>
    </w:p>
    <w:p w:rsidR="00CC60DC" w:rsidRPr="00AB69C7" w:rsidRDefault="008B2FAC" w:rsidP="004B7C14">
      <w:pPr>
        <w:pStyle w:val="Heading2"/>
        <w:rPr>
          <w:lang w:val="en-CA"/>
        </w:rPr>
      </w:pPr>
      <w:r w:rsidRPr="00AB69C7">
        <w:rPr>
          <w:lang w:val="en-CA"/>
        </w:rPr>
        <w:t xml:space="preserve">The total capacity of China’s 22 HFC-23 destruction facilities (comprising 16 incinerators, </w:t>
      </w:r>
      <w:r w:rsidR="009C538E">
        <w:rPr>
          <w:lang w:val="en-CA"/>
        </w:rPr>
        <w:t>three</w:t>
      </w:r>
      <w:r w:rsidRPr="00AB69C7">
        <w:rPr>
          <w:lang w:val="en-CA"/>
        </w:rPr>
        <w:t xml:space="preserve"> plasma arc incinerators, and </w:t>
      </w:r>
      <w:r w:rsidR="009C538E">
        <w:rPr>
          <w:lang w:val="en-CA"/>
        </w:rPr>
        <w:t>three</w:t>
      </w:r>
      <w:r w:rsidRPr="00AB69C7">
        <w:rPr>
          <w:lang w:val="en-CA"/>
        </w:rPr>
        <w:t xml:space="preserve"> superheated steam facilities) is 22,000</w:t>
      </w:r>
      <w:r w:rsidR="00A66C8F">
        <w:rPr>
          <w:lang w:val="en-CA"/>
        </w:rPr>
        <w:t> mt/yr</w:t>
      </w:r>
      <w:r w:rsidRPr="00AB69C7">
        <w:rPr>
          <w:lang w:val="en-CA"/>
        </w:rPr>
        <w:t>. On average, the capacity of a destruction facility is 1</w:t>
      </w:r>
      <w:r w:rsidR="00A66C8F">
        <w:rPr>
          <w:lang w:val="en-CA"/>
        </w:rPr>
        <w:t>,</w:t>
      </w:r>
      <w:r w:rsidRPr="00AB69C7">
        <w:rPr>
          <w:lang w:val="en-CA"/>
        </w:rPr>
        <w:t>000</w:t>
      </w:r>
      <w:r w:rsidR="00A66C8F">
        <w:rPr>
          <w:lang w:val="en-CA"/>
        </w:rPr>
        <w:t> mt/yr</w:t>
      </w:r>
      <w:r w:rsidRPr="00AB69C7">
        <w:rPr>
          <w:lang w:val="en-CA"/>
        </w:rPr>
        <w:t xml:space="preserve">. </w:t>
      </w:r>
      <w:r w:rsidR="00CC60DC" w:rsidRPr="00AB69C7">
        <w:rPr>
          <w:lang w:val="en-CA"/>
        </w:rPr>
        <w:t>The Secretariat notes that some of the destruction facilities are on stand-by; of the 20,960</w:t>
      </w:r>
      <w:r w:rsidR="00A66C8F">
        <w:rPr>
          <w:lang w:val="en-CA"/>
        </w:rPr>
        <w:t> mt/yr</w:t>
      </w:r>
      <w:r w:rsidR="00CC60DC" w:rsidRPr="00AB69C7">
        <w:rPr>
          <w:lang w:val="en-CA"/>
        </w:rPr>
        <w:t xml:space="preserve"> capacity installed in 2016, 17,810</w:t>
      </w:r>
      <w:r w:rsidR="00AB69C7">
        <w:rPr>
          <w:lang w:val="en-CA"/>
        </w:rPr>
        <w:t> </w:t>
      </w:r>
      <w:r w:rsidR="00CC60DC" w:rsidRPr="00AB69C7">
        <w:rPr>
          <w:lang w:val="en-CA"/>
        </w:rPr>
        <w:t>mt/y was in operation and 2,750</w:t>
      </w:r>
      <w:r w:rsidR="00A66C8F">
        <w:rPr>
          <w:lang w:val="en-CA"/>
        </w:rPr>
        <w:t> mt/yr</w:t>
      </w:r>
      <w:r w:rsidR="00CC60DC" w:rsidRPr="00AB69C7">
        <w:rPr>
          <w:lang w:val="en-CA"/>
        </w:rPr>
        <w:t xml:space="preserve"> was on stand-by. There is sufficient HFC-23 destruction capacity in China to destroy</w:t>
      </w:r>
      <w:r w:rsidR="00442174" w:rsidRPr="00AB69C7">
        <w:rPr>
          <w:lang w:val="en-CA"/>
        </w:rPr>
        <w:t xml:space="preserve"> all HFC-23 by-product given HCFC-22 production levels and capacity in the country</w:t>
      </w:r>
      <w:r w:rsidR="00CC60DC" w:rsidRPr="00AB69C7">
        <w:rPr>
          <w:lang w:val="en-CA"/>
        </w:rPr>
        <w:t xml:space="preserve">; </w:t>
      </w:r>
    </w:p>
    <w:p w:rsidR="004B7C14" w:rsidRPr="00AB69C7" w:rsidRDefault="001C2E81" w:rsidP="00725672">
      <w:pPr>
        <w:pStyle w:val="Heading2"/>
        <w:rPr>
          <w:lang w:val="en-CA"/>
        </w:rPr>
      </w:pPr>
      <w:r w:rsidRPr="00AB69C7">
        <w:rPr>
          <w:lang w:val="en-CA"/>
        </w:rPr>
        <w:t>The theoretical findings provided in the summary are consistent with those provided in the report of the consultant. In particular, key factors in determining the HFC-23 by-product generation rate include construction details of the reactor</w:t>
      </w:r>
      <w:r w:rsidR="00D637C9">
        <w:rPr>
          <w:lang w:val="en-CA"/>
        </w:rPr>
        <w:t>,</w:t>
      </w:r>
      <w:r w:rsidRPr="00AB69C7">
        <w:rPr>
          <w:lang w:val="en-CA"/>
        </w:rPr>
        <w:t xml:space="preserve"> </w:t>
      </w:r>
      <w:r w:rsidR="00F14F3B" w:rsidRPr="00AB69C7">
        <w:rPr>
          <w:lang w:val="en-CA"/>
        </w:rPr>
        <w:t xml:space="preserve">the </w:t>
      </w:r>
      <w:r w:rsidR="00766C5B" w:rsidRPr="00AB69C7">
        <w:rPr>
          <w:lang w:val="en-CA"/>
        </w:rPr>
        <w:t>distillation column</w:t>
      </w:r>
      <w:r w:rsidRPr="00AB69C7">
        <w:rPr>
          <w:lang w:val="en-CA"/>
        </w:rPr>
        <w:t>, the process conditions, and the mixing status in the reactor</w:t>
      </w:r>
      <w:r w:rsidR="009C538E">
        <w:rPr>
          <w:lang w:val="en-CA"/>
        </w:rPr>
        <w:t>;</w:t>
      </w:r>
      <w:r w:rsidR="00725672" w:rsidRPr="00AB69C7">
        <w:rPr>
          <w:lang w:val="en-CA"/>
        </w:rPr>
        <w:t xml:space="preserve"> </w:t>
      </w:r>
      <w:r w:rsidRPr="00AB69C7">
        <w:rPr>
          <w:lang w:val="en-CA"/>
        </w:rPr>
        <w:t xml:space="preserve">lowering the liquid level </w:t>
      </w:r>
      <w:r w:rsidR="00725672" w:rsidRPr="00AB69C7">
        <w:rPr>
          <w:lang w:val="en-CA"/>
        </w:rPr>
        <w:t xml:space="preserve">in the reactor </w:t>
      </w:r>
      <w:r w:rsidRPr="00AB69C7">
        <w:rPr>
          <w:lang w:val="en-CA"/>
        </w:rPr>
        <w:t xml:space="preserve">can </w:t>
      </w:r>
      <w:r w:rsidR="00725672" w:rsidRPr="00AB69C7">
        <w:rPr>
          <w:lang w:val="en-CA"/>
        </w:rPr>
        <w:t xml:space="preserve">substantially reduce the HFC-23 by-product generation rate </w:t>
      </w:r>
      <w:r w:rsidRPr="00AB69C7">
        <w:rPr>
          <w:lang w:val="en-CA"/>
        </w:rPr>
        <w:t>without additional equipment investment and energy consumption</w:t>
      </w:r>
      <w:r w:rsidR="00725672" w:rsidRPr="00AB69C7">
        <w:rPr>
          <w:lang w:val="en-CA"/>
        </w:rPr>
        <w:t xml:space="preserve">. </w:t>
      </w:r>
      <w:r w:rsidR="00D637C9">
        <w:rPr>
          <w:lang w:val="en-CA"/>
        </w:rPr>
        <w:t xml:space="preserve">While those findings are consistent with those of the </w:t>
      </w:r>
      <w:r w:rsidR="00D637C9" w:rsidRPr="00D637C9">
        <w:rPr>
          <w:lang w:val="en-CA"/>
        </w:rPr>
        <w:t>consultant, t</w:t>
      </w:r>
      <w:r w:rsidR="00725672" w:rsidRPr="00D637C9">
        <w:rPr>
          <w:lang w:val="en-CA"/>
        </w:rPr>
        <w:t>he consult</w:t>
      </w:r>
      <w:r w:rsidR="009C538E" w:rsidRPr="00D637C9">
        <w:rPr>
          <w:lang w:val="en-CA"/>
        </w:rPr>
        <w:t>ant’s proposal to convert to a three</w:t>
      </w:r>
      <w:r w:rsidR="00725672" w:rsidRPr="00D637C9">
        <w:rPr>
          <w:lang w:val="en-CA"/>
        </w:rPr>
        <w:t xml:space="preserve">-stage reactor </w:t>
      </w:r>
      <w:r w:rsidR="00D637C9" w:rsidRPr="00D637C9">
        <w:rPr>
          <w:lang w:val="en-CA"/>
        </w:rPr>
        <w:t xml:space="preserve">is likely to be a more effective means of achieving the same result as increasing </w:t>
      </w:r>
      <w:r w:rsidR="00725672" w:rsidRPr="00D637C9">
        <w:rPr>
          <w:lang w:val="en-CA"/>
        </w:rPr>
        <w:t>the height to radius ratio of the reactor</w:t>
      </w:r>
      <w:r w:rsidR="00D637C9" w:rsidRPr="00D637C9">
        <w:rPr>
          <w:lang w:val="en-CA"/>
        </w:rPr>
        <w:t xml:space="preserve"> as proposed in the summary report by the World Bank</w:t>
      </w:r>
      <w:r w:rsidR="00725672" w:rsidRPr="00D637C9">
        <w:rPr>
          <w:lang w:val="en-CA"/>
        </w:rPr>
        <w:t xml:space="preserve">. </w:t>
      </w:r>
      <w:r w:rsidR="00D637C9" w:rsidRPr="00D637C9">
        <w:rPr>
          <w:lang w:val="en-CA"/>
        </w:rPr>
        <w:t>In particular, a</w:t>
      </w:r>
      <w:r w:rsidR="00725672" w:rsidRPr="00D637C9">
        <w:rPr>
          <w:lang w:val="en-CA"/>
        </w:rPr>
        <w:t xml:space="preserve"> </w:t>
      </w:r>
      <w:r w:rsidR="009C538E" w:rsidRPr="00D637C9">
        <w:rPr>
          <w:lang w:val="en-CA"/>
        </w:rPr>
        <w:t>three</w:t>
      </w:r>
      <w:r w:rsidR="00725672" w:rsidRPr="00D637C9">
        <w:rPr>
          <w:lang w:val="en-CA"/>
        </w:rPr>
        <w:t xml:space="preserve">-stage reactor is expected to further decrease the liquid level in the reactor and </w:t>
      </w:r>
      <w:r w:rsidR="00E326A6" w:rsidRPr="00D637C9">
        <w:rPr>
          <w:lang w:val="en-CA"/>
        </w:rPr>
        <w:t xml:space="preserve">further increase the </w:t>
      </w:r>
      <w:r w:rsidR="003A69B1" w:rsidRPr="00D637C9">
        <w:rPr>
          <w:lang w:val="en-CA"/>
        </w:rPr>
        <w:t xml:space="preserve">degree of mixing and </w:t>
      </w:r>
      <w:r w:rsidR="00E326A6" w:rsidRPr="00D637C9">
        <w:rPr>
          <w:lang w:val="en-CA"/>
        </w:rPr>
        <w:t>uniformity of HF in the reactor, thereby</w:t>
      </w:r>
      <w:r w:rsidR="00E326A6" w:rsidRPr="00AB69C7">
        <w:rPr>
          <w:lang w:val="en-CA"/>
        </w:rPr>
        <w:t xml:space="preserve"> further reducing the HFC-23 by-product generation rate</w:t>
      </w:r>
      <w:r w:rsidR="00725672" w:rsidRPr="00AB69C7">
        <w:rPr>
          <w:lang w:val="en-CA"/>
        </w:rPr>
        <w:t>;</w:t>
      </w:r>
      <w:r w:rsidR="00A66C8F">
        <w:rPr>
          <w:lang w:val="en-CA"/>
        </w:rPr>
        <w:t xml:space="preserve"> and</w:t>
      </w:r>
    </w:p>
    <w:p w:rsidR="003624D4" w:rsidRPr="00AB69C7" w:rsidRDefault="003624D4" w:rsidP="003624D4">
      <w:pPr>
        <w:pStyle w:val="Heading2"/>
        <w:rPr>
          <w:lang w:val="en-CA"/>
        </w:rPr>
      </w:pPr>
      <w:r w:rsidRPr="00AB69C7">
        <w:rPr>
          <w:lang w:val="en-CA"/>
        </w:rPr>
        <w:t xml:space="preserve">All the measures identified </w:t>
      </w:r>
      <w:r w:rsidR="004451A4" w:rsidRPr="00AB69C7">
        <w:rPr>
          <w:lang w:val="en-CA"/>
        </w:rPr>
        <w:t xml:space="preserve">in the summary </w:t>
      </w:r>
      <w:r w:rsidRPr="00AB69C7">
        <w:rPr>
          <w:lang w:val="en-CA"/>
        </w:rPr>
        <w:t>have a cost below US $1 million. For the facility noted above</w:t>
      </w:r>
      <w:r w:rsidR="00602644" w:rsidRPr="00AB69C7">
        <w:rPr>
          <w:lang w:val="en-CA"/>
        </w:rPr>
        <w:t xml:space="preserve"> (i.e., facility producing 27,000</w:t>
      </w:r>
      <w:r w:rsidR="00A66C8F">
        <w:rPr>
          <w:lang w:val="en-CA"/>
        </w:rPr>
        <w:t> mt/yr</w:t>
      </w:r>
      <w:r w:rsidR="00602644" w:rsidRPr="00AB69C7">
        <w:rPr>
          <w:lang w:val="en-CA"/>
        </w:rPr>
        <w:t xml:space="preserve"> of HCFC-22 with a 0.5</w:t>
      </w:r>
      <w:r w:rsidR="00AB69C7">
        <w:rPr>
          <w:lang w:val="en-CA"/>
        </w:rPr>
        <w:t> per cent</w:t>
      </w:r>
      <w:r w:rsidR="00602644" w:rsidRPr="00AB69C7">
        <w:rPr>
          <w:lang w:val="en-CA"/>
        </w:rPr>
        <w:t xml:space="preserve"> increase in selectivity toward HCFC-22),</w:t>
      </w:r>
      <w:r w:rsidRPr="00AB69C7">
        <w:rPr>
          <w:lang w:val="en-CA"/>
        </w:rPr>
        <w:t xml:space="preserve"> this suggests a </w:t>
      </w:r>
      <w:r w:rsidR="00602644" w:rsidRPr="00AB69C7">
        <w:rPr>
          <w:lang w:val="en-CA"/>
        </w:rPr>
        <w:t>payback</w:t>
      </w:r>
      <w:r w:rsidRPr="00AB69C7">
        <w:rPr>
          <w:lang w:val="en-CA"/>
        </w:rPr>
        <w:t xml:space="preserve"> period of less than four years. </w:t>
      </w:r>
    </w:p>
    <w:p w:rsidR="008069B4" w:rsidRPr="00AB69C7" w:rsidRDefault="008704DF" w:rsidP="008A21C4">
      <w:pPr>
        <w:keepNext/>
        <w:keepLines/>
        <w:rPr>
          <w:i/>
          <w:lang w:val="en-CA"/>
        </w:rPr>
      </w:pPr>
      <w:r w:rsidRPr="00AB69C7">
        <w:rPr>
          <w:i/>
          <w:lang w:val="en-CA"/>
        </w:rPr>
        <w:t>Costs of different monitoring and verification methods</w:t>
      </w:r>
    </w:p>
    <w:p w:rsidR="008704DF" w:rsidRPr="00AB69C7" w:rsidRDefault="008704DF" w:rsidP="008A21C4">
      <w:pPr>
        <w:keepNext/>
        <w:keepLines/>
        <w:rPr>
          <w:lang w:val="en-CA"/>
        </w:rPr>
      </w:pPr>
    </w:p>
    <w:p w:rsidR="008704DF" w:rsidRPr="00AB69C7" w:rsidRDefault="008704DF" w:rsidP="008A21C4">
      <w:pPr>
        <w:pStyle w:val="Heading1"/>
        <w:keepNext/>
        <w:keepLines/>
        <w:rPr>
          <w:lang w:val="en-CA"/>
        </w:rPr>
      </w:pPr>
      <w:r w:rsidRPr="00AB69C7">
        <w:rPr>
          <w:lang w:val="en-CA"/>
        </w:rPr>
        <w:t>The consultant recommended that the clean development mechanism</w:t>
      </w:r>
      <w:r w:rsidR="006A4588" w:rsidRPr="00AB69C7">
        <w:rPr>
          <w:lang w:val="en-CA"/>
        </w:rPr>
        <w:t xml:space="preserve"> (CDM)</w:t>
      </w:r>
      <w:r w:rsidRPr="00AB69C7">
        <w:rPr>
          <w:lang w:val="en-CA"/>
        </w:rPr>
        <w:t xml:space="preserve"> “Approved baseline and monitoring methodology AM0001/Version 06.0.0” be used to monitor the destruction of HFC-23 by</w:t>
      </w:r>
      <w:r w:rsidR="00097C46">
        <w:rPr>
          <w:lang w:val="en-CA"/>
        </w:rPr>
        <w:noBreakHyphen/>
      </w:r>
      <w:r w:rsidRPr="00AB69C7">
        <w:rPr>
          <w:lang w:val="en-CA"/>
        </w:rPr>
        <w:t>product. The costs of the monitoring have been included in the estimated costs noted above.</w:t>
      </w:r>
    </w:p>
    <w:p w:rsidR="008704DF" w:rsidRPr="00AB69C7" w:rsidRDefault="00D637C9" w:rsidP="008704DF">
      <w:pPr>
        <w:pStyle w:val="Heading1"/>
        <w:rPr>
          <w:lang w:val="en-CA"/>
        </w:rPr>
      </w:pPr>
      <w:r>
        <w:rPr>
          <w:lang w:val="en-CA"/>
        </w:rPr>
        <w:t>An</w:t>
      </w:r>
      <w:r w:rsidR="008704DF" w:rsidRPr="00AB69C7">
        <w:rPr>
          <w:lang w:val="en-CA"/>
        </w:rPr>
        <w:t xml:space="preserve"> independent verification </w:t>
      </w:r>
      <w:r w:rsidR="003D763F" w:rsidRPr="00AB69C7">
        <w:rPr>
          <w:lang w:val="en-CA"/>
        </w:rPr>
        <w:t xml:space="preserve">should be performed by an independent third party with no conflicts of interest; the verifier would need </w:t>
      </w:r>
      <w:r w:rsidR="008704DF" w:rsidRPr="00AB69C7">
        <w:rPr>
          <w:lang w:val="en-CA"/>
        </w:rPr>
        <w:t>access to plant operating data and financial books of HCF</w:t>
      </w:r>
      <w:r w:rsidR="003D763F" w:rsidRPr="00AB69C7">
        <w:rPr>
          <w:lang w:val="en-CA"/>
        </w:rPr>
        <w:t>C</w:t>
      </w:r>
      <w:r w:rsidR="008704DF" w:rsidRPr="00AB69C7">
        <w:rPr>
          <w:lang w:val="en-CA"/>
        </w:rPr>
        <w:t>-22/HFC-23 producers and destroyers.</w:t>
      </w:r>
      <w:r w:rsidR="006A4588" w:rsidRPr="00AB69C7">
        <w:rPr>
          <w:lang w:val="en-CA"/>
        </w:rPr>
        <w:t xml:space="preserve"> The cost of that verification would be additional to the estimated costs noted above.</w:t>
      </w:r>
    </w:p>
    <w:p w:rsidR="00703E47" w:rsidRPr="00AB69C7" w:rsidRDefault="00703E47" w:rsidP="00703E47">
      <w:pPr>
        <w:rPr>
          <w:i/>
          <w:lang w:val="en-CA"/>
        </w:rPr>
      </w:pPr>
      <w:r w:rsidRPr="00AB69C7">
        <w:rPr>
          <w:i/>
          <w:lang w:val="en-CA"/>
        </w:rPr>
        <w:t>Costs of different destruction technologies</w:t>
      </w:r>
    </w:p>
    <w:p w:rsidR="00703E47" w:rsidRPr="00AB69C7" w:rsidRDefault="00703E47" w:rsidP="00703E47">
      <w:pPr>
        <w:rPr>
          <w:lang w:val="en-CA"/>
        </w:rPr>
      </w:pPr>
    </w:p>
    <w:p w:rsidR="00703E47" w:rsidRPr="00AB69C7" w:rsidRDefault="00703E47" w:rsidP="001564F1">
      <w:pPr>
        <w:pStyle w:val="Heading1"/>
        <w:rPr>
          <w:lang w:val="en-CA"/>
        </w:rPr>
      </w:pPr>
      <w:r w:rsidRPr="00AB69C7">
        <w:rPr>
          <w:lang w:val="en-CA"/>
        </w:rPr>
        <w:t xml:space="preserve">The consultant </w:t>
      </w:r>
      <w:r w:rsidR="00FE2ED5" w:rsidRPr="00AB69C7">
        <w:rPr>
          <w:lang w:val="en-CA"/>
        </w:rPr>
        <w:t xml:space="preserve">assessed five destruction technologies: plasma radio frequency arc torch, fired-heater thermal oxidation furnaces, horizontal </w:t>
      </w:r>
      <w:r w:rsidR="00081091" w:rsidRPr="00AB69C7">
        <w:rPr>
          <w:lang w:val="en-CA"/>
        </w:rPr>
        <w:t>rotary-fired</w:t>
      </w:r>
      <w:r w:rsidR="00FE2ED5" w:rsidRPr="00AB69C7">
        <w:rPr>
          <w:lang w:val="en-CA"/>
        </w:rPr>
        <w:t xml:space="preserve"> oxidation kiln, cement kiln oxidation, and high</w:t>
      </w:r>
      <w:r w:rsidR="00097C46">
        <w:rPr>
          <w:lang w:val="en-CA"/>
        </w:rPr>
        <w:noBreakHyphen/>
      </w:r>
      <w:r w:rsidR="00FE2ED5" w:rsidRPr="00AB69C7">
        <w:rPr>
          <w:lang w:val="en-CA"/>
        </w:rPr>
        <w:t>temperature steam thermal decomposition</w:t>
      </w:r>
      <w:r w:rsidR="00605350" w:rsidRPr="00AB69C7">
        <w:rPr>
          <w:lang w:val="en-CA"/>
        </w:rPr>
        <w:t>:</w:t>
      </w:r>
    </w:p>
    <w:p w:rsidR="00BC2756" w:rsidRPr="00AB69C7" w:rsidRDefault="00BC2756" w:rsidP="00605350">
      <w:pPr>
        <w:pStyle w:val="Heading2"/>
        <w:rPr>
          <w:lang w:val="en-CA"/>
        </w:rPr>
      </w:pPr>
      <w:r w:rsidRPr="00AB69C7">
        <w:rPr>
          <w:lang w:val="en-CA"/>
        </w:rPr>
        <w:t>Plasma arc technology has excellent destruction efficiency but has the highest cost of the technologies assessed and would be best suited for small-scale destruction facilities. Operating costs are expected to be approximately US $3/kg. A facility that destroys approximately 100</w:t>
      </w:r>
      <w:r w:rsidR="00A66C8F">
        <w:rPr>
          <w:lang w:val="en-CA"/>
        </w:rPr>
        <w:t> mt/yr</w:t>
      </w:r>
      <w:r w:rsidRPr="00AB69C7">
        <w:rPr>
          <w:lang w:val="en-CA"/>
        </w:rPr>
        <w:t xml:space="preserve"> would be expected to need to invest approximately US $2.5</w:t>
      </w:r>
      <w:r w:rsidR="00AB69C7">
        <w:rPr>
          <w:lang w:val="en-CA"/>
        </w:rPr>
        <w:t> </w:t>
      </w:r>
      <w:r w:rsidRPr="00AB69C7">
        <w:rPr>
          <w:lang w:val="en-CA"/>
        </w:rPr>
        <w:t>million in capital costs to enable the destruction of HFC-23;</w:t>
      </w:r>
    </w:p>
    <w:p w:rsidR="00605350" w:rsidRPr="00AB69C7" w:rsidRDefault="00BC2756" w:rsidP="00605350">
      <w:pPr>
        <w:pStyle w:val="Heading2"/>
        <w:rPr>
          <w:lang w:val="en-CA"/>
        </w:rPr>
      </w:pPr>
      <w:r w:rsidRPr="00AB69C7">
        <w:rPr>
          <w:lang w:val="en-CA"/>
        </w:rPr>
        <w:t>Fired-heater thermal oxidation furnace has excellent destruction efficiency and is expected to be the second highest cost technology, with operating costs of approximately US $2.40/kg. A facility that destroys approximately 100</w:t>
      </w:r>
      <w:r w:rsidR="00A66C8F">
        <w:rPr>
          <w:lang w:val="en-CA"/>
        </w:rPr>
        <w:t> mt/yr</w:t>
      </w:r>
      <w:r w:rsidRPr="00AB69C7">
        <w:rPr>
          <w:lang w:val="en-CA"/>
        </w:rPr>
        <w:t xml:space="preserve"> would be expected to need to invest approximately US $1.7 million in capital costs t</w:t>
      </w:r>
      <w:r w:rsidR="00AB69C7">
        <w:rPr>
          <w:lang w:val="en-CA"/>
        </w:rPr>
        <w:t>o enable the destruction of HFC</w:t>
      </w:r>
      <w:r w:rsidR="00AB69C7">
        <w:rPr>
          <w:lang w:val="en-CA"/>
        </w:rPr>
        <w:noBreakHyphen/>
      </w:r>
      <w:r w:rsidRPr="00AB69C7">
        <w:rPr>
          <w:lang w:val="en-CA"/>
        </w:rPr>
        <w:t>23;</w:t>
      </w:r>
    </w:p>
    <w:p w:rsidR="00BC2756" w:rsidRPr="009D18A9" w:rsidRDefault="00BC2756" w:rsidP="00BC2756">
      <w:pPr>
        <w:pStyle w:val="Heading2"/>
        <w:rPr>
          <w:lang w:val="en-CA"/>
        </w:rPr>
      </w:pPr>
      <w:r w:rsidRPr="009D18A9">
        <w:rPr>
          <w:lang w:val="en-CA"/>
        </w:rPr>
        <w:t>Horizontal rotary-fired oxidation kilns</w:t>
      </w:r>
      <w:r w:rsidR="009C538E" w:rsidRPr="009D18A9">
        <w:rPr>
          <w:lang w:val="en-CA"/>
        </w:rPr>
        <w:t xml:space="preserve"> </w:t>
      </w:r>
      <w:r w:rsidR="009D18A9" w:rsidRPr="009D18A9">
        <w:rPr>
          <w:lang w:val="en-CA"/>
        </w:rPr>
        <w:t>and</w:t>
      </w:r>
      <w:r w:rsidR="009C538E" w:rsidRPr="009D18A9">
        <w:rPr>
          <w:lang w:val="en-CA"/>
        </w:rPr>
        <w:t xml:space="preserve"> cement kilns</w:t>
      </w:r>
      <w:r w:rsidRPr="009D18A9">
        <w:rPr>
          <w:lang w:val="en-CA"/>
        </w:rPr>
        <w:t xml:space="preserve"> are well-commercialized and are expected to be among the most cost-effective destruction technologies; however, the destruction efficiency is expected </w:t>
      </w:r>
      <w:r w:rsidRPr="009D18A9">
        <w:rPr>
          <w:lang w:val="en-CA"/>
        </w:rPr>
        <w:lastRenderedPageBreak/>
        <w:t>be lower (approximately 99</w:t>
      </w:r>
      <w:r w:rsidR="00AB69C7" w:rsidRPr="009D18A9">
        <w:rPr>
          <w:lang w:val="en-CA"/>
        </w:rPr>
        <w:t> per cent</w:t>
      </w:r>
      <w:r w:rsidRPr="009D18A9">
        <w:rPr>
          <w:lang w:val="en-CA"/>
        </w:rPr>
        <w:t xml:space="preserve">). </w:t>
      </w:r>
      <w:r w:rsidR="00913CF8" w:rsidRPr="009D18A9">
        <w:rPr>
          <w:lang w:val="en-CA"/>
        </w:rPr>
        <w:t>Operating costs are expected to be approximately US $1/kg</w:t>
      </w:r>
      <w:r w:rsidR="009C538E" w:rsidRPr="009D18A9">
        <w:rPr>
          <w:lang w:val="en-CA"/>
        </w:rPr>
        <w:t>. A</w:t>
      </w:r>
      <w:r w:rsidR="00913CF8" w:rsidRPr="009D18A9">
        <w:rPr>
          <w:lang w:val="en-CA"/>
        </w:rPr>
        <w:t xml:space="preserve"> facility that destroys approximately 100</w:t>
      </w:r>
      <w:r w:rsidR="00A66C8F" w:rsidRPr="009D18A9">
        <w:rPr>
          <w:lang w:val="en-CA"/>
        </w:rPr>
        <w:t> mt/yr</w:t>
      </w:r>
      <w:r w:rsidR="00913CF8" w:rsidRPr="009D18A9">
        <w:rPr>
          <w:lang w:val="en-CA"/>
        </w:rPr>
        <w:t xml:space="preserve"> would be expected to need to invest approximately US $0.5 million in capital costs to enable the destruction of HFC-23. Those costs would principally be associated with purchasing and installing the necessary equipment to receive containers with HFC-23 to be destroyed, transferring the HFC-23 to a storage tank, and feeding the HFC-23 into the kiln;</w:t>
      </w:r>
      <w:r w:rsidR="009D18A9" w:rsidRPr="009D18A9">
        <w:rPr>
          <w:lang w:val="en-CA"/>
        </w:rPr>
        <w:t xml:space="preserve"> and</w:t>
      </w:r>
    </w:p>
    <w:p w:rsidR="00913CF8" w:rsidRPr="00AB69C7" w:rsidRDefault="00913CF8" w:rsidP="00913CF8">
      <w:pPr>
        <w:pStyle w:val="Heading2"/>
        <w:rPr>
          <w:lang w:val="en-CA"/>
        </w:rPr>
      </w:pPr>
      <w:r w:rsidRPr="00AB69C7">
        <w:rPr>
          <w:lang w:val="en-CA"/>
        </w:rPr>
        <w:t xml:space="preserve">High-temperature steam thermal decomposition has excellent destruction efficiency. While there are three such facilities in operation in China, there is limited information on the costs, so those could not be assessed; however, it is expected that the costs could be lower than for a fired-heater thermal oxidation furnace. </w:t>
      </w:r>
    </w:p>
    <w:p w:rsidR="000168EA" w:rsidRPr="00AB69C7" w:rsidRDefault="00460B24" w:rsidP="000168EA">
      <w:pPr>
        <w:pStyle w:val="Heading1"/>
        <w:rPr>
          <w:lang w:val="en-CA"/>
        </w:rPr>
      </w:pPr>
      <w:r w:rsidRPr="00AB69C7">
        <w:rPr>
          <w:lang w:val="en-CA"/>
        </w:rPr>
        <w:t xml:space="preserve">HCFC-22 production facilities that have low levels of production, and therefore low quantities of HFC-23 by-product to be destroyed, </w:t>
      </w:r>
      <w:r w:rsidR="00803563" w:rsidRPr="00AB69C7">
        <w:rPr>
          <w:lang w:val="en-CA"/>
        </w:rPr>
        <w:t xml:space="preserve">that do not intend to continue production for feedstock uses, </w:t>
      </w:r>
      <w:r w:rsidRPr="00AB69C7">
        <w:rPr>
          <w:lang w:val="en-CA"/>
        </w:rPr>
        <w:t xml:space="preserve">and that either do not have an on-site destruction facility or the facility is in disuse, could face substantially higher costs of </w:t>
      </w:r>
      <w:r w:rsidR="00803563" w:rsidRPr="00AB69C7">
        <w:rPr>
          <w:lang w:val="en-CA"/>
        </w:rPr>
        <w:t xml:space="preserve">HFC-23 </w:t>
      </w:r>
      <w:r w:rsidRPr="00AB69C7">
        <w:rPr>
          <w:lang w:val="en-CA"/>
        </w:rPr>
        <w:t xml:space="preserve">destruction relative to production facilities with high volumes of HFC-23 by-product to be destroyed at an on-site facility. </w:t>
      </w:r>
    </w:p>
    <w:p w:rsidR="00DE0A3C" w:rsidRPr="00AB69C7" w:rsidRDefault="00803563" w:rsidP="00097C46">
      <w:pPr>
        <w:pStyle w:val="Heading1"/>
        <w:rPr>
          <w:lang w:val="en-CA"/>
        </w:rPr>
      </w:pPr>
      <w:r w:rsidRPr="00AB69C7">
        <w:rPr>
          <w:lang w:val="en-CA"/>
        </w:rPr>
        <w:t xml:space="preserve">The Secretariat notes that the Parties have not yet approved any technologies for destruction of HFC-23. </w:t>
      </w:r>
      <w:r w:rsidR="006606AC" w:rsidRPr="00AB69C7">
        <w:rPr>
          <w:lang w:val="en-CA"/>
        </w:rPr>
        <w:t>If the Parties were to approve the use of destruction technologies with a</w:t>
      </w:r>
      <w:r w:rsidR="009D18A9">
        <w:rPr>
          <w:lang w:val="en-CA"/>
        </w:rPr>
        <w:t xml:space="preserve"> destruction and removal efficiency</w:t>
      </w:r>
      <w:r w:rsidR="006606AC" w:rsidRPr="00AB69C7">
        <w:rPr>
          <w:lang w:val="en-CA"/>
        </w:rPr>
        <w:t xml:space="preserve"> below 99.99</w:t>
      </w:r>
      <w:r w:rsidR="00AB69C7">
        <w:rPr>
          <w:lang w:val="en-CA"/>
        </w:rPr>
        <w:t> per cent</w:t>
      </w:r>
      <w:r w:rsidR="006606AC" w:rsidRPr="00AB69C7">
        <w:rPr>
          <w:lang w:val="en-CA"/>
        </w:rPr>
        <w:t xml:space="preserve">, </w:t>
      </w:r>
      <w:r w:rsidR="009C538E">
        <w:rPr>
          <w:lang w:val="en-CA"/>
        </w:rPr>
        <w:t>(</w:t>
      </w:r>
      <w:r w:rsidR="006606AC" w:rsidRPr="00AB69C7">
        <w:rPr>
          <w:lang w:val="en-CA"/>
        </w:rPr>
        <w:t>perhaps for a limited period of time</w:t>
      </w:r>
      <w:r w:rsidR="009C538E">
        <w:rPr>
          <w:lang w:val="en-CA"/>
        </w:rPr>
        <w:t>)</w:t>
      </w:r>
      <w:r w:rsidR="009D18A9">
        <w:rPr>
          <w:lang w:val="en-CA"/>
        </w:rPr>
        <w:t>,</w:t>
      </w:r>
      <w:r w:rsidR="006606AC" w:rsidRPr="00AB69C7">
        <w:rPr>
          <w:lang w:val="en-CA"/>
        </w:rPr>
        <w:t xml:space="preserve"> this could allow those facilities to use the more cost-effective destruction technologies identified, such as </w:t>
      </w:r>
      <w:r w:rsidR="00460B24" w:rsidRPr="00AB69C7">
        <w:rPr>
          <w:lang w:val="en-CA"/>
        </w:rPr>
        <w:t xml:space="preserve">cement kiln oxidation and horizontal rotary-fired oxidation kiln, prior to phasing out their HCFC-22 production. </w:t>
      </w:r>
    </w:p>
    <w:p w:rsidR="000D1529" w:rsidRPr="00AB69C7" w:rsidRDefault="00FD31A3" w:rsidP="00097C46">
      <w:pPr>
        <w:rPr>
          <w:i/>
          <w:lang w:val="en-CA"/>
        </w:rPr>
      </w:pPr>
      <w:r w:rsidRPr="00AB69C7">
        <w:rPr>
          <w:i/>
          <w:lang w:val="en-CA"/>
        </w:rPr>
        <w:t>Comparison of costs with previous estimates</w:t>
      </w:r>
    </w:p>
    <w:p w:rsidR="00FD31A3" w:rsidRPr="00AB69C7" w:rsidRDefault="00FD31A3" w:rsidP="00097C46">
      <w:pPr>
        <w:rPr>
          <w:lang w:val="en-CA"/>
        </w:rPr>
      </w:pPr>
    </w:p>
    <w:p w:rsidR="00FD31A3" w:rsidRPr="00AB69C7" w:rsidRDefault="00FD31A3" w:rsidP="00097C46">
      <w:pPr>
        <w:pStyle w:val="Heading1"/>
        <w:rPr>
          <w:lang w:val="en-CA"/>
        </w:rPr>
      </w:pPr>
      <w:r w:rsidRPr="00AB69C7">
        <w:rPr>
          <w:lang w:val="en-CA"/>
        </w:rPr>
        <w:t>Based on the analysis of CDM data undertaken by the Secretariat at the 79</w:t>
      </w:r>
      <w:r w:rsidRPr="00AB69C7">
        <w:rPr>
          <w:vertAlign w:val="superscript"/>
          <w:lang w:val="en-CA"/>
        </w:rPr>
        <w:t>th</w:t>
      </w:r>
      <w:r w:rsidR="00AB69C7">
        <w:rPr>
          <w:lang w:val="en-CA"/>
        </w:rPr>
        <w:t> meeting</w:t>
      </w:r>
      <w:r w:rsidRPr="00AB69C7">
        <w:rPr>
          <w:lang w:val="en-CA"/>
        </w:rPr>
        <w:t>,</w:t>
      </w:r>
      <w:r w:rsidRPr="00AB69C7">
        <w:rPr>
          <w:rStyle w:val="FootnoteReference"/>
          <w:lang w:val="en-CA"/>
        </w:rPr>
        <w:footnoteReference w:id="6"/>
      </w:r>
      <w:r w:rsidRPr="00AB69C7">
        <w:rPr>
          <w:lang w:val="en-CA"/>
        </w:rPr>
        <w:t xml:space="preserve"> the incremental cost of the reported consumables and waste of the destruction facility were always found to be below US $1/kg. However, that cost did not include maintenance, labour, costs associated with monitoring, or other expenses that may affect the IOC of destruction. Therefore, the Secretariat </w:t>
      </w:r>
      <w:r w:rsidR="00803563" w:rsidRPr="00AB69C7">
        <w:rPr>
          <w:lang w:val="en-CA"/>
        </w:rPr>
        <w:t>considered the incremental cost of the reported consumables and waste</w:t>
      </w:r>
      <w:r w:rsidRPr="00AB69C7">
        <w:rPr>
          <w:lang w:val="en-CA"/>
        </w:rPr>
        <w:t xml:space="preserve"> </w:t>
      </w:r>
      <w:r w:rsidR="00803563" w:rsidRPr="00AB69C7">
        <w:rPr>
          <w:lang w:val="en-CA"/>
        </w:rPr>
        <w:t xml:space="preserve">to </w:t>
      </w:r>
      <w:r w:rsidRPr="00AB69C7">
        <w:rPr>
          <w:lang w:val="en-CA"/>
        </w:rPr>
        <w:t xml:space="preserve">represent a lower bound on the IOC. </w:t>
      </w:r>
      <w:r w:rsidR="008B6F5F" w:rsidRPr="00AB69C7">
        <w:rPr>
          <w:lang w:val="en-CA"/>
        </w:rPr>
        <w:t>The costs estimated by the consultant, which are higher, are inclusive of all costs associated with the destruction of HFC-23, ranging from procuring and installing the equipment, to fees associated with construction, such as permits and insurance, to all operating costs, including consumables, wastewater treatment, monitoring, and process and cooling water</w:t>
      </w:r>
      <w:r w:rsidR="009C538E">
        <w:rPr>
          <w:lang w:val="en-CA"/>
        </w:rPr>
        <w:t>.  I</w:t>
      </w:r>
      <w:r w:rsidR="008B6F5F" w:rsidRPr="00AB69C7">
        <w:rPr>
          <w:lang w:val="en-CA"/>
        </w:rPr>
        <w:t>n line with Executive Committee practice and decisions, taxes and depreciation were excluded. The conservative estimate presented by the consultant includes 25</w:t>
      </w:r>
      <w:r w:rsidR="00AB69C7">
        <w:rPr>
          <w:lang w:val="en-CA"/>
        </w:rPr>
        <w:t> per cent</w:t>
      </w:r>
      <w:r w:rsidR="008B6F5F" w:rsidRPr="00AB69C7">
        <w:rPr>
          <w:lang w:val="en-CA"/>
        </w:rPr>
        <w:t xml:space="preserve"> in contingencies</w:t>
      </w:r>
      <w:r w:rsidR="00803563" w:rsidRPr="00AB69C7">
        <w:rPr>
          <w:lang w:val="en-CA"/>
        </w:rPr>
        <w:t>,</w:t>
      </w:r>
      <w:r w:rsidR="008B6F5F" w:rsidRPr="00AB69C7">
        <w:rPr>
          <w:lang w:val="en-CA"/>
        </w:rPr>
        <w:t xml:space="preserve"> and installation costs account for </w:t>
      </w:r>
      <w:r w:rsidR="00803563" w:rsidRPr="00AB69C7">
        <w:rPr>
          <w:lang w:val="en-CA"/>
        </w:rPr>
        <w:t xml:space="preserve">approximately </w:t>
      </w:r>
      <w:r w:rsidR="008B6F5F" w:rsidRPr="00AB69C7">
        <w:rPr>
          <w:lang w:val="en-CA"/>
        </w:rPr>
        <w:t>35</w:t>
      </w:r>
      <w:r w:rsidR="00AB69C7">
        <w:rPr>
          <w:lang w:val="en-CA"/>
        </w:rPr>
        <w:t> per cent</w:t>
      </w:r>
      <w:r w:rsidR="00803563" w:rsidRPr="00AB69C7">
        <w:rPr>
          <w:lang w:val="en-CA"/>
        </w:rPr>
        <w:t xml:space="preserve"> of the fixed costs</w:t>
      </w:r>
      <w:r w:rsidR="008B6F5F" w:rsidRPr="00AB69C7">
        <w:rPr>
          <w:lang w:val="en-CA"/>
        </w:rPr>
        <w:t xml:space="preserve">, including running the incinerator for at least 72 hours to demonstrate performance. </w:t>
      </w:r>
      <w:r w:rsidR="005602C7" w:rsidRPr="00AB69C7">
        <w:rPr>
          <w:lang w:val="en-CA"/>
        </w:rPr>
        <w:t>Those costs are higher than typically found in projects submitted to the Multilateral Fund as they represent a conservative (upper</w:t>
      </w:r>
      <w:r w:rsidR="00AB69C7">
        <w:rPr>
          <w:lang w:val="en-CA"/>
        </w:rPr>
        <w:noBreakHyphen/>
      </w:r>
      <w:r w:rsidR="005602C7" w:rsidRPr="00AB69C7">
        <w:rPr>
          <w:lang w:val="en-CA"/>
        </w:rPr>
        <w:t xml:space="preserve">bound) estimate. </w:t>
      </w:r>
      <w:r w:rsidR="008B6F5F" w:rsidRPr="00AB69C7">
        <w:rPr>
          <w:lang w:val="en-CA"/>
        </w:rPr>
        <w:t xml:space="preserve">   </w:t>
      </w:r>
    </w:p>
    <w:p w:rsidR="0053388F" w:rsidRPr="00AB69C7" w:rsidRDefault="0053388F" w:rsidP="00097C46">
      <w:pPr>
        <w:keepNext/>
        <w:keepLines/>
        <w:rPr>
          <w:u w:val="single"/>
          <w:lang w:val="en-CA"/>
        </w:rPr>
      </w:pPr>
      <w:r w:rsidRPr="00AB69C7">
        <w:rPr>
          <w:u w:val="single"/>
          <w:lang w:val="en-CA"/>
        </w:rPr>
        <w:t>Secretariat’s recommendation</w:t>
      </w:r>
    </w:p>
    <w:p w:rsidR="0053388F" w:rsidRPr="00AB69C7" w:rsidRDefault="0053388F" w:rsidP="00097C46">
      <w:pPr>
        <w:keepNext/>
        <w:keepLines/>
        <w:rPr>
          <w:lang w:val="en-CA"/>
        </w:rPr>
      </w:pPr>
    </w:p>
    <w:p w:rsidR="0053388F" w:rsidRPr="00AB69C7" w:rsidRDefault="00FE6FA5" w:rsidP="00097C46">
      <w:pPr>
        <w:pStyle w:val="Heading1"/>
        <w:keepNext/>
        <w:keepLines/>
        <w:rPr>
          <w:lang w:val="en-CA"/>
        </w:rPr>
      </w:pPr>
      <w:r w:rsidRPr="00AB69C7">
        <w:rPr>
          <w:lang w:val="en-CA"/>
        </w:rPr>
        <w:t xml:space="preserve">The Executive Committee might wish to </w:t>
      </w:r>
      <w:r w:rsidR="00D14E25" w:rsidRPr="00AB69C7">
        <w:rPr>
          <w:lang w:val="en-CA"/>
        </w:rPr>
        <w:t>note</w:t>
      </w:r>
      <w:r w:rsidRPr="00AB69C7">
        <w:rPr>
          <w:lang w:val="en-CA"/>
        </w:rPr>
        <w:t xml:space="preserve"> </w:t>
      </w:r>
      <w:r w:rsidR="00B341F8" w:rsidRPr="00AB69C7">
        <w:rPr>
          <w:lang w:val="en-CA"/>
        </w:rPr>
        <w:t xml:space="preserve">the </w:t>
      </w:r>
      <w:r w:rsidR="009C538E">
        <w:rPr>
          <w:lang w:val="en-CA"/>
        </w:rPr>
        <w:t>report</w:t>
      </w:r>
      <w:r w:rsidR="00B341F8" w:rsidRPr="00AB69C7">
        <w:rPr>
          <w:lang w:val="en-CA"/>
        </w:rPr>
        <w:t xml:space="preserve"> on key aspects related to HFC-23 by</w:t>
      </w:r>
      <w:r w:rsidR="009C538E">
        <w:rPr>
          <w:lang w:val="en-CA"/>
        </w:rPr>
        <w:noBreakHyphen/>
      </w:r>
      <w:r w:rsidR="00B341F8" w:rsidRPr="00AB69C7">
        <w:rPr>
          <w:lang w:val="en-CA"/>
        </w:rPr>
        <w:t>product control technologies (decisions 78/5(e), 79/17(b), 79/47(e) and 80/77(b)), contained in document</w:t>
      </w:r>
      <w:r w:rsidR="009C538E">
        <w:rPr>
          <w:lang w:val="en-CA"/>
        </w:rPr>
        <w:t> </w:t>
      </w:r>
      <w:r w:rsidR="00B341F8" w:rsidRPr="00AB69C7">
        <w:rPr>
          <w:lang w:val="en-CA"/>
        </w:rPr>
        <w:t>UNEP/OzL.Pro/ExCom/81/54</w:t>
      </w:r>
      <w:r w:rsidRPr="00AB69C7">
        <w:rPr>
          <w:lang w:val="en-CA"/>
        </w:rPr>
        <w:t>.</w:t>
      </w:r>
    </w:p>
    <w:p w:rsidR="00E85409" w:rsidRPr="00AB69C7" w:rsidRDefault="00E85409" w:rsidP="0053388F">
      <w:pPr>
        <w:rPr>
          <w:lang w:val="en-CA"/>
        </w:rPr>
      </w:pPr>
    </w:p>
    <w:p w:rsidR="00E85409" w:rsidRPr="00AB69C7" w:rsidRDefault="00E85409" w:rsidP="0053388F">
      <w:pPr>
        <w:rPr>
          <w:lang w:val="en-CA"/>
        </w:rPr>
      </w:pPr>
    </w:p>
    <w:p w:rsidR="00E85409" w:rsidRPr="00AB69C7" w:rsidRDefault="00E85409" w:rsidP="0053388F">
      <w:pPr>
        <w:rPr>
          <w:lang w:val="en-CA"/>
        </w:rPr>
      </w:pPr>
    </w:p>
    <w:p w:rsidR="00E85409" w:rsidRPr="00AB69C7" w:rsidRDefault="00E85409" w:rsidP="0053388F">
      <w:pPr>
        <w:rPr>
          <w:lang w:val="en-CA"/>
        </w:rPr>
      </w:pPr>
    </w:p>
    <w:p w:rsidR="00E85409" w:rsidRPr="00AB69C7" w:rsidRDefault="00E85409" w:rsidP="0053388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B69C7" w:rsidTr="00FB077C">
        <w:tc>
          <w:tcPr>
            <w:tcW w:w="1915" w:type="dxa"/>
          </w:tcPr>
          <w:p w:rsidR="00E85409" w:rsidRPr="00AB69C7" w:rsidRDefault="00E85409" w:rsidP="00FB077C">
            <w:pPr>
              <w:rPr>
                <w:lang w:val="en-CA"/>
              </w:rPr>
            </w:pPr>
          </w:p>
        </w:tc>
        <w:tc>
          <w:tcPr>
            <w:tcW w:w="1915" w:type="dxa"/>
          </w:tcPr>
          <w:p w:rsidR="00E85409" w:rsidRPr="00AB69C7" w:rsidRDefault="00E85409" w:rsidP="00FB077C">
            <w:pPr>
              <w:rPr>
                <w:lang w:val="en-CA"/>
              </w:rPr>
            </w:pPr>
          </w:p>
        </w:tc>
        <w:tc>
          <w:tcPr>
            <w:tcW w:w="1915" w:type="dxa"/>
            <w:tcBorders>
              <w:bottom w:val="single" w:sz="4" w:space="0" w:color="auto"/>
            </w:tcBorders>
          </w:tcPr>
          <w:p w:rsidR="00E85409" w:rsidRPr="00AB69C7" w:rsidRDefault="00E85409" w:rsidP="00FB077C">
            <w:pPr>
              <w:rPr>
                <w:lang w:val="en-CA"/>
              </w:rPr>
            </w:pPr>
          </w:p>
        </w:tc>
        <w:tc>
          <w:tcPr>
            <w:tcW w:w="1915" w:type="dxa"/>
          </w:tcPr>
          <w:p w:rsidR="00E85409" w:rsidRPr="00AB69C7" w:rsidRDefault="00E85409" w:rsidP="00FB077C">
            <w:pPr>
              <w:rPr>
                <w:lang w:val="en-CA"/>
              </w:rPr>
            </w:pPr>
          </w:p>
        </w:tc>
        <w:tc>
          <w:tcPr>
            <w:tcW w:w="1916" w:type="dxa"/>
          </w:tcPr>
          <w:p w:rsidR="00E85409" w:rsidRPr="00AB69C7" w:rsidRDefault="00E85409" w:rsidP="00FB077C">
            <w:pPr>
              <w:rPr>
                <w:lang w:val="en-CA"/>
              </w:rPr>
            </w:pPr>
          </w:p>
        </w:tc>
      </w:tr>
    </w:tbl>
    <w:p w:rsidR="00E85409" w:rsidRPr="00AB69C7" w:rsidRDefault="00E85409" w:rsidP="004E7F9C">
      <w:pPr>
        <w:rPr>
          <w:lang w:val="en-CA"/>
        </w:rPr>
      </w:pPr>
    </w:p>
    <w:sectPr w:rsidR="00E85409" w:rsidRPr="00AB69C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0F3" w:rsidRDefault="00AD20F3" w:rsidP="004A504B">
      <w:r>
        <w:separator/>
      </w:r>
    </w:p>
  </w:endnote>
  <w:endnote w:type="continuationSeparator" w:id="0">
    <w:p w:rsidR="00AD20F3" w:rsidRDefault="00AD20F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530CA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530CA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0F3" w:rsidRDefault="00AD20F3" w:rsidP="004A504B">
      <w:r>
        <w:separator/>
      </w:r>
    </w:p>
  </w:footnote>
  <w:footnote w:type="continuationSeparator" w:id="0">
    <w:p w:rsidR="00AD20F3" w:rsidRDefault="00AD20F3" w:rsidP="004A504B">
      <w:r>
        <w:continuationSeparator/>
      </w:r>
    </w:p>
  </w:footnote>
  <w:footnote w:id="1">
    <w:p w:rsidR="00AE4410" w:rsidRPr="00AE4410" w:rsidRDefault="00AE4410">
      <w:pPr>
        <w:pStyle w:val="FootnoteText"/>
        <w:rPr>
          <w:lang w:val="en-US"/>
        </w:rPr>
      </w:pPr>
      <w:r>
        <w:rPr>
          <w:rStyle w:val="FootnoteReference"/>
        </w:rPr>
        <w:footnoteRef/>
      </w:r>
      <w:r>
        <w:t xml:space="preserve"> </w:t>
      </w:r>
      <w:r w:rsidR="00DE45B2">
        <w:t xml:space="preserve">Including </w:t>
      </w:r>
      <w:r w:rsidRPr="00AE4410">
        <w:t>Öko-Recherche</w:t>
      </w:r>
      <w:r>
        <w:t>,</w:t>
      </w:r>
      <w:r w:rsidRPr="00AE4410">
        <w:t xml:space="preserve"> an independent environmental research institution and consultancy located in Germany.</w:t>
      </w:r>
    </w:p>
  </w:footnote>
  <w:footnote w:id="2">
    <w:p w:rsidR="00973485" w:rsidRPr="002B3CEA" w:rsidRDefault="00973485" w:rsidP="00973485">
      <w:pPr>
        <w:pStyle w:val="FootnoteText"/>
        <w:rPr>
          <w:lang w:val="en-US"/>
        </w:rPr>
      </w:pPr>
      <w:r>
        <w:rPr>
          <w:rStyle w:val="FootnoteReference"/>
        </w:rPr>
        <w:footnoteRef/>
      </w:r>
      <w:r>
        <w:t xml:space="preserve"> The largest use </w:t>
      </w:r>
      <w:r w:rsidRPr="00B718C8">
        <w:t>of HCFC-22 is as a feedstock in the production</w:t>
      </w:r>
      <w:r>
        <w:t xml:space="preserve"> of t</w:t>
      </w:r>
      <w:r w:rsidRPr="002B3CEA">
        <w:t>etrafluoroethylene</w:t>
      </w:r>
      <w:r>
        <w:t xml:space="preserve"> (TFE); it can also be used as a feedstock in the production of HFC-4310mee, HFC-227ea, HFC-32, HFE-347pcf, HFE-7100, HCFE-235da2, </w:t>
      </w:r>
      <w:r w:rsidRPr="002B3CEA">
        <w:t>HFE</w:t>
      </w:r>
      <w:r>
        <w:noBreakHyphen/>
      </w:r>
      <w:r w:rsidRPr="002B3CEA">
        <w:t>236ea2</w:t>
      </w:r>
      <w:r>
        <w:t>, and possibly other chemicals. The Secretariat has no information on the prevalence of the use of HCFC</w:t>
      </w:r>
      <w:r>
        <w:noBreakHyphen/>
        <w:t xml:space="preserve">22 as a feedstock of those other chemicals. </w:t>
      </w:r>
    </w:p>
  </w:footnote>
  <w:footnote w:id="3">
    <w:p w:rsidR="0056205A" w:rsidRPr="0056205A" w:rsidRDefault="0056205A" w:rsidP="0056205A">
      <w:pPr>
        <w:pStyle w:val="FootnoteText"/>
      </w:pPr>
      <w:r>
        <w:rPr>
          <w:rStyle w:val="FootnoteReference"/>
        </w:rPr>
        <w:footnoteRef/>
      </w:r>
      <w:r w:rsidRPr="0056205A">
        <w:t>http://conf.montreal-protocol.org/meeting/oewg/oewg-39/events-publications/Observer%20Publications/Effective%20Technologies%20for%20Conversion%20of%20HFC-23%20-%20Quan%20Hengdao.pdf</w:t>
      </w:r>
    </w:p>
  </w:footnote>
  <w:footnote w:id="4">
    <w:p w:rsidR="0056205A" w:rsidRPr="0056205A" w:rsidRDefault="0056205A" w:rsidP="0056205A">
      <w:pPr>
        <w:pStyle w:val="FootnoteText"/>
      </w:pPr>
      <w:r>
        <w:rPr>
          <w:rStyle w:val="FootnoteReference"/>
        </w:rPr>
        <w:footnoteRef/>
      </w:r>
      <w:r w:rsidRPr="0056205A">
        <w:t>http://conf.montreal-protocol.org/meeting/oewg/oewg-39/events-publications/Observer%20Publications/Treatment%20of%20HFC-23%20by%20conversion%20-%20Han%20Wenfeng.pdf</w:t>
      </w:r>
    </w:p>
  </w:footnote>
  <w:footnote w:id="5">
    <w:p w:rsidR="0056205A" w:rsidRPr="0056205A" w:rsidRDefault="0056205A">
      <w:pPr>
        <w:pStyle w:val="FootnoteText"/>
        <w:rPr>
          <w:lang w:val="en-US"/>
        </w:rPr>
      </w:pPr>
      <w:r>
        <w:rPr>
          <w:rStyle w:val="FootnoteReference"/>
        </w:rPr>
        <w:footnoteRef/>
      </w:r>
      <w:r w:rsidRPr="0056205A">
        <w:t>http://conf.montreal-protocol.org/meeting/oewg/oewg-39/events-publications/Observer%20Publications/The%20Creation%20and%20Recovery%20of%20Valuable%20Organic%20Halides%20From%20the%20HFC-23%20-%20Lew%20Steinberg.pdf</w:t>
      </w:r>
    </w:p>
  </w:footnote>
  <w:footnote w:id="6">
    <w:p w:rsidR="00FD31A3" w:rsidRPr="00FD31A3" w:rsidRDefault="00FD31A3">
      <w:pPr>
        <w:pStyle w:val="FootnoteText"/>
        <w:rPr>
          <w:lang w:val="en-US"/>
        </w:rPr>
      </w:pPr>
      <w:r>
        <w:rPr>
          <w:rStyle w:val="FootnoteReference"/>
        </w:rPr>
        <w:footnoteRef/>
      </w:r>
      <w:r>
        <w:t xml:space="preserve"> </w:t>
      </w:r>
      <w:r w:rsidRPr="00FD31A3">
        <w:t>UNEP/OzL.Pro/ExCom/79/4</w:t>
      </w:r>
      <w:r>
        <w:t xml:space="preserve">8; </w:t>
      </w:r>
      <w:r w:rsidRPr="00FD31A3">
        <w:t>79/48</w:t>
      </w:r>
      <w:r w:rsidR="00A66C8F">
        <w:t>/</w:t>
      </w:r>
      <w:r>
        <w:t>Add</w:t>
      </w:r>
      <w:r w:rsidR="00A66C8F">
        <w:t>.</w:t>
      </w:r>
      <w:r>
        <w:t>1;</w:t>
      </w:r>
      <w:r w:rsidRPr="00FD31A3">
        <w:t xml:space="preserve"> 79/48</w:t>
      </w:r>
      <w:r w:rsidR="00A66C8F">
        <w:t>/</w:t>
      </w:r>
      <w:r>
        <w:t>Cor</w:t>
      </w:r>
      <w:r w:rsidR="00A66C8F">
        <w:t>r.</w:t>
      </w:r>
      <w:r>
        <w:t>1;</w:t>
      </w:r>
      <w:r w:rsidR="00097C46">
        <w:t xml:space="preserve"> and</w:t>
      </w:r>
      <w:r w:rsidRPr="00FD31A3">
        <w:t xml:space="preserve"> 79/48</w:t>
      </w:r>
      <w:r w:rsidR="00A66C8F">
        <w:t>/</w:t>
      </w:r>
      <w:r>
        <w:t>Cor</w:t>
      </w:r>
      <w:r w:rsidR="00A66C8F">
        <w:t>r.</w:t>
      </w:r>
      <w:r w:rsidR="00097C46">
        <w:t>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30CA5">
    <w:r>
      <w:fldChar w:fldCharType="begin"/>
    </w:r>
    <w:r>
      <w:instrText xml:space="preserve"> DOCPROPERTY "Document number"  \* MERGEFORMAT </w:instrText>
    </w:r>
    <w:r>
      <w:fldChar w:fldCharType="separate"/>
    </w:r>
    <w:r w:rsidR="008B5B9C">
      <w:t>UNEP/OzL.Pro/ExCom/81/54</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530CA5">
    <w:pPr>
      <w:jc w:val="right"/>
    </w:pPr>
    <w:r>
      <w:fldChar w:fldCharType="begin"/>
    </w:r>
    <w:r>
      <w:instrText xml:space="preserve"> DOCPROPERTY "Document number"  \* MERGEFORMAT </w:instrText>
    </w:r>
    <w:r>
      <w:fldChar w:fldCharType="separate"/>
    </w:r>
    <w:r w:rsidR="008B5B9C">
      <w:t>UNEP/OzL.Pro/ExCom/81/54</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5"/>
    <w:lvlOverride w:ilvl="0">
      <w:startOverride w:val="1"/>
    </w:lvlOverride>
  </w:num>
  <w:num w:numId="22">
    <w:abstractNumId w:val="15"/>
    <w:lvlOverride w:ilvl="0">
      <w:startOverride w:val="1"/>
    </w:lvlOverride>
  </w:num>
  <w:num w:numId="23">
    <w:abstractNumId w:val="15"/>
    <w:lvlOverride w:ilvl="0">
      <w:startOverride w:val="1"/>
    </w:lvlOverride>
  </w:num>
  <w:num w:numId="24">
    <w:abstractNumId w:val="15"/>
    <w:lvlOverride w:ilvl="0">
      <w:startOverride w:val="1"/>
    </w:lvlOverride>
  </w:num>
  <w:num w:numId="25">
    <w:abstractNumId w:val="15"/>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53388F"/>
    <w:rsid w:val="00000FED"/>
    <w:rsid w:val="0000434E"/>
    <w:rsid w:val="0001484C"/>
    <w:rsid w:val="000168EA"/>
    <w:rsid w:val="000211A9"/>
    <w:rsid w:val="00031260"/>
    <w:rsid w:val="0003681A"/>
    <w:rsid w:val="00061EC2"/>
    <w:rsid w:val="00080ED0"/>
    <w:rsid w:val="00081091"/>
    <w:rsid w:val="00085B8F"/>
    <w:rsid w:val="00090481"/>
    <w:rsid w:val="00090830"/>
    <w:rsid w:val="00097C46"/>
    <w:rsid w:val="000A6C26"/>
    <w:rsid w:val="000D1529"/>
    <w:rsid w:val="000E07BC"/>
    <w:rsid w:val="000F1CD4"/>
    <w:rsid w:val="000F4103"/>
    <w:rsid w:val="000F70A7"/>
    <w:rsid w:val="00122F25"/>
    <w:rsid w:val="00135980"/>
    <w:rsid w:val="00147FA1"/>
    <w:rsid w:val="00164719"/>
    <w:rsid w:val="00166FC4"/>
    <w:rsid w:val="001677AC"/>
    <w:rsid w:val="001804EA"/>
    <w:rsid w:val="00190A61"/>
    <w:rsid w:val="00194D21"/>
    <w:rsid w:val="00195F69"/>
    <w:rsid w:val="001A2C19"/>
    <w:rsid w:val="001A3342"/>
    <w:rsid w:val="001A3E3D"/>
    <w:rsid w:val="001A7049"/>
    <w:rsid w:val="001B1E40"/>
    <w:rsid w:val="001C2E81"/>
    <w:rsid w:val="001C4A87"/>
    <w:rsid w:val="001C764E"/>
    <w:rsid w:val="001E1052"/>
    <w:rsid w:val="001E21B1"/>
    <w:rsid w:val="001E2F93"/>
    <w:rsid w:val="001E507A"/>
    <w:rsid w:val="001E61E5"/>
    <w:rsid w:val="001F2159"/>
    <w:rsid w:val="001F558B"/>
    <w:rsid w:val="00214863"/>
    <w:rsid w:val="002156B4"/>
    <w:rsid w:val="00253222"/>
    <w:rsid w:val="00262847"/>
    <w:rsid w:val="00281BB2"/>
    <w:rsid w:val="002B3CBF"/>
    <w:rsid w:val="002B3CEA"/>
    <w:rsid w:val="002B72E9"/>
    <w:rsid w:val="002C1E86"/>
    <w:rsid w:val="002C7998"/>
    <w:rsid w:val="002D6690"/>
    <w:rsid w:val="002F1E53"/>
    <w:rsid w:val="002F2628"/>
    <w:rsid w:val="002F2CAA"/>
    <w:rsid w:val="0030052C"/>
    <w:rsid w:val="003156B0"/>
    <w:rsid w:val="003306E1"/>
    <w:rsid w:val="003320E4"/>
    <w:rsid w:val="0033525D"/>
    <w:rsid w:val="003414F3"/>
    <w:rsid w:val="0035613E"/>
    <w:rsid w:val="003624D4"/>
    <w:rsid w:val="00363EE9"/>
    <w:rsid w:val="00376128"/>
    <w:rsid w:val="0037742E"/>
    <w:rsid w:val="0038245A"/>
    <w:rsid w:val="00385CFC"/>
    <w:rsid w:val="0039337A"/>
    <w:rsid w:val="003A3189"/>
    <w:rsid w:val="003A69B1"/>
    <w:rsid w:val="003A6C12"/>
    <w:rsid w:val="003B33BD"/>
    <w:rsid w:val="003B569D"/>
    <w:rsid w:val="003C3C0E"/>
    <w:rsid w:val="003D15CE"/>
    <w:rsid w:val="003D4FAC"/>
    <w:rsid w:val="003D763F"/>
    <w:rsid w:val="003E7906"/>
    <w:rsid w:val="003F3C50"/>
    <w:rsid w:val="003F4049"/>
    <w:rsid w:val="00406A6A"/>
    <w:rsid w:val="00406B22"/>
    <w:rsid w:val="004328A7"/>
    <w:rsid w:val="00434C74"/>
    <w:rsid w:val="00442174"/>
    <w:rsid w:val="004451A4"/>
    <w:rsid w:val="00456EB4"/>
    <w:rsid w:val="00460B24"/>
    <w:rsid w:val="00462947"/>
    <w:rsid w:val="004718F3"/>
    <w:rsid w:val="00475040"/>
    <w:rsid w:val="00493D40"/>
    <w:rsid w:val="004967B6"/>
    <w:rsid w:val="004968FA"/>
    <w:rsid w:val="004A0BFC"/>
    <w:rsid w:val="004A4B59"/>
    <w:rsid w:val="004A504B"/>
    <w:rsid w:val="004A5F5C"/>
    <w:rsid w:val="004A6911"/>
    <w:rsid w:val="004B54E0"/>
    <w:rsid w:val="004B7384"/>
    <w:rsid w:val="004B7C14"/>
    <w:rsid w:val="004C4269"/>
    <w:rsid w:val="004D6236"/>
    <w:rsid w:val="004E4A7F"/>
    <w:rsid w:val="004E4DBB"/>
    <w:rsid w:val="004E4E41"/>
    <w:rsid w:val="004E7F9C"/>
    <w:rsid w:val="004F3493"/>
    <w:rsid w:val="004F5143"/>
    <w:rsid w:val="00512B09"/>
    <w:rsid w:val="00530CA5"/>
    <w:rsid w:val="0053388F"/>
    <w:rsid w:val="0055130C"/>
    <w:rsid w:val="00554470"/>
    <w:rsid w:val="00555D75"/>
    <w:rsid w:val="005602C7"/>
    <w:rsid w:val="00560DF0"/>
    <w:rsid w:val="0056205A"/>
    <w:rsid w:val="0056759C"/>
    <w:rsid w:val="0059513E"/>
    <w:rsid w:val="005B48FF"/>
    <w:rsid w:val="005C7B96"/>
    <w:rsid w:val="005D2D7E"/>
    <w:rsid w:val="005F64CE"/>
    <w:rsid w:val="00602644"/>
    <w:rsid w:val="00604C15"/>
    <w:rsid w:val="00605350"/>
    <w:rsid w:val="006158D5"/>
    <w:rsid w:val="00625D83"/>
    <w:rsid w:val="0063049B"/>
    <w:rsid w:val="00646224"/>
    <w:rsid w:val="00651E21"/>
    <w:rsid w:val="006606AC"/>
    <w:rsid w:val="006623E7"/>
    <w:rsid w:val="00662B80"/>
    <w:rsid w:val="00670F6C"/>
    <w:rsid w:val="006852C7"/>
    <w:rsid w:val="006A4588"/>
    <w:rsid w:val="006B12DC"/>
    <w:rsid w:val="006C1727"/>
    <w:rsid w:val="006C32FD"/>
    <w:rsid w:val="006C39CE"/>
    <w:rsid w:val="006D0FCC"/>
    <w:rsid w:val="006E1FC3"/>
    <w:rsid w:val="006E63FC"/>
    <w:rsid w:val="00703E47"/>
    <w:rsid w:val="0070616B"/>
    <w:rsid w:val="00706FDA"/>
    <w:rsid w:val="00711F9A"/>
    <w:rsid w:val="00713810"/>
    <w:rsid w:val="00725672"/>
    <w:rsid w:val="007303A5"/>
    <w:rsid w:val="00730B3E"/>
    <w:rsid w:val="0073420B"/>
    <w:rsid w:val="00735A87"/>
    <w:rsid w:val="007366AB"/>
    <w:rsid w:val="0074760E"/>
    <w:rsid w:val="00754ABA"/>
    <w:rsid w:val="007559CF"/>
    <w:rsid w:val="007627B9"/>
    <w:rsid w:val="00766C5B"/>
    <w:rsid w:val="007670B9"/>
    <w:rsid w:val="00776915"/>
    <w:rsid w:val="007A1546"/>
    <w:rsid w:val="007A228C"/>
    <w:rsid w:val="007A368E"/>
    <w:rsid w:val="007A5868"/>
    <w:rsid w:val="007B04CE"/>
    <w:rsid w:val="007B6871"/>
    <w:rsid w:val="007B7A2F"/>
    <w:rsid w:val="007C3D33"/>
    <w:rsid w:val="007D294A"/>
    <w:rsid w:val="007D47D2"/>
    <w:rsid w:val="007D6EC0"/>
    <w:rsid w:val="007D7E1D"/>
    <w:rsid w:val="007F3892"/>
    <w:rsid w:val="008007C7"/>
    <w:rsid w:val="00803563"/>
    <w:rsid w:val="008069B4"/>
    <w:rsid w:val="00817D0C"/>
    <w:rsid w:val="00831979"/>
    <w:rsid w:val="00834D40"/>
    <w:rsid w:val="00851352"/>
    <w:rsid w:val="00863230"/>
    <w:rsid w:val="008704DF"/>
    <w:rsid w:val="008717D8"/>
    <w:rsid w:val="0087215C"/>
    <w:rsid w:val="008729A2"/>
    <w:rsid w:val="008875FE"/>
    <w:rsid w:val="00887F8E"/>
    <w:rsid w:val="008934AA"/>
    <w:rsid w:val="00896234"/>
    <w:rsid w:val="00897E43"/>
    <w:rsid w:val="008A21C4"/>
    <w:rsid w:val="008B2FAC"/>
    <w:rsid w:val="008B5B9C"/>
    <w:rsid w:val="008B6F5F"/>
    <w:rsid w:val="008C5738"/>
    <w:rsid w:val="008C7EAD"/>
    <w:rsid w:val="008D0CFE"/>
    <w:rsid w:val="008D6152"/>
    <w:rsid w:val="008F0F81"/>
    <w:rsid w:val="008F27BF"/>
    <w:rsid w:val="00900B3C"/>
    <w:rsid w:val="00913CF8"/>
    <w:rsid w:val="009142EC"/>
    <w:rsid w:val="009154C3"/>
    <w:rsid w:val="00923540"/>
    <w:rsid w:val="00926767"/>
    <w:rsid w:val="00927F98"/>
    <w:rsid w:val="009361D5"/>
    <w:rsid w:val="009428A4"/>
    <w:rsid w:val="00943C99"/>
    <w:rsid w:val="009566FC"/>
    <w:rsid w:val="009659F4"/>
    <w:rsid w:val="00970D60"/>
    <w:rsid w:val="00973485"/>
    <w:rsid w:val="009960E5"/>
    <w:rsid w:val="009A7ADC"/>
    <w:rsid w:val="009B3144"/>
    <w:rsid w:val="009C19B7"/>
    <w:rsid w:val="009C538E"/>
    <w:rsid w:val="009D18A9"/>
    <w:rsid w:val="009D7C51"/>
    <w:rsid w:val="009E196C"/>
    <w:rsid w:val="009F36BF"/>
    <w:rsid w:val="009F3731"/>
    <w:rsid w:val="00A111B6"/>
    <w:rsid w:val="00A26D27"/>
    <w:rsid w:val="00A336A1"/>
    <w:rsid w:val="00A365E2"/>
    <w:rsid w:val="00A376EE"/>
    <w:rsid w:val="00A42A99"/>
    <w:rsid w:val="00A5151A"/>
    <w:rsid w:val="00A55548"/>
    <w:rsid w:val="00A57E0A"/>
    <w:rsid w:val="00A6385B"/>
    <w:rsid w:val="00A66C8F"/>
    <w:rsid w:val="00A823F6"/>
    <w:rsid w:val="00A96CB2"/>
    <w:rsid w:val="00AA0A89"/>
    <w:rsid w:val="00AA37AE"/>
    <w:rsid w:val="00AA6429"/>
    <w:rsid w:val="00AA75E9"/>
    <w:rsid w:val="00AB69C7"/>
    <w:rsid w:val="00AC01AA"/>
    <w:rsid w:val="00AC4F72"/>
    <w:rsid w:val="00AD20F3"/>
    <w:rsid w:val="00AD7A23"/>
    <w:rsid w:val="00AE4410"/>
    <w:rsid w:val="00AF741A"/>
    <w:rsid w:val="00B01ADB"/>
    <w:rsid w:val="00B04161"/>
    <w:rsid w:val="00B056F9"/>
    <w:rsid w:val="00B11E3D"/>
    <w:rsid w:val="00B17E82"/>
    <w:rsid w:val="00B341F8"/>
    <w:rsid w:val="00B366F2"/>
    <w:rsid w:val="00B4575A"/>
    <w:rsid w:val="00B51A36"/>
    <w:rsid w:val="00B57134"/>
    <w:rsid w:val="00B575BA"/>
    <w:rsid w:val="00B718C8"/>
    <w:rsid w:val="00B76429"/>
    <w:rsid w:val="00B956D4"/>
    <w:rsid w:val="00B97446"/>
    <w:rsid w:val="00BA7432"/>
    <w:rsid w:val="00BC1AA0"/>
    <w:rsid w:val="00BC2495"/>
    <w:rsid w:val="00BC2756"/>
    <w:rsid w:val="00BC7EB9"/>
    <w:rsid w:val="00BD2643"/>
    <w:rsid w:val="00BD56B1"/>
    <w:rsid w:val="00BD6558"/>
    <w:rsid w:val="00BE4C0D"/>
    <w:rsid w:val="00BF3022"/>
    <w:rsid w:val="00BF3214"/>
    <w:rsid w:val="00BF5573"/>
    <w:rsid w:val="00C00E75"/>
    <w:rsid w:val="00C15867"/>
    <w:rsid w:val="00C2296D"/>
    <w:rsid w:val="00C23155"/>
    <w:rsid w:val="00C40C41"/>
    <w:rsid w:val="00C45885"/>
    <w:rsid w:val="00C50F22"/>
    <w:rsid w:val="00C57971"/>
    <w:rsid w:val="00C66247"/>
    <w:rsid w:val="00C73763"/>
    <w:rsid w:val="00C76BA4"/>
    <w:rsid w:val="00C83A48"/>
    <w:rsid w:val="00C85865"/>
    <w:rsid w:val="00C85E85"/>
    <w:rsid w:val="00CA20F2"/>
    <w:rsid w:val="00CA292C"/>
    <w:rsid w:val="00CA2EAE"/>
    <w:rsid w:val="00CA4AC1"/>
    <w:rsid w:val="00CA55EC"/>
    <w:rsid w:val="00CB0316"/>
    <w:rsid w:val="00CB0B11"/>
    <w:rsid w:val="00CB5354"/>
    <w:rsid w:val="00CC60DC"/>
    <w:rsid w:val="00CC6A14"/>
    <w:rsid w:val="00CC70A3"/>
    <w:rsid w:val="00CD4442"/>
    <w:rsid w:val="00CD53C3"/>
    <w:rsid w:val="00CD574E"/>
    <w:rsid w:val="00CE4C22"/>
    <w:rsid w:val="00CF02D3"/>
    <w:rsid w:val="00CF41EC"/>
    <w:rsid w:val="00CF5D04"/>
    <w:rsid w:val="00D04DE4"/>
    <w:rsid w:val="00D063F1"/>
    <w:rsid w:val="00D14E25"/>
    <w:rsid w:val="00D14F22"/>
    <w:rsid w:val="00D2243C"/>
    <w:rsid w:val="00D36462"/>
    <w:rsid w:val="00D4741C"/>
    <w:rsid w:val="00D57918"/>
    <w:rsid w:val="00D637C9"/>
    <w:rsid w:val="00D73DC6"/>
    <w:rsid w:val="00D74C1A"/>
    <w:rsid w:val="00D754C1"/>
    <w:rsid w:val="00D77393"/>
    <w:rsid w:val="00D77A35"/>
    <w:rsid w:val="00D8121E"/>
    <w:rsid w:val="00D81B3E"/>
    <w:rsid w:val="00D90C70"/>
    <w:rsid w:val="00D90E49"/>
    <w:rsid w:val="00D96ADE"/>
    <w:rsid w:val="00DB0707"/>
    <w:rsid w:val="00DC6A10"/>
    <w:rsid w:val="00DE0A3C"/>
    <w:rsid w:val="00DE45B2"/>
    <w:rsid w:val="00DE657E"/>
    <w:rsid w:val="00DE669C"/>
    <w:rsid w:val="00DF4704"/>
    <w:rsid w:val="00E024AA"/>
    <w:rsid w:val="00E250F1"/>
    <w:rsid w:val="00E326A6"/>
    <w:rsid w:val="00E3550D"/>
    <w:rsid w:val="00E4387D"/>
    <w:rsid w:val="00E614E0"/>
    <w:rsid w:val="00E73F7F"/>
    <w:rsid w:val="00E77CFB"/>
    <w:rsid w:val="00E85409"/>
    <w:rsid w:val="00EA429F"/>
    <w:rsid w:val="00EA4F9E"/>
    <w:rsid w:val="00EA63CA"/>
    <w:rsid w:val="00EA6D3B"/>
    <w:rsid w:val="00EB00AD"/>
    <w:rsid w:val="00EB136C"/>
    <w:rsid w:val="00EB480E"/>
    <w:rsid w:val="00EB5EC6"/>
    <w:rsid w:val="00EB7FC9"/>
    <w:rsid w:val="00ED27E8"/>
    <w:rsid w:val="00ED7137"/>
    <w:rsid w:val="00EE3276"/>
    <w:rsid w:val="00EE5352"/>
    <w:rsid w:val="00F13ED5"/>
    <w:rsid w:val="00F14F3B"/>
    <w:rsid w:val="00F17120"/>
    <w:rsid w:val="00F21088"/>
    <w:rsid w:val="00F30A21"/>
    <w:rsid w:val="00F327E7"/>
    <w:rsid w:val="00F35746"/>
    <w:rsid w:val="00F447C7"/>
    <w:rsid w:val="00F554A9"/>
    <w:rsid w:val="00F716FD"/>
    <w:rsid w:val="00F746E2"/>
    <w:rsid w:val="00F80355"/>
    <w:rsid w:val="00F82EEC"/>
    <w:rsid w:val="00FB0C81"/>
    <w:rsid w:val="00FC2200"/>
    <w:rsid w:val="00FC2540"/>
    <w:rsid w:val="00FD31A3"/>
    <w:rsid w:val="00FE2ED5"/>
    <w:rsid w:val="00FE6FA5"/>
    <w:rsid w:val="00FE7F3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78795"/>
  <w15:docId w15:val="{9BF1A987-DEB9-46CC-BC49-C5CBB776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388F"/>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53388F"/>
    <w:rPr>
      <w:sz w:val="22"/>
      <w:szCs w:val="22"/>
      <w:lang w:val="en-GB"/>
    </w:rPr>
  </w:style>
  <w:style w:type="paragraph" w:styleId="FootnoteText">
    <w:name w:val="footnote text"/>
    <w:basedOn w:val="Normal"/>
    <w:link w:val="FootnoteTextChar"/>
    <w:uiPriority w:val="99"/>
    <w:semiHidden/>
    <w:unhideWhenUsed/>
    <w:rsid w:val="00AE4410"/>
    <w:rPr>
      <w:sz w:val="20"/>
      <w:szCs w:val="20"/>
    </w:rPr>
  </w:style>
  <w:style w:type="character" w:customStyle="1" w:styleId="FootnoteTextChar">
    <w:name w:val="Footnote Text Char"/>
    <w:basedOn w:val="DefaultParagraphFont"/>
    <w:link w:val="FootnoteText"/>
    <w:uiPriority w:val="99"/>
    <w:semiHidden/>
    <w:rsid w:val="00AE4410"/>
    <w:rPr>
      <w:lang w:val="en-GB"/>
    </w:rPr>
  </w:style>
  <w:style w:type="character" w:styleId="FootnoteReference">
    <w:name w:val="footnote reference"/>
    <w:basedOn w:val="DefaultParagraphFont"/>
    <w:uiPriority w:val="99"/>
    <w:semiHidden/>
    <w:unhideWhenUsed/>
    <w:rsid w:val="00AE4410"/>
    <w:rPr>
      <w:vertAlign w:val="superscript"/>
    </w:rPr>
  </w:style>
  <w:style w:type="character" w:styleId="Hyperlink">
    <w:name w:val="Hyperlink"/>
    <w:basedOn w:val="DefaultParagraphFont"/>
    <w:uiPriority w:val="99"/>
    <w:unhideWhenUsed/>
    <w:rsid w:val="005620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99059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UNEP/OzL.Pro/ExCom/81/54</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785034-4BDB-4A29-9CDB-C12AE8D76A52}"/>
</file>

<file path=customXml/itemProps2.xml><?xml version="1.0" encoding="utf-8"?>
<ds:datastoreItem xmlns:ds="http://schemas.openxmlformats.org/officeDocument/2006/customXml" ds:itemID="{9E01C749-2F3A-4CA7-8F31-D7D705EC0B66}"/>
</file>

<file path=customXml/itemProps3.xml><?xml version="1.0" encoding="utf-8"?>
<ds:datastoreItem xmlns:ds="http://schemas.openxmlformats.org/officeDocument/2006/customXml" ds:itemID="{3C067F73-37E7-47F8-BBEB-C62D2823EE58}"/>
</file>

<file path=customXml/itemProps4.xml><?xml version="1.0" encoding="utf-8"?>
<ds:datastoreItem xmlns:ds="http://schemas.openxmlformats.org/officeDocument/2006/customXml" ds:itemID="{1255AC1C-5F1B-41A2-82ED-A3A99D926423}"/>
</file>

<file path=docProps/app.xml><?xml version="1.0" encoding="utf-8"?>
<Properties xmlns="http://schemas.openxmlformats.org/officeDocument/2006/extended-properties" xmlns:vt="http://schemas.openxmlformats.org/officeDocument/2006/docPropsVTypes">
  <Template>Normal</Template>
  <TotalTime>1</TotalTime>
  <Pages>7</Pages>
  <Words>2962</Words>
  <Characters>16932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 (decisions 78/5(e), 79/47(e) and 80/77(b))</vt:lpstr>
    </vt:vector>
  </TitlesOfParts>
  <Company>UNMFS</Company>
  <LinksUpToDate>false</LinksUpToDate>
  <CharactersWithSpaces>19855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(decisions 78/5(e), 79/47(e) and 80/77(b)) (without annexes)</dc:title>
  <dc:subject>81st</dc:subject>
  <dc:creator>Patricia Chau</dc:creator>
  <dc:description>FSM</dc:description>
  <cp:lastModifiedBy>Despina Psillou</cp:lastModifiedBy>
  <cp:revision>2</cp:revision>
  <cp:lastPrinted>2001-05-26T16:40:00Z</cp:lastPrinted>
  <dcterms:created xsi:type="dcterms:W3CDTF">2018-06-01T23:30:00Z</dcterms:created>
  <dcterms:modified xsi:type="dcterms:W3CDTF">2018-06-01T23:30:00Z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UNEP/OzL.Pro/ExCom/81/54</vt:lpwstr>
  </property>
  <property fmtid="{D5CDD505-2E9C-101B-9397-08002B2CF9AE}" pid="3" name="Revision date">
    <vt:lpwstr>6/1/2018</vt:lpwstr>
  </property>
  <property fmtid="{D5CDD505-2E9C-101B-9397-08002B2CF9AE}" pid="4" name="ContentTypeId">
    <vt:lpwstr>0x0101004B13B1B27BA23146A32B327DDC69C6DE</vt:lpwstr>
  </property>
</Properties>
</file>