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6838AB">
        <w:trPr>
          <w:trHeight w:val="720"/>
        </w:trPr>
        <w:tc>
          <w:tcPr>
            <w:tcW w:w="5490" w:type="dxa"/>
            <w:gridSpan w:val="2"/>
            <w:tcBorders>
              <w:bottom w:val="single" w:sz="18" w:space="0" w:color="auto"/>
            </w:tcBorders>
          </w:tcPr>
          <w:p w:rsidR="006838AB" w:rsidRDefault="006838A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rPr>
            </w:pPr>
            <w:r w:rsidRPr="0077728F">
              <w:rPr>
                <w:rFonts w:ascii="SimSun" w:hAnsi="SimSun" w:cs="SimSun" w:hint="eastAsia"/>
                <w:b/>
                <w:bCs/>
                <w:color w:val="000000"/>
                <w:sz w:val="36"/>
                <w:szCs w:val="36"/>
                <w:lang w:eastAsia="en-US"/>
              </w:rPr>
              <w:t>联</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合</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国</w:t>
            </w:r>
          </w:p>
        </w:tc>
        <w:tc>
          <w:tcPr>
            <w:tcW w:w="4590" w:type="dxa"/>
            <w:tcBorders>
              <w:bottom w:val="single" w:sz="18" w:space="0" w:color="auto"/>
            </w:tcBorders>
          </w:tcPr>
          <w:p w:rsidR="006838AB" w:rsidRDefault="006838AB">
            <w:pPr>
              <w:jc w:val="right"/>
              <w:rPr>
                <w:sz w:val="52"/>
                <w:szCs w:val="24"/>
              </w:rPr>
            </w:pPr>
            <w:r>
              <w:rPr>
                <w:rFonts w:ascii="Univers Bold" w:hAnsi="Univers Bold"/>
                <w:b/>
                <w:noProof/>
                <w:sz w:val="72"/>
                <w:szCs w:val="24"/>
              </w:rPr>
              <w:t>EP</w:t>
            </w:r>
          </w:p>
        </w:tc>
      </w:tr>
      <w:tr w:rsidR="006838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6838AB" w:rsidRDefault="00660D8D">
            <w:pPr>
              <w:spacing w:before="120"/>
              <w:rPr>
                <w:szCs w:val="24"/>
              </w:rPr>
            </w:pPr>
            <w:r>
              <w:rPr>
                <w:noProof/>
                <w:lang w:val="en-US"/>
              </w:rPr>
              <w:pict>
                <v:group id="Group 1" o:spid="_x0000_s1026"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7" o:title=""/>
                    <v:path arrowok="t"/>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8" o:title=""/>
                    <v:path arrowok="t"/>
                  </v:shape>
                </v:group>
              </w:pict>
            </w:r>
          </w:p>
        </w:tc>
        <w:tc>
          <w:tcPr>
            <w:tcW w:w="3420" w:type="dxa"/>
            <w:tcBorders>
              <w:top w:val="nil"/>
              <w:left w:val="nil"/>
              <w:bottom w:val="single" w:sz="36" w:space="0" w:color="auto"/>
              <w:right w:val="nil"/>
            </w:tcBorders>
          </w:tcPr>
          <w:p w:rsidR="006838AB" w:rsidRDefault="006838A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noProof/>
                <w:sz w:val="32"/>
                <w:szCs w:val="24"/>
              </w:rPr>
            </w:pPr>
          </w:p>
          <w:p w:rsidR="006838AB" w:rsidRPr="0077728F" w:rsidRDefault="006838AB" w:rsidP="00834F25">
            <w:pPr>
              <w:widowControl w:val="0"/>
              <w:outlineLvl w:val="2"/>
              <w:rPr>
                <w:b/>
                <w:bCs/>
                <w:sz w:val="32"/>
                <w:lang w:val="ru-RU" w:eastAsia="en-US"/>
              </w:rPr>
            </w:pPr>
            <w:r w:rsidRPr="0077728F">
              <w:rPr>
                <w:rFonts w:ascii="SimSun" w:hAnsi="SimSun" w:cs="SimSun" w:hint="eastAsia"/>
                <w:b/>
                <w:bCs/>
                <w:color w:val="000000"/>
                <w:sz w:val="44"/>
                <w:lang w:eastAsia="en-US"/>
              </w:rPr>
              <w:t>联</w:t>
            </w:r>
            <w:r w:rsidRPr="0077728F">
              <w:rPr>
                <w:b/>
                <w:bCs/>
                <w:color w:val="000000"/>
                <w:sz w:val="44"/>
                <w:lang w:eastAsia="en-US"/>
              </w:rPr>
              <w:t xml:space="preserve"> </w:t>
            </w:r>
            <w:r w:rsidRPr="0077728F">
              <w:rPr>
                <w:rFonts w:ascii="SimSun" w:hAnsi="SimSun" w:cs="SimSun" w:hint="eastAsia"/>
                <w:b/>
                <w:bCs/>
                <w:color w:val="000000"/>
                <w:sz w:val="44"/>
                <w:lang w:eastAsia="en-US"/>
              </w:rPr>
              <w:t>合</w:t>
            </w:r>
            <w:r w:rsidRPr="0077728F">
              <w:rPr>
                <w:b/>
                <w:bCs/>
                <w:color w:val="000000"/>
                <w:sz w:val="44"/>
                <w:lang w:eastAsia="en-US"/>
              </w:rPr>
              <w:t xml:space="preserve"> </w:t>
            </w:r>
            <w:r w:rsidRPr="0077728F">
              <w:rPr>
                <w:rFonts w:ascii="SimSun" w:hAnsi="SimSun" w:cs="SimSun" w:hint="eastAsia"/>
                <w:b/>
                <w:bCs/>
                <w:color w:val="000000"/>
                <w:sz w:val="44"/>
                <w:lang w:eastAsia="en-US"/>
              </w:rPr>
              <w:t>国</w:t>
            </w:r>
          </w:p>
          <w:p w:rsidR="006838AB" w:rsidRPr="00356DB3" w:rsidRDefault="006838AB" w:rsidP="00834F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Sun" w:cs="SimSun"/>
                <w:b/>
                <w:bCs/>
                <w:color w:val="000000"/>
                <w:sz w:val="36"/>
                <w:szCs w:val="36"/>
              </w:rPr>
            </w:pPr>
          </w:p>
          <w:p w:rsidR="006838AB" w:rsidRDefault="006838AB" w:rsidP="00834F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rPr>
            </w:pPr>
            <w:r w:rsidRPr="0077728F">
              <w:rPr>
                <w:rFonts w:ascii="SimSun" w:hAnsi="SimSun" w:cs="SimSun" w:hint="eastAsia"/>
                <w:b/>
                <w:bCs/>
                <w:color w:val="000000"/>
                <w:sz w:val="44"/>
                <w:lang w:eastAsia="en-US"/>
              </w:rPr>
              <w:t>环</w:t>
            </w:r>
            <w:r w:rsidRPr="0077728F">
              <w:rPr>
                <w:b/>
                <w:bCs/>
                <w:color w:val="000000"/>
                <w:sz w:val="44"/>
                <w:lang w:val="ru-RU" w:eastAsia="en-US"/>
              </w:rPr>
              <w:t xml:space="preserve"> </w:t>
            </w:r>
            <w:r w:rsidRPr="0077728F">
              <w:rPr>
                <w:rFonts w:ascii="SimSun" w:hAnsi="SimSun" w:cs="SimSun" w:hint="eastAsia"/>
                <w:b/>
                <w:bCs/>
                <w:color w:val="000000"/>
                <w:sz w:val="44"/>
                <w:lang w:eastAsia="en-US"/>
              </w:rPr>
              <w:t>境</w:t>
            </w:r>
            <w:r w:rsidRPr="0077728F">
              <w:rPr>
                <w:b/>
                <w:bCs/>
                <w:color w:val="000000"/>
                <w:sz w:val="44"/>
                <w:lang w:val="ru-RU" w:eastAsia="en-US"/>
              </w:rPr>
              <w:t xml:space="preserve"> </w:t>
            </w:r>
            <w:r w:rsidRPr="0077728F">
              <w:rPr>
                <w:rFonts w:ascii="SimSun" w:hAnsi="SimSun" w:cs="SimSun" w:hint="eastAsia"/>
                <w:b/>
                <w:bCs/>
                <w:color w:val="000000"/>
                <w:sz w:val="44"/>
                <w:lang w:eastAsia="en-US"/>
              </w:rPr>
              <w:t>规</w:t>
            </w:r>
            <w:r w:rsidRPr="0077728F">
              <w:rPr>
                <w:b/>
                <w:bCs/>
                <w:color w:val="000000"/>
                <w:sz w:val="44"/>
                <w:lang w:val="ru-RU" w:eastAsia="en-US"/>
              </w:rPr>
              <w:t xml:space="preserve"> </w:t>
            </w:r>
            <w:r w:rsidRPr="0077728F">
              <w:rPr>
                <w:rFonts w:ascii="SimSun" w:hAnsi="SimSun" w:cs="SimSun" w:hint="eastAsia"/>
                <w:b/>
                <w:bCs/>
                <w:color w:val="000000"/>
                <w:sz w:val="44"/>
                <w:lang w:eastAsia="en-US"/>
              </w:rPr>
              <w:t>划</w:t>
            </w:r>
            <w:r w:rsidRPr="0077728F">
              <w:rPr>
                <w:b/>
                <w:bCs/>
                <w:color w:val="000000"/>
                <w:sz w:val="44"/>
                <w:lang w:val="ru-RU" w:eastAsia="en-US"/>
              </w:rPr>
              <w:t xml:space="preserve"> </w:t>
            </w:r>
            <w:r w:rsidRPr="0077728F">
              <w:rPr>
                <w:rFonts w:ascii="SimSun" w:hAnsi="SimSun" w:cs="SimSun" w:hint="eastAsia"/>
                <w:b/>
                <w:bCs/>
                <w:color w:val="000000"/>
                <w:sz w:val="44"/>
                <w:lang w:eastAsia="en-US"/>
              </w:rPr>
              <w:t>署</w:t>
            </w:r>
          </w:p>
          <w:p w:rsidR="006838AB" w:rsidRDefault="006838AB">
            <w:pPr>
              <w:spacing w:before="720"/>
              <w:ind w:left="158"/>
              <w:rPr>
                <w:szCs w:val="24"/>
              </w:rPr>
            </w:pPr>
          </w:p>
        </w:tc>
        <w:tc>
          <w:tcPr>
            <w:tcW w:w="4590" w:type="dxa"/>
            <w:tcBorders>
              <w:top w:val="nil"/>
              <w:left w:val="nil"/>
              <w:bottom w:val="single" w:sz="36" w:space="0" w:color="auto"/>
              <w:right w:val="nil"/>
            </w:tcBorders>
          </w:tcPr>
          <w:p w:rsidR="006838AB" w:rsidRDefault="006838AB">
            <w:pPr>
              <w:rPr>
                <w:szCs w:val="24"/>
              </w:rPr>
            </w:pPr>
            <w:r>
              <w:rPr>
                <w:noProof/>
                <w:szCs w:val="24"/>
              </w:rPr>
              <w:t>Distr.</w:t>
            </w:r>
          </w:p>
          <w:p w:rsidR="006838AB" w:rsidRDefault="006838AB">
            <w:pPr>
              <w:rPr>
                <w:szCs w:val="24"/>
              </w:rPr>
            </w:pPr>
            <w:r>
              <w:rPr>
                <w:noProof/>
                <w:szCs w:val="24"/>
              </w:rPr>
              <w:t>GENERAL</w:t>
            </w:r>
          </w:p>
          <w:p w:rsidR="006838AB" w:rsidRDefault="006838AB">
            <w:pPr>
              <w:rPr>
                <w:szCs w:val="24"/>
              </w:rPr>
            </w:pPr>
          </w:p>
          <w:p w:rsidR="006838AB" w:rsidRDefault="006838AB">
            <w:pPr>
              <w:rPr>
                <w:szCs w:val="24"/>
              </w:rPr>
            </w:pPr>
          </w:p>
          <w:p w:rsidR="006838AB" w:rsidRDefault="0053264A" w:rsidP="00887CCE">
            <w:pPr>
              <w:rPr>
                <w:szCs w:val="24"/>
              </w:rPr>
            </w:pPr>
            <w:fldSimple w:instr=" DOCPROPERTY &quot;Document number&quot;  \* MERGEFORMAT ">
              <w:r w:rsidR="00887CCE" w:rsidRPr="00887CCE">
                <w:rPr>
                  <w:szCs w:val="24"/>
                </w:rPr>
                <w:t>UNEP/OzL.Pro/ExCom/86/21</w:t>
              </w:r>
              <w:r w:rsidR="00887CCE">
                <w:t>/Add.2</w:t>
              </w:r>
            </w:fldSimple>
          </w:p>
          <w:p w:rsidR="00660D8D" w:rsidRDefault="00660D8D" w:rsidP="00660D8D">
            <w:pPr>
              <w:rPr>
                <w:caps/>
              </w:rPr>
            </w:pPr>
            <w:r>
              <w:t>1 March 2021</w:t>
            </w:r>
          </w:p>
          <w:p w:rsidR="006838AB" w:rsidRPr="006D65BC" w:rsidRDefault="006838AB">
            <w:pPr>
              <w:rPr>
                <w:caps/>
                <w:szCs w:val="24"/>
                <w:vertAlign w:val="subscript"/>
              </w:rPr>
            </w:pPr>
            <w:bookmarkStart w:id="0" w:name="_GoBack"/>
            <w:bookmarkEnd w:id="0"/>
          </w:p>
          <w:p w:rsidR="006838AB" w:rsidRPr="00834F25" w:rsidRDefault="006838AB">
            <w:pPr>
              <w:rPr>
                <w:noProof/>
                <w:szCs w:val="24"/>
                <w:lang w:val="en-US"/>
              </w:rPr>
            </w:pPr>
            <w:r>
              <w:rPr>
                <w:noProof/>
                <w:szCs w:val="24"/>
                <w:lang w:val="en-US"/>
              </w:rPr>
              <w:t>CHINESE</w:t>
            </w:r>
          </w:p>
          <w:p w:rsidR="006838AB" w:rsidRDefault="006838AB">
            <w:pPr>
              <w:rPr>
                <w:szCs w:val="24"/>
              </w:rPr>
            </w:pPr>
            <w:r>
              <w:rPr>
                <w:noProof/>
                <w:szCs w:val="24"/>
              </w:rPr>
              <w:t>ORIGINAL:</w:t>
            </w:r>
            <w:r>
              <w:rPr>
                <w:szCs w:val="24"/>
              </w:rPr>
              <w:t xml:space="preserve"> </w:t>
            </w:r>
            <w:r>
              <w:rPr>
                <w:noProof/>
                <w:szCs w:val="24"/>
              </w:rPr>
              <w:t>ENGLISH</w:t>
            </w:r>
          </w:p>
        </w:tc>
      </w:tr>
    </w:tbl>
    <w:p w:rsidR="006838AB" w:rsidRPr="00F6661E" w:rsidRDefault="006838AB">
      <w:pPr>
        <w:jc w:val="left"/>
        <w:rPr>
          <w:sz w:val="24"/>
          <w:szCs w:val="24"/>
        </w:rPr>
      </w:pPr>
      <w:r w:rsidRPr="00F6661E">
        <w:rPr>
          <w:rFonts w:hint="eastAsia"/>
          <w:sz w:val="24"/>
          <w:szCs w:val="24"/>
          <w:lang w:val="zh-CN"/>
        </w:rPr>
        <w:t>执行蒙特利尔议定书</w:t>
      </w:r>
      <w:r w:rsidRPr="00F6661E">
        <w:rPr>
          <w:sz w:val="24"/>
          <w:szCs w:val="24"/>
        </w:rPr>
        <w:br/>
        <w:t xml:space="preserve"> </w:t>
      </w:r>
      <w:r w:rsidRPr="00F6661E">
        <w:rPr>
          <w:rFonts w:hint="eastAsia"/>
          <w:sz w:val="24"/>
          <w:szCs w:val="24"/>
          <w:lang w:val="zh-CN"/>
        </w:rPr>
        <w:t>多边基金执行委员会</w:t>
      </w:r>
      <w:r w:rsidRPr="00F6661E">
        <w:rPr>
          <w:sz w:val="24"/>
          <w:szCs w:val="24"/>
        </w:rPr>
        <w:br/>
      </w:r>
      <w:r w:rsidRPr="00F6661E">
        <w:rPr>
          <w:rFonts w:hint="eastAsia"/>
          <w:sz w:val="24"/>
          <w:szCs w:val="24"/>
          <w:lang w:val="zh-CN"/>
        </w:rPr>
        <w:t>第八十六次会议</w:t>
      </w:r>
    </w:p>
    <w:p w:rsidR="006838AB" w:rsidRPr="00F6661E" w:rsidRDefault="006838AB">
      <w:pPr>
        <w:jc w:val="left"/>
        <w:rPr>
          <w:sz w:val="24"/>
          <w:szCs w:val="24"/>
          <w:lang w:val="en-CA"/>
        </w:rPr>
      </w:pPr>
      <w:smartTag w:uri="urn:schemas-microsoft-com:office:smarttags" w:element="chsdate">
        <w:smartTagPr>
          <w:attr w:name="IsROCDate" w:val="False"/>
          <w:attr w:name="IsLunarDate" w:val="False"/>
          <w:attr w:name="Day" w:val="2"/>
          <w:attr w:name="Month" w:val="11"/>
          <w:attr w:name="Year" w:val="2020"/>
        </w:smartTagPr>
        <w:r w:rsidRPr="00F6661E">
          <w:rPr>
            <w:sz w:val="24"/>
            <w:szCs w:val="24"/>
          </w:rPr>
          <w:t>2020</w:t>
        </w:r>
        <w:r w:rsidRPr="00F6661E">
          <w:rPr>
            <w:rFonts w:hint="eastAsia"/>
            <w:sz w:val="24"/>
            <w:szCs w:val="24"/>
            <w:lang w:val="zh-CN"/>
          </w:rPr>
          <w:t>年</w:t>
        </w:r>
        <w:r w:rsidRPr="00F6661E">
          <w:rPr>
            <w:sz w:val="24"/>
            <w:szCs w:val="24"/>
          </w:rPr>
          <w:t>11</w:t>
        </w:r>
        <w:r w:rsidRPr="00F6661E">
          <w:rPr>
            <w:rFonts w:hint="eastAsia"/>
            <w:sz w:val="24"/>
            <w:szCs w:val="24"/>
            <w:lang w:val="zh-CN"/>
          </w:rPr>
          <w:t>月</w:t>
        </w:r>
        <w:r w:rsidRPr="00F6661E">
          <w:rPr>
            <w:sz w:val="24"/>
            <w:szCs w:val="24"/>
          </w:rPr>
          <w:t>2</w:t>
        </w:r>
        <w:r w:rsidRPr="00F6661E">
          <w:rPr>
            <w:rFonts w:hint="eastAsia"/>
            <w:sz w:val="24"/>
            <w:szCs w:val="24"/>
            <w:lang w:val="zh-CN"/>
          </w:rPr>
          <w:t>日</w:t>
        </w:r>
      </w:smartTag>
      <w:r w:rsidRPr="00F6661E">
        <w:rPr>
          <w:rFonts w:hint="eastAsia"/>
          <w:sz w:val="24"/>
          <w:szCs w:val="24"/>
          <w:lang w:val="zh-CN"/>
        </w:rPr>
        <w:t>至</w:t>
      </w:r>
      <w:r w:rsidRPr="00F6661E">
        <w:rPr>
          <w:sz w:val="24"/>
          <w:szCs w:val="24"/>
        </w:rPr>
        <w:t>6</w:t>
      </w:r>
      <w:r w:rsidRPr="00F6661E">
        <w:rPr>
          <w:rFonts w:hint="eastAsia"/>
          <w:sz w:val="24"/>
          <w:szCs w:val="24"/>
          <w:lang w:val="zh-CN"/>
        </w:rPr>
        <w:t>日</w:t>
      </w:r>
      <w:r w:rsidRPr="00F6661E">
        <w:rPr>
          <w:rFonts w:hint="eastAsia"/>
          <w:sz w:val="24"/>
          <w:szCs w:val="24"/>
        </w:rPr>
        <w:t>，</w:t>
      </w:r>
      <w:r w:rsidRPr="00F6661E">
        <w:rPr>
          <w:rFonts w:hint="eastAsia"/>
          <w:sz w:val="24"/>
          <w:szCs w:val="24"/>
          <w:lang w:val="zh-CN"/>
        </w:rPr>
        <w:t>蒙特利尔</w:t>
      </w:r>
    </w:p>
    <w:p w:rsidR="006838AB" w:rsidRPr="00F6661E" w:rsidRDefault="006838AB">
      <w:pPr>
        <w:jc w:val="left"/>
        <w:rPr>
          <w:sz w:val="24"/>
          <w:szCs w:val="24"/>
          <w:lang w:val="en-CA"/>
        </w:rPr>
      </w:pPr>
      <w:r w:rsidRPr="00F6661E">
        <w:rPr>
          <w:rFonts w:hint="eastAsia"/>
          <w:sz w:val="24"/>
          <w:szCs w:val="24"/>
          <w:lang w:val="zh-CN"/>
        </w:rPr>
        <w:t>延迟至</w:t>
      </w:r>
      <w:smartTag w:uri="urn:schemas-microsoft-com:office:smarttags" w:element="chsdate">
        <w:smartTagPr>
          <w:attr w:name="IsROCDate" w:val="False"/>
          <w:attr w:name="IsLunarDate" w:val="False"/>
          <w:attr w:name="Day" w:val="8"/>
          <w:attr w:name="Month" w:val="3"/>
          <w:attr w:name="Year" w:val="2021"/>
        </w:smartTagPr>
        <w:r w:rsidRPr="00F6661E">
          <w:rPr>
            <w:sz w:val="24"/>
            <w:szCs w:val="24"/>
          </w:rPr>
          <w:t>2021</w:t>
        </w:r>
        <w:r w:rsidRPr="00F6661E">
          <w:rPr>
            <w:rFonts w:hint="eastAsia"/>
            <w:sz w:val="24"/>
            <w:szCs w:val="24"/>
            <w:lang w:val="zh-CN"/>
          </w:rPr>
          <w:t>年</w:t>
        </w:r>
        <w:r w:rsidRPr="00F6661E">
          <w:rPr>
            <w:sz w:val="24"/>
            <w:szCs w:val="24"/>
          </w:rPr>
          <w:t>3</w:t>
        </w:r>
        <w:r w:rsidRPr="00F6661E">
          <w:rPr>
            <w:rFonts w:hint="eastAsia"/>
            <w:sz w:val="24"/>
            <w:szCs w:val="24"/>
            <w:lang w:val="zh-CN"/>
          </w:rPr>
          <w:t>月</w:t>
        </w:r>
        <w:r w:rsidRPr="00F6661E">
          <w:rPr>
            <w:sz w:val="24"/>
            <w:szCs w:val="24"/>
          </w:rPr>
          <w:t>8</w:t>
        </w:r>
        <w:r w:rsidRPr="00F6661E">
          <w:rPr>
            <w:rFonts w:hint="eastAsia"/>
            <w:sz w:val="24"/>
            <w:szCs w:val="24"/>
            <w:lang w:val="zh-CN"/>
          </w:rPr>
          <w:t>日</w:t>
        </w:r>
      </w:smartTag>
      <w:r w:rsidRPr="00F6661E">
        <w:rPr>
          <w:rFonts w:hint="eastAsia"/>
          <w:sz w:val="24"/>
          <w:szCs w:val="24"/>
          <w:lang w:val="zh-CN"/>
        </w:rPr>
        <w:t>至</w:t>
      </w:r>
      <w:r w:rsidRPr="00F6661E">
        <w:rPr>
          <w:sz w:val="24"/>
          <w:szCs w:val="24"/>
        </w:rPr>
        <w:t>12</w:t>
      </w:r>
      <w:r w:rsidRPr="00F6661E">
        <w:rPr>
          <w:rFonts w:hint="eastAsia"/>
          <w:sz w:val="24"/>
          <w:szCs w:val="24"/>
          <w:lang w:val="zh-CN"/>
        </w:rPr>
        <w:t>日</w:t>
      </w:r>
      <w:r w:rsidRPr="00F6661E">
        <w:rPr>
          <w:rStyle w:val="FootnoteReference"/>
          <w:sz w:val="24"/>
          <w:szCs w:val="24"/>
          <w:lang w:val="zh-CN"/>
        </w:rPr>
        <w:footnoteReference w:id="1"/>
      </w:r>
    </w:p>
    <w:p w:rsidR="006838AB" w:rsidRDefault="006838AB">
      <w:pPr>
        <w:jc w:val="left"/>
        <w:rPr>
          <w:szCs w:val="24"/>
          <w:lang w:val="en-US"/>
        </w:rPr>
      </w:pPr>
    </w:p>
    <w:p w:rsidR="006838AB" w:rsidRPr="00F6661E" w:rsidRDefault="006838AB">
      <w:pPr>
        <w:pStyle w:val="Title1"/>
        <w:rPr>
          <w:sz w:val="28"/>
          <w:szCs w:val="28"/>
          <w:lang w:val="en-CA"/>
        </w:rPr>
      </w:pPr>
      <w:r w:rsidRPr="00F6661E">
        <w:rPr>
          <w:rFonts w:ascii="SimSun" w:hint="eastAsia"/>
          <w:caps w:val="0"/>
          <w:sz w:val="28"/>
          <w:szCs w:val="28"/>
          <w:lang w:val="zh-CN"/>
        </w:rPr>
        <w:t>增编</w:t>
      </w:r>
    </w:p>
    <w:p w:rsidR="006838AB" w:rsidRDefault="006838AB">
      <w:pPr>
        <w:pStyle w:val="Title1"/>
        <w:rPr>
          <w:szCs w:val="24"/>
          <w:lang w:val="en-CA"/>
        </w:rPr>
      </w:pPr>
    </w:p>
    <w:p w:rsidR="006838AB" w:rsidRPr="003517C6" w:rsidRDefault="006838AB">
      <w:pPr>
        <w:pStyle w:val="Title1"/>
        <w:rPr>
          <w:sz w:val="30"/>
          <w:szCs w:val="30"/>
          <w:lang w:val="en-CA"/>
        </w:rPr>
      </w:pPr>
      <w:r w:rsidRPr="003517C6">
        <w:rPr>
          <w:rFonts w:ascii="SimSun" w:hint="eastAsia"/>
          <w:sz w:val="30"/>
          <w:szCs w:val="30"/>
          <w:lang w:val="zh-CN"/>
        </w:rPr>
        <w:t>关于有特殊报告要求的项目的报告</w:t>
      </w:r>
    </w:p>
    <w:p w:rsidR="006838AB" w:rsidRDefault="006838AB">
      <w:pPr>
        <w:tabs>
          <w:tab w:val="left" w:pos="8280"/>
        </w:tabs>
        <w:rPr>
          <w:szCs w:val="24"/>
        </w:rPr>
      </w:pPr>
    </w:p>
    <w:p w:rsidR="006838AB" w:rsidRPr="00F6661E" w:rsidRDefault="006838AB">
      <w:pPr>
        <w:pStyle w:val="Heading1"/>
        <w:tabs>
          <w:tab w:val="clear" w:pos="1277"/>
          <w:tab w:val="num" w:pos="720"/>
        </w:tabs>
        <w:ind w:left="0"/>
        <w:rPr>
          <w:sz w:val="24"/>
          <w:szCs w:val="24"/>
        </w:rPr>
      </w:pPr>
      <w:r w:rsidRPr="00F6661E">
        <w:rPr>
          <w:rFonts w:hint="eastAsia"/>
          <w:sz w:val="24"/>
          <w:szCs w:val="24"/>
          <w:lang w:val="zh-CN"/>
        </w:rPr>
        <w:t>在第八十六次会议闭会期间批准程序</w:t>
      </w:r>
      <w:r w:rsidRPr="00F6661E">
        <w:rPr>
          <w:rFonts w:hint="eastAsia"/>
          <w:sz w:val="24"/>
          <w:szCs w:val="24"/>
        </w:rPr>
        <w:t>（</w:t>
      </w:r>
      <w:r w:rsidRPr="00F6661E">
        <w:rPr>
          <w:sz w:val="24"/>
          <w:szCs w:val="24"/>
        </w:rPr>
        <w:t>IAP-86</w:t>
      </w:r>
      <w:r w:rsidRPr="00F6661E">
        <w:rPr>
          <w:rFonts w:hint="eastAsia"/>
          <w:sz w:val="24"/>
          <w:szCs w:val="24"/>
        </w:rPr>
        <w:t>）</w:t>
      </w:r>
      <w:r w:rsidRPr="00F6661E">
        <w:rPr>
          <w:rFonts w:hint="eastAsia"/>
          <w:sz w:val="24"/>
          <w:szCs w:val="24"/>
          <w:lang w:val="zh-CN"/>
        </w:rPr>
        <w:t>中</w:t>
      </w:r>
      <w:r w:rsidRPr="00F6661E">
        <w:rPr>
          <w:rFonts w:hint="eastAsia"/>
          <w:sz w:val="24"/>
          <w:szCs w:val="24"/>
        </w:rPr>
        <w:t>，</w:t>
      </w:r>
      <w:r w:rsidRPr="00F6661E">
        <w:rPr>
          <w:rFonts w:hint="eastAsia"/>
          <w:sz w:val="24"/>
          <w:szCs w:val="24"/>
          <w:lang w:val="zh-CN"/>
        </w:rPr>
        <w:t>执行委员会除其他外决定原则上批准斯里兰卡</w:t>
      </w:r>
      <w:r w:rsidRPr="00F6661E">
        <w:rPr>
          <w:sz w:val="24"/>
          <w:szCs w:val="24"/>
        </w:rPr>
        <w:t>2020</w:t>
      </w:r>
      <w:r w:rsidRPr="00F6661E">
        <w:rPr>
          <w:rFonts w:hint="eastAsia"/>
          <w:sz w:val="24"/>
          <w:szCs w:val="24"/>
          <w:lang w:val="zh-CN"/>
        </w:rPr>
        <w:t>年至</w:t>
      </w:r>
      <w:r w:rsidRPr="00F6661E">
        <w:rPr>
          <w:sz w:val="24"/>
          <w:szCs w:val="24"/>
        </w:rPr>
        <w:t>2030</w:t>
      </w:r>
      <w:r w:rsidRPr="00F6661E">
        <w:rPr>
          <w:rFonts w:hint="eastAsia"/>
          <w:sz w:val="24"/>
          <w:szCs w:val="24"/>
          <w:lang w:val="zh-CN"/>
        </w:rPr>
        <w:t>年的氟氯烃淘汰管理计划第二阶段</w:t>
      </w:r>
      <w:r w:rsidRPr="00F6661E">
        <w:rPr>
          <w:rFonts w:hint="eastAsia"/>
          <w:sz w:val="24"/>
          <w:szCs w:val="24"/>
        </w:rPr>
        <w:t>，</w:t>
      </w:r>
      <w:r w:rsidRPr="00F6661E">
        <w:rPr>
          <w:rFonts w:hint="eastAsia"/>
          <w:sz w:val="24"/>
          <w:szCs w:val="24"/>
          <w:lang w:val="zh-CN"/>
        </w:rPr>
        <w:t>完成对氟氯烃消费量的淘汰</w:t>
      </w:r>
      <w:r w:rsidRPr="00F6661E">
        <w:rPr>
          <w:rFonts w:hint="eastAsia"/>
          <w:sz w:val="24"/>
          <w:szCs w:val="24"/>
        </w:rPr>
        <w:t>，</w:t>
      </w:r>
      <w:r w:rsidRPr="00F6661E">
        <w:rPr>
          <w:rFonts w:hint="eastAsia"/>
          <w:sz w:val="24"/>
          <w:szCs w:val="24"/>
          <w:lang w:val="zh-CN"/>
        </w:rPr>
        <w:t>并请开发署至迟于</w:t>
      </w:r>
      <w:smartTag w:uri="urn:schemas-microsoft-com:office:smarttags" w:element="chsdate">
        <w:smartTagPr>
          <w:attr w:name="IsROCDate" w:val="False"/>
          <w:attr w:name="IsLunarDate" w:val="False"/>
          <w:attr w:name="Day" w:val="15"/>
          <w:attr w:name="Month" w:val="1"/>
          <w:attr w:name="Year" w:val="2021"/>
        </w:smartTagPr>
        <w:r w:rsidRPr="00F6661E">
          <w:rPr>
            <w:sz w:val="24"/>
            <w:szCs w:val="24"/>
          </w:rPr>
          <w:t>2021</w:t>
        </w:r>
        <w:r w:rsidRPr="00F6661E">
          <w:rPr>
            <w:rFonts w:hint="eastAsia"/>
            <w:sz w:val="24"/>
            <w:szCs w:val="24"/>
            <w:lang w:val="zh-CN"/>
          </w:rPr>
          <w:t>年</w:t>
        </w:r>
        <w:r w:rsidRPr="00F6661E">
          <w:rPr>
            <w:sz w:val="24"/>
            <w:szCs w:val="24"/>
          </w:rPr>
          <w:t>1</w:t>
        </w:r>
        <w:r w:rsidRPr="00F6661E">
          <w:rPr>
            <w:rFonts w:hint="eastAsia"/>
            <w:sz w:val="24"/>
            <w:szCs w:val="24"/>
            <w:lang w:val="zh-CN"/>
          </w:rPr>
          <w:t>月</w:t>
        </w:r>
        <w:r w:rsidRPr="00F6661E">
          <w:rPr>
            <w:sz w:val="24"/>
            <w:szCs w:val="24"/>
          </w:rPr>
          <w:t>15</w:t>
        </w:r>
        <w:r w:rsidRPr="00F6661E">
          <w:rPr>
            <w:rFonts w:hint="eastAsia"/>
            <w:sz w:val="24"/>
            <w:szCs w:val="24"/>
            <w:lang w:val="zh-CN"/>
          </w:rPr>
          <w:t>日</w:t>
        </w:r>
      </w:smartTag>
      <w:r w:rsidRPr="00F6661E">
        <w:rPr>
          <w:rFonts w:hint="eastAsia"/>
          <w:sz w:val="24"/>
          <w:szCs w:val="24"/>
          <w:lang w:val="zh-CN"/>
        </w:rPr>
        <w:t>以前向秘书处提交斯里兰卡</w:t>
      </w:r>
      <w:r w:rsidRPr="00F6661E">
        <w:rPr>
          <w:sz w:val="24"/>
          <w:szCs w:val="24"/>
        </w:rPr>
        <w:t>2016-2019</w:t>
      </w:r>
      <w:r w:rsidRPr="00F6661E">
        <w:rPr>
          <w:rFonts w:hint="eastAsia"/>
          <w:sz w:val="24"/>
          <w:szCs w:val="24"/>
          <w:lang w:val="zh-CN"/>
        </w:rPr>
        <w:t>年经修订的氟氯烃消费量核查报告。</w:t>
      </w:r>
      <w:r w:rsidRPr="00F6661E">
        <w:rPr>
          <w:rStyle w:val="FootnoteReference"/>
          <w:sz w:val="24"/>
          <w:szCs w:val="24"/>
          <w:lang w:val="zh-CN"/>
        </w:rPr>
        <w:footnoteReference w:id="2"/>
      </w:r>
    </w:p>
    <w:p w:rsidR="006838AB" w:rsidRPr="00F6661E" w:rsidRDefault="006838AB">
      <w:pPr>
        <w:pStyle w:val="Heading1"/>
        <w:tabs>
          <w:tab w:val="clear" w:pos="1277"/>
          <w:tab w:val="num" w:pos="720"/>
        </w:tabs>
        <w:ind w:left="0"/>
        <w:rPr>
          <w:sz w:val="24"/>
          <w:szCs w:val="24"/>
        </w:rPr>
      </w:pPr>
      <w:r w:rsidRPr="00F6661E">
        <w:rPr>
          <w:rFonts w:hint="eastAsia"/>
          <w:sz w:val="24"/>
          <w:szCs w:val="24"/>
          <w:lang w:val="zh-CN"/>
        </w:rPr>
        <w:t>本增编的印发以便将开发署根据该决定提交的上述报告列入其中。</w:t>
      </w:r>
    </w:p>
    <w:p w:rsidR="006838AB" w:rsidRPr="00F6661E" w:rsidRDefault="006838AB">
      <w:pPr>
        <w:spacing w:after="240"/>
        <w:ind w:left="720" w:hanging="720"/>
        <w:rPr>
          <w:sz w:val="24"/>
          <w:szCs w:val="24"/>
          <w:u w:val="single"/>
        </w:rPr>
      </w:pPr>
      <w:r w:rsidRPr="00F6661E">
        <w:rPr>
          <w:rFonts w:hint="eastAsia"/>
          <w:sz w:val="24"/>
          <w:szCs w:val="24"/>
          <w:u w:val="single"/>
          <w:lang w:val="zh-CN"/>
        </w:rPr>
        <w:t>斯里兰卡：关于核查氟氯烃消费量的报告</w:t>
      </w:r>
      <w:r w:rsidRPr="00F6661E">
        <w:rPr>
          <w:rFonts w:hint="eastAsia"/>
          <w:sz w:val="24"/>
          <w:szCs w:val="24"/>
          <w:lang w:val="zh-CN"/>
        </w:rPr>
        <w:t>（开发署</w:t>
      </w:r>
      <w:r w:rsidRPr="00F6661E">
        <w:rPr>
          <w:sz w:val="24"/>
          <w:szCs w:val="24"/>
          <w:lang w:val="zh-CN"/>
        </w:rPr>
        <w:t>/</w:t>
      </w:r>
      <w:r w:rsidRPr="00F6661E">
        <w:rPr>
          <w:rFonts w:hint="eastAsia"/>
          <w:sz w:val="24"/>
          <w:szCs w:val="24"/>
          <w:lang w:val="zh-CN"/>
        </w:rPr>
        <w:t>环境署）</w:t>
      </w:r>
    </w:p>
    <w:p w:rsidR="006838AB" w:rsidRPr="00F6661E" w:rsidRDefault="006838AB">
      <w:pPr>
        <w:rPr>
          <w:b/>
          <w:sz w:val="24"/>
          <w:szCs w:val="24"/>
        </w:rPr>
      </w:pPr>
      <w:r w:rsidRPr="00F6661E">
        <w:rPr>
          <w:rFonts w:hint="eastAsia"/>
          <w:b/>
          <w:sz w:val="24"/>
          <w:szCs w:val="24"/>
          <w:lang w:val="zh-CN"/>
        </w:rPr>
        <w:t>背景</w:t>
      </w:r>
    </w:p>
    <w:p w:rsidR="006838AB" w:rsidRPr="00F6661E" w:rsidRDefault="006838AB">
      <w:pPr>
        <w:rPr>
          <w:sz w:val="24"/>
          <w:szCs w:val="24"/>
          <w:lang w:val="en-US"/>
        </w:rPr>
      </w:pPr>
    </w:p>
    <w:p w:rsidR="006838AB" w:rsidRPr="00F6661E" w:rsidRDefault="006838AB">
      <w:pPr>
        <w:pStyle w:val="Heading1"/>
        <w:tabs>
          <w:tab w:val="clear" w:pos="1277"/>
        </w:tabs>
        <w:ind w:left="0"/>
        <w:rPr>
          <w:color w:val="000000"/>
          <w:sz w:val="24"/>
          <w:szCs w:val="24"/>
          <w:lang w:val="en-US"/>
        </w:rPr>
      </w:pPr>
      <w:r w:rsidRPr="00F6661E">
        <w:rPr>
          <w:rFonts w:hint="eastAsia"/>
          <w:sz w:val="24"/>
          <w:szCs w:val="24"/>
          <w:lang w:val="zh-CN"/>
        </w:rPr>
        <w:t>在第八十五次会议的闭会期间批准程序中</w:t>
      </w:r>
      <w:r w:rsidRPr="00F6661E">
        <w:rPr>
          <w:rFonts w:hint="eastAsia"/>
          <w:sz w:val="24"/>
          <w:szCs w:val="24"/>
          <w:lang w:val="en-US"/>
        </w:rPr>
        <w:t>，</w:t>
      </w:r>
      <w:r w:rsidRPr="00F6661E">
        <w:rPr>
          <w:rFonts w:hint="eastAsia"/>
          <w:sz w:val="24"/>
          <w:szCs w:val="24"/>
          <w:lang w:val="zh-CN"/>
        </w:rPr>
        <w:t>执行委员会批准了斯里兰卡氟氯烃淘汰管理计划第一阶段的第四次也是最后一次付款</w:t>
      </w:r>
      <w:r w:rsidRPr="00F6661E">
        <w:rPr>
          <w:rFonts w:hint="eastAsia"/>
          <w:sz w:val="24"/>
          <w:szCs w:val="24"/>
          <w:lang w:val="en-US"/>
        </w:rPr>
        <w:t>，</w:t>
      </w:r>
      <w:r w:rsidRPr="00F6661E">
        <w:rPr>
          <w:rFonts w:hint="eastAsia"/>
          <w:sz w:val="24"/>
          <w:szCs w:val="24"/>
          <w:lang w:val="zh-CN"/>
        </w:rPr>
        <w:t>但除其他外有一项谅解</w:t>
      </w:r>
      <w:r w:rsidRPr="00F6661E">
        <w:rPr>
          <w:rFonts w:hint="eastAsia"/>
          <w:sz w:val="24"/>
          <w:szCs w:val="24"/>
          <w:lang w:val="en-US"/>
        </w:rPr>
        <w:t>，</w:t>
      </w:r>
      <w:r w:rsidRPr="00F6661E">
        <w:rPr>
          <w:rFonts w:hint="eastAsia"/>
          <w:sz w:val="24"/>
          <w:szCs w:val="24"/>
          <w:lang w:val="zh-CN"/>
        </w:rPr>
        <w:t>即开发署已作出承诺</w:t>
      </w:r>
      <w:r w:rsidRPr="00F6661E">
        <w:rPr>
          <w:rFonts w:hint="eastAsia"/>
          <w:sz w:val="24"/>
          <w:szCs w:val="24"/>
          <w:lang w:val="en-US"/>
        </w:rPr>
        <w:t>，</w:t>
      </w:r>
      <w:r w:rsidRPr="00F6661E">
        <w:rPr>
          <w:rFonts w:hint="eastAsia"/>
          <w:sz w:val="24"/>
          <w:szCs w:val="24"/>
          <w:lang w:val="zh-CN"/>
        </w:rPr>
        <w:t>它将在第八十六次会议举行之前十二周以前提交核查报告</w:t>
      </w:r>
      <w:r w:rsidRPr="00F6661E">
        <w:rPr>
          <w:rFonts w:hint="eastAsia"/>
          <w:sz w:val="24"/>
          <w:szCs w:val="24"/>
          <w:lang w:val="en-US"/>
        </w:rPr>
        <w:t>；</w:t>
      </w:r>
      <w:r w:rsidRPr="00F6661E">
        <w:rPr>
          <w:rFonts w:hint="eastAsia"/>
          <w:sz w:val="24"/>
          <w:szCs w:val="24"/>
          <w:lang w:val="zh-CN"/>
        </w:rPr>
        <w:t>随后</w:t>
      </w:r>
      <w:r w:rsidRPr="00F6661E">
        <w:rPr>
          <w:rFonts w:hint="eastAsia"/>
          <w:sz w:val="24"/>
          <w:szCs w:val="24"/>
          <w:lang w:val="en-US"/>
        </w:rPr>
        <w:t>，</w:t>
      </w:r>
      <w:r w:rsidRPr="00F6661E">
        <w:rPr>
          <w:rFonts w:hint="eastAsia"/>
          <w:sz w:val="24"/>
          <w:szCs w:val="24"/>
          <w:lang w:val="zh-CN"/>
        </w:rPr>
        <w:t>开发署于</w:t>
      </w:r>
      <w:smartTag w:uri="urn:schemas-microsoft-com:office:smarttags" w:element="chsdate">
        <w:smartTagPr>
          <w:attr w:name="IsROCDate" w:val="False"/>
          <w:attr w:name="IsLunarDate" w:val="False"/>
          <w:attr w:name="Day" w:val="22"/>
          <w:attr w:name="Month" w:val="8"/>
          <w:attr w:name="Year" w:val="2020"/>
        </w:smartTagPr>
        <w:r w:rsidRPr="00F6661E">
          <w:rPr>
            <w:sz w:val="24"/>
            <w:szCs w:val="24"/>
            <w:lang w:val="en-US"/>
          </w:rPr>
          <w:t>2020</w:t>
        </w:r>
        <w:r w:rsidRPr="00F6661E">
          <w:rPr>
            <w:rFonts w:hint="eastAsia"/>
            <w:sz w:val="24"/>
            <w:szCs w:val="24"/>
            <w:lang w:val="zh-CN"/>
          </w:rPr>
          <w:t>年</w:t>
        </w:r>
        <w:r w:rsidRPr="00F6661E">
          <w:rPr>
            <w:sz w:val="24"/>
            <w:szCs w:val="24"/>
            <w:lang w:val="en-US"/>
          </w:rPr>
          <w:t>8</w:t>
        </w:r>
        <w:r w:rsidRPr="00F6661E">
          <w:rPr>
            <w:rFonts w:hint="eastAsia"/>
            <w:sz w:val="24"/>
            <w:szCs w:val="24"/>
            <w:lang w:val="zh-CN"/>
          </w:rPr>
          <w:t>月</w:t>
        </w:r>
        <w:r w:rsidRPr="00F6661E">
          <w:rPr>
            <w:sz w:val="24"/>
            <w:szCs w:val="24"/>
            <w:lang w:val="en-US"/>
          </w:rPr>
          <w:t>22</w:t>
        </w:r>
        <w:r w:rsidRPr="00F6661E">
          <w:rPr>
            <w:rFonts w:hint="eastAsia"/>
            <w:sz w:val="24"/>
            <w:szCs w:val="24"/>
            <w:lang w:val="zh-CN"/>
          </w:rPr>
          <w:t>日</w:t>
        </w:r>
      </w:smartTag>
      <w:r w:rsidRPr="00F6661E">
        <w:rPr>
          <w:rFonts w:hint="eastAsia"/>
          <w:sz w:val="24"/>
          <w:szCs w:val="24"/>
          <w:lang w:val="zh-CN"/>
        </w:rPr>
        <w:t>提交了核查报告。</w:t>
      </w:r>
    </w:p>
    <w:p w:rsidR="006838AB" w:rsidRPr="00F6661E" w:rsidRDefault="006838AB">
      <w:pPr>
        <w:pStyle w:val="Heading1"/>
        <w:tabs>
          <w:tab w:val="clear" w:pos="1277"/>
        </w:tabs>
        <w:ind w:left="0"/>
        <w:rPr>
          <w:color w:val="000000"/>
          <w:sz w:val="24"/>
          <w:szCs w:val="24"/>
          <w:lang w:val="en-US"/>
        </w:rPr>
      </w:pPr>
      <w:r w:rsidRPr="00F6661E">
        <w:rPr>
          <w:rFonts w:hint="eastAsia"/>
          <w:kern w:val="22"/>
          <w:sz w:val="24"/>
          <w:szCs w:val="24"/>
          <w:lang w:val="zh-CN"/>
        </w:rPr>
        <w:t>报告确认</w:t>
      </w:r>
      <w:r w:rsidRPr="00F6661E">
        <w:rPr>
          <w:rFonts w:hint="eastAsia"/>
          <w:kern w:val="22"/>
          <w:sz w:val="24"/>
          <w:szCs w:val="24"/>
          <w:lang w:val="en-US"/>
        </w:rPr>
        <w:t>，</w:t>
      </w:r>
      <w:r w:rsidRPr="00F6661E">
        <w:rPr>
          <w:rFonts w:hint="eastAsia"/>
          <w:kern w:val="22"/>
          <w:sz w:val="24"/>
          <w:szCs w:val="24"/>
          <w:lang w:val="zh-CN"/>
        </w:rPr>
        <w:t>该国政府正在实施管制氟氯烃进出口的许可证颁发和配额制度。但是</w:t>
      </w:r>
      <w:r w:rsidRPr="00F6661E">
        <w:rPr>
          <w:rFonts w:hint="eastAsia"/>
          <w:kern w:val="22"/>
          <w:sz w:val="24"/>
          <w:szCs w:val="24"/>
          <w:lang w:val="en-US"/>
        </w:rPr>
        <w:t>，</w:t>
      </w:r>
      <w:r w:rsidRPr="00F6661E">
        <w:rPr>
          <w:rFonts w:hint="eastAsia"/>
          <w:kern w:val="22"/>
          <w:sz w:val="24"/>
          <w:szCs w:val="24"/>
          <w:lang w:val="zh-CN"/>
        </w:rPr>
        <w:t>该报告指出</w:t>
      </w:r>
      <w:r w:rsidRPr="00F6661E">
        <w:rPr>
          <w:rFonts w:hint="eastAsia"/>
          <w:kern w:val="22"/>
          <w:sz w:val="24"/>
          <w:szCs w:val="24"/>
          <w:lang w:val="en-US"/>
        </w:rPr>
        <w:t>，</w:t>
      </w:r>
      <w:r w:rsidRPr="00F6661E">
        <w:rPr>
          <w:rFonts w:hint="eastAsia"/>
          <w:kern w:val="22"/>
          <w:sz w:val="24"/>
          <w:szCs w:val="24"/>
          <w:lang w:val="zh-CN"/>
        </w:rPr>
        <w:t>与根据《蒙特利尔议定书》第</w:t>
      </w:r>
      <w:r w:rsidRPr="00F6661E">
        <w:rPr>
          <w:kern w:val="22"/>
          <w:sz w:val="24"/>
          <w:szCs w:val="24"/>
          <w:lang w:val="en-US"/>
        </w:rPr>
        <w:t>7</w:t>
      </w:r>
      <w:r w:rsidRPr="00F6661E">
        <w:rPr>
          <w:rFonts w:hint="eastAsia"/>
          <w:kern w:val="22"/>
          <w:sz w:val="24"/>
          <w:szCs w:val="24"/>
          <w:lang w:val="zh-CN"/>
        </w:rPr>
        <w:t>条提交的报告所列的消费量相比</w:t>
      </w:r>
      <w:r w:rsidRPr="00F6661E">
        <w:rPr>
          <w:rFonts w:hint="eastAsia"/>
          <w:kern w:val="22"/>
          <w:sz w:val="24"/>
          <w:szCs w:val="24"/>
          <w:lang w:val="en-US"/>
        </w:rPr>
        <w:t>，</w:t>
      </w:r>
      <w:r w:rsidRPr="00F6661E">
        <w:rPr>
          <w:kern w:val="22"/>
          <w:sz w:val="24"/>
          <w:szCs w:val="24"/>
          <w:lang w:val="en-US"/>
        </w:rPr>
        <w:t>2016</w:t>
      </w:r>
      <w:r w:rsidRPr="00F6661E">
        <w:rPr>
          <w:rFonts w:hint="eastAsia"/>
          <w:kern w:val="22"/>
          <w:sz w:val="24"/>
          <w:szCs w:val="24"/>
          <w:lang w:val="zh-CN"/>
        </w:rPr>
        <w:t>年增多了消费量</w:t>
      </w:r>
      <w:r w:rsidRPr="00F6661E">
        <w:rPr>
          <w:kern w:val="22"/>
          <w:sz w:val="24"/>
          <w:szCs w:val="24"/>
          <w:lang w:val="en-US"/>
        </w:rPr>
        <w:t>40.77</w:t>
      </w:r>
      <w:r w:rsidRPr="00F6661E">
        <w:rPr>
          <w:rFonts w:hint="eastAsia"/>
          <w:kern w:val="22"/>
          <w:sz w:val="24"/>
          <w:szCs w:val="24"/>
          <w:lang w:val="zh-CN"/>
        </w:rPr>
        <w:t>公吨</w:t>
      </w:r>
      <w:r w:rsidRPr="00F6661E">
        <w:rPr>
          <w:rFonts w:hint="eastAsia"/>
          <w:kern w:val="22"/>
          <w:sz w:val="24"/>
          <w:szCs w:val="24"/>
          <w:lang w:val="en-US"/>
        </w:rPr>
        <w:t>，</w:t>
      </w:r>
      <w:r w:rsidRPr="00F6661E">
        <w:rPr>
          <w:kern w:val="22"/>
          <w:sz w:val="24"/>
          <w:szCs w:val="24"/>
          <w:lang w:val="en-US"/>
        </w:rPr>
        <w:t>2017</w:t>
      </w:r>
      <w:r w:rsidRPr="00F6661E">
        <w:rPr>
          <w:rFonts w:hint="eastAsia"/>
          <w:kern w:val="22"/>
          <w:sz w:val="24"/>
          <w:szCs w:val="24"/>
          <w:lang w:val="zh-CN"/>
        </w:rPr>
        <w:t>年增多了</w:t>
      </w:r>
      <w:r w:rsidRPr="00F6661E">
        <w:rPr>
          <w:kern w:val="22"/>
          <w:sz w:val="24"/>
          <w:szCs w:val="24"/>
          <w:lang w:val="en-US"/>
        </w:rPr>
        <w:t>2.15</w:t>
      </w:r>
      <w:r w:rsidRPr="00F6661E">
        <w:rPr>
          <w:rFonts w:hint="eastAsia"/>
          <w:kern w:val="22"/>
          <w:sz w:val="24"/>
          <w:szCs w:val="24"/>
          <w:lang w:val="zh-CN"/>
        </w:rPr>
        <w:t>公吨</w:t>
      </w:r>
      <w:r w:rsidRPr="00F6661E">
        <w:rPr>
          <w:rFonts w:hint="eastAsia"/>
          <w:kern w:val="22"/>
          <w:sz w:val="24"/>
          <w:szCs w:val="24"/>
          <w:lang w:val="en-US"/>
        </w:rPr>
        <w:t>；</w:t>
      </w:r>
      <w:r w:rsidRPr="00F6661E">
        <w:rPr>
          <w:rFonts w:hint="eastAsia"/>
          <w:kern w:val="22"/>
          <w:sz w:val="24"/>
          <w:szCs w:val="24"/>
          <w:lang w:val="zh-CN"/>
        </w:rPr>
        <w:t>它还指出</w:t>
      </w:r>
      <w:r w:rsidRPr="00F6661E">
        <w:rPr>
          <w:rFonts w:hint="eastAsia"/>
          <w:kern w:val="22"/>
          <w:sz w:val="24"/>
          <w:szCs w:val="24"/>
          <w:lang w:val="en-US"/>
        </w:rPr>
        <w:t>，</w:t>
      </w:r>
      <w:r w:rsidRPr="00F6661E">
        <w:rPr>
          <w:rFonts w:hint="eastAsia"/>
          <w:kern w:val="22"/>
          <w:sz w:val="24"/>
          <w:szCs w:val="24"/>
          <w:lang w:val="zh-CN"/>
        </w:rPr>
        <w:t>依照</w:t>
      </w:r>
      <w:r w:rsidRPr="00F6661E">
        <w:rPr>
          <w:kern w:val="22"/>
          <w:sz w:val="24"/>
          <w:szCs w:val="24"/>
          <w:lang w:val="en-US"/>
        </w:rPr>
        <w:t>2017</w:t>
      </w:r>
      <w:r w:rsidRPr="00F6661E">
        <w:rPr>
          <w:rFonts w:hint="eastAsia"/>
          <w:kern w:val="22"/>
          <w:sz w:val="24"/>
          <w:szCs w:val="24"/>
          <w:lang w:val="zh-CN"/>
        </w:rPr>
        <w:t>年签发的进口许可证但在</w:t>
      </w:r>
      <w:r w:rsidRPr="00F6661E">
        <w:rPr>
          <w:kern w:val="22"/>
          <w:sz w:val="24"/>
          <w:szCs w:val="24"/>
          <w:lang w:val="en-US"/>
        </w:rPr>
        <w:t>2018</w:t>
      </w:r>
      <w:r w:rsidRPr="00F6661E">
        <w:rPr>
          <w:rFonts w:hint="eastAsia"/>
          <w:kern w:val="22"/>
          <w:sz w:val="24"/>
          <w:szCs w:val="24"/>
          <w:lang w:val="zh-CN"/>
        </w:rPr>
        <w:t>年</w:t>
      </w:r>
      <w:r w:rsidRPr="00F6661E">
        <w:rPr>
          <w:kern w:val="22"/>
          <w:sz w:val="24"/>
          <w:szCs w:val="24"/>
          <w:lang w:val="en-US"/>
        </w:rPr>
        <w:t>1</w:t>
      </w:r>
      <w:r w:rsidRPr="00F6661E">
        <w:rPr>
          <w:rFonts w:hint="eastAsia"/>
          <w:kern w:val="22"/>
          <w:sz w:val="24"/>
          <w:szCs w:val="24"/>
          <w:lang w:val="zh-CN"/>
        </w:rPr>
        <w:t>月才运达该国的</w:t>
      </w:r>
      <w:r w:rsidRPr="00F6661E">
        <w:rPr>
          <w:kern w:val="22"/>
          <w:sz w:val="24"/>
          <w:szCs w:val="24"/>
          <w:lang w:val="en-US"/>
        </w:rPr>
        <w:t>22.9</w:t>
      </w:r>
      <w:r w:rsidRPr="00F6661E">
        <w:rPr>
          <w:rFonts w:hint="eastAsia"/>
          <w:kern w:val="22"/>
          <w:sz w:val="24"/>
          <w:szCs w:val="24"/>
          <w:lang w:val="zh-CN"/>
        </w:rPr>
        <w:t>公吨氟氯烃作为</w:t>
      </w:r>
      <w:r w:rsidRPr="00F6661E">
        <w:rPr>
          <w:kern w:val="22"/>
          <w:sz w:val="24"/>
          <w:szCs w:val="24"/>
          <w:lang w:val="en-US"/>
        </w:rPr>
        <w:t>2017</w:t>
      </w:r>
      <w:r w:rsidRPr="00F6661E">
        <w:rPr>
          <w:rFonts w:hint="eastAsia"/>
          <w:kern w:val="22"/>
          <w:sz w:val="24"/>
          <w:szCs w:val="24"/>
          <w:lang w:val="zh-CN"/>
        </w:rPr>
        <w:t>年的消费量提出报告。</w:t>
      </w:r>
      <w:r w:rsidRPr="00F6661E">
        <w:rPr>
          <w:rFonts w:hint="eastAsia"/>
          <w:kern w:val="22"/>
          <w:sz w:val="24"/>
          <w:szCs w:val="24"/>
          <w:lang w:val="zh-CN"/>
        </w:rPr>
        <w:lastRenderedPageBreak/>
        <w:t>核实者表示，由于</w:t>
      </w:r>
      <w:r w:rsidRPr="00F6661E">
        <w:rPr>
          <w:kern w:val="22"/>
          <w:sz w:val="24"/>
          <w:szCs w:val="24"/>
          <w:lang w:val="zh-CN"/>
        </w:rPr>
        <w:t>2019</w:t>
      </w:r>
      <w:r w:rsidRPr="00F6661E">
        <w:rPr>
          <w:rFonts w:hint="eastAsia"/>
          <w:kern w:val="22"/>
          <w:sz w:val="24"/>
          <w:szCs w:val="24"/>
          <w:lang w:val="zh-CN"/>
        </w:rPr>
        <w:t>冠状病毒病大流行所导致的封锁，对海关和其他来源的实际数据进行分析以确定这两年实际消费量的工作无法在提交氟氯烃淘汰管理计划第二阶段的申请之前完成。</w:t>
      </w:r>
      <w:r w:rsidRPr="00F6661E">
        <w:rPr>
          <w:rStyle w:val="FootnoteReference"/>
          <w:sz w:val="24"/>
          <w:szCs w:val="24"/>
          <w:lang w:val="zh-CN"/>
        </w:rPr>
        <w:footnoteReference w:id="3"/>
      </w:r>
      <w:r w:rsidRPr="00F6661E">
        <w:rPr>
          <w:rFonts w:hint="eastAsia"/>
          <w:kern w:val="22"/>
          <w:sz w:val="24"/>
          <w:szCs w:val="24"/>
          <w:lang w:val="zh-CN"/>
        </w:rPr>
        <w:t>为了使斯里兰卡政府和开发署能够完成这项审查，秘书处</w:t>
      </w:r>
      <w:r w:rsidRPr="00F6661E">
        <w:rPr>
          <w:rFonts w:hint="eastAsia"/>
          <w:sz w:val="24"/>
          <w:szCs w:val="24"/>
          <w:lang w:val="zh-CN"/>
        </w:rPr>
        <w:t>要求在</w:t>
      </w:r>
      <w:smartTag w:uri="urn:schemas-microsoft-com:office:smarttags" w:element="chsdate">
        <w:smartTagPr>
          <w:attr w:name="IsROCDate" w:val="False"/>
          <w:attr w:name="IsLunarDate" w:val="False"/>
          <w:attr w:name="Day" w:val="15"/>
          <w:attr w:name="Month" w:val="1"/>
          <w:attr w:name="Year" w:val="2021"/>
        </w:smartTagPr>
        <w:r w:rsidRPr="00F6661E">
          <w:rPr>
            <w:sz w:val="24"/>
            <w:szCs w:val="24"/>
            <w:lang w:val="zh-CN"/>
          </w:rPr>
          <w:t>2021</w:t>
        </w:r>
        <w:r w:rsidRPr="00F6661E">
          <w:rPr>
            <w:rFonts w:hint="eastAsia"/>
            <w:sz w:val="24"/>
            <w:szCs w:val="24"/>
            <w:lang w:val="zh-CN"/>
          </w:rPr>
          <w:t>年</w:t>
        </w:r>
        <w:r w:rsidRPr="00F6661E">
          <w:rPr>
            <w:sz w:val="24"/>
            <w:szCs w:val="24"/>
            <w:lang w:val="zh-CN"/>
          </w:rPr>
          <w:t>1</w:t>
        </w:r>
        <w:r w:rsidRPr="00F6661E">
          <w:rPr>
            <w:rFonts w:hint="eastAsia"/>
            <w:sz w:val="24"/>
            <w:szCs w:val="24"/>
            <w:lang w:val="zh-CN"/>
          </w:rPr>
          <w:t>月</w:t>
        </w:r>
        <w:r w:rsidRPr="00F6661E">
          <w:rPr>
            <w:sz w:val="24"/>
            <w:szCs w:val="24"/>
            <w:lang w:val="zh-CN"/>
          </w:rPr>
          <w:t>15</w:t>
        </w:r>
        <w:r w:rsidRPr="00F6661E">
          <w:rPr>
            <w:rFonts w:hint="eastAsia"/>
            <w:sz w:val="24"/>
            <w:szCs w:val="24"/>
            <w:lang w:val="zh-CN"/>
          </w:rPr>
          <w:t>日</w:t>
        </w:r>
      </w:smartTag>
      <w:r w:rsidRPr="00F6661E">
        <w:rPr>
          <w:rFonts w:hint="eastAsia"/>
          <w:sz w:val="24"/>
          <w:szCs w:val="24"/>
          <w:lang w:val="zh-CN"/>
        </w:rPr>
        <w:t>之前提交最新的核查报告，以便能够在</w:t>
      </w:r>
      <w:r w:rsidRPr="00F6661E">
        <w:rPr>
          <w:sz w:val="24"/>
          <w:szCs w:val="24"/>
          <w:lang w:val="zh-CN"/>
        </w:rPr>
        <w:t>2021</w:t>
      </w:r>
      <w:r w:rsidRPr="00F6661E">
        <w:rPr>
          <w:rFonts w:hint="eastAsia"/>
          <w:sz w:val="24"/>
          <w:szCs w:val="24"/>
          <w:lang w:val="zh-CN"/>
        </w:rPr>
        <w:t>年</w:t>
      </w:r>
      <w:r w:rsidRPr="00F6661E">
        <w:rPr>
          <w:sz w:val="24"/>
          <w:szCs w:val="24"/>
          <w:lang w:val="zh-CN"/>
        </w:rPr>
        <w:t>3</w:t>
      </w:r>
      <w:r w:rsidRPr="00F6661E">
        <w:rPr>
          <w:rFonts w:hint="eastAsia"/>
          <w:sz w:val="24"/>
          <w:szCs w:val="24"/>
          <w:lang w:val="zh-CN"/>
        </w:rPr>
        <w:t>月排定的延后举行的第八十六次会议审议第二阶段氟氯烃淘汰管理计划。</w:t>
      </w:r>
      <w:r w:rsidRPr="00F6661E">
        <w:rPr>
          <w:rStyle w:val="FootnoteReference"/>
          <w:color w:val="000000"/>
          <w:sz w:val="24"/>
          <w:szCs w:val="24"/>
          <w:lang w:val="zh-CN"/>
        </w:rPr>
        <w:footnoteReference w:id="4"/>
      </w:r>
    </w:p>
    <w:p w:rsidR="006838AB" w:rsidRPr="00F6661E" w:rsidRDefault="006838AB">
      <w:pPr>
        <w:pStyle w:val="Heading1"/>
        <w:tabs>
          <w:tab w:val="clear" w:pos="1277"/>
          <w:tab w:val="num" w:pos="0"/>
        </w:tabs>
        <w:ind w:left="0"/>
        <w:rPr>
          <w:sz w:val="24"/>
          <w:szCs w:val="24"/>
          <w:lang w:val="en-CA"/>
        </w:rPr>
      </w:pPr>
      <w:r w:rsidRPr="00F6661E">
        <w:rPr>
          <w:rFonts w:hint="eastAsia"/>
          <w:sz w:val="24"/>
          <w:szCs w:val="24"/>
          <w:lang w:val="zh-CN"/>
        </w:rPr>
        <w:t>在第八十六次会议闭会期间批准程序</w:t>
      </w:r>
      <w:r w:rsidRPr="00F6661E">
        <w:rPr>
          <w:rFonts w:hint="eastAsia"/>
          <w:sz w:val="24"/>
          <w:szCs w:val="24"/>
          <w:lang w:val="en-US"/>
        </w:rPr>
        <w:t>（</w:t>
      </w:r>
      <w:r w:rsidRPr="00F6661E">
        <w:rPr>
          <w:sz w:val="24"/>
          <w:szCs w:val="24"/>
          <w:lang w:val="en-US"/>
        </w:rPr>
        <w:t>IAP-86</w:t>
      </w:r>
      <w:r w:rsidRPr="00F6661E">
        <w:rPr>
          <w:rFonts w:hint="eastAsia"/>
          <w:sz w:val="24"/>
          <w:szCs w:val="24"/>
          <w:lang w:val="en-US"/>
        </w:rPr>
        <w:t>）</w:t>
      </w:r>
      <w:r w:rsidRPr="00F6661E">
        <w:rPr>
          <w:rFonts w:hint="eastAsia"/>
          <w:sz w:val="24"/>
          <w:szCs w:val="24"/>
          <w:lang w:val="zh-CN"/>
        </w:rPr>
        <w:t>期间</w:t>
      </w:r>
      <w:r w:rsidRPr="00F6661E">
        <w:rPr>
          <w:rFonts w:hint="eastAsia"/>
          <w:sz w:val="24"/>
          <w:szCs w:val="24"/>
          <w:lang w:val="en-US"/>
        </w:rPr>
        <w:t>，</w:t>
      </w:r>
      <w:r w:rsidRPr="00F6661E">
        <w:rPr>
          <w:rFonts w:hint="eastAsia"/>
          <w:sz w:val="24"/>
          <w:szCs w:val="24"/>
          <w:lang w:val="zh-CN"/>
        </w:rPr>
        <w:t>一名成员</w:t>
      </w:r>
      <w:r w:rsidRPr="00F6661E">
        <w:rPr>
          <w:rFonts w:hint="eastAsia"/>
          <w:kern w:val="22"/>
          <w:sz w:val="24"/>
          <w:szCs w:val="24"/>
          <w:lang w:val="zh-CN"/>
        </w:rPr>
        <w:t>要求提供有关提交最新核查报告的补充信息</w:t>
      </w:r>
      <w:r w:rsidRPr="00F6661E">
        <w:rPr>
          <w:rFonts w:hint="eastAsia"/>
          <w:kern w:val="22"/>
          <w:sz w:val="24"/>
          <w:szCs w:val="24"/>
          <w:lang w:val="en-US"/>
        </w:rPr>
        <w:t>，</w:t>
      </w:r>
      <w:r w:rsidRPr="00F6661E">
        <w:rPr>
          <w:rFonts w:hint="eastAsia"/>
          <w:kern w:val="22"/>
          <w:sz w:val="24"/>
          <w:szCs w:val="24"/>
          <w:lang w:val="zh-CN"/>
        </w:rPr>
        <w:t>根据这项补充信息</w:t>
      </w:r>
      <w:r w:rsidRPr="00F6661E">
        <w:rPr>
          <w:rFonts w:hint="eastAsia"/>
          <w:kern w:val="22"/>
          <w:sz w:val="24"/>
          <w:szCs w:val="24"/>
          <w:lang w:val="en-US"/>
        </w:rPr>
        <w:t>，</w:t>
      </w:r>
      <w:r w:rsidRPr="00F6661E">
        <w:rPr>
          <w:rFonts w:hint="eastAsia"/>
          <w:kern w:val="22"/>
          <w:sz w:val="24"/>
          <w:szCs w:val="24"/>
          <w:lang w:val="zh-CN"/>
        </w:rPr>
        <w:t>该成员认识到迫切需要提供进一步援助</w:t>
      </w:r>
      <w:r w:rsidRPr="00F6661E">
        <w:rPr>
          <w:rFonts w:hint="eastAsia"/>
          <w:kern w:val="22"/>
          <w:sz w:val="24"/>
          <w:szCs w:val="24"/>
          <w:lang w:val="en-US"/>
        </w:rPr>
        <w:t>，</w:t>
      </w:r>
      <w:r w:rsidRPr="00F6661E">
        <w:rPr>
          <w:rFonts w:hint="eastAsia"/>
          <w:kern w:val="22"/>
          <w:sz w:val="24"/>
          <w:szCs w:val="24"/>
          <w:lang w:val="zh-CN"/>
        </w:rPr>
        <w:t>以免中断进一步活动的执行并对该建议进行的修订。随后</w:t>
      </w:r>
      <w:r w:rsidRPr="00F6661E">
        <w:rPr>
          <w:rFonts w:hint="eastAsia"/>
          <w:kern w:val="22"/>
          <w:sz w:val="24"/>
          <w:szCs w:val="24"/>
          <w:lang w:val="en-US"/>
        </w:rPr>
        <w:t>，</w:t>
      </w:r>
      <w:r w:rsidRPr="00F6661E">
        <w:rPr>
          <w:rFonts w:hint="eastAsia"/>
          <w:kern w:val="22"/>
          <w:sz w:val="24"/>
          <w:szCs w:val="24"/>
          <w:lang w:val="zh-CN"/>
        </w:rPr>
        <w:t>执行委员会除其他外</w:t>
      </w:r>
      <w:r w:rsidRPr="00F6661E">
        <w:rPr>
          <w:rFonts w:hint="eastAsia"/>
          <w:kern w:val="22"/>
          <w:sz w:val="24"/>
          <w:szCs w:val="24"/>
          <w:lang w:val="en-US"/>
        </w:rPr>
        <w:t>，</w:t>
      </w:r>
      <w:r w:rsidRPr="00F6661E">
        <w:rPr>
          <w:rFonts w:hint="eastAsia"/>
          <w:kern w:val="22"/>
          <w:sz w:val="24"/>
          <w:szCs w:val="24"/>
          <w:lang w:val="zh-CN"/>
        </w:rPr>
        <w:t>原则上批准斯里兰卡氟氯烃淘汰管理计划第二阶段及其第一次付款</w:t>
      </w:r>
      <w:r w:rsidRPr="00F6661E">
        <w:rPr>
          <w:rFonts w:hint="eastAsia"/>
          <w:kern w:val="22"/>
          <w:sz w:val="24"/>
          <w:szCs w:val="24"/>
          <w:lang w:val="en-US"/>
        </w:rPr>
        <w:t>，</w:t>
      </w:r>
      <w:r w:rsidRPr="00F6661E">
        <w:rPr>
          <w:rFonts w:hint="eastAsia"/>
          <w:kern w:val="22"/>
          <w:sz w:val="24"/>
          <w:szCs w:val="24"/>
          <w:lang w:val="zh-CN"/>
        </w:rPr>
        <w:t>但有一项谅解</w:t>
      </w:r>
      <w:r w:rsidRPr="00F6661E">
        <w:rPr>
          <w:rFonts w:hint="eastAsia"/>
          <w:kern w:val="22"/>
          <w:sz w:val="24"/>
          <w:szCs w:val="24"/>
          <w:lang w:val="en-US"/>
        </w:rPr>
        <w:t>，</w:t>
      </w:r>
      <w:r w:rsidRPr="00F6661E">
        <w:rPr>
          <w:rFonts w:hint="eastAsia"/>
          <w:kern w:val="22"/>
          <w:sz w:val="24"/>
          <w:szCs w:val="24"/>
          <w:lang w:val="zh-CN"/>
        </w:rPr>
        <w:t>即秘书处在对</w:t>
      </w:r>
      <w:r w:rsidRPr="00F6661E">
        <w:rPr>
          <w:kern w:val="22"/>
          <w:sz w:val="24"/>
          <w:szCs w:val="24"/>
          <w:lang w:val="en-US"/>
        </w:rPr>
        <w:t>2016</w:t>
      </w:r>
      <w:r w:rsidRPr="00F6661E">
        <w:rPr>
          <w:rFonts w:hint="eastAsia"/>
          <w:kern w:val="22"/>
          <w:sz w:val="24"/>
          <w:szCs w:val="24"/>
          <w:lang w:val="zh-CN"/>
        </w:rPr>
        <w:t>年至</w:t>
      </w:r>
      <w:r w:rsidRPr="00F6661E">
        <w:rPr>
          <w:kern w:val="22"/>
          <w:sz w:val="24"/>
          <w:szCs w:val="24"/>
          <w:lang w:val="en-US"/>
        </w:rPr>
        <w:t>2019</w:t>
      </w:r>
      <w:r w:rsidRPr="00F6661E">
        <w:rPr>
          <w:rFonts w:hint="eastAsia"/>
          <w:kern w:val="22"/>
          <w:sz w:val="24"/>
          <w:szCs w:val="24"/>
          <w:lang w:val="zh-CN"/>
        </w:rPr>
        <w:t>年的氟氯烃消费量的订正核查报告进行审查并确认斯里兰卡政府已履行《蒙特利尔议定书》及其政府与执行委员会就氟氯烃淘汰管理计划第一阶段签订的协定之前</w:t>
      </w:r>
      <w:r w:rsidRPr="00F6661E">
        <w:rPr>
          <w:rFonts w:hint="eastAsia"/>
          <w:kern w:val="22"/>
          <w:sz w:val="24"/>
          <w:szCs w:val="24"/>
          <w:lang w:val="en-US"/>
        </w:rPr>
        <w:t>，</w:t>
      </w:r>
      <w:r w:rsidRPr="00F6661E">
        <w:rPr>
          <w:rFonts w:hint="eastAsia"/>
          <w:kern w:val="22"/>
          <w:sz w:val="24"/>
          <w:szCs w:val="24"/>
          <w:lang w:val="zh-CN"/>
        </w:rPr>
        <w:t>不会将核定的资金拨付给开发署和环境署</w:t>
      </w:r>
      <w:r w:rsidRPr="00F6661E">
        <w:rPr>
          <w:rFonts w:hint="eastAsia"/>
          <w:kern w:val="22"/>
          <w:sz w:val="24"/>
          <w:szCs w:val="24"/>
          <w:lang w:val="en-US"/>
        </w:rPr>
        <w:t>，</w:t>
      </w:r>
      <w:r w:rsidRPr="00F6661E">
        <w:rPr>
          <w:rFonts w:hint="eastAsia"/>
          <w:kern w:val="22"/>
          <w:sz w:val="24"/>
          <w:szCs w:val="24"/>
          <w:lang w:val="zh-CN"/>
        </w:rPr>
        <w:t>并且当认定这项协定未得到履行时</w:t>
      </w:r>
      <w:r w:rsidRPr="00F6661E">
        <w:rPr>
          <w:rFonts w:hint="eastAsia"/>
          <w:kern w:val="22"/>
          <w:sz w:val="24"/>
          <w:szCs w:val="24"/>
          <w:lang w:val="en-US"/>
        </w:rPr>
        <w:t>，</w:t>
      </w:r>
      <w:r w:rsidRPr="00F6661E">
        <w:rPr>
          <w:rFonts w:hint="eastAsia"/>
          <w:kern w:val="22"/>
          <w:sz w:val="24"/>
          <w:szCs w:val="24"/>
          <w:lang w:val="zh-CN"/>
        </w:rPr>
        <w:t>执</w:t>
      </w:r>
      <w:r w:rsidRPr="00F6661E">
        <w:rPr>
          <w:rFonts w:hint="eastAsia"/>
          <w:sz w:val="24"/>
          <w:szCs w:val="24"/>
          <w:lang w:val="zh-CN"/>
        </w:rPr>
        <w:t>行委员会将在其延迟举行的第八十六次会议采取相关行动。</w:t>
      </w:r>
      <w:r w:rsidRPr="00F6661E">
        <w:rPr>
          <w:rStyle w:val="FootnoteReference"/>
          <w:color w:val="000000"/>
          <w:sz w:val="24"/>
          <w:szCs w:val="24"/>
          <w:lang w:val="zh-CN"/>
        </w:rPr>
        <w:footnoteReference w:id="5"/>
      </w:r>
    </w:p>
    <w:p w:rsidR="006838AB" w:rsidRPr="00F6661E" w:rsidRDefault="006838AB">
      <w:pPr>
        <w:pStyle w:val="Heading1"/>
        <w:numPr>
          <w:ilvl w:val="0"/>
          <w:numId w:val="0"/>
        </w:numPr>
        <w:rPr>
          <w:b/>
          <w:color w:val="000000"/>
          <w:sz w:val="24"/>
          <w:szCs w:val="24"/>
        </w:rPr>
      </w:pPr>
      <w:r w:rsidRPr="00F6661E">
        <w:rPr>
          <w:rFonts w:hint="eastAsia"/>
          <w:b/>
          <w:sz w:val="24"/>
          <w:szCs w:val="24"/>
          <w:lang w:val="zh-CN"/>
        </w:rPr>
        <w:t>最新的核查报告</w:t>
      </w:r>
    </w:p>
    <w:p w:rsidR="006838AB" w:rsidRPr="00F6661E" w:rsidRDefault="006838AB">
      <w:pPr>
        <w:pStyle w:val="Heading1"/>
        <w:tabs>
          <w:tab w:val="clear" w:pos="1277"/>
        </w:tabs>
        <w:ind w:left="0"/>
        <w:rPr>
          <w:color w:val="000000"/>
          <w:sz w:val="24"/>
          <w:szCs w:val="24"/>
          <w:lang w:val="en-US"/>
        </w:rPr>
      </w:pPr>
      <w:r w:rsidRPr="00F6661E">
        <w:rPr>
          <w:rFonts w:hint="eastAsia"/>
          <w:sz w:val="24"/>
          <w:szCs w:val="24"/>
          <w:lang w:val="zh-CN"/>
        </w:rPr>
        <w:t>开发署提交了最新的核查报告</w:t>
      </w:r>
      <w:r w:rsidRPr="00F6661E">
        <w:rPr>
          <w:rFonts w:hint="eastAsia"/>
          <w:sz w:val="24"/>
          <w:szCs w:val="24"/>
        </w:rPr>
        <w:t>，</w:t>
      </w:r>
      <w:r w:rsidRPr="00F6661E">
        <w:rPr>
          <w:rFonts w:hint="eastAsia"/>
          <w:sz w:val="24"/>
          <w:szCs w:val="24"/>
          <w:lang w:val="zh-CN"/>
        </w:rPr>
        <w:t>确认了如表</w:t>
      </w:r>
      <w:r w:rsidRPr="00F6661E">
        <w:rPr>
          <w:sz w:val="24"/>
          <w:szCs w:val="24"/>
        </w:rPr>
        <w:t>1</w:t>
      </w:r>
      <w:r w:rsidRPr="00F6661E">
        <w:rPr>
          <w:rFonts w:hint="eastAsia"/>
          <w:sz w:val="24"/>
          <w:szCs w:val="24"/>
          <w:lang w:val="zh-CN"/>
        </w:rPr>
        <w:t>所示的</w:t>
      </w:r>
      <w:r w:rsidRPr="00F6661E">
        <w:rPr>
          <w:sz w:val="24"/>
          <w:szCs w:val="24"/>
        </w:rPr>
        <w:t>2016-2019</w:t>
      </w:r>
      <w:r w:rsidRPr="00F6661E">
        <w:rPr>
          <w:rFonts w:hint="eastAsia"/>
          <w:sz w:val="24"/>
          <w:szCs w:val="24"/>
          <w:lang w:val="zh-CN"/>
        </w:rPr>
        <w:t>年的进口数字。</w:t>
      </w:r>
    </w:p>
    <w:p w:rsidR="006838AB" w:rsidRPr="00F6661E" w:rsidRDefault="006838AB">
      <w:pPr>
        <w:rPr>
          <w:b/>
          <w:sz w:val="24"/>
          <w:szCs w:val="24"/>
          <w:lang w:val="en-US"/>
        </w:rPr>
      </w:pPr>
      <w:r w:rsidRPr="00F6661E">
        <w:rPr>
          <w:rFonts w:hint="eastAsia"/>
          <w:b/>
          <w:sz w:val="24"/>
          <w:szCs w:val="24"/>
          <w:lang w:val="zh-CN"/>
        </w:rPr>
        <w:t>表</w:t>
      </w:r>
      <w:r w:rsidRPr="00F6661E">
        <w:rPr>
          <w:b/>
          <w:sz w:val="24"/>
          <w:szCs w:val="24"/>
          <w:lang w:val="en-US"/>
        </w:rPr>
        <w:t xml:space="preserve">1.  </w:t>
      </w:r>
      <w:r w:rsidRPr="00F6661E">
        <w:rPr>
          <w:rFonts w:hint="eastAsia"/>
          <w:b/>
          <w:sz w:val="24"/>
          <w:szCs w:val="24"/>
          <w:lang w:val="zh-CN"/>
        </w:rPr>
        <w:t>斯里兰卡的氟氯烃消费量（</w:t>
      </w:r>
      <w:r w:rsidRPr="00F6661E">
        <w:rPr>
          <w:b/>
          <w:sz w:val="24"/>
          <w:szCs w:val="24"/>
          <w:lang w:val="zh-CN"/>
        </w:rPr>
        <w:t xml:space="preserve">ODP </w:t>
      </w:r>
      <w:r w:rsidRPr="00F6661E">
        <w:rPr>
          <w:rFonts w:hint="eastAsia"/>
          <w:b/>
          <w:sz w:val="24"/>
          <w:szCs w:val="24"/>
          <w:lang w:val="zh-CN"/>
        </w:rPr>
        <w:t>吨）</w:t>
      </w:r>
    </w:p>
    <w:tbl>
      <w:tblPr>
        <w:tblW w:w="9363"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93"/>
        <w:gridCol w:w="2092"/>
        <w:gridCol w:w="2093"/>
        <w:gridCol w:w="2092"/>
        <w:gridCol w:w="2093"/>
      </w:tblGrid>
      <w:tr w:rsidR="006838AB">
        <w:tc>
          <w:tcPr>
            <w:tcW w:w="993" w:type="dxa"/>
            <w:vAlign w:val="center"/>
          </w:tcPr>
          <w:p w:rsidR="006838AB" w:rsidRDefault="006838AB">
            <w:pPr>
              <w:jc w:val="center"/>
              <w:rPr>
                <w:szCs w:val="24"/>
              </w:rPr>
            </w:pPr>
            <w:r>
              <w:rPr>
                <w:rFonts w:ascii="SimSun" w:hint="eastAsia"/>
                <w:b/>
                <w:sz w:val="20"/>
                <w:szCs w:val="24"/>
                <w:lang w:val="zh-CN"/>
              </w:rPr>
              <w:t>年份</w:t>
            </w:r>
          </w:p>
        </w:tc>
        <w:tc>
          <w:tcPr>
            <w:tcW w:w="2092" w:type="dxa"/>
            <w:vAlign w:val="center"/>
          </w:tcPr>
          <w:p w:rsidR="006838AB" w:rsidRDefault="006838AB">
            <w:pPr>
              <w:jc w:val="center"/>
              <w:rPr>
                <w:szCs w:val="24"/>
              </w:rPr>
            </w:pPr>
            <w:r>
              <w:rPr>
                <w:rFonts w:ascii="SimSun" w:hint="eastAsia"/>
                <w:b/>
                <w:sz w:val="20"/>
                <w:szCs w:val="24"/>
                <w:lang w:val="zh-CN"/>
              </w:rPr>
              <w:t>国家方案报告</w:t>
            </w:r>
          </w:p>
        </w:tc>
        <w:tc>
          <w:tcPr>
            <w:tcW w:w="2093" w:type="dxa"/>
            <w:vAlign w:val="center"/>
          </w:tcPr>
          <w:p w:rsidR="006838AB" w:rsidRDefault="006838AB">
            <w:pPr>
              <w:jc w:val="center"/>
              <w:rPr>
                <w:szCs w:val="24"/>
              </w:rPr>
            </w:pPr>
            <w:r>
              <w:rPr>
                <w:rFonts w:ascii="SimSun" w:hint="eastAsia"/>
                <w:b/>
                <w:sz w:val="20"/>
                <w:szCs w:val="24"/>
                <w:lang w:val="zh-CN"/>
              </w:rPr>
              <w:t>第</w:t>
            </w:r>
            <w:r>
              <w:rPr>
                <w:b/>
                <w:sz w:val="20"/>
                <w:szCs w:val="24"/>
                <w:lang w:val="zh-CN"/>
              </w:rPr>
              <w:t>7</w:t>
            </w:r>
            <w:r>
              <w:rPr>
                <w:rFonts w:ascii="SimSun" w:hint="eastAsia"/>
                <w:b/>
                <w:sz w:val="20"/>
                <w:szCs w:val="24"/>
                <w:lang w:val="zh-CN"/>
              </w:rPr>
              <w:t>条</w:t>
            </w:r>
          </w:p>
        </w:tc>
        <w:tc>
          <w:tcPr>
            <w:tcW w:w="2092" w:type="dxa"/>
            <w:vAlign w:val="center"/>
          </w:tcPr>
          <w:p w:rsidR="006838AB" w:rsidRDefault="006838AB">
            <w:pPr>
              <w:jc w:val="center"/>
              <w:rPr>
                <w:szCs w:val="24"/>
              </w:rPr>
            </w:pPr>
            <w:r>
              <w:rPr>
                <w:rFonts w:ascii="SimSun" w:hint="eastAsia"/>
                <w:b/>
                <w:sz w:val="20"/>
                <w:szCs w:val="24"/>
                <w:lang w:val="zh-CN"/>
              </w:rPr>
              <w:t>最高允许消费量</w:t>
            </w:r>
          </w:p>
        </w:tc>
        <w:tc>
          <w:tcPr>
            <w:tcW w:w="2093" w:type="dxa"/>
            <w:vAlign w:val="center"/>
          </w:tcPr>
          <w:p w:rsidR="006838AB" w:rsidRDefault="006838AB">
            <w:pPr>
              <w:jc w:val="center"/>
              <w:rPr>
                <w:szCs w:val="24"/>
              </w:rPr>
            </w:pPr>
            <w:r>
              <w:rPr>
                <w:rFonts w:ascii="SimSun" w:hint="eastAsia"/>
                <w:b/>
                <w:sz w:val="20"/>
                <w:szCs w:val="24"/>
                <w:lang w:val="zh-CN"/>
              </w:rPr>
              <w:t>核实的消费量</w:t>
            </w:r>
          </w:p>
        </w:tc>
      </w:tr>
      <w:tr w:rsidR="006838AB">
        <w:tc>
          <w:tcPr>
            <w:tcW w:w="993" w:type="dxa"/>
            <w:vAlign w:val="center"/>
          </w:tcPr>
          <w:p w:rsidR="006838AB" w:rsidRDefault="006838AB">
            <w:pPr>
              <w:jc w:val="center"/>
              <w:rPr>
                <w:sz w:val="20"/>
                <w:szCs w:val="24"/>
                <w:lang w:val="en-US"/>
              </w:rPr>
            </w:pPr>
            <w:r>
              <w:rPr>
                <w:sz w:val="20"/>
                <w:szCs w:val="24"/>
              </w:rPr>
              <w:t>2016</w:t>
            </w:r>
          </w:p>
        </w:tc>
        <w:tc>
          <w:tcPr>
            <w:tcW w:w="2092" w:type="dxa"/>
            <w:tcMar>
              <w:right w:w="360" w:type="dxa"/>
            </w:tcMar>
            <w:vAlign w:val="center"/>
          </w:tcPr>
          <w:p w:rsidR="006838AB" w:rsidRDefault="006838AB">
            <w:pPr>
              <w:ind w:right="-518"/>
              <w:jc w:val="center"/>
              <w:rPr>
                <w:sz w:val="20"/>
                <w:szCs w:val="24"/>
                <w:lang w:val="en-US"/>
              </w:rPr>
            </w:pPr>
            <w:r>
              <w:rPr>
                <w:sz w:val="20"/>
                <w:szCs w:val="24"/>
              </w:rPr>
              <w:t>10.54</w:t>
            </w:r>
          </w:p>
        </w:tc>
        <w:tc>
          <w:tcPr>
            <w:tcW w:w="2093" w:type="dxa"/>
            <w:tcMar>
              <w:right w:w="360" w:type="dxa"/>
            </w:tcMar>
            <w:vAlign w:val="center"/>
          </w:tcPr>
          <w:p w:rsidR="006838AB" w:rsidRDefault="006838AB">
            <w:pPr>
              <w:ind w:right="-518"/>
              <w:jc w:val="center"/>
              <w:rPr>
                <w:sz w:val="20"/>
                <w:szCs w:val="24"/>
                <w:lang w:val="en-US"/>
              </w:rPr>
            </w:pPr>
            <w:r>
              <w:rPr>
                <w:sz w:val="20"/>
                <w:szCs w:val="24"/>
              </w:rPr>
              <w:t>10.54</w:t>
            </w:r>
          </w:p>
        </w:tc>
        <w:tc>
          <w:tcPr>
            <w:tcW w:w="2092" w:type="dxa"/>
            <w:tcMar>
              <w:right w:w="360" w:type="dxa"/>
            </w:tcMar>
            <w:vAlign w:val="center"/>
          </w:tcPr>
          <w:p w:rsidR="006838AB" w:rsidRDefault="006838AB">
            <w:pPr>
              <w:ind w:right="-518"/>
              <w:jc w:val="center"/>
              <w:rPr>
                <w:sz w:val="20"/>
                <w:szCs w:val="24"/>
                <w:lang w:val="en-US"/>
              </w:rPr>
            </w:pPr>
            <w:r>
              <w:rPr>
                <w:sz w:val="20"/>
                <w:szCs w:val="24"/>
              </w:rPr>
              <w:t>12.51</w:t>
            </w:r>
          </w:p>
        </w:tc>
        <w:tc>
          <w:tcPr>
            <w:tcW w:w="2093" w:type="dxa"/>
            <w:tcMar>
              <w:right w:w="360" w:type="dxa"/>
            </w:tcMar>
            <w:vAlign w:val="center"/>
          </w:tcPr>
          <w:p w:rsidR="006838AB" w:rsidRDefault="006838AB">
            <w:pPr>
              <w:ind w:right="-518"/>
              <w:jc w:val="center"/>
              <w:rPr>
                <w:sz w:val="20"/>
                <w:szCs w:val="24"/>
                <w:lang w:val="en-US"/>
              </w:rPr>
            </w:pPr>
            <w:r>
              <w:rPr>
                <w:sz w:val="20"/>
                <w:szCs w:val="24"/>
              </w:rPr>
              <w:t>12.74</w:t>
            </w:r>
          </w:p>
        </w:tc>
      </w:tr>
      <w:tr w:rsidR="006838AB">
        <w:tc>
          <w:tcPr>
            <w:tcW w:w="993" w:type="dxa"/>
            <w:vAlign w:val="center"/>
          </w:tcPr>
          <w:p w:rsidR="006838AB" w:rsidRDefault="006838AB">
            <w:pPr>
              <w:jc w:val="center"/>
              <w:rPr>
                <w:sz w:val="20"/>
                <w:szCs w:val="24"/>
                <w:lang w:val="en-US"/>
              </w:rPr>
            </w:pPr>
            <w:r>
              <w:rPr>
                <w:sz w:val="20"/>
                <w:szCs w:val="24"/>
              </w:rPr>
              <w:t>2017</w:t>
            </w:r>
          </w:p>
        </w:tc>
        <w:tc>
          <w:tcPr>
            <w:tcW w:w="2092" w:type="dxa"/>
            <w:tcMar>
              <w:right w:w="360" w:type="dxa"/>
            </w:tcMar>
            <w:vAlign w:val="center"/>
          </w:tcPr>
          <w:p w:rsidR="006838AB" w:rsidRDefault="006838AB">
            <w:pPr>
              <w:ind w:right="-518"/>
              <w:jc w:val="center"/>
              <w:rPr>
                <w:sz w:val="20"/>
                <w:szCs w:val="24"/>
                <w:lang w:val="en-US"/>
              </w:rPr>
            </w:pPr>
            <w:r>
              <w:rPr>
                <w:sz w:val="20"/>
                <w:szCs w:val="24"/>
              </w:rPr>
              <w:t>8.85</w:t>
            </w:r>
          </w:p>
        </w:tc>
        <w:tc>
          <w:tcPr>
            <w:tcW w:w="2093" w:type="dxa"/>
            <w:tcMar>
              <w:right w:w="360" w:type="dxa"/>
            </w:tcMar>
            <w:vAlign w:val="center"/>
          </w:tcPr>
          <w:p w:rsidR="006838AB" w:rsidRDefault="006838AB">
            <w:pPr>
              <w:ind w:right="-518"/>
              <w:jc w:val="center"/>
              <w:rPr>
                <w:sz w:val="20"/>
                <w:szCs w:val="24"/>
                <w:lang w:val="en-US"/>
              </w:rPr>
            </w:pPr>
            <w:r>
              <w:rPr>
                <w:sz w:val="20"/>
                <w:szCs w:val="24"/>
              </w:rPr>
              <w:t>8.85</w:t>
            </w:r>
          </w:p>
        </w:tc>
        <w:tc>
          <w:tcPr>
            <w:tcW w:w="2092" w:type="dxa"/>
            <w:tcMar>
              <w:right w:w="360" w:type="dxa"/>
            </w:tcMar>
            <w:vAlign w:val="center"/>
          </w:tcPr>
          <w:p w:rsidR="006838AB" w:rsidRDefault="006838AB">
            <w:pPr>
              <w:ind w:right="-518"/>
              <w:jc w:val="center"/>
              <w:rPr>
                <w:sz w:val="20"/>
                <w:szCs w:val="24"/>
                <w:lang w:val="en-US"/>
              </w:rPr>
            </w:pPr>
            <w:r>
              <w:rPr>
                <w:sz w:val="20"/>
                <w:szCs w:val="24"/>
              </w:rPr>
              <w:t>12.51</w:t>
            </w:r>
          </w:p>
        </w:tc>
        <w:tc>
          <w:tcPr>
            <w:tcW w:w="2093" w:type="dxa"/>
            <w:tcMar>
              <w:right w:w="360" w:type="dxa"/>
            </w:tcMar>
            <w:vAlign w:val="center"/>
          </w:tcPr>
          <w:p w:rsidR="006838AB" w:rsidRDefault="006838AB">
            <w:pPr>
              <w:ind w:right="-518"/>
              <w:jc w:val="center"/>
              <w:rPr>
                <w:sz w:val="20"/>
                <w:szCs w:val="24"/>
                <w:lang w:val="en-US"/>
              </w:rPr>
            </w:pPr>
            <w:r>
              <w:rPr>
                <w:sz w:val="20"/>
                <w:szCs w:val="24"/>
              </w:rPr>
              <w:t>9.04</w:t>
            </w:r>
          </w:p>
        </w:tc>
      </w:tr>
      <w:tr w:rsidR="006838AB">
        <w:tc>
          <w:tcPr>
            <w:tcW w:w="993" w:type="dxa"/>
            <w:vAlign w:val="center"/>
          </w:tcPr>
          <w:p w:rsidR="006838AB" w:rsidRDefault="006838AB">
            <w:pPr>
              <w:jc w:val="center"/>
              <w:rPr>
                <w:sz w:val="20"/>
                <w:szCs w:val="24"/>
                <w:lang w:val="en-US"/>
              </w:rPr>
            </w:pPr>
            <w:r>
              <w:rPr>
                <w:sz w:val="20"/>
                <w:szCs w:val="24"/>
              </w:rPr>
              <w:t>2018</w:t>
            </w:r>
          </w:p>
        </w:tc>
        <w:tc>
          <w:tcPr>
            <w:tcW w:w="2092" w:type="dxa"/>
            <w:tcMar>
              <w:right w:w="360" w:type="dxa"/>
            </w:tcMar>
            <w:vAlign w:val="center"/>
          </w:tcPr>
          <w:p w:rsidR="006838AB" w:rsidRDefault="006838AB">
            <w:pPr>
              <w:ind w:right="-518"/>
              <w:jc w:val="center"/>
              <w:rPr>
                <w:sz w:val="20"/>
                <w:szCs w:val="24"/>
                <w:lang w:val="en-US"/>
              </w:rPr>
            </w:pPr>
            <w:r>
              <w:rPr>
                <w:sz w:val="20"/>
                <w:szCs w:val="24"/>
              </w:rPr>
              <w:t>9.84</w:t>
            </w:r>
          </w:p>
        </w:tc>
        <w:tc>
          <w:tcPr>
            <w:tcW w:w="2093" w:type="dxa"/>
            <w:tcMar>
              <w:right w:w="360" w:type="dxa"/>
            </w:tcMar>
            <w:vAlign w:val="center"/>
          </w:tcPr>
          <w:p w:rsidR="006838AB" w:rsidRDefault="006838AB">
            <w:pPr>
              <w:ind w:right="-518"/>
              <w:jc w:val="center"/>
              <w:rPr>
                <w:sz w:val="20"/>
                <w:szCs w:val="24"/>
                <w:lang w:val="en-US"/>
              </w:rPr>
            </w:pPr>
            <w:r>
              <w:rPr>
                <w:sz w:val="20"/>
                <w:szCs w:val="24"/>
              </w:rPr>
              <w:t>9.84</w:t>
            </w:r>
          </w:p>
        </w:tc>
        <w:tc>
          <w:tcPr>
            <w:tcW w:w="2092" w:type="dxa"/>
            <w:tcMar>
              <w:right w:w="360" w:type="dxa"/>
            </w:tcMar>
            <w:vAlign w:val="center"/>
          </w:tcPr>
          <w:p w:rsidR="006838AB" w:rsidRDefault="006838AB">
            <w:pPr>
              <w:ind w:right="-518"/>
              <w:jc w:val="center"/>
              <w:rPr>
                <w:sz w:val="20"/>
                <w:szCs w:val="24"/>
                <w:lang w:val="en-US"/>
              </w:rPr>
            </w:pPr>
            <w:r>
              <w:rPr>
                <w:sz w:val="20"/>
                <w:szCs w:val="24"/>
              </w:rPr>
              <w:t>12.51</w:t>
            </w:r>
          </w:p>
        </w:tc>
        <w:tc>
          <w:tcPr>
            <w:tcW w:w="2093" w:type="dxa"/>
            <w:tcMar>
              <w:right w:w="360" w:type="dxa"/>
            </w:tcMar>
            <w:vAlign w:val="center"/>
          </w:tcPr>
          <w:p w:rsidR="006838AB" w:rsidRDefault="006838AB">
            <w:pPr>
              <w:ind w:right="-518"/>
              <w:jc w:val="center"/>
              <w:rPr>
                <w:sz w:val="20"/>
                <w:szCs w:val="24"/>
                <w:lang w:val="en-US"/>
              </w:rPr>
            </w:pPr>
            <w:r>
              <w:rPr>
                <w:sz w:val="20"/>
                <w:szCs w:val="24"/>
              </w:rPr>
              <w:t>9.84</w:t>
            </w:r>
          </w:p>
        </w:tc>
      </w:tr>
      <w:tr w:rsidR="006838AB">
        <w:tc>
          <w:tcPr>
            <w:tcW w:w="993" w:type="dxa"/>
            <w:vAlign w:val="center"/>
          </w:tcPr>
          <w:p w:rsidR="006838AB" w:rsidRDefault="006838AB">
            <w:pPr>
              <w:jc w:val="center"/>
              <w:rPr>
                <w:sz w:val="20"/>
                <w:szCs w:val="24"/>
                <w:lang w:val="en-US"/>
              </w:rPr>
            </w:pPr>
            <w:r>
              <w:rPr>
                <w:sz w:val="20"/>
                <w:szCs w:val="24"/>
              </w:rPr>
              <w:t>2019</w:t>
            </w:r>
          </w:p>
        </w:tc>
        <w:tc>
          <w:tcPr>
            <w:tcW w:w="2092" w:type="dxa"/>
            <w:tcMar>
              <w:right w:w="360" w:type="dxa"/>
            </w:tcMar>
            <w:vAlign w:val="center"/>
          </w:tcPr>
          <w:p w:rsidR="006838AB" w:rsidRDefault="006838AB">
            <w:pPr>
              <w:ind w:right="-518"/>
              <w:jc w:val="center"/>
              <w:rPr>
                <w:sz w:val="20"/>
                <w:szCs w:val="24"/>
                <w:lang w:val="en-US"/>
              </w:rPr>
            </w:pPr>
            <w:r>
              <w:rPr>
                <w:sz w:val="20"/>
                <w:szCs w:val="24"/>
              </w:rPr>
              <w:t>9.91</w:t>
            </w:r>
          </w:p>
        </w:tc>
        <w:tc>
          <w:tcPr>
            <w:tcW w:w="2093" w:type="dxa"/>
            <w:tcMar>
              <w:right w:w="360" w:type="dxa"/>
            </w:tcMar>
            <w:vAlign w:val="center"/>
          </w:tcPr>
          <w:p w:rsidR="006838AB" w:rsidRDefault="006838AB">
            <w:pPr>
              <w:ind w:right="-518"/>
              <w:jc w:val="center"/>
              <w:rPr>
                <w:sz w:val="20"/>
                <w:szCs w:val="24"/>
                <w:lang w:val="en-US"/>
              </w:rPr>
            </w:pPr>
            <w:r>
              <w:rPr>
                <w:sz w:val="20"/>
                <w:szCs w:val="24"/>
              </w:rPr>
              <w:t>9.91</w:t>
            </w:r>
          </w:p>
        </w:tc>
        <w:tc>
          <w:tcPr>
            <w:tcW w:w="2092" w:type="dxa"/>
            <w:tcMar>
              <w:right w:w="360" w:type="dxa"/>
            </w:tcMar>
            <w:vAlign w:val="center"/>
          </w:tcPr>
          <w:p w:rsidR="006838AB" w:rsidRDefault="006838AB">
            <w:pPr>
              <w:ind w:right="-518"/>
              <w:jc w:val="center"/>
              <w:rPr>
                <w:sz w:val="20"/>
                <w:szCs w:val="24"/>
                <w:lang w:val="en-US"/>
              </w:rPr>
            </w:pPr>
            <w:r>
              <w:rPr>
                <w:sz w:val="20"/>
                <w:szCs w:val="24"/>
              </w:rPr>
              <w:t>12.51</w:t>
            </w:r>
          </w:p>
        </w:tc>
        <w:tc>
          <w:tcPr>
            <w:tcW w:w="2093" w:type="dxa"/>
            <w:tcMar>
              <w:right w:w="360" w:type="dxa"/>
            </w:tcMar>
            <w:vAlign w:val="center"/>
          </w:tcPr>
          <w:p w:rsidR="006838AB" w:rsidRDefault="006838AB">
            <w:pPr>
              <w:ind w:right="-518"/>
              <w:jc w:val="center"/>
              <w:rPr>
                <w:sz w:val="20"/>
                <w:szCs w:val="24"/>
                <w:lang w:val="en-US"/>
              </w:rPr>
            </w:pPr>
            <w:r>
              <w:rPr>
                <w:sz w:val="20"/>
                <w:szCs w:val="24"/>
              </w:rPr>
              <w:t>9.91</w:t>
            </w:r>
          </w:p>
        </w:tc>
      </w:tr>
    </w:tbl>
    <w:p w:rsidR="006838AB" w:rsidRDefault="006838AB">
      <w:pPr>
        <w:rPr>
          <w:szCs w:val="24"/>
          <w:lang w:val="en-US"/>
        </w:rPr>
      </w:pPr>
    </w:p>
    <w:p w:rsidR="006838AB" w:rsidRPr="00F6661E" w:rsidRDefault="006838AB">
      <w:pPr>
        <w:pStyle w:val="Heading1"/>
        <w:tabs>
          <w:tab w:val="clear" w:pos="1277"/>
        </w:tabs>
        <w:ind w:left="0"/>
        <w:rPr>
          <w:color w:val="000000"/>
          <w:sz w:val="24"/>
          <w:szCs w:val="24"/>
          <w:lang w:val="en-US"/>
        </w:rPr>
      </w:pPr>
      <w:r w:rsidRPr="00F6661E">
        <w:rPr>
          <w:rFonts w:hint="eastAsia"/>
          <w:sz w:val="24"/>
          <w:szCs w:val="24"/>
          <w:lang w:val="zh-CN"/>
        </w:rPr>
        <w:t>注意到</w:t>
      </w:r>
      <w:r w:rsidRPr="00F6661E">
        <w:rPr>
          <w:rFonts w:hint="eastAsia"/>
          <w:sz w:val="24"/>
          <w:szCs w:val="24"/>
          <w:lang w:val="en-US"/>
        </w:rPr>
        <w:t>，</w:t>
      </w:r>
      <w:r w:rsidRPr="00F6661E">
        <w:rPr>
          <w:rFonts w:hint="eastAsia"/>
          <w:sz w:val="24"/>
          <w:szCs w:val="24"/>
          <w:lang w:val="zh-CN"/>
        </w:rPr>
        <w:t>根据国家方案执行报告和《蒙特利尔议定书》第</w:t>
      </w:r>
      <w:r w:rsidRPr="00F6661E">
        <w:rPr>
          <w:sz w:val="24"/>
          <w:szCs w:val="24"/>
          <w:lang w:val="en-US"/>
        </w:rPr>
        <w:t>7</w:t>
      </w:r>
      <w:r w:rsidRPr="00F6661E">
        <w:rPr>
          <w:rFonts w:hint="eastAsia"/>
          <w:sz w:val="24"/>
          <w:szCs w:val="24"/>
          <w:lang w:val="zh-CN"/>
        </w:rPr>
        <w:t>条提交的数据与</w:t>
      </w:r>
      <w:r w:rsidRPr="00F6661E">
        <w:rPr>
          <w:sz w:val="24"/>
          <w:szCs w:val="24"/>
          <w:lang w:val="en-US"/>
        </w:rPr>
        <w:t>2016</w:t>
      </w:r>
      <w:r w:rsidRPr="00F6661E">
        <w:rPr>
          <w:rFonts w:hint="eastAsia"/>
          <w:sz w:val="24"/>
          <w:szCs w:val="24"/>
          <w:lang w:val="zh-CN"/>
        </w:rPr>
        <w:t>年和</w:t>
      </w:r>
      <w:r w:rsidRPr="00F6661E">
        <w:rPr>
          <w:sz w:val="24"/>
          <w:szCs w:val="24"/>
          <w:lang w:val="en-US"/>
        </w:rPr>
        <w:t>2017</w:t>
      </w:r>
      <w:r w:rsidRPr="00F6661E">
        <w:rPr>
          <w:rFonts w:hint="eastAsia"/>
          <w:sz w:val="24"/>
          <w:szCs w:val="24"/>
          <w:lang w:val="zh-CN"/>
        </w:rPr>
        <w:t>年核查的消费量不一致。该报告显示，</w:t>
      </w:r>
      <w:r w:rsidRPr="00F6661E">
        <w:rPr>
          <w:sz w:val="24"/>
          <w:szCs w:val="24"/>
          <w:lang w:val="zh-CN"/>
        </w:rPr>
        <w:t>2016</w:t>
      </w:r>
      <w:r w:rsidRPr="00F6661E">
        <w:rPr>
          <w:rFonts w:hint="eastAsia"/>
          <w:sz w:val="24"/>
          <w:szCs w:val="24"/>
          <w:lang w:val="zh-CN"/>
        </w:rPr>
        <w:t>年和</w:t>
      </w:r>
      <w:r w:rsidRPr="00F6661E">
        <w:rPr>
          <w:sz w:val="24"/>
          <w:szCs w:val="24"/>
          <w:lang w:val="zh-CN"/>
        </w:rPr>
        <w:t>2017</w:t>
      </w:r>
      <w:r w:rsidRPr="00F6661E">
        <w:rPr>
          <w:rFonts w:hint="eastAsia"/>
          <w:sz w:val="24"/>
          <w:szCs w:val="24"/>
          <w:lang w:val="zh-CN"/>
        </w:rPr>
        <w:t>年注册的进口商和未注册的进口商进口的</w:t>
      </w:r>
      <w:r w:rsidRPr="00F6661E">
        <w:rPr>
          <w:sz w:val="24"/>
          <w:szCs w:val="24"/>
          <w:lang w:val="zh-CN"/>
        </w:rPr>
        <w:t>HCFC-22</w:t>
      </w:r>
      <w:r w:rsidRPr="00F6661E">
        <w:rPr>
          <w:rFonts w:hint="eastAsia"/>
          <w:sz w:val="24"/>
          <w:szCs w:val="24"/>
          <w:lang w:val="zh-CN"/>
        </w:rPr>
        <w:t>数量不正常。海关允许这些进口进入该国，但没有颁发适当的许可证。核查确定，</w:t>
      </w:r>
      <w:r w:rsidRPr="00F6661E">
        <w:rPr>
          <w:sz w:val="24"/>
          <w:szCs w:val="24"/>
          <w:lang w:val="zh-CN"/>
        </w:rPr>
        <w:t>2016</w:t>
      </w:r>
      <w:r w:rsidRPr="00F6661E">
        <w:rPr>
          <w:rFonts w:hint="eastAsia"/>
          <w:sz w:val="24"/>
          <w:szCs w:val="24"/>
          <w:lang w:val="zh-CN"/>
        </w:rPr>
        <w:t>年的实际进口量（</w:t>
      </w:r>
      <w:r w:rsidRPr="00F6661E">
        <w:rPr>
          <w:sz w:val="24"/>
          <w:szCs w:val="24"/>
          <w:lang w:val="zh-CN"/>
        </w:rPr>
        <w:t>12.74 ODP</w:t>
      </w:r>
      <w:r w:rsidRPr="00F6661E">
        <w:rPr>
          <w:rFonts w:hint="eastAsia"/>
          <w:sz w:val="24"/>
          <w:szCs w:val="24"/>
          <w:lang w:val="zh-CN"/>
        </w:rPr>
        <w:t>吨）比《蒙特利尔议定书》的目标量和斯里兰卡政府与执行委员会之间的协定所规定的最大允许消费量（</w:t>
      </w:r>
      <w:r w:rsidRPr="00F6661E">
        <w:rPr>
          <w:sz w:val="24"/>
          <w:szCs w:val="24"/>
          <w:lang w:val="zh-CN"/>
        </w:rPr>
        <w:t>12.51 ODP</w:t>
      </w:r>
      <w:r w:rsidRPr="00F6661E">
        <w:rPr>
          <w:rFonts w:hint="eastAsia"/>
          <w:sz w:val="24"/>
          <w:szCs w:val="24"/>
          <w:lang w:val="zh-CN"/>
        </w:rPr>
        <w:t>吨）多出</w:t>
      </w:r>
      <w:r w:rsidRPr="00F6661E">
        <w:rPr>
          <w:sz w:val="24"/>
          <w:szCs w:val="24"/>
          <w:lang w:val="zh-CN"/>
        </w:rPr>
        <w:t>0.23 ODP</w:t>
      </w:r>
      <w:r w:rsidRPr="00F6661E">
        <w:rPr>
          <w:rFonts w:hint="eastAsia"/>
          <w:sz w:val="24"/>
          <w:szCs w:val="24"/>
          <w:lang w:val="zh-CN"/>
        </w:rPr>
        <w:t>吨（</w:t>
      </w:r>
      <w:r w:rsidRPr="00F6661E">
        <w:rPr>
          <w:sz w:val="24"/>
          <w:szCs w:val="24"/>
          <w:lang w:val="zh-CN"/>
        </w:rPr>
        <w:t xml:space="preserve"> 4.18</w:t>
      </w:r>
      <w:r w:rsidRPr="00F6661E">
        <w:rPr>
          <w:rFonts w:hint="eastAsia"/>
          <w:sz w:val="24"/>
          <w:szCs w:val="24"/>
          <w:lang w:val="zh-CN"/>
        </w:rPr>
        <w:t>公吨）。这项核查还确认该国的氟氯烃消费量符合《蒙特利尔议定书》和该协定设定的</w:t>
      </w:r>
      <w:r w:rsidRPr="00F6661E">
        <w:rPr>
          <w:sz w:val="24"/>
          <w:szCs w:val="24"/>
          <w:lang w:val="zh-CN"/>
        </w:rPr>
        <w:t>2017</w:t>
      </w:r>
      <w:r w:rsidRPr="00F6661E">
        <w:rPr>
          <w:rFonts w:hint="eastAsia"/>
          <w:sz w:val="24"/>
          <w:szCs w:val="24"/>
          <w:lang w:val="zh-CN"/>
        </w:rPr>
        <w:t>年至</w:t>
      </w:r>
      <w:r w:rsidRPr="00F6661E">
        <w:rPr>
          <w:sz w:val="24"/>
          <w:szCs w:val="24"/>
          <w:lang w:val="zh-CN"/>
        </w:rPr>
        <w:t>2019</w:t>
      </w:r>
      <w:r w:rsidRPr="00F6661E">
        <w:rPr>
          <w:rFonts w:hint="eastAsia"/>
          <w:sz w:val="24"/>
          <w:szCs w:val="24"/>
          <w:lang w:val="zh-CN"/>
        </w:rPr>
        <w:t>年的目标，以及该国有效执行了氟氯烃许可证颁发和配额制度。该报告列出了几项加强许可证颁发和配额制度的建议，</w:t>
      </w:r>
      <w:r w:rsidRPr="00F6661E">
        <w:rPr>
          <w:color w:val="000000"/>
          <w:sz w:val="24"/>
          <w:szCs w:val="24"/>
          <w:vertAlign w:val="superscript"/>
          <w:lang w:val="zh-CN"/>
        </w:rPr>
        <w:footnoteReference w:id="6"/>
      </w:r>
      <w:r w:rsidRPr="00F6661E">
        <w:rPr>
          <w:rFonts w:hint="eastAsia"/>
          <w:sz w:val="24"/>
          <w:szCs w:val="24"/>
          <w:lang w:val="zh-CN"/>
        </w:rPr>
        <w:t>开发署确认该国将在氟氯烃淘汰管理计划第二阶段执行这些建议。开发署进一步确认，斯里兰卡政府已根据核实的消费量采取行动，修订了</w:t>
      </w:r>
      <w:r w:rsidRPr="00F6661E">
        <w:rPr>
          <w:sz w:val="24"/>
          <w:szCs w:val="24"/>
          <w:lang w:val="zh-CN"/>
        </w:rPr>
        <w:t>2016</w:t>
      </w:r>
      <w:r w:rsidRPr="00F6661E">
        <w:rPr>
          <w:rFonts w:hint="eastAsia"/>
          <w:sz w:val="24"/>
          <w:szCs w:val="24"/>
          <w:lang w:val="zh-CN"/>
        </w:rPr>
        <w:t>年和</w:t>
      </w:r>
      <w:r w:rsidRPr="00F6661E">
        <w:rPr>
          <w:sz w:val="24"/>
          <w:szCs w:val="24"/>
          <w:lang w:val="zh-CN"/>
        </w:rPr>
        <w:t>2017</w:t>
      </w:r>
      <w:r w:rsidRPr="00F6661E">
        <w:rPr>
          <w:rFonts w:hint="eastAsia"/>
          <w:sz w:val="24"/>
          <w:szCs w:val="24"/>
          <w:lang w:val="zh-CN"/>
        </w:rPr>
        <w:t>年的国家方案和第</w:t>
      </w:r>
      <w:r w:rsidRPr="00F6661E">
        <w:rPr>
          <w:sz w:val="24"/>
          <w:szCs w:val="24"/>
          <w:lang w:val="zh-CN"/>
        </w:rPr>
        <w:t>7</w:t>
      </w:r>
      <w:r w:rsidRPr="00F6661E">
        <w:rPr>
          <w:rFonts w:hint="eastAsia"/>
          <w:sz w:val="24"/>
          <w:szCs w:val="24"/>
          <w:lang w:val="zh-CN"/>
        </w:rPr>
        <w:t>条数据。</w:t>
      </w:r>
    </w:p>
    <w:p w:rsidR="006838AB" w:rsidRPr="00F6661E" w:rsidRDefault="006838AB">
      <w:pPr>
        <w:keepNext/>
        <w:rPr>
          <w:b/>
          <w:sz w:val="24"/>
          <w:szCs w:val="24"/>
          <w:lang w:val="en-CA"/>
        </w:rPr>
      </w:pPr>
      <w:r w:rsidRPr="00F6661E">
        <w:rPr>
          <w:rFonts w:hint="eastAsia"/>
          <w:b/>
          <w:sz w:val="24"/>
          <w:szCs w:val="24"/>
          <w:lang w:val="zh-CN"/>
        </w:rPr>
        <w:lastRenderedPageBreak/>
        <w:t>秘书处的评论</w:t>
      </w:r>
    </w:p>
    <w:p w:rsidR="006838AB" w:rsidRPr="00F6661E" w:rsidRDefault="006838AB">
      <w:pPr>
        <w:keepNext/>
        <w:rPr>
          <w:sz w:val="24"/>
          <w:szCs w:val="24"/>
          <w:lang w:val="en-CA"/>
        </w:rPr>
      </w:pPr>
    </w:p>
    <w:p w:rsidR="006838AB" w:rsidRPr="00F6661E" w:rsidRDefault="006838AB">
      <w:pPr>
        <w:pStyle w:val="Heading1"/>
        <w:keepNext/>
        <w:tabs>
          <w:tab w:val="clear" w:pos="1277"/>
        </w:tabs>
        <w:ind w:left="0"/>
        <w:rPr>
          <w:sz w:val="24"/>
          <w:szCs w:val="24"/>
          <w:lang w:val="en-CA"/>
        </w:rPr>
      </w:pPr>
      <w:r w:rsidRPr="00F6661E">
        <w:rPr>
          <w:rFonts w:hint="eastAsia"/>
          <w:sz w:val="24"/>
          <w:szCs w:val="24"/>
          <w:lang w:val="zh-CN"/>
        </w:rPr>
        <w:t>秘书处与开发署讨论了核查报告的各项数据</w:t>
      </w:r>
      <w:r w:rsidRPr="00F6661E">
        <w:rPr>
          <w:rFonts w:hint="eastAsia"/>
          <w:sz w:val="24"/>
          <w:szCs w:val="24"/>
          <w:lang w:val="en-CA"/>
        </w:rPr>
        <w:t>，</w:t>
      </w:r>
      <w:r w:rsidRPr="00F6661E">
        <w:rPr>
          <w:rFonts w:hint="eastAsia"/>
          <w:sz w:val="24"/>
          <w:szCs w:val="24"/>
          <w:lang w:val="zh-CN"/>
        </w:rPr>
        <w:t>随后收到斯里兰卡政府的正式来文</w:t>
      </w:r>
      <w:r w:rsidRPr="00F6661E">
        <w:rPr>
          <w:rFonts w:hint="eastAsia"/>
          <w:sz w:val="24"/>
          <w:szCs w:val="24"/>
          <w:lang w:val="en-CA"/>
        </w:rPr>
        <w:t>，</w:t>
      </w:r>
      <w:r w:rsidRPr="00F6661E">
        <w:rPr>
          <w:rFonts w:hint="eastAsia"/>
          <w:sz w:val="24"/>
          <w:szCs w:val="24"/>
          <w:lang w:val="zh-CN"/>
        </w:rPr>
        <w:t>其中对这一意外情况表示认可并表示遗憾</w:t>
      </w:r>
      <w:r w:rsidRPr="00F6661E">
        <w:rPr>
          <w:rFonts w:hint="eastAsia"/>
          <w:sz w:val="24"/>
          <w:szCs w:val="24"/>
          <w:lang w:val="en-CA"/>
        </w:rPr>
        <w:t>，</w:t>
      </w:r>
      <w:r w:rsidRPr="00F6661E">
        <w:rPr>
          <w:rFonts w:hint="eastAsia"/>
          <w:sz w:val="24"/>
          <w:szCs w:val="24"/>
          <w:lang w:val="zh-CN"/>
        </w:rPr>
        <w:t>指出已经根据斯里兰卡海关法规对有关公司采取法律行动</w:t>
      </w:r>
      <w:r w:rsidRPr="00F6661E">
        <w:rPr>
          <w:rFonts w:hint="eastAsia"/>
          <w:sz w:val="24"/>
          <w:szCs w:val="24"/>
          <w:lang w:val="en-CA"/>
        </w:rPr>
        <w:t>，</w:t>
      </w:r>
      <w:r w:rsidRPr="00F6661E">
        <w:rPr>
          <w:rFonts w:hint="eastAsia"/>
          <w:sz w:val="24"/>
          <w:szCs w:val="24"/>
          <w:lang w:val="zh-CN"/>
        </w:rPr>
        <w:t>并对斯里兰卡海关进行其他内部调查</w:t>
      </w:r>
      <w:r w:rsidRPr="00F6661E">
        <w:rPr>
          <w:rFonts w:hint="eastAsia"/>
          <w:sz w:val="24"/>
          <w:szCs w:val="24"/>
          <w:lang w:val="en-CA"/>
        </w:rPr>
        <w:t>，</w:t>
      </w:r>
      <w:r w:rsidRPr="00F6661E">
        <w:rPr>
          <w:rFonts w:hint="eastAsia"/>
          <w:sz w:val="24"/>
          <w:szCs w:val="24"/>
          <w:lang w:val="zh-CN"/>
        </w:rPr>
        <w:t>以便采取必要行动。政府还表示决心通过加强国家臭氧机构与海关之间的报告机制以及核查报告中建议的适当执法调整</w:t>
      </w:r>
      <w:r w:rsidRPr="00F6661E">
        <w:rPr>
          <w:rFonts w:hint="eastAsia"/>
          <w:sz w:val="24"/>
          <w:szCs w:val="24"/>
          <w:lang w:val="en-US"/>
        </w:rPr>
        <w:t>，</w:t>
      </w:r>
      <w:r w:rsidRPr="00F6661E">
        <w:rPr>
          <w:rFonts w:hint="eastAsia"/>
          <w:sz w:val="24"/>
          <w:szCs w:val="24"/>
          <w:lang w:val="zh-CN"/>
        </w:rPr>
        <w:t>确保今后不再发生不当的进口行为。此外</w:t>
      </w:r>
      <w:r w:rsidRPr="00F6661E">
        <w:rPr>
          <w:rFonts w:hint="eastAsia"/>
          <w:sz w:val="24"/>
          <w:szCs w:val="24"/>
          <w:lang w:val="en-US"/>
        </w:rPr>
        <w:t>，</w:t>
      </w:r>
      <w:r w:rsidRPr="00F6661E">
        <w:rPr>
          <w:rFonts w:hint="eastAsia"/>
          <w:sz w:val="24"/>
          <w:szCs w:val="24"/>
          <w:lang w:val="zh-CN"/>
        </w:rPr>
        <w:t>自</w:t>
      </w:r>
      <w:r w:rsidRPr="00F6661E">
        <w:rPr>
          <w:sz w:val="24"/>
          <w:szCs w:val="24"/>
          <w:lang w:val="en-US"/>
        </w:rPr>
        <w:t>2018</w:t>
      </w:r>
      <w:r w:rsidRPr="00F6661E">
        <w:rPr>
          <w:rFonts w:hint="eastAsia"/>
          <w:sz w:val="24"/>
          <w:szCs w:val="24"/>
          <w:lang w:val="zh-CN"/>
        </w:rPr>
        <w:t>年以来</w:t>
      </w:r>
      <w:r w:rsidRPr="00F6661E">
        <w:rPr>
          <w:rFonts w:hint="eastAsia"/>
          <w:sz w:val="24"/>
          <w:szCs w:val="24"/>
          <w:lang w:val="en-US"/>
        </w:rPr>
        <w:t>，</w:t>
      </w:r>
      <w:r w:rsidRPr="00F6661E">
        <w:rPr>
          <w:rFonts w:hint="eastAsia"/>
          <w:sz w:val="24"/>
          <w:szCs w:val="24"/>
          <w:lang w:val="zh-CN"/>
        </w:rPr>
        <w:t>已建立了强有力的监测系统</w:t>
      </w:r>
      <w:r w:rsidRPr="00F6661E">
        <w:rPr>
          <w:rFonts w:hint="eastAsia"/>
          <w:sz w:val="24"/>
          <w:szCs w:val="24"/>
          <w:lang w:val="en-US"/>
        </w:rPr>
        <w:t>，</w:t>
      </w:r>
      <w:r w:rsidRPr="00F6661E">
        <w:rPr>
          <w:rFonts w:hint="eastAsia"/>
          <w:sz w:val="24"/>
          <w:szCs w:val="24"/>
          <w:lang w:val="zh-CN"/>
        </w:rPr>
        <w:t>并将在氟氯烃淘汰管理计划第二阶段建立在线许可证颁发和报告系统。这样做可以避免发生没有许可证的进口情况。</w:t>
      </w:r>
      <w:r w:rsidRPr="00F6661E">
        <w:rPr>
          <w:sz w:val="24"/>
          <w:szCs w:val="24"/>
          <w:lang w:val="en-CA"/>
        </w:rPr>
        <w:t xml:space="preserve"> </w:t>
      </w:r>
    </w:p>
    <w:p w:rsidR="006838AB" w:rsidRPr="00F6661E" w:rsidRDefault="006838AB">
      <w:pPr>
        <w:pStyle w:val="Heading1"/>
        <w:tabs>
          <w:tab w:val="clear" w:pos="1277"/>
        </w:tabs>
        <w:ind w:left="0"/>
        <w:rPr>
          <w:sz w:val="24"/>
          <w:szCs w:val="24"/>
          <w:lang w:val="en-CA"/>
        </w:rPr>
      </w:pPr>
      <w:r w:rsidRPr="00F6661E">
        <w:rPr>
          <w:rFonts w:hint="eastAsia"/>
          <w:sz w:val="24"/>
          <w:szCs w:val="24"/>
          <w:lang w:val="zh-CN"/>
        </w:rPr>
        <w:t>鉴于</w:t>
      </w:r>
      <w:r w:rsidRPr="00F6661E">
        <w:rPr>
          <w:sz w:val="24"/>
          <w:szCs w:val="24"/>
          <w:lang w:val="en-CA"/>
        </w:rPr>
        <w:t>2016</w:t>
      </w:r>
      <w:r w:rsidRPr="00F6661E">
        <w:rPr>
          <w:rFonts w:hint="eastAsia"/>
          <w:sz w:val="24"/>
          <w:szCs w:val="24"/>
          <w:lang w:val="zh-CN"/>
        </w:rPr>
        <w:t>年核实的进口量为</w:t>
      </w:r>
      <w:r w:rsidRPr="00F6661E">
        <w:rPr>
          <w:sz w:val="24"/>
          <w:szCs w:val="24"/>
          <w:lang w:val="en-CA"/>
        </w:rPr>
        <w:t>12.74 ODP</w:t>
      </w:r>
      <w:r w:rsidRPr="00F6661E">
        <w:rPr>
          <w:rFonts w:hint="eastAsia"/>
          <w:sz w:val="24"/>
          <w:szCs w:val="24"/>
          <w:lang w:val="zh-CN"/>
        </w:rPr>
        <w:t>吨</w:t>
      </w:r>
      <w:r w:rsidRPr="00F6661E">
        <w:rPr>
          <w:rFonts w:hint="eastAsia"/>
          <w:sz w:val="24"/>
          <w:szCs w:val="24"/>
          <w:lang w:val="en-CA"/>
        </w:rPr>
        <w:t>，</w:t>
      </w:r>
      <w:r w:rsidRPr="00F6661E">
        <w:rPr>
          <w:rFonts w:hint="eastAsia"/>
          <w:sz w:val="24"/>
          <w:szCs w:val="24"/>
          <w:lang w:val="zh-CN"/>
        </w:rPr>
        <w:t>而该国当年的最大允许消费量为</w:t>
      </w:r>
      <w:r w:rsidRPr="00F6661E">
        <w:rPr>
          <w:sz w:val="24"/>
          <w:szCs w:val="24"/>
          <w:lang w:val="en-CA"/>
        </w:rPr>
        <w:t>12.51 ODP</w:t>
      </w:r>
      <w:r w:rsidRPr="00F6661E">
        <w:rPr>
          <w:rFonts w:hint="eastAsia"/>
          <w:sz w:val="24"/>
          <w:szCs w:val="24"/>
          <w:lang w:val="zh-CN"/>
        </w:rPr>
        <w:t>吨</w:t>
      </w:r>
      <w:r w:rsidRPr="00F6661E">
        <w:rPr>
          <w:rFonts w:hint="eastAsia"/>
          <w:sz w:val="24"/>
          <w:szCs w:val="24"/>
          <w:lang w:val="en-CA"/>
        </w:rPr>
        <w:t>，</w:t>
      </w:r>
      <w:r w:rsidRPr="00F6661E">
        <w:rPr>
          <w:rFonts w:hint="eastAsia"/>
          <w:sz w:val="24"/>
          <w:szCs w:val="24"/>
          <w:lang w:val="zh-CN"/>
        </w:rPr>
        <w:t>斯里兰卡超出了《蒙特利尔议定书》的目标以</w:t>
      </w:r>
      <w:r w:rsidRPr="00F6661E">
        <w:rPr>
          <w:rFonts w:eastAsia="MS Mincho"/>
          <w:sz w:val="24"/>
          <w:szCs w:val="24"/>
          <w:lang w:val="en-CA"/>
        </w:rPr>
        <w:t>​​</w:t>
      </w:r>
      <w:r w:rsidRPr="00F6661E">
        <w:rPr>
          <w:rFonts w:hint="eastAsia"/>
          <w:sz w:val="24"/>
          <w:szCs w:val="24"/>
          <w:lang w:val="zh-CN"/>
        </w:rPr>
        <w:t>及其与执行委员会达成的协定中规定的最大允许消费量</w:t>
      </w:r>
      <w:r w:rsidRPr="00F6661E">
        <w:rPr>
          <w:sz w:val="24"/>
          <w:szCs w:val="24"/>
          <w:lang w:val="en-CA"/>
        </w:rPr>
        <w:t>0.23 ODP</w:t>
      </w:r>
      <w:r w:rsidRPr="00F6661E">
        <w:rPr>
          <w:rFonts w:hint="eastAsia"/>
          <w:sz w:val="24"/>
          <w:szCs w:val="24"/>
          <w:lang w:val="zh-CN"/>
        </w:rPr>
        <w:t>吨</w:t>
      </w:r>
      <w:r w:rsidRPr="00F6661E">
        <w:rPr>
          <w:rFonts w:hint="eastAsia"/>
          <w:sz w:val="24"/>
          <w:szCs w:val="24"/>
          <w:lang w:val="en-CA"/>
        </w:rPr>
        <w:t>（</w:t>
      </w:r>
      <w:r w:rsidRPr="00F6661E">
        <w:rPr>
          <w:sz w:val="24"/>
          <w:szCs w:val="24"/>
          <w:lang w:val="en-CA"/>
        </w:rPr>
        <w:t>4.18</w:t>
      </w:r>
      <w:r w:rsidRPr="00F6661E">
        <w:rPr>
          <w:rFonts w:hint="eastAsia"/>
          <w:sz w:val="24"/>
          <w:szCs w:val="24"/>
          <w:lang w:val="zh-CN"/>
        </w:rPr>
        <w:t>公吨</w:t>
      </w:r>
      <w:r w:rsidRPr="00F6661E">
        <w:rPr>
          <w:rFonts w:hint="eastAsia"/>
          <w:sz w:val="24"/>
          <w:szCs w:val="24"/>
          <w:lang w:val="en-CA"/>
        </w:rPr>
        <w:t>）</w:t>
      </w:r>
      <w:r w:rsidRPr="00F6661E">
        <w:rPr>
          <w:rFonts w:hint="eastAsia"/>
          <w:sz w:val="24"/>
          <w:szCs w:val="24"/>
          <w:lang w:val="zh-CN"/>
        </w:rPr>
        <w:t>。根据氟氯烃淘汰管理计划第一阶段协定附录</w:t>
      </w:r>
      <w:r w:rsidRPr="00F6661E">
        <w:rPr>
          <w:sz w:val="24"/>
          <w:szCs w:val="24"/>
          <w:lang w:val="en-US"/>
        </w:rPr>
        <w:t>7-A</w:t>
      </w:r>
      <w:r w:rsidRPr="00F6661E">
        <w:rPr>
          <w:rFonts w:hint="eastAsia"/>
          <w:sz w:val="24"/>
          <w:szCs w:val="24"/>
          <w:lang w:val="zh-CN"/>
        </w:rPr>
        <w:t>所规定的处罚条款</w:t>
      </w:r>
      <w:r w:rsidRPr="00F6661E">
        <w:rPr>
          <w:rFonts w:hint="eastAsia"/>
          <w:sz w:val="24"/>
          <w:szCs w:val="24"/>
          <w:lang w:val="en-US"/>
        </w:rPr>
        <w:t>，</w:t>
      </w:r>
      <w:r w:rsidRPr="00F6661E">
        <w:rPr>
          <w:rStyle w:val="FootnoteReference"/>
          <w:sz w:val="24"/>
          <w:szCs w:val="24"/>
          <w:lang w:val="zh-CN"/>
        </w:rPr>
        <w:footnoteReference w:id="7"/>
      </w:r>
      <w:r w:rsidRPr="00F6661E">
        <w:rPr>
          <w:rFonts w:hint="eastAsia"/>
          <w:sz w:val="24"/>
          <w:szCs w:val="24"/>
          <w:lang w:val="zh-CN"/>
        </w:rPr>
        <w:t>对超出最高允许消费量可每公吨减少供资</w:t>
      </w:r>
      <w:r w:rsidRPr="00F6661E">
        <w:rPr>
          <w:sz w:val="24"/>
          <w:szCs w:val="24"/>
          <w:lang w:val="en-US"/>
        </w:rPr>
        <w:t>2,500</w:t>
      </w:r>
      <w:r w:rsidRPr="00F6661E">
        <w:rPr>
          <w:rFonts w:hint="eastAsia"/>
          <w:sz w:val="24"/>
          <w:szCs w:val="24"/>
          <w:lang w:val="zh-CN"/>
        </w:rPr>
        <w:t>美元</w:t>
      </w:r>
      <w:r w:rsidRPr="00F6661E">
        <w:rPr>
          <w:rFonts w:hint="eastAsia"/>
          <w:sz w:val="24"/>
          <w:szCs w:val="24"/>
          <w:lang w:val="en-US"/>
        </w:rPr>
        <w:t>，</w:t>
      </w:r>
      <w:r w:rsidRPr="00F6661E">
        <w:rPr>
          <w:rFonts w:hint="eastAsia"/>
          <w:sz w:val="24"/>
          <w:szCs w:val="24"/>
          <w:lang w:val="zh-CN"/>
        </w:rPr>
        <w:t>则罚款额为</w:t>
      </w:r>
      <w:r w:rsidRPr="00F6661E">
        <w:rPr>
          <w:sz w:val="24"/>
          <w:szCs w:val="24"/>
          <w:lang w:val="en-US"/>
        </w:rPr>
        <w:t>10,450</w:t>
      </w:r>
      <w:r w:rsidRPr="00F6661E">
        <w:rPr>
          <w:rFonts w:hint="eastAsia"/>
          <w:sz w:val="24"/>
          <w:szCs w:val="24"/>
          <w:lang w:val="zh-CN"/>
        </w:rPr>
        <w:t>美元</w:t>
      </w:r>
      <w:r w:rsidRPr="00F6661E">
        <w:rPr>
          <w:rFonts w:hint="eastAsia"/>
          <w:sz w:val="24"/>
          <w:szCs w:val="24"/>
          <w:lang w:val="en-US"/>
        </w:rPr>
        <w:t>，</w:t>
      </w:r>
      <w:r w:rsidRPr="00F6661E">
        <w:rPr>
          <w:rFonts w:hint="eastAsia"/>
          <w:sz w:val="24"/>
          <w:szCs w:val="24"/>
          <w:lang w:val="zh-CN"/>
        </w:rPr>
        <w:t>外加机构支助费用。</w:t>
      </w:r>
      <w:r w:rsidRPr="00F6661E">
        <w:rPr>
          <w:sz w:val="24"/>
          <w:szCs w:val="24"/>
          <w:lang w:val="en-CA"/>
        </w:rPr>
        <w:t xml:space="preserve"> </w:t>
      </w:r>
    </w:p>
    <w:p w:rsidR="006838AB" w:rsidRPr="00F6661E" w:rsidRDefault="006838AB">
      <w:pPr>
        <w:pStyle w:val="Heading1"/>
        <w:tabs>
          <w:tab w:val="clear" w:pos="1277"/>
        </w:tabs>
        <w:ind w:left="0"/>
        <w:rPr>
          <w:color w:val="000000"/>
          <w:sz w:val="24"/>
          <w:szCs w:val="24"/>
          <w:lang w:val="en-CA"/>
        </w:rPr>
      </w:pPr>
      <w:r w:rsidRPr="00F6661E">
        <w:rPr>
          <w:rFonts w:hint="eastAsia"/>
          <w:sz w:val="24"/>
          <w:szCs w:val="24"/>
          <w:lang w:val="zh-CN"/>
        </w:rPr>
        <w:t>继上述内容之后</w:t>
      </w:r>
      <w:r w:rsidRPr="00F6661E">
        <w:rPr>
          <w:rFonts w:hint="eastAsia"/>
          <w:sz w:val="24"/>
          <w:szCs w:val="24"/>
          <w:lang w:val="en-CA"/>
        </w:rPr>
        <w:t>，</w:t>
      </w:r>
      <w:r w:rsidRPr="00F6661E">
        <w:rPr>
          <w:rFonts w:hint="eastAsia"/>
          <w:sz w:val="24"/>
          <w:szCs w:val="24"/>
          <w:lang w:val="zh-CN"/>
        </w:rPr>
        <w:t>秘书处指出</w:t>
      </w:r>
      <w:r w:rsidRPr="00F6661E">
        <w:rPr>
          <w:rFonts w:hint="eastAsia"/>
          <w:sz w:val="24"/>
          <w:szCs w:val="24"/>
          <w:lang w:val="en-CA"/>
        </w:rPr>
        <w:t>，</w:t>
      </w:r>
      <w:r w:rsidRPr="00F6661E">
        <w:rPr>
          <w:rFonts w:hint="eastAsia"/>
          <w:sz w:val="24"/>
          <w:szCs w:val="24"/>
          <w:lang w:val="zh-CN"/>
        </w:rPr>
        <w:t>斯里兰卡政府已建立加强许可证颁发制度的框架</w:t>
      </w:r>
      <w:r w:rsidRPr="00F6661E">
        <w:rPr>
          <w:rFonts w:hint="eastAsia"/>
          <w:sz w:val="24"/>
          <w:szCs w:val="24"/>
          <w:lang w:val="en-CA"/>
        </w:rPr>
        <w:t>，</w:t>
      </w:r>
      <w:r w:rsidRPr="00F6661E">
        <w:rPr>
          <w:rFonts w:hint="eastAsia"/>
          <w:sz w:val="24"/>
          <w:szCs w:val="24"/>
          <w:lang w:val="zh-CN"/>
        </w:rPr>
        <w:t>以解决可能发生受控物质非法贸易的问题。为加强执法机制而采取的这些具体行动表明该国政府在氟氯烃淘汰管理计划之外承诺确保履行《蒙特利尔议定书》的控制措施和落实与执行委员会签订的协定</w:t>
      </w:r>
      <w:r w:rsidRPr="00F6661E">
        <w:rPr>
          <w:rFonts w:hint="eastAsia"/>
          <w:sz w:val="24"/>
          <w:szCs w:val="24"/>
          <w:lang w:val="en-US"/>
        </w:rPr>
        <w:t>，</w:t>
      </w:r>
      <w:r w:rsidRPr="00F6661E">
        <w:rPr>
          <w:rFonts w:hint="eastAsia"/>
          <w:sz w:val="24"/>
          <w:szCs w:val="24"/>
          <w:lang w:val="zh-CN"/>
        </w:rPr>
        <w:t>这在决定该国适用的罚款时应予以考虑。开发署还告知秘书处，该国已向臭氧秘书处提出修订</w:t>
      </w:r>
      <w:r w:rsidRPr="00F6661E">
        <w:rPr>
          <w:sz w:val="24"/>
          <w:szCs w:val="24"/>
          <w:lang w:val="zh-CN"/>
        </w:rPr>
        <w:t>2016</w:t>
      </w:r>
      <w:r w:rsidRPr="00F6661E">
        <w:rPr>
          <w:rFonts w:hint="eastAsia"/>
          <w:sz w:val="24"/>
          <w:szCs w:val="24"/>
          <w:lang w:val="zh-CN"/>
        </w:rPr>
        <w:t>年和</w:t>
      </w:r>
      <w:r w:rsidRPr="00F6661E">
        <w:rPr>
          <w:sz w:val="24"/>
          <w:szCs w:val="24"/>
          <w:lang w:val="zh-CN"/>
        </w:rPr>
        <w:t>2017</w:t>
      </w:r>
      <w:r w:rsidRPr="00F6661E">
        <w:rPr>
          <w:rFonts w:hint="eastAsia"/>
          <w:sz w:val="24"/>
          <w:szCs w:val="24"/>
          <w:lang w:val="zh-CN"/>
        </w:rPr>
        <w:t>年提交的第</w:t>
      </w:r>
      <w:r w:rsidRPr="00F6661E">
        <w:rPr>
          <w:sz w:val="24"/>
          <w:szCs w:val="24"/>
          <w:lang w:val="zh-CN"/>
        </w:rPr>
        <w:t>7</w:t>
      </w:r>
      <w:r w:rsidRPr="00F6661E">
        <w:rPr>
          <w:rFonts w:hint="eastAsia"/>
          <w:sz w:val="24"/>
          <w:szCs w:val="24"/>
          <w:lang w:val="zh-CN"/>
        </w:rPr>
        <w:t>条数据的要求。</w:t>
      </w:r>
    </w:p>
    <w:p w:rsidR="006838AB" w:rsidRPr="00F6661E" w:rsidRDefault="006838AB">
      <w:pPr>
        <w:pStyle w:val="Heading1"/>
        <w:tabs>
          <w:tab w:val="clear" w:pos="1277"/>
        </w:tabs>
        <w:ind w:left="0"/>
        <w:rPr>
          <w:color w:val="000000"/>
          <w:sz w:val="24"/>
          <w:szCs w:val="24"/>
          <w:lang w:val="en-CA"/>
        </w:rPr>
      </w:pPr>
      <w:r w:rsidRPr="00F6661E">
        <w:rPr>
          <w:rFonts w:hint="eastAsia"/>
          <w:sz w:val="24"/>
          <w:szCs w:val="24"/>
          <w:lang w:val="zh-CN"/>
        </w:rPr>
        <w:t>根据批准氟氯烃淘汰管理计划第二阶段第一次付款的条件</w:t>
      </w:r>
      <w:r w:rsidRPr="00F6661E">
        <w:rPr>
          <w:rFonts w:hint="eastAsia"/>
          <w:sz w:val="24"/>
          <w:szCs w:val="24"/>
          <w:lang w:val="en-CA"/>
        </w:rPr>
        <w:t>，</w:t>
      </w:r>
      <w:r w:rsidRPr="00F6661E">
        <w:rPr>
          <w:rFonts w:hint="eastAsia"/>
          <w:sz w:val="24"/>
          <w:szCs w:val="24"/>
          <w:lang w:val="zh-CN"/>
        </w:rPr>
        <w:t>秘书处至今尚未向财务主任发出指示</w:t>
      </w:r>
      <w:r w:rsidRPr="00F6661E">
        <w:rPr>
          <w:rFonts w:hint="eastAsia"/>
          <w:sz w:val="24"/>
          <w:szCs w:val="24"/>
          <w:lang w:val="en-CA"/>
        </w:rPr>
        <w:t>，</w:t>
      </w:r>
      <w:r w:rsidRPr="00F6661E">
        <w:rPr>
          <w:rFonts w:hint="eastAsia"/>
          <w:sz w:val="24"/>
          <w:szCs w:val="24"/>
          <w:lang w:val="zh-CN"/>
        </w:rPr>
        <w:t>允许其发放</w:t>
      </w:r>
      <w:r w:rsidRPr="00F6661E">
        <w:rPr>
          <w:sz w:val="24"/>
          <w:szCs w:val="24"/>
          <w:lang w:val="en-CA"/>
        </w:rPr>
        <w:t>458,238</w:t>
      </w:r>
      <w:r w:rsidRPr="00F6661E">
        <w:rPr>
          <w:rFonts w:hint="eastAsia"/>
          <w:sz w:val="24"/>
          <w:szCs w:val="24"/>
          <w:lang w:val="zh-CN"/>
        </w:rPr>
        <w:t>美元的预扣资金</w:t>
      </w:r>
      <w:r w:rsidRPr="00F6661E">
        <w:rPr>
          <w:rFonts w:hint="eastAsia"/>
          <w:sz w:val="24"/>
          <w:szCs w:val="24"/>
          <w:lang w:val="en-CA"/>
        </w:rPr>
        <w:t>，</w:t>
      </w:r>
      <w:r w:rsidRPr="00F6661E">
        <w:rPr>
          <w:rFonts w:hint="eastAsia"/>
          <w:sz w:val="24"/>
          <w:szCs w:val="24"/>
          <w:lang w:val="zh-CN"/>
        </w:rPr>
        <w:t>其中包括给开发署的</w:t>
      </w:r>
      <w:r w:rsidRPr="00F6661E">
        <w:rPr>
          <w:sz w:val="24"/>
          <w:szCs w:val="24"/>
          <w:lang w:val="en-CA"/>
        </w:rPr>
        <w:t>216,200</w:t>
      </w:r>
      <w:r w:rsidRPr="00F6661E">
        <w:rPr>
          <w:rFonts w:hint="eastAsia"/>
          <w:sz w:val="24"/>
          <w:szCs w:val="24"/>
          <w:lang w:val="zh-CN"/>
        </w:rPr>
        <w:t>美元</w:t>
      </w:r>
      <w:r w:rsidRPr="00F6661E">
        <w:rPr>
          <w:rFonts w:hint="eastAsia"/>
          <w:sz w:val="24"/>
          <w:szCs w:val="24"/>
          <w:lang w:val="en-CA"/>
        </w:rPr>
        <w:t>，</w:t>
      </w:r>
      <w:r w:rsidRPr="00F6661E">
        <w:rPr>
          <w:rFonts w:hint="eastAsia"/>
          <w:sz w:val="24"/>
          <w:szCs w:val="24"/>
          <w:lang w:val="zh-CN"/>
        </w:rPr>
        <w:t>外加机构支助费用</w:t>
      </w:r>
      <w:r w:rsidRPr="00F6661E">
        <w:rPr>
          <w:sz w:val="24"/>
          <w:szCs w:val="24"/>
          <w:lang w:val="en-CA"/>
        </w:rPr>
        <w:t>15,134</w:t>
      </w:r>
      <w:r w:rsidRPr="00F6661E">
        <w:rPr>
          <w:rFonts w:hint="eastAsia"/>
          <w:sz w:val="24"/>
          <w:szCs w:val="24"/>
          <w:lang w:val="zh-CN"/>
        </w:rPr>
        <w:t>美元</w:t>
      </w:r>
      <w:r w:rsidRPr="00F6661E">
        <w:rPr>
          <w:rFonts w:hint="eastAsia"/>
          <w:sz w:val="24"/>
          <w:szCs w:val="24"/>
          <w:lang w:val="en-CA"/>
        </w:rPr>
        <w:t>，</w:t>
      </w:r>
      <w:r w:rsidRPr="00F6661E">
        <w:rPr>
          <w:rFonts w:hint="eastAsia"/>
          <w:sz w:val="24"/>
          <w:szCs w:val="24"/>
          <w:lang w:val="zh-CN"/>
        </w:rPr>
        <w:t>和给环境署的</w:t>
      </w:r>
      <w:r w:rsidRPr="00F6661E">
        <w:rPr>
          <w:sz w:val="24"/>
          <w:szCs w:val="24"/>
          <w:lang w:val="en-CA"/>
        </w:rPr>
        <w:t>200,800</w:t>
      </w:r>
      <w:r w:rsidRPr="00F6661E">
        <w:rPr>
          <w:rFonts w:hint="eastAsia"/>
          <w:sz w:val="24"/>
          <w:szCs w:val="24"/>
          <w:lang w:val="zh-CN"/>
        </w:rPr>
        <w:t>美元</w:t>
      </w:r>
      <w:r w:rsidRPr="00F6661E">
        <w:rPr>
          <w:rFonts w:hint="eastAsia"/>
          <w:sz w:val="24"/>
          <w:szCs w:val="24"/>
          <w:lang w:val="en-CA"/>
        </w:rPr>
        <w:t>，</w:t>
      </w:r>
      <w:r w:rsidRPr="00F6661E">
        <w:rPr>
          <w:rFonts w:hint="eastAsia"/>
          <w:sz w:val="24"/>
          <w:szCs w:val="24"/>
          <w:lang w:val="zh-CN"/>
        </w:rPr>
        <w:t>外加机构支助费用</w:t>
      </w:r>
      <w:r w:rsidRPr="00F6661E">
        <w:rPr>
          <w:sz w:val="24"/>
          <w:szCs w:val="24"/>
          <w:lang w:val="en-CA"/>
        </w:rPr>
        <w:t>26,104</w:t>
      </w:r>
      <w:r w:rsidRPr="00F6661E">
        <w:rPr>
          <w:rFonts w:hint="eastAsia"/>
          <w:sz w:val="24"/>
          <w:szCs w:val="24"/>
          <w:lang w:val="zh-CN"/>
        </w:rPr>
        <w:t>美元</w:t>
      </w:r>
      <w:r w:rsidRPr="00F6661E">
        <w:rPr>
          <w:rFonts w:hint="eastAsia"/>
          <w:sz w:val="24"/>
          <w:szCs w:val="24"/>
          <w:lang w:val="en-CA"/>
        </w:rPr>
        <w:t>，</w:t>
      </w:r>
      <w:r w:rsidRPr="00F6661E">
        <w:rPr>
          <w:rFonts w:hint="eastAsia"/>
          <w:sz w:val="24"/>
          <w:szCs w:val="24"/>
          <w:lang w:val="zh-CN"/>
        </w:rPr>
        <w:t>这取决于执行委员会在延后举行的第八十六次会议采取的相关行动。</w:t>
      </w:r>
    </w:p>
    <w:p w:rsidR="006838AB" w:rsidRPr="00F6661E" w:rsidRDefault="006838AB">
      <w:pPr>
        <w:rPr>
          <w:b/>
          <w:sz w:val="24"/>
          <w:szCs w:val="24"/>
          <w:lang w:val="en-CA"/>
        </w:rPr>
      </w:pPr>
      <w:r w:rsidRPr="00F6661E">
        <w:rPr>
          <w:rFonts w:hint="eastAsia"/>
          <w:b/>
          <w:sz w:val="24"/>
          <w:szCs w:val="24"/>
          <w:lang w:val="zh-CN"/>
        </w:rPr>
        <w:t>建议</w:t>
      </w:r>
    </w:p>
    <w:p w:rsidR="006838AB" w:rsidRPr="00F6661E" w:rsidRDefault="006838AB">
      <w:pPr>
        <w:rPr>
          <w:b/>
          <w:sz w:val="24"/>
          <w:szCs w:val="24"/>
          <w:lang w:val="en-CA"/>
        </w:rPr>
      </w:pPr>
    </w:p>
    <w:p w:rsidR="006838AB" w:rsidRPr="00F6661E" w:rsidRDefault="006838AB" w:rsidP="000F1D08">
      <w:pPr>
        <w:pStyle w:val="Heading1"/>
        <w:tabs>
          <w:tab w:val="clear" w:pos="1277"/>
        </w:tabs>
        <w:ind w:left="0"/>
        <w:rPr>
          <w:sz w:val="24"/>
          <w:szCs w:val="24"/>
          <w:lang w:val="en-US"/>
        </w:rPr>
      </w:pPr>
      <w:r w:rsidRPr="00F6661E">
        <w:rPr>
          <w:rFonts w:hint="eastAsia"/>
          <w:sz w:val="24"/>
          <w:szCs w:val="24"/>
          <w:lang w:val="zh-CN"/>
        </w:rPr>
        <w:t>谨请执行委员会：</w:t>
      </w:r>
    </w:p>
    <w:p w:rsidR="006838AB" w:rsidRPr="00F6661E" w:rsidRDefault="006838AB">
      <w:pPr>
        <w:rPr>
          <w:sz w:val="24"/>
          <w:szCs w:val="24"/>
          <w:lang w:val="en-US"/>
        </w:rPr>
      </w:pPr>
    </w:p>
    <w:p w:rsidR="006838AB" w:rsidRPr="00F6661E" w:rsidRDefault="006838AB">
      <w:pPr>
        <w:pStyle w:val="Heading2"/>
        <w:rPr>
          <w:sz w:val="24"/>
          <w:szCs w:val="24"/>
          <w:lang w:val="en-US"/>
        </w:rPr>
      </w:pPr>
      <w:r w:rsidRPr="00F6661E">
        <w:rPr>
          <w:rFonts w:hint="eastAsia"/>
          <w:sz w:val="24"/>
          <w:szCs w:val="24"/>
          <w:lang w:val="zh-CN"/>
        </w:rPr>
        <w:t>注意到开发署提交并载于</w:t>
      </w:r>
      <w:r w:rsidRPr="00F6661E">
        <w:rPr>
          <w:sz w:val="24"/>
          <w:szCs w:val="24"/>
          <w:lang w:val="en-US"/>
        </w:rPr>
        <w:t>UNEP/OzL.Pro/ExCom/86/21/Add.2</w:t>
      </w:r>
      <w:r w:rsidRPr="00F6661E">
        <w:rPr>
          <w:rFonts w:hint="eastAsia"/>
          <w:sz w:val="24"/>
          <w:szCs w:val="24"/>
          <w:lang w:val="zh-CN"/>
        </w:rPr>
        <w:t>号文件的斯里兰卡</w:t>
      </w:r>
      <w:r w:rsidRPr="00F6661E">
        <w:rPr>
          <w:sz w:val="24"/>
          <w:szCs w:val="24"/>
          <w:lang w:val="en-US"/>
        </w:rPr>
        <w:t>2016-2019</w:t>
      </w:r>
      <w:r w:rsidRPr="00F6661E">
        <w:rPr>
          <w:rFonts w:hint="eastAsia"/>
          <w:sz w:val="24"/>
          <w:szCs w:val="24"/>
          <w:lang w:val="zh-CN"/>
        </w:rPr>
        <w:t>年氟氯烃消费量的最新核查报告</w:t>
      </w:r>
      <w:r w:rsidRPr="00F6661E">
        <w:rPr>
          <w:rFonts w:hint="eastAsia"/>
          <w:sz w:val="24"/>
          <w:szCs w:val="24"/>
          <w:lang w:val="en-US"/>
        </w:rPr>
        <w:t>；</w:t>
      </w:r>
    </w:p>
    <w:p w:rsidR="006838AB" w:rsidRPr="00F6661E" w:rsidRDefault="006838AB">
      <w:pPr>
        <w:pStyle w:val="Heading2"/>
        <w:rPr>
          <w:sz w:val="24"/>
          <w:szCs w:val="24"/>
          <w:lang w:val="en-US"/>
        </w:rPr>
      </w:pPr>
      <w:r w:rsidRPr="00F6661E">
        <w:rPr>
          <w:rFonts w:hint="eastAsia"/>
          <w:sz w:val="24"/>
          <w:szCs w:val="24"/>
          <w:lang w:val="zh-CN"/>
        </w:rPr>
        <w:t>还注意到：</w:t>
      </w:r>
    </w:p>
    <w:p w:rsidR="006838AB" w:rsidRPr="00F6661E" w:rsidRDefault="006838AB" w:rsidP="00213510">
      <w:pPr>
        <w:pStyle w:val="Heading3"/>
        <w:rPr>
          <w:lang w:val="en-US"/>
        </w:rPr>
      </w:pPr>
      <w:r w:rsidRPr="00F6661E">
        <w:rPr>
          <w:rFonts w:hint="eastAsia"/>
          <w:lang w:val="zh-CN"/>
        </w:rPr>
        <w:t>斯里兰卡政府已根据核实的消费量采取行动</w:t>
      </w:r>
      <w:r w:rsidRPr="00F6661E">
        <w:rPr>
          <w:rFonts w:hint="eastAsia"/>
          <w:lang w:val="en-US"/>
        </w:rPr>
        <w:t>，</w:t>
      </w:r>
      <w:r w:rsidRPr="00F6661E">
        <w:rPr>
          <w:rFonts w:hint="eastAsia"/>
          <w:lang w:val="zh-CN"/>
        </w:rPr>
        <w:t>修订了</w:t>
      </w:r>
      <w:r w:rsidRPr="00F6661E">
        <w:rPr>
          <w:lang w:val="en-US"/>
        </w:rPr>
        <w:t>2016</w:t>
      </w:r>
      <w:r w:rsidRPr="00F6661E">
        <w:rPr>
          <w:rFonts w:hint="eastAsia"/>
          <w:lang w:val="zh-CN"/>
        </w:rPr>
        <w:t>年和</w:t>
      </w:r>
      <w:r w:rsidRPr="00F6661E">
        <w:rPr>
          <w:lang w:val="en-US"/>
        </w:rPr>
        <w:t>2017</w:t>
      </w:r>
      <w:r w:rsidRPr="00F6661E">
        <w:rPr>
          <w:rFonts w:hint="eastAsia"/>
          <w:lang w:val="zh-CN"/>
        </w:rPr>
        <w:t>年的国家方案报告和第</w:t>
      </w:r>
      <w:r w:rsidRPr="00F6661E">
        <w:rPr>
          <w:lang w:val="en-US"/>
        </w:rPr>
        <w:t>7</w:t>
      </w:r>
      <w:r w:rsidRPr="00F6661E">
        <w:rPr>
          <w:rFonts w:hint="eastAsia"/>
          <w:lang w:val="zh-CN"/>
        </w:rPr>
        <w:t>条数据报告</w:t>
      </w:r>
      <w:r w:rsidRPr="00F6661E">
        <w:rPr>
          <w:rFonts w:hint="eastAsia"/>
          <w:lang w:val="en-US"/>
        </w:rPr>
        <w:t>；</w:t>
      </w:r>
    </w:p>
    <w:p w:rsidR="006838AB" w:rsidRPr="00F6661E" w:rsidRDefault="006838AB" w:rsidP="00561EB5">
      <w:pPr>
        <w:pStyle w:val="Heading3"/>
        <w:keepNext/>
        <w:keepLines/>
        <w:rPr>
          <w:sz w:val="24"/>
          <w:szCs w:val="24"/>
          <w:lang w:val="en-US"/>
        </w:rPr>
      </w:pPr>
      <w:r w:rsidRPr="00F6661E">
        <w:rPr>
          <w:rFonts w:hint="eastAsia"/>
          <w:sz w:val="24"/>
          <w:szCs w:val="24"/>
          <w:lang w:val="zh-CN"/>
        </w:rPr>
        <w:lastRenderedPageBreak/>
        <w:t>关切到斯里兰卡</w:t>
      </w:r>
      <w:r w:rsidRPr="00F6661E">
        <w:rPr>
          <w:sz w:val="24"/>
          <w:szCs w:val="24"/>
          <w:lang w:val="en-US"/>
        </w:rPr>
        <w:t>2016</w:t>
      </w:r>
      <w:r w:rsidRPr="00F6661E">
        <w:rPr>
          <w:rFonts w:hint="eastAsia"/>
          <w:sz w:val="24"/>
          <w:szCs w:val="24"/>
          <w:lang w:val="zh-CN"/>
        </w:rPr>
        <w:t>年的氟氯烃消费量超过《蒙特利尔议定书》的目标和斯里兰卡政府与执行委员会之间的协定就该年所规定的最大允许消费量</w:t>
      </w:r>
      <w:r w:rsidRPr="00F6661E">
        <w:rPr>
          <w:sz w:val="24"/>
          <w:szCs w:val="24"/>
          <w:lang w:val="en-US"/>
        </w:rPr>
        <w:t>0.23 ODP</w:t>
      </w:r>
      <w:r w:rsidRPr="00F6661E">
        <w:rPr>
          <w:rFonts w:hint="eastAsia"/>
          <w:sz w:val="24"/>
          <w:szCs w:val="24"/>
          <w:lang w:val="zh-CN"/>
        </w:rPr>
        <w:t>吨</w:t>
      </w:r>
      <w:r w:rsidRPr="00F6661E">
        <w:rPr>
          <w:rFonts w:hint="eastAsia"/>
          <w:sz w:val="24"/>
          <w:szCs w:val="24"/>
          <w:lang w:val="en-US"/>
        </w:rPr>
        <w:t>（</w:t>
      </w:r>
      <w:r w:rsidRPr="00F6661E">
        <w:rPr>
          <w:sz w:val="24"/>
          <w:szCs w:val="24"/>
          <w:lang w:val="en-US"/>
        </w:rPr>
        <w:t xml:space="preserve"> 4.18</w:t>
      </w:r>
      <w:r w:rsidRPr="00F6661E">
        <w:rPr>
          <w:rFonts w:hint="eastAsia"/>
          <w:sz w:val="24"/>
          <w:szCs w:val="24"/>
          <w:lang w:val="zh-CN"/>
        </w:rPr>
        <w:t>公吨</w:t>
      </w:r>
      <w:r w:rsidRPr="00F6661E">
        <w:rPr>
          <w:rFonts w:hint="eastAsia"/>
          <w:sz w:val="24"/>
          <w:szCs w:val="24"/>
          <w:lang w:val="en-US"/>
        </w:rPr>
        <w:t>）；</w:t>
      </w:r>
    </w:p>
    <w:p w:rsidR="006838AB" w:rsidRPr="00F6661E" w:rsidRDefault="006838AB">
      <w:pPr>
        <w:pStyle w:val="Heading3"/>
        <w:rPr>
          <w:sz w:val="24"/>
          <w:szCs w:val="24"/>
          <w:lang w:val="en-US"/>
        </w:rPr>
      </w:pPr>
      <w:r w:rsidRPr="00F6661E">
        <w:rPr>
          <w:rFonts w:hint="eastAsia"/>
          <w:sz w:val="24"/>
          <w:szCs w:val="24"/>
          <w:lang w:val="zh-CN"/>
        </w:rPr>
        <w:t>斯里兰卡政府已采取必要步骤</w:t>
      </w:r>
      <w:r w:rsidRPr="00F6661E">
        <w:rPr>
          <w:rFonts w:hint="eastAsia"/>
          <w:sz w:val="24"/>
          <w:szCs w:val="24"/>
          <w:lang w:val="en-US"/>
        </w:rPr>
        <w:t>，</w:t>
      </w:r>
      <w:r w:rsidRPr="00F6661E">
        <w:rPr>
          <w:rFonts w:hint="eastAsia"/>
          <w:sz w:val="24"/>
          <w:szCs w:val="24"/>
          <w:lang w:val="zh-CN"/>
        </w:rPr>
        <w:t>以便在随后的</w:t>
      </w:r>
      <w:r w:rsidRPr="00F6661E">
        <w:rPr>
          <w:sz w:val="24"/>
          <w:szCs w:val="24"/>
          <w:lang w:val="en-US"/>
        </w:rPr>
        <w:t>2017</w:t>
      </w:r>
      <w:r w:rsidRPr="00F6661E">
        <w:rPr>
          <w:rFonts w:hint="eastAsia"/>
          <w:sz w:val="24"/>
          <w:szCs w:val="24"/>
          <w:lang w:val="zh-CN"/>
        </w:rPr>
        <w:t>年至</w:t>
      </w:r>
      <w:r w:rsidRPr="00F6661E">
        <w:rPr>
          <w:sz w:val="24"/>
          <w:szCs w:val="24"/>
          <w:lang w:val="en-US"/>
        </w:rPr>
        <w:t>2019</w:t>
      </w:r>
      <w:r w:rsidRPr="00F6661E">
        <w:rPr>
          <w:rFonts w:hint="eastAsia"/>
          <w:sz w:val="24"/>
          <w:szCs w:val="24"/>
          <w:lang w:val="zh-CN"/>
        </w:rPr>
        <w:t>年回复到核实的消费量所表明的该国履约状态</w:t>
      </w:r>
      <w:r w:rsidRPr="00F6661E">
        <w:rPr>
          <w:rFonts w:hint="eastAsia"/>
          <w:sz w:val="24"/>
          <w:szCs w:val="24"/>
          <w:lang w:val="en-US"/>
        </w:rPr>
        <w:t>；</w:t>
      </w:r>
    </w:p>
    <w:p w:rsidR="006838AB" w:rsidRPr="00F6661E" w:rsidRDefault="006838AB">
      <w:pPr>
        <w:pStyle w:val="Heading3"/>
        <w:rPr>
          <w:sz w:val="24"/>
          <w:szCs w:val="24"/>
          <w:lang w:val="en-US"/>
        </w:rPr>
      </w:pPr>
      <w:r w:rsidRPr="00F6661E">
        <w:rPr>
          <w:rFonts w:hint="eastAsia"/>
          <w:sz w:val="24"/>
          <w:szCs w:val="24"/>
          <w:lang w:val="zh-CN"/>
        </w:rPr>
        <w:t>政府致力于通过加强国家臭氧机构与海关当局之间的报告机制及适当调整执法的做法，确保今后不再发生不当的进口行为；</w:t>
      </w:r>
    </w:p>
    <w:p w:rsidR="006838AB" w:rsidRPr="00F6661E" w:rsidRDefault="006838AB">
      <w:pPr>
        <w:pStyle w:val="Heading2"/>
        <w:rPr>
          <w:sz w:val="24"/>
          <w:szCs w:val="24"/>
          <w:lang w:val="en-US"/>
        </w:rPr>
      </w:pPr>
      <w:r w:rsidRPr="00F6661E">
        <w:rPr>
          <w:rFonts w:hint="eastAsia"/>
          <w:sz w:val="24"/>
          <w:szCs w:val="24"/>
          <w:lang w:val="zh-CN"/>
        </w:rPr>
        <w:t>是否按照斯里兰卡政府与执行委员会就氟氯烃淘汰管理计划第一阶段签订的协定第</w:t>
      </w:r>
      <w:r w:rsidRPr="00F6661E">
        <w:rPr>
          <w:sz w:val="24"/>
          <w:szCs w:val="24"/>
          <w:lang w:val="en-US"/>
        </w:rPr>
        <w:t>11</w:t>
      </w:r>
      <w:r w:rsidRPr="00F6661E">
        <w:rPr>
          <w:rFonts w:hint="eastAsia"/>
          <w:sz w:val="24"/>
          <w:szCs w:val="24"/>
          <w:lang w:val="zh-CN"/>
        </w:rPr>
        <w:t>段和附录</w:t>
      </w:r>
      <w:r w:rsidRPr="00F6661E">
        <w:rPr>
          <w:sz w:val="24"/>
          <w:szCs w:val="24"/>
          <w:lang w:val="en-US"/>
        </w:rPr>
        <w:t>7-A</w:t>
      </w:r>
      <w:r w:rsidRPr="00F6661E">
        <w:rPr>
          <w:rFonts w:hint="eastAsia"/>
          <w:sz w:val="24"/>
          <w:szCs w:val="24"/>
          <w:lang w:val="zh-CN"/>
        </w:rPr>
        <w:t>的规定</w:t>
      </w:r>
      <w:r w:rsidRPr="00F6661E">
        <w:rPr>
          <w:rFonts w:hint="eastAsia"/>
          <w:sz w:val="24"/>
          <w:szCs w:val="24"/>
          <w:lang w:val="en-US"/>
        </w:rPr>
        <w:t>，</w:t>
      </w:r>
      <w:r w:rsidRPr="00F6661E">
        <w:rPr>
          <w:rFonts w:hint="eastAsia"/>
          <w:sz w:val="24"/>
          <w:szCs w:val="24"/>
          <w:lang w:val="zh-CN"/>
        </w:rPr>
        <w:t>将扣减的资金在氟氯烃淘汰管理计划第二阶段第一次付款中扣除</w:t>
      </w:r>
      <w:r w:rsidRPr="00F6661E">
        <w:rPr>
          <w:rFonts w:hint="eastAsia"/>
          <w:sz w:val="24"/>
          <w:szCs w:val="24"/>
          <w:lang w:val="en-US"/>
        </w:rPr>
        <w:t>，</w:t>
      </w:r>
      <w:r w:rsidRPr="00F6661E">
        <w:rPr>
          <w:rFonts w:hint="eastAsia"/>
          <w:sz w:val="24"/>
          <w:szCs w:val="24"/>
          <w:lang w:val="zh-CN"/>
        </w:rPr>
        <w:t>其计算方式为超过最大允许消费量限额的每公吨氟氯烃消费量扣减</w:t>
      </w:r>
      <w:r w:rsidRPr="00F6661E">
        <w:rPr>
          <w:sz w:val="24"/>
          <w:szCs w:val="24"/>
          <w:lang w:val="en-US"/>
        </w:rPr>
        <w:t>2,500</w:t>
      </w:r>
      <w:r w:rsidRPr="00F6661E">
        <w:rPr>
          <w:rFonts w:hint="eastAsia"/>
          <w:sz w:val="24"/>
          <w:szCs w:val="24"/>
          <w:lang w:val="zh-CN"/>
        </w:rPr>
        <w:t>美元</w:t>
      </w:r>
      <w:r w:rsidRPr="00F6661E">
        <w:rPr>
          <w:rFonts w:hint="eastAsia"/>
          <w:sz w:val="24"/>
          <w:szCs w:val="24"/>
          <w:lang w:val="en-US"/>
        </w:rPr>
        <w:t>，</w:t>
      </w:r>
      <w:r w:rsidRPr="00F6661E">
        <w:rPr>
          <w:rFonts w:hint="eastAsia"/>
          <w:sz w:val="24"/>
          <w:szCs w:val="24"/>
          <w:lang w:val="zh-CN"/>
        </w:rPr>
        <w:t>最高处以罚款</w:t>
      </w:r>
      <w:r w:rsidRPr="00F6661E">
        <w:rPr>
          <w:sz w:val="24"/>
          <w:szCs w:val="24"/>
          <w:lang w:val="en-US"/>
        </w:rPr>
        <w:t>10,450</w:t>
      </w:r>
      <w:r w:rsidRPr="00F6661E">
        <w:rPr>
          <w:rFonts w:hint="eastAsia"/>
          <w:sz w:val="24"/>
          <w:szCs w:val="24"/>
          <w:lang w:val="zh-CN"/>
        </w:rPr>
        <w:t>美元</w:t>
      </w:r>
      <w:r w:rsidRPr="00F6661E">
        <w:rPr>
          <w:rFonts w:hint="eastAsia"/>
          <w:sz w:val="24"/>
          <w:szCs w:val="24"/>
          <w:lang w:val="en-US"/>
        </w:rPr>
        <w:t>，</w:t>
      </w:r>
      <w:r w:rsidRPr="00F6661E">
        <w:rPr>
          <w:rFonts w:hint="eastAsia"/>
          <w:sz w:val="24"/>
          <w:szCs w:val="24"/>
          <w:lang w:val="zh-CN"/>
        </w:rPr>
        <w:t>外加机构费用</w:t>
      </w:r>
      <w:r w:rsidRPr="00F6661E">
        <w:rPr>
          <w:rFonts w:hint="eastAsia"/>
          <w:sz w:val="24"/>
          <w:szCs w:val="24"/>
          <w:lang w:val="en-US"/>
        </w:rPr>
        <w:t>；</w:t>
      </w:r>
    </w:p>
    <w:p w:rsidR="006838AB" w:rsidRPr="00F6661E" w:rsidRDefault="006838AB">
      <w:pPr>
        <w:pStyle w:val="Heading2"/>
        <w:rPr>
          <w:sz w:val="24"/>
          <w:szCs w:val="24"/>
          <w:lang w:val="en-US"/>
        </w:rPr>
      </w:pPr>
      <w:r w:rsidRPr="00F6661E">
        <w:rPr>
          <w:rFonts w:hint="eastAsia"/>
          <w:sz w:val="24"/>
          <w:szCs w:val="24"/>
          <w:lang w:val="zh-CN"/>
        </w:rPr>
        <w:t>请财务主任发放核准的斯里兰卡氟氯烃淘汰管理计划第二阶段第一次付款的预扣资金</w:t>
      </w:r>
      <w:r w:rsidRPr="00F6661E">
        <w:rPr>
          <w:sz w:val="24"/>
          <w:szCs w:val="24"/>
          <w:lang w:val="en-US"/>
        </w:rPr>
        <w:t>458,238</w:t>
      </w:r>
      <w:r w:rsidRPr="00F6661E">
        <w:rPr>
          <w:rFonts w:hint="eastAsia"/>
          <w:sz w:val="24"/>
          <w:szCs w:val="24"/>
          <w:lang w:val="zh-CN"/>
        </w:rPr>
        <w:t>美元</w:t>
      </w:r>
      <w:r w:rsidRPr="00F6661E">
        <w:rPr>
          <w:rFonts w:hint="eastAsia"/>
          <w:sz w:val="24"/>
          <w:szCs w:val="24"/>
          <w:lang w:val="en-US"/>
        </w:rPr>
        <w:t>，</w:t>
      </w:r>
      <w:r w:rsidRPr="00F6661E">
        <w:rPr>
          <w:rFonts w:hint="eastAsia"/>
          <w:sz w:val="24"/>
          <w:szCs w:val="24"/>
          <w:lang w:val="zh-CN"/>
        </w:rPr>
        <w:t>其中包括给开发署的</w:t>
      </w:r>
      <w:r w:rsidRPr="00F6661E">
        <w:rPr>
          <w:sz w:val="24"/>
          <w:szCs w:val="24"/>
          <w:lang w:val="en-US"/>
        </w:rPr>
        <w:t>216,200</w:t>
      </w:r>
      <w:r w:rsidRPr="00F6661E">
        <w:rPr>
          <w:rFonts w:hint="eastAsia"/>
          <w:sz w:val="24"/>
          <w:szCs w:val="24"/>
          <w:lang w:val="zh-CN"/>
        </w:rPr>
        <w:t>美元</w:t>
      </w:r>
      <w:r w:rsidRPr="00F6661E">
        <w:rPr>
          <w:rFonts w:hint="eastAsia"/>
          <w:sz w:val="24"/>
          <w:szCs w:val="24"/>
          <w:lang w:val="en-US"/>
        </w:rPr>
        <w:t>，</w:t>
      </w:r>
      <w:r w:rsidRPr="00F6661E">
        <w:rPr>
          <w:rFonts w:hint="eastAsia"/>
          <w:sz w:val="24"/>
          <w:szCs w:val="24"/>
          <w:lang w:val="zh-CN"/>
        </w:rPr>
        <w:t>外加机构支助费用</w:t>
      </w:r>
      <w:r w:rsidRPr="00F6661E">
        <w:rPr>
          <w:sz w:val="24"/>
          <w:szCs w:val="24"/>
          <w:lang w:val="en-US"/>
        </w:rPr>
        <w:t>15,134</w:t>
      </w:r>
      <w:r w:rsidRPr="00F6661E">
        <w:rPr>
          <w:rFonts w:hint="eastAsia"/>
          <w:sz w:val="24"/>
          <w:szCs w:val="24"/>
          <w:lang w:val="zh-CN"/>
        </w:rPr>
        <w:t>美元和给环境署的</w:t>
      </w:r>
      <w:r w:rsidRPr="00F6661E">
        <w:rPr>
          <w:sz w:val="24"/>
          <w:szCs w:val="24"/>
          <w:lang w:val="en-US"/>
        </w:rPr>
        <w:t>200,800</w:t>
      </w:r>
      <w:r w:rsidRPr="00F6661E">
        <w:rPr>
          <w:rFonts w:hint="eastAsia"/>
          <w:sz w:val="24"/>
          <w:szCs w:val="24"/>
          <w:lang w:val="zh-CN"/>
        </w:rPr>
        <w:t>美元</w:t>
      </w:r>
      <w:r w:rsidRPr="00F6661E">
        <w:rPr>
          <w:rFonts w:hint="eastAsia"/>
          <w:sz w:val="24"/>
          <w:szCs w:val="24"/>
          <w:lang w:val="en-US"/>
        </w:rPr>
        <w:t>，</w:t>
      </w:r>
      <w:r w:rsidRPr="00F6661E">
        <w:rPr>
          <w:rFonts w:hint="eastAsia"/>
          <w:sz w:val="24"/>
          <w:szCs w:val="24"/>
          <w:lang w:val="zh-CN"/>
        </w:rPr>
        <w:t>外加机构支助费用</w:t>
      </w:r>
      <w:r w:rsidRPr="00F6661E">
        <w:rPr>
          <w:sz w:val="24"/>
          <w:szCs w:val="24"/>
          <w:lang w:val="en-US"/>
        </w:rPr>
        <w:t>26,104</w:t>
      </w:r>
      <w:r w:rsidRPr="00F6661E">
        <w:rPr>
          <w:rFonts w:hint="eastAsia"/>
          <w:sz w:val="24"/>
          <w:szCs w:val="24"/>
          <w:lang w:val="zh-CN"/>
        </w:rPr>
        <w:t>美元。</w:t>
      </w:r>
    </w:p>
    <w:p w:rsidR="006838AB" w:rsidRDefault="006838AB">
      <w:pPr>
        <w:rPr>
          <w:szCs w:val="24"/>
          <w:lang w:val="en-CA"/>
        </w:rPr>
      </w:pPr>
    </w:p>
    <w:tbl>
      <w:tblPr>
        <w:tblW w:w="0" w:type="auto"/>
        <w:tblLayout w:type="fixed"/>
        <w:tblLook w:val="00A0" w:firstRow="1" w:lastRow="0" w:firstColumn="1" w:lastColumn="0" w:noHBand="0" w:noVBand="0"/>
      </w:tblPr>
      <w:tblGrid>
        <w:gridCol w:w="1870"/>
        <w:gridCol w:w="1870"/>
        <w:gridCol w:w="1870"/>
        <w:gridCol w:w="1870"/>
        <w:gridCol w:w="1870"/>
      </w:tblGrid>
      <w:tr w:rsidR="006838AB">
        <w:tc>
          <w:tcPr>
            <w:tcW w:w="1870" w:type="dxa"/>
          </w:tcPr>
          <w:p w:rsidR="006838AB" w:rsidRDefault="006838AB">
            <w:pPr>
              <w:rPr>
                <w:szCs w:val="24"/>
                <w:lang w:val="en-CA"/>
              </w:rPr>
            </w:pPr>
          </w:p>
        </w:tc>
        <w:tc>
          <w:tcPr>
            <w:tcW w:w="1870" w:type="dxa"/>
          </w:tcPr>
          <w:p w:rsidR="006838AB" w:rsidRDefault="006838AB">
            <w:pPr>
              <w:rPr>
                <w:szCs w:val="24"/>
                <w:lang w:val="en-CA"/>
              </w:rPr>
            </w:pPr>
          </w:p>
        </w:tc>
        <w:tc>
          <w:tcPr>
            <w:tcW w:w="1870" w:type="dxa"/>
            <w:tcBorders>
              <w:bottom w:val="single" w:sz="4" w:space="0" w:color="auto"/>
            </w:tcBorders>
          </w:tcPr>
          <w:p w:rsidR="006838AB" w:rsidRDefault="006838AB">
            <w:pPr>
              <w:rPr>
                <w:szCs w:val="24"/>
                <w:lang w:val="en-CA"/>
              </w:rPr>
            </w:pPr>
          </w:p>
        </w:tc>
        <w:tc>
          <w:tcPr>
            <w:tcW w:w="1870" w:type="dxa"/>
          </w:tcPr>
          <w:p w:rsidR="006838AB" w:rsidRDefault="006838AB">
            <w:pPr>
              <w:rPr>
                <w:szCs w:val="24"/>
                <w:lang w:val="en-CA"/>
              </w:rPr>
            </w:pPr>
          </w:p>
        </w:tc>
        <w:tc>
          <w:tcPr>
            <w:tcW w:w="1870" w:type="dxa"/>
          </w:tcPr>
          <w:p w:rsidR="006838AB" w:rsidRDefault="006838AB">
            <w:pPr>
              <w:rPr>
                <w:szCs w:val="24"/>
                <w:lang w:val="en-CA"/>
              </w:rPr>
            </w:pPr>
          </w:p>
        </w:tc>
      </w:tr>
    </w:tbl>
    <w:p w:rsidR="006838AB" w:rsidRDefault="006838AB">
      <w:pPr>
        <w:rPr>
          <w:szCs w:val="24"/>
        </w:rPr>
      </w:pPr>
    </w:p>
    <w:sectPr w:rsidR="006838AB" w:rsidSect="006838AB">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38AB" w:rsidRDefault="006838AB">
      <w:pPr>
        <w:rPr>
          <w:szCs w:val="24"/>
        </w:rPr>
      </w:pPr>
      <w:r>
        <w:rPr>
          <w:szCs w:val="24"/>
        </w:rPr>
        <w:separator/>
      </w:r>
    </w:p>
  </w:endnote>
  <w:endnote w:type="continuationSeparator" w:id="0">
    <w:p w:rsidR="006838AB" w:rsidRDefault="006838AB">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8AB" w:rsidRDefault="006838AB">
    <w:pPr>
      <w:jc w:val="center"/>
      <w:rPr>
        <w:szCs w:val="24"/>
      </w:rPr>
    </w:pPr>
    <w:r>
      <w:rPr>
        <w:szCs w:val="24"/>
      </w:rPr>
      <w:fldChar w:fldCharType="begin"/>
    </w:r>
    <w:r>
      <w:rPr>
        <w:szCs w:val="24"/>
      </w:rPr>
      <w:instrText xml:space="preserve"> PAGE </w:instrText>
    </w:r>
    <w:r>
      <w:rPr>
        <w:szCs w:val="24"/>
      </w:rPr>
      <w:fldChar w:fldCharType="separate"/>
    </w:r>
    <w:r w:rsidR="00660D8D">
      <w:rPr>
        <w:noProof/>
        <w:szCs w:val="24"/>
      </w:rPr>
      <w:t>4</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8AB" w:rsidRDefault="006838AB">
    <w:pPr>
      <w:jc w:val="center"/>
      <w:rPr>
        <w:szCs w:val="24"/>
      </w:rPr>
    </w:pPr>
    <w:r>
      <w:rPr>
        <w:szCs w:val="24"/>
      </w:rPr>
      <w:fldChar w:fldCharType="begin"/>
    </w:r>
    <w:r>
      <w:rPr>
        <w:szCs w:val="24"/>
      </w:rPr>
      <w:instrText xml:space="preserve"> PAGE </w:instrText>
    </w:r>
    <w:r>
      <w:rPr>
        <w:szCs w:val="24"/>
      </w:rPr>
      <w:fldChar w:fldCharType="separate"/>
    </w:r>
    <w:r w:rsidR="00660D8D">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8AB" w:rsidRDefault="006838AB" w:rsidP="00834F25">
    <w:pPr>
      <w:pStyle w:val="Footer"/>
    </w:pPr>
  </w:p>
  <w:p w:rsidR="006838AB" w:rsidRPr="009252BB" w:rsidRDefault="006838AB" w:rsidP="00834F25">
    <w:pPr>
      <w:pBdr>
        <w:top w:val="single" w:sz="4" w:space="1" w:color="auto"/>
        <w:left w:val="single" w:sz="4" w:space="4" w:color="auto"/>
        <w:bottom w:val="single" w:sz="4" w:space="1" w:color="auto"/>
        <w:right w:val="single" w:sz="4" w:space="4" w:color="auto"/>
      </w:pBdr>
      <w:jc w:val="center"/>
      <w:rPr>
        <w:sz w:val="20"/>
        <w:szCs w:val="20"/>
      </w:rPr>
    </w:pPr>
    <w:r w:rsidRPr="009252BB">
      <w:rPr>
        <w:rFonts w:ascii="SimSun" w:hAnsi="SimSun" w:cs="SimSun" w:hint="eastAsia"/>
        <w:sz w:val="20"/>
        <w:szCs w:val="20"/>
      </w:rPr>
      <w:t>执行蒙特利尔议定书多边基金执行委员会的会前文件不妨碍文件印发后执行委员会可能作出的任何决定。</w:t>
    </w:r>
  </w:p>
  <w:p w:rsidR="006838AB" w:rsidRPr="00834F25" w:rsidRDefault="006838AB" w:rsidP="00834F25">
    <w:pPr>
      <w:pStyle w:val="Footer"/>
      <w:rPr>
        <w:szCs w:val="24"/>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38AB" w:rsidRDefault="006838AB">
      <w:pPr>
        <w:rPr>
          <w:szCs w:val="24"/>
        </w:rPr>
      </w:pPr>
      <w:r>
        <w:rPr>
          <w:szCs w:val="24"/>
        </w:rPr>
        <w:separator/>
      </w:r>
    </w:p>
  </w:footnote>
  <w:footnote w:type="continuationSeparator" w:id="0">
    <w:p w:rsidR="006838AB" w:rsidRDefault="006838AB">
      <w:pPr>
        <w:rPr>
          <w:szCs w:val="24"/>
        </w:rPr>
      </w:pPr>
      <w:r>
        <w:rPr>
          <w:szCs w:val="24"/>
        </w:rPr>
        <w:continuationSeparator/>
      </w:r>
    </w:p>
  </w:footnote>
  <w:footnote w:id="1">
    <w:p w:rsidR="006838AB" w:rsidRDefault="006838AB">
      <w:pPr>
        <w:pStyle w:val="FootnoteText"/>
      </w:pPr>
      <w:r w:rsidRPr="00834F25">
        <w:rPr>
          <w:rStyle w:val="FootnoteReference"/>
          <w:szCs w:val="24"/>
        </w:rPr>
        <w:footnoteRef/>
      </w:r>
      <w:r w:rsidRPr="00834F25">
        <w:rPr>
          <w:szCs w:val="24"/>
        </w:rPr>
        <w:t xml:space="preserve"> </w:t>
      </w:r>
      <w:r w:rsidRPr="00834F25">
        <w:rPr>
          <w:rFonts w:hint="eastAsia"/>
          <w:szCs w:val="24"/>
          <w:lang w:val="zh-CN"/>
        </w:rPr>
        <w:t>由于</w:t>
      </w:r>
      <w:r w:rsidRPr="00834F25">
        <w:rPr>
          <w:szCs w:val="24"/>
          <w:lang w:val="en-US"/>
        </w:rPr>
        <w:t>2019</w:t>
      </w:r>
      <w:r w:rsidRPr="00834F25">
        <w:rPr>
          <w:rFonts w:hint="eastAsia"/>
          <w:szCs w:val="24"/>
          <w:lang w:val="zh-CN"/>
        </w:rPr>
        <w:t>冠病毒疾病</w:t>
      </w:r>
      <w:r w:rsidRPr="00834F25">
        <w:rPr>
          <w:rFonts w:hint="eastAsia"/>
          <w:szCs w:val="24"/>
          <w:lang w:val="en-US"/>
        </w:rPr>
        <w:t>（</w:t>
      </w:r>
      <w:r w:rsidRPr="00834F25">
        <w:rPr>
          <w:szCs w:val="24"/>
          <w:lang w:val="en-US"/>
        </w:rPr>
        <w:t>COVID-19</w:t>
      </w:r>
      <w:r w:rsidRPr="00834F25">
        <w:rPr>
          <w:rFonts w:hint="eastAsia"/>
          <w:szCs w:val="24"/>
          <w:lang w:val="en-US"/>
        </w:rPr>
        <w:t>）</w:t>
      </w:r>
      <w:r w:rsidRPr="00834F25">
        <w:rPr>
          <w:rFonts w:hint="eastAsia"/>
          <w:szCs w:val="24"/>
          <w:lang w:val="zh-CN"/>
        </w:rPr>
        <w:t>。</w:t>
      </w:r>
    </w:p>
  </w:footnote>
  <w:footnote w:id="2">
    <w:p w:rsidR="006838AB" w:rsidRDefault="006838AB">
      <w:pPr>
        <w:pStyle w:val="FootnoteText"/>
      </w:pPr>
      <w:r w:rsidRPr="00834F25">
        <w:rPr>
          <w:rStyle w:val="FootnoteReference"/>
          <w:szCs w:val="24"/>
        </w:rPr>
        <w:footnoteRef/>
      </w:r>
      <w:r w:rsidRPr="00834F25">
        <w:rPr>
          <w:szCs w:val="24"/>
        </w:rPr>
        <w:t xml:space="preserve"> UNEP/OzL.Pro/ExCom/86/IAP/3</w:t>
      </w:r>
      <w:r w:rsidRPr="00834F25">
        <w:rPr>
          <w:rFonts w:hint="eastAsia"/>
          <w:szCs w:val="24"/>
          <w:lang w:val="zh-CN"/>
        </w:rPr>
        <w:t>号文件第</w:t>
      </w:r>
      <w:r w:rsidRPr="00834F25">
        <w:rPr>
          <w:szCs w:val="24"/>
        </w:rPr>
        <w:t>184</w:t>
      </w:r>
      <w:r w:rsidRPr="00834F25">
        <w:rPr>
          <w:rFonts w:hint="eastAsia"/>
          <w:szCs w:val="24"/>
          <w:lang w:val="zh-CN"/>
        </w:rPr>
        <w:t>段。</w:t>
      </w:r>
    </w:p>
  </w:footnote>
  <w:footnote w:id="3">
    <w:p w:rsidR="006838AB" w:rsidRDefault="006838AB">
      <w:pPr>
        <w:pStyle w:val="FootnoteText"/>
      </w:pPr>
      <w:r w:rsidRPr="00834F25">
        <w:rPr>
          <w:rStyle w:val="FootnoteReference"/>
          <w:szCs w:val="24"/>
        </w:rPr>
        <w:footnoteRef/>
      </w:r>
      <w:r w:rsidRPr="00834F25">
        <w:rPr>
          <w:szCs w:val="24"/>
        </w:rPr>
        <w:t xml:space="preserve"> UNEP/OzL.Pro/ExCom/86/74</w:t>
      </w:r>
      <w:r w:rsidRPr="00834F25">
        <w:rPr>
          <w:rFonts w:hint="eastAsia"/>
          <w:szCs w:val="24"/>
          <w:lang w:val="zh-CN"/>
        </w:rPr>
        <w:t>号文件第</w:t>
      </w:r>
      <w:r w:rsidRPr="00834F25">
        <w:rPr>
          <w:szCs w:val="24"/>
        </w:rPr>
        <w:t>7</w:t>
      </w:r>
      <w:r w:rsidRPr="00834F25">
        <w:rPr>
          <w:rFonts w:hint="eastAsia"/>
          <w:szCs w:val="24"/>
          <w:lang w:val="zh-CN"/>
        </w:rPr>
        <w:t>段。</w:t>
      </w:r>
    </w:p>
  </w:footnote>
  <w:footnote w:id="4">
    <w:p w:rsidR="006838AB" w:rsidRDefault="006838AB">
      <w:pPr>
        <w:pStyle w:val="FootnoteText"/>
      </w:pPr>
      <w:r w:rsidRPr="00834F25">
        <w:rPr>
          <w:rStyle w:val="FootnoteReference"/>
          <w:szCs w:val="24"/>
        </w:rPr>
        <w:footnoteRef/>
      </w:r>
      <w:r w:rsidRPr="00834F25">
        <w:rPr>
          <w:szCs w:val="24"/>
        </w:rPr>
        <w:t xml:space="preserve"> UNEP/OzL.Pro/ExCom/86/74</w:t>
      </w:r>
      <w:r w:rsidRPr="00834F25">
        <w:rPr>
          <w:rFonts w:hint="eastAsia"/>
          <w:szCs w:val="24"/>
          <w:lang w:val="zh-CN"/>
        </w:rPr>
        <w:t>号文件第</w:t>
      </w:r>
      <w:r w:rsidRPr="00834F25">
        <w:rPr>
          <w:szCs w:val="24"/>
        </w:rPr>
        <w:t>30</w:t>
      </w:r>
      <w:r w:rsidRPr="00834F25">
        <w:rPr>
          <w:rFonts w:hint="eastAsia"/>
          <w:szCs w:val="24"/>
          <w:lang w:val="zh-CN"/>
        </w:rPr>
        <w:t>段。</w:t>
      </w:r>
    </w:p>
  </w:footnote>
  <w:footnote w:id="5">
    <w:p w:rsidR="006838AB" w:rsidRDefault="006838AB">
      <w:pPr>
        <w:pStyle w:val="FootnoteText"/>
      </w:pPr>
      <w:r w:rsidRPr="00834F25">
        <w:rPr>
          <w:rStyle w:val="FootnoteReference"/>
          <w:szCs w:val="24"/>
        </w:rPr>
        <w:footnoteRef/>
      </w:r>
      <w:r w:rsidRPr="00834F25">
        <w:rPr>
          <w:szCs w:val="24"/>
        </w:rPr>
        <w:t xml:space="preserve"> </w:t>
      </w:r>
      <w:r w:rsidRPr="00834F25">
        <w:rPr>
          <w:szCs w:val="24"/>
          <w:lang w:val="zh-CN"/>
        </w:rPr>
        <w:t>UNEP/OzL.Pro/ExCom/86/IAP/3</w:t>
      </w:r>
      <w:r w:rsidRPr="00834F25">
        <w:rPr>
          <w:rFonts w:hint="eastAsia"/>
          <w:szCs w:val="24"/>
          <w:lang w:val="zh-CN"/>
        </w:rPr>
        <w:t>号文件第</w:t>
      </w:r>
      <w:r w:rsidRPr="00834F25">
        <w:rPr>
          <w:szCs w:val="24"/>
          <w:lang w:val="zh-CN"/>
        </w:rPr>
        <w:t>183</w:t>
      </w:r>
      <w:r w:rsidRPr="00834F25">
        <w:rPr>
          <w:rFonts w:hint="eastAsia"/>
          <w:szCs w:val="24"/>
          <w:lang w:val="zh-CN"/>
        </w:rPr>
        <w:t>段和第</w:t>
      </w:r>
      <w:r w:rsidRPr="00834F25">
        <w:rPr>
          <w:szCs w:val="24"/>
          <w:lang w:val="zh-CN"/>
        </w:rPr>
        <w:t>184</w:t>
      </w:r>
      <w:r w:rsidRPr="00834F25">
        <w:rPr>
          <w:rFonts w:hint="eastAsia"/>
          <w:szCs w:val="24"/>
          <w:lang w:val="zh-CN"/>
        </w:rPr>
        <w:t>段。</w:t>
      </w:r>
    </w:p>
  </w:footnote>
  <w:footnote w:id="6">
    <w:p w:rsidR="006838AB" w:rsidRDefault="006838AB">
      <w:pPr>
        <w:pStyle w:val="FootnoteText"/>
      </w:pPr>
      <w:r w:rsidRPr="00834F25">
        <w:rPr>
          <w:rStyle w:val="FootnoteReference"/>
          <w:szCs w:val="24"/>
        </w:rPr>
        <w:footnoteRef/>
      </w:r>
      <w:r w:rsidRPr="00834F25">
        <w:rPr>
          <w:szCs w:val="24"/>
        </w:rPr>
        <w:t xml:space="preserve"> </w:t>
      </w:r>
      <w:r w:rsidRPr="00834F25">
        <w:rPr>
          <w:rFonts w:hint="eastAsia"/>
          <w:szCs w:val="24"/>
          <w:lang w:val="zh-CN"/>
        </w:rPr>
        <w:t>加强国家臭氧机构、进出口控制部和斯里兰卡海关之间的协调和信息交流，以有效实施许可证颁发和配额制度；改变消耗臭氧层物质进口申请表和授权书的格式；严查通过错误标记为氢氟碳化物和错误的海关申报码偷运氟氯烃的非法供应；海关提高风险分析标准。这些建议也列于</w:t>
      </w:r>
      <w:r w:rsidRPr="00834F25">
        <w:rPr>
          <w:szCs w:val="24"/>
          <w:lang w:val="en-US"/>
        </w:rPr>
        <w:t>UNEP/OzL.Pro/ExCom/86/31</w:t>
      </w:r>
      <w:r w:rsidRPr="00834F25">
        <w:rPr>
          <w:rFonts w:hint="eastAsia"/>
          <w:szCs w:val="24"/>
          <w:lang w:val="zh-CN"/>
        </w:rPr>
        <w:t>号文件第</w:t>
      </w:r>
      <w:r w:rsidRPr="00834F25">
        <w:rPr>
          <w:szCs w:val="24"/>
          <w:lang w:val="en-US"/>
        </w:rPr>
        <w:t>8</w:t>
      </w:r>
      <w:r w:rsidRPr="00834F25">
        <w:rPr>
          <w:rFonts w:hint="eastAsia"/>
          <w:szCs w:val="24"/>
          <w:lang w:val="zh-CN"/>
        </w:rPr>
        <w:t>段。</w:t>
      </w:r>
    </w:p>
  </w:footnote>
  <w:footnote w:id="7">
    <w:p w:rsidR="006838AB" w:rsidRPr="00834F25" w:rsidRDefault="006838AB">
      <w:pPr>
        <w:pStyle w:val="FootnoteText"/>
        <w:rPr>
          <w:szCs w:val="24"/>
        </w:rPr>
      </w:pPr>
      <w:r w:rsidRPr="00834F25">
        <w:rPr>
          <w:rStyle w:val="FootnoteReference"/>
          <w:szCs w:val="24"/>
        </w:rPr>
        <w:footnoteRef/>
      </w:r>
      <w:r w:rsidRPr="00834F25">
        <w:rPr>
          <w:szCs w:val="24"/>
        </w:rPr>
        <w:t xml:space="preserve"> </w:t>
      </w:r>
      <w:r w:rsidRPr="00834F25">
        <w:rPr>
          <w:rFonts w:hint="eastAsia"/>
          <w:szCs w:val="24"/>
          <w:lang w:val="zh-CN"/>
        </w:rPr>
        <w:t>按照本协定第</w:t>
      </w:r>
      <w:r w:rsidRPr="00834F25">
        <w:rPr>
          <w:szCs w:val="24"/>
          <w:lang w:val="zh-CN"/>
        </w:rPr>
        <w:t>11</w:t>
      </w:r>
      <w:r w:rsidRPr="00834F25">
        <w:rPr>
          <w:rFonts w:hint="eastAsia"/>
          <w:szCs w:val="24"/>
          <w:lang w:val="zh-CN"/>
        </w:rPr>
        <w:t>款，如果每年没有达到附录</w:t>
      </w:r>
      <w:r w:rsidRPr="00834F25">
        <w:rPr>
          <w:szCs w:val="24"/>
          <w:lang w:val="zh-CN"/>
        </w:rPr>
        <w:t xml:space="preserve"> 2-A</w:t>
      </w:r>
      <w:r w:rsidRPr="00834F25">
        <w:rPr>
          <w:rFonts w:hint="eastAsia"/>
          <w:szCs w:val="24"/>
          <w:lang w:val="zh-CN"/>
        </w:rPr>
        <w:t>第</w:t>
      </w:r>
      <w:r w:rsidRPr="00834F25">
        <w:rPr>
          <w:szCs w:val="24"/>
          <w:lang w:val="zh-CN"/>
        </w:rPr>
        <w:t xml:space="preserve"> 1.2</w:t>
      </w:r>
      <w:r w:rsidRPr="00834F25">
        <w:rPr>
          <w:rFonts w:hint="eastAsia"/>
          <w:szCs w:val="24"/>
          <w:lang w:val="zh-CN"/>
        </w:rPr>
        <w:t>行具体规定的目标，则提供的供资将按超出附录</w:t>
      </w:r>
      <w:r w:rsidRPr="00834F25">
        <w:rPr>
          <w:szCs w:val="24"/>
          <w:lang w:val="zh-CN"/>
        </w:rPr>
        <w:t xml:space="preserve"> 2-A</w:t>
      </w:r>
      <w:r w:rsidRPr="00834F25">
        <w:rPr>
          <w:rFonts w:hint="eastAsia"/>
          <w:szCs w:val="24"/>
          <w:lang w:val="zh-CN"/>
        </w:rPr>
        <w:t>第</w:t>
      </w:r>
      <w:r w:rsidRPr="00834F25">
        <w:rPr>
          <w:szCs w:val="24"/>
          <w:lang w:val="zh-CN"/>
        </w:rPr>
        <w:t xml:space="preserve"> 1.2</w:t>
      </w:r>
      <w:r w:rsidRPr="00834F25">
        <w:rPr>
          <w:rFonts w:hint="eastAsia"/>
          <w:szCs w:val="24"/>
          <w:lang w:val="zh-CN"/>
        </w:rPr>
        <w:t>行规定的消费量每公吨扣减</w:t>
      </w:r>
      <w:r w:rsidRPr="00834F25">
        <w:rPr>
          <w:szCs w:val="24"/>
          <w:lang w:val="zh-CN"/>
        </w:rPr>
        <w:t>2,500</w:t>
      </w:r>
      <w:r w:rsidRPr="00834F25">
        <w:rPr>
          <w:rFonts w:hint="eastAsia"/>
          <w:szCs w:val="24"/>
          <w:lang w:val="zh-CN"/>
        </w:rPr>
        <w:t>美元。</w:t>
      </w:r>
    </w:p>
    <w:p w:rsidR="006838AB" w:rsidRDefault="006838AB">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8AB" w:rsidRDefault="0053264A">
    <w:pPr>
      <w:rPr>
        <w:szCs w:val="24"/>
      </w:rPr>
    </w:pPr>
    <w:fldSimple w:instr=" DOCPROPERTY &quot;Document number&quot;  \* MERGEFORMAT ">
      <w:r w:rsidR="006D65BC" w:rsidRPr="006D65BC">
        <w:rPr>
          <w:szCs w:val="24"/>
        </w:rPr>
        <w:t>UNEP/OzL.Pro/ExCom/86/21</w:t>
      </w:r>
      <w:r w:rsidR="006D65BC">
        <w:t>/Add.2</w:t>
      </w:r>
    </w:fldSimple>
  </w:p>
  <w:p w:rsidR="006838AB" w:rsidRDefault="006838AB">
    <w:pPr>
      <w:rPr>
        <w:szCs w:val="24"/>
      </w:rPr>
    </w:pPr>
  </w:p>
  <w:p w:rsidR="006838AB" w:rsidRDefault="006838AB">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8AB" w:rsidRDefault="0053264A">
    <w:pPr>
      <w:jc w:val="right"/>
      <w:rPr>
        <w:szCs w:val="24"/>
      </w:rPr>
    </w:pPr>
    <w:fldSimple w:instr=" DOCPROPERTY &quot;Document number&quot;  \* MERGEFORMAT ">
      <w:r w:rsidR="006D65BC" w:rsidRPr="006D65BC">
        <w:rPr>
          <w:szCs w:val="24"/>
        </w:rPr>
        <w:t>UNEP/OzL.Pro/ExCom/86/21</w:t>
      </w:r>
      <w:r w:rsidR="006D65BC">
        <w:t>/Add.2</w:t>
      </w:r>
    </w:fldSimple>
  </w:p>
  <w:p w:rsidR="006838AB" w:rsidRDefault="006838AB">
    <w:pPr>
      <w:rPr>
        <w:szCs w:val="24"/>
      </w:rPr>
    </w:pPr>
  </w:p>
  <w:p w:rsidR="006838AB" w:rsidRDefault="006838AB">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D08272"/>
    <w:lvl w:ilvl="0">
      <w:start w:val="1"/>
      <w:numFmt w:val="decimal"/>
      <w:pStyle w:val="Heading1"/>
      <w:lvlText w:val="%1."/>
      <w:lvlJc w:val="left"/>
      <w:pPr>
        <w:tabs>
          <w:tab w:val="num" w:pos="1277"/>
        </w:tabs>
        <w:ind w:left="1277"/>
      </w:pPr>
      <w:rPr>
        <w:rFonts w:cs="Times New Roman" w:hint="eastAsia"/>
        <w:i w:val="0"/>
        <w:strike w:val="0"/>
      </w:rPr>
    </w:lvl>
    <w:lvl w:ilvl="1">
      <w:start w:val="1"/>
      <w:numFmt w:val="lowerLetter"/>
      <w:pStyle w:val="Heading2"/>
      <w:lvlText w:val="(%2)"/>
      <w:lvlJc w:val="left"/>
      <w:pPr>
        <w:tabs>
          <w:tab w:val="num" w:pos="0"/>
        </w:tabs>
        <w:ind w:left="1440" w:hanging="720"/>
      </w:pPr>
      <w:rPr>
        <w:rFonts w:cs="Times New Roman" w:hint="eastAsia"/>
      </w:rPr>
    </w:lvl>
    <w:lvl w:ilvl="2">
      <w:start w:val="1"/>
      <w:numFmt w:val="chineseCountingThousand"/>
      <w:pStyle w:val="Heading3"/>
      <w:lvlText w:val="(%3)"/>
      <w:lvlJc w:val="left"/>
      <w:pPr>
        <w:tabs>
          <w:tab w:val="num" w:pos="0"/>
        </w:tabs>
        <w:ind w:left="2160" w:hanging="720"/>
      </w:pPr>
      <w:rPr>
        <w:rFonts w:cs="Times New Roman" w:hint="eastAsia"/>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16451179"/>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4" w15:restartNumberingAfterBreak="0">
    <w:nsid w:val="41017903"/>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48A36B9E"/>
    <w:multiLevelType w:val="hybridMultilevel"/>
    <w:tmpl w:val="4B988112"/>
    <w:lvl w:ilvl="0" w:tplc="1009000F">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6" w15:restartNumberingAfterBreak="0">
    <w:nsid w:val="496D200D"/>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B5659EE"/>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03F3467"/>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 w15:restartNumberingAfterBreak="0">
    <w:nsid w:val="6FA13309"/>
    <w:multiLevelType w:val="multilevel"/>
    <w:tmpl w:val="F8DEF98C"/>
    <w:lvl w:ilvl="0">
      <w:start w:val="1"/>
      <w:numFmt w:val="decimal"/>
      <w:lvlText w:val="%1."/>
      <w:lvlJc w:val="left"/>
      <w:pPr>
        <w:tabs>
          <w:tab w:val="num" w:pos="1277"/>
        </w:tabs>
        <w:ind w:left="1277"/>
      </w:pPr>
      <w:rPr>
        <w:rFonts w:cs="Times New Roman"/>
        <w:i w:val="0"/>
        <w:strike w:val="0"/>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8"/>
  </w:num>
  <w:num w:numId="18">
    <w:abstractNumId w:val="20"/>
  </w:num>
  <w:num w:numId="19">
    <w:abstractNumId w:val="22"/>
  </w:num>
  <w:num w:numId="20">
    <w:abstractNumId w:val="13"/>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0"/>
  </w:num>
  <w:num w:numId="26">
    <w:abstractNumId w:val="10"/>
  </w:num>
  <w:num w:numId="27">
    <w:abstractNumId w:val="10"/>
  </w:num>
  <w:num w:numId="28">
    <w:abstractNumId w:val="10"/>
  </w:num>
  <w:num w:numId="29">
    <w:abstractNumId w:val="11"/>
  </w:num>
  <w:num w:numId="30">
    <w:abstractNumId w:val="19"/>
  </w:num>
  <w:num w:numId="31">
    <w:abstractNumId w:val="21"/>
  </w:num>
  <w:num w:numId="32">
    <w:abstractNumId w:val="17"/>
  </w:num>
  <w:num w:numId="33">
    <w:abstractNumId w:val="16"/>
  </w:num>
  <w:num w:numId="34">
    <w:abstractNumId w:val="14"/>
  </w:num>
  <w:num w:numId="3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kwNKgFABGPPpktAAAA"/>
  </w:docVars>
  <w:rsids>
    <w:rsidRoot w:val="00283C68"/>
    <w:rsid w:val="00000FED"/>
    <w:rsid w:val="0000434E"/>
    <w:rsid w:val="000211A9"/>
    <w:rsid w:val="00031260"/>
    <w:rsid w:val="00035A83"/>
    <w:rsid w:val="00035DDC"/>
    <w:rsid w:val="00036603"/>
    <w:rsid w:val="0003681A"/>
    <w:rsid w:val="000372B7"/>
    <w:rsid w:val="00043E87"/>
    <w:rsid w:val="00050F6E"/>
    <w:rsid w:val="000578AD"/>
    <w:rsid w:val="00061AB3"/>
    <w:rsid w:val="00061EC2"/>
    <w:rsid w:val="00062BE6"/>
    <w:rsid w:val="00063965"/>
    <w:rsid w:val="00064523"/>
    <w:rsid w:val="00072A8A"/>
    <w:rsid w:val="00073E6A"/>
    <w:rsid w:val="00074887"/>
    <w:rsid w:val="0007577C"/>
    <w:rsid w:val="00080ED0"/>
    <w:rsid w:val="00083783"/>
    <w:rsid w:val="0008449C"/>
    <w:rsid w:val="0008506F"/>
    <w:rsid w:val="00085B8F"/>
    <w:rsid w:val="00087B94"/>
    <w:rsid w:val="00090481"/>
    <w:rsid w:val="00093136"/>
    <w:rsid w:val="000A3342"/>
    <w:rsid w:val="000A3826"/>
    <w:rsid w:val="000A6C26"/>
    <w:rsid w:val="000A79C1"/>
    <w:rsid w:val="000B0286"/>
    <w:rsid w:val="000B0586"/>
    <w:rsid w:val="000B182A"/>
    <w:rsid w:val="000B2155"/>
    <w:rsid w:val="000B51AF"/>
    <w:rsid w:val="000C0F8F"/>
    <w:rsid w:val="000C1674"/>
    <w:rsid w:val="000C5E0E"/>
    <w:rsid w:val="000D4A6A"/>
    <w:rsid w:val="000D52A4"/>
    <w:rsid w:val="000D73F8"/>
    <w:rsid w:val="000E07BC"/>
    <w:rsid w:val="000E2ED6"/>
    <w:rsid w:val="000F1437"/>
    <w:rsid w:val="000F1CD4"/>
    <w:rsid w:val="000F1D08"/>
    <w:rsid w:val="000F2C0B"/>
    <w:rsid w:val="000F3D5A"/>
    <w:rsid w:val="000F4103"/>
    <w:rsid w:val="000F70A7"/>
    <w:rsid w:val="00104E35"/>
    <w:rsid w:val="0010517A"/>
    <w:rsid w:val="001076D3"/>
    <w:rsid w:val="001077AD"/>
    <w:rsid w:val="00113142"/>
    <w:rsid w:val="0011385C"/>
    <w:rsid w:val="00113CCA"/>
    <w:rsid w:val="0011620B"/>
    <w:rsid w:val="001210A3"/>
    <w:rsid w:val="001214A8"/>
    <w:rsid w:val="00122F25"/>
    <w:rsid w:val="001304F2"/>
    <w:rsid w:val="00131C24"/>
    <w:rsid w:val="00131DB0"/>
    <w:rsid w:val="00135980"/>
    <w:rsid w:val="00136E3B"/>
    <w:rsid w:val="001438B8"/>
    <w:rsid w:val="00164719"/>
    <w:rsid w:val="00166FC4"/>
    <w:rsid w:val="001677AC"/>
    <w:rsid w:val="001701BF"/>
    <w:rsid w:val="00172CCD"/>
    <w:rsid w:val="001769BE"/>
    <w:rsid w:val="00177F18"/>
    <w:rsid w:val="001804EA"/>
    <w:rsid w:val="001840A5"/>
    <w:rsid w:val="00184B8F"/>
    <w:rsid w:val="00185C42"/>
    <w:rsid w:val="00190A61"/>
    <w:rsid w:val="00193C79"/>
    <w:rsid w:val="00194013"/>
    <w:rsid w:val="00194134"/>
    <w:rsid w:val="001A1988"/>
    <w:rsid w:val="001A3342"/>
    <w:rsid w:val="001A336E"/>
    <w:rsid w:val="001A3E3D"/>
    <w:rsid w:val="001A7049"/>
    <w:rsid w:val="001B1E40"/>
    <w:rsid w:val="001C5A61"/>
    <w:rsid w:val="001C764E"/>
    <w:rsid w:val="001C7C02"/>
    <w:rsid w:val="001E0CEF"/>
    <w:rsid w:val="001E0FC7"/>
    <w:rsid w:val="001E1052"/>
    <w:rsid w:val="001E21B1"/>
    <w:rsid w:val="001E2F93"/>
    <w:rsid w:val="001E4554"/>
    <w:rsid w:val="001E511E"/>
    <w:rsid w:val="001E61E5"/>
    <w:rsid w:val="001F2159"/>
    <w:rsid w:val="001F41F4"/>
    <w:rsid w:val="001F472F"/>
    <w:rsid w:val="001F75DA"/>
    <w:rsid w:val="00203339"/>
    <w:rsid w:val="00210B8B"/>
    <w:rsid w:val="00213510"/>
    <w:rsid w:val="00214863"/>
    <w:rsid w:val="002156B4"/>
    <w:rsid w:val="00224FCD"/>
    <w:rsid w:val="00226ECC"/>
    <w:rsid w:val="00234A52"/>
    <w:rsid w:val="00236096"/>
    <w:rsid w:val="00236D72"/>
    <w:rsid w:val="002439DA"/>
    <w:rsid w:val="00244057"/>
    <w:rsid w:val="00244F04"/>
    <w:rsid w:val="00250A36"/>
    <w:rsid w:val="00253222"/>
    <w:rsid w:val="00262847"/>
    <w:rsid w:val="0026329D"/>
    <w:rsid w:val="00266A1B"/>
    <w:rsid w:val="00281BB2"/>
    <w:rsid w:val="002828D9"/>
    <w:rsid w:val="00282E4C"/>
    <w:rsid w:val="00283C68"/>
    <w:rsid w:val="002908E1"/>
    <w:rsid w:val="002956F0"/>
    <w:rsid w:val="002A5BC6"/>
    <w:rsid w:val="002A5F91"/>
    <w:rsid w:val="002B254E"/>
    <w:rsid w:val="002B47B1"/>
    <w:rsid w:val="002B53D2"/>
    <w:rsid w:val="002B72E9"/>
    <w:rsid w:val="002C6C91"/>
    <w:rsid w:val="002C7998"/>
    <w:rsid w:val="002D141A"/>
    <w:rsid w:val="002D4F93"/>
    <w:rsid w:val="002E46D0"/>
    <w:rsid w:val="002F1E53"/>
    <w:rsid w:val="002F2CAA"/>
    <w:rsid w:val="002F534C"/>
    <w:rsid w:val="0030052C"/>
    <w:rsid w:val="00304B41"/>
    <w:rsid w:val="003078B9"/>
    <w:rsid w:val="00312C50"/>
    <w:rsid w:val="003306E1"/>
    <w:rsid w:val="003320E4"/>
    <w:rsid w:val="00332674"/>
    <w:rsid w:val="00335251"/>
    <w:rsid w:val="0033525D"/>
    <w:rsid w:val="003414F3"/>
    <w:rsid w:val="003427E8"/>
    <w:rsid w:val="00346C20"/>
    <w:rsid w:val="00350108"/>
    <w:rsid w:val="003517C6"/>
    <w:rsid w:val="00351C65"/>
    <w:rsid w:val="0035613E"/>
    <w:rsid w:val="003564CD"/>
    <w:rsid w:val="00356DB3"/>
    <w:rsid w:val="00360707"/>
    <w:rsid w:val="00363EE9"/>
    <w:rsid w:val="003659A1"/>
    <w:rsid w:val="00374B9F"/>
    <w:rsid w:val="00376128"/>
    <w:rsid w:val="0037742E"/>
    <w:rsid w:val="00377D56"/>
    <w:rsid w:val="0038245A"/>
    <w:rsid w:val="003840E6"/>
    <w:rsid w:val="00385CFC"/>
    <w:rsid w:val="0039337A"/>
    <w:rsid w:val="00395C58"/>
    <w:rsid w:val="003975EE"/>
    <w:rsid w:val="003A3189"/>
    <w:rsid w:val="003A3CA7"/>
    <w:rsid w:val="003B33BD"/>
    <w:rsid w:val="003B569D"/>
    <w:rsid w:val="003B6D71"/>
    <w:rsid w:val="003C0AD9"/>
    <w:rsid w:val="003C1F1D"/>
    <w:rsid w:val="003C3C0E"/>
    <w:rsid w:val="003C56AE"/>
    <w:rsid w:val="003D162B"/>
    <w:rsid w:val="003D2860"/>
    <w:rsid w:val="003D42A6"/>
    <w:rsid w:val="003D4F21"/>
    <w:rsid w:val="003D4FAC"/>
    <w:rsid w:val="003E1FBE"/>
    <w:rsid w:val="003E3DCE"/>
    <w:rsid w:val="003E3E9D"/>
    <w:rsid w:val="003E580A"/>
    <w:rsid w:val="003E7906"/>
    <w:rsid w:val="003E7DCB"/>
    <w:rsid w:val="003F39FE"/>
    <w:rsid w:val="003F3C50"/>
    <w:rsid w:val="003F73BA"/>
    <w:rsid w:val="004007E1"/>
    <w:rsid w:val="00406A6A"/>
    <w:rsid w:val="00406B22"/>
    <w:rsid w:val="004144FE"/>
    <w:rsid w:val="004270AE"/>
    <w:rsid w:val="00427207"/>
    <w:rsid w:val="004328A7"/>
    <w:rsid w:val="00434C74"/>
    <w:rsid w:val="004403F5"/>
    <w:rsid w:val="00452E29"/>
    <w:rsid w:val="00456EB4"/>
    <w:rsid w:val="004620AA"/>
    <w:rsid w:val="00463471"/>
    <w:rsid w:val="0046408C"/>
    <w:rsid w:val="00464106"/>
    <w:rsid w:val="0046545C"/>
    <w:rsid w:val="004718F3"/>
    <w:rsid w:val="00474694"/>
    <w:rsid w:val="00475040"/>
    <w:rsid w:val="004865C9"/>
    <w:rsid w:val="0049079F"/>
    <w:rsid w:val="00491F95"/>
    <w:rsid w:val="00493D40"/>
    <w:rsid w:val="004967B6"/>
    <w:rsid w:val="004A482B"/>
    <w:rsid w:val="004A5030"/>
    <w:rsid w:val="004A504B"/>
    <w:rsid w:val="004A6911"/>
    <w:rsid w:val="004B54E0"/>
    <w:rsid w:val="004B7384"/>
    <w:rsid w:val="004C1183"/>
    <w:rsid w:val="004C3CC1"/>
    <w:rsid w:val="004C4269"/>
    <w:rsid w:val="004C4B94"/>
    <w:rsid w:val="004D24F6"/>
    <w:rsid w:val="004D4740"/>
    <w:rsid w:val="004D6236"/>
    <w:rsid w:val="004D7F90"/>
    <w:rsid w:val="004E4DBB"/>
    <w:rsid w:val="004E4E41"/>
    <w:rsid w:val="004E6E01"/>
    <w:rsid w:val="004E7F9C"/>
    <w:rsid w:val="004F3493"/>
    <w:rsid w:val="004F5143"/>
    <w:rsid w:val="00504AC3"/>
    <w:rsid w:val="0050526C"/>
    <w:rsid w:val="00512B09"/>
    <w:rsid w:val="00517548"/>
    <w:rsid w:val="005220ED"/>
    <w:rsid w:val="00527731"/>
    <w:rsid w:val="00531C3C"/>
    <w:rsid w:val="0053264A"/>
    <w:rsid w:val="00533796"/>
    <w:rsid w:val="005367C8"/>
    <w:rsid w:val="00537343"/>
    <w:rsid w:val="00555D75"/>
    <w:rsid w:val="00560DF0"/>
    <w:rsid w:val="00561EB5"/>
    <w:rsid w:val="0056253A"/>
    <w:rsid w:val="00562BFF"/>
    <w:rsid w:val="0056759C"/>
    <w:rsid w:val="005709F0"/>
    <w:rsid w:val="005739E0"/>
    <w:rsid w:val="00575C9F"/>
    <w:rsid w:val="0057679E"/>
    <w:rsid w:val="00576AF0"/>
    <w:rsid w:val="0059513E"/>
    <w:rsid w:val="005A45BD"/>
    <w:rsid w:val="005A6CA2"/>
    <w:rsid w:val="005A6D9F"/>
    <w:rsid w:val="005B01FE"/>
    <w:rsid w:val="005B48FF"/>
    <w:rsid w:val="005C0843"/>
    <w:rsid w:val="005C3A7E"/>
    <w:rsid w:val="005D326E"/>
    <w:rsid w:val="005D363F"/>
    <w:rsid w:val="005F004B"/>
    <w:rsid w:val="005F2CF3"/>
    <w:rsid w:val="005F4E2C"/>
    <w:rsid w:val="00602F5D"/>
    <w:rsid w:val="00604C15"/>
    <w:rsid w:val="006125DC"/>
    <w:rsid w:val="00612F2F"/>
    <w:rsid w:val="006134F1"/>
    <w:rsid w:val="006158D5"/>
    <w:rsid w:val="00625D83"/>
    <w:rsid w:val="00630AC6"/>
    <w:rsid w:val="00630CC3"/>
    <w:rsid w:val="006317F8"/>
    <w:rsid w:val="00634B8A"/>
    <w:rsid w:val="00657AFE"/>
    <w:rsid w:val="00660D8D"/>
    <w:rsid w:val="006623E7"/>
    <w:rsid w:val="00662B80"/>
    <w:rsid w:val="00670F6C"/>
    <w:rsid w:val="006815F3"/>
    <w:rsid w:val="006837CD"/>
    <w:rsid w:val="006838AB"/>
    <w:rsid w:val="00684D88"/>
    <w:rsid w:val="006852C7"/>
    <w:rsid w:val="006852CE"/>
    <w:rsid w:val="00686879"/>
    <w:rsid w:val="006872EE"/>
    <w:rsid w:val="00692D14"/>
    <w:rsid w:val="006A6178"/>
    <w:rsid w:val="006A6279"/>
    <w:rsid w:val="006A7B5B"/>
    <w:rsid w:val="006B65C7"/>
    <w:rsid w:val="006B7B10"/>
    <w:rsid w:val="006C1727"/>
    <w:rsid w:val="006C32FD"/>
    <w:rsid w:val="006C39CE"/>
    <w:rsid w:val="006C7AD6"/>
    <w:rsid w:val="006D0FCC"/>
    <w:rsid w:val="006D21F5"/>
    <w:rsid w:val="006D2D4F"/>
    <w:rsid w:val="006D65BC"/>
    <w:rsid w:val="006E126D"/>
    <w:rsid w:val="006E19C5"/>
    <w:rsid w:val="006E1FC3"/>
    <w:rsid w:val="006E5092"/>
    <w:rsid w:val="006E7B3C"/>
    <w:rsid w:val="006E7BE3"/>
    <w:rsid w:val="006F1AED"/>
    <w:rsid w:val="006F59B1"/>
    <w:rsid w:val="00704CE9"/>
    <w:rsid w:val="0070616B"/>
    <w:rsid w:val="00706295"/>
    <w:rsid w:val="00706FDA"/>
    <w:rsid w:val="007072FF"/>
    <w:rsid w:val="00711F9A"/>
    <w:rsid w:val="00713810"/>
    <w:rsid w:val="0072066B"/>
    <w:rsid w:val="00721C30"/>
    <w:rsid w:val="00724039"/>
    <w:rsid w:val="007303A5"/>
    <w:rsid w:val="00730651"/>
    <w:rsid w:val="00730B3E"/>
    <w:rsid w:val="0073420B"/>
    <w:rsid w:val="00742B01"/>
    <w:rsid w:val="00744977"/>
    <w:rsid w:val="00746482"/>
    <w:rsid w:val="00746681"/>
    <w:rsid w:val="0074760E"/>
    <w:rsid w:val="00754ABA"/>
    <w:rsid w:val="00774946"/>
    <w:rsid w:val="00774E65"/>
    <w:rsid w:val="0077728F"/>
    <w:rsid w:val="00782075"/>
    <w:rsid w:val="00790F5C"/>
    <w:rsid w:val="007A1546"/>
    <w:rsid w:val="007A228C"/>
    <w:rsid w:val="007A276D"/>
    <w:rsid w:val="007A368E"/>
    <w:rsid w:val="007A3AF9"/>
    <w:rsid w:val="007A5868"/>
    <w:rsid w:val="007A7E64"/>
    <w:rsid w:val="007B04CE"/>
    <w:rsid w:val="007B6871"/>
    <w:rsid w:val="007B7A2F"/>
    <w:rsid w:val="007C3D33"/>
    <w:rsid w:val="007C531B"/>
    <w:rsid w:val="007C5BFC"/>
    <w:rsid w:val="007D14D9"/>
    <w:rsid w:val="007D294A"/>
    <w:rsid w:val="007D47D2"/>
    <w:rsid w:val="007D657B"/>
    <w:rsid w:val="007D6EC0"/>
    <w:rsid w:val="007D7E1D"/>
    <w:rsid w:val="007E3FC6"/>
    <w:rsid w:val="007E54FF"/>
    <w:rsid w:val="007F1B72"/>
    <w:rsid w:val="007F1E73"/>
    <w:rsid w:val="007F5FC2"/>
    <w:rsid w:val="007F6417"/>
    <w:rsid w:val="007F7F63"/>
    <w:rsid w:val="008015CE"/>
    <w:rsid w:val="008030E0"/>
    <w:rsid w:val="008047A1"/>
    <w:rsid w:val="00810C1A"/>
    <w:rsid w:val="00811F0A"/>
    <w:rsid w:val="00820E13"/>
    <w:rsid w:val="00826050"/>
    <w:rsid w:val="0083087D"/>
    <w:rsid w:val="00830BFD"/>
    <w:rsid w:val="008313D0"/>
    <w:rsid w:val="00831979"/>
    <w:rsid w:val="008336D8"/>
    <w:rsid w:val="00834F25"/>
    <w:rsid w:val="0083696D"/>
    <w:rsid w:val="0083733A"/>
    <w:rsid w:val="008462BB"/>
    <w:rsid w:val="00851352"/>
    <w:rsid w:val="00857077"/>
    <w:rsid w:val="008630A8"/>
    <w:rsid w:val="00863230"/>
    <w:rsid w:val="00865BD0"/>
    <w:rsid w:val="008717D8"/>
    <w:rsid w:val="0087211F"/>
    <w:rsid w:val="0087215C"/>
    <w:rsid w:val="00874BB5"/>
    <w:rsid w:val="00874C65"/>
    <w:rsid w:val="00875D25"/>
    <w:rsid w:val="00880E35"/>
    <w:rsid w:val="00883AAD"/>
    <w:rsid w:val="00885D98"/>
    <w:rsid w:val="008875FE"/>
    <w:rsid w:val="00887CCE"/>
    <w:rsid w:val="00887F8E"/>
    <w:rsid w:val="00890C2D"/>
    <w:rsid w:val="00895420"/>
    <w:rsid w:val="00896234"/>
    <w:rsid w:val="00897E43"/>
    <w:rsid w:val="008B5CC3"/>
    <w:rsid w:val="008C5738"/>
    <w:rsid w:val="008C5C44"/>
    <w:rsid w:val="008C754E"/>
    <w:rsid w:val="008C75C8"/>
    <w:rsid w:val="008C7EAD"/>
    <w:rsid w:val="008D0CFE"/>
    <w:rsid w:val="008D4B5B"/>
    <w:rsid w:val="008D6152"/>
    <w:rsid w:val="008E375E"/>
    <w:rsid w:val="008E5ACA"/>
    <w:rsid w:val="008F0F81"/>
    <w:rsid w:val="008F27BF"/>
    <w:rsid w:val="00901E70"/>
    <w:rsid w:val="0090403B"/>
    <w:rsid w:val="0090612D"/>
    <w:rsid w:val="009142EC"/>
    <w:rsid w:val="009154C3"/>
    <w:rsid w:val="00916304"/>
    <w:rsid w:val="00922B12"/>
    <w:rsid w:val="00923540"/>
    <w:rsid w:val="00924F96"/>
    <w:rsid w:val="009252BB"/>
    <w:rsid w:val="009263DC"/>
    <w:rsid w:val="00926767"/>
    <w:rsid w:val="0092698C"/>
    <w:rsid w:val="009279F5"/>
    <w:rsid w:val="00930CC6"/>
    <w:rsid w:val="009361D5"/>
    <w:rsid w:val="009428A4"/>
    <w:rsid w:val="00942A2F"/>
    <w:rsid w:val="00952F6C"/>
    <w:rsid w:val="009538C4"/>
    <w:rsid w:val="00954F82"/>
    <w:rsid w:val="0095632D"/>
    <w:rsid w:val="00963326"/>
    <w:rsid w:val="009659F4"/>
    <w:rsid w:val="00970D60"/>
    <w:rsid w:val="009729A4"/>
    <w:rsid w:val="0098092E"/>
    <w:rsid w:val="009824A8"/>
    <w:rsid w:val="00983413"/>
    <w:rsid w:val="00984D7B"/>
    <w:rsid w:val="00986A99"/>
    <w:rsid w:val="0099390E"/>
    <w:rsid w:val="009952DF"/>
    <w:rsid w:val="009960E5"/>
    <w:rsid w:val="009965F4"/>
    <w:rsid w:val="009A7ADC"/>
    <w:rsid w:val="009B12A7"/>
    <w:rsid w:val="009B2BA8"/>
    <w:rsid w:val="009C0998"/>
    <w:rsid w:val="009C19B7"/>
    <w:rsid w:val="009C2300"/>
    <w:rsid w:val="009C5ABB"/>
    <w:rsid w:val="009D023B"/>
    <w:rsid w:val="009D4C21"/>
    <w:rsid w:val="009D7C51"/>
    <w:rsid w:val="009E147C"/>
    <w:rsid w:val="009E196C"/>
    <w:rsid w:val="009E2148"/>
    <w:rsid w:val="009E47AD"/>
    <w:rsid w:val="009E71C3"/>
    <w:rsid w:val="009E7D94"/>
    <w:rsid w:val="009F36BF"/>
    <w:rsid w:val="00A00B32"/>
    <w:rsid w:val="00A0145D"/>
    <w:rsid w:val="00A01985"/>
    <w:rsid w:val="00A111B6"/>
    <w:rsid w:val="00A13758"/>
    <w:rsid w:val="00A16DE9"/>
    <w:rsid w:val="00A175C9"/>
    <w:rsid w:val="00A26D27"/>
    <w:rsid w:val="00A3388E"/>
    <w:rsid w:val="00A351AA"/>
    <w:rsid w:val="00A376EE"/>
    <w:rsid w:val="00A42A99"/>
    <w:rsid w:val="00A44BB6"/>
    <w:rsid w:val="00A5151A"/>
    <w:rsid w:val="00A55536"/>
    <w:rsid w:val="00A5767D"/>
    <w:rsid w:val="00A57E0A"/>
    <w:rsid w:val="00A60F4B"/>
    <w:rsid w:val="00A656F7"/>
    <w:rsid w:val="00A67E0A"/>
    <w:rsid w:val="00A67ECC"/>
    <w:rsid w:val="00A70054"/>
    <w:rsid w:val="00A71C1E"/>
    <w:rsid w:val="00A73B74"/>
    <w:rsid w:val="00A823F6"/>
    <w:rsid w:val="00A850E7"/>
    <w:rsid w:val="00A86895"/>
    <w:rsid w:val="00A8719E"/>
    <w:rsid w:val="00AA0A89"/>
    <w:rsid w:val="00AA3E47"/>
    <w:rsid w:val="00AA6429"/>
    <w:rsid w:val="00AB3F4C"/>
    <w:rsid w:val="00AB483B"/>
    <w:rsid w:val="00AB5705"/>
    <w:rsid w:val="00AB58CE"/>
    <w:rsid w:val="00AB5D5F"/>
    <w:rsid w:val="00AB69AD"/>
    <w:rsid w:val="00AC01AA"/>
    <w:rsid w:val="00AC4B20"/>
    <w:rsid w:val="00AC4F72"/>
    <w:rsid w:val="00AC6ADE"/>
    <w:rsid w:val="00AC7B34"/>
    <w:rsid w:val="00AC7CBC"/>
    <w:rsid w:val="00AD1C3D"/>
    <w:rsid w:val="00AD621E"/>
    <w:rsid w:val="00AD68DB"/>
    <w:rsid w:val="00AE386B"/>
    <w:rsid w:val="00AF741A"/>
    <w:rsid w:val="00B01ADB"/>
    <w:rsid w:val="00B04161"/>
    <w:rsid w:val="00B04FBF"/>
    <w:rsid w:val="00B056F9"/>
    <w:rsid w:val="00B11E3D"/>
    <w:rsid w:val="00B12E27"/>
    <w:rsid w:val="00B17E82"/>
    <w:rsid w:val="00B2592C"/>
    <w:rsid w:val="00B30E26"/>
    <w:rsid w:val="00B33EE3"/>
    <w:rsid w:val="00B408A5"/>
    <w:rsid w:val="00B4575A"/>
    <w:rsid w:val="00B51CA6"/>
    <w:rsid w:val="00B575BA"/>
    <w:rsid w:val="00B67A04"/>
    <w:rsid w:val="00B71608"/>
    <w:rsid w:val="00B76429"/>
    <w:rsid w:val="00B77E45"/>
    <w:rsid w:val="00B822AC"/>
    <w:rsid w:val="00B95045"/>
    <w:rsid w:val="00B956D4"/>
    <w:rsid w:val="00B95DBC"/>
    <w:rsid w:val="00B97446"/>
    <w:rsid w:val="00BA0978"/>
    <w:rsid w:val="00BA4B96"/>
    <w:rsid w:val="00BA53CD"/>
    <w:rsid w:val="00BA7432"/>
    <w:rsid w:val="00BB2764"/>
    <w:rsid w:val="00BB4EAB"/>
    <w:rsid w:val="00BC10D7"/>
    <w:rsid w:val="00BC1AA0"/>
    <w:rsid w:val="00BC2495"/>
    <w:rsid w:val="00BC59F5"/>
    <w:rsid w:val="00BC5DF5"/>
    <w:rsid w:val="00BC7580"/>
    <w:rsid w:val="00BC7EB9"/>
    <w:rsid w:val="00BD2643"/>
    <w:rsid w:val="00BD3B78"/>
    <w:rsid w:val="00BD56B1"/>
    <w:rsid w:val="00BD6558"/>
    <w:rsid w:val="00BE0F23"/>
    <w:rsid w:val="00BE650F"/>
    <w:rsid w:val="00BE79AB"/>
    <w:rsid w:val="00BF2F76"/>
    <w:rsid w:val="00BF3022"/>
    <w:rsid w:val="00BF3214"/>
    <w:rsid w:val="00BF412B"/>
    <w:rsid w:val="00BF5573"/>
    <w:rsid w:val="00C07EB1"/>
    <w:rsid w:val="00C13E79"/>
    <w:rsid w:val="00C15867"/>
    <w:rsid w:val="00C2296D"/>
    <w:rsid w:val="00C23155"/>
    <w:rsid w:val="00C26221"/>
    <w:rsid w:val="00C33719"/>
    <w:rsid w:val="00C34F8C"/>
    <w:rsid w:val="00C361B9"/>
    <w:rsid w:val="00C40C41"/>
    <w:rsid w:val="00C424F0"/>
    <w:rsid w:val="00C45885"/>
    <w:rsid w:val="00C46B11"/>
    <w:rsid w:val="00C46FE8"/>
    <w:rsid w:val="00C50F22"/>
    <w:rsid w:val="00C513AD"/>
    <w:rsid w:val="00C5376C"/>
    <w:rsid w:val="00C57971"/>
    <w:rsid w:val="00C65BD7"/>
    <w:rsid w:val="00C726A3"/>
    <w:rsid w:val="00C76BA4"/>
    <w:rsid w:val="00C80AAD"/>
    <w:rsid w:val="00C83A48"/>
    <w:rsid w:val="00C85865"/>
    <w:rsid w:val="00C85E85"/>
    <w:rsid w:val="00C86654"/>
    <w:rsid w:val="00C90CE2"/>
    <w:rsid w:val="00C91F04"/>
    <w:rsid w:val="00C929EC"/>
    <w:rsid w:val="00C93240"/>
    <w:rsid w:val="00C93B70"/>
    <w:rsid w:val="00C97362"/>
    <w:rsid w:val="00CA2EAE"/>
    <w:rsid w:val="00CA4AC1"/>
    <w:rsid w:val="00CB0316"/>
    <w:rsid w:val="00CB086F"/>
    <w:rsid w:val="00CB0B11"/>
    <w:rsid w:val="00CB0BF2"/>
    <w:rsid w:val="00CB1B64"/>
    <w:rsid w:val="00CB426A"/>
    <w:rsid w:val="00CB440C"/>
    <w:rsid w:val="00CB5354"/>
    <w:rsid w:val="00CC0B98"/>
    <w:rsid w:val="00CC3C9E"/>
    <w:rsid w:val="00CC4AFA"/>
    <w:rsid w:val="00CC6A14"/>
    <w:rsid w:val="00CC70A3"/>
    <w:rsid w:val="00CD4442"/>
    <w:rsid w:val="00CD53C3"/>
    <w:rsid w:val="00CD574E"/>
    <w:rsid w:val="00CD756B"/>
    <w:rsid w:val="00CE4ABE"/>
    <w:rsid w:val="00CE4C22"/>
    <w:rsid w:val="00CE5AFB"/>
    <w:rsid w:val="00CF41EC"/>
    <w:rsid w:val="00CF5D04"/>
    <w:rsid w:val="00D04DE4"/>
    <w:rsid w:val="00D063F1"/>
    <w:rsid w:val="00D14F22"/>
    <w:rsid w:val="00D15061"/>
    <w:rsid w:val="00D25358"/>
    <w:rsid w:val="00D32399"/>
    <w:rsid w:val="00D35C09"/>
    <w:rsid w:val="00D37EC6"/>
    <w:rsid w:val="00D4741C"/>
    <w:rsid w:val="00D52EEE"/>
    <w:rsid w:val="00D57918"/>
    <w:rsid w:val="00D63DE2"/>
    <w:rsid w:val="00D73DC6"/>
    <w:rsid w:val="00D74C1A"/>
    <w:rsid w:val="00D754C1"/>
    <w:rsid w:val="00D77393"/>
    <w:rsid w:val="00D77A35"/>
    <w:rsid w:val="00D81B3E"/>
    <w:rsid w:val="00D90C70"/>
    <w:rsid w:val="00D90E49"/>
    <w:rsid w:val="00D948C7"/>
    <w:rsid w:val="00D96ADE"/>
    <w:rsid w:val="00DA0CE2"/>
    <w:rsid w:val="00DB3A00"/>
    <w:rsid w:val="00DC089E"/>
    <w:rsid w:val="00DC6305"/>
    <w:rsid w:val="00DC6A10"/>
    <w:rsid w:val="00DE0993"/>
    <w:rsid w:val="00DE48BA"/>
    <w:rsid w:val="00DE657E"/>
    <w:rsid w:val="00DF0050"/>
    <w:rsid w:val="00DF054C"/>
    <w:rsid w:val="00DF088E"/>
    <w:rsid w:val="00DF28B5"/>
    <w:rsid w:val="00DF2CA1"/>
    <w:rsid w:val="00DF4704"/>
    <w:rsid w:val="00E0050E"/>
    <w:rsid w:val="00E024AA"/>
    <w:rsid w:val="00E05E8B"/>
    <w:rsid w:val="00E11051"/>
    <w:rsid w:val="00E126A1"/>
    <w:rsid w:val="00E129DB"/>
    <w:rsid w:val="00E15C77"/>
    <w:rsid w:val="00E250F1"/>
    <w:rsid w:val="00E310C8"/>
    <w:rsid w:val="00E31CE3"/>
    <w:rsid w:val="00E3550D"/>
    <w:rsid w:val="00E40D85"/>
    <w:rsid w:val="00E419DF"/>
    <w:rsid w:val="00E42179"/>
    <w:rsid w:val="00E43E3D"/>
    <w:rsid w:val="00E507D3"/>
    <w:rsid w:val="00E5109D"/>
    <w:rsid w:val="00E52838"/>
    <w:rsid w:val="00E55500"/>
    <w:rsid w:val="00E614E0"/>
    <w:rsid w:val="00E62437"/>
    <w:rsid w:val="00E65191"/>
    <w:rsid w:val="00E73BAE"/>
    <w:rsid w:val="00E73F7F"/>
    <w:rsid w:val="00E75F72"/>
    <w:rsid w:val="00E7627A"/>
    <w:rsid w:val="00E85409"/>
    <w:rsid w:val="00E85F4B"/>
    <w:rsid w:val="00E9209C"/>
    <w:rsid w:val="00EA429F"/>
    <w:rsid w:val="00EA4F9E"/>
    <w:rsid w:val="00EA63CA"/>
    <w:rsid w:val="00EA6D3B"/>
    <w:rsid w:val="00EB00AD"/>
    <w:rsid w:val="00EB136C"/>
    <w:rsid w:val="00EB480E"/>
    <w:rsid w:val="00EB5EC6"/>
    <w:rsid w:val="00EB6836"/>
    <w:rsid w:val="00EB7FC9"/>
    <w:rsid w:val="00EC36E3"/>
    <w:rsid w:val="00EC4BC0"/>
    <w:rsid w:val="00ED27E8"/>
    <w:rsid w:val="00ED307E"/>
    <w:rsid w:val="00ED38D0"/>
    <w:rsid w:val="00ED7137"/>
    <w:rsid w:val="00EF06EA"/>
    <w:rsid w:val="00EF0BD2"/>
    <w:rsid w:val="00EF0DD9"/>
    <w:rsid w:val="00EF14BB"/>
    <w:rsid w:val="00EF5C1F"/>
    <w:rsid w:val="00EF6857"/>
    <w:rsid w:val="00EF7B61"/>
    <w:rsid w:val="00EF7BA5"/>
    <w:rsid w:val="00F00591"/>
    <w:rsid w:val="00F00D69"/>
    <w:rsid w:val="00F21088"/>
    <w:rsid w:val="00F327E7"/>
    <w:rsid w:val="00F33611"/>
    <w:rsid w:val="00F35746"/>
    <w:rsid w:val="00F42E82"/>
    <w:rsid w:val="00F447C7"/>
    <w:rsid w:val="00F454A2"/>
    <w:rsid w:val="00F459B4"/>
    <w:rsid w:val="00F50196"/>
    <w:rsid w:val="00F5211B"/>
    <w:rsid w:val="00F530FA"/>
    <w:rsid w:val="00F5435B"/>
    <w:rsid w:val="00F554A9"/>
    <w:rsid w:val="00F555CA"/>
    <w:rsid w:val="00F55B9E"/>
    <w:rsid w:val="00F60D9C"/>
    <w:rsid w:val="00F655E6"/>
    <w:rsid w:val="00F6649B"/>
    <w:rsid w:val="00F6661E"/>
    <w:rsid w:val="00F716FD"/>
    <w:rsid w:val="00F80355"/>
    <w:rsid w:val="00F80B0F"/>
    <w:rsid w:val="00F84AA4"/>
    <w:rsid w:val="00F87C43"/>
    <w:rsid w:val="00F92D2E"/>
    <w:rsid w:val="00F947BF"/>
    <w:rsid w:val="00F971B5"/>
    <w:rsid w:val="00FB0C35"/>
    <w:rsid w:val="00FB0C81"/>
    <w:rsid w:val="00FB1618"/>
    <w:rsid w:val="00FB4CAE"/>
    <w:rsid w:val="00FB77F7"/>
    <w:rsid w:val="00FB7B95"/>
    <w:rsid w:val="00FB7C86"/>
    <w:rsid w:val="00FC2200"/>
    <w:rsid w:val="00FC2371"/>
    <w:rsid w:val="00FC2540"/>
    <w:rsid w:val="00FC5913"/>
    <w:rsid w:val="00FC5ABE"/>
    <w:rsid w:val="00FC6E3B"/>
    <w:rsid w:val="00FD06EF"/>
    <w:rsid w:val="00FD2715"/>
    <w:rsid w:val="00FD7871"/>
    <w:rsid w:val="00FE461A"/>
    <w:rsid w:val="00FE70F0"/>
    <w:rsid w:val="00FF0204"/>
    <w:rsid w:val="00FF2236"/>
    <w:rsid w:val="00FF3AED"/>
    <w:rsid w:val="00FF7008"/>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4097"/>
    <o:shapelayout v:ext="edit">
      <o:idmap v:ext="edit" data="1"/>
    </o:shapelayout>
  </w:shapeDefaults>
  <w:decimalSymbol w:val="."/>
  <w:listSeparator w:val=","/>
  <w15:docId w15:val="{E18228EB-E0DB-4485-AC59-4BF9AC9D7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locked="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1"/>
      </w:numPr>
      <w:spacing w:after="240"/>
      <w:outlineLvl w:val="2"/>
    </w:pPr>
  </w:style>
  <w:style w:type="paragraph" w:styleId="Heading4">
    <w:name w:val="heading 4"/>
    <w:aliases w:val="Heading 11,para 4,Título 41,Heading 41,标题 41"/>
    <w:basedOn w:val="Normal"/>
    <w:next w:val="Heading9"/>
    <w:link w:val="Heading4Char"/>
    <w:uiPriority w:val="99"/>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Pr>
      <w:rFonts w:cs="Times New Roman"/>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semiHidden/>
    <w:rsid w:val="00045000"/>
    <w:rPr>
      <w:rFonts w:asciiTheme="majorHAnsi" w:eastAsiaTheme="majorEastAsia" w:hAnsiTheme="majorHAnsi" w:cstheme="majorBidi"/>
      <w:b/>
      <w:bCs/>
      <w:sz w:val="26"/>
      <w:szCs w:val="26"/>
      <w:lang w:val="en-GB"/>
    </w:rPr>
  </w:style>
  <w:style w:type="character" w:customStyle="1" w:styleId="Heading4Char">
    <w:name w:val="Heading 4 Char"/>
    <w:aliases w:val="Heading 11 Char,para 4 Char,Título 41 Char,Heading 41 Char,标题 41 Char"/>
    <w:basedOn w:val="DefaultParagraphFont"/>
    <w:link w:val="Heading4"/>
    <w:uiPriority w:val="9"/>
    <w:semiHidden/>
    <w:rsid w:val="00045000"/>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uiPriority w:val="9"/>
    <w:semiHidden/>
    <w:rsid w:val="00045000"/>
    <w:rPr>
      <w:rFonts w:asciiTheme="minorHAnsi" w:eastAsiaTheme="minorEastAsia" w:hAnsiTheme="minorHAnsi" w:cstheme="minorBidi"/>
      <w:b/>
      <w:bCs/>
      <w:i/>
      <w:iCs/>
      <w:sz w:val="26"/>
      <w:szCs w:val="26"/>
      <w:lang w:val="en-GB"/>
    </w:rPr>
  </w:style>
  <w:style w:type="character" w:customStyle="1" w:styleId="Heading6Char">
    <w:name w:val="Heading 6 Char"/>
    <w:basedOn w:val="DefaultParagraphFont"/>
    <w:link w:val="Heading6"/>
    <w:uiPriority w:val="9"/>
    <w:semiHidden/>
    <w:rsid w:val="00045000"/>
    <w:rPr>
      <w:rFonts w:asciiTheme="minorHAnsi" w:eastAsiaTheme="minorEastAsia" w:hAnsiTheme="minorHAnsi" w:cstheme="minorBidi"/>
      <w:b/>
      <w:bCs/>
      <w:lang w:val="en-GB"/>
    </w:rPr>
  </w:style>
  <w:style w:type="character" w:customStyle="1" w:styleId="Heading7Char">
    <w:name w:val="Heading 7 Char"/>
    <w:basedOn w:val="DefaultParagraphFont"/>
    <w:link w:val="Heading7"/>
    <w:uiPriority w:val="9"/>
    <w:semiHidden/>
    <w:rsid w:val="00045000"/>
    <w:rPr>
      <w:rFonts w:asciiTheme="minorHAnsi" w:eastAsiaTheme="minorEastAsia" w:hAnsiTheme="minorHAnsi" w:cstheme="minorBidi"/>
      <w:sz w:val="24"/>
      <w:szCs w:val="24"/>
      <w:lang w:val="en-GB"/>
    </w:rPr>
  </w:style>
  <w:style w:type="character" w:customStyle="1" w:styleId="Heading8Char">
    <w:name w:val="Heading 8 Char"/>
    <w:basedOn w:val="DefaultParagraphFont"/>
    <w:link w:val="Heading8"/>
    <w:uiPriority w:val="9"/>
    <w:semiHidden/>
    <w:rsid w:val="00045000"/>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
    <w:semiHidden/>
    <w:rsid w:val="00045000"/>
    <w:rPr>
      <w:rFonts w:asciiTheme="majorHAnsi" w:eastAsiaTheme="majorEastAsia" w:hAnsiTheme="majorHAnsi" w:cstheme="majorBidi"/>
      <w:lang w:val="en-GB"/>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045000"/>
    <w:rPr>
      <w:lang w:val="en-GB"/>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sid w:val="00045000"/>
    <w:rPr>
      <w:lang w:val="en-GB"/>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045000"/>
    <w:rPr>
      <w:sz w:val="16"/>
      <w:szCs w:val="16"/>
      <w:lang w:val="en-GB"/>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045000"/>
    <w:rPr>
      <w:sz w:val="16"/>
      <w:szCs w:val="16"/>
      <w:lang w:val="en-GB"/>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045000"/>
    <w:rPr>
      <w:rFonts w:ascii="Courier New" w:hAnsi="Courier New" w:cs="Courier New"/>
      <w:sz w:val="20"/>
      <w:szCs w:val="20"/>
      <w:lang w:val="en-GB"/>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045000"/>
    <w:rPr>
      <w:rFonts w:asciiTheme="majorHAnsi" w:eastAsiaTheme="majorEastAsia" w:hAnsiTheme="majorHAnsi" w:cstheme="majorBidi"/>
      <w:sz w:val="24"/>
      <w:szCs w:val="24"/>
      <w:lang w:val="en-GB"/>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045000"/>
    <w:rPr>
      <w:rFonts w:asciiTheme="majorHAnsi" w:eastAsiaTheme="majorEastAsia" w:hAnsiTheme="majorHAnsi" w:cstheme="majorBidi"/>
      <w:b/>
      <w:bCs/>
      <w:kern w:val="28"/>
      <w:sz w:val="32"/>
      <w:szCs w:val="32"/>
      <w:lang w:val="en-GB"/>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045000"/>
    <w:rPr>
      <w:lang w:val="en-GB"/>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
    <w:basedOn w:val="Normal"/>
    <w:link w:val="FootnoteTextChar"/>
    <w:uiPriority w:val="99"/>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
    <w:basedOn w:val="DefaultParagraphFont"/>
    <w:link w:val="FootnoteText"/>
    <w:uiPriority w:val="99"/>
    <w:locked/>
    <w:rPr>
      <w:rFonts w:cs="Times New Roman"/>
      <w:lang w:val="en-GB"/>
    </w:rPr>
  </w:style>
  <w:style w:type="character" w:styleId="FootnoteReference">
    <w:name w:val="footnote reference"/>
    <w:aliases w:val="ftref,Footnote Text1,Footnote Text2,Footnote text"/>
    <w:basedOn w:val="DefaultParagraphFont"/>
    <w:uiPriority w:val="99"/>
    <w:rPr>
      <w:rFonts w:cs="Times New Roman"/>
      <w:vertAlign w:val="superscript"/>
    </w:rPr>
  </w:style>
  <w:style w:type="paragraph" w:styleId="ListParagraph">
    <w:name w:val="List Paragraph"/>
    <w:basedOn w:val="Normal"/>
    <w:uiPriority w:val="99"/>
    <w:qFormat/>
    <w:pPr>
      <w:ind w:left="720"/>
      <w:contextualSpacing/>
    </w:pPr>
  </w:style>
  <w:style w:type="paragraph" w:styleId="Revision">
    <w:name w:val="Revision"/>
    <w:hidden/>
    <w:uiPriority w:val="99"/>
    <w:semiHidden/>
    <w:rPr>
      <w:lang w:val="en-GB"/>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045000"/>
    <w:pPr>
      <w:numPr>
        <w:numId w:val="16"/>
      </w:numPr>
    </w:pPr>
  </w:style>
  <w:style w:type="numbering" w:styleId="1ai">
    <w:name w:val="Outline List 1"/>
    <w:basedOn w:val="NoList"/>
    <w:uiPriority w:val="99"/>
    <w:semiHidden/>
    <w:unhideWhenUsed/>
    <w:rsid w:val="00045000"/>
    <w:pPr>
      <w:numPr>
        <w:numId w:val="17"/>
      </w:numPr>
    </w:pPr>
  </w:style>
  <w:style w:type="numbering" w:styleId="ArticleSection">
    <w:name w:val="Outline List 3"/>
    <w:basedOn w:val="NoList"/>
    <w:uiPriority w:val="99"/>
    <w:semiHidden/>
    <w:unhideWhenUsed/>
    <w:rsid w:val="00045000"/>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4936964">
      <w:marLeft w:val="0"/>
      <w:marRight w:val="0"/>
      <w:marTop w:val="0"/>
      <w:marBottom w:val="0"/>
      <w:divBdr>
        <w:top w:val="none" w:sz="0" w:space="0" w:color="auto"/>
        <w:left w:val="none" w:sz="0" w:space="0" w:color="auto"/>
        <w:bottom w:val="none" w:sz="0" w:space="0" w:color="auto"/>
        <w:right w:val="none" w:sz="0" w:space="0" w:color="auto"/>
      </w:divBdr>
    </w:div>
    <w:div w:id="754936965">
      <w:marLeft w:val="0"/>
      <w:marRight w:val="0"/>
      <w:marTop w:val="0"/>
      <w:marBottom w:val="0"/>
      <w:divBdr>
        <w:top w:val="none" w:sz="0" w:space="0" w:color="auto"/>
        <w:left w:val="none" w:sz="0" w:space="0" w:color="auto"/>
        <w:bottom w:val="none" w:sz="0" w:space="0" w:color="auto"/>
        <w:right w:val="none" w:sz="0" w:space="0" w:color="auto"/>
      </w:divBdr>
    </w:div>
    <w:div w:id="754936969">
      <w:marLeft w:val="0"/>
      <w:marRight w:val="0"/>
      <w:marTop w:val="0"/>
      <w:marBottom w:val="0"/>
      <w:divBdr>
        <w:top w:val="none" w:sz="0" w:space="0" w:color="auto"/>
        <w:left w:val="none" w:sz="0" w:space="0" w:color="auto"/>
        <w:bottom w:val="none" w:sz="0" w:space="0" w:color="auto"/>
        <w:right w:val="none" w:sz="0" w:space="0" w:color="auto"/>
      </w:divBdr>
      <w:divsChild>
        <w:div w:id="754936955">
          <w:marLeft w:val="0"/>
          <w:marRight w:val="0"/>
          <w:marTop w:val="0"/>
          <w:marBottom w:val="0"/>
          <w:divBdr>
            <w:top w:val="none" w:sz="0" w:space="0" w:color="auto"/>
            <w:left w:val="none" w:sz="0" w:space="0" w:color="auto"/>
            <w:bottom w:val="none" w:sz="0" w:space="0" w:color="auto"/>
            <w:right w:val="none" w:sz="0" w:space="0" w:color="auto"/>
          </w:divBdr>
          <w:divsChild>
            <w:div w:id="754936987">
              <w:marLeft w:val="0"/>
              <w:marRight w:val="0"/>
              <w:marTop w:val="0"/>
              <w:marBottom w:val="0"/>
              <w:divBdr>
                <w:top w:val="none" w:sz="0" w:space="0" w:color="auto"/>
                <w:left w:val="none" w:sz="0" w:space="0" w:color="auto"/>
                <w:bottom w:val="none" w:sz="0" w:space="0" w:color="auto"/>
                <w:right w:val="none" w:sz="0" w:space="0" w:color="auto"/>
              </w:divBdr>
            </w:div>
          </w:divsChild>
        </w:div>
        <w:div w:id="754936956">
          <w:marLeft w:val="0"/>
          <w:marRight w:val="0"/>
          <w:marTop w:val="0"/>
          <w:marBottom w:val="0"/>
          <w:divBdr>
            <w:top w:val="none" w:sz="0" w:space="0" w:color="auto"/>
            <w:left w:val="none" w:sz="0" w:space="0" w:color="auto"/>
            <w:bottom w:val="none" w:sz="0" w:space="0" w:color="auto"/>
            <w:right w:val="none" w:sz="0" w:space="0" w:color="auto"/>
          </w:divBdr>
          <w:divsChild>
            <w:div w:id="754936983">
              <w:marLeft w:val="0"/>
              <w:marRight w:val="0"/>
              <w:marTop w:val="0"/>
              <w:marBottom w:val="0"/>
              <w:divBdr>
                <w:top w:val="none" w:sz="0" w:space="0" w:color="auto"/>
                <w:left w:val="none" w:sz="0" w:space="0" w:color="auto"/>
                <w:bottom w:val="none" w:sz="0" w:space="0" w:color="auto"/>
                <w:right w:val="none" w:sz="0" w:space="0" w:color="auto"/>
              </w:divBdr>
            </w:div>
          </w:divsChild>
        </w:div>
        <w:div w:id="754936957">
          <w:marLeft w:val="0"/>
          <w:marRight w:val="0"/>
          <w:marTop w:val="0"/>
          <w:marBottom w:val="0"/>
          <w:divBdr>
            <w:top w:val="none" w:sz="0" w:space="0" w:color="auto"/>
            <w:left w:val="none" w:sz="0" w:space="0" w:color="auto"/>
            <w:bottom w:val="none" w:sz="0" w:space="0" w:color="auto"/>
            <w:right w:val="none" w:sz="0" w:space="0" w:color="auto"/>
          </w:divBdr>
          <w:divsChild>
            <w:div w:id="754936959">
              <w:marLeft w:val="0"/>
              <w:marRight w:val="0"/>
              <w:marTop w:val="0"/>
              <w:marBottom w:val="0"/>
              <w:divBdr>
                <w:top w:val="none" w:sz="0" w:space="0" w:color="auto"/>
                <w:left w:val="none" w:sz="0" w:space="0" w:color="auto"/>
                <w:bottom w:val="none" w:sz="0" w:space="0" w:color="auto"/>
                <w:right w:val="none" w:sz="0" w:space="0" w:color="auto"/>
              </w:divBdr>
            </w:div>
          </w:divsChild>
        </w:div>
        <w:div w:id="754936958">
          <w:marLeft w:val="0"/>
          <w:marRight w:val="0"/>
          <w:marTop w:val="0"/>
          <w:marBottom w:val="0"/>
          <w:divBdr>
            <w:top w:val="none" w:sz="0" w:space="0" w:color="auto"/>
            <w:left w:val="none" w:sz="0" w:space="0" w:color="auto"/>
            <w:bottom w:val="none" w:sz="0" w:space="0" w:color="auto"/>
            <w:right w:val="none" w:sz="0" w:space="0" w:color="auto"/>
          </w:divBdr>
          <w:divsChild>
            <w:div w:id="754936978">
              <w:marLeft w:val="0"/>
              <w:marRight w:val="0"/>
              <w:marTop w:val="0"/>
              <w:marBottom w:val="0"/>
              <w:divBdr>
                <w:top w:val="none" w:sz="0" w:space="0" w:color="auto"/>
                <w:left w:val="none" w:sz="0" w:space="0" w:color="auto"/>
                <w:bottom w:val="none" w:sz="0" w:space="0" w:color="auto"/>
                <w:right w:val="none" w:sz="0" w:space="0" w:color="auto"/>
              </w:divBdr>
            </w:div>
          </w:divsChild>
        </w:div>
        <w:div w:id="754936960">
          <w:marLeft w:val="0"/>
          <w:marRight w:val="0"/>
          <w:marTop w:val="0"/>
          <w:marBottom w:val="0"/>
          <w:divBdr>
            <w:top w:val="none" w:sz="0" w:space="0" w:color="auto"/>
            <w:left w:val="none" w:sz="0" w:space="0" w:color="auto"/>
            <w:bottom w:val="none" w:sz="0" w:space="0" w:color="auto"/>
            <w:right w:val="none" w:sz="0" w:space="0" w:color="auto"/>
          </w:divBdr>
          <w:divsChild>
            <w:div w:id="754937010">
              <w:marLeft w:val="0"/>
              <w:marRight w:val="0"/>
              <w:marTop w:val="0"/>
              <w:marBottom w:val="0"/>
              <w:divBdr>
                <w:top w:val="none" w:sz="0" w:space="0" w:color="auto"/>
                <w:left w:val="none" w:sz="0" w:space="0" w:color="auto"/>
                <w:bottom w:val="none" w:sz="0" w:space="0" w:color="auto"/>
                <w:right w:val="none" w:sz="0" w:space="0" w:color="auto"/>
              </w:divBdr>
            </w:div>
          </w:divsChild>
        </w:div>
        <w:div w:id="754936961">
          <w:marLeft w:val="0"/>
          <w:marRight w:val="0"/>
          <w:marTop w:val="0"/>
          <w:marBottom w:val="0"/>
          <w:divBdr>
            <w:top w:val="none" w:sz="0" w:space="0" w:color="auto"/>
            <w:left w:val="none" w:sz="0" w:space="0" w:color="auto"/>
            <w:bottom w:val="none" w:sz="0" w:space="0" w:color="auto"/>
            <w:right w:val="none" w:sz="0" w:space="0" w:color="auto"/>
          </w:divBdr>
          <w:divsChild>
            <w:div w:id="754936990">
              <w:marLeft w:val="0"/>
              <w:marRight w:val="0"/>
              <w:marTop w:val="0"/>
              <w:marBottom w:val="0"/>
              <w:divBdr>
                <w:top w:val="none" w:sz="0" w:space="0" w:color="auto"/>
                <w:left w:val="none" w:sz="0" w:space="0" w:color="auto"/>
                <w:bottom w:val="none" w:sz="0" w:space="0" w:color="auto"/>
                <w:right w:val="none" w:sz="0" w:space="0" w:color="auto"/>
              </w:divBdr>
            </w:div>
          </w:divsChild>
        </w:div>
        <w:div w:id="754936962">
          <w:marLeft w:val="0"/>
          <w:marRight w:val="0"/>
          <w:marTop w:val="0"/>
          <w:marBottom w:val="0"/>
          <w:divBdr>
            <w:top w:val="none" w:sz="0" w:space="0" w:color="auto"/>
            <w:left w:val="none" w:sz="0" w:space="0" w:color="auto"/>
            <w:bottom w:val="none" w:sz="0" w:space="0" w:color="auto"/>
            <w:right w:val="none" w:sz="0" w:space="0" w:color="auto"/>
          </w:divBdr>
          <w:divsChild>
            <w:div w:id="754936974">
              <w:marLeft w:val="0"/>
              <w:marRight w:val="0"/>
              <w:marTop w:val="0"/>
              <w:marBottom w:val="0"/>
              <w:divBdr>
                <w:top w:val="none" w:sz="0" w:space="0" w:color="auto"/>
                <w:left w:val="none" w:sz="0" w:space="0" w:color="auto"/>
                <w:bottom w:val="none" w:sz="0" w:space="0" w:color="auto"/>
                <w:right w:val="none" w:sz="0" w:space="0" w:color="auto"/>
              </w:divBdr>
            </w:div>
          </w:divsChild>
        </w:div>
        <w:div w:id="754936963">
          <w:marLeft w:val="0"/>
          <w:marRight w:val="0"/>
          <w:marTop w:val="0"/>
          <w:marBottom w:val="0"/>
          <w:divBdr>
            <w:top w:val="none" w:sz="0" w:space="0" w:color="auto"/>
            <w:left w:val="none" w:sz="0" w:space="0" w:color="auto"/>
            <w:bottom w:val="none" w:sz="0" w:space="0" w:color="auto"/>
            <w:right w:val="none" w:sz="0" w:space="0" w:color="auto"/>
          </w:divBdr>
          <w:divsChild>
            <w:div w:id="754936967">
              <w:marLeft w:val="0"/>
              <w:marRight w:val="0"/>
              <w:marTop w:val="0"/>
              <w:marBottom w:val="0"/>
              <w:divBdr>
                <w:top w:val="none" w:sz="0" w:space="0" w:color="auto"/>
                <w:left w:val="none" w:sz="0" w:space="0" w:color="auto"/>
                <w:bottom w:val="none" w:sz="0" w:space="0" w:color="auto"/>
                <w:right w:val="none" w:sz="0" w:space="0" w:color="auto"/>
              </w:divBdr>
            </w:div>
          </w:divsChild>
        </w:div>
        <w:div w:id="754936966">
          <w:marLeft w:val="0"/>
          <w:marRight w:val="0"/>
          <w:marTop w:val="0"/>
          <w:marBottom w:val="0"/>
          <w:divBdr>
            <w:top w:val="none" w:sz="0" w:space="0" w:color="auto"/>
            <w:left w:val="none" w:sz="0" w:space="0" w:color="auto"/>
            <w:bottom w:val="none" w:sz="0" w:space="0" w:color="auto"/>
            <w:right w:val="none" w:sz="0" w:space="0" w:color="auto"/>
          </w:divBdr>
          <w:divsChild>
            <w:div w:id="754936989">
              <w:marLeft w:val="0"/>
              <w:marRight w:val="0"/>
              <w:marTop w:val="0"/>
              <w:marBottom w:val="0"/>
              <w:divBdr>
                <w:top w:val="none" w:sz="0" w:space="0" w:color="auto"/>
                <w:left w:val="none" w:sz="0" w:space="0" w:color="auto"/>
                <w:bottom w:val="none" w:sz="0" w:space="0" w:color="auto"/>
                <w:right w:val="none" w:sz="0" w:space="0" w:color="auto"/>
              </w:divBdr>
            </w:div>
          </w:divsChild>
        </w:div>
        <w:div w:id="754936975">
          <w:marLeft w:val="0"/>
          <w:marRight w:val="0"/>
          <w:marTop w:val="0"/>
          <w:marBottom w:val="0"/>
          <w:divBdr>
            <w:top w:val="none" w:sz="0" w:space="0" w:color="auto"/>
            <w:left w:val="none" w:sz="0" w:space="0" w:color="auto"/>
            <w:bottom w:val="none" w:sz="0" w:space="0" w:color="auto"/>
            <w:right w:val="none" w:sz="0" w:space="0" w:color="auto"/>
          </w:divBdr>
          <w:divsChild>
            <w:div w:id="754936997">
              <w:marLeft w:val="0"/>
              <w:marRight w:val="0"/>
              <w:marTop w:val="0"/>
              <w:marBottom w:val="0"/>
              <w:divBdr>
                <w:top w:val="none" w:sz="0" w:space="0" w:color="auto"/>
                <w:left w:val="none" w:sz="0" w:space="0" w:color="auto"/>
                <w:bottom w:val="none" w:sz="0" w:space="0" w:color="auto"/>
                <w:right w:val="none" w:sz="0" w:space="0" w:color="auto"/>
              </w:divBdr>
            </w:div>
            <w:div w:id="754937014">
              <w:marLeft w:val="0"/>
              <w:marRight w:val="0"/>
              <w:marTop w:val="0"/>
              <w:marBottom w:val="0"/>
              <w:divBdr>
                <w:top w:val="none" w:sz="0" w:space="0" w:color="auto"/>
                <w:left w:val="none" w:sz="0" w:space="0" w:color="auto"/>
                <w:bottom w:val="none" w:sz="0" w:space="0" w:color="auto"/>
                <w:right w:val="none" w:sz="0" w:space="0" w:color="auto"/>
              </w:divBdr>
            </w:div>
          </w:divsChild>
        </w:div>
        <w:div w:id="754936977">
          <w:marLeft w:val="0"/>
          <w:marRight w:val="0"/>
          <w:marTop w:val="0"/>
          <w:marBottom w:val="0"/>
          <w:divBdr>
            <w:top w:val="none" w:sz="0" w:space="0" w:color="auto"/>
            <w:left w:val="none" w:sz="0" w:space="0" w:color="auto"/>
            <w:bottom w:val="none" w:sz="0" w:space="0" w:color="auto"/>
            <w:right w:val="none" w:sz="0" w:space="0" w:color="auto"/>
          </w:divBdr>
          <w:divsChild>
            <w:div w:id="754936988">
              <w:marLeft w:val="0"/>
              <w:marRight w:val="0"/>
              <w:marTop w:val="0"/>
              <w:marBottom w:val="0"/>
              <w:divBdr>
                <w:top w:val="none" w:sz="0" w:space="0" w:color="auto"/>
                <w:left w:val="none" w:sz="0" w:space="0" w:color="auto"/>
                <w:bottom w:val="none" w:sz="0" w:space="0" w:color="auto"/>
                <w:right w:val="none" w:sz="0" w:space="0" w:color="auto"/>
              </w:divBdr>
            </w:div>
            <w:div w:id="754936993">
              <w:marLeft w:val="0"/>
              <w:marRight w:val="0"/>
              <w:marTop w:val="0"/>
              <w:marBottom w:val="0"/>
              <w:divBdr>
                <w:top w:val="none" w:sz="0" w:space="0" w:color="auto"/>
                <w:left w:val="none" w:sz="0" w:space="0" w:color="auto"/>
                <w:bottom w:val="none" w:sz="0" w:space="0" w:color="auto"/>
                <w:right w:val="none" w:sz="0" w:space="0" w:color="auto"/>
              </w:divBdr>
            </w:div>
          </w:divsChild>
        </w:div>
        <w:div w:id="754936980">
          <w:marLeft w:val="0"/>
          <w:marRight w:val="0"/>
          <w:marTop w:val="0"/>
          <w:marBottom w:val="0"/>
          <w:divBdr>
            <w:top w:val="none" w:sz="0" w:space="0" w:color="auto"/>
            <w:left w:val="none" w:sz="0" w:space="0" w:color="auto"/>
            <w:bottom w:val="none" w:sz="0" w:space="0" w:color="auto"/>
            <w:right w:val="none" w:sz="0" w:space="0" w:color="auto"/>
          </w:divBdr>
          <w:divsChild>
            <w:div w:id="754936991">
              <w:marLeft w:val="0"/>
              <w:marRight w:val="0"/>
              <w:marTop w:val="0"/>
              <w:marBottom w:val="0"/>
              <w:divBdr>
                <w:top w:val="none" w:sz="0" w:space="0" w:color="auto"/>
                <w:left w:val="none" w:sz="0" w:space="0" w:color="auto"/>
                <w:bottom w:val="none" w:sz="0" w:space="0" w:color="auto"/>
                <w:right w:val="none" w:sz="0" w:space="0" w:color="auto"/>
              </w:divBdr>
            </w:div>
          </w:divsChild>
        </w:div>
        <w:div w:id="754936981">
          <w:marLeft w:val="0"/>
          <w:marRight w:val="0"/>
          <w:marTop w:val="0"/>
          <w:marBottom w:val="0"/>
          <w:divBdr>
            <w:top w:val="none" w:sz="0" w:space="0" w:color="auto"/>
            <w:left w:val="none" w:sz="0" w:space="0" w:color="auto"/>
            <w:bottom w:val="none" w:sz="0" w:space="0" w:color="auto"/>
            <w:right w:val="none" w:sz="0" w:space="0" w:color="auto"/>
          </w:divBdr>
          <w:divsChild>
            <w:div w:id="754936973">
              <w:marLeft w:val="0"/>
              <w:marRight w:val="0"/>
              <w:marTop w:val="0"/>
              <w:marBottom w:val="0"/>
              <w:divBdr>
                <w:top w:val="none" w:sz="0" w:space="0" w:color="auto"/>
                <w:left w:val="none" w:sz="0" w:space="0" w:color="auto"/>
                <w:bottom w:val="none" w:sz="0" w:space="0" w:color="auto"/>
                <w:right w:val="none" w:sz="0" w:space="0" w:color="auto"/>
              </w:divBdr>
            </w:div>
          </w:divsChild>
        </w:div>
        <w:div w:id="754936982">
          <w:marLeft w:val="0"/>
          <w:marRight w:val="0"/>
          <w:marTop w:val="0"/>
          <w:marBottom w:val="0"/>
          <w:divBdr>
            <w:top w:val="none" w:sz="0" w:space="0" w:color="auto"/>
            <w:left w:val="none" w:sz="0" w:space="0" w:color="auto"/>
            <w:bottom w:val="none" w:sz="0" w:space="0" w:color="auto"/>
            <w:right w:val="none" w:sz="0" w:space="0" w:color="auto"/>
          </w:divBdr>
          <w:divsChild>
            <w:div w:id="754937011">
              <w:marLeft w:val="0"/>
              <w:marRight w:val="0"/>
              <w:marTop w:val="0"/>
              <w:marBottom w:val="0"/>
              <w:divBdr>
                <w:top w:val="none" w:sz="0" w:space="0" w:color="auto"/>
                <w:left w:val="none" w:sz="0" w:space="0" w:color="auto"/>
                <w:bottom w:val="none" w:sz="0" w:space="0" w:color="auto"/>
                <w:right w:val="none" w:sz="0" w:space="0" w:color="auto"/>
              </w:divBdr>
            </w:div>
          </w:divsChild>
        </w:div>
        <w:div w:id="754936984">
          <w:marLeft w:val="0"/>
          <w:marRight w:val="0"/>
          <w:marTop w:val="0"/>
          <w:marBottom w:val="0"/>
          <w:divBdr>
            <w:top w:val="none" w:sz="0" w:space="0" w:color="auto"/>
            <w:left w:val="none" w:sz="0" w:space="0" w:color="auto"/>
            <w:bottom w:val="none" w:sz="0" w:space="0" w:color="auto"/>
            <w:right w:val="none" w:sz="0" w:space="0" w:color="auto"/>
          </w:divBdr>
          <w:divsChild>
            <w:div w:id="754937000">
              <w:marLeft w:val="0"/>
              <w:marRight w:val="0"/>
              <w:marTop w:val="0"/>
              <w:marBottom w:val="0"/>
              <w:divBdr>
                <w:top w:val="none" w:sz="0" w:space="0" w:color="auto"/>
                <w:left w:val="none" w:sz="0" w:space="0" w:color="auto"/>
                <w:bottom w:val="none" w:sz="0" w:space="0" w:color="auto"/>
                <w:right w:val="none" w:sz="0" w:space="0" w:color="auto"/>
              </w:divBdr>
            </w:div>
          </w:divsChild>
        </w:div>
        <w:div w:id="754936992">
          <w:marLeft w:val="0"/>
          <w:marRight w:val="0"/>
          <w:marTop w:val="0"/>
          <w:marBottom w:val="0"/>
          <w:divBdr>
            <w:top w:val="none" w:sz="0" w:space="0" w:color="auto"/>
            <w:left w:val="none" w:sz="0" w:space="0" w:color="auto"/>
            <w:bottom w:val="none" w:sz="0" w:space="0" w:color="auto"/>
            <w:right w:val="none" w:sz="0" w:space="0" w:color="auto"/>
          </w:divBdr>
          <w:divsChild>
            <w:div w:id="754936971">
              <w:marLeft w:val="0"/>
              <w:marRight w:val="0"/>
              <w:marTop w:val="0"/>
              <w:marBottom w:val="0"/>
              <w:divBdr>
                <w:top w:val="none" w:sz="0" w:space="0" w:color="auto"/>
                <w:left w:val="none" w:sz="0" w:space="0" w:color="auto"/>
                <w:bottom w:val="none" w:sz="0" w:space="0" w:color="auto"/>
                <w:right w:val="none" w:sz="0" w:space="0" w:color="auto"/>
              </w:divBdr>
            </w:div>
          </w:divsChild>
        </w:div>
        <w:div w:id="754937001">
          <w:marLeft w:val="0"/>
          <w:marRight w:val="0"/>
          <w:marTop w:val="0"/>
          <w:marBottom w:val="0"/>
          <w:divBdr>
            <w:top w:val="none" w:sz="0" w:space="0" w:color="auto"/>
            <w:left w:val="none" w:sz="0" w:space="0" w:color="auto"/>
            <w:bottom w:val="none" w:sz="0" w:space="0" w:color="auto"/>
            <w:right w:val="none" w:sz="0" w:space="0" w:color="auto"/>
          </w:divBdr>
          <w:divsChild>
            <w:div w:id="754936954">
              <w:marLeft w:val="0"/>
              <w:marRight w:val="0"/>
              <w:marTop w:val="0"/>
              <w:marBottom w:val="0"/>
              <w:divBdr>
                <w:top w:val="none" w:sz="0" w:space="0" w:color="auto"/>
                <w:left w:val="none" w:sz="0" w:space="0" w:color="auto"/>
                <w:bottom w:val="none" w:sz="0" w:space="0" w:color="auto"/>
                <w:right w:val="none" w:sz="0" w:space="0" w:color="auto"/>
              </w:divBdr>
            </w:div>
          </w:divsChild>
        </w:div>
        <w:div w:id="754937005">
          <w:marLeft w:val="0"/>
          <w:marRight w:val="0"/>
          <w:marTop w:val="0"/>
          <w:marBottom w:val="0"/>
          <w:divBdr>
            <w:top w:val="none" w:sz="0" w:space="0" w:color="auto"/>
            <w:left w:val="none" w:sz="0" w:space="0" w:color="auto"/>
            <w:bottom w:val="none" w:sz="0" w:space="0" w:color="auto"/>
            <w:right w:val="none" w:sz="0" w:space="0" w:color="auto"/>
          </w:divBdr>
          <w:divsChild>
            <w:div w:id="754936996">
              <w:marLeft w:val="0"/>
              <w:marRight w:val="0"/>
              <w:marTop w:val="0"/>
              <w:marBottom w:val="0"/>
              <w:divBdr>
                <w:top w:val="none" w:sz="0" w:space="0" w:color="auto"/>
                <w:left w:val="none" w:sz="0" w:space="0" w:color="auto"/>
                <w:bottom w:val="none" w:sz="0" w:space="0" w:color="auto"/>
                <w:right w:val="none" w:sz="0" w:space="0" w:color="auto"/>
              </w:divBdr>
            </w:div>
          </w:divsChild>
        </w:div>
        <w:div w:id="754937006">
          <w:marLeft w:val="0"/>
          <w:marRight w:val="0"/>
          <w:marTop w:val="0"/>
          <w:marBottom w:val="0"/>
          <w:divBdr>
            <w:top w:val="none" w:sz="0" w:space="0" w:color="auto"/>
            <w:left w:val="none" w:sz="0" w:space="0" w:color="auto"/>
            <w:bottom w:val="none" w:sz="0" w:space="0" w:color="auto"/>
            <w:right w:val="none" w:sz="0" w:space="0" w:color="auto"/>
          </w:divBdr>
          <w:divsChild>
            <w:div w:id="754936995">
              <w:marLeft w:val="0"/>
              <w:marRight w:val="0"/>
              <w:marTop w:val="0"/>
              <w:marBottom w:val="0"/>
              <w:divBdr>
                <w:top w:val="none" w:sz="0" w:space="0" w:color="auto"/>
                <w:left w:val="none" w:sz="0" w:space="0" w:color="auto"/>
                <w:bottom w:val="none" w:sz="0" w:space="0" w:color="auto"/>
                <w:right w:val="none" w:sz="0" w:space="0" w:color="auto"/>
              </w:divBdr>
            </w:div>
          </w:divsChild>
        </w:div>
        <w:div w:id="754937007">
          <w:marLeft w:val="0"/>
          <w:marRight w:val="0"/>
          <w:marTop w:val="0"/>
          <w:marBottom w:val="0"/>
          <w:divBdr>
            <w:top w:val="none" w:sz="0" w:space="0" w:color="auto"/>
            <w:left w:val="none" w:sz="0" w:space="0" w:color="auto"/>
            <w:bottom w:val="none" w:sz="0" w:space="0" w:color="auto"/>
            <w:right w:val="none" w:sz="0" w:space="0" w:color="auto"/>
          </w:divBdr>
          <w:divsChild>
            <w:div w:id="754936970">
              <w:marLeft w:val="0"/>
              <w:marRight w:val="0"/>
              <w:marTop w:val="0"/>
              <w:marBottom w:val="0"/>
              <w:divBdr>
                <w:top w:val="none" w:sz="0" w:space="0" w:color="auto"/>
                <w:left w:val="none" w:sz="0" w:space="0" w:color="auto"/>
                <w:bottom w:val="none" w:sz="0" w:space="0" w:color="auto"/>
                <w:right w:val="none" w:sz="0" w:space="0" w:color="auto"/>
              </w:divBdr>
            </w:div>
          </w:divsChild>
        </w:div>
        <w:div w:id="754937008">
          <w:marLeft w:val="0"/>
          <w:marRight w:val="0"/>
          <w:marTop w:val="0"/>
          <w:marBottom w:val="0"/>
          <w:divBdr>
            <w:top w:val="none" w:sz="0" w:space="0" w:color="auto"/>
            <w:left w:val="none" w:sz="0" w:space="0" w:color="auto"/>
            <w:bottom w:val="none" w:sz="0" w:space="0" w:color="auto"/>
            <w:right w:val="none" w:sz="0" w:space="0" w:color="auto"/>
          </w:divBdr>
          <w:divsChild>
            <w:div w:id="754936998">
              <w:marLeft w:val="0"/>
              <w:marRight w:val="0"/>
              <w:marTop w:val="0"/>
              <w:marBottom w:val="0"/>
              <w:divBdr>
                <w:top w:val="none" w:sz="0" w:space="0" w:color="auto"/>
                <w:left w:val="none" w:sz="0" w:space="0" w:color="auto"/>
                <w:bottom w:val="none" w:sz="0" w:space="0" w:color="auto"/>
                <w:right w:val="none" w:sz="0" w:space="0" w:color="auto"/>
              </w:divBdr>
            </w:div>
          </w:divsChild>
        </w:div>
        <w:div w:id="754937009">
          <w:marLeft w:val="0"/>
          <w:marRight w:val="0"/>
          <w:marTop w:val="0"/>
          <w:marBottom w:val="0"/>
          <w:divBdr>
            <w:top w:val="none" w:sz="0" w:space="0" w:color="auto"/>
            <w:left w:val="none" w:sz="0" w:space="0" w:color="auto"/>
            <w:bottom w:val="none" w:sz="0" w:space="0" w:color="auto"/>
            <w:right w:val="none" w:sz="0" w:space="0" w:color="auto"/>
          </w:divBdr>
          <w:divsChild>
            <w:div w:id="754936968">
              <w:marLeft w:val="0"/>
              <w:marRight w:val="0"/>
              <w:marTop w:val="0"/>
              <w:marBottom w:val="0"/>
              <w:divBdr>
                <w:top w:val="none" w:sz="0" w:space="0" w:color="auto"/>
                <w:left w:val="none" w:sz="0" w:space="0" w:color="auto"/>
                <w:bottom w:val="none" w:sz="0" w:space="0" w:color="auto"/>
                <w:right w:val="none" w:sz="0" w:space="0" w:color="auto"/>
              </w:divBdr>
            </w:div>
          </w:divsChild>
        </w:div>
        <w:div w:id="754937012">
          <w:marLeft w:val="0"/>
          <w:marRight w:val="0"/>
          <w:marTop w:val="0"/>
          <w:marBottom w:val="0"/>
          <w:divBdr>
            <w:top w:val="none" w:sz="0" w:space="0" w:color="auto"/>
            <w:left w:val="none" w:sz="0" w:space="0" w:color="auto"/>
            <w:bottom w:val="none" w:sz="0" w:space="0" w:color="auto"/>
            <w:right w:val="none" w:sz="0" w:space="0" w:color="auto"/>
          </w:divBdr>
          <w:divsChild>
            <w:div w:id="754937004">
              <w:marLeft w:val="0"/>
              <w:marRight w:val="0"/>
              <w:marTop w:val="0"/>
              <w:marBottom w:val="0"/>
              <w:divBdr>
                <w:top w:val="none" w:sz="0" w:space="0" w:color="auto"/>
                <w:left w:val="none" w:sz="0" w:space="0" w:color="auto"/>
                <w:bottom w:val="none" w:sz="0" w:space="0" w:color="auto"/>
                <w:right w:val="none" w:sz="0" w:space="0" w:color="auto"/>
              </w:divBdr>
            </w:div>
          </w:divsChild>
        </w:div>
        <w:div w:id="754937013">
          <w:marLeft w:val="0"/>
          <w:marRight w:val="0"/>
          <w:marTop w:val="0"/>
          <w:marBottom w:val="0"/>
          <w:divBdr>
            <w:top w:val="none" w:sz="0" w:space="0" w:color="auto"/>
            <w:left w:val="none" w:sz="0" w:space="0" w:color="auto"/>
            <w:bottom w:val="none" w:sz="0" w:space="0" w:color="auto"/>
            <w:right w:val="none" w:sz="0" w:space="0" w:color="auto"/>
          </w:divBdr>
          <w:divsChild>
            <w:div w:id="754936979">
              <w:marLeft w:val="0"/>
              <w:marRight w:val="0"/>
              <w:marTop w:val="0"/>
              <w:marBottom w:val="0"/>
              <w:divBdr>
                <w:top w:val="none" w:sz="0" w:space="0" w:color="auto"/>
                <w:left w:val="none" w:sz="0" w:space="0" w:color="auto"/>
                <w:bottom w:val="none" w:sz="0" w:space="0" w:color="auto"/>
                <w:right w:val="none" w:sz="0" w:space="0" w:color="auto"/>
              </w:divBdr>
            </w:div>
          </w:divsChild>
        </w:div>
        <w:div w:id="754937015">
          <w:marLeft w:val="0"/>
          <w:marRight w:val="0"/>
          <w:marTop w:val="0"/>
          <w:marBottom w:val="0"/>
          <w:divBdr>
            <w:top w:val="none" w:sz="0" w:space="0" w:color="auto"/>
            <w:left w:val="none" w:sz="0" w:space="0" w:color="auto"/>
            <w:bottom w:val="none" w:sz="0" w:space="0" w:color="auto"/>
            <w:right w:val="none" w:sz="0" w:space="0" w:color="auto"/>
          </w:divBdr>
          <w:divsChild>
            <w:div w:id="75493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936976">
      <w:marLeft w:val="0"/>
      <w:marRight w:val="0"/>
      <w:marTop w:val="0"/>
      <w:marBottom w:val="0"/>
      <w:divBdr>
        <w:top w:val="none" w:sz="0" w:space="0" w:color="auto"/>
        <w:left w:val="none" w:sz="0" w:space="0" w:color="auto"/>
        <w:bottom w:val="none" w:sz="0" w:space="0" w:color="auto"/>
        <w:right w:val="none" w:sz="0" w:space="0" w:color="auto"/>
      </w:divBdr>
    </w:div>
    <w:div w:id="754936986">
      <w:marLeft w:val="0"/>
      <w:marRight w:val="0"/>
      <w:marTop w:val="0"/>
      <w:marBottom w:val="0"/>
      <w:divBdr>
        <w:top w:val="none" w:sz="0" w:space="0" w:color="auto"/>
        <w:left w:val="none" w:sz="0" w:space="0" w:color="auto"/>
        <w:bottom w:val="none" w:sz="0" w:space="0" w:color="auto"/>
        <w:right w:val="none" w:sz="0" w:space="0" w:color="auto"/>
      </w:divBdr>
    </w:div>
    <w:div w:id="754936994">
      <w:marLeft w:val="0"/>
      <w:marRight w:val="0"/>
      <w:marTop w:val="0"/>
      <w:marBottom w:val="0"/>
      <w:divBdr>
        <w:top w:val="none" w:sz="0" w:space="0" w:color="auto"/>
        <w:left w:val="none" w:sz="0" w:space="0" w:color="auto"/>
        <w:bottom w:val="none" w:sz="0" w:space="0" w:color="auto"/>
        <w:right w:val="none" w:sz="0" w:space="0" w:color="auto"/>
      </w:divBdr>
    </w:div>
    <w:div w:id="754936999">
      <w:marLeft w:val="0"/>
      <w:marRight w:val="0"/>
      <w:marTop w:val="0"/>
      <w:marBottom w:val="0"/>
      <w:divBdr>
        <w:top w:val="none" w:sz="0" w:space="0" w:color="auto"/>
        <w:left w:val="none" w:sz="0" w:space="0" w:color="auto"/>
        <w:bottom w:val="none" w:sz="0" w:space="0" w:color="auto"/>
        <w:right w:val="none" w:sz="0" w:space="0" w:color="auto"/>
      </w:divBdr>
    </w:div>
    <w:div w:id="754937002">
      <w:marLeft w:val="0"/>
      <w:marRight w:val="0"/>
      <w:marTop w:val="0"/>
      <w:marBottom w:val="0"/>
      <w:divBdr>
        <w:top w:val="none" w:sz="0" w:space="0" w:color="auto"/>
        <w:left w:val="none" w:sz="0" w:space="0" w:color="auto"/>
        <w:bottom w:val="none" w:sz="0" w:space="0" w:color="auto"/>
        <w:right w:val="none" w:sz="0" w:space="0" w:color="auto"/>
      </w:divBdr>
    </w:div>
    <w:div w:id="754937003">
      <w:marLeft w:val="0"/>
      <w:marRight w:val="0"/>
      <w:marTop w:val="0"/>
      <w:marBottom w:val="0"/>
      <w:divBdr>
        <w:top w:val="none" w:sz="0" w:space="0" w:color="auto"/>
        <w:left w:val="none" w:sz="0" w:space="0" w:color="auto"/>
        <w:bottom w:val="none" w:sz="0" w:space="0" w:color="auto"/>
        <w:right w:val="none" w:sz="0" w:space="0" w:color="auto"/>
      </w:divBdr>
      <w:divsChild>
        <w:div w:id="754936972">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UNEP/OzL.Pro/ExCom/86/21/Add.2</Document_x0020_Number>
    <Posted_x0020_after_x0020_IAP xmlns="322d07b1-c5d0-4422-b2ab-6229d1d17e27">true</Posted_x0020_after_x0020_IAP>
  </documentManagement>
</p:properties>
</file>

<file path=customXml/itemProps1.xml><?xml version="1.0" encoding="utf-8"?>
<ds:datastoreItem xmlns:ds="http://schemas.openxmlformats.org/officeDocument/2006/customXml" ds:itemID="{90E3C8F2-69D9-48A9-98FC-C4B7F05227B7}"/>
</file>

<file path=customXml/itemProps2.xml><?xml version="1.0" encoding="utf-8"?>
<ds:datastoreItem xmlns:ds="http://schemas.openxmlformats.org/officeDocument/2006/customXml" ds:itemID="{4DAA2759-B413-4BB8-B344-F2504F701B8B}"/>
</file>

<file path=customXml/itemProps3.xml><?xml version="1.0" encoding="utf-8"?>
<ds:datastoreItem xmlns:ds="http://schemas.openxmlformats.org/officeDocument/2006/customXml" ds:itemID="{276D5077-8F29-4A9B-AC4D-DA5BBD389815}"/>
</file>

<file path=docProps/app.xml><?xml version="1.0" encoding="utf-8"?>
<Properties xmlns="http://schemas.openxmlformats.org/officeDocument/2006/extended-properties" xmlns:vt="http://schemas.openxmlformats.org/officeDocument/2006/docPropsVTypes">
  <Template>Normal</Template>
  <TotalTime>256</TotalTime>
  <Pages>4</Pages>
  <Words>488</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关于有特殊报告要求的项目的报告 - 增编二</vt:lpstr>
    </vt:vector>
  </TitlesOfParts>
  <Company>UNMFS</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关于有特殊报告要求的项目的报告 - 增编二</dc:title>
  <dc:subject/>
  <dc:creator>Elina Yuen</dc:creator>
  <cp:keywords>86th</cp:keywords>
  <dc:description/>
  <cp:lastModifiedBy>HB</cp:lastModifiedBy>
  <cp:revision>10</cp:revision>
  <cp:lastPrinted>2001-05-26T16:40:00Z</cp:lastPrinted>
  <dcterms:created xsi:type="dcterms:W3CDTF">2021-03-03T02:12:00Z</dcterms:created>
  <dcterms:modified xsi:type="dcterms:W3CDTF">2021-03-03T22:17:00Z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UNEP/OzL.Pro/ExCom/86/21/Add.2</vt:lpwstr>
  </property>
  <property fmtid="{D5CDD505-2E9C-101B-9397-08002B2CF9AE}" pid="3" name="Revision date">
    <vt:lpwstr>3/1/2021</vt:lpwstr>
  </property>
  <property fmtid="{D5CDD505-2E9C-101B-9397-08002B2CF9AE}" pid="4" name="ContentTypeId">
    <vt:lpwstr>0x0101009FC0169958848A478DF191449BB3F335</vt:lpwstr>
  </property>
  <property fmtid="{D5CDD505-2E9C-101B-9397-08002B2CF9AE}" pid="5" name="DocumentType">
    <vt:lpwstr>Pre-session</vt:lpwstr>
  </property>
</Properties>
</file>