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8D7AB4" w14:paraId="35CE938C" w14:textId="77777777" w:rsidTr="009C59F7">
        <w:trPr>
          <w:trHeight w:val="720"/>
        </w:trPr>
        <w:tc>
          <w:tcPr>
            <w:tcW w:w="5490" w:type="dxa"/>
            <w:gridSpan w:val="2"/>
            <w:tcBorders>
              <w:bottom w:val="single" w:sz="18" w:space="0" w:color="auto"/>
            </w:tcBorders>
          </w:tcPr>
          <w:p w14:paraId="07F5A013" w14:textId="77777777" w:rsidR="00C15867" w:rsidRPr="008D7AB4"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8D7AB4">
              <w:rPr>
                <w:rFonts w:ascii="Univers" w:hAnsi="Univers"/>
                <w:b/>
                <w:sz w:val="28"/>
                <w:szCs w:val="28"/>
              </w:rPr>
              <w:t>UNITED</w:t>
            </w:r>
            <w:r w:rsidRPr="008D7AB4">
              <w:rPr>
                <w:rFonts w:ascii="Univers" w:hAnsi="Univers"/>
                <w:b/>
                <w:sz w:val="28"/>
                <w:szCs w:val="28"/>
              </w:rPr>
              <w:br/>
              <w:t>NATIONS</w:t>
            </w:r>
          </w:p>
        </w:tc>
        <w:tc>
          <w:tcPr>
            <w:tcW w:w="4590" w:type="dxa"/>
            <w:tcBorders>
              <w:bottom w:val="single" w:sz="18" w:space="0" w:color="auto"/>
            </w:tcBorders>
          </w:tcPr>
          <w:p w14:paraId="750AAE53" w14:textId="77777777" w:rsidR="00C15867" w:rsidRPr="008D7AB4" w:rsidRDefault="00C15867" w:rsidP="009C59F7">
            <w:pPr>
              <w:jc w:val="right"/>
              <w:rPr>
                <w:sz w:val="52"/>
                <w:szCs w:val="52"/>
              </w:rPr>
            </w:pPr>
            <w:r w:rsidRPr="008D7AB4">
              <w:rPr>
                <w:rFonts w:ascii="Univers Bold" w:hAnsi="Univers Bold"/>
                <w:b/>
                <w:sz w:val="72"/>
              </w:rPr>
              <w:t>EP</w:t>
            </w:r>
          </w:p>
        </w:tc>
      </w:tr>
      <w:tr w:rsidR="00C15867" w:rsidRPr="008D7AB4" w14:paraId="4A3B0466"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0FF4331" w14:textId="77777777" w:rsidR="00C15867" w:rsidRPr="008D7AB4" w:rsidRDefault="00E52838" w:rsidP="009C59F7">
            <w:pPr>
              <w:spacing w:before="120"/>
            </w:pPr>
            <w:r w:rsidRPr="008D7AB4">
              <w:rPr>
                <w:noProof/>
                <w:lang w:eastAsia="zh-CN"/>
              </w:rPr>
              <mc:AlternateContent>
                <mc:Choice Requires="wpg">
                  <w:drawing>
                    <wp:anchor distT="0" distB="0" distL="114300" distR="114300" simplePos="0" relativeHeight="251658240" behindDoc="0" locked="0" layoutInCell="1" allowOverlap="1" wp14:anchorId="7C330ACE" wp14:editId="05FF465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D19DB91"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BC186C4" w14:textId="77777777" w:rsidR="00C15867" w:rsidRPr="008D7AB4"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8D7AB4">
              <w:rPr>
                <w:rFonts w:ascii="Univers" w:hAnsi="Univers"/>
                <w:b/>
                <w:sz w:val="32"/>
              </w:rPr>
              <w:t>United Nations</w:t>
            </w:r>
          </w:p>
          <w:p w14:paraId="7A5BF07B" w14:textId="77777777" w:rsidR="00C15867" w:rsidRPr="008D7AB4"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8D7AB4">
              <w:rPr>
                <w:rFonts w:ascii="Univers" w:hAnsi="Univers"/>
                <w:b/>
                <w:sz w:val="32"/>
              </w:rPr>
              <w:t>Environment</w:t>
            </w:r>
          </w:p>
          <w:p w14:paraId="34259273" w14:textId="77777777" w:rsidR="00C15867" w:rsidRPr="008D7AB4"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8D7AB4">
              <w:rPr>
                <w:rFonts w:ascii="Univers" w:hAnsi="Univers"/>
                <w:b/>
                <w:sz w:val="32"/>
              </w:rPr>
              <w:t>Programme</w:t>
            </w:r>
          </w:p>
          <w:p w14:paraId="207011AF" w14:textId="77777777" w:rsidR="00C15867" w:rsidRPr="008D7AB4" w:rsidRDefault="00C15867" w:rsidP="009C59F7">
            <w:pPr>
              <w:spacing w:before="720"/>
              <w:ind w:left="158"/>
            </w:pPr>
          </w:p>
        </w:tc>
        <w:tc>
          <w:tcPr>
            <w:tcW w:w="4590" w:type="dxa"/>
            <w:tcBorders>
              <w:top w:val="nil"/>
              <w:left w:val="nil"/>
              <w:bottom w:val="single" w:sz="36" w:space="0" w:color="auto"/>
              <w:right w:val="nil"/>
            </w:tcBorders>
          </w:tcPr>
          <w:p w14:paraId="06631A21" w14:textId="77777777" w:rsidR="00C15867" w:rsidRPr="008D7AB4" w:rsidRDefault="00C15867" w:rsidP="009C59F7">
            <w:r w:rsidRPr="008D7AB4">
              <w:t>Distr.</w:t>
            </w:r>
          </w:p>
          <w:p w14:paraId="22EE1644" w14:textId="77777777" w:rsidR="00923540" w:rsidRPr="008D7AB4" w:rsidRDefault="00923540" w:rsidP="00923540">
            <w:r w:rsidRPr="008D7AB4">
              <w:t>GENERAL</w:t>
            </w:r>
          </w:p>
          <w:p w14:paraId="22D903F9" w14:textId="77777777" w:rsidR="00C15867" w:rsidRPr="008D7AB4" w:rsidRDefault="00C15867" w:rsidP="009C59F7"/>
          <w:p w14:paraId="7A7A360E" w14:textId="77777777" w:rsidR="00C15867" w:rsidRPr="008D7AB4" w:rsidRDefault="00C15867" w:rsidP="009C59F7"/>
          <w:p w14:paraId="3D78A5AE" w14:textId="24021772" w:rsidR="00C15867" w:rsidRPr="008D7AB4" w:rsidRDefault="009B41B6" w:rsidP="009C59F7">
            <w:r>
              <w:fldChar w:fldCharType="begin"/>
            </w:r>
            <w:r>
              <w:instrText xml:space="preserve"> DOCPROPERTY "Document number"  \* MERGEFORMAT </w:instrText>
            </w:r>
            <w:r>
              <w:fldChar w:fldCharType="separate"/>
            </w:r>
            <w:r w:rsidR="00CD7B98" w:rsidRPr="008D7AB4">
              <w:t>UNEP/</w:t>
            </w:r>
            <w:proofErr w:type="spellStart"/>
            <w:r w:rsidR="00CD7B98" w:rsidRPr="008D7AB4">
              <w:t>OzL.Pro</w:t>
            </w:r>
            <w:proofErr w:type="spellEnd"/>
            <w:r w:rsidR="00CD7B98" w:rsidRPr="008D7AB4">
              <w:t>/ExCom/91/18</w:t>
            </w:r>
            <w:r>
              <w:fldChar w:fldCharType="end"/>
            </w:r>
          </w:p>
          <w:p w14:paraId="5878E1F2" w14:textId="133386C7" w:rsidR="00C15867" w:rsidRPr="008D7AB4" w:rsidRDefault="00BC2495" w:rsidP="009C59F7">
            <w:r w:rsidRPr="008D7AB4">
              <w:fldChar w:fldCharType="begin"/>
            </w:r>
            <w:r w:rsidR="00851352" w:rsidRPr="008D7AB4">
              <w:instrText xml:space="preserve"> DOCPROPERTY "Revision date" \@ "d MMMM YYYY"  \* MERGEFORMAT </w:instrText>
            </w:r>
            <w:r w:rsidRPr="008D7AB4">
              <w:fldChar w:fldCharType="separate"/>
            </w:r>
            <w:r w:rsidR="00B85D05">
              <w:t>14 November 2022</w:t>
            </w:r>
            <w:r w:rsidRPr="008D7AB4">
              <w:fldChar w:fldCharType="end"/>
            </w:r>
          </w:p>
          <w:p w14:paraId="3080E3AC" w14:textId="77777777" w:rsidR="00C15867" w:rsidRPr="008D7AB4" w:rsidRDefault="00C15867" w:rsidP="009C59F7">
            <w:pPr>
              <w:rPr>
                <w:caps/>
              </w:rPr>
            </w:pPr>
          </w:p>
          <w:p w14:paraId="5BAB0065" w14:textId="77777777" w:rsidR="00C15867" w:rsidRPr="008D7AB4" w:rsidRDefault="00C15867" w:rsidP="009C59F7">
            <w:r w:rsidRPr="008D7AB4">
              <w:t>ORIGINAL: ENGLISH</w:t>
            </w:r>
          </w:p>
        </w:tc>
      </w:tr>
    </w:tbl>
    <w:p w14:paraId="5524917F" w14:textId="77777777" w:rsidR="00CA59FB" w:rsidRPr="008D7AB4" w:rsidRDefault="00C15867" w:rsidP="00CA59FB">
      <w:pPr>
        <w:jc w:val="left"/>
      </w:pPr>
      <w:r w:rsidRPr="008D7AB4">
        <w:t>EXECUTIVE COMMITTEE OF</w:t>
      </w:r>
      <w:r w:rsidRPr="008D7AB4">
        <w:br/>
        <w:t xml:space="preserve">  THE MULTILATERAL FUND FOR THE</w:t>
      </w:r>
      <w:r w:rsidRPr="008D7AB4">
        <w:br/>
        <w:t xml:space="preserve">  IMPLEMENTATION OF THE MONTREAL PROTOCOL</w:t>
      </w:r>
      <w:r w:rsidRPr="008D7AB4">
        <w:br/>
      </w:r>
      <w:r w:rsidR="00CA59FB" w:rsidRPr="008D7AB4">
        <w:t>Ninety-first Meeting</w:t>
      </w:r>
    </w:p>
    <w:p w14:paraId="76EEAA2C" w14:textId="77777777" w:rsidR="00CA59FB" w:rsidRPr="008D7AB4" w:rsidRDefault="00CA59FB" w:rsidP="00CA59FB">
      <w:pPr>
        <w:jc w:val="left"/>
      </w:pPr>
      <w:r w:rsidRPr="008D7AB4">
        <w:t>Montreal, 5-9 December 2022</w:t>
      </w:r>
    </w:p>
    <w:p w14:paraId="3D034F8C" w14:textId="18A18B8E" w:rsidR="00EC57AE" w:rsidRPr="008D7AB4" w:rsidRDefault="00EC57AE" w:rsidP="00EC57AE">
      <w:pPr>
        <w:jc w:val="left"/>
        <w:rPr>
          <w:sz w:val="24"/>
          <w:szCs w:val="24"/>
          <w:lang w:eastAsia="en-CA"/>
        </w:rPr>
      </w:pPr>
      <w:r w:rsidRPr="008D7AB4">
        <w:t>Item</w:t>
      </w:r>
      <w:r w:rsidR="00986006" w:rsidRPr="008D7AB4">
        <w:t> 7(b)</w:t>
      </w:r>
      <w:r w:rsidRPr="008D7AB4">
        <w:t xml:space="preserve"> of the provisional agenda</w:t>
      </w:r>
      <w:r w:rsidRPr="008D7AB4">
        <w:rPr>
          <w:vertAlign w:val="superscript"/>
        </w:rPr>
        <w:footnoteReference w:id="1"/>
      </w:r>
      <w:r w:rsidRPr="008D7AB4">
        <w:rPr>
          <w:sz w:val="24"/>
          <w:szCs w:val="24"/>
          <w:lang w:eastAsia="en-CA"/>
        </w:rPr>
        <w:t xml:space="preserve"> </w:t>
      </w:r>
    </w:p>
    <w:p w14:paraId="430F878C" w14:textId="77777777" w:rsidR="00C15867" w:rsidRPr="008D7AB4" w:rsidRDefault="00C15867" w:rsidP="00CA59FB">
      <w:pPr>
        <w:jc w:val="left"/>
      </w:pPr>
    </w:p>
    <w:p w14:paraId="3E924793" w14:textId="77777777" w:rsidR="00986006" w:rsidRPr="008D7AB4" w:rsidRDefault="00986006" w:rsidP="00986006">
      <w:pPr>
        <w:pStyle w:val="Title1"/>
        <w:jc w:val="both"/>
        <w:rPr>
          <w:b w:val="0"/>
          <w:bCs/>
          <w:sz w:val="24"/>
          <w:szCs w:val="24"/>
          <w:lang w:val="en-CA"/>
        </w:rPr>
      </w:pPr>
    </w:p>
    <w:p w14:paraId="65F1B06C" w14:textId="77777777" w:rsidR="00986006" w:rsidRPr="008D7AB4" w:rsidRDefault="00986006" w:rsidP="00986006">
      <w:pPr>
        <w:pStyle w:val="Title1"/>
        <w:rPr>
          <w:sz w:val="24"/>
          <w:szCs w:val="24"/>
          <w:lang w:val="en-CA"/>
        </w:rPr>
      </w:pPr>
    </w:p>
    <w:p w14:paraId="7D6F19B0" w14:textId="5E39AEBF" w:rsidR="004E7F9C" w:rsidRPr="008D7AB4" w:rsidRDefault="00986006" w:rsidP="00986006">
      <w:pPr>
        <w:pStyle w:val="Title1"/>
        <w:rPr>
          <w:sz w:val="24"/>
          <w:szCs w:val="24"/>
          <w:lang w:val="en-CA"/>
        </w:rPr>
      </w:pPr>
      <w:r w:rsidRPr="008D7AB4">
        <w:rPr>
          <w:sz w:val="24"/>
          <w:szCs w:val="24"/>
          <w:lang w:val="en-CA"/>
        </w:rPr>
        <w:t>Reports on projects with specific reporting requirements</w:t>
      </w:r>
    </w:p>
    <w:p w14:paraId="2A396E19" w14:textId="436CA0CC" w:rsidR="009029DC" w:rsidRPr="008D7AB4" w:rsidRDefault="009029DC" w:rsidP="009029DC">
      <w:pPr>
        <w:pStyle w:val="Title1"/>
        <w:rPr>
          <w:lang w:val="en-CA"/>
        </w:rPr>
      </w:pPr>
    </w:p>
    <w:p w14:paraId="39618E92" w14:textId="6AAEDF4A" w:rsidR="0030268C" w:rsidRPr="00B85D05" w:rsidRDefault="0030268C" w:rsidP="0030268C">
      <w:pPr>
        <w:pStyle w:val="Title1"/>
        <w:spacing w:after="240"/>
        <w:jc w:val="left"/>
        <w:rPr>
          <w:sz w:val="24"/>
          <w:szCs w:val="24"/>
          <w:lang w:val="en-CA"/>
        </w:rPr>
      </w:pPr>
      <w:r w:rsidRPr="00B85D05">
        <w:rPr>
          <w:caps w:val="0"/>
          <w:sz w:val="24"/>
          <w:szCs w:val="24"/>
          <w:lang w:val="en-CA"/>
        </w:rPr>
        <w:t>Introduction</w:t>
      </w:r>
    </w:p>
    <w:p w14:paraId="784183FA" w14:textId="2EFEAFCD" w:rsidR="00E96FD0" w:rsidRPr="008D7AB4" w:rsidRDefault="00EC57AE" w:rsidP="00753529">
      <w:pPr>
        <w:pStyle w:val="Heading1"/>
      </w:pPr>
      <w:r w:rsidRPr="008D7AB4">
        <w:t>The present document</w:t>
      </w:r>
      <w:r w:rsidR="00D441D4" w:rsidRPr="008D7AB4">
        <w:t xml:space="preserve"> on projects with specific reporting requirements </w:t>
      </w:r>
      <w:r w:rsidR="00E96FD0" w:rsidRPr="008D7AB4">
        <w:t>consists of the following sections:</w:t>
      </w:r>
    </w:p>
    <w:p w14:paraId="24678D4B" w14:textId="74A16EC9" w:rsidR="00986006" w:rsidRPr="008D7AB4" w:rsidRDefault="00986006" w:rsidP="005E097C">
      <w:pPr>
        <w:ind w:firstLine="709"/>
      </w:pPr>
      <w:r w:rsidRPr="008D7AB4">
        <w:tab/>
        <w:t>I</w:t>
      </w:r>
      <w:r w:rsidRPr="008D7AB4">
        <w:tab/>
        <w:t>Overview</w:t>
      </w:r>
    </w:p>
    <w:p w14:paraId="2EA9B42F" w14:textId="2FC5861E" w:rsidR="00986006" w:rsidRPr="008D7AB4" w:rsidRDefault="00986006" w:rsidP="005E097C">
      <w:pPr>
        <w:ind w:firstLine="709"/>
      </w:pPr>
      <w:r w:rsidRPr="008D7AB4">
        <w:tab/>
        <w:t>I</w:t>
      </w:r>
      <w:r w:rsidR="00E560C6">
        <w:t>I</w:t>
      </w:r>
      <w:r w:rsidRPr="008D7AB4">
        <w:tab/>
        <w:t>“Blanket” approval</w:t>
      </w:r>
    </w:p>
    <w:p w14:paraId="5AFC9581" w14:textId="47B70025" w:rsidR="00B74FB8" w:rsidRPr="008D7AB4" w:rsidRDefault="00B74FB8" w:rsidP="005E097C">
      <w:pPr>
        <w:ind w:firstLine="709"/>
      </w:pPr>
      <w:r w:rsidRPr="008D7AB4">
        <w:tab/>
      </w:r>
      <w:r w:rsidR="00E560C6">
        <w:t>III</w:t>
      </w:r>
      <w:r w:rsidRPr="008D7AB4">
        <w:tab/>
        <w:t>Individual consideration</w:t>
      </w:r>
    </w:p>
    <w:p w14:paraId="2F73B512" w14:textId="700CB0B4" w:rsidR="00355FFF" w:rsidRPr="008D7AB4" w:rsidRDefault="00355FFF" w:rsidP="005E097C">
      <w:pPr>
        <w:ind w:firstLine="709"/>
      </w:pPr>
    </w:p>
    <w:p w14:paraId="31E3E4E0" w14:textId="59E781C9" w:rsidR="00D441D4" w:rsidRPr="008D7AB4" w:rsidRDefault="00D441D4" w:rsidP="00D441D4">
      <w:pPr>
        <w:pStyle w:val="Heading1"/>
      </w:pPr>
      <w:r w:rsidRPr="008D7AB4">
        <w:t>In addition, document UNEP/OzL.Pro/ExCom/91/18/Add.1 consists of three reports related to China: report on progress in the implementation of activities listed in decision 83/41(e); study to determine the regulatory, enforcement, policy or market circumstances that might have led to the illegal production and use of CFC-11 and CFC-12 (decision 83/41(d)); and updated report on the production of CTC and its feedstock uses (decision 84/41(b) and (c)), which will be for individual consideration by the Executive Committee.</w:t>
      </w:r>
    </w:p>
    <w:p w14:paraId="0A4A2FCF" w14:textId="1450F9E5" w:rsidR="007F7730" w:rsidRPr="008D7AB4" w:rsidRDefault="007F7730" w:rsidP="00E560C6">
      <w:pPr>
        <w:pStyle w:val="Style3"/>
      </w:pPr>
      <w:r w:rsidRPr="008D7AB4">
        <w:t>I.</w:t>
      </w:r>
      <w:r w:rsidRPr="008D7AB4">
        <w:tab/>
      </w:r>
      <w:r w:rsidR="000B54ED" w:rsidRPr="008D7AB4">
        <w:t>Overview</w:t>
      </w:r>
    </w:p>
    <w:p w14:paraId="5B18BC8A" w14:textId="4665AC37" w:rsidR="003B1539" w:rsidRPr="008D7AB4" w:rsidRDefault="00221F50" w:rsidP="003B1539">
      <w:pPr>
        <w:pStyle w:val="Heading1"/>
      </w:pPr>
      <w:r w:rsidRPr="008D7AB4">
        <w:t>Table 1 lists the reports on projects with specific reporting requirements submitted to the 91</w:t>
      </w:r>
      <w:r w:rsidRPr="008D7AB4">
        <w:rPr>
          <w:vertAlign w:val="superscript"/>
        </w:rPr>
        <w:t>st</w:t>
      </w:r>
      <w:r w:rsidRPr="008D7AB4">
        <w:t> meeting recommended for blanket approval.</w:t>
      </w:r>
    </w:p>
    <w:p w14:paraId="678DF0F3" w14:textId="1BEB1008" w:rsidR="00221F50" w:rsidRPr="008D7AB4" w:rsidRDefault="00221F50" w:rsidP="008D75DE">
      <w:pPr>
        <w:keepNext/>
        <w:keepLines/>
        <w:rPr>
          <w:b/>
        </w:rPr>
      </w:pPr>
      <w:r w:rsidRPr="008D7AB4">
        <w:rPr>
          <w:b/>
        </w:rPr>
        <w:lastRenderedPageBreak/>
        <w:t>Table 1. Reports on projects with specific reporting requirements recommended for blanket approval</w:t>
      </w:r>
    </w:p>
    <w:tbl>
      <w:tblPr>
        <w:tblStyle w:val="TableGrid"/>
        <w:tblW w:w="0" w:type="auto"/>
        <w:tblLook w:val="04A0" w:firstRow="1" w:lastRow="0" w:firstColumn="1" w:lastColumn="0" w:noHBand="0" w:noVBand="1"/>
      </w:tblPr>
      <w:tblGrid>
        <w:gridCol w:w="2335"/>
        <w:gridCol w:w="5310"/>
        <w:gridCol w:w="1705"/>
      </w:tblGrid>
      <w:tr w:rsidR="00221F50" w:rsidRPr="008D7AB4" w14:paraId="6FE07533" w14:textId="77777777" w:rsidTr="00447509">
        <w:trPr>
          <w:tblHeader/>
        </w:trPr>
        <w:tc>
          <w:tcPr>
            <w:tcW w:w="2335" w:type="dxa"/>
          </w:tcPr>
          <w:p w14:paraId="4B618D97" w14:textId="77777777" w:rsidR="00221F50" w:rsidRPr="008D7AB4" w:rsidRDefault="00221F50" w:rsidP="008D75DE">
            <w:pPr>
              <w:keepNext/>
              <w:keepLines/>
              <w:jc w:val="center"/>
              <w:rPr>
                <w:b/>
                <w:sz w:val="20"/>
                <w:szCs w:val="20"/>
              </w:rPr>
            </w:pPr>
            <w:r w:rsidRPr="008D7AB4">
              <w:rPr>
                <w:b/>
                <w:sz w:val="20"/>
                <w:szCs w:val="20"/>
              </w:rPr>
              <w:t>Country</w:t>
            </w:r>
          </w:p>
        </w:tc>
        <w:tc>
          <w:tcPr>
            <w:tcW w:w="5310" w:type="dxa"/>
          </w:tcPr>
          <w:p w14:paraId="7881C899" w14:textId="77777777" w:rsidR="00221F50" w:rsidRPr="008D7AB4" w:rsidRDefault="00221F50" w:rsidP="008D75DE">
            <w:pPr>
              <w:keepNext/>
              <w:keepLines/>
              <w:jc w:val="center"/>
              <w:rPr>
                <w:b/>
                <w:sz w:val="20"/>
                <w:szCs w:val="20"/>
              </w:rPr>
            </w:pPr>
            <w:r w:rsidRPr="008D7AB4">
              <w:rPr>
                <w:b/>
                <w:sz w:val="20"/>
                <w:szCs w:val="20"/>
              </w:rPr>
              <w:t>Project title</w:t>
            </w:r>
          </w:p>
        </w:tc>
        <w:tc>
          <w:tcPr>
            <w:tcW w:w="1705" w:type="dxa"/>
          </w:tcPr>
          <w:p w14:paraId="25F98142" w14:textId="77777777" w:rsidR="00221F50" w:rsidRPr="008D7AB4" w:rsidRDefault="00221F50" w:rsidP="008D75DE">
            <w:pPr>
              <w:keepNext/>
              <w:keepLines/>
              <w:jc w:val="center"/>
              <w:rPr>
                <w:b/>
                <w:sz w:val="20"/>
                <w:szCs w:val="20"/>
              </w:rPr>
            </w:pPr>
            <w:r w:rsidRPr="008D7AB4">
              <w:rPr>
                <w:b/>
                <w:sz w:val="20"/>
                <w:szCs w:val="20"/>
              </w:rPr>
              <w:t>Paragraphs</w:t>
            </w:r>
          </w:p>
        </w:tc>
      </w:tr>
      <w:tr w:rsidR="00221F50" w:rsidRPr="008D7AB4" w14:paraId="5855C2DC" w14:textId="77777777" w:rsidTr="00447509">
        <w:trPr>
          <w:tblHeader/>
        </w:trPr>
        <w:tc>
          <w:tcPr>
            <w:tcW w:w="9350" w:type="dxa"/>
            <w:gridSpan w:val="3"/>
          </w:tcPr>
          <w:p w14:paraId="10FD1686" w14:textId="77777777" w:rsidR="00221F50" w:rsidRPr="008D7AB4" w:rsidRDefault="00221F50" w:rsidP="00447509">
            <w:pPr>
              <w:jc w:val="left"/>
              <w:rPr>
                <w:b/>
                <w:sz w:val="20"/>
                <w:szCs w:val="20"/>
              </w:rPr>
            </w:pPr>
            <w:r w:rsidRPr="008D7AB4">
              <w:rPr>
                <w:b/>
                <w:sz w:val="20"/>
                <w:szCs w:val="20"/>
              </w:rPr>
              <w:t>Reports related to HCFC phase-out management plans</w:t>
            </w:r>
          </w:p>
        </w:tc>
      </w:tr>
      <w:tr w:rsidR="003A2442" w:rsidRPr="008D7AB4" w14:paraId="77E04FD1" w14:textId="77777777" w:rsidTr="00C665F2">
        <w:tc>
          <w:tcPr>
            <w:tcW w:w="2335" w:type="dxa"/>
          </w:tcPr>
          <w:p w14:paraId="54A62DF0" w14:textId="77777777" w:rsidR="003A2442" w:rsidRPr="008D7AB4" w:rsidRDefault="003A2442" w:rsidP="00C665F2">
            <w:pPr>
              <w:rPr>
                <w:sz w:val="20"/>
                <w:szCs w:val="20"/>
              </w:rPr>
            </w:pPr>
            <w:r w:rsidRPr="008D7AB4">
              <w:rPr>
                <w:sz w:val="20"/>
                <w:szCs w:val="20"/>
              </w:rPr>
              <w:t>Algeria</w:t>
            </w:r>
          </w:p>
        </w:tc>
        <w:tc>
          <w:tcPr>
            <w:tcW w:w="5310" w:type="dxa"/>
          </w:tcPr>
          <w:p w14:paraId="063D259C" w14:textId="186CD908" w:rsidR="003A2442" w:rsidRPr="008D7AB4" w:rsidRDefault="00B80950" w:rsidP="00C665F2">
            <w:pPr>
              <w:rPr>
                <w:sz w:val="20"/>
                <w:szCs w:val="20"/>
              </w:rPr>
            </w:pPr>
            <w:r w:rsidRPr="008D7AB4">
              <w:rPr>
                <w:sz w:val="20"/>
                <w:szCs w:val="20"/>
              </w:rPr>
              <w:t>HCFC phase-out management plan (</w:t>
            </w:r>
            <w:r w:rsidR="00B92759">
              <w:rPr>
                <w:sz w:val="20"/>
                <w:szCs w:val="20"/>
              </w:rPr>
              <w:t>stage </w:t>
            </w:r>
            <w:r w:rsidRPr="008D7AB4">
              <w:rPr>
                <w:sz w:val="20"/>
                <w:szCs w:val="20"/>
              </w:rPr>
              <w:t>I – status report on the use of HFC-32 as a refrigerant in the enterprise manufacturing air-conditioners)</w:t>
            </w:r>
          </w:p>
        </w:tc>
        <w:tc>
          <w:tcPr>
            <w:tcW w:w="1705" w:type="dxa"/>
          </w:tcPr>
          <w:p w14:paraId="72D887D8" w14:textId="0F92E5BE" w:rsidR="003A2442" w:rsidRPr="008D7AB4" w:rsidRDefault="00811D2A" w:rsidP="00DC4DD4">
            <w:pPr>
              <w:jc w:val="center"/>
              <w:rPr>
                <w:sz w:val="20"/>
                <w:szCs w:val="20"/>
              </w:rPr>
            </w:pPr>
            <w:r>
              <w:rPr>
                <w:sz w:val="20"/>
                <w:szCs w:val="20"/>
              </w:rPr>
              <w:t xml:space="preserve">6 </w:t>
            </w:r>
            <w:r w:rsidR="00DC4DD4">
              <w:rPr>
                <w:sz w:val="20"/>
                <w:szCs w:val="20"/>
              </w:rPr>
              <w:t>–</w:t>
            </w:r>
            <w:r>
              <w:rPr>
                <w:sz w:val="20"/>
                <w:szCs w:val="20"/>
              </w:rPr>
              <w:t xml:space="preserve"> 12</w:t>
            </w:r>
          </w:p>
        </w:tc>
      </w:tr>
      <w:tr w:rsidR="00221F50" w:rsidRPr="008D7AB4" w14:paraId="367308FD" w14:textId="77777777" w:rsidTr="00447509">
        <w:tc>
          <w:tcPr>
            <w:tcW w:w="2335" w:type="dxa"/>
          </w:tcPr>
          <w:p w14:paraId="6D2143E4" w14:textId="77777777" w:rsidR="00221F50" w:rsidRPr="008D7AB4" w:rsidRDefault="00221F50" w:rsidP="00447509">
            <w:pPr>
              <w:rPr>
                <w:sz w:val="20"/>
                <w:szCs w:val="20"/>
              </w:rPr>
            </w:pPr>
            <w:r w:rsidRPr="008D7AB4">
              <w:rPr>
                <w:sz w:val="20"/>
                <w:szCs w:val="20"/>
              </w:rPr>
              <w:t>Argentina</w:t>
            </w:r>
          </w:p>
        </w:tc>
        <w:tc>
          <w:tcPr>
            <w:tcW w:w="5310" w:type="dxa"/>
          </w:tcPr>
          <w:p w14:paraId="30367718" w14:textId="7324EBAC" w:rsidR="00221F50" w:rsidRPr="008D7AB4" w:rsidRDefault="00221F50" w:rsidP="00447509">
            <w:pPr>
              <w:rPr>
                <w:sz w:val="20"/>
                <w:szCs w:val="20"/>
              </w:rPr>
            </w:pPr>
            <w:r w:rsidRPr="008D7AB4">
              <w:rPr>
                <w:sz w:val="20"/>
                <w:szCs w:val="20"/>
              </w:rPr>
              <w:t>HCFC phase-out management plan (</w:t>
            </w:r>
            <w:r w:rsidR="00B92759">
              <w:rPr>
                <w:sz w:val="20"/>
                <w:szCs w:val="20"/>
              </w:rPr>
              <w:t>stage </w:t>
            </w:r>
            <w:r w:rsidRPr="008D7AB4">
              <w:rPr>
                <w:sz w:val="20"/>
                <w:szCs w:val="20"/>
              </w:rPr>
              <w:t>II – update on the financial viability of the enterprise Celpack)</w:t>
            </w:r>
          </w:p>
        </w:tc>
        <w:tc>
          <w:tcPr>
            <w:tcW w:w="1705" w:type="dxa"/>
          </w:tcPr>
          <w:p w14:paraId="34839189" w14:textId="7CFBEE1B" w:rsidR="00221F50" w:rsidRPr="008D7AB4" w:rsidRDefault="00811D2A" w:rsidP="00447509">
            <w:pPr>
              <w:jc w:val="center"/>
              <w:rPr>
                <w:sz w:val="20"/>
                <w:szCs w:val="20"/>
              </w:rPr>
            </w:pPr>
            <w:r>
              <w:rPr>
                <w:sz w:val="20"/>
                <w:szCs w:val="20"/>
              </w:rPr>
              <w:t>13 – 17</w:t>
            </w:r>
          </w:p>
        </w:tc>
      </w:tr>
      <w:tr w:rsidR="00221F50" w:rsidRPr="008D7AB4" w14:paraId="15F6D835" w14:textId="77777777" w:rsidTr="00447509">
        <w:tc>
          <w:tcPr>
            <w:tcW w:w="2335" w:type="dxa"/>
          </w:tcPr>
          <w:p w14:paraId="5C3530DD" w14:textId="21503408" w:rsidR="00221F50" w:rsidRPr="008D7AB4" w:rsidRDefault="00277B9B" w:rsidP="00447509">
            <w:pPr>
              <w:rPr>
                <w:sz w:val="20"/>
                <w:szCs w:val="20"/>
              </w:rPr>
            </w:pPr>
            <w:r w:rsidRPr="008D7AB4">
              <w:rPr>
                <w:sz w:val="20"/>
                <w:szCs w:val="20"/>
              </w:rPr>
              <w:t>Bangladesh</w:t>
            </w:r>
          </w:p>
        </w:tc>
        <w:tc>
          <w:tcPr>
            <w:tcW w:w="5310" w:type="dxa"/>
          </w:tcPr>
          <w:p w14:paraId="7FA0750C" w14:textId="35BE1DE6" w:rsidR="00221F50" w:rsidRPr="008D7AB4" w:rsidRDefault="00277B9B" w:rsidP="00447509">
            <w:pPr>
              <w:rPr>
                <w:sz w:val="20"/>
                <w:szCs w:val="20"/>
              </w:rPr>
            </w:pPr>
            <w:r w:rsidRPr="008D7AB4">
              <w:rPr>
                <w:sz w:val="20"/>
                <w:szCs w:val="20"/>
              </w:rPr>
              <w:t>HCFC phase-out management plan (</w:t>
            </w:r>
            <w:r w:rsidR="00B92759">
              <w:rPr>
                <w:sz w:val="20"/>
                <w:szCs w:val="20"/>
              </w:rPr>
              <w:t>stage </w:t>
            </w:r>
            <w:r w:rsidRPr="008D7AB4">
              <w:rPr>
                <w:sz w:val="20"/>
                <w:szCs w:val="20"/>
              </w:rPr>
              <w:t>II – verification report)</w:t>
            </w:r>
          </w:p>
        </w:tc>
        <w:tc>
          <w:tcPr>
            <w:tcW w:w="1705" w:type="dxa"/>
          </w:tcPr>
          <w:p w14:paraId="49B73EF3" w14:textId="7F132317" w:rsidR="00221F50" w:rsidRPr="008D7AB4" w:rsidRDefault="00811D2A" w:rsidP="00447509">
            <w:pPr>
              <w:jc w:val="center"/>
              <w:rPr>
                <w:sz w:val="20"/>
                <w:szCs w:val="20"/>
              </w:rPr>
            </w:pPr>
            <w:r>
              <w:rPr>
                <w:sz w:val="20"/>
                <w:szCs w:val="20"/>
              </w:rPr>
              <w:t>18 – 22</w:t>
            </w:r>
          </w:p>
        </w:tc>
      </w:tr>
      <w:tr w:rsidR="00221F50" w:rsidRPr="008D7AB4" w14:paraId="5AFF8C8F" w14:textId="77777777" w:rsidTr="00447509">
        <w:tc>
          <w:tcPr>
            <w:tcW w:w="2335" w:type="dxa"/>
          </w:tcPr>
          <w:p w14:paraId="39D11A42" w14:textId="40F3D980" w:rsidR="00221F50" w:rsidRPr="008D7AB4" w:rsidRDefault="007B3584" w:rsidP="00447509">
            <w:pPr>
              <w:rPr>
                <w:sz w:val="20"/>
                <w:szCs w:val="20"/>
              </w:rPr>
            </w:pPr>
            <w:r w:rsidRPr="008D7AB4">
              <w:rPr>
                <w:sz w:val="20"/>
                <w:szCs w:val="20"/>
              </w:rPr>
              <w:t>Brunei Darussalam</w:t>
            </w:r>
          </w:p>
        </w:tc>
        <w:tc>
          <w:tcPr>
            <w:tcW w:w="5310" w:type="dxa"/>
          </w:tcPr>
          <w:p w14:paraId="25E927E0" w14:textId="30035D41" w:rsidR="00221F50" w:rsidRPr="008D7AB4" w:rsidRDefault="007B3584" w:rsidP="00447509">
            <w:pPr>
              <w:rPr>
                <w:sz w:val="20"/>
                <w:szCs w:val="20"/>
              </w:rPr>
            </w:pPr>
            <w:r w:rsidRPr="008D7AB4">
              <w:rPr>
                <w:sz w:val="20"/>
                <w:szCs w:val="20"/>
              </w:rPr>
              <w:t>HCFC phase-out management plan (</w:t>
            </w:r>
            <w:r w:rsidR="00B92759">
              <w:rPr>
                <w:sz w:val="20"/>
                <w:szCs w:val="20"/>
              </w:rPr>
              <w:t>stage </w:t>
            </w:r>
            <w:r w:rsidRPr="008D7AB4">
              <w:rPr>
                <w:sz w:val="20"/>
                <w:szCs w:val="20"/>
              </w:rPr>
              <w:t>II – request for change in cooperating implementing agency)</w:t>
            </w:r>
          </w:p>
        </w:tc>
        <w:tc>
          <w:tcPr>
            <w:tcW w:w="1705" w:type="dxa"/>
          </w:tcPr>
          <w:p w14:paraId="7CAB844E" w14:textId="29D45EDD" w:rsidR="00221F50" w:rsidRPr="008D7AB4" w:rsidRDefault="00811D2A" w:rsidP="00447509">
            <w:pPr>
              <w:jc w:val="center"/>
              <w:rPr>
                <w:sz w:val="20"/>
                <w:szCs w:val="20"/>
              </w:rPr>
            </w:pPr>
            <w:r>
              <w:rPr>
                <w:sz w:val="20"/>
                <w:szCs w:val="20"/>
              </w:rPr>
              <w:t>23 – 31</w:t>
            </w:r>
          </w:p>
        </w:tc>
      </w:tr>
      <w:tr w:rsidR="00C06DCC" w:rsidRPr="008D7AB4" w14:paraId="1C3365B0" w14:textId="77777777" w:rsidTr="00447509">
        <w:tc>
          <w:tcPr>
            <w:tcW w:w="2335" w:type="dxa"/>
          </w:tcPr>
          <w:p w14:paraId="0B4BF3D6" w14:textId="38494CDB" w:rsidR="00C06DCC" w:rsidRPr="008D7AB4" w:rsidRDefault="00C06DCC" w:rsidP="00447509">
            <w:pPr>
              <w:rPr>
                <w:sz w:val="20"/>
                <w:szCs w:val="20"/>
              </w:rPr>
            </w:pPr>
            <w:r w:rsidRPr="008D7AB4">
              <w:rPr>
                <w:sz w:val="20"/>
                <w:szCs w:val="20"/>
              </w:rPr>
              <w:t>Colombia</w:t>
            </w:r>
          </w:p>
        </w:tc>
        <w:tc>
          <w:tcPr>
            <w:tcW w:w="5310" w:type="dxa"/>
          </w:tcPr>
          <w:p w14:paraId="7BD616B4" w14:textId="018F7374" w:rsidR="00C06DCC" w:rsidRPr="008D7AB4" w:rsidRDefault="00C06DCC" w:rsidP="00447509">
            <w:pPr>
              <w:rPr>
                <w:sz w:val="20"/>
                <w:szCs w:val="20"/>
              </w:rPr>
            </w:pPr>
            <w:r w:rsidRPr="008D7AB4">
              <w:rPr>
                <w:sz w:val="20"/>
                <w:szCs w:val="20"/>
              </w:rPr>
              <w:t>HCFC phase-out management plan (</w:t>
            </w:r>
            <w:r w:rsidR="00B92759">
              <w:rPr>
                <w:sz w:val="20"/>
                <w:szCs w:val="20"/>
              </w:rPr>
              <w:t>stage </w:t>
            </w:r>
            <w:r w:rsidRPr="008D7AB4">
              <w:rPr>
                <w:sz w:val="20"/>
                <w:szCs w:val="20"/>
              </w:rPr>
              <w:t>II – update on progress toward finalization of the draft Act and the entry into force of the bans described in document</w:t>
            </w:r>
            <w:r w:rsidR="00750752">
              <w:rPr>
                <w:sz w:val="20"/>
                <w:szCs w:val="20"/>
              </w:rPr>
              <w:t> </w:t>
            </w:r>
            <w:r w:rsidRPr="008D7AB4">
              <w:rPr>
                <w:sz w:val="20"/>
                <w:szCs w:val="20"/>
              </w:rPr>
              <w:t>UNEP/OzL.Pro/ExCom/88/44 and request for extension of the completion date)</w:t>
            </w:r>
          </w:p>
        </w:tc>
        <w:tc>
          <w:tcPr>
            <w:tcW w:w="1705" w:type="dxa"/>
          </w:tcPr>
          <w:p w14:paraId="5F31FFE9" w14:textId="24920FB6" w:rsidR="00C06DCC" w:rsidRPr="008D7AB4" w:rsidRDefault="00811D2A" w:rsidP="00447509">
            <w:pPr>
              <w:jc w:val="center"/>
              <w:rPr>
                <w:sz w:val="20"/>
                <w:szCs w:val="20"/>
              </w:rPr>
            </w:pPr>
            <w:r>
              <w:rPr>
                <w:sz w:val="20"/>
                <w:szCs w:val="20"/>
              </w:rPr>
              <w:t>32 – 42</w:t>
            </w:r>
          </w:p>
        </w:tc>
      </w:tr>
      <w:tr w:rsidR="003A2442" w:rsidRPr="008D7AB4" w14:paraId="5644FD30" w14:textId="77777777" w:rsidTr="00447509">
        <w:tc>
          <w:tcPr>
            <w:tcW w:w="2335" w:type="dxa"/>
          </w:tcPr>
          <w:p w14:paraId="497CF66C" w14:textId="058F5C5B" w:rsidR="003A2442" w:rsidRPr="008D7AB4" w:rsidRDefault="00F359E1" w:rsidP="00447509">
            <w:pPr>
              <w:rPr>
                <w:sz w:val="20"/>
                <w:szCs w:val="20"/>
              </w:rPr>
            </w:pPr>
            <w:r w:rsidRPr="008D7AB4">
              <w:rPr>
                <w:sz w:val="20"/>
                <w:szCs w:val="20"/>
              </w:rPr>
              <w:t>Côte d’Ivoire</w:t>
            </w:r>
          </w:p>
        </w:tc>
        <w:tc>
          <w:tcPr>
            <w:tcW w:w="5310" w:type="dxa"/>
          </w:tcPr>
          <w:p w14:paraId="5A06570A" w14:textId="79030E11" w:rsidR="003A2442" w:rsidRPr="008D7AB4" w:rsidRDefault="00F359E1" w:rsidP="00447509">
            <w:pPr>
              <w:rPr>
                <w:sz w:val="20"/>
                <w:szCs w:val="20"/>
              </w:rPr>
            </w:pPr>
            <w:r w:rsidRPr="008D7AB4">
              <w:rPr>
                <w:sz w:val="20"/>
                <w:szCs w:val="20"/>
              </w:rPr>
              <w:t>HCFC phase-out management plan (</w:t>
            </w:r>
            <w:r w:rsidR="00B92759">
              <w:rPr>
                <w:sz w:val="20"/>
                <w:szCs w:val="20"/>
              </w:rPr>
              <w:t>stage </w:t>
            </w:r>
            <w:r w:rsidRPr="008D7AB4">
              <w:rPr>
                <w:sz w:val="20"/>
                <w:szCs w:val="20"/>
              </w:rPr>
              <w:t>I – report on the adoption of the interministerial decree (“arrêté interministériel”) for regulating import, export, transit, re-export and trade of ODS, and other measures on strengthening monitoring and reporting systems relating to HCFC import and export)</w:t>
            </w:r>
          </w:p>
        </w:tc>
        <w:tc>
          <w:tcPr>
            <w:tcW w:w="1705" w:type="dxa"/>
          </w:tcPr>
          <w:p w14:paraId="4045F140" w14:textId="55683165" w:rsidR="003A2442" w:rsidRPr="008D7AB4" w:rsidRDefault="00811D2A" w:rsidP="00447509">
            <w:pPr>
              <w:jc w:val="center"/>
              <w:rPr>
                <w:sz w:val="20"/>
                <w:szCs w:val="20"/>
              </w:rPr>
            </w:pPr>
            <w:r>
              <w:rPr>
                <w:sz w:val="20"/>
                <w:szCs w:val="20"/>
              </w:rPr>
              <w:t>43 – 48</w:t>
            </w:r>
          </w:p>
        </w:tc>
      </w:tr>
      <w:tr w:rsidR="003A2442" w:rsidRPr="008D7AB4" w14:paraId="2375F350" w14:textId="77777777" w:rsidTr="00447509">
        <w:tc>
          <w:tcPr>
            <w:tcW w:w="2335" w:type="dxa"/>
          </w:tcPr>
          <w:p w14:paraId="1D6C7DEA" w14:textId="4BC9FAD0" w:rsidR="003A2442" w:rsidRPr="008D7AB4" w:rsidRDefault="003A2442" w:rsidP="00447509">
            <w:pPr>
              <w:rPr>
                <w:sz w:val="20"/>
                <w:szCs w:val="20"/>
              </w:rPr>
            </w:pPr>
            <w:r w:rsidRPr="008D7AB4">
              <w:rPr>
                <w:sz w:val="20"/>
                <w:szCs w:val="20"/>
              </w:rPr>
              <w:t>Philippines</w:t>
            </w:r>
            <w:r w:rsidR="00980BF0" w:rsidRPr="008D7AB4">
              <w:rPr>
                <w:sz w:val="20"/>
                <w:szCs w:val="20"/>
              </w:rPr>
              <w:t xml:space="preserve"> (the)</w:t>
            </w:r>
          </w:p>
        </w:tc>
        <w:tc>
          <w:tcPr>
            <w:tcW w:w="5310" w:type="dxa"/>
          </w:tcPr>
          <w:p w14:paraId="66272C0F" w14:textId="72A1B34D" w:rsidR="003A2442" w:rsidRPr="008D7AB4" w:rsidRDefault="003A2442" w:rsidP="00447509">
            <w:pPr>
              <w:rPr>
                <w:sz w:val="20"/>
                <w:szCs w:val="20"/>
              </w:rPr>
            </w:pPr>
            <w:r w:rsidRPr="008D7AB4">
              <w:rPr>
                <w:sz w:val="20"/>
                <w:szCs w:val="20"/>
              </w:rPr>
              <w:t>HCFC phase-out management plan (</w:t>
            </w:r>
            <w:r w:rsidR="00B92759">
              <w:rPr>
                <w:sz w:val="20"/>
                <w:szCs w:val="20"/>
              </w:rPr>
              <w:t>stage </w:t>
            </w:r>
            <w:r w:rsidRPr="008D7AB4">
              <w:rPr>
                <w:sz w:val="20"/>
                <w:szCs w:val="20"/>
              </w:rPr>
              <w:t>II – verification report)</w:t>
            </w:r>
          </w:p>
        </w:tc>
        <w:tc>
          <w:tcPr>
            <w:tcW w:w="1705" w:type="dxa"/>
          </w:tcPr>
          <w:p w14:paraId="07D2222E" w14:textId="3221D473" w:rsidR="003A2442" w:rsidRPr="008D7AB4" w:rsidRDefault="00811D2A" w:rsidP="00447509">
            <w:pPr>
              <w:jc w:val="center"/>
              <w:rPr>
                <w:sz w:val="20"/>
                <w:szCs w:val="20"/>
              </w:rPr>
            </w:pPr>
            <w:r>
              <w:rPr>
                <w:sz w:val="20"/>
                <w:szCs w:val="20"/>
              </w:rPr>
              <w:t>49 – 53</w:t>
            </w:r>
          </w:p>
        </w:tc>
      </w:tr>
      <w:tr w:rsidR="003A2442" w:rsidRPr="008D7AB4" w14:paraId="4B7157FF" w14:textId="77777777" w:rsidTr="00447509">
        <w:tc>
          <w:tcPr>
            <w:tcW w:w="2335" w:type="dxa"/>
          </w:tcPr>
          <w:p w14:paraId="3694A93F" w14:textId="3890DB6C" w:rsidR="003A2442" w:rsidRPr="008D7AB4" w:rsidRDefault="003A2442" w:rsidP="00447509">
            <w:pPr>
              <w:rPr>
                <w:sz w:val="20"/>
                <w:szCs w:val="20"/>
              </w:rPr>
            </w:pPr>
            <w:r w:rsidRPr="008D7AB4">
              <w:rPr>
                <w:sz w:val="20"/>
                <w:szCs w:val="20"/>
              </w:rPr>
              <w:t>Senegal</w:t>
            </w:r>
          </w:p>
        </w:tc>
        <w:tc>
          <w:tcPr>
            <w:tcW w:w="5310" w:type="dxa"/>
          </w:tcPr>
          <w:p w14:paraId="002D9701" w14:textId="022C9000" w:rsidR="003A2442" w:rsidRPr="008D7AB4" w:rsidRDefault="00B80950" w:rsidP="00447509">
            <w:pPr>
              <w:rPr>
                <w:sz w:val="20"/>
                <w:szCs w:val="20"/>
              </w:rPr>
            </w:pPr>
            <w:r w:rsidRPr="008D7AB4">
              <w:rPr>
                <w:sz w:val="20"/>
                <w:szCs w:val="20"/>
              </w:rPr>
              <w:t>HCFC phase-out management plan (</w:t>
            </w:r>
            <w:r w:rsidR="00B92759">
              <w:rPr>
                <w:sz w:val="20"/>
                <w:szCs w:val="20"/>
              </w:rPr>
              <w:t>stage </w:t>
            </w:r>
            <w:r w:rsidRPr="008D7AB4">
              <w:rPr>
                <w:sz w:val="20"/>
                <w:szCs w:val="20"/>
              </w:rPr>
              <w:t>I – final progress report)</w:t>
            </w:r>
          </w:p>
        </w:tc>
        <w:tc>
          <w:tcPr>
            <w:tcW w:w="1705" w:type="dxa"/>
          </w:tcPr>
          <w:p w14:paraId="7006AEEB" w14:textId="60342765" w:rsidR="003A2442" w:rsidRPr="008D7AB4" w:rsidRDefault="00811D2A" w:rsidP="00447509">
            <w:pPr>
              <w:jc w:val="center"/>
              <w:rPr>
                <w:sz w:val="20"/>
                <w:szCs w:val="20"/>
              </w:rPr>
            </w:pPr>
            <w:r>
              <w:rPr>
                <w:sz w:val="20"/>
                <w:szCs w:val="20"/>
              </w:rPr>
              <w:t>54 – 67</w:t>
            </w:r>
          </w:p>
        </w:tc>
      </w:tr>
      <w:tr w:rsidR="003A2442" w:rsidRPr="008D7AB4" w14:paraId="24401E4F" w14:textId="77777777" w:rsidTr="00447509">
        <w:tc>
          <w:tcPr>
            <w:tcW w:w="2335" w:type="dxa"/>
          </w:tcPr>
          <w:p w14:paraId="3E04922C" w14:textId="60AAC60F" w:rsidR="003A2442" w:rsidRPr="008D7AB4" w:rsidRDefault="003A2442" w:rsidP="00447509">
            <w:pPr>
              <w:rPr>
                <w:sz w:val="20"/>
                <w:szCs w:val="20"/>
              </w:rPr>
            </w:pPr>
            <w:r w:rsidRPr="008D7AB4">
              <w:rPr>
                <w:sz w:val="20"/>
                <w:szCs w:val="20"/>
              </w:rPr>
              <w:t>Trinidad and Tobago</w:t>
            </w:r>
          </w:p>
        </w:tc>
        <w:tc>
          <w:tcPr>
            <w:tcW w:w="5310" w:type="dxa"/>
          </w:tcPr>
          <w:p w14:paraId="5068890C" w14:textId="0D87D838" w:rsidR="003A2442" w:rsidRPr="008D7AB4" w:rsidRDefault="00DC695E" w:rsidP="00447509">
            <w:pPr>
              <w:rPr>
                <w:sz w:val="20"/>
                <w:szCs w:val="20"/>
              </w:rPr>
            </w:pPr>
            <w:r w:rsidRPr="008D7AB4">
              <w:rPr>
                <w:sz w:val="20"/>
                <w:szCs w:val="20"/>
              </w:rPr>
              <w:t>HCFC phase-out management plan (</w:t>
            </w:r>
            <w:r w:rsidR="00B92759">
              <w:rPr>
                <w:sz w:val="20"/>
                <w:szCs w:val="20"/>
              </w:rPr>
              <w:t>stage </w:t>
            </w:r>
            <w:r w:rsidRPr="008D7AB4">
              <w:rPr>
                <w:sz w:val="20"/>
                <w:szCs w:val="20"/>
              </w:rPr>
              <w:t>I – final progress report on the implementation of the work programme associated with the final tranche and the submission of the project completion report</w:t>
            </w:r>
          </w:p>
        </w:tc>
        <w:tc>
          <w:tcPr>
            <w:tcW w:w="1705" w:type="dxa"/>
          </w:tcPr>
          <w:p w14:paraId="555E7876" w14:textId="664EFA96" w:rsidR="003A2442" w:rsidRPr="008D7AB4" w:rsidRDefault="00811D2A" w:rsidP="00447509">
            <w:pPr>
              <w:jc w:val="center"/>
              <w:rPr>
                <w:sz w:val="20"/>
                <w:szCs w:val="20"/>
              </w:rPr>
            </w:pPr>
            <w:r>
              <w:rPr>
                <w:sz w:val="20"/>
                <w:szCs w:val="20"/>
              </w:rPr>
              <w:t>68 – 73</w:t>
            </w:r>
          </w:p>
        </w:tc>
      </w:tr>
      <w:tr w:rsidR="00221F50" w:rsidRPr="008D7AB4" w14:paraId="46BC437C" w14:textId="77777777" w:rsidTr="00980BF0">
        <w:tc>
          <w:tcPr>
            <w:tcW w:w="2335" w:type="dxa"/>
            <w:shd w:val="clear" w:color="auto" w:fill="auto"/>
          </w:tcPr>
          <w:p w14:paraId="18C03D44" w14:textId="7E67112F" w:rsidR="003A2442" w:rsidRPr="008D7AB4" w:rsidRDefault="003A2442" w:rsidP="00447509">
            <w:pPr>
              <w:rPr>
                <w:sz w:val="20"/>
                <w:szCs w:val="20"/>
              </w:rPr>
            </w:pPr>
            <w:r w:rsidRPr="008D7AB4">
              <w:rPr>
                <w:sz w:val="20"/>
                <w:szCs w:val="20"/>
              </w:rPr>
              <w:t>Uruguay</w:t>
            </w:r>
          </w:p>
        </w:tc>
        <w:tc>
          <w:tcPr>
            <w:tcW w:w="5310" w:type="dxa"/>
            <w:shd w:val="clear" w:color="auto" w:fill="auto"/>
          </w:tcPr>
          <w:p w14:paraId="21FB2216" w14:textId="2647CC29" w:rsidR="00221F50" w:rsidRPr="008D7AB4" w:rsidRDefault="00980BF0" w:rsidP="00447509">
            <w:pPr>
              <w:rPr>
                <w:sz w:val="20"/>
                <w:szCs w:val="20"/>
              </w:rPr>
            </w:pPr>
            <w:r w:rsidRPr="008D7AB4">
              <w:rPr>
                <w:sz w:val="20"/>
                <w:szCs w:val="20"/>
              </w:rPr>
              <w:t>HCFC phase-out management plan (</w:t>
            </w:r>
            <w:r w:rsidR="00B92759">
              <w:rPr>
                <w:sz w:val="20"/>
                <w:szCs w:val="20"/>
              </w:rPr>
              <w:t>stage </w:t>
            </w:r>
            <w:r w:rsidRPr="008D7AB4">
              <w:rPr>
                <w:sz w:val="20"/>
                <w:szCs w:val="20"/>
              </w:rPr>
              <w:t xml:space="preserve">II – progress report on the implementation of the conversion of the foam sector and request for additional extension of the date of completion for </w:t>
            </w:r>
            <w:r w:rsidR="00B92759">
              <w:rPr>
                <w:sz w:val="20"/>
                <w:szCs w:val="20"/>
              </w:rPr>
              <w:t>stage </w:t>
            </w:r>
            <w:r w:rsidRPr="008D7AB4">
              <w:rPr>
                <w:sz w:val="20"/>
                <w:szCs w:val="20"/>
              </w:rPr>
              <w:t>II)</w:t>
            </w:r>
          </w:p>
        </w:tc>
        <w:tc>
          <w:tcPr>
            <w:tcW w:w="1705" w:type="dxa"/>
            <w:shd w:val="clear" w:color="auto" w:fill="auto"/>
          </w:tcPr>
          <w:p w14:paraId="3A576B4D" w14:textId="7D6EA299" w:rsidR="00221F50" w:rsidRPr="008D7AB4" w:rsidRDefault="00811D2A" w:rsidP="00447509">
            <w:pPr>
              <w:jc w:val="center"/>
              <w:rPr>
                <w:sz w:val="20"/>
                <w:szCs w:val="20"/>
              </w:rPr>
            </w:pPr>
            <w:r>
              <w:rPr>
                <w:sz w:val="20"/>
                <w:szCs w:val="20"/>
              </w:rPr>
              <w:t>74 – 90</w:t>
            </w:r>
          </w:p>
        </w:tc>
      </w:tr>
      <w:tr w:rsidR="00221F50" w:rsidRPr="008D7AB4" w14:paraId="56F141DE" w14:textId="77777777" w:rsidTr="00447509">
        <w:tc>
          <w:tcPr>
            <w:tcW w:w="9350" w:type="dxa"/>
            <w:gridSpan w:val="3"/>
          </w:tcPr>
          <w:p w14:paraId="67843BA6" w14:textId="4C115F80" w:rsidR="00221F50" w:rsidRPr="008D7AB4" w:rsidRDefault="00221F50" w:rsidP="00447509">
            <w:pPr>
              <w:rPr>
                <w:b/>
                <w:sz w:val="20"/>
                <w:szCs w:val="20"/>
              </w:rPr>
            </w:pPr>
            <w:r w:rsidRPr="008D7AB4">
              <w:rPr>
                <w:b/>
                <w:sz w:val="20"/>
                <w:szCs w:val="20"/>
              </w:rPr>
              <w:t>Reports related to HFC</w:t>
            </w:r>
          </w:p>
        </w:tc>
      </w:tr>
      <w:tr w:rsidR="00221F50" w:rsidRPr="008D7AB4" w14:paraId="1C901CD5" w14:textId="77777777" w:rsidTr="00447509">
        <w:tc>
          <w:tcPr>
            <w:tcW w:w="2335" w:type="dxa"/>
          </w:tcPr>
          <w:p w14:paraId="3F75D612" w14:textId="3FC65523" w:rsidR="00221F50" w:rsidRPr="008D7AB4" w:rsidRDefault="006B1D75" w:rsidP="00447509">
            <w:pPr>
              <w:rPr>
                <w:sz w:val="20"/>
                <w:szCs w:val="20"/>
              </w:rPr>
            </w:pPr>
            <w:r w:rsidRPr="008D7AB4">
              <w:rPr>
                <w:sz w:val="20"/>
                <w:szCs w:val="20"/>
              </w:rPr>
              <w:t>Argentina</w:t>
            </w:r>
          </w:p>
        </w:tc>
        <w:tc>
          <w:tcPr>
            <w:tcW w:w="5310" w:type="dxa"/>
          </w:tcPr>
          <w:p w14:paraId="26A24B34" w14:textId="3F5467C7" w:rsidR="00221F50" w:rsidRPr="008D7AB4" w:rsidRDefault="006B1D75" w:rsidP="00447509">
            <w:pPr>
              <w:rPr>
                <w:sz w:val="20"/>
                <w:szCs w:val="20"/>
              </w:rPr>
            </w:pPr>
            <w:r w:rsidRPr="008D7AB4">
              <w:rPr>
                <w:sz w:val="20"/>
                <w:szCs w:val="20"/>
              </w:rPr>
              <w:t>Control of emissions of HFC-23 generated in the production of HCFC-22</w:t>
            </w:r>
          </w:p>
        </w:tc>
        <w:tc>
          <w:tcPr>
            <w:tcW w:w="1705" w:type="dxa"/>
          </w:tcPr>
          <w:p w14:paraId="3B2BDB7D" w14:textId="181B65CD" w:rsidR="00221F50" w:rsidRPr="008D7AB4" w:rsidRDefault="00811D2A" w:rsidP="00447509">
            <w:pPr>
              <w:jc w:val="center"/>
              <w:rPr>
                <w:sz w:val="20"/>
                <w:szCs w:val="20"/>
              </w:rPr>
            </w:pPr>
            <w:r>
              <w:rPr>
                <w:sz w:val="20"/>
                <w:szCs w:val="20"/>
              </w:rPr>
              <w:t>91 – 99</w:t>
            </w:r>
          </w:p>
        </w:tc>
      </w:tr>
      <w:tr w:rsidR="00221F50" w:rsidRPr="008D7AB4" w14:paraId="034F7D8F" w14:textId="77777777" w:rsidTr="00447509">
        <w:tc>
          <w:tcPr>
            <w:tcW w:w="9350" w:type="dxa"/>
            <w:gridSpan w:val="3"/>
          </w:tcPr>
          <w:p w14:paraId="56C5F4DC" w14:textId="1B6B3132" w:rsidR="00221F50" w:rsidRPr="008D7AB4" w:rsidRDefault="00221F50" w:rsidP="00447509">
            <w:pPr>
              <w:jc w:val="left"/>
              <w:rPr>
                <w:b/>
                <w:sz w:val="20"/>
                <w:szCs w:val="20"/>
              </w:rPr>
            </w:pPr>
            <w:r w:rsidRPr="008D7AB4">
              <w:rPr>
                <w:b/>
                <w:sz w:val="20"/>
                <w:szCs w:val="20"/>
              </w:rPr>
              <w:t>Reports related to methyl bromide</w:t>
            </w:r>
          </w:p>
        </w:tc>
      </w:tr>
      <w:tr w:rsidR="00221F50" w:rsidRPr="008D7AB4" w14:paraId="633EDE91" w14:textId="77777777" w:rsidTr="00447509">
        <w:tc>
          <w:tcPr>
            <w:tcW w:w="2335" w:type="dxa"/>
          </w:tcPr>
          <w:p w14:paraId="1B907E10" w14:textId="77777777" w:rsidR="00221F50" w:rsidRPr="008D7AB4" w:rsidRDefault="00221F50" w:rsidP="00447509">
            <w:pPr>
              <w:rPr>
                <w:sz w:val="20"/>
                <w:szCs w:val="20"/>
              </w:rPr>
            </w:pPr>
            <w:r w:rsidRPr="008D7AB4">
              <w:rPr>
                <w:sz w:val="20"/>
                <w:szCs w:val="20"/>
              </w:rPr>
              <w:t>Argentina</w:t>
            </w:r>
          </w:p>
        </w:tc>
        <w:tc>
          <w:tcPr>
            <w:tcW w:w="5310" w:type="dxa"/>
          </w:tcPr>
          <w:p w14:paraId="1140FE9D" w14:textId="79DEFE1D" w:rsidR="00221F50" w:rsidRPr="008D7AB4" w:rsidRDefault="00221F50" w:rsidP="00447509">
            <w:pPr>
              <w:rPr>
                <w:sz w:val="20"/>
                <w:szCs w:val="20"/>
              </w:rPr>
            </w:pPr>
            <w:r w:rsidRPr="008D7AB4">
              <w:rPr>
                <w:sz w:val="20"/>
                <w:szCs w:val="20"/>
              </w:rPr>
              <w:t>Methyl bromide phase-out plan</w:t>
            </w:r>
          </w:p>
        </w:tc>
        <w:tc>
          <w:tcPr>
            <w:tcW w:w="1705" w:type="dxa"/>
          </w:tcPr>
          <w:p w14:paraId="05748C81" w14:textId="18B64C5B" w:rsidR="00221F50" w:rsidRPr="008D7AB4" w:rsidRDefault="00811D2A" w:rsidP="00447509">
            <w:pPr>
              <w:jc w:val="center"/>
              <w:rPr>
                <w:sz w:val="20"/>
                <w:szCs w:val="20"/>
              </w:rPr>
            </w:pPr>
            <w:r>
              <w:rPr>
                <w:sz w:val="20"/>
                <w:szCs w:val="20"/>
              </w:rPr>
              <w:t>100 – 102</w:t>
            </w:r>
          </w:p>
        </w:tc>
      </w:tr>
      <w:tr w:rsidR="00221F50" w:rsidRPr="008D7AB4" w14:paraId="1585369B" w14:textId="77777777" w:rsidTr="00447509">
        <w:tc>
          <w:tcPr>
            <w:tcW w:w="9350" w:type="dxa"/>
            <w:gridSpan w:val="3"/>
          </w:tcPr>
          <w:p w14:paraId="7DED593B" w14:textId="15B16E63" w:rsidR="00221F50" w:rsidRPr="008D7AB4" w:rsidRDefault="00221F50" w:rsidP="00447509">
            <w:pPr>
              <w:rPr>
                <w:b/>
                <w:sz w:val="20"/>
                <w:szCs w:val="20"/>
              </w:rPr>
            </w:pPr>
            <w:bookmarkStart w:id="0" w:name="_Hlk117605089"/>
          </w:p>
        </w:tc>
      </w:tr>
      <w:bookmarkEnd w:id="0"/>
    </w:tbl>
    <w:p w14:paraId="7255FB13" w14:textId="6D52AAEB" w:rsidR="00221F50" w:rsidRPr="008D7AB4" w:rsidRDefault="00221F50" w:rsidP="00221F50">
      <w:pPr>
        <w:rPr>
          <w:highlight w:val="green"/>
        </w:rPr>
      </w:pPr>
    </w:p>
    <w:p w14:paraId="543B901D" w14:textId="47531B10" w:rsidR="00905396" w:rsidRPr="008D7AB4" w:rsidRDefault="00905396" w:rsidP="00905396">
      <w:pPr>
        <w:pStyle w:val="Heading1"/>
      </w:pPr>
      <w:r w:rsidRPr="008D7AB4">
        <w:t xml:space="preserve">Table 2 lists </w:t>
      </w:r>
      <w:r w:rsidR="00DC5424" w:rsidRPr="008D7AB4">
        <w:t xml:space="preserve">one </w:t>
      </w:r>
      <w:r w:rsidRPr="008D7AB4">
        <w:t xml:space="preserve">report on </w:t>
      </w:r>
      <w:r w:rsidR="00DC5424" w:rsidRPr="008D7AB4">
        <w:t xml:space="preserve">a </w:t>
      </w:r>
      <w:r w:rsidRPr="008D7AB4">
        <w:t>project with specific reporting requirements submitted to the 91</w:t>
      </w:r>
      <w:r w:rsidRPr="008D7AB4">
        <w:rPr>
          <w:vertAlign w:val="superscript"/>
        </w:rPr>
        <w:t>st</w:t>
      </w:r>
      <w:r w:rsidRPr="008D7AB4">
        <w:t> meeting for individual consideration and a brief explanation of related issues.</w:t>
      </w:r>
      <w:r w:rsidR="00DC5424" w:rsidRPr="008D7AB4">
        <w:t xml:space="preserve"> </w:t>
      </w:r>
    </w:p>
    <w:p w14:paraId="0C148AB2" w14:textId="7A8551E9" w:rsidR="00905396" w:rsidRPr="008D7AB4" w:rsidRDefault="00905396" w:rsidP="00905396">
      <w:pPr>
        <w:rPr>
          <w:b/>
        </w:rPr>
      </w:pPr>
      <w:r w:rsidRPr="008D7AB4">
        <w:rPr>
          <w:b/>
        </w:rPr>
        <w:t>Table 2. Reports on projects with specific reporting requirements for individual consideration</w:t>
      </w:r>
    </w:p>
    <w:tbl>
      <w:tblPr>
        <w:tblStyle w:val="TableGrid"/>
        <w:tblW w:w="0" w:type="auto"/>
        <w:tblLook w:val="04A0" w:firstRow="1" w:lastRow="0" w:firstColumn="1" w:lastColumn="0" w:noHBand="0" w:noVBand="1"/>
      </w:tblPr>
      <w:tblGrid>
        <w:gridCol w:w="2337"/>
        <w:gridCol w:w="2337"/>
        <w:gridCol w:w="3061"/>
        <w:gridCol w:w="1615"/>
      </w:tblGrid>
      <w:tr w:rsidR="00905396" w:rsidRPr="008D7AB4" w14:paraId="7DB10A70" w14:textId="77777777" w:rsidTr="00447509">
        <w:trPr>
          <w:tblHeader/>
        </w:trPr>
        <w:tc>
          <w:tcPr>
            <w:tcW w:w="2337" w:type="dxa"/>
          </w:tcPr>
          <w:p w14:paraId="0B198032" w14:textId="77777777" w:rsidR="00905396" w:rsidRPr="008D7AB4" w:rsidRDefault="00905396" w:rsidP="00447509">
            <w:pPr>
              <w:jc w:val="center"/>
              <w:rPr>
                <w:b/>
                <w:sz w:val="20"/>
                <w:szCs w:val="20"/>
              </w:rPr>
            </w:pPr>
            <w:r w:rsidRPr="008D7AB4">
              <w:rPr>
                <w:b/>
                <w:sz w:val="20"/>
                <w:szCs w:val="20"/>
              </w:rPr>
              <w:t>Country</w:t>
            </w:r>
          </w:p>
        </w:tc>
        <w:tc>
          <w:tcPr>
            <w:tcW w:w="2337" w:type="dxa"/>
          </w:tcPr>
          <w:p w14:paraId="6C57B41C" w14:textId="77777777" w:rsidR="00905396" w:rsidRPr="008D7AB4" w:rsidRDefault="00905396" w:rsidP="00447509">
            <w:pPr>
              <w:jc w:val="center"/>
              <w:rPr>
                <w:b/>
                <w:sz w:val="20"/>
                <w:szCs w:val="20"/>
              </w:rPr>
            </w:pPr>
            <w:r w:rsidRPr="008D7AB4">
              <w:rPr>
                <w:b/>
                <w:sz w:val="20"/>
                <w:szCs w:val="20"/>
              </w:rPr>
              <w:t>Project title</w:t>
            </w:r>
          </w:p>
        </w:tc>
        <w:tc>
          <w:tcPr>
            <w:tcW w:w="3061" w:type="dxa"/>
          </w:tcPr>
          <w:p w14:paraId="7BA58DFB" w14:textId="77777777" w:rsidR="00905396" w:rsidRPr="008D7AB4" w:rsidRDefault="00905396" w:rsidP="00447509">
            <w:pPr>
              <w:jc w:val="center"/>
              <w:rPr>
                <w:b/>
                <w:sz w:val="20"/>
                <w:szCs w:val="20"/>
              </w:rPr>
            </w:pPr>
            <w:r w:rsidRPr="008D7AB4">
              <w:rPr>
                <w:b/>
                <w:sz w:val="20"/>
                <w:szCs w:val="20"/>
              </w:rPr>
              <w:t>Issue</w:t>
            </w:r>
          </w:p>
        </w:tc>
        <w:tc>
          <w:tcPr>
            <w:tcW w:w="1615" w:type="dxa"/>
          </w:tcPr>
          <w:p w14:paraId="1944C11C" w14:textId="77777777" w:rsidR="00905396" w:rsidRPr="008D7AB4" w:rsidRDefault="00905396" w:rsidP="00447509">
            <w:pPr>
              <w:jc w:val="center"/>
              <w:rPr>
                <w:b/>
                <w:sz w:val="20"/>
                <w:szCs w:val="20"/>
              </w:rPr>
            </w:pPr>
            <w:r w:rsidRPr="008D7AB4">
              <w:rPr>
                <w:b/>
                <w:sz w:val="20"/>
                <w:szCs w:val="20"/>
              </w:rPr>
              <w:t>Paragraphs</w:t>
            </w:r>
          </w:p>
        </w:tc>
      </w:tr>
      <w:tr w:rsidR="00905396" w:rsidRPr="008D7AB4" w14:paraId="393933FD" w14:textId="77777777" w:rsidTr="00447509">
        <w:trPr>
          <w:tblHeader/>
        </w:trPr>
        <w:tc>
          <w:tcPr>
            <w:tcW w:w="9350" w:type="dxa"/>
            <w:gridSpan w:val="4"/>
          </w:tcPr>
          <w:p w14:paraId="0BEA5E88" w14:textId="77777777" w:rsidR="00905396" w:rsidRPr="008D7AB4" w:rsidRDefault="00905396" w:rsidP="00447509">
            <w:pPr>
              <w:rPr>
                <w:sz w:val="20"/>
                <w:szCs w:val="20"/>
              </w:rPr>
            </w:pPr>
            <w:r w:rsidRPr="008D7AB4">
              <w:rPr>
                <w:b/>
                <w:sz w:val="20"/>
                <w:szCs w:val="20"/>
              </w:rPr>
              <w:t>Reports related to HCFC phase-out management plans</w:t>
            </w:r>
          </w:p>
        </w:tc>
      </w:tr>
      <w:tr w:rsidR="00905396" w:rsidRPr="008D7AB4" w14:paraId="417164D7" w14:textId="77777777" w:rsidTr="00447509">
        <w:tc>
          <w:tcPr>
            <w:tcW w:w="2337" w:type="dxa"/>
          </w:tcPr>
          <w:p w14:paraId="628C4DAB" w14:textId="4B908428" w:rsidR="00905396" w:rsidRPr="008D7AB4" w:rsidRDefault="00905396" w:rsidP="00447509">
            <w:pPr>
              <w:rPr>
                <w:sz w:val="20"/>
                <w:szCs w:val="20"/>
              </w:rPr>
            </w:pPr>
            <w:r w:rsidRPr="008D7AB4">
              <w:rPr>
                <w:sz w:val="20"/>
                <w:szCs w:val="20"/>
              </w:rPr>
              <w:t>Brazil</w:t>
            </w:r>
          </w:p>
        </w:tc>
        <w:tc>
          <w:tcPr>
            <w:tcW w:w="2337" w:type="dxa"/>
          </w:tcPr>
          <w:p w14:paraId="3B8C9461" w14:textId="774CD186" w:rsidR="00905396" w:rsidRPr="008D7AB4" w:rsidRDefault="00980BF0" w:rsidP="00447509">
            <w:pPr>
              <w:rPr>
                <w:sz w:val="20"/>
                <w:szCs w:val="20"/>
              </w:rPr>
            </w:pPr>
            <w:r w:rsidRPr="008D7AB4">
              <w:rPr>
                <w:sz w:val="20"/>
                <w:szCs w:val="20"/>
              </w:rPr>
              <w:t>HCFC phase-out management plan (</w:t>
            </w:r>
            <w:r w:rsidR="00B92759">
              <w:rPr>
                <w:sz w:val="20"/>
                <w:szCs w:val="20"/>
              </w:rPr>
              <w:t>stage </w:t>
            </w:r>
            <w:r w:rsidRPr="008D7AB4">
              <w:rPr>
                <w:sz w:val="20"/>
                <w:szCs w:val="20"/>
              </w:rPr>
              <w:t xml:space="preserve">II </w:t>
            </w:r>
            <w:r w:rsidR="00750752">
              <w:rPr>
                <w:sz w:val="20"/>
                <w:szCs w:val="20"/>
              </w:rPr>
              <w:t>–</w:t>
            </w:r>
            <w:r w:rsidRPr="008D7AB4">
              <w:rPr>
                <w:sz w:val="20"/>
                <w:szCs w:val="20"/>
              </w:rPr>
              <w:t xml:space="preserve"> progress report on the implementation of the fifth tranche and request for extension)</w:t>
            </w:r>
          </w:p>
        </w:tc>
        <w:tc>
          <w:tcPr>
            <w:tcW w:w="3061" w:type="dxa"/>
          </w:tcPr>
          <w:p w14:paraId="1B251F5D" w14:textId="4615EC1F" w:rsidR="00905396" w:rsidRPr="008D7AB4" w:rsidRDefault="00B92759" w:rsidP="00447509">
            <w:pPr>
              <w:rPr>
                <w:sz w:val="20"/>
                <w:szCs w:val="20"/>
              </w:rPr>
            </w:pPr>
            <w:r>
              <w:rPr>
                <w:sz w:val="20"/>
                <w:szCs w:val="20"/>
              </w:rPr>
              <w:t>Stage </w:t>
            </w:r>
            <w:r w:rsidR="00980BF0" w:rsidRPr="008D7AB4">
              <w:rPr>
                <w:sz w:val="20"/>
                <w:szCs w:val="20"/>
              </w:rPr>
              <w:t xml:space="preserve">II </w:t>
            </w:r>
            <w:r w:rsidR="00750752">
              <w:rPr>
                <w:sz w:val="20"/>
                <w:szCs w:val="20"/>
              </w:rPr>
              <w:t>–</w:t>
            </w:r>
            <w:r w:rsidR="00750752" w:rsidRPr="008D7AB4">
              <w:rPr>
                <w:sz w:val="20"/>
                <w:szCs w:val="20"/>
              </w:rPr>
              <w:t xml:space="preserve"> </w:t>
            </w:r>
            <w:r w:rsidR="00980BF0" w:rsidRPr="008D7AB4">
              <w:rPr>
                <w:sz w:val="20"/>
                <w:szCs w:val="20"/>
              </w:rPr>
              <w:t>progress report on the implementation of the fifth tranche and request for extension</w:t>
            </w:r>
          </w:p>
        </w:tc>
        <w:tc>
          <w:tcPr>
            <w:tcW w:w="1615" w:type="dxa"/>
          </w:tcPr>
          <w:p w14:paraId="7A30E941" w14:textId="58DC9806" w:rsidR="00905396" w:rsidRPr="008D7AB4" w:rsidRDefault="00811D2A" w:rsidP="00750752">
            <w:pPr>
              <w:jc w:val="center"/>
              <w:rPr>
                <w:sz w:val="20"/>
                <w:szCs w:val="20"/>
              </w:rPr>
            </w:pPr>
            <w:r>
              <w:rPr>
                <w:sz w:val="20"/>
                <w:szCs w:val="20"/>
              </w:rPr>
              <w:t xml:space="preserve">104 </w:t>
            </w:r>
            <w:r w:rsidR="00750752">
              <w:rPr>
                <w:sz w:val="20"/>
                <w:szCs w:val="20"/>
              </w:rPr>
              <w:t>–</w:t>
            </w:r>
            <w:r>
              <w:rPr>
                <w:sz w:val="20"/>
                <w:szCs w:val="20"/>
              </w:rPr>
              <w:t xml:space="preserve"> 138</w:t>
            </w:r>
          </w:p>
        </w:tc>
      </w:tr>
    </w:tbl>
    <w:p w14:paraId="2A9FEC5E" w14:textId="34A730AB" w:rsidR="00905396" w:rsidRPr="008D7AB4" w:rsidRDefault="00905396" w:rsidP="00221F50">
      <w:pPr>
        <w:rPr>
          <w:highlight w:val="green"/>
        </w:rPr>
      </w:pPr>
    </w:p>
    <w:p w14:paraId="5F05D7A4" w14:textId="2F3B3EA7" w:rsidR="00F818A5" w:rsidRPr="008D7AB4" w:rsidRDefault="00F818A5" w:rsidP="00E560C6">
      <w:pPr>
        <w:pStyle w:val="Style3"/>
      </w:pPr>
      <w:r w:rsidRPr="008D7AB4">
        <w:lastRenderedPageBreak/>
        <w:t>I</w:t>
      </w:r>
      <w:r w:rsidR="00E560C6">
        <w:t>I.</w:t>
      </w:r>
      <w:r w:rsidRPr="008D7AB4">
        <w:tab/>
      </w:r>
      <w:r w:rsidR="00F631B2" w:rsidRPr="008D7AB4">
        <w:t>“Blanket” approval</w:t>
      </w:r>
    </w:p>
    <w:p w14:paraId="7E2EA2CA" w14:textId="683B0BD3" w:rsidR="002C16AF" w:rsidRPr="008D7AB4" w:rsidRDefault="00221F50" w:rsidP="002C16AF">
      <w:pPr>
        <w:pStyle w:val="Heading1"/>
      </w:pPr>
      <w:r w:rsidRPr="008D7AB4">
        <w:t>This section includes reports on projects related to HCFC phase-out management plans, one report on an HFC project and one report on methyl bromide.</w:t>
      </w:r>
    </w:p>
    <w:p w14:paraId="5E281505" w14:textId="1E2EC838" w:rsidR="00F03B10" w:rsidRPr="008D7AB4" w:rsidRDefault="00F631B2" w:rsidP="00AA0EF2">
      <w:pPr>
        <w:pStyle w:val="Style4"/>
        <w:ind w:hanging="720"/>
      </w:pPr>
      <w:r w:rsidRPr="008D7AB4">
        <w:t>Reports related to HCFC phase-out management plans</w:t>
      </w:r>
    </w:p>
    <w:p w14:paraId="63FAB58B" w14:textId="0EDF48C4" w:rsidR="00B80950" w:rsidRPr="00B85D05" w:rsidRDefault="00B80950" w:rsidP="0002152C">
      <w:pPr>
        <w:pStyle w:val="Heading1"/>
        <w:numPr>
          <w:ilvl w:val="0"/>
          <w:numId w:val="0"/>
        </w:numPr>
        <w:ind w:left="720"/>
        <w:rPr>
          <w:b/>
          <w:bCs/>
          <w:u w:val="single"/>
        </w:rPr>
      </w:pPr>
      <w:r w:rsidRPr="00B85D05">
        <w:rPr>
          <w:b/>
          <w:bCs/>
          <w:u w:val="single"/>
        </w:rPr>
        <w:t>Algeria: HCFC phase-out management plan (</w:t>
      </w:r>
      <w:r w:rsidR="00B92759" w:rsidRPr="00B85D05">
        <w:rPr>
          <w:b/>
          <w:bCs/>
          <w:u w:val="single"/>
        </w:rPr>
        <w:t>stage </w:t>
      </w:r>
      <w:r w:rsidRPr="00B85D05">
        <w:rPr>
          <w:b/>
          <w:bCs/>
          <w:u w:val="single"/>
        </w:rPr>
        <w:t>I – status report on the use of HFC-32 as a refrigerant in the enterprise manufacturing air</w:t>
      </w:r>
      <w:r w:rsidR="00750752" w:rsidRPr="00B85D05">
        <w:rPr>
          <w:b/>
          <w:bCs/>
          <w:u w:val="single"/>
        </w:rPr>
        <w:t xml:space="preserve"> </w:t>
      </w:r>
      <w:r w:rsidRPr="00B85D05">
        <w:rPr>
          <w:b/>
          <w:bCs/>
          <w:u w:val="single"/>
        </w:rPr>
        <w:t>conditioners)</w:t>
      </w:r>
      <w:r w:rsidRPr="00B85D05">
        <w:rPr>
          <w:b/>
          <w:bCs/>
        </w:rPr>
        <w:t xml:space="preserve"> (UNIDO)</w:t>
      </w:r>
    </w:p>
    <w:p w14:paraId="24138524" w14:textId="77777777" w:rsidR="00B80950" w:rsidRPr="008D7AB4" w:rsidRDefault="00B80950" w:rsidP="00B80950">
      <w:pPr>
        <w:pStyle w:val="Heading1"/>
        <w:numPr>
          <w:ilvl w:val="0"/>
          <w:numId w:val="0"/>
        </w:numPr>
        <w:rPr>
          <w:b/>
        </w:rPr>
      </w:pPr>
      <w:r w:rsidRPr="008D7AB4">
        <w:rPr>
          <w:b/>
        </w:rPr>
        <w:t>Background</w:t>
      </w:r>
    </w:p>
    <w:p w14:paraId="1BE78248" w14:textId="5F47BC33" w:rsidR="00B80950" w:rsidRPr="008D7AB4" w:rsidRDefault="00B80950" w:rsidP="00B80950">
      <w:pPr>
        <w:pStyle w:val="Heading1"/>
      </w:pPr>
      <w:r w:rsidRPr="008D7AB4">
        <w:t>The project for the enterprise, Condor, was approved at the 66</w:t>
      </w:r>
      <w:r w:rsidRPr="008D7AB4">
        <w:rPr>
          <w:vertAlign w:val="superscript"/>
        </w:rPr>
        <w:t>th</w:t>
      </w:r>
      <w:r w:rsidR="00A04F54">
        <w:t> meeting</w:t>
      </w:r>
      <w:r w:rsidRPr="008D7AB4">
        <w:t xml:space="preserve"> as a part of </w:t>
      </w:r>
      <w:r w:rsidR="00B92759">
        <w:t>stage </w:t>
      </w:r>
      <w:r w:rsidRPr="008D7AB4">
        <w:t>I of the HCFC phase-out management plan (HPMP) for Algeria; it aimed to phase out 150</w:t>
      </w:r>
      <w:r w:rsidR="00A04F54">
        <w:t> mt</w:t>
      </w:r>
      <w:r w:rsidRPr="008D7AB4">
        <w:t xml:space="preserve"> of HCFC-22 (8.25 ODP tonnes) used by the enterprise, the only one in the room air-conditioning manufacturing sector in the country using HFC-32 as a refrigerant. Although the enterprise has installed equipment for manufacturing HFC-32-based air conditioners and has stopped using HCFC-22 in their manufacturing of room air conditioners, they have not been able to fully convert their manufacturing facility to produce HFC</w:t>
      </w:r>
      <w:r w:rsidRPr="008D7AB4">
        <w:noBreakHyphen/>
        <w:t>32-based air conditioners; instead, they have been producing R-410A-based air conditioners.</w:t>
      </w:r>
    </w:p>
    <w:p w14:paraId="1B7DD395" w14:textId="3DCEF630" w:rsidR="00B80950" w:rsidRPr="008D7AB4" w:rsidRDefault="00B80950" w:rsidP="00B80950">
      <w:pPr>
        <w:pStyle w:val="Heading1"/>
      </w:pPr>
      <w:r w:rsidRPr="008D7AB4">
        <w:t>At its 90</w:t>
      </w:r>
      <w:r w:rsidRPr="008D7AB4">
        <w:rPr>
          <w:vertAlign w:val="superscript"/>
        </w:rPr>
        <w:t>th</w:t>
      </w:r>
      <w:r w:rsidR="00A04F54">
        <w:t> meeting</w:t>
      </w:r>
      <w:r w:rsidRPr="008D7AB4">
        <w:t xml:space="preserve">, the Executive Committee, </w:t>
      </w:r>
      <w:r w:rsidRPr="008D7AB4">
        <w:rPr>
          <w:i/>
          <w:iCs/>
        </w:rPr>
        <w:t>inter alia</w:t>
      </w:r>
      <w:r w:rsidRPr="008D7AB4">
        <w:t>, noting that the enterprise manufacturing air conditioners that was supported under the HPMP for Algeria is using R-410A as a refrigerant in place of HFC-32, urged the Government of Algeria to work with UNIDO to provide a status report to the 91</w:t>
      </w:r>
      <w:r w:rsidRPr="008D7AB4">
        <w:rPr>
          <w:vertAlign w:val="superscript"/>
        </w:rPr>
        <w:t>st</w:t>
      </w:r>
      <w:r w:rsidRPr="008D7AB4">
        <w:t> meeting on the use of HFC-32 as a refrigerant in the enterprise manufacturing air conditioners (decision 90/30(b)).</w:t>
      </w:r>
      <w:r w:rsidRPr="008D7AB4">
        <w:rPr>
          <w:rStyle w:val="FootnoteReference"/>
        </w:rPr>
        <w:footnoteReference w:id="2"/>
      </w:r>
    </w:p>
    <w:p w14:paraId="452AC349" w14:textId="77777777" w:rsidR="00B80950" w:rsidRPr="008D7AB4" w:rsidRDefault="00B80950" w:rsidP="00B80950">
      <w:pPr>
        <w:pStyle w:val="Heading1"/>
      </w:pPr>
      <w:r w:rsidRPr="008D7AB4">
        <w:t>In response to the decision, UNIDO, on behalf of the Government of Algeria, submitted the requested report.</w:t>
      </w:r>
    </w:p>
    <w:p w14:paraId="14929E4A" w14:textId="77777777" w:rsidR="00B80950" w:rsidRPr="008D7AB4" w:rsidRDefault="00B80950" w:rsidP="00B80950">
      <w:pPr>
        <w:rPr>
          <w:b/>
          <w:bCs/>
        </w:rPr>
      </w:pPr>
      <w:r w:rsidRPr="008D7AB4">
        <w:rPr>
          <w:b/>
          <w:bCs/>
        </w:rPr>
        <w:t>Progress report</w:t>
      </w:r>
    </w:p>
    <w:p w14:paraId="57CF3D65" w14:textId="77777777" w:rsidR="00B80950" w:rsidRPr="008D7AB4" w:rsidRDefault="00B80950" w:rsidP="00B80950"/>
    <w:p w14:paraId="44733497" w14:textId="77777777" w:rsidR="00B80950" w:rsidRPr="008D7AB4" w:rsidRDefault="00B80950" w:rsidP="00B80950">
      <w:pPr>
        <w:pStyle w:val="Heading1"/>
      </w:pPr>
      <w:r w:rsidRPr="008D7AB4">
        <w:t xml:space="preserve">The report contains the following information: </w:t>
      </w:r>
    </w:p>
    <w:p w14:paraId="12B56A16" w14:textId="77777777" w:rsidR="00B80950" w:rsidRPr="008D7AB4" w:rsidRDefault="00B80950" w:rsidP="00B80950">
      <w:pPr>
        <w:pStyle w:val="Heading2"/>
      </w:pPr>
      <w:bookmarkStart w:id="1" w:name="_Hlk118098727"/>
      <w:r w:rsidRPr="008D7AB4">
        <w:t xml:space="preserve">The company has informed the Government of Algeria that the main reason for not being able to produce HFC-32-based air conditioners is due to lack of national regulatory and administrative framework that helps in producing HFC-32-based air conditioners at a competitive price; without this support, HFC-32-based air conditioners are not price competitive compared to air-conditioners using R-410A in the country; and </w:t>
      </w:r>
    </w:p>
    <w:p w14:paraId="54B390AD" w14:textId="77777777" w:rsidR="00B80950" w:rsidRPr="008D7AB4" w:rsidRDefault="00B80950" w:rsidP="00B80950">
      <w:pPr>
        <w:pStyle w:val="Heading2"/>
      </w:pPr>
      <w:r w:rsidRPr="008D7AB4">
        <w:t>The company also mentioned that they are committed to fully converting their facility to HFC-32 as soon as possible and this is in line with their strategy to promote products nationally and internationally with new technologies. They also informed that they have concluded a production and marketing agreement with a large international air conditioner manufacturer for the production of HFC</w:t>
      </w:r>
      <w:r w:rsidRPr="008D7AB4">
        <w:noBreakHyphen/>
        <w:t>32</w:t>
      </w:r>
      <w:r w:rsidRPr="008D7AB4">
        <w:noBreakHyphen/>
        <w:t>based air conditioners; this agreement would help the company produce HFC-32-based air conditioners in the next two to three years.</w:t>
      </w:r>
    </w:p>
    <w:p w14:paraId="07C23004" w14:textId="77777777" w:rsidR="00B80950" w:rsidRPr="008D7AB4" w:rsidRDefault="00B80950" w:rsidP="008D75DE">
      <w:pPr>
        <w:pStyle w:val="Heading1"/>
        <w:keepNext/>
        <w:keepLines/>
        <w:numPr>
          <w:ilvl w:val="0"/>
          <w:numId w:val="0"/>
        </w:numPr>
        <w:rPr>
          <w:b/>
          <w:bCs/>
        </w:rPr>
      </w:pPr>
      <w:r w:rsidRPr="008D7AB4">
        <w:rPr>
          <w:b/>
          <w:bCs/>
        </w:rPr>
        <w:lastRenderedPageBreak/>
        <w:t>Secretariat’s comments</w:t>
      </w:r>
    </w:p>
    <w:p w14:paraId="3FB8C3E6" w14:textId="77777777" w:rsidR="00B80950" w:rsidRPr="008D7AB4" w:rsidRDefault="00B80950" w:rsidP="008D75DE">
      <w:pPr>
        <w:pStyle w:val="Heading1"/>
        <w:keepNext/>
        <w:keepLines/>
      </w:pPr>
      <w:r w:rsidRPr="008D7AB4">
        <w:t>The Secretariat requested additional information from UNIDO on the timelines for concluding full conversion to HFC-32-based air conditioners at the enterprise, noting with concern that the project was delayed for a long period since its approval in 2012 and that there are no technology barriers on producing these products. UNIDO explained that it is in consultations with the national ozone unit and the enterprise to agree on a firm completion date for this project and would be able to report back on the completion date to the 92</w:t>
      </w:r>
      <w:r w:rsidRPr="008D7AB4">
        <w:rPr>
          <w:vertAlign w:val="superscript"/>
        </w:rPr>
        <w:t>nd</w:t>
      </w:r>
      <w:r w:rsidRPr="008D7AB4">
        <w:t> meeting along with the request for the third and fourth (final) tranches.</w:t>
      </w:r>
    </w:p>
    <w:p w14:paraId="2E401C1B" w14:textId="77777777" w:rsidR="00B80950" w:rsidRPr="008D7AB4" w:rsidRDefault="00B80950" w:rsidP="00B80950">
      <w:pPr>
        <w:pStyle w:val="Heading1"/>
        <w:rPr>
          <w:bCs/>
        </w:rPr>
      </w:pPr>
      <w:r w:rsidRPr="008D7AB4">
        <w:t>On the regulatory support needs for facilitating the adoption of HFC-32, UNIDO informed that the Government is planning to implement a range of fiscal incentives and other regulatory measures to promote the adoption of lower/low-global-warming-potential (GWP) refrigerant-based air conditioners and disincentivize manufacturing and/or sale of high-GWP refrigerant-based air conditioners; the Government is also expected to ratify the Kigali Amendment by 2023, following which additional measures would be implemented to reduce consumption of R-410A on priority; in addition, the Government would develop and implement codes and standards for the safe use of low-GWP refrigerants.</w:t>
      </w:r>
    </w:p>
    <w:bookmarkEnd w:id="1"/>
    <w:p w14:paraId="6C831192" w14:textId="77777777" w:rsidR="00B80950" w:rsidRPr="008D7AB4" w:rsidRDefault="00B80950" w:rsidP="00B80950">
      <w:pPr>
        <w:rPr>
          <w:b/>
        </w:rPr>
      </w:pPr>
      <w:r w:rsidRPr="008D7AB4">
        <w:rPr>
          <w:b/>
        </w:rPr>
        <w:t>Recommendation</w:t>
      </w:r>
    </w:p>
    <w:p w14:paraId="7B45FF1A" w14:textId="77777777" w:rsidR="00B80950" w:rsidRPr="008D7AB4" w:rsidRDefault="00B80950" w:rsidP="00B80950">
      <w:pPr>
        <w:pStyle w:val="Heading1"/>
        <w:numPr>
          <w:ilvl w:val="0"/>
          <w:numId w:val="0"/>
        </w:numPr>
        <w:spacing w:after="0"/>
      </w:pPr>
    </w:p>
    <w:p w14:paraId="47588C65" w14:textId="77777777" w:rsidR="00B80950" w:rsidRPr="008D7AB4" w:rsidRDefault="00B80950" w:rsidP="00B80950">
      <w:pPr>
        <w:pStyle w:val="Heading1"/>
      </w:pPr>
      <w:r w:rsidRPr="008D7AB4">
        <w:t>The Executive Committee may wish:</w:t>
      </w:r>
    </w:p>
    <w:p w14:paraId="2B0ED396" w14:textId="088CC53A" w:rsidR="00B80950" w:rsidRPr="008D7AB4" w:rsidRDefault="00B80950" w:rsidP="00B80950">
      <w:pPr>
        <w:pStyle w:val="Heading2"/>
      </w:pPr>
      <w:r w:rsidRPr="008D7AB4">
        <w:t xml:space="preserve">To note the report on the use of HFC-32 as a refrigerant in the enterprise manufacturing air conditioners in Algeria under </w:t>
      </w:r>
      <w:r w:rsidR="00B92759">
        <w:t>stage </w:t>
      </w:r>
      <w:r w:rsidRPr="008D7AB4">
        <w:t>I of the HCFC phase-out management plan (HPMP), submitted by UNIDO and contained in document UNEP/Ozl.Pro/ExCom/91/18; and</w:t>
      </w:r>
    </w:p>
    <w:p w14:paraId="72D7F39C" w14:textId="3B5848D2" w:rsidR="00B80950" w:rsidRPr="008D7AB4" w:rsidRDefault="00B80950" w:rsidP="00B80950">
      <w:pPr>
        <w:pStyle w:val="Heading2"/>
      </w:pPr>
      <w:r w:rsidRPr="008D7AB4">
        <w:t>To request the Government of Algeria, through UNIDO, to submit at the 92</w:t>
      </w:r>
      <w:r w:rsidRPr="008D7AB4">
        <w:rPr>
          <w:vertAlign w:val="superscript"/>
        </w:rPr>
        <w:t>nd</w:t>
      </w:r>
      <w:r w:rsidR="00A04F54">
        <w:t> meeting</w:t>
      </w:r>
      <w:r w:rsidRPr="008D7AB4">
        <w:t xml:space="preserve">, the request for the third and fourth tranches of </w:t>
      </w:r>
      <w:r w:rsidR="00B92759">
        <w:t>stage </w:t>
      </w:r>
      <w:r w:rsidRPr="008D7AB4">
        <w:t>I of the HPMP including the plan for the full conversion of the enterprise mentioned in sub-paragraph (a) above to use HFC</w:t>
      </w:r>
      <w:r w:rsidRPr="008D7AB4">
        <w:noBreakHyphen/>
        <w:t>32 as a refrigerant in the manufacturing of air conditioners.</w:t>
      </w:r>
    </w:p>
    <w:p w14:paraId="422487FF" w14:textId="09D34C8E" w:rsidR="00BC7AF0" w:rsidRPr="00B85D05" w:rsidRDefault="00BC7AF0" w:rsidP="0002152C">
      <w:pPr>
        <w:spacing w:after="240"/>
        <w:ind w:left="720"/>
        <w:rPr>
          <w:b/>
          <w:bCs/>
          <w:u w:val="single"/>
        </w:rPr>
      </w:pPr>
      <w:r w:rsidRPr="00B85D05">
        <w:rPr>
          <w:b/>
          <w:bCs/>
          <w:u w:val="single"/>
        </w:rPr>
        <w:t>Argentina: HCFC phase-out management plan (</w:t>
      </w:r>
      <w:r w:rsidR="00B92759" w:rsidRPr="00B85D05">
        <w:rPr>
          <w:b/>
          <w:bCs/>
          <w:u w:val="single"/>
        </w:rPr>
        <w:t>stage </w:t>
      </w:r>
      <w:r w:rsidRPr="00B85D05">
        <w:rPr>
          <w:b/>
          <w:bCs/>
          <w:u w:val="single"/>
        </w:rPr>
        <w:t>II – update on the financial viability of the enterprise Celpack)</w:t>
      </w:r>
      <w:r w:rsidRPr="002E1E12">
        <w:rPr>
          <w:b/>
          <w:bCs/>
        </w:rPr>
        <w:t xml:space="preserve"> (UNIDO and the Government of Italy)</w:t>
      </w:r>
    </w:p>
    <w:p w14:paraId="0E82084C" w14:textId="77777777" w:rsidR="00BC7AF0" w:rsidRPr="008D7AB4" w:rsidRDefault="00BC7AF0" w:rsidP="00BC7AF0">
      <w:pPr>
        <w:spacing w:after="240"/>
        <w:rPr>
          <w:b/>
        </w:rPr>
      </w:pPr>
      <w:r w:rsidRPr="008D7AB4">
        <w:rPr>
          <w:b/>
        </w:rPr>
        <w:t>Background</w:t>
      </w:r>
    </w:p>
    <w:p w14:paraId="2D850A1A" w14:textId="6BAEF25A" w:rsidR="00BC7AF0" w:rsidRPr="008D7AB4" w:rsidRDefault="00BC7AF0" w:rsidP="00BC7AF0">
      <w:pPr>
        <w:numPr>
          <w:ilvl w:val="0"/>
          <w:numId w:val="1"/>
        </w:numPr>
        <w:spacing w:after="240"/>
        <w:outlineLvl w:val="0"/>
      </w:pPr>
      <w:r w:rsidRPr="008D7AB4">
        <w:t>At its 84</w:t>
      </w:r>
      <w:r w:rsidRPr="008D7AB4">
        <w:rPr>
          <w:vertAlign w:val="superscript"/>
        </w:rPr>
        <w:t>th</w:t>
      </w:r>
      <w:r w:rsidRPr="008D7AB4">
        <w:t xml:space="preserve"> meeting, the Executive Committee considered the funding request for the second tranche of </w:t>
      </w:r>
      <w:r w:rsidR="00B92759">
        <w:t>stage </w:t>
      </w:r>
      <w:r w:rsidRPr="008D7AB4">
        <w:t>II of the HPMP for Argentina.</w:t>
      </w:r>
      <w:r w:rsidRPr="008D7AB4">
        <w:rPr>
          <w:vertAlign w:val="superscript"/>
        </w:rPr>
        <w:footnoteReference w:id="3"/>
      </w:r>
      <w:r w:rsidRPr="008D7AB4">
        <w:t xml:space="preserve"> The tranche request included a progress report indicating </w:t>
      </w:r>
      <w:r w:rsidRPr="008D7AB4">
        <w:rPr>
          <w:i/>
        </w:rPr>
        <w:t>inter alia</w:t>
      </w:r>
      <w:r w:rsidRPr="008D7AB4">
        <w:t xml:space="preserve"> that the conversion from HCFC</w:t>
      </w:r>
      <w:r w:rsidRPr="008D7AB4">
        <w:noBreakHyphen/>
        <w:t>22 to CO</w:t>
      </w:r>
      <w:r w:rsidRPr="008D7AB4">
        <w:rPr>
          <w:vertAlign w:val="subscript"/>
        </w:rPr>
        <w:t xml:space="preserve">2 </w:t>
      </w:r>
      <w:r w:rsidRPr="008D7AB4">
        <w:t>at the extruded polystyrene (XPS) foam enterprise Celpack had been delayed due to economic difficulties faced by the enterprise and to its interest in evaluating butane as an alternative to HCFCs. In approving the funding tranche, the Committee requested UNIDO to submit at the 85</w:t>
      </w:r>
      <w:r w:rsidRPr="008D7AB4">
        <w:rPr>
          <w:vertAlign w:val="superscript"/>
        </w:rPr>
        <w:t>th</w:t>
      </w:r>
      <w:r w:rsidRPr="008D7AB4">
        <w:t> meeting an update on the financial viability of the enterprise and whether it would be assisted by the Multilateral Fund, on the understanding that the funds from the conversion would be returned in the event that the enterprise were removed from the project (decision 84/64(d)(ii)).</w:t>
      </w:r>
    </w:p>
    <w:p w14:paraId="63E14DA7" w14:textId="77777777" w:rsidR="00BC7AF0" w:rsidRPr="008D7AB4" w:rsidRDefault="00BC7AF0" w:rsidP="00BC7AF0">
      <w:pPr>
        <w:numPr>
          <w:ilvl w:val="0"/>
          <w:numId w:val="1"/>
        </w:numPr>
        <w:spacing w:after="240"/>
        <w:outlineLvl w:val="0"/>
      </w:pPr>
      <w:r w:rsidRPr="008D7AB4">
        <w:t>Since then and in line with decision 84/64(d)(ii), UNIDO has submitted progress reports to all relevant Executive Committee meetings,</w:t>
      </w:r>
      <w:r w:rsidRPr="008D7AB4">
        <w:rPr>
          <w:vertAlign w:val="superscript"/>
        </w:rPr>
        <w:footnoteReference w:id="4"/>
      </w:r>
      <w:r w:rsidRPr="008D7AB4">
        <w:t xml:space="preserve"> reiterating that the majority of Celpack’s debt was with the Federal Agency for Public Incomes (AFIP), and that the Parliament of Argentina, recognizing the economic impact of COVID</w:t>
      </w:r>
      <w:r w:rsidRPr="008D7AB4">
        <w:noBreakHyphen/>
        <w:t xml:space="preserve">19, approved a moratorium for financing debts that had been due by 31 July 2020. </w:t>
      </w:r>
      <w:r w:rsidRPr="008D7AB4">
        <w:lastRenderedPageBreak/>
        <w:t>Celpack has been paying off its debt in accordance with the schedule approved by the Tax Authority. This was expected to have a positive impact on the financial viability of the enterprise.</w:t>
      </w:r>
    </w:p>
    <w:p w14:paraId="556CE113" w14:textId="77777777" w:rsidR="00BC7AF0" w:rsidRPr="008D7AB4" w:rsidRDefault="00BC7AF0" w:rsidP="00BC7AF0">
      <w:pPr>
        <w:keepNext/>
        <w:widowControl w:val="0"/>
        <w:spacing w:after="240"/>
        <w:outlineLvl w:val="0"/>
        <w:rPr>
          <w:b/>
        </w:rPr>
      </w:pPr>
      <w:r w:rsidRPr="008D7AB4">
        <w:rPr>
          <w:b/>
        </w:rPr>
        <w:t xml:space="preserve">Progress report </w:t>
      </w:r>
    </w:p>
    <w:p w14:paraId="4D0374D6" w14:textId="77777777" w:rsidR="00BC7AF0" w:rsidRPr="008D7AB4" w:rsidRDefault="00BC7AF0" w:rsidP="00BC7AF0">
      <w:pPr>
        <w:numPr>
          <w:ilvl w:val="0"/>
          <w:numId w:val="1"/>
        </w:numPr>
        <w:spacing w:after="240"/>
        <w:outlineLvl w:val="0"/>
      </w:pPr>
      <w:r w:rsidRPr="008D7AB4">
        <w:rPr>
          <w:rFonts w:eastAsiaTheme="minorHAnsi"/>
        </w:rPr>
        <w:t>UNIDO has submitted an update to the 91</w:t>
      </w:r>
      <w:r w:rsidRPr="008D7AB4">
        <w:rPr>
          <w:rFonts w:eastAsiaTheme="minorHAnsi"/>
          <w:vertAlign w:val="superscript"/>
        </w:rPr>
        <w:t>st</w:t>
      </w:r>
      <w:r w:rsidRPr="008D7AB4">
        <w:rPr>
          <w:rFonts w:eastAsiaTheme="minorHAnsi"/>
        </w:rPr>
        <w:t> meeting, indicating that Celpack continues to meet all scheduled payments as approved by AFIP. The Government of Argentina and UNIDO affirmed that they would continue monitoring the financial situation of the enterprise, and t</w:t>
      </w:r>
      <w:r w:rsidRPr="008D7AB4">
        <w:t xml:space="preserve">he Government further reiterated that the funding associated with Celpack would not be disbursed until the issue had been resolved (i.e., </w:t>
      </w:r>
      <w:r w:rsidRPr="008D7AB4">
        <w:rPr>
          <w:rFonts w:eastAsiaTheme="minorHAnsi"/>
        </w:rPr>
        <w:t>the financial health of the enterprise was confirmed)</w:t>
      </w:r>
      <w:r w:rsidRPr="008D7AB4">
        <w:t xml:space="preserve"> and its resolution had been considered by the Executive Committee. Should it be determined that the enterprise was not financially viable, the level of funds to be returned to the Multilateral Fund would be calculated taking into consideration the terms of flexibility used for the approval of funds for the XPS foam sector in Argentina.</w:t>
      </w:r>
      <w:r w:rsidRPr="008D7AB4">
        <w:rPr>
          <w:vertAlign w:val="superscript"/>
        </w:rPr>
        <w:footnoteReference w:id="5"/>
      </w:r>
    </w:p>
    <w:p w14:paraId="18A614E7" w14:textId="77777777" w:rsidR="00BC7AF0" w:rsidRPr="008D7AB4" w:rsidRDefault="00BC7AF0" w:rsidP="00BC7AF0">
      <w:pPr>
        <w:keepNext/>
        <w:keepLines/>
        <w:spacing w:after="240"/>
        <w:outlineLvl w:val="0"/>
        <w:rPr>
          <w:b/>
        </w:rPr>
      </w:pPr>
      <w:r w:rsidRPr="008D7AB4">
        <w:rPr>
          <w:b/>
        </w:rPr>
        <w:t>Secretariat’s comments</w:t>
      </w:r>
    </w:p>
    <w:p w14:paraId="367CAF9F" w14:textId="248CFF44" w:rsidR="00BC7AF0" w:rsidRPr="008D7AB4" w:rsidRDefault="00BC7AF0" w:rsidP="00BC7AF0">
      <w:pPr>
        <w:pStyle w:val="Heading1"/>
      </w:pPr>
      <w:r w:rsidRPr="008D7AB4">
        <w:t xml:space="preserve">The Secretariat notes the status of Celpack and the efforts of the Government of Argentina and UNIDO to continue monitoring the financial situation of the enterprise, and will request an update on the matter as part of the submission of the request for the subsequent tranche of </w:t>
      </w:r>
      <w:r w:rsidR="00B92759">
        <w:t>stage </w:t>
      </w:r>
      <w:r w:rsidRPr="008D7AB4">
        <w:t>II of the HPMP for Argentina, in line with decision 84/64(d)(ii).</w:t>
      </w:r>
    </w:p>
    <w:p w14:paraId="686A2819" w14:textId="77777777" w:rsidR="00BC7AF0" w:rsidRPr="008D7AB4" w:rsidRDefault="00BC7AF0" w:rsidP="00BC7AF0">
      <w:pPr>
        <w:keepNext/>
        <w:keepLines/>
        <w:spacing w:after="240"/>
        <w:outlineLvl w:val="0"/>
        <w:rPr>
          <w:b/>
        </w:rPr>
      </w:pPr>
      <w:r w:rsidRPr="008D7AB4">
        <w:rPr>
          <w:b/>
        </w:rPr>
        <w:t>Recommendation</w:t>
      </w:r>
    </w:p>
    <w:p w14:paraId="4B912FE8" w14:textId="77777777" w:rsidR="00BC7AF0" w:rsidRPr="008D7AB4" w:rsidRDefault="00BC7AF0" w:rsidP="00BC7AF0">
      <w:pPr>
        <w:numPr>
          <w:ilvl w:val="0"/>
          <w:numId w:val="1"/>
        </w:numPr>
        <w:spacing w:after="240"/>
        <w:outlineLvl w:val="0"/>
      </w:pPr>
      <w:r w:rsidRPr="008D7AB4">
        <w:t>The Executive Committee may wish:</w:t>
      </w:r>
    </w:p>
    <w:p w14:paraId="1BE7B58B" w14:textId="6966A581" w:rsidR="00BC7AF0" w:rsidRPr="008D7AB4" w:rsidRDefault="00BC7AF0" w:rsidP="00BC7AF0">
      <w:pPr>
        <w:widowControl w:val="0"/>
        <w:numPr>
          <w:ilvl w:val="1"/>
          <w:numId w:val="1"/>
        </w:numPr>
        <w:spacing w:after="240"/>
        <w:outlineLvl w:val="1"/>
      </w:pPr>
      <w:r w:rsidRPr="008D7AB4">
        <w:t xml:space="preserve">To note the update on the financial viability of the extruded polystyrene (XPS) foam enterprise Celpack funded under </w:t>
      </w:r>
      <w:r w:rsidR="00B92759">
        <w:t>stage </w:t>
      </w:r>
      <w:r w:rsidRPr="008D7AB4">
        <w:t>II of the HCFC phase</w:t>
      </w:r>
      <w:r w:rsidRPr="008D7AB4">
        <w:noBreakHyphen/>
        <w:t xml:space="preserve">out management plan (HPMP) for Argentina, provided by UNIDO and contained in document UNEP/OzL.Pro/ExCom/91/18; </w:t>
      </w:r>
    </w:p>
    <w:p w14:paraId="232C5C4E" w14:textId="6287DD61" w:rsidR="00BC7AF0" w:rsidRPr="008D7AB4" w:rsidRDefault="00BC7AF0" w:rsidP="00BC7AF0">
      <w:pPr>
        <w:widowControl w:val="0"/>
        <w:numPr>
          <w:ilvl w:val="1"/>
          <w:numId w:val="1"/>
        </w:numPr>
        <w:spacing w:after="240"/>
        <w:outlineLvl w:val="1"/>
      </w:pPr>
      <w:r w:rsidRPr="008D7AB4">
        <w:t xml:space="preserve">To request the Government of Argentina, through UNIDO, to provide, as part of the submission of the subsequent tranche request, an update on the financial viability of the XPS foam enterprise Celpack and a decision on whether the enterprise would be assisted by the Multilateral Fund under </w:t>
      </w:r>
      <w:r w:rsidR="00B92759">
        <w:t>stage </w:t>
      </w:r>
      <w:r w:rsidRPr="008D7AB4">
        <w:t>II of the HPMP for Argentina, in line with decision 84/64(d)(ii), and</w:t>
      </w:r>
    </w:p>
    <w:p w14:paraId="77DDE8C2" w14:textId="134AE447" w:rsidR="00BC7AF0" w:rsidRPr="008D7AB4" w:rsidRDefault="00BC7AF0" w:rsidP="006E63AE">
      <w:pPr>
        <w:numPr>
          <w:ilvl w:val="1"/>
          <w:numId w:val="1"/>
        </w:numPr>
        <w:spacing w:after="240"/>
        <w:outlineLvl w:val="1"/>
      </w:pPr>
      <w:r w:rsidRPr="008D7AB4">
        <w:t xml:space="preserve">To note that, in the event that the enterprise Celpack would not be assisted by the Multilateral Fund, the funds associated with its conversion would be calculated taking into consideration the flexibility in the allocation of funds approved for the Government of Argentina for the XPS foam sector and would be deducted from the approval of the subsequent tranche of </w:t>
      </w:r>
      <w:r w:rsidR="00B92759">
        <w:t>stage </w:t>
      </w:r>
      <w:r w:rsidRPr="008D7AB4">
        <w:t>II of the HPMP for Argentina.</w:t>
      </w:r>
    </w:p>
    <w:p w14:paraId="60A5F9E2" w14:textId="74693593" w:rsidR="00277B9B" w:rsidRPr="00B85D05" w:rsidRDefault="00277B9B" w:rsidP="002E1E12">
      <w:pPr>
        <w:keepNext/>
        <w:keepLines/>
        <w:ind w:left="720"/>
        <w:rPr>
          <w:b/>
          <w:bCs/>
        </w:rPr>
      </w:pPr>
      <w:r w:rsidRPr="00B85D05">
        <w:rPr>
          <w:b/>
          <w:bCs/>
          <w:u w:val="single"/>
        </w:rPr>
        <w:lastRenderedPageBreak/>
        <w:t>Bangladesh: HCFC phase-out management plan (</w:t>
      </w:r>
      <w:r w:rsidR="00B92759" w:rsidRPr="00B85D05">
        <w:rPr>
          <w:b/>
          <w:bCs/>
          <w:u w:val="single"/>
        </w:rPr>
        <w:t>stage </w:t>
      </w:r>
      <w:r w:rsidRPr="00B85D05">
        <w:rPr>
          <w:b/>
          <w:bCs/>
          <w:u w:val="single"/>
        </w:rPr>
        <w:t>II – verification report)</w:t>
      </w:r>
      <w:r w:rsidRPr="00B85D05">
        <w:rPr>
          <w:b/>
          <w:bCs/>
        </w:rPr>
        <w:t xml:space="preserve"> (UNDP and UNEP)</w:t>
      </w:r>
    </w:p>
    <w:p w14:paraId="4D2C8CBD" w14:textId="77777777" w:rsidR="00277B9B" w:rsidRPr="008D7AB4" w:rsidRDefault="00277B9B" w:rsidP="002E1E12">
      <w:pPr>
        <w:keepNext/>
        <w:keepLines/>
      </w:pPr>
    </w:p>
    <w:p w14:paraId="5A702C31" w14:textId="76513A26" w:rsidR="00277B9B" w:rsidRPr="008D7AB4" w:rsidRDefault="00277B9B" w:rsidP="002E1E12">
      <w:pPr>
        <w:pStyle w:val="StyleBold"/>
        <w:keepNext/>
        <w:keepLines/>
      </w:pPr>
      <w:r w:rsidRPr="008D7AB4">
        <w:t>Background</w:t>
      </w:r>
    </w:p>
    <w:p w14:paraId="1C5C2C85" w14:textId="44A97667" w:rsidR="00277B9B" w:rsidRPr="008D7AB4" w:rsidRDefault="00B92759" w:rsidP="002E1E12">
      <w:pPr>
        <w:pStyle w:val="Heading1"/>
        <w:keepNext/>
        <w:keepLines/>
      </w:pPr>
      <w:r>
        <w:t>Stage </w:t>
      </w:r>
      <w:r w:rsidR="00277B9B" w:rsidRPr="008D7AB4">
        <w:t>II of the HCFC phase-out management plan (HPMP) for Bangladesh for the period 2018 to 2025 to reduce HCFC consumption by 67.5 per cent of the baseline by 2025, was approved in principle at the 81</w:t>
      </w:r>
      <w:r w:rsidR="00277B9B" w:rsidRPr="008D7AB4">
        <w:rPr>
          <w:vertAlign w:val="superscript"/>
        </w:rPr>
        <w:t>st</w:t>
      </w:r>
      <w:r w:rsidR="00A04F54">
        <w:t> meeting</w:t>
      </w:r>
      <w:r w:rsidR="00277B9B" w:rsidRPr="008D7AB4">
        <w:rPr>
          <w:rStyle w:val="FootnoteReference"/>
        </w:rPr>
        <w:footnoteReference w:id="6"/>
      </w:r>
      <w:r w:rsidR="00277B9B" w:rsidRPr="008D7AB4">
        <w:t xml:space="preserve"> and revised at the 90</w:t>
      </w:r>
      <w:r w:rsidR="00277B9B" w:rsidRPr="008D7AB4">
        <w:rPr>
          <w:vertAlign w:val="superscript"/>
        </w:rPr>
        <w:t>th</w:t>
      </w:r>
      <w:r w:rsidR="00A04F54">
        <w:t> meeting</w:t>
      </w:r>
      <w:r w:rsidR="00277B9B" w:rsidRPr="008D7AB4">
        <w:t>,</w:t>
      </w:r>
      <w:r w:rsidR="00277B9B" w:rsidRPr="008D7AB4">
        <w:rPr>
          <w:rStyle w:val="FootnoteReference"/>
        </w:rPr>
        <w:footnoteReference w:id="7"/>
      </w:r>
      <w:r w:rsidR="00277B9B" w:rsidRPr="008D7AB4">
        <w:t xml:space="preserve"> in the amount of </w:t>
      </w:r>
      <w:r>
        <w:t>US $</w:t>
      </w:r>
      <w:r w:rsidR="00277B9B" w:rsidRPr="008D7AB4">
        <w:t xml:space="preserve">6,334,430, consisting of US $5,356,014, plus agency support cost of </w:t>
      </w:r>
      <w:r>
        <w:t>US $</w:t>
      </w:r>
      <w:r w:rsidR="00277B9B" w:rsidRPr="008D7AB4">
        <w:t xml:space="preserve">374,921 for UNDP, and </w:t>
      </w:r>
      <w:r>
        <w:t>US $</w:t>
      </w:r>
      <w:r w:rsidR="00277B9B" w:rsidRPr="008D7AB4">
        <w:t xml:space="preserve">534,680, plus agency support cost of </w:t>
      </w:r>
      <w:r>
        <w:t>US $</w:t>
      </w:r>
      <w:r w:rsidR="00277B9B" w:rsidRPr="008D7AB4">
        <w:t xml:space="preserve">68,815 for UNEP. </w:t>
      </w:r>
    </w:p>
    <w:p w14:paraId="73224247" w14:textId="3553A3AE" w:rsidR="00277B9B" w:rsidRPr="008D7AB4" w:rsidRDefault="00277B9B" w:rsidP="00277B9B">
      <w:pPr>
        <w:pStyle w:val="Heading1"/>
      </w:pPr>
      <w:r w:rsidRPr="008D7AB4">
        <w:t>At the 90</w:t>
      </w:r>
      <w:r w:rsidRPr="008D7AB4">
        <w:rPr>
          <w:vertAlign w:val="superscript"/>
        </w:rPr>
        <w:t>th</w:t>
      </w:r>
      <w:r w:rsidR="00A04F54">
        <w:t> meeting</w:t>
      </w:r>
      <w:r w:rsidRPr="008D7AB4">
        <w:t xml:space="preserve">, through </w:t>
      </w:r>
      <w:r w:rsidR="00A04F54">
        <w:t>decision </w:t>
      </w:r>
      <w:r w:rsidRPr="008D7AB4">
        <w:t xml:space="preserve">90/44 the Executive Committee approved the second tranche of </w:t>
      </w:r>
      <w:r w:rsidR="00B92759">
        <w:t>stage </w:t>
      </w:r>
      <w:r w:rsidRPr="008D7AB4">
        <w:t>II of the HPMP for Bangladesh, and the corresponding 2022-2024 tranche implementation plan, at the amount of US $2,142,405, plus agency support costs of US $149,968 for UNDP, on the understanding that:</w:t>
      </w:r>
    </w:p>
    <w:p w14:paraId="04558CC4" w14:textId="77777777" w:rsidR="00277B9B" w:rsidRPr="008D7AB4" w:rsidRDefault="00277B9B" w:rsidP="00277B9B">
      <w:pPr>
        <w:pStyle w:val="Heading2"/>
        <w:numPr>
          <w:ilvl w:val="1"/>
          <w:numId w:val="17"/>
        </w:numPr>
        <w:tabs>
          <w:tab w:val="clear" w:pos="0"/>
          <w:tab w:val="num" w:pos="360"/>
        </w:tabs>
      </w:pPr>
      <w:r w:rsidRPr="008D7AB4">
        <w:t>The Treasurer would be requested to transfer the approved funds to UNDP only upon receipt and review of the verification report by the Secretariat in line with decision 72/19(b);</w:t>
      </w:r>
    </w:p>
    <w:p w14:paraId="6105EF20" w14:textId="1B890651" w:rsidR="00277B9B" w:rsidRPr="008D7AB4" w:rsidRDefault="00277B9B" w:rsidP="00277B9B">
      <w:pPr>
        <w:pStyle w:val="Heading2"/>
        <w:numPr>
          <w:ilvl w:val="1"/>
          <w:numId w:val="17"/>
        </w:numPr>
        <w:tabs>
          <w:tab w:val="clear" w:pos="0"/>
          <w:tab w:val="num" w:pos="360"/>
        </w:tabs>
      </w:pPr>
      <w:r w:rsidRPr="008D7AB4">
        <w:t>UNDP has committed to submitting the verification report by the end of June 2022 and no later than 12 weeks prior to the 91</w:t>
      </w:r>
      <w:r w:rsidRPr="008D7AB4">
        <w:rPr>
          <w:vertAlign w:val="superscript"/>
        </w:rPr>
        <w:t>st</w:t>
      </w:r>
      <w:r w:rsidR="00A04F54">
        <w:t> meeting</w:t>
      </w:r>
      <w:r w:rsidRPr="008D7AB4">
        <w:t xml:space="preserve">; </w:t>
      </w:r>
    </w:p>
    <w:p w14:paraId="3BB39A1B" w14:textId="215CBD2A" w:rsidR="00277B9B" w:rsidRPr="008D7AB4" w:rsidRDefault="00277B9B" w:rsidP="00277B9B">
      <w:pPr>
        <w:pStyle w:val="Heading2"/>
        <w:numPr>
          <w:ilvl w:val="1"/>
          <w:numId w:val="17"/>
        </w:numPr>
        <w:tabs>
          <w:tab w:val="clear" w:pos="0"/>
          <w:tab w:val="num" w:pos="360"/>
        </w:tabs>
      </w:pPr>
      <w:r w:rsidRPr="008D7AB4">
        <w:t xml:space="preserve">The recommendations included in the verification report would be addressed during the implementation of the second tranche of </w:t>
      </w:r>
      <w:r w:rsidR="00B92759">
        <w:t>stage </w:t>
      </w:r>
      <w:r w:rsidRPr="008D7AB4">
        <w:t xml:space="preserve">II of the HPMP and that the actions implemented towards that end would be included in the progress report of the second tranche for </w:t>
      </w:r>
      <w:r w:rsidR="00B92759">
        <w:t>stage </w:t>
      </w:r>
      <w:r w:rsidRPr="008D7AB4">
        <w:t>II of the HPMP for Bangladesh to be submitted with the third tranche request; and</w:t>
      </w:r>
    </w:p>
    <w:p w14:paraId="742BE4D5" w14:textId="64A0E7BA" w:rsidR="00277B9B" w:rsidRPr="008D7AB4" w:rsidRDefault="00277B9B" w:rsidP="00277B9B">
      <w:pPr>
        <w:pStyle w:val="Heading2"/>
        <w:numPr>
          <w:ilvl w:val="1"/>
          <w:numId w:val="17"/>
        </w:numPr>
        <w:tabs>
          <w:tab w:val="clear" w:pos="0"/>
          <w:tab w:val="num" w:pos="360"/>
        </w:tabs>
      </w:pPr>
      <w:r w:rsidRPr="008D7AB4">
        <w:t xml:space="preserve">In the event that the verification report confirmed that Bangladesh had not been in compliance with the Montreal Protocol and its Agreement with the Executive Committee, the Secretariat would inform the Executive Committee so that relevant actions, </w:t>
      </w:r>
      <w:r w:rsidRPr="008D7AB4">
        <w:rPr>
          <w:i/>
          <w:iCs/>
        </w:rPr>
        <w:t>inter alia</w:t>
      </w:r>
      <w:r w:rsidRPr="008D7AB4">
        <w:t>, the application of the penalty clause, could be considered at the 91</w:t>
      </w:r>
      <w:r w:rsidRPr="008D7AB4">
        <w:rPr>
          <w:vertAlign w:val="superscript"/>
        </w:rPr>
        <w:t>st</w:t>
      </w:r>
      <w:r w:rsidR="00A04F54">
        <w:t> meeting</w:t>
      </w:r>
      <w:r w:rsidRPr="008D7AB4">
        <w:t>.</w:t>
      </w:r>
    </w:p>
    <w:p w14:paraId="52F6B637" w14:textId="73FFC920" w:rsidR="00277B9B" w:rsidRPr="008D7AB4" w:rsidRDefault="00277B9B" w:rsidP="00277B9B">
      <w:pPr>
        <w:pStyle w:val="Heading1"/>
      </w:pPr>
      <w:r w:rsidRPr="008D7AB4">
        <w:t xml:space="preserve">In line with </w:t>
      </w:r>
      <w:r w:rsidR="00A04F54">
        <w:t>decision </w:t>
      </w:r>
      <w:r w:rsidRPr="008D7AB4">
        <w:t>90/44, on behalf of the Government of Bangladesh, UNDP has submitted the verification report.</w:t>
      </w:r>
    </w:p>
    <w:p w14:paraId="5DB9391D" w14:textId="77777777" w:rsidR="00277B9B" w:rsidRPr="008D7AB4" w:rsidRDefault="00277B9B" w:rsidP="00277B9B">
      <w:pPr>
        <w:pStyle w:val="StyleBold"/>
      </w:pPr>
      <w:r w:rsidRPr="008D7AB4">
        <w:t>Secretariat’s comments</w:t>
      </w:r>
    </w:p>
    <w:p w14:paraId="25D10546" w14:textId="2CB6855E" w:rsidR="00277B9B" w:rsidRPr="008D7AB4" w:rsidRDefault="00277B9B" w:rsidP="00277B9B">
      <w:pPr>
        <w:pStyle w:val="Heading1"/>
      </w:pPr>
      <w:r w:rsidRPr="008D7AB4">
        <w:t>The Secretariat received the verification report on the country’s HCFC consumption for 2019-2021 on 2 November 2022, seven weeks after the deadline for submission. Due to the late receipt of this document, the Secretariat was unable to review the submission and will provide a summary of this report at the 92</w:t>
      </w:r>
      <w:r w:rsidRPr="008D7AB4">
        <w:rPr>
          <w:vertAlign w:val="superscript"/>
        </w:rPr>
        <w:t>nd</w:t>
      </w:r>
      <w:r w:rsidR="00A04F54">
        <w:t> meeting</w:t>
      </w:r>
      <w:r w:rsidRPr="008D7AB4">
        <w:t xml:space="preserve">. </w:t>
      </w:r>
    </w:p>
    <w:p w14:paraId="5EC40BF2" w14:textId="77777777" w:rsidR="00277B9B" w:rsidRPr="008D7AB4" w:rsidRDefault="00277B9B" w:rsidP="00277B9B">
      <w:pPr>
        <w:widowControl w:val="0"/>
        <w:spacing w:after="240"/>
        <w:outlineLvl w:val="0"/>
        <w:rPr>
          <w:b/>
        </w:rPr>
      </w:pPr>
      <w:r w:rsidRPr="008D7AB4">
        <w:rPr>
          <w:b/>
        </w:rPr>
        <w:t xml:space="preserve">Recommendation </w:t>
      </w:r>
    </w:p>
    <w:p w14:paraId="220B21A0" w14:textId="77777777" w:rsidR="00277B9B" w:rsidRPr="008D7AB4" w:rsidRDefault="00277B9B" w:rsidP="00277B9B">
      <w:pPr>
        <w:pStyle w:val="Heading1"/>
      </w:pPr>
      <w:r w:rsidRPr="008D7AB4">
        <w:t>The Executive Committee may wish to take note of the submission by UNDP of the verification report of HCFC consumption for Bangladesh for 2019-2021, which will be reviewed and presented by the Secretariat at the 92</w:t>
      </w:r>
      <w:r w:rsidRPr="008D7AB4">
        <w:rPr>
          <w:vertAlign w:val="superscript"/>
        </w:rPr>
        <w:t>nd</w:t>
      </w:r>
      <w:r w:rsidRPr="008D7AB4">
        <w:t> meeting; and that the Treasurer would be requested to transfer the approved funds to UNDP only upon the review of the verification report by the Secretariat in line with decisions 72/19(b) and 90/44.</w:t>
      </w:r>
    </w:p>
    <w:p w14:paraId="3F4A4861" w14:textId="77777777" w:rsidR="00A3306E" w:rsidRDefault="00A3306E" w:rsidP="00B85D05">
      <w:pPr>
        <w:keepNext/>
        <w:keepLines/>
        <w:ind w:left="720"/>
        <w:rPr>
          <w:b/>
          <w:bCs/>
          <w:u w:val="single"/>
        </w:rPr>
      </w:pPr>
    </w:p>
    <w:p w14:paraId="66741479" w14:textId="1FC78A1B" w:rsidR="007B3584" w:rsidRPr="00B85D05" w:rsidRDefault="007B3584" w:rsidP="00B85D05">
      <w:pPr>
        <w:keepNext/>
        <w:keepLines/>
        <w:ind w:left="720"/>
        <w:rPr>
          <w:b/>
          <w:bCs/>
        </w:rPr>
      </w:pPr>
      <w:r w:rsidRPr="00B85D05">
        <w:rPr>
          <w:b/>
          <w:bCs/>
          <w:u w:val="single"/>
        </w:rPr>
        <w:t>Brunei Darussalam: HCFC phase-out management plan (</w:t>
      </w:r>
      <w:r w:rsidR="00B92759" w:rsidRPr="00B85D05">
        <w:rPr>
          <w:b/>
          <w:bCs/>
          <w:u w:val="single"/>
        </w:rPr>
        <w:t>stage </w:t>
      </w:r>
      <w:r w:rsidRPr="00B85D05">
        <w:rPr>
          <w:b/>
          <w:bCs/>
          <w:u w:val="single"/>
        </w:rPr>
        <w:t>II – request for change in cooperating implementing agency)</w:t>
      </w:r>
      <w:r w:rsidRPr="00B85D05">
        <w:rPr>
          <w:b/>
          <w:bCs/>
        </w:rPr>
        <w:t xml:space="preserve"> (UNEP and UNDP)</w:t>
      </w:r>
    </w:p>
    <w:p w14:paraId="0E424A97" w14:textId="77777777" w:rsidR="007B3584" w:rsidRPr="008D7AB4" w:rsidRDefault="007B3584" w:rsidP="00B85D05">
      <w:pPr>
        <w:keepNext/>
        <w:keepLines/>
        <w:rPr>
          <w:u w:val="single"/>
        </w:rPr>
      </w:pPr>
    </w:p>
    <w:p w14:paraId="20343429" w14:textId="77777777" w:rsidR="007B3584" w:rsidRPr="008D7AB4" w:rsidRDefault="007B3584" w:rsidP="00B85D05">
      <w:pPr>
        <w:keepNext/>
        <w:keepLines/>
        <w:rPr>
          <w:b/>
        </w:rPr>
      </w:pPr>
      <w:r w:rsidRPr="008D7AB4">
        <w:rPr>
          <w:b/>
        </w:rPr>
        <w:t>Background</w:t>
      </w:r>
    </w:p>
    <w:p w14:paraId="0DC1D04E" w14:textId="77777777" w:rsidR="007B3584" w:rsidRPr="008D7AB4" w:rsidRDefault="007B3584" w:rsidP="00B85D05">
      <w:pPr>
        <w:keepNext/>
      </w:pPr>
    </w:p>
    <w:p w14:paraId="5F60F7C8" w14:textId="4B78B2F0" w:rsidR="007B3584" w:rsidRPr="008D7AB4" w:rsidRDefault="007B3584" w:rsidP="00B85D05">
      <w:pPr>
        <w:pStyle w:val="Heading1"/>
        <w:keepNext/>
      </w:pPr>
      <w:r w:rsidRPr="008D7AB4">
        <w:t xml:space="preserve">Through an official communication dated 17 August 2022, the Government of Brunei Darussalam requested to replace UNDP with UNIDO as the cooperating implementing agency for </w:t>
      </w:r>
      <w:r w:rsidR="00B92759">
        <w:t>stage </w:t>
      </w:r>
      <w:r w:rsidRPr="008D7AB4">
        <w:t>II of the HCFC phase</w:t>
      </w:r>
      <w:r w:rsidRPr="008D7AB4">
        <w:noBreakHyphen/>
        <w:t>out management plan (HPMP). UNEP, as the lead implementing agency, and UNDP and UNIDO confirmed this request.</w:t>
      </w:r>
    </w:p>
    <w:p w14:paraId="260E9D62" w14:textId="6587B284" w:rsidR="007B3584" w:rsidRPr="008D7AB4" w:rsidRDefault="00B92759" w:rsidP="007B3584">
      <w:pPr>
        <w:pStyle w:val="Heading1"/>
      </w:pPr>
      <w:r>
        <w:t>Stage </w:t>
      </w:r>
      <w:r w:rsidR="007B3584" w:rsidRPr="008D7AB4">
        <w:t>II of the HPMP was approved in principle at the 86</w:t>
      </w:r>
      <w:r w:rsidR="007B3584" w:rsidRPr="008D7AB4">
        <w:rPr>
          <w:vertAlign w:val="superscript"/>
        </w:rPr>
        <w:t>th</w:t>
      </w:r>
      <w:r w:rsidR="00A04F54">
        <w:t> meeting</w:t>
      </w:r>
      <w:r w:rsidR="007B3584" w:rsidRPr="008D7AB4">
        <w:t xml:space="preserve"> in the amount of </w:t>
      </w:r>
      <w:r>
        <w:t>US $</w:t>
      </w:r>
      <w:r w:rsidR="007B3584" w:rsidRPr="008D7AB4">
        <w:t xml:space="preserve">651,690, consisting of </w:t>
      </w:r>
      <w:r>
        <w:t>US $</w:t>
      </w:r>
      <w:r w:rsidR="007B3584" w:rsidRPr="008D7AB4">
        <w:t xml:space="preserve">351,000, plus agency support costs of </w:t>
      </w:r>
      <w:r>
        <w:t>US $</w:t>
      </w:r>
      <w:r w:rsidR="007B3584" w:rsidRPr="008D7AB4">
        <w:t xml:space="preserve">45,630 for UNEP, and </w:t>
      </w:r>
      <w:r>
        <w:t>US $</w:t>
      </w:r>
      <w:r w:rsidR="007B3584" w:rsidRPr="008D7AB4">
        <w:t xml:space="preserve">234,000, plus agency support costs of </w:t>
      </w:r>
      <w:r>
        <w:t>US $</w:t>
      </w:r>
      <w:r w:rsidR="007B3584" w:rsidRPr="008D7AB4">
        <w:t xml:space="preserve">21,060 for UNDP. The first tranche and corresponding implementation plans were also approved at the same meeting in the amount of </w:t>
      </w:r>
      <w:r>
        <w:t>US $</w:t>
      </w:r>
      <w:r w:rsidR="007B3584" w:rsidRPr="008D7AB4">
        <w:t xml:space="preserve">180,473, consisting of </w:t>
      </w:r>
      <w:r>
        <w:t>US $</w:t>
      </w:r>
      <w:r w:rsidR="007B3584" w:rsidRPr="008D7AB4">
        <w:t xml:space="preserve">149,100, plus agency support costs of </w:t>
      </w:r>
      <w:r>
        <w:t>US $</w:t>
      </w:r>
      <w:r w:rsidR="007B3584" w:rsidRPr="008D7AB4">
        <w:t xml:space="preserve">19,383 for UNEP, and </w:t>
      </w:r>
      <w:r>
        <w:t>US $</w:t>
      </w:r>
      <w:r w:rsidR="007B3584" w:rsidRPr="008D7AB4">
        <w:t xml:space="preserve">11,000, plus agency support costs of </w:t>
      </w:r>
      <w:r>
        <w:t>US $</w:t>
      </w:r>
      <w:r w:rsidR="007B3584" w:rsidRPr="008D7AB4">
        <w:t>990 for UNDP.</w:t>
      </w:r>
      <w:r w:rsidR="007B3584" w:rsidRPr="008D7AB4">
        <w:rPr>
          <w:rStyle w:val="FootnoteReference"/>
        </w:rPr>
        <w:footnoteReference w:id="8"/>
      </w:r>
    </w:p>
    <w:p w14:paraId="19B87765" w14:textId="77777777" w:rsidR="007B3584" w:rsidRPr="008D7AB4" w:rsidRDefault="007B3584" w:rsidP="007B3584">
      <w:pPr>
        <w:pStyle w:val="Heading1"/>
        <w:widowControl w:val="0"/>
      </w:pPr>
      <w:r w:rsidRPr="008D7AB4">
        <w:t>On behalf of the Government of Brunei Darussalam, UNEP has submitted the request for change of cooperating implementing agency, including a revised implementation plan for UNIDO’s component and a revised Agreement between the Government and the Executive Committee.</w:t>
      </w:r>
    </w:p>
    <w:p w14:paraId="54C91969" w14:textId="77777777" w:rsidR="007B3584" w:rsidRPr="008D7AB4" w:rsidRDefault="007B3584" w:rsidP="007B3584">
      <w:pPr>
        <w:widowControl w:val="0"/>
        <w:spacing w:after="240"/>
        <w:rPr>
          <w:b/>
        </w:rPr>
      </w:pPr>
      <w:r w:rsidRPr="008D7AB4">
        <w:rPr>
          <w:b/>
        </w:rPr>
        <w:t>Revised implementation plan and Agreement</w:t>
      </w:r>
    </w:p>
    <w:p w14:paraId="41E0A211" w14:textId="77777777" w:rsidR="007B3584" w:rsidRPr="008D7AB4" w:rsidRDefault="007B3584" w:rsidP="007B3584">
      <w:pPr>
        <w:pStyle w:val="Heading1"/>
      </w:pPr>
      <w:r w:rsidRPr="008D7AB4">
        <w:t xml:space="preserve">UNIDO’s plan of action as cooperating implementing agency will follow, to the extent possible, the original scope of activities agreed for UNDP, including strengthening customs operation to control import/export of HCFCs through the provision of five multi-refrigerant identifiers (including consumables); and the procurement of equipment for training centres after conducting needs assessment and servicing tools for </w:t>
      </w:r>
      <w:r w:rsidRPr="008D7AB4">
        <w:rPr>
          <w:bCs/>
        </w:rPr>
        <w:t>refrigeration and air-conditioning (</w:t>
      </w:r>
      <w:r w:rsidRPr="008D7AB4">
        <w:t>RAC) servicing workshops selected through eligibility criteria to be established; and technical assistance and consultation.</w:t>
      </w:r>
    </w:p>
    <w:p w14:paraId="61B6469B" w14:textId="77777777" w:rsidR="007B3584" w:rsidRPr="008D7AB4" w:rsidRDefault="007B3584" w:rsidP="007B3584">
      <w:pPr>
        <w:pStyle w:val="Heading1"/>
      </w:pPr>
      <w:r w:rsidRPr="008D7AB4">
        <w:t>The implementation plan for the first tranche of UNIDO’s component comprises the same activities as approved under the original submission,</w:t>
      </w:r>
      <w:r w:rsidRPr="008D7AB4">
        <w:rPr>
          <w:rStyle w:val="FootnoteReference"/>
        </w:rPr>
        <w:footnoteReference w:id="9"/>
      </w:r>
      <w:r w:rsidRPr="008D7AB4">
        <w:t xml:space="preserve"> which included </w:t>
      </w:r>
      <w:r w:rsidRPr="008D7AB4">
        <w:rPr>
          <w:bCs/>
        </w:rPr>
        <w:t>strengthening customs operation to control import/export of HCFCs</w:t>
      </w:r>
      <w:r w:rsidRPr="008D7AB4">
        <w:t xml:space="preserve"> (US $6,000) and the acquisition of training equipment (US $5,000). Specifically, in the first tranche, UNIDO will procure one refrigerant identifier for</w:t>
      </w:r>
      <w:r w:rsidRPr="008D7AB4">
        <w:rPr>
          <w:bCs/>
        </w:rPr>
        <w:t xml:space="preserve"> customs operation, which will be delivered to a selected customs checkpoint by the NOU. UNIDO will also engage a consultant to assess the need, modality, and selection criteria to distribute RAC servicing tools to servicing workshops.</w:t>
      </w:r>
    </w:p>
    <w:p w14:paraId="28BF9FBF" w14:textId="0425224C" w:rsidR="007B3584" w:rsidRPr="008D7AB4" w:rsidRDefault="007B3584" w:rsidP="007B3584">
      <w:pPr>
        <w:pStyle w:val="Heading1"/>
      </w:pPr>
      <w:r w:rsidRPr="008D7AB4">
        <w:t xml:space="preserve">The revised Agreement includes the change of cooperating implementing agency and reflects the transfer of funding from UNDP to UNIDO. The duration of </w:t>
      </w:r>
      <w:r w:rsidR="00B92759">
        <w:t>stage </w:t>
      </w:r>
      <w:r w:rsidRPr="008D7AB4">
        <w:t xml:space="preserve">II and the tranche submission schedule was maintained as originally proposed. </w:t>
      </w:r>
    </w:p>
    <w:p w14:paraId="5A602A64" w14:textId="77777777" w:rsidR="007B3584" w:rsidRPr="008D7AB4" w:rsidRDefault="007B3584" w:rsidP="007B3584">
      <w:pPr>
        <w:widowControl w:val="0"/>
        <w:rPr>
          <w:b/>
        </w:rPr>
      </w:pPr>
      <w:r w:rsidRPr="008D7AB4">
        <w:rPr>
          <w:b/>
        </w:rPr>
        <w:t>Secretariat’s comments</w:t>
      </w:r>
    </w:p>
    <w:p w14:paraId="36472D86" w14:textId="77777777" w:rsidR="007B3584" w:rsidRPr="008D7AB4" w:rsidRDefault="007B3584" w:rsidP="007B3584">
      <w:pPr>
        <w:widowControl w:val="0"/>
        <w:rPr>
          <w:b/>
        </w:rPr>
      </w:pPr>
    </w:p>
    <w:p w14:paraId="63AA366F" w14:textId="11259787" w:rsidR="007B3584" w:rsidRPr="008D7AB4" w:rsidRDefault="007B3584" w:rsidP="007B3584">
      <w:pPr>
        <w:pStyle w:val="Heading1"/>
        <w:widowControl w:val="0"/>
      </w:pPr>
      <w:r w:rsidRPr="008D7AB4">
        <w:t xml:space="preserve">The Secretariat notes that the request to change the cooperating implementing agency from UNDP to UNIDO for </w:t>
      </w:r>
      <w:r w:rsidR="00B92759">
        <w:t>stage </w:t>
      </w:r>
      <w:r w:rsidRPr="008D7AB4">
        <w:t>II of the HPMP was presented upon consultation and agreement among the relevant parties, and that the consideration of the change at the present meeting will allow the country to achieve further progress in the implementation of the first tranche and submit the second tranche in 2024 as scheduled.</w:t>
      </w:r>
    </w:p>
    <w:p w14:paraId="13F7287A" w14:textId="39EDFF0A" w:rsidR="007B3584" w:rsidRPr="008D7AB4" w:rsidRDefault="007B3584" w:rsidP="006E63AE">
      <w:pPr>
        <w:pStyle w:val="Heading1"/>
        <w:keepNext/>
        <w:keepLines/>
        <w:widowControl w:val="0"/>
      </w:pPr>
      <w:r w:rsidRPr="008D7AB4">
        <w:t xml:space="preserve">UNDP confirmed that the funding approved under the first tranche (US $11,000, plus agency support cost of US $990) had not been disbursed. These funds will be returned to the Multilateral Fund and transferred to UNIDO at the present meeting. In addition, the transfer from UNDP to UNIDO of funds approved in principle for future tranches of </w:t>
      </w:r>
      <w:r w:rsidR="00B92759">
        <w:t>stage </w:t>
      </w:r>
      <w:r w:rsidRPr="008D7AB4">
        <w:t xml:space="preserve">II has been introduced in the updated </w:t>
      </w:r>
      <w:r w:rsidRPr="006E63AE">
        <w:t>Agreement between the Government and the Executive Committee as contained in Annex </w:t>
      </w:r>
      <w:r w:rsidR="00C06DCC" w:rsidRPr="006E63AE">
        <w:t>I</w:t>
      </w:r>
      <w:r w:rsidRPr="006E63AE">
        <w:t xml:space="preserve"> to the present document. Table</w:t>
      </w:r>
      <w:r w:rsidR="00F359E1" w:rsidRPr="006E63AE">
        <w:t> 3</w:t>
      </w:r>
      <w:r w:rsidRPr="008D7AB4">
        <w:t xml:space="preserve"> presents the level of approved funds to be returned by UNDP and of funds to be transferred to UNIDO. </w:t>
      </w:r>
    </w:p>
    <w:p w14:paraId="0BD8963B" w14:textId="02F07C87" w:rsidR="007B3584" w:rsidRPr="008D7AB4" w:rsidRDefault="007B3584" w:rsidP="007B3584">
      <w:pPr>
        <w:pStyle w:val="Heading1"/>
        <w:widowControl w:val="0"/>
        <w:numPr>
          <w:ilvl w:val="0"/>
          <w:numId w:val="0"/>
        </w:numPr>
        <w:spacing w:after="0"/>
        <w:rPr>
          <w:b/>
        </w:rPr>
      </w:pPr>
      <w:r w:rsidRPr="008D7AB4">
        <w:rPr>
          <w:b/>
        </w:rPr>
        <w:t xml:space="preserve">Table </w:t>
      </w:r>
      <w:r w:rsidR="00F359E1" w:rsidRPr="008D7AB4">
        <w:rPr>
          <w:b/>
        </w:rPr>
        <w:t>3</w:t>
      </w:r>
      <w:r w:rsidRPr="008D7AB4">
        <w:rPr>
          <w:b/>
        </w:rPr>
        <w:t xml:space="preserve">. Funds to be transferred from UNDP to UNIDO for </w:t>
      </w:r>
      <w:r w:rsidR="00B92759">
        <w:rPr>
          <w:b/>
        </w:rPr>
        <w:t>stage </w:t>
      </w:r>
      <w:r w:rsidRPr="008D7AB4">
        <w:rPr>
          <w:b/>
        </w:rPr>
        <w:t>II of the HPMP (US $)</w:t>
      </w:r>
    </w:p>
    <w:tbl>
      <w:tblPr>
        <w:tblStyle w:val="TableGrid"/>
        <w:tblW w:w="5000" w:type="pct"/>
        <w:tblLook w:val="04A0" w:firstRow="1" w:lastRow="0" w:firstColumn="1" w:lastColumn="0" w:noHBand="0" w:noVBand="1"/>
      </w:tblPr>
      <w:tblGrid>
        <w:gridCol w:w="4249"/>
        <w:gridCol w:w="1920"/>
        <w:gridCol w:w="1591"/>
        <w:gridCol w:w="1590"/>
      </w:tblGrid>
      <w:tr w:rsidR="007B3584" w:rsidRPr="008D7AB4" w14:paraId="488413D9" w14:textId="77777777" w:rsidTr="00C665F2">
        <w:trPr>
          <w:trHeight w:val="108"/>
        </w:trPr>
        <w:tc>
          <w:tcPr>
            <w:tcW w:w="2272" w:type="pct"/>
            <w:vAlign w:val="center"/>
          </w:tcPr>
          <w:p w14:paraId="0F081AF8" w14:textId="77777777" w:rsidR="007B3584" w:rsidRPr="008D7AB4" w:rsidRDefault="007B3584" w:rsidP="00C665F2">
            <w:pPr>
              <w:pStyle w:val="Heading1"/>
              <w:widowControl w:val="0"/>
              <w:numPr>
                <w:ilvl w:val="0"/>
                <w:numId w:val="0"/>
              </w:numPr>
              <w:spacing w:after="0"/>
              <w:jc w:val="left"/>
              <w:rPr>
                <w:b/>
                <w:sz w:val="20"/>
                <w:szCs w:val="20"/>
              </w:rPr>
            </w:pPr>
            <w:r w:rsidRPr="008D7AB4">
              <w:rPr>
                <w:b/>
                <w:sz w:val="20"/>
                <w:szCs w:val="20"/>
              </w:rPr>
              <w:t>Description</w:t>
            </w:r>
          </w:p>
        </w:tc>
        <w:tc>
          <w:tcPr>
            <w:tcW w:w="1027" w:type="pct"/>
            <w:vAlign w:val="center"/>
          </w:tcPr>
          <w:p w14:paraId="44FF6526" w14:textId="77777777" w:rsidR="007B3584" w:rsidRPr="008D7AB4" w:rsidRDefault="007B3584" w:rsidP="00C665F2">
            <w:pPr>
              <w:pStyle w:val="Heading1"/>
              <w:widowControl w:val="0"/>
              <w:numPr>
                <w:ilvl w:val="0"/>
                <w:numId w:val="0"/>
              </w:numPr>
              <w:spacing w:after="0"/>
              <w:jc w:val="center"/>
              <w:rPr>
                <w:b/>
                <w:sz w:val="20"/>
                <w:szCs w:val="20"/>
              </w:rPr>
            </w:pPr>
            <w:r w:rsidRPr="008D7AB4">
              <w:rPr>
                <w:b/>
                <w:sz w:val="20"/>
                <w:szCs w:val="20"/>
              </w:rPr>
              <w:t>Value</w:t>
            </w:r>
          </w:p>
        </w:tc>
        <w:tc>
          <w:tcPr>
            <w:tcW w:w="851" w:type="pct"/>
            <w:vAlign w:val="center"/>
          </w:tcPr>
          <w:p w14:paraId="14D84078" w14:textId="77777777" w:rsidR="007B3584" w:rsidRPr="008D7AB4" w:rsidRDefault="007B3584" w:rsidP="00C665F2">
            <w:pPr>
              <w:pStyle w:val="Heading1"/>
              <w:widowControl w:val="0"/>
              <w:numPr>
                <w:ilvl w:val="0"/>
                <w:numId w:val="0"/>
              </w:numPr>
              <w:spacing w:after="0"/>
              <w:jc w:val="center"/>
              <w:rPr>
                <w:b/>
                <w:sz w:val="20"/>
                <w:szCs w:val="20"/>
              </w:rPr>
            </w:pPr>
            <w:r w:rsidRPr="008D7AB4">
              <w:rPr>
                <w:b/>
                <w:sz w:val="20"/>
                <w:szCs w:val="20"/>
              </w:rPr>
              <w:t>Agency support costs</w:t>
            </w:r>
          </w:p>
        </w:tc>
        <w:tc>
          <w:tcPr>
            <w:tcW w:w="850" w:type="pct"/>
            <w:vAlign w:val="center"/>
          </w:tcPr>
          <w:p w14:paraId="472DF104" w14:textId="77777777" w:rsidR="007B3584" w:rsidRPr="008D7AB4" w:rsidRDefault="007B3584" w:rsidP="00C665F2">
            <w:pPr>
              <w:pStyle w:val="Heading1"/>
              <w:widowControl w:val="0"/>
              <w:numPr>
                <w:ilvl w:val="0"/>
                <w:numId w:val="0"/>
              </w:numPr>
              <w:spacing w:after="0"/>
              <w:jc w:val="center"/>
              <w:rPr>
                <w:b/>
                <w:sz w:val="20"/>
                <w:szCs w:val="20"/>
              </w:rPr>
            </w:pPr>
            <w:r w:rsidRPr="008D7AB4">
              <w:rPr>
                <w:b/>
                <w:sz w:val="20"/>
                <w:szCs w:val="20"/>
              </w:rPr>
              <w:t>Total</w:t>
            </w:r>
          </w:p>
        </w:tc>
      </w:tr>
      <w:tr w:rsidR="007B3584" w:rsidRPr="008D7AB4" w14:paraId="7E038504" w14:textId="77777777" w:rsidTr="00C665F2">
        <w:trPr>
          <w:trHeight w:val="217"/>
        </w:trPr>
        <w:tc>
          <w:tcPr>
            <w:tcW w:w="2272" w:type="pct"/>
          </w:tcPr>
          <w:p w14:paraId="0DFA4D2B" w14:textId="77777777" w:rsidR="007B3584" w:rsidRPr="008D7AB4" w:rsidRDefault="007B3584" w:rsidP="00C665F2">
            <w:pPr>
              <w:pStyle w:val="Heading1"/>
              <w:widowControl w:val="0"/>
              <w:numPr>
                <w:ilvl w:val="0"/>
                <w:numId w:val="0"/>
              </w:numPr>
              <w:spacing w:after="0"/>
              <w:jc w:val="left"/>
              <w:rPr>
                <w:sz w:val="20"/>
                <w:szCs w:val="20"/>
              </w:rPr>
            </w:pPr>
            <w:r w:rsidRPr="008D7AB4">
              <w:rPr>
                <w:sz w:val="20"/>
                <w:szCs w:val="20"/>
              </w:rPr>
              <w:t>First tranche (approved) (BRU/PHA/86/INV/29)</w:t>
            </w:r>
          </w:p>
        </w:tc>
        <w:tc>
          <w:tcPr>
            <w:tcW w:w="1027" w:type="pct"/>
          </w:tcPr>
          <w:p w14:paraId="566F1C39" w14:textId="77777777" w:rsidR="007B3584" w:rsidRPr="008D7AB4" w:rsidRDefault="007B3584" w:rsidP="00C665F2">
            <w:pPr>
              <w:pStyle w:val="Heading1"/>
              <w:widowControl w:val="0"/>
              <w:numPr>
                <w:ilvl w:val="0"/>
                <w:numId w:val="0"/>
              </w:numPr>
              <w:spacing w:after="0"/>
              <w:jc w:val="right"/>
              <w:rPr>
                <w:sz w:val="20"/>
                <w:szCs w:val="20"/>
              </w:rPr>
            </w:pPr>
            <w:r w:rsidRPr="008D7AB4">
              <w:rPr>
                <w:sz w:val="20"/>
                <w:szCs w:val="20"/>
              </w:rPr>
              <w:t>11,000</w:t>
            </w:r>
          </w:p>
        </w:tc>
        <w:tc>
          <w:tcPr>
            <w:tcW w:w="851" w:type="pct"/>
          </w:tcPr>
          <w:p w14:paraId="7F9A99FC" w14:textId="77777777" w:rsidR="007B3584" w:rsidRPr="008D7AB4" w:rsidRDefault="007B3584" w:rsidP="00C665F2">
            <w:pPr>
              <w:pStyle w:val="Heading1"/>
              <w:widowControl w:val="0"/>
              <w:numPr>
                <w:ilvl w:val="0"/>
                <w:numId w:val="0"/>
              </w:numPr>
              <w:spacing w:after="0"/>
              <w:jc w:val="right"/>
              <w:rPr>
                <w:sz w:val="20"/>
                <w:szCs w:val="20"/>
              </w:rPr>
            </w:pPr>
            <w:r w:rsidRPr="008D7AB4">
              <w:rPr>
                <w:sz w:val="20"/>
                <w:szCs w:val="20"/>
              </w:rPr>
              <w:t>990</w:t>
            </w:r>
          </w:p>
        </w:tc>
        <w:tc>
          <w:tcPr>
            <w:tcW w:w="850" w:type="pct"/>
          </w:tcPr>
          <w:p w14:paraId="69124C3C" w14:textId="77777777" w:rsidR="007B3584" w:rsidRPr="008D7AB4" w:rsidRDefault="007B3584" w:rsidP="00C665F2">
            <w:pPr>
              <w:pStyle w:val="Heading1"/>
              <w:widowControl w:val="0"/>
              <w:numPr>
                <w:ilvl w:val="0"/>
                <w:numId w:val="0"/>
              </w:numPr>
              <w:spacing w:after="0"/>
              <w:jc w:val="right"/>
              <w:rPr>
                <w:sz w:val="20"/>
                <w:szCs w:val="20"/>
              </w:rPr>
            </w:pPr>
            <w:r w:rsidRPr="008D7AB4">
              <w:rPr>
                <w:sz w:val="20"/>
                <w:szCs w:val="20"/>
              </w:rPr>
              <w:t>11,990</w:t>
            </w:r>
          </w:p>
        </w:tc>
      </w:tr>
      <w:tr w:rsidR="007B3584" w:rsidRPr="008D7AB4" w14:paraId="2E88F9AF" w14:textId="77777777" w:rsidTr="00C665F2">
        <w:trPr>
          <w:trHeight w:val="434"/>
        </w:trPr>
        <w:tc>
          <w:tcPr>
            <w:tcW w:w="2272" w:type="pct"/>
          </w:tcPr>
          <w:p w14:paraId="6812E7E2" w14:textId="77777777" w:rsidR="007B3584" w:rsidRPr="008D7AB4" w:rsidRDefault="007B3584" w:rsidP="00C665F2">
            <w:pPr>
              <w:pStyle w:val="Heading1"/>
              <w:widowControl w:val="0"/>
              <w:numPr>
                <w:ilvl w:val="0"/>
                <w:numId w:val="0"/>
              </w:numPr>
              <w:spacing w:after="0"/>
              <w:jc w:val="left"/>
              <w:rPr>
                <w:sz w:val="20"/>
                <w:szCs w:val="20"/>
              </w:rPr>
            </w:pPr>
            <w:r w:rsidRPr="008D7AB4">
              <w:rPr>
                <w:sz w:val="20"/>
                <w:szCs w:val="20"/>
              </w:rPr>
              <w:t>Funds approved in principle for the second, third and fourth tranches</w:t>
            </w:r>
          </w:p>
        </w:tc>
        <w:tc>
          <w:tcPr>
            <w:tcW w:w="1027" w:type="pct"/>
          </w:tcPr>
          <w:p w14:paraId="3856A5A4" w14:textId="77777777" w:rsidR="007B3584" w:rsidRPr="008D7AB4" w:rsidRDefault="007B3584" w:rsidP="00C665F2">
            <w:pPr>
              <w:pStyle w:val="Heading1"/>
              <w:widowControl w:val="0"/>
              <w:numPr>
                <w:ilvl w:val="0"/>
                <w:numId w:val="0"/>
              </w:numPr>
              <w:spacing w:after="0"/>
              <w:jc w:val="right"/>
              <w:rPr>
                <w:sz w:val="20"/>
                <w:szCs w:val="20"/>
              </w:rPr>
            </w:pPr>
            <w:r w:rsidRPr="008D7AB4">
              <w:rPr>
                <w:sz w:val="20"/>
                <w:szCs w:val="20"/>
              </w:rPr>
              <w:t>223,000</w:t>
            </w:r>
          </w:p>
        </w:tc>
        <w:tc>
          <w:tcPr>
            <w:tcW w:w="851" w:type="pct"/>
          </w:tcPr>
          <w:p w14:paraId="6F1D4490" w14:textId="77777777" w:rsidR="007B3584" w:rsidRPr="008D7AB4" w:rsidRDefault="007B3584" w:rsidP="00C665F2">
            <w:pPr>
              <w:pStyle w:val="Heading1"/>
              <w:widowControl w:val="0"/>
              <w:numPr>
                <w:ilvl w:val="0"/>
                <w:numId w:val="0"/>
              </w:numPr>
              <w:spacing w:after="0"/>
              <w:jc w:val="right"/>
              <w:rPr>
                <w:sz w:val="20"/>
                <w:szCs w:val="20"/>
              </w:rPr>
            </w:pPr>
            <w:r w:rsidRPr="008D7AB4">
              <w:rPr>
                <w:sz w:val="20"/>
                <w:szCs w:val="20"/>
              </w:rPr>
              <w:t>20,070</w:t>
            </w:r>
          </w:p>
        </w:tc>
        <w:tc>
          <w:tcPr>
            <w:tcW w:w="850" w:type="pct"/>
          </w:tcPr>
          <w:p w14:paraId="50DC4D29" w14:textId="77777777" w:rsidR="007B3584" w:rsidRPr="008D7AB4" w:rsidRDefault="007B3584" w:rsidP="00C665F2">
            <w:pPr>
              <w:pStyle w:val="Heading1"/>
              <w:widowControl w:val="0"/>
              <w:numPr>
                <w:ilvl w:val="0"/>
                <w:numId w:val="0"/>
              </w:numPr>
              <w:spacing w:after="0"/>
              <w:jc w:val="right"/>
              <w:rPr>
                <w:sz w:val="20"/>
                <w:szCs w:val="20"/>
              </w:rPr>
            </w:pPr>
            <w:r w:rsidRPr="008D7AB4">
              <w:rPr>
                <w:sz w:val="20"/>
                <w:szCs w:val="20"/>
              </w:rPr>
              <w:t>243,070</w:t>
            </w:r>
          </w:p>
        </w:tc>
      </w:tr>
      <w:tr w:rsidR="007B3584" w:rsidRPr="008D7AB4" w14:paraId="004229A0" w14:textId="77777777" w:rsidTr="00C665F2">
        <w:trPr>
          <w:trHeight w:val="217"/>
        </w:trPr>
        <w:tc>
          <w:tcPr>
            <w:tcW w:w="2272" w:type="pct"/>
          </w:tcPr>
          <w:p w14:paraId="57DF759B" w14:textId="77777777" w:rsidR="007B3584" w:rsidRPr="008D7AB4" w:rsidRDefault="007B3584" w:rsidP="00C665F2">
            <w:pPr>
              <w:pStyle w:val="Heading1"/>
              <w:widowControl w:val="0"/>
              <w:numPr>
                <w:ilvl w:val="0"/>
                <w:numId w:val="0"/>
              </w:numPr>
              <w:spacing w:after="0"/>
              <w:rPr>
                <w:b/>
                <w:sz w:val="20"/>
                <w:szCs w:val="20"/>
              </w:rPr>
            </w:pPr>
            <w:r w:rsidRPr="008D7AB4">
              <w:rPr>
                <w:b/>
                <w:sz w:val="20"/>
                <w:szCs w:val="20"/>
              </w:rPr>
              <w:t>Total</w:t>
            </w:r>
          </w:p>
        </w:tc>
        <w:tc>
          <w:tcPr>
            <w:tcW w:w="1027" w:type="pct"/>
          </w:tcPr>
          <w:p w14:paraId="32AF9CA4" w14:textId="77777777" w:rsidR="007B3584" w:rsidRPr="008D7AB4" w:rsidRDefault="007B3584" w:rsidP="00C665F2">
            <w:pPr>
              <w:pStyle w:val="Heading1"/>
              <w:widowControl w:val="0"/>
              <w:numPr>
                <w:ilvl w:val="0"/>
                <w:numId w:val="0"/>
              </w:numPr>
              <w:spacing w:after="0"/>
              <w:jc w:val="right"/>
              <w:rPr>
                <w:b/>
                <w:sz w:val="20"/>
                <w:szCs w:val="20"/>
              </w:rPr>
            </w:pPr>
            <w:r w:rsidRPr="008D7AB4">
              <w:rPr>
                <w:b/>
                <w:sz w:val="20"/>
                <w:szCs w:val="20"/>
              </w:rPr>
              <w:t>234,000</w:t>
            </w:r>
          </w:p>
        </w:tc>
        <w:tc>
          <w:tcPr>
            <w:tcW w:w="851" w:type="pct"/>
          </w:tcPr>
          <w:p w14:paraId="1619178C" w14:textId="77777777" w:rsidR="007B3584" w:rsidRPr="008D7AB4" w:rsidRDefault="007B3584" w:rsidP="00C665F2">
            <w:pPr>
              <w:pStyle w:val="Heading1"/>
              <w:widowControl w:val="0"/>
              <w:numPr>
                <w:ilvl w:val="0"/>
                <w:numId w:val="0"/>
              </w:numPr>
              <w:spacing w:after="0"/>
              <w:jc w:val="right"/>
              <w:rPr>
                <w:b/>
                <w:sz w:val="20"/>
                <w:szCs w:val="20"/>
              </w:rPr>
            </w:pPr>
            <w:r w:rsidRPr="008D7AB4">
              <w:rPr>
                <w:b/>
                <w:sz w:val="20"/>
                <w:szCs w:val="20"/>
              </w:rPr>
              <w:t>21,060</w:t>
            </w:r>
          </w:p>
        </w:tc>
        <w:tc>
          <w:tcPr>
            <w:tcW w:w="850" w:type="pct"/>
          </w:tcPr>
          <w:p w14:paraId="5BA912C6" w14:textId="77777777" w:rsidR="007B3584" w:rsidRPr="008D7AB4" w:rsidRDefault="007B3584" w:rsidP="00C665F2">
            <w:pPr>
              <w:pStyle w:val="Heading1"/>
              <w:widowControl w:val="0"/>
              <w:numPr>
                <w:ilvl w:val="0"/>
                <w:numId w:val="0"/>
              </w:numPr>
              <w:spacing w:after="0"/>
              <w:jc w:val="right"/>
              <w:rPr>
                <w:b/>
                <w:sz w:val="20"/>
                <w:szCs w:val="20"/>
              </w:rPr>
            </w:pPr>
            <w:r w:rsidRPr="008D7AB4">
              <w:rPr>
                <w:b/>
                <w:sz w:val="20"/>
                <w:szCs w:val="20"/>
              </w:rPr>
              <w:t>255,060</w:t>
            </w:r>
          </w:p>
        </w:tc>
      </w:tr>
    </w:tbl>
    <w:p w14:paraId="05437DA0" w14:textId="77777777" w:rsidR="007B3584" w:rsidRPr="008D7AB4" w:rsidRDefault="007B3584" w:rsidP="007B3584">
      <w:pPr>
        <w:rPr>
          <w:highlight w:val="yellow"/>
        </w:rPr>
      </w:pPr>
    </w:p>
    <w:p w14:paraId="093713D5" w14:textId="77777777" w:rsidR="007B3584" w:rsidRPr="008D7AB4" w:rsidRDefault="007B3584" w:rsidP="007B3584">
      <w:pPr>
        <w:widowControl w:val="0"/>
        <w:rPr>
          <w:b/>
        </w:rPr>
      </w:pPr>
      <w:r w:rsidRPr="008D7AB4">
        <w:rPr>
          <w:b/>
        </w:rPr>
        <w:t>Recommendation</w:t>
      </w:r>
    </w:p>
    <w:p w14:paraId="210096C7" w14:textId="77777777" w:rsidR="007B3584" w:rsidRPr="008D7AB4" w:rsidRDefault="007B3584" w:rsidP="007B3584">
      <w:pPr>
        <w:widowControl w:val="0"/>
      </w:pPr>
    </w:p>
    <w:p w14:paraId="2EA50D06" w14:textId="77777777" w:rsidR="007B3584" w:rsidRPr="008D7AB4" w:rsidRDefault="007B3584" w:rsidP="007B3584">
      <w:pPr>
        <w:pStyle w:val="Heading1"/>
        <w:widowControl w:val="0"/>
      </w:pPr>
      <w:r w:rsidRPr="008D7AB4">
        <w:t>The Executive Committee may wish:</w:t>
      </w:r>
    </w:p>
    <w:p w14:paraId="0CF16E45" w14:textId="77777777" w:rsidR="007B3584" w:rsidRPr="008D7AB4" w:rsidRDefault="007B3584" w:rsidP="007B3584">
      <w:pPr>
        <w:pStyle w:val="Heading2"/>
      </w:pPr>
      <w:r w:rsidRPr="008D7AB4">
        <w:t>To note:</w:t>
      </w:r>
    </w:p>
    <w:p w14:paraId="2520090C" w14:textId="3A29F693" w:rsidR="007B3584" w:rsidRPr="008D7AB4" w:rsidRDefault="007B3584" w:rsidP="007B3584">
      <w:pPr>
        <w:pStyle w:val="Heading3"/>
      </w:pPr>
      <w:r w:rsidRPr="008D7AB4">
        <w:t xml:space="preserve">The request by the Government of Brunei Darussalam to transfer to UNIDO all activities included in </w:t>
      </w:r>
      <w:r w:rsidR="00B92759">
        <w:t>stage </w:t>
      </w:r>
      <w:r w:rsidRPr="008D7AB4">
        <w:t>II of the HCFC phase</w:t>
      </w:r>
      <w:r w:rsidRPr="008D7AB4">
        <w:noBreakHyphen/>
        <w:t xml:space="preserve">out management plan (HPMP) initially planned for implementation by UNDP; </w:t>
      </w:r>
    </w:p>
    <w:p w14:paraId="5907E77D" w14:textId="52A6EB7B" w:rsidR="007B3584" w:rsidRPr="008D7AB4" w:rsidRDefault="007B3584" w:rsidP="007B3584">
      <w:pPr>
        <w:pStyle w:val="Heading3"/>
      </w:pPr>
      <w:r w:rsidRPr="008D7AB4">
        <w:t xml:space="preserve">That the Fund Secretariat has updated the Agreement between the Government of Brunei Darussalam and the Executive Committee for </w:t>
      </w:r>
      <w:r w:rsidR="00B92759">
        <w:t>stage </w:t>
      </w:r>
      <w:r w:rsidRPr="008D7AB4">
        <w:t xml:space="preserve">II of the HPMP, as contained in </w:t>
      </w:r>
      <w:r w:rsidRPr="006E63AE">
        <w:t>Annex </w:t>
      </w:r>
      <w:r w:rsidR="003A2442" w:rsidRPr="006E63AE">
        <w:t>I</w:t>
      </w:r>
      <w:r w:rsidRPr="006E63AE">
        <w:t xml:space="preserve"> to</w:t>
      </w:r>
      <w:r w:rsidRPr="008D7AB4">
        <w:t xml:space="preserve"> the present document, specifically Appendix 2-A and paragraph 9, on the basis of the transfer of UNDP’s component to UNIDO, and paragraph 17, which has been added to indicate that the updated Agreement supersedes that reached at the 86</w:t>
      </w:r>
      <w:r w:rsidRPr="008D7AB4">
        <w:rPr>
          <w:vertAlign w:val="superscript"/>
        </w:rPr>
        <w:t>th</w:t>
      </w:r>
      <w:r w:rsidRPr="008D7AB4">
        <w:t> meeting; and</w:t>
      </w:r>
    </w:p>
    <w:p w14:paraId="1F488B9A" w14:textId="10DB046C" w:rsidR="007B3584" w:rsidRPr="008D7AB4" w:rsidRDefault="007B3584" w:rsidP="007B3584">
      <w:pPr>
        <w:pStyle w:val="Heading2"/>
      </w:pPr>
      <w:r w:rsidRPr="008D7AB4">
        <w:t xml:space="preserve">With regard to the first tranche of </w:t>
      </w:r>
      <w:r w:rsidR="00B92759">
        <w:t>stage </w:t>
      </w:r>
      <w:r w:rsidRPr="008D7AB4">
        <w:t>II of the HPMP:</w:t>
      </w:r>
    </w:p>
    <w:p w14:paraId="3D20655E" w14:textId="62DEC5A0" w:rsidR="007B3584" w:rsidRPr="008D7AB4" w:rsidRDefault="007B3584" w:rsidP="007B3584">
      <w:pPr>
        <w:pStyle w:val="Heading3"/>
      </w:pPr>
      <w:r w:rsidRPr="008D7AB4">
        <w:t>To request UNDP to return to the Multilateral Fund at the 91</w:t>
      </w:r>
      <w:r w:rsidRPr="008D7AB4">
        <w:rPr>
          <w:vertAlign w:val="superscript"/>
        </w:rPr>
        <w:t>st</w:t>
      </w:r>
      <w:r w:rsidR="00A04F54">
        <w:t> meeting</w:t>
      </w:r>
      <w:r w:rsidRPr="008D7AB4">
        <w:t xml:space="preserve"> the amount of US $11,000, plus agency support costs of US $990 (BRU/PHA/86/INV/29);</w:t>
      </w:r>
    </w:p>
    <w:p w14:paraId="1EDD997F" w14:textId="77777777" w:rsidR="007B3584" w:rsidRPr="008D7AB4" w:rsidRDefault="007B3584" w:rsidP="007B3584">
      <w:pPr>
        <w:pStyle w:val="Heading3"/>
      </w:pPr>
      <w:r w:rsidRPr="008D7AB4">
        <w:t>To approve the transfer to UNIDO of the amount of US $11,000, plus agency support costs of US $990; and</w:t>
      </w:r>
    </w:p>
    <w:p w14:paraId="22F01476" w14:textId="2986857F" w:rsidR="007B3584" w:rsidRPr="008D7AB4" w:rsidRDefault="007B3584" w:rsidP="00C06DCC">
      <w:pPr>
        <w:pStyle w:val="Heading2"/>
      </w:pPr>
      <w:r w:rsidRPr="008D7AB4">
        <w:t xml:space="preserve">Further to approve the transfer of the amount of US $223,000, plus agency support costs of US $20,070, approved in principle, associated with the second, third and fourth tranches of </w:t>
      </w:r>
      <w:r w:rsidR="00B92759">
        <w:t>stage </w:t>
      </w:r>
      <w:r w:rsidRPr="008D7AB4">
        <w:t>II of the HPMP.</w:t>
      </w:r>
    </w:p>
    <w:p w14:paraId="3EB1F7D4" w14:textId="53D796B4" w:rsidR="00C06DCC" w:rsidRPr="00B85D05" w:rsidRDefault="00C06DCC" w:rsidP="0002152C">
      <w:pPr>
        <w:keepNext/>
        <w:keepLines/>
        <w:spacing w:after="240"/>
        <w:ind w:left="720"/>
        <w:rPr>
          <w:b/>
        </w:rPr>
      </w:pPr>
      <w:r w:rsidRPr="00B85D05">
        <w:rPr>
          <w:b/>
          <w:u w:val="single"/>
        </w:rPr>
        <w:t>Colombia: HCFC phase-out management plan (</w:t>
      </w:r>
      <w:r w:rsidR="00B92759" w:rsidRPr="00B85D05">
        <w:rPr>
          <w:b/>
          <w:u w:val="single"/>
        </w:rPr>
        <w:t>stage </w:t>
      </w:r>
      <w:r w:rsidRPr="00B85D05">
        <w:rPr>
          <w:b/>
          <w:u w:val="single"/>
        </w:rPr>
        <w:t>II – update on progress toward finalization of the draft Act and the entry into force of the bans described in document UNEP/OzL.Pro/ExCom/88/44 and request for extension of the completion date)</w:t>
      </w:r>
      <w:r w:rsidRPr="00B85D05">
        <w:rPr>
          <w:b/>
        </w:rPr>
        <w:t xml:space="preserve"> (UNDP)</w:t>
      </w:r>
    </w:p>
    <w:p w14:paraId="4C7D4CD1" w14:textId="77777777" w:rsidR="00C06DCC" w:rsidRPr="008D7AB4" w:rsidRDefault="00C06DCC" w:rsidP="008D75DE">
      <w:pPr>
        <w:keepNext/>
        <w:keepLines/>
        <w:spacing w:after="240"/>
        <w:rPr>
          <w:b/>
          <w:bCs/>
        </w:rPr>
      </w:pPr>
      <w:r w:rsidRPr="008D7AB4">
        <w:rPr>
          <w:b/>
          <w:bCs/>
        </w:rPr>
        <w:t>Background</w:t>
      </w:r>
    </w:p>
    <w:p w14:paraId="7DF8CEBB" w14:textId="4A43D1B5" w:rsidR="00C06DCC" w:rsidRPr="008D7AB4" w:rsidRDefault="00C06DCC" w:rsidP="00C06DCC">
      <w:pPr>
        <w:pStyle w:val="Heading1"/>
        <w:autoSpaceDE w:val="0"/>
        <w:autoSpaceDN w:val="0"/>
        <w:adjustRightInd w:val="0"/>
      </w:pPr>
      <w:r w:rsidRPr="008D7AB4">
        <w:t>At the 88</w:t>
      </w:r>
      <w:r w:rsidRPr="008D7AB4">
        <w:rPr>
          <w:vertAlign w:val="superscript"/>
        </w:rPr>
        <w:t>th</w:t>
      </w:r>
      <w:r w:rsidRPr="008D7AB4">
        <w:t xml:space="preserve"> meeting, in the request for the fourth and final tranche of </w:t>
      </w:r>
      <w:r w:rsidR="00B92759">
        <w:t>stage </w:t>
      </w:r>
      <w:r w:rsidRPr="008D7AB4">
        <w:t>II of the HCFC phase</w:t>
      </w:r>
      <w:r w:rsidRPr="008D7AB4">
        <w:noBreakHyphen/>
        <w:t>out management plan (HPMP) for Colombia, it was reported that the bans on the use of HCFC-141b in the fire protection sector (expected by 31 December 2017, in line with decision 75/44(b)(ii)), for all uses of HCFC</w:t>
      </w:r>
      <w:r w:rsidRPr="008D7AB4">
        <w:noBreakHyphen/>
        <w:t>141b pure and contained in imported pre</w:t>
      </w:r>
      <w:r w:rsidRPr="008D7AB4">
        <w:noBreakHyphen/>
        <w:t xml:space="preserve">blended polyols (expected by </w:t>
      </w:r>
      <w:bookmarkStart w:id="2" w:name="_Hlk118712753"/>
      <w:r w:rsidRPr="008D7AB4">
        <w:t>31 December 2020</w:t>
      </w:r>
      <w:bookmarkEnd w:id="2"/>
      <w:r w:rsidRPr="008D7AB4">
        <w:t>, in line with decision 75/44(b)(iii)), and on the manufacture and import of packaged type and condensed air</w:t>
      </w:r>
      <w:r w:rsidRPr="008D7AB4">
        <w:noBreakHyphen/>
        <w:t>conditioning (AC) equipment that used HCFC</w:t>
      </w:r>
      <w:r w:rsidRPr="008D7AB4">
        <w:noBreakHyphen/>
        <w:t xml:space="preserve">22 with a cooling capacity of less than 5 tonnes (expected by 1 January 2021, in line with decision 75/44(b)(iv)) were delayed as the Government decided to combine the legislative measures into a single draft Act. The remaining steps for finalization of the Act were approval by the Vice Minister of Environment and the legal office, and signatures of the draft Act by the ministers of Environment and of Industry and Commerce, which were expected by December 2021. The entry into force of these bans would be upon those signatures. </w:t>
      </w:r>
    </w:p>
    <w:p w14:paraId="4D1FCFD9" w14:textId="77777777" w:rsidR="00C06DCC" w:rsidRPr="008D7AB4" w:rsidRDefault="00C06DCC" w:rsidP="00C06DCC">
      <w:pPr>
        <w:pStyle w:val="Heading1"/>
      </w:pPr>
      <w:r w:rsidRPr="008D7AB4">
        <w:t>Subsequently, in approving the tranche request, UNDP was requested to provide to the 90</w:t>
      </w:r>
      <w:r w:rsidRPr="008D7AB4">
        <w:rPr>
          <w:vertAlign w:val="superscript"/>
        </w:rPr>
        <w:t>th</w:t>
      </w:r>
      <w:r w:rsidRPr="008D7AB4">
        <w:t> meeting confirmation of the finalization of the draft Act described in document UNEP/OzL.Pro/ExCom/88/44 and the entry into force of the bans on the use of HCFC-141b in the fire protection sector, for all uses of HCFC</w:t>
      </w:r>
      <w:r w:rsidRPr="008D7AB4">
        <w:noBreakHyphen/>
        <w:t>141b pure and contained in pre-blended polyols, and on the manufacture and import of HCFC-based refrigeration and air</w:t>
      </w:r>
      <w:r w:rsidRPr="008D7AB4">
        <w:noBreakHyphen/>
        <w:t>conditioning (RAC) equipment (decision 88/40(a)).</w:t>
      </w:r>
    </w:p>
    <w:p w14:paraId="587591AB" w14:textId="071A4CF2" w:rsidR="00C06DCC" w:rsidRPr="008D7AB4" w:rsidRDefault="00C06DCC" w:rsidP="00C06DCC">
      <w:pPr>
        <w:pStyle w:val="Heading1"/>
      </w:pPr>
      <w:r w:rsidRPr="008D7AB4">
        <w:t>In line with that decision, UNDP submitted to the 90</w:t>
      </w:r>
      <w:r w:rsidRPr="008D7AB4">
        <w:rPr>
          <w:vertAlign w:val="superscript"/>
        </w:rPr>
        <w:t>th</w:t>
      </w:r>
      <w:r w:rsidR="00A04F54">
        <w:t> meeting</w:t>
      </w:r>
      <w:r w:rsidRPr="008D7AB4">
        <w:t xml:space="preserve"> an update on the progress of the finalization of the draft Act and the entry into force of the aforementioned bans. The draft Act had not yet been finalized, as a new tariff code required a complete revision of codes and description of the draft Act, along with an endorsement letter. UNDP had noted that all guilds that would be controlled by or are related to the Act had indicated their support for the draft Act and reported in its country programme data report that there were no imports of HCFC-141b in 2021. The revision and endorsement letter were completed; the remaining step was signing of the draft Act by the ministers of Environment and of Industry and Commerce. Subsequently, UNDP was requested to provide, to the 91</w:t>
      </w:r>
      <w:r w:rsidRPr="008D7AB4">
        <w:rPr>
          <w:vertAlign w:val="superscript"/>
        </w:rPr>
        <w:t>st</w:t>
      </w:r>
      <w:r w:rsidR="00A04F54">
        <w:t> meeting</w:t>
      </w:r>
      <w:r w:rsidRPr="008D7AB4">
        <w:t>, confirmation of the finalization of the draft Act and the entry into force of the aforementioned bans (decision 90/11).</w:t>
      </w:r>
    </w:p>
    <w:p w14:paraId="31624528" w14:textId="391990A6" w:rsidR="00C06DCC" w:rsidRPr="008D7AB4" w:rsidRDefault="00C06DCC" w:rsidP="00C06DCC">
      <w:pPr>
        <w:pStyle w:val="Heading1"/>
      </w:pPr>
      <w:r w:rsidRPr="008D7AB4">
        <w:t xml:space="preserve">In line with </w:t>
      </w:r>
      <w:r w:rsidR="00A04F54">
        <w:t>decision </w:t>
      </w:r>
      <w:r w:rsidRPr="008D7AB4">
        <w:t>90/11, and on behalf of the Government of Colombia, UNDP has submitted an update on the progress of the finalization of the draft Act described in document UNEP/OzL.Pro/ExCom/88/44 and the entry into force of the bans on the use of HCFC-141b in the fire protection sector, for all uses of HCFC</w:t>
      </w:r>
      <w:r w:rsidRPr="008D7AB4">
        <w:noBreakHyphen/>
        <w:t xml:space="preserve">141b pure and contained in pre-blended polyols, and on the manufacture and import of HCFC-based RAC equipment. UNDP has also submitted a request for extension of the implementation of </w:t>
      </w:r>
      <w:r w:rsidR="00B92759">
        <w:t>stage </w:t>
      </w:r>
      <w:r w:rsidRPr="008D7AB4">
        <w:t>II.</w:t>
      </w:r>
    </w:p>
    <w:p w14:paraId="2203E8EC" w14:textId="77777777" w:rsidR="00C06DCC" w:rsidRPr="008D7AB4" w:rsidRDefault="00C06DCC" w:rsidP="00C06DCC">
      <w:pPr>
        <w:keepNext/>
        <w:spacing w:after="240"/>
        <w:rPr>
          <w:b/>
          <w:bCs/>
        </w:rPr>
      </w:pPr>
      <w:r w:rsidRPr="008D7AB4">
        <w:rPr>
          <w:b/>
          <w:bCs/>
        </w:rPr>
        <w:t>Progress report</w:t>
      </w:r>
    </w:p>
    <w:p w14:paraId="0B0B73F7" w14:textId="77777777" w:rsidR="00C06DCC" w:rsidRPr="008D7AB4" w:rsidRDefault="00C06DCC" w:rsidP="00C06DCC">
      <w:pPr>
        <w:pStyle w:val="Heading1"/>
      </w:pPr>
      <w:r w:rsidRPr="008D7AB4">
        <w:t>The Act was signed on 17 June 2022 by the ministers of Environment and of Industry and Commerce. The Government of Colombia enacted the bans on the use of HCFC-141b in the fire protection sector, for all uses of HCFC-141b pure and contained in pre-blended polyols, immediately upon finalization of the Act, and on the manufacture and import of HCFC-based RAC equipment on 17 September 2022, three months after its publication in the national gazette.</w:t>
      </w:r>
    </w:p>
    <w:p w14:paraId="516C701E" w14:textId="77777777" w:rsidR="00C06DCC" w:rsidRPr="008D7AB4" w:rsidRDefault="00C06DCC" w:rsidP="00C06DCC">
      <w:pPr>
        <w:keepNext/>
        <w:spacing w:after="240"/>
        <w:rPr>
          <w:rStyle w:val="Style2"/>
          <w:b/>
          <w:bCs/>
          <w:u w:val="none"/>
        </w:rPr>
      </w:pPr>
      <w:r w:rsidRPr="008D7AB4">
        <w:rPr>
          <w:rStyle w:val="Style2"/>
          <w:b/>
          <w:bCs/>
          <w:u w:val="none"/>
        </w:rPr>
        <w:t xml:space="preserve">Request for extension </w:t>
      </w:r>
    </w:p>
    <w:p w14:paraId="4816213D" w14:textId="32F65F72" w:rsidR="00C06DCC" w:rsidRPr="008D7AB4" w:rsidRDefault="00C06DCC" w:rsidP="00C06DCC">
      <w:pPr>
        <w:pStyle w:val="Heading1"/>
        <w:rPr>
          <w:rStyle w:val="Style2"/>
          <w:u w:val="none"/>
        </w:rPr>
      </w:pPr>
      <w:r w:rsidRPr="008D7AB4">
        <w:rPr>
          <w:rStyle w:val="Style2"/>
          <w:u w:val="none"/>
        </w:rPr>
        <w:t xml:space="preserve">UNDP was requesting to extend the completion date of </w:t>
      </w:r>
      <w:r w:rsidR="00B92759">
        <w:rPr>
          <w:rStyle w:val="Style2"/>
          <w:u w:val="none"/>
        </w:rPr>
        <w:t>stage </w:t>
      </w:r>
      <w:r w:rsidRPr="008D7AB4">
        <w:rPr>
          <w:rStyle w:val="Style2"/>
          <w:u w:val="none"/>
        </w:rPr>
        <w:t>II by six months to 30 June 2023 due to recent administrative and accounting changes within UNDP, which caused limited availability of staff trained in the new accounting system and a delay in the availability of the fourth and final tranche funds.</w:t>
      </w:r>
    </w:p>
    <w:p w14:paraId="1406020C" w14:textId="77777777" w:rsidR="00C06DCC" w:rsidRPr="008D7AB4" w:rsidRDefault="00C06DCC" w:rsidP="00C06DCC">
      <w:pPr>
        <w:pStyle w:val="Heading1"/>
      </w:pPr>
      <w:r w:rsidRPr="008D7AB4">
        <w:t>Remaining activities to be implemented by UNDP include continued monitoring and management of the licensing, permits, and quota system; organizing a second committee meeting on ODS trade control with customs and the Ministry of Trade, Industry and Tourism, and two workshops to train customs officers on ODS trade control; supplying select National Learning Service (SENA) training centres with tools for the installation and maintenance of hydrocarbon-based RAC equipment; four meetings to promote the technician certification process; continued monitoring of the recovery, recycling, and reclamation network, and an additional workshop for technicians and operators of the collection and reclamation centres; continued technical assistance to promote the uptake of low-GWP, energy efficient RAC equipment through workshops with end-users in the agribusiness sub</w:t>
      </w:r>
      <w:r w:rsidRPr="008D7AB4">
        <w:noBreakHyphen/>
        <w:t>sectors and cold chain food sectors, including an assessment of equipment and refrigeration systems used in the meat production and storage sub</w:t>
      </w:r>
      <w:r w:rsidRPr="008D7AB4">
        <w:noBreakHyphen/>
        <w:t>sector; and continued monitoring and implementation of the project, including preparation of the project completion report.</w:t>
      </w:r>
    </w:p>
    <w:p w14:paraId="45893484" w14:textId="77777777" w:rsidR="00C06DCC" w:rsidRPr="008D7AB4" w:rsidRDefault="00C06DCC" w:rsidP="00C06DCC">
      <w:pPr>
        <w:pStyle w:val="Heading1"/>
      </w:pPr>
      <w:r w:rsidRPr="008D7AB4">
        <w:t>UNEP plans to organize three virtual courses to train customs officers on ODS trade control, and a second dissemination workshop to present the results of the pilot project on the use of refillable cylinders. Activities by the Government of Germany have been completed.</w:t>
      </w:r>
    </w:p>
    <w:p w14:paraId="3BB08199" w14:textId="77777777" w:rsidR="00C06DCC" w:rsidRPr="008D7AB4" w:rsidRDefault="00C06DCC" w:rsidP="00C06DCC">
      <w:pPr>
        <w:pStyle w:val="Heading1"/>
        <w:numPr>
          <w:ilvl w:val="0"/>
          <w:numId w:val="0"/>
        </w:numPr>
        <w:rPr>
          <w:b/>
          <w:bCs/>
        </w:rPr>
      </w:pPr>
      <w:r w:rsidRPr="008D7AB4">
        <w:rPr>
          <w:b/>
          <w:bCs/>
        </w:rPr>
        <w:t>Secretariat’s comments</w:t>
      </w:r>
    </w:p>
    <w:p w14:paraId="7D6895A8" w14:textId="77777777" w:rsidR="00C06DCC" w:rsidRPr="008D7AB4" w:rsidRDefault="00C06DCC" w:rsidP="00C06DCC">
      <w:pPr>
        <w:pStyle w:val="Heading1"/>
      </w:pPr>
      <w:r w:rsidRPr="008D7AB4">
        <w:t xml:space="preserve">The Secretariat noted with appreciation that the bans on the use of HCFC-141b in the fire protection sector, for all uses of HCFC-141b pure and contained in imported pre-blended polyols, and on the manufacture and import of packaged type and condensed AC equipment that used HCFC-22 with a cooling capacity of less than 5 tonnes are in force, in line with decisions 75/44(b)(ii), 75/44(b)(iii), and 75/44(b)(iv). </w:t>
      </w:r>
    </w:p>
    <w:p w14:paraId="30424E62" w14:textId="2E1E03A2" w:rsidR="00C06DCC" w:rsidRPr="008D7AB4" w:rsidRDefault="00C06DCC" w:rsidP="00C06DCC">
      <w:pPr>
        <w:pStyle w:val="Heading1"/>
      </w:pPr>
      <w:r w:rsidRPr="008D7AB4">
        <w:t xml:space="preserve">The Secretariat considered that the request for extension of the HPMP until end of June 2023 would allow the Government of Colombia, UNDP, and UNEP to complete all the remaining activities in the approved implementation plan for the fourth and final tranche of </w:t>
      </w:r>
      <w:r w:rsidR="00B92759">
        <w:t>stage </w:t>
      </w:r>
      <w:r w:rsidRPr="008D7AB4">
        <w:t xml:space="preserve">II of the HPMP for the country. </w:t>
      </w:r>
    </w:p>
    <w:p w14:paraId="7AC5E548" w14:textId="77777777" w:rsidR="00C06DCC" w:rsidRPr="008D7AB4" w:rsidRDefault="00C06DCC" w:rsidP="00C06DCC">
      <w:pPr>
        <w:pStyle w:val="StyleBold"/>
      </w:pPr>
      <w:r w:rsidRPr="008D7AB4">
        <w:t>Recommendation</w:t>
      </w:r>
    </w:p>
    <w:p w14:paraId="14F9F9A3" w14:textId="77777777" w:rsidR="00C06DCC" w:rsidRPr="008D7AB4" w:rsidRDefault="00C06DCC" w:rsidP="00C06DCC">
      <w:pPr>
        <w:pStyle w:val="Heading1"/>
        <w:keepNext/>
        <w:keepLines/>
      </w:pPr>
      <w:r w:rsidRPr="008D7AB4">
        <w:t>The Executive Committee may wish:</w:t>
      </w:r>
    </w:p>
    <w:p w14:paraId="54EAAD11" w14:textId="12C42EA7" w:rsidR="00C06DCC" w:rsidRPr="008D7AB4" w:rsidRDefault="00C06DCC" w:rsidP="00C06DCC">
      <w:pPr>
        <w:pStyle w:val="Heading2"/>
      </w:pPr>
      <w:r w:rsidRPr="008D7AB4">
        <w:t xml:space="preserve">To note the update on progress toward finalization of the draft Act and the entry into force of the bans described in document UNEP/OzL.Pro/ExCom/88/44, in the context of </w:t>
      </w:r>
      <w:r w:rsidR="00B92759">
        <w:t>stage </w:t>
      </w:r>
      <w:r w:rsidRPr="008D7AB4">
        <w:t xml:space="preserve">II of the HCFC phase-out management plan for Colombia, submitted by UNDP and contained in document UNEP/OzL.Pro/ExCom/91/18; and </w:t>
      </w:r>
    </w:p>
    <w:p w14:paraId="49FE509F" w14:textId="77777777" w:rsidR="00C06DCC" w:rsidRPr="008D7AB4" w:rsidRDefault="00C06DCC" w:rsidP="00C06DCC">
      <w:pPr>
        <w:pStyle w:val="Heading2"/>
      </w:pPr>
      <w:r w:rsidRPr="008D7AB4">
        <w:t>To approve the extension of the date of completion of the project referred to in sub</w:t>
      </w:r>
      <w:r w:rsidRPr="008D7AB4">
        <w:noBreakHyphen/>
        <w:t>paragraph (a) above to 30 June 2023, on the understanding that no further extension would be requested.</w:t>
      </w:r>
    </w:p>
    <w:p w14:paraId="1C60FA38" w14:textId="091218AD" w:rsidR="00F359E1" w:rsidRPr="00B85D05" w:rsidRDefault="00F359E1" w:rsidP="0002152C">
      <w:pPr>
        <w:pStyle w:val="Heading1"/>
        <w:keepNext/>
        <w:keepLines/>
        <w:numPr>
          <w:ilvl w:val="0"/>
          <w:numId w:val="0"/>
        </w:numPr>
        <w:ind w:left="720"/>
        <w:rPr>
          <w:b/>
          <w:bCs/>
          <w:u w:val="single"/>
        </w:rPr>
      </w:pPr>
      <w:r w:rsidRPr="00B85D05">
        <w:rPr>
          <w:b/>
          <w:bCs/>
          <w:u w:val="single"/>
        </w:rPr>
        <w:t>Côte d’Ivoire: HCFC phase-out management plan (</w:t>
      </w:r>
      <w:r w:rsidR="00B92759" w:rsidRPr="00B85D05">
        <w:rPr>
          <w:b/>
          <w:bCs/>
          <w:u w:val="single"/>
        </w:rPr>
        <w:t>stage </w:t>
      </w:r>
      <w:r w:rsidRPr="00B85D05">
        <w:rPr>
          <w:b/>
          <w:bCs/>
          <w:u w:val="single"/>
        </w:rPr>
        <w:t>I – report on the adoption of the interministerial decree (“arrêté interministériel”) for regulating import, export, transit, re</w:t>
      </w:r>
      <w:r w:rsidR="002E1E12">
        <w:rPr>
          <w:b/>
          <w:bCs/>
          <w:u w:val="single"/>
        </w:rPr>
        <w:noBreakHyphen/>
      </w:r>
      <w:r w:rsidRPr="00B85D05">
        <w:rPr>
          <w:b/>
          <w:bCs/>
          <w:u w:val="single"/>
        </w:rPr>
        <w:t>export and trade of ODS, and other measures on strengthening monitoring and reporting systems relating to HCFC import and export)</w:t>
      </w:r>
      <w:r w:rsidRPr="00B85D05">
        <w:rPr>
          <w:b/>
          <w:bCs/>
        </w:rPr>
        <w:t xml:space="preserve"> (UNEP)</w:t>
      </w:r>
    </w:p>
    <w:p w14:paraId="4F6BE95F" w14:textId="77777777" w:rsidR="00F359E1" w:rsidRPr="008D7AB4" w:rsidRDefault="00F359E1" w:rsidP="008D75DE">
      <w:pPr>
        <w:pStyle w:val="Heading1"/>
        <w:keepNext/>
        <w:keepLines/>
        <w:numPr>
          <w:ilvl w:val="0"/>
          <w:numId w:val="0"/>
        </w:numPr>
        <w:rPr>
          <w:b/>
        </w:rPr>
      </w:pPr>
      <w:r w:rsidRPr="008D7AB4">
        <w:rPr>
          <w:b/>
        </w:rPr>
        <w:t>Background</w:t>
      </w:r>
    </w:p>
    <w:p w14:paraId="79E4AFBC" w14:textId="58ED91F7" w:rsidR="00F359E1" w:rsidRPr="008D7AB4" w:rsidRDefault="00F359E1" w:rsidP="008D75DE">
      <w:pPr>
        <w:pStyle w:val="Heading1"/>
        <w:keepNext/>
        <w:keepLines/>
      </w:pPr>
      <w:bookmarkStart w:id="3" w:name="_Hlk117491453"/>
      <w:r w:rsidRPr="008D7AB4">
        <w:t>At its 90</w:t>
      </w:r>
      <w:r w:rsidRPr="008D7AB4">
        <w:rPr>
          <w:vertAlign w:val="superscript"/>
        </w:rPr>
        <w:t>th</w:t>
      </w:r>
      <w:r w:rsidR="00A04F54">
        <w:t> meeting</w:t>
      </w:r>
      <w:r w:rsidRPr="008D7AB4">
        <w:t xml:space="preserve">, the Executive Committee approved the fifth tranche of </w:t>
      </w:r>
      <w:r w:rsidR="00B92759">
        <w:t>stage </w:t>
      </w:r>
      <w:r w:rsidRPr="008D7AB4">
        <w:t>I of the HCFC phase</w:t>
      </w:r>
      <w:r w:rsidRPr="008D7AB4">
        <w:noBreakHyphen/>
        <w:t>out management plan (HPMP) for Côte d’Ivoire on the understanding that the Government will provide an update, through UNEP, at the 91</w:t>
      </w:r>
      <w:r w:rsidRPr="008D7AB4">
        <w:rPr>
          <w:vertAlign w:val="superscript"/>
        </w:rPr>
        <w:t>st</w:t>
      </w:r>
      <w:r w:rsidRPr="008D7AB4">
        <w:t> meeting, on the adoption of the interministerial decree for regulating import, export, transit, re</w:t>
      </w:r>
      <w:r w:rsidRPr="008D7AB4">
        <w:noBreakHyphen/>
        <w:t>export and trade of ODS, and other measures on strengthening monitoring and reporting systems relating to HCFC import and export (</w:t>
      </w:r>
      <w:r w:rsidR="00A04F54">
        <w:t>decision </w:t>
      </w:r>
      <w:r w:rsidRPr="008D7AB4">
        <w:t>90/32).</w:t>
      </w:r>
      <w:r w:rsidRPr="008D7AB4">
        <w:rPr>
          <w:rStyle w:val="FootnoteReference"/>
        </w:rPr>
        <w:footnoteReference w:id="10"/>
      </w:r>
    </w:p>
    <w:p w14:paraId="5536B169" w14:textId="77777777" w:rsidR="00F359E1" w:rsidRPr="008D7AB4" w:rsidRDefault="00F359E1" w:rsidP="008D75DE">
      <w:pPr>
        <w:keepNext/>
        <w:keepLines/>
        <w:rPr>
          <w:b/>
          <w:bCs/>
        </w:rPr>
      </w:pPr>
      <w:r w:rsidRPr="008D7AB4">
        <w:rPr>
          <w:b/>
          <w:bCs/>
        </w:rPr>
        <w:t>Progress report</w:t>
      </w:r>
    </w:p>
    <w:p w14:paraId="2E40FB90" w14:textId="77777777" w:rsidR="00F359E1" w:rsidRPr="008D7AB4" w:rsidRDefault="00F359E1" w:rsidP="008D75DE">
      <w:pPr>
        <w:keepNext/>
        <w:keepLines/>
      </w:pPr>
    </w:p>
    <w:p w14:paraId="0DFF84CE" w14:textId="77777777" w:rsidR="00F359E1" w:rsidRPr="008D7AB4" w:rsidRDefault="00F359E1" w:rsidP="00F359E1">
      <w:pPr>
        <w:pStyle w:val="Heading1"/>
      </w:pPr>
      <w:r w:rsidRPr="008D7AB4">
        <w:t xml:space="preserve">In line with decision 90/32, the Government of Côte d’Ivoire, through UNEP, reported that the Minister of Environment and Sustainable Development signed the interministerial decree in February 2022 and sent it to the other three Ministers (i.e., the Minister of Commerce and Industry, the Minister of Budget and State Portfolio and the Minister of Economy and Finance) for their signatures. Additional comments were received from the other three Ministers for inclusion in the decree. </w:t>
      </w:r>
    </w:p>
    <w:p w14:paraId="1E967CE0" w14:textId="77777777" w:rsidR="00F359E1" w:rsidRPr="008D7AB4" w:rsidRDefault="00F359E1" w:rsidP="00F359E1">
      <w:pPr>
        <w:pStyle w:val="Heading1"/>
      </w:pPr>
      <w:r w:rsidRPr="008D7AB4">
        <w:t>As of 20 October 2022, the Ministry of Environment and Sustainable Development had incorporated those comments and resent the decree to the other three Ministers for their signatures. The decree is expected to be signed by 31 December 2022.</w:t>
      </w:r>
    </w:p>
    <w:bookmarkEnd w:id="3"/>
    <w:p w14:paraId="0E414D08" w14:textId="77777777" w:rsidR="00F359E1" w:rsidRPr="008D7AB4" w:rsidRDefault="00F359E1" w:rsidP="00F359E1">
      <w:pPr>
        <w:pStyle w:val="Heading1"/>
        <w:keepNext/>
        <w:numPr>
          <w:ilvl w:val="0"/>
          <w:numId w:val="0"/>
        </w:numPr>
        <w:rPr>
          <w:b/>
          <w:bCs/>
        </w:rPr>
      </w:pPr>
      <w:r w:rsidRPr="008D7AB4">
        <w:rPr>
          <w:b/>
          <w:bCs/>
        </w:rPr>
        <w:t>Secretariat’s comments</w:t>
      </w:r>
    </w:p>
    <w:p w14:paraId="7A34F376" w14:textId="77777777" w:rsidR="00F359E1" w:rsidRPr="008D7AB4" w:rsidRDefault="00F359E1" w:rsidP="00F359E1">
      <w:pPr>
        <w:pStyle w:val="Heading1"/>
      </w:pPr>
      <w:bookmarkStart w:id="4" w:name="_Hlk117514082"/>
      <w:r w:rsidRPr="008D7AB4">
        <w:t>The Secretariat noted that the delay in the signing of the decree is due to the inclusion therein of additional comments made by the three Ministers; and that the updated document has been sent for final signatures. UNEP indicated that it is closely following up on this matter with the national ozone unit (NOU) to avoid further delays.</w:t>
      </w:r>
    </w:p>
    <w:bookmarkEnd w:id="4"/>
    <w:p w14:paraId="5C6CE19D" w14:textId="77777777" w:rsidR="00F359E1" w:rsidRPr="008D7AB4" w:rsidRDefault="00F359E1" w:rsidP="00F359E1">
      <w:pPr>
        <w:pStyle w:val="Heading1"/>
        <w:rPr>
          <w:sz w:val="24"/>
          <w:szCs w:val="24"/>
        </w:rPr>
      </w:pPr>
      <w:r w:rsidRPr="008D7AB4">
        <w:t xml:space="preserve">The Secretariat noted that although the interministerial decree is yet to be signed, the NOU, under the guidance of the National Ozone Committee, continues to monitor the implementation of the ODS import/export licensing system.  </w:t>
      </w:r>
    </w:p>
    <w:p w14:paraId="581825AA" w14:textId="77777777" w:rsidR="00F359E1" w:rsidRPr="008D7AB4" w:rsidRDefault="00F359E1" w:rsidP="00F359E1">
      <w:pPr>
        <w:rPr>
          <w:b/>
        </w:rPr>
      </w:pPr>
      <w:r w:rsidRPr="008D7AB4">
        <w:rPr>
          <w:b/>
        </w:rPr>
        <w:t>Recommendation</w:t>
      </w:r>
    </w:p>
    <w:p w14:paraId="3169DE99" w14:textId="77777777" w:rsidR="00F359E1" w:rsidRPr="008D7AB4" w:rsidRDefault="00F359E1" w:rsidP="00F359E1">
      <w:pPr>
        <w:pStyle w:val="Heading1"/>
        <w:numPr>
          <w:ilvl w:val="0"/>
          <w:numId w:val="0"/>
        </w:numPr>
        <w:spacing w:after="0"/>
      </w:pPr>
    </w:p>
    <w:p w14:paraId="458D6661" w14:textId="77777777" w:rsidR="00F359E1" w:rsidRPr="008D7AB4" w:rsidRDefault="00F359E1" w:rsidP="00F359E1">
      <w:pPr>
        <w:pStyle w:val="Heading1"/>
      </w:pPr>
      <w:r w:rsidRPr="008D7AB4">
        <w:t>The Executive Committee may wish:</w:t>
      </w:r>
    </w:p>
    <w:p w14:paraId="5C9D6610" w14:textId="16715909" w:rsidR="00F359E1" w:rsidRPr="008D7AB4" w:rsidRDefault="00F359E1" w:rsidP="00F359E1">
      <w:pPr>
        <w:pStyle w:val="Heading2"/>
      </w:pPr>
      <w:r w:rsidRPr="008D7AB4">
        <w:t xml:space="preserve">To note the report on progress in the future adoption of the interministerial decree (“arrêté interministériel”) for regulating import, export, transit, re-export and trade of ODS and other measures for strengthening monitoring and reporting systems relating to HCFC import and export under </w:t>
      </w:r>
      <w:r w:rsidR="00B92759">
        <w:t>stage </w:t>
      </w:r>
      <w:r w:rsidRPr="008D7AB4">
        <w:t>I of the HCFC phase-out management plan for Côte d’Ivoire, submitted by UNEP and contained in document UNEP/OzL.Pro/ExCom/91/18; and</w:t>
      </w:r>
    </w:p>
    <w:p w14:paraId="1D6150F3" w14:textId="2E563624" w:rsidR="00F359E1" w:rsidRPr="008D7AB4" w:rsidRDefault="00F359E1" w:rsidP="00F359E1">
      <w:pPr>
        <w:pStyle w:val="Heading2"/>
      </w:pPr>
      <w:r w:rsidRPr="008D7AB4">
        <w:t>To request the Government of Côte d’Ivoire to provide an update, through UNEP, at the 92</w:t>
      </w:r>
      <w:r w:rsidRPr="008D7AB4">
        <w:rPr>
          <w:vertAlign w:val="superscript"/>
        </w:rPr>
        <w:t>nd</w:t>
      </w:r>
      <w:r w:rsidR="00A04F54">
        <w:t> meeting</w:t>
      </w:r>
      <w:r w:rsidRPr="008D7AB4">
        <w:t>, on the adoption of the interministerial decree mentioned in sub</w:t>
      </w:r>
      <w:r w:rsidRPr="008D7AB4">
        <w:noBreakHyphen/>
        <w:t>paragraph (a) above.</w:t>
      </w:r>
    </w:p>
    <w:p w14:paraId="1C0A44F1" w14:textId="3A77A5C8" w:rsidR="003A2442" w:rsidRPr="00B85D05" w:rsidRDefault="003A2442" w:rsidP="00B85D05">
      <w:pPr>
        <w:keepNext/>
        <w:keepLines/>
        <w:ind w:left="720"/>
        <w:jc w:val="left"/>
        <w:rPr>
          <w:b/>
          <w:bCs/>
        </w:rPr>
      </w:pPr>
      <w:r w:rsidRPr="00B85D05">
        <w:rPr>
          <w:b/>
          <w:bCs/>
          <w:u w:val="single"/>
        </w:rPr>
        <w:t>Philippines</w:t>
      </w:r>
      <w:r w:rsidR="00980BF0" w:rsidRPr="00B85D05">
        <w:rPr>
          <w:b/>
          <w:bCs/>
          <w:u w:val="single"/>
        </w:rPr>
        <w:t xml:space="preserve"> (the)</w:t>
      </w:r>
      <w:r w:rsidRPr="00B85D05">
        <w:rPr>
          <w:b/>
          <w:bCs/>
          <w:u w:val="single"/>
        </w:rPr>
        <w:t>: HCFC phase-out management plan (</w:t>
      </w:r>
      <w:r w:rsidR="00B92759" w:rsidRPr="00B85D05">
        <w:rPr>
          <w:b/>
          <w:bCs/>
          <w:u w:val="single"/>
        </w:rPr>
        <w:t>stage </w:t>
      </w:r>
      <w:r w:rsidRPr="00B85D05">
        <w:rPr>
          <w:b/>
          <w:bCs/>
          <w:u w:val="single"/>
        </w:rPr>
        <w:t>II – verification report)</w:t>
      </w:r>
      <w:r w:rsidRPr="00B85D05">
        <w:rPr>
          <w:b/>
          <w:bCs/>
        </w:rPr>
        <w:t xml:space="preserve"> (UNIDO)</w:t>
      </w:r>
    </w:p>
    <w:p w14:paraId="327A12D6" w14:textId="77777777" w:rsidR="003A2442" w:rsidRPr="008D7AB4" w:rsidRDefault="003A2442" w:rsidP="00811D2A">
      <w:pPr>
        <w:keepNext/>
        <w:keepLines/>
        <w:ind w:left="720"/>
      </w:pPr>
    </w:p>
    <w:p w14:paraId="51038CD1" w14:textId="77777777" w:rsidR="003A2442" w:rsidRPr="008D7AB4" w:rsidRDefault="003A2442" w:rsidP="00811D2A">
      <w:pPr>
        <w:pStyle w:val="StyleBold"/>
        <w:keepNext/>
        <w:keepLines/>
      </w:pPr>
      <w:r w:rsidRPr="008D7AB4">
        <w:t>Background</w:t>
      </w:r>
    </w:p>
    <w:p w14:paraId="103E21C5" w14:textId="53D25E27" w:rsidR="003A2442" w:rsidRPr="008D7AB4" w:rsidRDefault="003A2442" w:rsidP="00811D2A">
      <w:pPr>
        <w:pStyle w:val="Heading1"/>
        <w:keepNext/>
        <w:keepLines/>
        <w:numPr>
          <w:ilvl w:val="0"/>
          <w:numId w:val="17"/>
        </w:numPr>
      </w:pPr>
      <w:r w:rsidRPr="008D7AB4">
        <w:t>At the 87</w:t>
      </w:r>
      <w:r w:rsidRPr="008D7AB4">
        <w:rPr>
          <w:vertAlign w:val="superscript"/>
        </w:rPr>
        <w:t>th</w:t>
      </w:r>
      <w:r w:rsidRPr="008D7AB4">
        <w:t xml:space="preserve"> meeting, the Executive Committee, </w:t>
      </w:r>
      <w:r w:rsidRPr="008D7AB4">
        <w:rPr>
          <w:i/>
          <w:iCs/>
        </w:rPr>
        <w:t>inter alia</w:t>
      </w:r>
      <w:r w:rsidRPr="008D7AB4">
        <w:t>, approved the request from the Government of the Philippines through UNIDO as designated implementing agency, to cancel the air</w:t>
      </w:r>
      <w:r w:rsidRPr="008D7AB4">
        <w:noBreakHyphen/>
        <w:t xml:space="preserve">conditioning (AC) manufacturing sector plan originally included in </w:t>
      </w:r>
      <w:r w:rsidR="00B92759">
        <w:t>stage </w:t>
      </w:r>
      <w:r w:rsidRPr="008D7AB4">
        <w:t>II of the HCFC phase-out management plan (HPMP) at the 80</w:t>
      </w:r>
      <w:r w:rsidRPr="008D7AB4">
        <w:rPr>
          <w:vertAlign w:val="superscript"/>
        </w:rPr>
        <w:t>th</w:t>
      </w:r>
      <w:r w:rsidRPr="008D7AB4">
        <w:t> meeting and approved a revised implementation plan for the combined first, second and third tranche activities in the servicing sector and technical assistance in the AC manufacturing sector. It requested UNIDO to return to the Multilateral Fund at the 90</w:t>
      </w:r>
      <w:r w:rsidRPr="008D7AB4">
        <w:rPr>
          <w:vertAlign w:val="superscript"/>
        </w:rPr>
        <w:t>th</w:t>
      </w:r>
      <w:r w:rsidRPr="008D7AB4">
        <w:t xml:space="preserve"> meeting the amount of US $212,152, approved as part of the first tranche of </w:t>
      </w:r>
      <w:r w:rsidR="00B92759">
        <w:t>stage </w:t>
      </w:r>
      <w:r w:rsidRPr="008D7AB4">
        <w:t xml:space="preserve">II of the HPMP; and further requested the Government of the Philippines and UNIDO to submit progress reports on a yearly basis on the implementation of the work programme associated with the combined tranches until the completion of the project, verification reports until approval of </w:t>
      </w:r>
      <w:r w:rsidR="00B92759">
        <w:t>stage </w:t>
      </w:r>
      <w:r w:rsidRPr="008D7AB4">
        <w:t xml:space="preserve">III, and the project completion report to the second meeting in 2023 (decision 87/19). </w:t>
      </w:r>
    </w:p>
    <w:p w14:paraId="3AA22F00" w14:textId="78EC955C" w:rsidR="003A2442" w:rsidRPr="008D7AB4" w:rsidRDefault="003A2442" w:rsidP="003A2442">
      <w:pPr>
        <w:pStyle w:val="Heading1"/>
        <w:numPr>
          <w:ilvl w:val="0"/>
          <w:numId w:val="17"/>
        </w:numPr>
      </w:pPr>
      <w:r w:rsidRPr="008D7AB4">
        <w:t>At the 90</w:t>
      </w:r>
      <w:r w:rsidRPr="008D7AB4">
        <w:rPr>
          <w:vertAlign w:val="superscript"/>
        </w:rPr>
        <w:t>th</w:t>
      </w:r>
      <w:r w:rsidR="00A04F54">
        <w:t> meeting</w:t>
      </w:r>
      <w:r w:rsidRPr="008D7AB4">
        <w:t xml:space="preserve"> the Executive Committee decided to extend, on an exceptional basis, due to the delays imposed by the COVID-19 pandemic, the completion date of </w:t>
      </w:r>
      <w:r w:rsidR="00B92759">
        <w:t>stage </w:t>
      </w:r>
      <w:r w:rsidRPr="008D7AB4">
        <w:t>II of the HPMP for the Philippines until 31 December 2023 noting that no further extension would be requested and also requested the Government of the Philippines through UNIDO to submit the verification report of HCFC consumption for 2021 to the 91</w:t>
      </w:r>
      <w:r w:rsidRPr="008D7AB4">
        <w:rPr>
          <w:vertAlign w:val="superscript"/>
        </w:rPr>
        <w:t>st</w:t>
      </w:r>
      <w:r w:rsidRPr="008D7AB4">
        <w:t> meeting (</w:t>
      </w:r>
      <w:r w:rsidR="00A04F54">
        <w:t>decision </w:t>
      </w:r>
      <w:r w:rsidRPr="008D7AB4">
        <w:t>90/17(b) and (c)(i)).</w:t>
      </w:r>
    </w:p>
    <w:p w14:paraId="7AF1E1D2" w14:textId="3031BAEA" w:rsidR="003A2442" w:rsidRPr="008D7AB4" w:rsidRDefault="003A2442" w:rsidP="003A2442">
      <w:pPr>
        <w:pStyle w:val="Heading1"/>
      </w:pPr>
      <w:r w:rsidRPr="008D7AB4">
        <w:t xml:space="preserve">In line with </w:t>
      </w:r>
      <w:r w:rsidR="00A04F54">
        <w:t>decision </w:t>
      </w:r>
      <w:r w:rsidRPr="008D7AB4">
        <w:t>90/17(c)(i), on behalf of the Government of the Philippines, UNIDO submitted the verification report.</w:t>
      </w:r>
    </w:p>
    <w:p w14:paraId="2C7138CA" w14:textId="77777777" w:rsidR="003A2442" w:rsidRPr="008D7AB4" w:rsidRDefault="003A2442" w:rsidP="003A2442">
      <w:pPr>
        <w:pStyle w:val="StyleBold"/>
      </w:pPr>
      <w:r w:rsidRPr="008D7AB4">
        <w:t>Secretariat’s comments</w:t>
      </w:r>
    </w:p>
    <w:p w14:paraId="0E9C6ED5" w14:textId="77777777" w:rsidR="003A2442" w:rsidRPr="008D7AB4" w:rsidRDefault="003A2442" w:rsidP="003A2442">
      <w:pPr>
        <w:pStyle w:val="Heading1"/>
      </w:pPr>
      <w:r w:rsidRPr="008D7AB4">
        <w:t>The Secretariat received the verification report on the country’s 2021 HCFC consumption on 28 October 2022, seven weeks after the deadline for submission. Due to the late receipt of this document, the Secretariat was unable to review the submission and will provide a summary of this report at the 92</w:t>
      </w:r>
      <w:r w:rsidRPr="008D7AB4">
        <w:rPr>
          <w:vertAlign w:val="superscript"/>
        </w:rPr>
        <w:t>nd</w:t>
      </w:r>
      <w:r w:rsidRPr="008D7AB4">
        <w:t xml:space="preserve"> meeting. </w:t>
      </w:r>
    </w:p>
    <w:p w14:paraId="2254A5DE" w14:textId="77777777" w:rsidR="003A2442" w:rsidRPr="008D7AB4" w:rsidRDefault="003A2442" w:rsidP="003A2442">
      <w:pPr>
        <w:widowControl w:val="0"/>
        <w:spacing w:after="240"/>
        <w:outlineLvl w:val="0"/>
        <w:rPr>
          <w:b/>
        </w:rPr>
      </w:pPr>
      <w:r w:rsidRPr="008D7AB4">
        <w:rPr>
          <w:b/>
        </w:rPr>
        <w:t xml:space="preserve">Recommendation </w:t>
      </w:r>
    </w:p>
    <w:p w14:paraId="246BE9E0" w14:textId="77777777" w:rsidR="003A2442" w:rsidRPr="008D7AB4" w:rsidRDefault="003A2442" w:rsidP="003A2442">
      <w:pPr>
        <w:pStyle w:val="Heading1"/>
      </w:pPr>
      <w:r w:rsidRPr="008D7AB4">
        <w:t>The Executive Committee may wish to take note of the submission by UNIDO of the verification report of HCFC consumption for the Philippines for 2021, which will be reviewed and presented by the Secretariat at the 92</w:t>
      </w:r>
      <w:r w:rsidRPr="008D7AB4">
        <w:rPr>
          <w:vertAlign w:val="superscript"/>
        </w:rPr>
        <w:t>nd</w:t>
      </w:r>
      <w:r w:rsidRPr="008D7AB4">
        <w:t> meeting.</w:t>
      </w:r>
    </w:p>
    <w:p w14:paraId="74698FF2" w14:textId="35358556" w:rsidR="00B80950" w:rsidRPr="00B85D05" w:rsidRDefault="00B80950" w:rsidP="0002152C">
      <w:pPr>
        <w:ind w:left="720"/>
        <w:rPr>
          <w:b/>
          <w:bCs/>
        </w:rPr>
      </w:pPr>
      <w:r w:rsidRPr="00B85D05">
        <w:rPr>
          <w:b/>
          <w:bCs/>
          <w:u w:val="single"/>
        </w:rPr>
        <w:t>Senegal: HCFC phase-out management plan (</w:t>
      </w:r>
      <w:r w:rsidR="00B92759" w:rsidRPr="00B85D05">
        <w:rPr>
          <w:b/>
          <w:bCs/>
          <w:u w:val="single"/>
        </w:rPr>
        <w:t>stage </w:t>
      </w:r>
      <w:r w:rsidRPr="00B85D05">
        <w:rPr>
          <w:b/>
          <w:bCs/>
          <w:u w:val="single"/>
        </w:rPr>
        <w:t>I – final progress report)</w:t>
      </w:r>
      <w:r w:rsidRPr="00B85D05">
        <w:rPr>
          <w:b/>
          <w:bCs/>
        </w:rPr>
        <w:t xml:space="preserve"> (UNEP and UNIDO)</w:t>
      </w:r>
    </w:p>
    <w:p w14:paraId="5EF61EDB" w14:textId="77777777" w:rsidR="00A62F35" w:rsidRPr="008D7AB4" w:rsidRDefault="00A62F35" w:rsidP="00A62F35"/>
    <w:p w14:paraId="10C42A4F" w14:textId="45260762" w:rsidR="00B80950" w:rsidRPr="008D7AB4" w:rsidRDefault="00B80950" w:rsidP="00B80950">
      <w:pPr>
        <w:pStyle w:val="StyleBold"/>
      </w:pPr>
      <w:r w:rsidRPr="008D7AB4">
        <w:t>Background</w:t>
      </w:r>
    </w:p>
    <w:p w14:paraId="5097C1AF" w14:textId="4B23E7FF" w:rsidR="00B80950" w:rsidRPr="008D7AB4" w:rsidRDefault="00B92759" w:rsidP="00B80950">
      <w:pPr>
        <w:pStyle w:val="Heading1"/>
      </w:pPr>
      <w:r>
        <w:t>Stage </w:t>
      </w:r>
      <w:r w:rsidR="00B80950" w:rsidRPr="008D7AB4">
        <w:t>I of the HCFC phase-out management plan (HPMP) for Senegal was originally approved at the 65</w:t>
      </w:r>
      <w:r w:rsidR="00B80950" w:rsidRPr="008D7AB4">
        <w:rPr>
          <w:vertAlign w:val="superscript"/>
        </w:rPr>
        <w:t>th</w:t>
      </w:r>
      <w:r w:rsidR="00B80950" w:rsidRPr="008D7AB4">
        <w:t> meeting</w:t>
      </w:r>
      <w:r w:rsidR="00B80950" w:rsidRPr="008D7AB4">
        <w:rPr>
          <w:vertAlign w:val="superscript"/>
        </w:rPr>
        <w:footnoteReference w:id="11"/>
      </w:r>
      <w:r w:rsidR="00B80950" w:rsidRPr="008D7AB4">
        <w:t xml:space="preserve"> and revised at the 77</w:t>
      </w:r>
      <w:r w:rsidR="00B80950" w:rsidRPr="008D7AB4">
        <w:rPr>
          <w:vertAlign w:val="superscript"/>
        </w:rPr>
        <w:t>th</w:t>
      </w:r>
      <w:r w:rsidR="00B80950" w:rsidRPr="008D7AB4">
        <w:t> meeting, to phase</w:t>
      </w:r>
      <w:r w:rsidR="00B80950" w:rsidRPr="008D7AB4">
        <w:noBreakHyphen/>
        <w:t>out of 7.34 ODP tonnes of HCFCs to meet the target of 35 per cent reduction from the revised starting point by 2020,</w:t>
      </w:r>
      <w:r w:rsidR="00B80950" w:rsidRPr="008D7AB4" w:rsidDel="00164CAA">
        <w:t xml:space="preserve"> </w:t>
      </w:r>
      <w:r w:rsidR="00B80950" w:rsidRPr="008D7AB4">
        <w:t>at a total cost of US $630,000, plus agency support costs.</w:t>
      </w:r>
      <w:r w:rsidR="00B80950" w:rsidRPr="008D7AB4">
        <w:rPr>
          <w:rStyle w:val="FootnoteReference"/>
        </w:rPr>
        <w:footnoteReference w:id="12"/>
      </w:r>
      <w:r w:rsidR="00B80950" w:rsidRPr="008D7AB4">
        <w:t xml:space="preserve"> </w:t>
      </w:r>
    </w:p>
    <w:p w14:paraId="68EE3E1F" w14:textId="724A6164" w:rsidR="00B80950" w:rsidRPr="008D7AB4" w:rsidRDefault="00B80950" w:rsidP="002E1E12">
      <w:pPr>
        <w:pStyle w:val="Heading1"/>
        <w:keepNext/>
        <w:keepLines/>
      </w:pPr>
      <w:r w:rsidRPr="008D7AB4">
        <w:t>At the 85</w:t>
      </w:r>
      <w:r w:rsidRPr="008D7AB4">
        <w:rPr>
          <w:vertAlign w:val="superscript"/>
        </w:rPr>
        <w:t>th</w:t>
      </w:r>
      <w:r w:rsidR="00A04F54">
        <w:t> meeting</w:t>
      </w:r>
      <w:r w:rsidRPr="008D7AB4">
        <w:t xml:space="preserve">, upon a request by the Government, the Executive Committee approved an extension of the duration of </w:t>
      </w:r>
      <w:r w:rsidR="00B92759">
        <w:t>stage </w:t>
      </w:r>
      <w:r w:rsidRPr="008D7AB4">
        <w:t xml:space="preserve">I of the HPMP to 31 December 2021, a change in implementing agencies, the combined third and fourth tranches of </w:t>
      </w:r>
      <w:r w:rsidR="00B92759">
        <w:t>stage </w:t>
      </w:r>
      <w:r w:rsidRPr="008D7AB4">
        <w:t>I of the HPMP and a revised updated Agreement.</w:t>
      </w:r>
      <w:r w:rsidRPr="008D7AB4">
        <w:rPr>
          <w:rStyle w:val="FootnoteReference"/>
        </w:rPr>
        <w:footnoteReference w:id="13"/>
      </w:r>
      <w:r w:rsidRPr="008D7AB4">
        <w:t xml:space="preserve"> It was requested that the Government of Senegal, UNEP and UNIDO submit a progress report on an annual basis until the completion of </w:t>
      </w:r>
      <w:r w:rsidR="00B92759">
        <w:t>stage </w:t>
      </w:r>
      <w:r w:rsidRPr="008D7AB4">
        <w:t xml:space="preserve">I, verification reports until approval of </w:t>
      </w:r>
      <w:r w:rsidR="00B92759">
        <w:t>stage </w:t>
      </w:r>
      <w:r w:rsidRPr="008D7AB4">
        <w:t>II, and the project completion report to the first meeting of the Executive Committee in 2023 (</w:t>
      </w:r>
      <w:r w:rsidR="00A04F54">
        <w:t>decision </w:t>
      </w:r>
      <w:r w:rsidRPr="008D7AB4">
        <w:t xml:space="preserve">85/36(d)). </w:t>
      </w:r>
      <w:r w:rsidR="00B92759">
        <w:t>Stage </w:t>
      </w:r>
      <w:r w:rsidRPr="008D7AB4">
        <w:t>II of the HPMP was approved by the Executive Committee at its 88</w:t>
      </w:r>
      <w:r w:rsidRPr="008D7AB4">
        <w:rPr>
          <w:vertAlign w:val="superscript"/>
        </w:rPr>
        <w:t>th</w:t>
      </w:r>
      <w:r w:rsidR="00A04F54">
        <w:t> meeting</w:t>
      </w:r>
      <w:r w:rsidRPr="008D7AB4">
        <w:t>.</w:t>
      </w:r>
      <w:r w:rsidRPr="008D7AB4">
        <w:rPr>
          <w:rStyle w:val="FootnoteReference"/>
        </w:rPr>
        <w:footnoteReference w:id="14"/>
      </w:r>
      <w:r w:rsidRPr="008D7AB4">
        <w:t xml:space="preserve"> </w:t>
      </w:r>
    </w:p>
    <w:p w14:paraId="16D22C84" w14:textId="1FB153D9" w:rsidR="00B80950" w:rsidRPr="008D7AB4" w:rsidRDefault="00B80950" w:rsidP="00B80950">
      <w:pPr>
        <w:pStyle w:val="Heading1"/>
      </w:pPr>
      <w:r w:rsidRPr="008D7AB4">
        <w:t xml:space="preserve">UNEP as the lead implementing agency, has submitted the final progress report on the implementation of </w:t>
      </w:r>
      <w:r w:rsidR="00B92759">
        <w:t>stage </w:t>
      </w:r>
      <w:r w:rsidRPr="008D7AB4">
        <w:t xml:space="preserve">I of the HPMP in line with </w:t>
      </w:r>
      <w:r w:rsidR="00A04F54">
        <w:t>decision </w:t>
      </w:r>
      <w:r w:rsidRPr="008D7AB4">
        <w:t xml:space="preserve">85/36(d) which covers the activities implemented under the final tranche. </w:t>
      </w:r>
    </w:p>
    <w:p w14:paraId="18028418" w14:textId="77777777" w:rsidR="00B80950" w:rsidRPr="008D7AB4" w:rsidRDefault="00B80950" w:rsidP="00B80950">
      <w:pPr>
        <w:spacing w:after="240"/>
        <w:jc w:val="left"/>
        <w:rPr>
          <w:iCs/>
          <w:u w:val="single"/>
        </w:rPr>
      </w:pPr>
      <w:r w:rsidRPr="008D7AB4">
        <w:rPr>
          <w:iCs/>
          <w:u w:val="single"/>
        </w:rPr>
        <w:t>HCFC consumption</w:t>
      </w:r>
    </w:p>
    <w:p w14:paraId="339252C7" w14:textId="77777777" w:rsidR="00B80950" w:rsidRPr="008D7AB4" w:rsidRDefault="00B80950" w:rsidP="00B80950">
      <w:pPr>
        <w:pStyle w:val="Heading1"/>
      </w:pPr>
      <w:r w:rsidRPr="008D7AB4">
        <w:t xml:space="preserve">The Government of Senegal reported a consumption of 11.88 ODP tonnes of HCFCs in 2021, which is 67 per cent below its HCFC baseline for compliance of 36.2 ODP tonnes and 13 per cent below the </w:t>
      </w:r>
      <w:bookmarkStart w:id="5" w:name="_Hlk104553744"/>
      <w:r w:rsidRPr="008D7AB4">
        <w:t>maximum allowable consumption in the Agreement with the Executive Committee</w:t>
      </w:r>
      <w:bookmarkEnd w:id="5"/>
      <w:r w:rsidRPr="008D7AB4">
        <w:t xml:space="preserve"> of 13.62 ODP tonnes. </w:t>
      </w:r>
    </w:p>
    <w:p w14:paraId="0F7E6FC4" w14:textId="77777777" w:rsidR="00B80950" w:rsidRPr="008D7AB4" w:rsidRDefault="00B80950" w:rsidP="00B80950">
      <w:pPr>
        <w:pStyle w:val="Heading1"/>
      </w:pPr>
      <w:r w:rsidRPr="008D7AB4">
        <w:t xml:space="preserve">The Government submitted sector consumption data under the 2021 country programme (CP) implementation report consistent with the data reported under Article 7 of the Montreal Protocol. </w:t>
      </w:r>
    </w:p>
    <w:p w14:paraId="00927305" w14:textId="77777777" w:rsidR="00B80950" w:rsidRPr="008D7AB4" w:rsidRDefault="00B80950" w:rsidP="00B85D05">
      <w:pPr>
        <w:keepNext/>
        <w:spacing w:after="240"/>
        <w:rPr>
          <w:b/>
          <w:bCs/>
        </w:rPr>
      </w:pPr>
      <w:r w:rsidRPr="008D7AB4">
        <w:rPr>
          <w:b/>
          <w:bCs/>
        </w:rPr>
        <w:t>Progress report</w:t>
      </w:r>
    </w:p>
    <w:p w14:paraId="0D533EDE" w14:textId="77777777" w:rsidR="00B80950" w:rsidRPr="00811D2A" w:rsidRDefault="00B80950" w:rsidP="00B80950">
      <w:pPr>
        <w:pStyle w:val="Heading1"/>
        <w:widowControl w:val="0"/>
        <w:rPr>
          <w:iCs/>
        </w:rPr>
      </w:pPr>
      <w:r w:rsidRPr="008D7AB4">
        <w:t xml:space="preserve">In the course of implementation of the third and final tranche of the HPMP, the Government of Senegal continued controlling HCFC consumption through the operation of the electronic licensing and quota system (which was regularly maintained and updated) and monitoring of illegal trade. A total of 245 customs officers have been trained on identification and control of ODS and ODS-based equipment using refrigerant identifiers. Ozone protection issues have been incorporated into the customs training curricula to ensure continuous training to future officers. </w:t>
      </w:r>
    </w:p>
    <w:p w14:paraId="4D9F7908" w14:textId="32AD73C8" w:rsidR="00B80950" w:rsidRPr="008D7AB4" w:rsidRDefault="00B80950" w:rsidP="00B80950">
      <w:pPr>
        <w:pStyle w:val="Heading1"/>
        <w:rPr>
          <w:iCs/>
        </w:rPr>
      </w:pPr>
      <w:r w:rsidRPr="008D7AB4">
        <w:t xml:space="preserve">In line with </w:t>
      </w:r>
      <w:r w:rsidR="00A04F54">
        <w:t>decision </w:t>
      </w:r>
      <w:r w:rsidRPr="008D7AB4">
        <w:t>85/36(e), and as reported at the 88</w:t>
      </w:r>
      <w:r w:rsidRPr="008D7AB4">
        <w:rPr>
          <w:vertAlign w:val="superscript"/>
        </w:rPr>
        <w:t>th</w:t>
      </w:r>
      <w:r w:rsidR="00A04F54">
        <w:t> meeting</w:t>
      </w:r>
      <w:r w:rsidRPr="008D7AB4">
        <w:t>,</w:t>
      </w:r>
      <w:r w:rsidRPr="008D7AB4">
        <w:rPr>
          <w:rStyle w:val="FootnoteReference"/>
        </w:rPr>
        <w:footnoteReference w:id="15"/>
      </w:r>
      <w:r w:rsidRPr="008D7AB4">
        <w:t xml:space="preserve"> the Government of Senegal implemented the recommendations made in the verification report: provided additional training to customs officers at the border on refrigerant identification and prevention of illegal trade of ozone depleting substances (ODS), created a group of media professionals to disseminate information on HCFC controls, provided additional training to technicians working in informal workshops, and revised the 2017 consumption reported under the CP implementation and the Article 7 data reports. </w:t>
      </w:r>
    </w:p>
    <w:p w14:paraId="79F2F797" w14:textId="77777777" w:rsidR="00B80950" w:rsidRPr="008D7AB4" w:rsidRDefault="00B80950" w:rsidP="00B80950">
      <w:pPr>
        <w:pStyle w:val="Heading1"/>
      </w:pPr>
      <w:r w:rsidRPr="008D7AB4">
        <w:t>A total of 430 refrigeration technicians have been trained in good practices in refrigeration, including HCFC alternatives and the safe handling of flammable refrigerants. Activities to support the recovery/recycling network were implemented including a technician certification scheme and database, the development of a handbook on good practices for emission prevention, and three training workshops for a total of 54 technicians were held on the recovery/recycling network, the Kigali Amendment, alternatives to HCFCs and HFCs, and the technician licensing and prior authorization system.</w:t>
      </w:r>
    </w:p>
    <w:p w14:paraId="79114F8B" w14:textId="729593FF" w:rsidR="00B80950" w:rsidRPr="008D7AB4" w:rsidRDefault="00B80950" w:rsidP="00B80950">
      <w:pPr>
        <w:pStyle w:val="Heading1"/>
      </w:pPr>
      <w:r w:rsidRPr="008D7AB4">
        <w:t xml:space="preserve">Funding of </w:t>
      </w:r>
      <w:r w:rsidR="00B92759">
        <w:t>US $</w:t>
      </w:r>
      <w:r w:rsidRPr="008D7AB4">
        <w:t>2,118 for the monitoring and coordination of the implementation of the HPMP had been carried over from the second tranche and was used for the recruitment of two consultants (one refrigeration and one customs expert) in addition to the existing National Ozone Unit (NOU) team.</w:t>
      </w:r>
    </w:p>
    <w:p w14:paraId="282572B8" w14:textId="77777777" w:rsidR="00B80950" w:rsidRPr="008D7AB4" w:rsidRDefault="00B80950" w:rsidP="00811D2A">
      <w:pPr>
        <w:keepNext/>
        <w:keepLines/>
        <w:widowControl w:val="0"/>
        <w:spacing w:after="240"/>
        <w:jc w:val="left"/>
        <w:rPr>
          <w:iCs/>
          <w:u w:val="single"/>
        </w:rPr>
      </w:pPr>
      <w:bookmarkStart w:id="6" w:name="_Hlk118667056"/>
      <w:r w:rsidRPr="008D7AB4">
        <w:rPr>
          <w:iCs/>
          <w:u w:val="single"/>
        </w:rPr>
        <w:t>Status of disbursement</w:t>
      </w:r>
    </w:p>
    <w:p w14:paraId="3FAED3FC" w14:textId="6EBB18CD" w:rsidR="00B80950" w:rsidRPr="008D7AB4" w:rsidRDefault="00B80950" w:rsidP="00811D2A">
      <w:pPr>
        <w:pStyle w:val="Heading1"/>
        <w:keepNext/>
        <w:keepLines/>
      </w:pPr>
      <w:r w:rsidRPr="008D7AB4">
        <w:t xml:space="preserve">As of October 2022, of the US $630,000 approved under </w:t>
      </w:r>
      <w:r w:rsidR="00B92759">
        <w:t>stage </w:t>
      </w:r>
      <w:r w:rsidRPr="008D7AB4">
        <w:t xml:space="preserve">I, US $575,114 (91 per cent) had been disbursed (US $294,023 for UNEP and US $281,091 for UNIDO). The balance of US $46,400 will be disbursed until December 2022, noting that </w:t>
      </w:r>
      <w:r w:rsidR="00B92759">
        <w:t>US $</w:t>
      </w:r>
      <w:r w:rsidRPr="008D7AB4">
        <w:t>8,486 had already been returned to previous meetings.</w:t>
      </w:r>
      <w:r w:rsidRPr="008D7AB4">
        <w:rPr>
          <w:rStyle w:val="FootnoteReference"/>
        </w:rPr>
        <w:footnoteReference w:id="16"/>
      </w:r>
      <w:r w:rsidRPr="008D7AB4">
        <w:t xml:space="preserve">  </w:t>
      </w:r>
    </w:p>
    <w:bookmarkEnd w:id="6"/>
    <w:p w14:paraId="31074DE7" w14:textId="23DE3FBC" w:rsidR="00B80950" w:rsidRPr="008D7AB4" w:rsidRDefault="00B80950" w:rsidP="00B80950">
      <w:pPr>
        <w:keepNext/>
        <w:keepLines/>
        <w:rPr>
          <w:u w:val="single"/>
        </w:rPr>
      </w:pPr>
      <w:r w:rsidRPr="008D7AB4">
        <w:rPr>
          <w:u w:val="single"/>
        </w:rPr>
        <w:t xml:space="preserve">Completion of </w:t>
      </w:r>
      <w:r w:rsidR="00B92759">
        <w:rPr>
          <w:u w:val="single"/>
        </w:rPr>
        <w:t>stage </w:t>
      </w:r>
      <w:r w:rsidRPr="008D7AB4">
        <w:rPr>
          <w:u w:val="single"/>
        </w:rPr>
        <w:t>I</w:t>
      </w:r>
    </w:p>
    <w:p w14:paraId="00446B37" w14:textId="77777777" w:rsidR="00B80950" w:rsidRPr="008D7AB4" w:rsidRDefault="00B80950" w:rsidP="00B80950">
      <w:pPr>
        <w:keepNext/>
        <w:keepLines/>
      </w:pPr>
    </w:p>
    <w:p w14:paraId="5BD1DDB8" w14:textId="4C926FE6" w:rsidR="00B80950" w:rsidRPr="008D7AB4" w:rsidRDefault="00B80950" w:rsidP="00B80950">
      <w:pPr>
        <w:pStyle w:val="Heading1"/>
      </w:pPr>
      <w:r w:rsidRPr="008D7AB4">
        <w:t xml:space="preserve">UNEP indicated that a number of in-person activities such as training, delayed due to the pandemic, will still need to be carried out, and that </w:t>
      </w:r>
      <w:r w:rsidR="00B92759">
        <w:t>stage </w:t>
      </w:r>
      <w:r w:rsidRPr="008D7AB4">
        <w:t>I of the HPMP would be completed by 31 December 2022, as stipulated in paragraph 14 of the revised Agreement.</w:t>
      </w:r>
    </w:p>
    <w:p w14:paraId="1D33B34A" w14:textId="77777777" w:rsidR="00B80950" w:rsidRPr="008D7AB4" w:rsidRDefault="00B80950" w:rsidP="00B80950">
      <w:pPr>
        <w:pStyle w:val="StyleBold"/>
      </w:pPr>
      <w:r w:rsidRPr="008D7AB4">
        <w:t>Secretariat’s comments</w:t>
      </w:r>
    </w:p>
    <w:p w14:paraId="6371DEC5" w14:textId="77777777" w:rsidR="00B80950" w:rsidRPr="008D7AB4" w:rsidRDefault="00B80950" w:rsidP="00B80950">
      <w:pPr>
        <w:pStyle w:val="Heading1"/>
      </w:pPr>
      <w:r w:rsidRPr="008D7AB4">
        <w:t>In responding to the Secretariat’s request for clarification on the remaining training courses for refrigeration technicians and customs officers that are still outstanding, UNEP confirmed that these remaining activities will be completed by the end of 2022.</w:t>
      </w:r>
    </w:p>
    <w:p w14:paraId="227C10F2" w14:textId="77777777" w:rsidR="00B80950" w:rsidRPr="008D7AB4" w:rsidRDefault="00B80950" w:rsidP="00B85D05">
      <w:pPr>
        <w:pStyle w:val="Heading1"/>
        <w:keepNext/>
        <w:numPr>
          <w:ilvl w:val="0"/>
          <w:numId w:val="0"/>
        </w:numPr>
        <w:rPr>
          <w:highlight w:val="yellow"/>
          <w:u w:val="single"/>
        </w:rPr>
      </w:pPr>
      <w:r w:rsidRPr="008D7AB4">
        <w:rPr>
          <w:u w:val="single"/>
        </w:rPr>
        <w:t>Gender policy implementation</w:t>
      </w:r>
    </w:p>
    <w:p w14:paraId="0CA2E48A" w14:textId="0D4CE7B8" w:rsidR="00B80950" w:rsidRPr="008D7AB4" w:rsidRDefault="00B80950" w:rsidP="00B85D05">
      <w:pPr>
        <w:pStyle w:val="Heading1"/>
      </w:pPr>
      <w:r w:rsidRPr="008D7AB4">
        <w:t>In line with decision 84/92(d), decision 90/48(c),</w:t>
      </w:r>
      <w:r w:rsidRPr="008D7AB4">
        <w:rPr>
          <w:vertAlign w:val="superscript"/>
        </w:rPr>
        <w:footnoteReference w:id="17"/>
      </w:r>
      <w:r w:rsidRPr="008D7AB4">
        <w:t xml:space="preserve"> the NOU has encouraged women to participate in technician and customs officers training throughout the implementation of the </w:t>
      </w:r>
      <w:r w:rsidR="00B92759">
        <w:t>stage </w:t>
      </w:r>
      <w:r w:rsidRPr="008D7AB4">
        <w:t xml:space="preserve">I of the HPMP and has one woman trainer for the technician training workshops. </w:t>
      </w:r>
    </w:p>
    <w:p w14:paraId="602646B1" w14:textId="77777777" w:rsidR="00B80950" w:rsidRPr="008D7AB4" w:rsidRDefault="00B80950" w:rsidP="00B80950">
      <w:pPr>
        <w:pStyle w:val="StyleBold"/>
      </w:pPr>
      <w:r w:rsidRPr="008D7AB4">
        <w:t>Recommendation</w:t>
      </w:r>
    </w:p>
    <w:p w14:paraId="3772D5DC" w14:textId="06A2EA97" w:rsidR="00B80950" w:rsidRPr="008D7AB4" w:rsidRDefault="00B80950" w:rsidP="00B80950">
      <w:pPr>
        <w:pStyle w:val="Heading1"/>
      </w:pPr>
      <w:r w:rsidRPr="008D7AB4">
        <w:t xml:space="preserve">The Executive Committee may wish to note the final progress report on the implementation of the work programme associated with the third and final tranche of </w:t>
      </w:r>
      <w:r w:rsidR="00B92759">
        <w:t>stage </w:t>
      </w:r>
      <w:r w:rsidRPr="008D7AB4">
        <w:t>I of the HCFC phase-out management plan for Senegal, submitted by UNEP and contained in document UNEP/OzL.Pro/ExCom/91/18.</w:t>
      </w:r>
    </w:p>
    <w:p w14:paraId="43ADA155" w14:textId="6FD9FBB1" w:rsidR="00DC695E" w:rsidRPr="00B85D05" w:rsidRDefault="0002152C" w:rsidP="0002152C">
      <w:pPr>
        <w:keepNext/>
        <w:tabs>
          <w:tab w:val="num" w:pos="710"/>
        </w:tabs>
        <w:spacing w:after="240"/>
        <w:ind w:left="710"/>
        <w:outlineLvl w:val="0"/>
        <w:rPr>
          <w:rFonts w:eastAsiaTheme="minorEastAsia"/>
          <w:b/>
          <w:bCs/>
          <w:lang w:eastAsia="zh-CN"/>
        </w:rPr>
      </w:pPr>
      <w:r>
        <w:rPr>
          <w:rFonts w:eastAsiaTheme="minorEastAsia"/>
          <w:b/>
          <w:bCs/>
          <w:u w:val="single"/>
          <w:lang w:eastAsia="zh-CN"/>
        </w:rPr>
        <w:tab/>
      </w:r>
      <w:r w:rsidR="00DC695E" w:rsidRPr="00B85D05">
        <w:rPr>
          <w:rFonts w:eastAsiaTheme="minorEastAsia"/>
          <w:b/>
          <w:bCs/>
          <w:u w:val="single"/>
          <w:lang w:eastAsia="zh-CN"/>
        </w:rPr>
        <w:t>Trinidad and Tobago: HCFC phase-out management plan (</w:t>
      </w:r>
      <w:r w:rsidR="00B92759" w:rsidRPr="00B85D05">
        <w:rPr>
          <w:rFonts w:eastAsiaTheme="minorEastAsia"/>
          <w:b/>
          <w:bCs/>
          <w:u w:val="single"/>
          <w:lang w:eastAsia="zh-CN"/>
        </w:rPr>
        <w:t>stage </w:t>
      </w:r>
      <w:r w:rsidR="00DC695E" w:rsidRPr="00B85D05">
        <w:rPr>
          <w:rFonts w:eastAsiaTheme="minorEastAsia"/>
          <w:b/>
          <w:bCs/>
          <w:u w:val="single"/>
          <w:lang w:eastAsia="zh-CN"/>
        </w:rPr>
        <w:t>I – final progress report on the implementation of the work programme associated with the final tranche and the submission of the project completion report</w:t>
      </w:r>
      <w:r w:rsidR="00DC695E" w:rsidRPr="00B85D05">
        <w:rPr>
          <w:rFonts w:eastAsiaTheme="minorEastAsia"/>
          <w:b/>
          <w:bCs/>
          <w:lang w:eastAsia="zh-CN"/>
        </w:rPr>
        <w:t xml:space="preserve"> (UNDP)</w:t>
      </w:r>
    </w:p>
    <w:p w14:paraId="7713063A" w14:textId="77777777" w:rsidR="00DC695E" w:rsidRPr="008D7AB4" w:rsidRDefault="00DC695E" w:rsidP="00DC695E">
      <w:pPr>
        <w:spacing w:after="240"/>
        <w:outlineLvl w:val="0"/>
        <w:rPr>
          <w:b/>
        </w:rPr>
      </w:pPr>
      <w:r w:rsidRPr="008D7AB4">
        <w:rPr>
          <w:b/>
        </w:rPr>
        <w:t>Background</w:t>
      </w:r>
    </w:p>
    <w:p w14:paraId="2FE2E2CC" w14:textId="057BAB3A" w:rsidR="00DC695E" w:rsidRPr="008D7AB4" w:rsidRDefault="00DC695E" w:rsidP="00DC695E">
      <w:pPr>
        <w:pStyle w:val="Heading1"/>
      </w:pPr>
      <w:r w:rsidRPr="008D7AB4">
        <w:t>At its 86</w:t>
      </w:r>
      <w:r w:rsidRPr="008D7AB4">
        <w:rPr>
          <w:vertAlign w:val="superscript"/>
        </w:rPr>
        <w:t>th</w:t>
      </w:r>
      <w:r w:rsidR="00A04F54">
        <w:t> meeting</w:t>
      </w:r>
      <w:r w:rsidRPr="008D7AB4">
        <w:t>, the Executive Committee approved the fifth and final tranche of the HCFC phase-out management plan (HPMP) for Trinidad and Tobago, wherein it requested the Government of Trinidad and Tobago and UNDP to submit a progress report on the implementation of the work programme associated with the final tranche and the project completion report (PCR) to the first meeting of the Executive Committee in 2022 (decision 86/53(a)).</w:t>
      </w:r>
      <w:r w:rsidRPr="008D7AB4">
        <w:rPr>
          <w:rStyle w:val="FootnoteReference"/>
        </w:rPr>
        <w:footnoteReference w:id="18"/>
      </w:r>
    </w:p>
    <w:p w14:paraId="2E236C2D" w14:textId="77777777" w:rsidR="00DC695E" w:rsidRPr="008D7AB4" w:rsidRDefault="00DC695E" w:rsidP="00811D2A">
      <w:pPr>
        <w:keepNext/>
        <w:keepLines/>
        <w:rPr>
          <w:b/>
          <w:bCs/>
        </w:rPr>
      </w:pPr>
      <w:r w:rsidRPr="008D7AB4">
        <w:rPr>
          <w:b/>
          <w:bCs/>
        </w:rPr>
        <w:t>Progress report</w:t>
      </w:r>
    </w:p>
    <w:p w14:paraId="1FF9B971" w14:textId="77777777" w:rsidR="00DC695E" w:rsidRPr="008D7AB4" w:rsidRDefault="00DC695E" w:rsidP="00811D2A">
      <w:pPr>
        <w:keepNext/>
        <w:keepLines/>
      </w:pPr>
    </w:p>
    <w:p w14:paraId="4A4BD547" w14:textId="527E354E" w:rsidR="00DC695E" w:rsidRPr="008D7AB4" w:rsidRDefault="00DC695E" w:rsidP="00811D2A">
      <w:pPr>
        <w:pStyle w:val="Heading1"/>
        <w:keepNext/>
        <w:keepLines/>
      </w:pPr>
      <w:r w:rsidRPr="008D7AB4">
        <w:t xml:space="preserve">On behalf of the Government of Trinidad and Tobago, UNDP submitted the following information on the implementation of the fifth tranche of </w:t>
      </w:r>
      <w:r w:rsidR="00B92759">
        <w:t>stage </w:t>
      </w:r>
      <w:r w:rsidRPr="008D7AB4">
        <w:t>I:</w:t>
      </w:r>
    </w:p>
    <w:p w14:paraId="5A41EB98" w14:textId="7B7A0A3B" w:rsidR="00DC695E" w:rsidRPr="008D7AB4" w:rsidRDefault="00DC695E" w:rsidP="00811D2A">
      <w:pPr>
        <w:pStyle w:val="Heading2"/>
        <w:keepNext/>
        <w:keepLines/>
      </w:pPr>
      <w:r w:rsidRPr="008D7AB4">
        <w:t>A total of 140 technicians were trained on good refrigeration practices and new alternative refrigerants, through virtual training programmes due to restrictions on account of the COVID-19 pandemic; a total of 61 technicians were qualified for a recertification process in 2021 and this process is expected to be completed in 2022. The national ozone unit (NOU) is continuing its efforts to develop a more robust platform/tool which would not only serve as a repository for knowledge on low-global-warming-potential (GWP) alternative refrigerants but also incorporate useful technical resources for refrigeration and air</w:t>
      </w:r>
      <w:r w:rsidRPr="008D7AB4">
        <w:noBreakHyphen/>
        <w:t xml:space="preserve">conditioning (RAC) technicians. An update on the virtual training platform would be provided in </w:t>
      </w:r>
      <w:r w:rsidR="00B92759">
        <w:t>stage </w:t>
      </w:r>
      <w:r w:rsidRPr="008D7AB4">
        <w:t>II of the HPMP</w:t>
      </w:r>
      <w:r w:rsidR="00785C4F">
        <w:t>;</w:t>
      </w:r>
    </w:p>
    <w:p w14:paraId="2DF80827" w14:textId="13E771FF" w:rsidR="00DC695E" w:rsidRPr="008D7AB4" w:rsidRDefault="00DC695E" w:rsidP="00DC695E">
      <w:pPr>
        <w:pStyle w:val="Heading2"/>
      </w:pPr>
      <w:r w:rsidRPr="008D7AB4">
        <w:t xml:space="preserve">The foam sector projects for the four enterprises, namely, Vetter Boxes, Ice Fab, Tropical Marine, Seal Spray Solutions, were completed as of 31 December 2020; these four enterprises converted to methyl formate/water-based technologies. One enterprise (Ice Con) withdrew from the conversion project due to internal organisational reasons and the funding balance amounting to </w:t>
      </w:r>
      <w:r w:rsidR="00B92759">
        <w:t>US $</w:t>
      </w:r>
      <w:r w:rsidRPr="008D7AB4">
        <w:t>30,600, was returned to the 86</w:t>
      </w:r>
      <w:r w:rsidRPr="008D7AB4">
        <w:rPr>
          <w:vertAlign w:val="superscript"/>
        </w:rPr>
        <w:t>th</w:t>
      </w:r>
      <w:r w:rsidR="00A04F54">
        <w:t> meeting</w:t>
      </w:r>
      <w:r w:rsidR="00785C4F">
        <w:t>;</w:t>
      </w:r>
    </w:p>
    <w:p w14:paraId="1F5D8328" w14:textId="310D0127" w:rsidR="00DC695E" w:rsidRPr="008D7AB4" w:rsidRDefault="00DC695E" w:rsidP="00DC695E">
      <w:pPr>
        <w:pStyle w:val="Heading2"/>
      </w:pPr>
      <w:r w:rsidRPr="008D7AB4">
        <w:t xml:space="preserve">Implementation of the fifth tranche of </w:t>
      </w:r>
      <w:r w:rsidR="00B92759">
        <w:t>stage </w:t>
      </w:r>
      <w:r w:rsidRPr="008D7AB4">
        <w:t>I was completed as of 31 December 2021</w:t>
      </w:r>
      <w:r w:rsidR="00785C4F">
        <w:t>; and</w:t>
      </w:r>
    </w:p>
    <w:p w14:paraId="617D57D7" w14:textId="79320A7D" w:rsidR="00DC695E" w:rsidRPr="008D7AB4" w:rsidRDefault="00DC695E" w:rsidP="006E63AE">
      <w:pPr>
        <w:pStyle w:val="Heading2"/>
        <w:keepNext/>
        <w:keepLines/>
      </w:pPr>
      <w:r w:rsidRPr="008D7AB4">
        <w:t xml:space="preserve">The total funds approved under </w:t>
      </w:r>
      <w:r w:rsidR="00B92759">
        <w:t>stage </w:t>
      </w:r>
      <w:r w:rsidRPr="008D7AB4">
        <w:t>I, in the amount of US $1,462,733, were fully disbursed and the project has been financially closed. The PCR has been submitted.</w:t>
      </w:r>
    </w:p>
    <w:p w14:paraId="209FC9CB" w14:textId="77777777" w:rsidR="00DC695E" w:rsidRPr="008D7AB4" w:rsidRDefault="00DC695E" w:rsidP="00DC695E">
      <w:pPr>
        <w:keepNext/>
        <w:rPr>
          <w:b/>
        </w:rPr>
      </w:pPr>
      <w:r w:rsidRPr="008D7AB4">
        <w:rPr>
          <w:b/>
        </w:rPr>
        <w:t>Secretariat’s comments</w:t>
      </w:r>
    </w:p>
    <w:p w14:paraId="2D0D3FCC" w14:textId="77777777" w:rsidR="00DC695E" w:rsidRPr="008D7AB4" w:rsidRDefault="00DC695E" w:rsidP="00DC695E">
      <w:pPr>
        <w:keepNext/>
        <w:rPr>
          <w:b/>
        </w:rPr>
      </w:pPr>
    </w:p>
    <w:p w14:paraId="705540C9" w14:textId="5AF213E0" w:rsidR="00DC695E" w:rsidRPr="008D7AB4" w:rsidRDefault="00DC695E" w:rsidP="00DC695E">
      <w:pPr>
        <w:pStyle w:val="Heading1"/>
      </w:pPr>
      <w:r w:rsidRPr="008D7AB4">
        <w:t xml:space="preserve">The Secretariat noted that </w:t>
      </w:r>
      <w:r w:rsidR="00B92759">
        <w:t>stage </w:t>
      </w:r>
      <w:r w:rsidRPr="008D7AB4">
        <w:t>I of the HPMP for Trinidad and Tobago was successfully completed as of 31 December 2021; while there were challenges in implementing different components in</w:t>
      </w:r>
      <w:r w:rsidR="00F66464">
        <w:noBreakHyphen/>
      </w:r>
      <w:r w:rsidRPr="008D7AB4">
        <w:t xml:space="preserve">person in 2021, the NOU, in consultation with UNDP, managed to complete all the remaining activities through various online tools and virtual processes. </w:t>
      </w:r>
    </w:p>
    <w:p w14:paraId="11A34A65" w14:textId="77777777" w:rsidR="00DC695E" w:rsidRPr="008D7AB4" w:rsidRDefault="00DC695E" w:rsidP="00DC695E">
      <w:pPr>
        <w:pStyle w:val="Heading1"/>
      </w:pPr>
      <w:r w:rsidRPr="008D7AB4">
        <w:t>The Secretariat requested clarifications relating to the continued use of low-GWP alternative foam blowing agents in Trinidad and Tobago; UNDP informed that the enterprises funded under the conversion project continue to use the low-GWP alternative technologies.</w:t>
      </w:r>
    </w:p>
    <w:p w14:paraId="4069C368" w14:textId="77777777" w:rsidR="00DC695E" w:rsidRPr="008D7AB4" w:rsidRDefault="00DC695E" w:rsidP="00DC695E">
      <w:pPr>
        <w:pStyle w:val="Heading1"/>
      </w:pPr>
      <w:r w:rsidRPr="008D7AB4">
        <w:t>The Secretariat noted that the NOU has put considerable efforts on adopting low-GWP alternative technologies in RAC applications. On the availability and use of low-GWP refrigerant-based air</w:t>
      </w:r>
      <w:r w:rsidRPr="008D7AB4">
        <w:noBreakHyphen/>
        <w:t>conditioning in the country, UNDP informed that while the Government and the NOU favor hydrocarbons (HCs) as refrigerants, the supply of HC</w:t>
      </w:r>
      <w:r w:rsidRPr="008D7AB4">
        <w:noBreakHyphen/>
        <w:t>based air conditioners remains a challenge due to non-availability of such equipment and limited support by retailers on honouring warranty for these products. UNDP mentioned that the Government in consultation with UNDP would continue to monitor the situation and implement activities for the sustainable adoption of the low-GWP alternative technologies keeping in view technical and market factors.</w:t>
      </w:r>
    </w:p>
    <w:p w14:paraId="347A47E5" w14:textId="77777777" w:rsidR="00DC695E" w:rsidRPr="008D7AB4" w:rsidRDefault="00DC695E" w:rsidP="00DC695E">
      <w:pPr>
        <w:pStyle w:val="Heading1"/>
        <w:numPr>
          <w:ilvl w:val="0"/>
          <w:numId w:val="0"/>
        </w:numPr>
        <w:rPr>
          <w:b/>
        </w:rPr>
      </w:pPr>
      <w:r w:rsidRPr="008D7AB4">
        <w:rPr>
          <w:b/>
        </w:rPr>
        <w:t xml:space="preserve">Recommendation </w:t>
      </w:r>
    </w:p>
    <w:p w14:paraId="5224F13C" w14:textId="77777777" w:rsidR="00DC695E" w:rsidRPr="008D7AB4" w:rsidRDefault="00DC695E" w:rsidP="00DC695E">
      <w:pPr>
        <w:pStyle w:val="Heading1"/>
      </w:pPr>
      <w:r w:rsidRPr="008D7AB4">
        <w:t>The Executive Committee may wish to note the final progress report on the implementation of the work programme associated with the fifth and final tranche and the project completion report for the HCFC phase-out management plan for Trinidad and Tobago, submitted by UNDP and contained in document UNEP/OzL.Pro/ExCom/91/18.</w:t>
      </w:r>
    </w:p>
    <w:p w14:paraId="26A69C6F" w14:textId="0C92CEA9" w:rsidR="00980BF0" w:rsidRPr="00B85D05" w:rsidRDefault="00980BF0" w:rsidP="0002152C">
      <w:pPr>
        <w:ind w:left="720"/>
        <w:rPr>
          <w:b/>
          <w:bCs/>
        </w:rPr>
      </w:pPr>
      <w:r w:rsidRPr="00B85D05">
        <w:rPr>
          <w:b/>
          <w:bCs/>
          <w:u w:val="single"/>
        </w:rPr>
        <w:t>Uruguay: HCFC phase-out management plan (</w:t>
      </w:r>
      <w:r w:rsidR="00B92759" w:rsidRPr="00B85D05">
        <w:rPr>
          <w:b/>
          <w:bCs/>
          <w:u w:val="single"/>
        </w:rPr>
        <w:t>stage </w:t>
      </w:r>
      <w:r w:rsidRPr="00B85D05">
        <w:rPr>
          <w:b/>
          <w:bCs/>
          <w:u w:val="single"/>
        </w:rPr>
        <w:t xml:space="preserve">II – progress report on the implementation of the conversion of the foam sector and request for additional extension of the date of completion for </w:t>
      </w:r>
      <w:r w:rsidR="00B92759" w:rsidRPr="00B85D05">
        <w:rPr>
          <w:b/>
          <w:bCs/>
          <w:u w:val="single"/>
        </w:rPr>
        <w:t>stage </w:t>
      </w:r>
      <w:r w:rsidRPr="00B85D05">
        <w:rPr>
          <w:b/>
          <w:bCs/>
          <w:u w:val="single"/>
        </w:rPr>
        <w:t>II)</w:t>
      </w:r>
      <w:r w:rsidRPr="00B85D05">
        <w:rPr>
          <w:b/>
          <w:bCs/>
        </w:rPr>
        <w:t xml:space="preserve"> (UNDP)</w:t>
      </w:r>
    </w:p>
    <w:p w14:paraId="4EB930E8" w14:textId="77777777" w:rsidR="00980BF0" w:rsidRPr="008D7AB4" w:rsidRDefault="00980BF0" w:rsidP="00980BF0">
      <w:pPr>
        <w:ind w:left="720"/>
      </w:pPr>
    </w:p>
    <w:p w14:paraId="60CC1009" w14:textId="77777777" w:rsidR="00980BF0" w:rsidRPr="008D7AB4" w:rsidRDefault="00980BF0" w:rsidP="00980BF0">
      <w:pPr>
        <w:pStyle w:val="StyleBold"/>
      </w:pPr>
      <w:r w:rsidRPr="008D7AB4">
        <w:t>Background</w:t>
      </w:r>
    </w:p>
    <w:p w14:paraId="0F900E93" w14:textId="0FA6AF69" w:rsidR="00980BF0" w:rsidRPr="008D7AB4" w:rsidRDefault="00B92759" w:rsidP="00980BF0">
      <w:pPr>
        <w:pStyle w:val="Heading1"/>
      </w:pPr>
      <w:r>
        <w:t>Stage </w:t>
      </w:r>
      <w:r w:rsidR="00980BF0" w:rsidRPr="008D7AB4">
        <w:t>II of the HCFC phase-out management plan (HPMP) for Uruguay was approved in principle, at the 77</w:t>
      </w:r>
      <w:r w:rsidR="00980BF0" w:rsidRPr="008D7AB4">
        <w:rPr>
          <w:vertAlign w:val="superscript"/>
        </w:rPr>
        <w:t>th </w:t>
      </w:r>
      <w:r w:rsidR="00980BF0" w:rsidRPr="008D7AB4">
        <w:t>meeting</w:t>
      </w:r>
      <w:r w:rsidR="00980BF0" w:rsidRPr="008D7AB4">
        <w:rPr>
          <w:rStyle w:val="FootnoteReference"/>
        </w:rPr>
        <w:footnoteReference w:id="19"/>
      </w:r>
      <w:r w:rsidR="00980BF0" w:rsidRPr="008D7AB4">
        <w:t xml:space="preserve"> and the second tranche which included a request for the implementation of a conversion project in 21 small- and medium</w:t>
      </w:r>
      <w:r w:rsidR="00980BF0" w:rsidRPr="008D7AB4">
        <w:noBreakHyphen/>
        <w:t>sized foam manufacturing enterprises (SMEs) for the phase-out of 5.53 ODP tonnes (50.24 metric tonnes (mt)) of HCFC</w:t>
      </w:r>
      <w:r w:rsidR="00980BF0" w:rsidRPr="008D7AB4">
        <w:noBreakHyphen/>
        <w:t>141b contained in imported pre-blended polyols to hydrofluoroolefin (HFO) technology was approved at the 82</w:t>
      </w:r>
      <w:r w:rsidR="00980BF0" w:rsidRPr="008D7AB4">
        <w:rPr>
          <w:vertAlign w:val="superscript"/>
        </w:rPr>
        <w:t>nd</w:t>
      </w:r>
      <w:r w:rsidR="00980BF0" w:rsidRPr="008D7AB4">
        <w:t> meeting</w:t>
      </w:r>
      <w:r w:rsidR="00980BF0" w:rsidRPr="008D7AB4">
        <w:rPr>
          <w:rStyle w:val="FootnoteReference"/>
        </w:rPr>
        <w:footnoteReference w:id="20"/>
      </w:r>
      <w:r w:rsidR="00980BF0" w:rsidRPr="008D7AB4">
        <w:t>. In approving the tranche, the Executive Committee requested UNDP to report on the progress in implementation of the conversion of the SMEs and the availability of HFO/HFO</w:t>
      </w:r>
      <w:r w:rsidR="00980BF0" w:rsidRPr="008D7AB4">
        <w:noBreakHyphen/>
        <w:t>based polyurethane (PU) systems and their associated components to the 84</w:t>
      </w:r>
      <w:r w:rsidR="00980BF0" w:rsidRPr="008D7AB4">
        <w:rPr>
          <w:vertAlign w:val="superscript"/>
        </w:rPr>
        <w:t>th</w:t>
      </w:r>
      <w:r w:rsidR="00980BF0" w:rsidRPr="008D7AB4">
        <w:t> meeting (decision 82/76(b)(ii)). Following this, the Executive Committee requested UNDP to continue reporting on the implementation of the conversions at subsequent meetings.</w:t>
      </w:r>
      <w:r w:rsidR="00980BF0" w:rsidRPr="008D7AB4">
        <w:rPr>
          <w:rStyle w:val="FootnoteReference"/>
        </w:rPr>
        <w:footnoteReference w:id="21"/>
      </w:r>
      <w:r w:rsidR="00980BF0" w:rsidRPr="008D7AB4">
        <w:t xml:space="preserve"> </w:t>
      </w:r>
    </w:p>
    <w:p w14:paraId="248BE70F" w14:textId="77777777" w:rsidR="00980BF0" w:rsidRPr="008D7AB4" w:rsidRDefault="00980BF0" w:rsidP="006E63AE">
      <w:pPr>
        <w:pStyle w:val="Heading1"/>
        <w:keepNext/>
        <w:keepLines/>
      </w:pPr>
      <w:r w:rsidRPr="008D7AB4">
        <w:t>At the 90</w:t>
      </w:r>
      <w:r w:rsidRPr="008D7AB4">
        <w:rPr>
          <w:vertAlign w:val="superscript"/>
        </w:rPr>
        <w:t>th </w:t>
      </w:r>
      <w:r w:rsidRPr="008D7AB4">
        <w:t xml:space="preserve">meeting, </w:t>
      </w:r>
      <w:r w:rsidRPr="008D7AB4">
        <w:rPr>
          <w:rFonts w:eastAsia="MS Mincho"/>
        </w:rPr>
        <w:t xml:space="preserve">UNDP reported </w:t>
      </w:r>
      <w:r w:rsidRPr="008D7AB4">
        <w:t>that none of the conversions for the 20 remaining eligible SMEs participating in the project had been completed</w:t>
      </w:r>
      <w:r w:rsidRPr="008D7AB4">
        <w:rPr>
          <w:rStyle w:val="FootnoteReference"/>
        </w:rPr>
        <w:footnoteReference w:id="22"/>
      </w:r>
      <w:r w:rsidRPr="008D7AB4">
        <w:t xml:space="preserve"> because of continued difficulties sourcing HFOs. Two water heater manufacturers (Warner and Rivomark S.A.) and a thermoware enterprise (Ferroco) had performed trials with HFO</w:t>
      </w:r>
      <w:r w:rsidRPr="008D7AB4">
        <w:noBreakHyphen/>
        <w:t>based and water-based products albeit with unsatisfactory results and could not do further testing because of low availability of samples on the market</w:t>
      </w:r>
      <w:r w:rsidRPr="008D7AB4">
        <w:rPr>
          <w:color w:val="FF0000"/>
        </w:rPr>
        <w:t xml:space="preserve">. </w:t>
      </w:r>
      <w:r w:rsidRPr="008D7AB4">
        <w:rPr>
          <w:rFonts w:cstheme="minorHAnsi"/>
        </w:rPr>
        <w:t xml:space="preserve"> The same challenges were faced in the spray foam sub-sector; these remaining SMEs have been unable to complete their conversions because of the continued lack of HFO in the market. </w:t>
      </w:r>
    </w:p>
    <w:p w14:paraId="262BF322" w14:textId="77777777" w:rsidR="00980BF0" w:rsidRPr="008D7AB4" w:rsidRDefault="00980BF0" w:rsidP="00980BF0">
      <w:pPr>
        <w:pStyle w:val="Heading1"/>
      </w:pPr>
      <w:r w:rsidRPr="008D7AB4">
        <w:t>UNDP had also reported that the National Ozone Unit (NOU), with the support of UNDP and a foam expert, had been working with different systems houses around the region and with local distributors to facilitate samples of HFO</w:t>
      </w:r>
      <w:r w:rsidRPr="008D7AB4">
        <w:noBreakHyphen/>
        <w:t>based PU systems, while exploring options such as receiving HFO-based PU systems without the catalyst and blending it in-place, or trying other low-global warming potential (GWP) alternatives (such as water</w:t>
      </w:r>
      <w:r w:rsidRPr="008D7AB4">
        <w:noBreakHyphen/>
        <w:t>based systems); that the five importers/distributors of foam blowing agents in the country were assessing different alternatives to HCFC</w:t>
      </w:r>
      <w:r w:rsidRPr="008D7AB4">
        <w:noBreakHyphen/>
        <w:t>141b contained in imported pre-blended polyols including water</w:t>
      </w:r>
      <w:r w:rsidRPr="008D7AB4">
        <w:noBreakHyphen/>
        <w:t>blown- and HFO</w:t>
      </w:r>
      <w:r w:rsidRPr="008D7AB4">
        <w:noBreakHyphen/>
        <w:t>based systems; and that as a consequence of the pandemic, there were logistical constraints in obtaining the raw materials, which has led to a shortage of polyols and other components, as well as a drastic increase in the freight costs.</w:t>
      </w:r>
    </w:p>
    <w:p w14:paraId="7F1B1A2B" w14:textId="7B7ABA58" w:rsidR="00980BF0" w:rsidRPr="008D7AB4" w:rsidRDefault="00980BF0" w:rsidP="00980BF0">
      <w:pPr>
        <w:pStyle w:val="Heading1"/>
      </w:pPr>
      <w:r w:rsidRPr="008D7AB4">
        <w:t>Subsequently, the Executive Committee requested the Government of Uruguay, through UNDP, to submit a progress report on the implementation of the conversion of the foam enterprises, the availability of HFO/HFO-based PU systems and the status of the legislation for the ban on import and use of HCFC</w:t>
      </w:r>
      <w:r w:rsidRPr="008D7AB4">
        <w:noBreakHyphen/>
        <w:t>141b and HCFC-141b contained in imported pre-blended polyols at the 91</w:t>
      </w:r>
      <w:r w:rsidRPr="008D7AB4">
        <w:rPr>
          <w:vertAlign w:val="superscript"/>
        </w:rPr>
        <w:t>st</w:t>
      </w:r>
      <w:r w:rsidR="00A04F54">
        <w:t> meeting</w:t>
      </w:r>
      <w:r w:rsidRPr="008D7AB4">
        <w:t xml:space="preserve"> (decision 90/19).</w:t>
      </w:r>
    </w:p>
    <w:p w14:paraId="4DC7D403" w14:textId="77777777" w:rsidR="00980BF0" w:rsidRPr="008D7AB4" w:rsidRDefault="00980BF0" w:rsidP="00980BF0">
      <w:pPr>
        <w:pStyle w:val="Heading1"/>
      </w:pPr>
      <w:r w:rsidRPr="008D7AB4">
        <w:t>In line with decision 90/19, UNDP has submitted this progress report to the present meeting.</w:t>
      </w:r>
    </w:p>
    <w:p w14:paraId="061D629E" w14:textId="77777777" w:rsidR="00980BF0" w:rsidRPr="008D7AB4" w:rsidRDefault="00980BF0" w:rsidP="00980BF0">
      <w:pPr>
        <w:pStyle w:val="StyleBold"/>
        <w:keepNext/>
      </w:pPr>
      <w:r w:rsidRPr="008D7AB4">
        <w:t>Progress report</w:t>
      </w:r>
    </w:p>
    <w:p w14:paraId="305CED9D" w14:textId="2CE052A9" w:rsidR="00980BF0" w:rsidRPr="00A04F54" w:rsidRDefault="00980BF0" w:rsidP="00980BF0">
      <w:pPr>
        <w:pStyle w:val="Heading1"/>
      </w:pPr>
      <w:r w:rsidRPr="008D7AB4">
        <w:t>Since the 90</w:t>
      </w:r>
      <w:r w:rsidRPr="008D7AB4">
        <w:rPr>
          <w:vertAlign w:val="superscript"/>
        </w:rPr>
        <w:t>th</w:t>
      </w:r>
      <w:r w:rsidR="00A04F54">
        <w:t> meeting</w:t>
      </w:r>
      <w:r w:rsidRPr="008D7AB4">
        <w:t xml:space="preserve">, UNDP reported that </w:t>
      </w:r>
      <w:r w:rsidRPr="008D7AB4">
        <w:rPr>
          <w:rFonts w:cstheme="minorHAnsi"/>
        </w:rPr>
        <w:t>there is still very little availability of HFO in the market with long delays in the supply of material for trials and testing and eventual implementation, due to continued problems in the global supply chain. UNDP further reported that the high cost of HFO systems, compared with the actual cost of HCFC-141b-based formulation is becoming an additional challenge for the formulation of systems especially for spray foam applications, where the concentration of blowing agent is higher, impacting the cost of the final product. UNDP noted that the present situation had not changed from the previous report; most of the enterprises are still awaiting new formulations from their suppliers to conduct additional trials and tests.</w:t>
      </w:r>
      <w:bookmarkStart w:id="7" w:name="_Hlk118827738"/>
      <w:r w:rsidRPr="008D7AB4">
        <w:rPr>
          <w:rFonts w:cstheme="minorHAnsi"/>
        </w:rPr>
        <w:t xml:space="preserve"> However, one enterprise (Rivomark) has completed their conversion to HFO as the blowing agent in the production of water heaters, phasing out </w:t>
      </w:r>
      <w:bookmarkStart w:id="8" w:name="_Hlk118827789"/>
      <w:r w:rsidRPr="008D7AB4">
        <w:rPr>
          <w:rFonts w:cstheme="minorHAnsi"/>
        </w:rPr>
        <w:t>1.12</w:t>
      </w:r>
      <w:r w:rsidR="00A04F54">
        <w:rPr>
          <w:rFonts w:cstheme="minorHAnsi"/>
        </w:rPr>
        <w:t> mt</w:t>
      </w:r>
      <w:r w:rsidRPr="008D7AB4">
        <w:rPr>
          <w:rFonts w:cstheme="minorHAnsi"/>
        </w:rPr>
        <w:t xml:space="preserve"> (0.12</w:t>
      </w:r>
      <w:r w:rsidR="00A04F54">
        <w:rPr>
          <w:rFonts w:cstheme="minorHAnsi"/>
        </w:rPr>
        <w:t> ODP tonnes</w:t>
      </w:r>
      <w:r w:rsidRPr="008D7AB4">
        <w:rPr>
          <w:rFonts w:cstheme="minorHAnsi"/>
        </w:rPr>
        <w:t xml:space="preserve">) of HCFC-141b </w:t>
      </w:r>
      <w:bookmarkStart w:id="9" w:name="_Hlk118827831"/>
      <w:bookmarkEnd w:id="7"/>
      <w:bookmarkEnd w:id="8"/>
      <w:r w:rsidRPr="008D7AB4">
        <w:rPr>
          <w:rFonts w:cstheme="minorHAnsi"/>
        </w:rPr>
        <w:t>and four enterprises have withdrawn from the project and the associated funds will be returned to the Multilateral Fund. These four enterprises use 0.79</w:t>
      </w:r>
      <w:r w:rsidR="00A04F54">
        <w:rPr>
          <w:rFonts w:cstheme="minorHAnsi"/>
        </w:rPr>
        <w:t> mt</w:t>
      </w:r>
      <w:r w:rsidRPr="008D7AB4">
        <w:rPr>
          <w:rFonts w:cstheme="minorHAnsi"/>
        </w:rPr>
        <w:t xml:space="preserve"> (0.09</w:t>
      </w:r>
      <w:r w:rsidR="00A04F54">
        <w:rPr>
          <w:rFonts w:cstheme="minorHAnsi"/>
        </w:rPr>
        <w:t> ODP tonnes</w:t>
      </w:r>
      <w:r w:rsidRPr="008D7AB4">
        <w:rPr>
          <w:rFonts w:cstheme="minorHAnsi"/>
        </w:rPr>
        <w:t xml:space="preserve">) of HCFC-141b, which are considered as phased out in the project. </w:t>
      </w:r>
    </w:p>
    <w:bookmarkEnd w:id="9"/>
    <w:p w14:paraId="78146BEF" w14:textId="77777777" w:rsidR="00980BF0" w:rsidRPr="008D7AB4" w:rsidRDefault="00980BF0" w:rsidP="00980BF0">
      <w:pPr>
        <w:pStyle w:val="Heading1"/>
        <w:rPr>
          <w:rFonts w:cstheme="minorHAnsi"/>
        </w:rPr>
      </w:pPr>
      <w:r w:rsidRPr="008D7AB4">
        <w:rPr>
          <w:rFonts w:cstheme="minorHAnsi"/>
        </w:rPr>
        <w:t>T</w:t>
      </w:r>
      <w:r w:rsidRPr="008D7AB4">
        <w:t>he NOU has continued to conduct meetings with the different suppliers to assess the situation. All suppliers, in particular Polyser (the main supplier for the spray application sub-sector), have reaffirmed their commitment to transition to low-GWP alternatives but have continued to experience challenges and have</w:t>
      </w:r>
      <w:r w:rsidRPr="008D7AB4">
        <w:rPr>
          <w:rFonts w:cstheme="minorHAnsi"/>
        </w:rPr>
        <w:t xml:space="preserve"> expressed the need to conduct additional trials in winter 2023 (June to September), as lower temperatures have a bigger impact in the behavior of the PU reaction. </w:t>
      </w:r>
    </w:p>
    <w:p w14:paraId="427DB01A" w14:textId="77777777" w:rsidR="00980BF0" w:rsidRPr="008D7AB4" w:rsidRDefault="00980BF0" w:rsidP="00980BF0">
      <w:pPr>
        <w:pStyle w:val="Heading1"/>
        <w:rPr>
          <w:u w:val="single"/>
        </w:rPr>
      </w:pPr>
      <w:r w:rsidRPr="008D7AB4">
        <w:t xml:space="preserve">After consultation with importers and suppliers it has been agreed that the ban on the import of HCFC-141b initially planned for 1 January 2021 would be implemented from 1 January 2023, that imports of HCFC-141b contained in pre-blended polyols would be allowed until 31 December 2023, to give importers the opportunity to complete ongoing purchase orders that had been delayed due to logistical and production problems, exacerbated by the COVID-19 pandemic, and to supply the market until the conversion of the remaining enterprises with the alternative blowing agent is completed.  </w:t>
      </w:r>
    </w:p>
    <w:p w14:paraId="6AD9AE15" w14:textId="1A583928" w:rsidR="00980BF0" w:rsidRPr="008D7AB4" w:rsidRDefault="00980BF0" w:rsidP="00980BF0">
      <w:pPr>
        <w:pStyle w:val="Heading1"/>
        <w:numPr>
          <w:ilvl w:val="0"/>
          <w:numId w:val="0"/>
        </w:numPr>
        <w:rPr>
          <w:u w:val="single"/>
        </w:rPr>
      </w:pPr>
      <w:r w:rsidRPr="008D7AB4">
        <w:rPr>
          <w:u w:val="single"/>
        </w:rPr>
        <w:t xml:space="preserve">Completion of </w:t>
      </w:r>
      <w:r w:rsidR="00B92759">
        <w:rPr>
          <w:u w:val="single"/>
        </w:rPr>
        <w:t>stage </w:t>
      </w:r>
      <w:r w:rsidRPr="008D7AB4">
        <w:rPr>
          <w:u w:val="single"/>
        </w:rPr>
        <w:t>II</w:t>
      </w:r>
    </w:p>
    <w:p w14:paraId="3BF85743" w14:textId="10B73CBA" w:rsidR="00980BF0" w:rsidRPr="008D7AB4" w:rsidRDefault="00980BF0" w:rsidP="00980BF0">
      <w:pPr>
        <w:pStyle w:val="Heading1"/>
        <w:rPr>
          <w:rFonts w:cstheme="minorHAnsi"/>
        </w:rPr>
      </w:pPr>
      <w:r w:rsidRPr="008D7AB4">
        <w:t xml:space="preserve">The Government of Uruguay through UNDP has requested another extension of the completion date of </w:t>
      </w:r>
      <w:r w:rsidR="00B92759">
        <w:t>stage </w:t>
      </w:r>
      <w:r w:rsidRPr="008D7AB4">
        <w:t>II of the HPMP</w:t>
      </w:r>
      <w:r w:rsidRPr="008D7AB4">
        <w:rPr>
          <w:rStyle w:val="FootnoteReference"/>
        </w:rPr>
        <w:footnoteReference w:id="23"/>
      </w:r>
      <w:r w:rsidRPr="008D7AB4">
        <w:t xml:space="preserve"> to complete the conversions of the remaining SMEs in the foam sector to HFO, by 31 December 2023</w:t>
      </w:r>
      <w:r w:rsidRPr="008D7AB4">
        <w:rPr>
          <w:rStyle w:val="FootnoteReference"/>
        </w:rPr>
        <w:footnoteReference w:id="24"/>
      </w:r>
      <w:r w:rsidRPr="008D7AB4">
        <w:t xml:space="preserve"> due to difficulties faced by these remaining enterprises to source HFO because of supply issues. </w:t>
      </w:r>
      <w:r w:rsidRPr="008D7AB4">
        <w:rPr>
          <w:rFonts w:cstheme="minorHAnsi"/>
        </w:rPr>
        <w:t>The extension would allow additional time to get the supply of HFO, approve formulations and conduct field tests which will be key for suppliers and beneficiary companies.</w:t>
      </w:r>
    </w:p>
    <w:p w14:paraId="41387417" w14:textId="77777777" w:rsidR="00980BF0" w:rsidRPr="008D7AB4" w:rsidRDefault="00980BF0" w:rsidP="00980BF0">
      <w:pPr>
        <w:pStyle w:val="StyleBold"/>
      </w:pPr>
      <w:r w:rsidRPr="008D7AB4">
        <w:t>Secretariat’s comments</w:t>
      </w:r>
    </w:p>
    <w:p w14:paraId="2DCA6C86" w14:textId="2C6E8283" w:rsidR="00980BF0" w:rsidRPr="008D7AB4" w:rsidRDefault="00980BF0" w:rsidP="00980BF0">
      <w:pPr>
        <w:pStyle w:val="Heading1"/>
      </w:pPr>
      <w:r w:rsidRPr="008D7AB4">
        <w:t xml:space="preserve">The Secretariat expressed concern at the continued delay of the conversions for these remaining enterprises which has inadvertently hampered the completion of </w:t>
      </w:r>
      <w:r w:rsidR="00B92759">
        <w:t>stage </w:t>
      </w:r>
      <w:r w:rsidRPr="008D7AB4">
        <w:t xml:space="preserve">II of the HPMP; UNDP conveyed that the situation with HFO availability had been impending even before 2020, but supply chain and production issues caused by the pandemic made this even more challenging, especially for small enterprises. </w:t>
      </w:r>
    </w:p>
    <w:p w14:paraId="49B2262C" w14:textId="77777777" w:rsidR="00980BF0" w:rsidRPr="008D7AB4" w:rsidRDefault="00980BF0" w:rsidP="00980BF0">
      <w:pPr>
        <w:pStyle w:val="Heading1"/>
      </w:pPr>
      <w:r w:rsidRPr="008D7AB4">
        <w:t xml:space="preserve">In response to requests for clarification on certain issues, UNDP explained with regard to how continued imports of HCFC-141b contained in imported pre-blended polyols would affect the consumption of this substance in the country prior to the ban in the end of 2023, that imports would only be for those companies that are participating in the project and have not completed their conversion. While there is no quota for the import of HCFC-141b contained in imported pre-blended polyols as these are not controlled under the Montreal Protocol, the Government had committed to closely monitor these to ensure that those who had already moved away from HCFC-141b would not revert to using this substance. </w:t>
      </w:r>
    </w:p>
    <w:p w14:paraId="526F497D" w14:textId="77777777" w:rsidR="00980BF0" w:rsidRPr="008D7AB4" w:rsidRDefault="00980BF0" w:rsidP="00811D2A">
      <w:pPr>
        <w:pStyle w:val="Heading1"/>
        <w:keepNext/>
        <w:keepLines/>
      </w:pPr>
      <w:r w:rsidRPr="008D7AB4">
        <w:t>Regarding the bans on imports of HCFC-141b and HCFC</w:t>
      </w:r>
      <w:r w:rsidRPr="008D7AB4">
        <w:noBreakHyphen/>
        <w:t>141b in imported pre-blended polyols, UNDP noted that the Government had committed that the ban on imports of pure HCFC-141b will be enforced by 1 January 2023, and that the ban on HCFC</w:t>
      </w:r>
      <w:r w:rsidRPr="008D7AB4">
        <w:noBreakHyphen/>
        <w:t>141b in imported pre-blended polyols will be effective 1 January 2024.</w:t>
      </w:r>
    </w:p>
    <w:p w14:paraId="126322A5" w14:textId="60C0619C" w:rsidR="00980BF0" w:rsidRPr="008D7AB4" w:rsidRDefault="00980BF0" w:rsidP="00980BF0">
      <w:pPr>
        <w:pStyle w:val="Heading1"/>
      </w:pPr>
      <w:r w:rsidRPr="008D7AB4">
        <w:t xml:space="preserve">UNDP also confirmed that the amount of </w:t>
      </w:r>
      <w:r w:rsidR="00B92759">
        <w:t>US $</w:t>
      </w:r>
      <w:r w:rsidRPr="008D7AB4">
        <w:t>6,665 will be returned to the 92</w:t>
      </w:r>
      <w:r w:rsidRPr="008D7AB4">
        <w:rPr>
          <w:vertAlign w:val="superscript"/>
        </w:rPr>
        <w:t>nd</w:t>
      </w:r>
      <w:r w:rsidR="00A04F54">
        <w:t> meeting</w:t>
      </w:r>
      <w:r w:rsidRPr="008D7AB4">
        <w:t xml:space="preserve"> from the four enterprises that have withdrawn from the project. These will comprise only balances from incremental operating costs (IOC) for these enterprises.  </w:t>
      </w:r>
    </w:p>
    <w:p w14:paraId="0034CC71" w14:textId="3CD366B0" w:rsidR="00980BF0" w:rsidRPr="008D7AB4" w:rsidRDefault="00980BF0" w:rsidP="00980BF0">
      <w:pPr>
        <w:pStyle w:val="Heading1"/>
      </w:pPr>
      <w:r w:rsidRPr="008D7AB4">
        <w:t>The Secretariat noted that at the 87</w:t>
      </w:r>
      <w:r w:rsidRPr="008D7AB4">
        <w:rPr>
          <w:vertAlign w:val="superscript"/>
        </w:rPr>
        <w:t>th</w:t>
      </w:r>
      <w:r w:rsidR="00A04F54">
        <w:t> meeting</w:t>
      </w:r>
      <w:r w:rsidRPr="008D7AB4">
        <w:t xml:space="preserve">, when agreeing to extend </w:t>
      </w:r>
      <w:r w:rsidR="00B92759">
        <w:t>stage </w:t>
      </w:r>
      <w:r w:rsidRPr="008D7AB4">
        <w:t xml:space="preserve">II of the HPMP for Uruguay to 31 December 2022, the Executive Committee mentioned that no further extension of project implementation would be requested.  In discussions with the Government of Uruguay, UNDP appreciated the continued commitment of the country to ensure that these enterprises complete the conversions and requested that this be taken into account when considering the request for an additional extension. </w:t>
      </w:r>
    </w:p>
    <w:p w14:paraId="0493BCE2" w14:textId="77777777" w:rsidR="00980BF0" w:rsidRPr="008D7AB4" w:rsidRDefault="00980BF0" w:rsidP="00980BF0">
      <w:pPr>
        <w:pStyle w:val="Heading1"/>
      </w:pPr>
      <w:r w:rsidRPr="008D7AB4">
        <w:t>UNDP also committed to continue working with suppliers to ensure the sustainability of the conversions and the availability of alternatives. UNDP further explained that if HFO-based PU systems do not work after the testing period or do not become available in time for the ban to take place, the main suppliers in the country will work with international systems houses that already had other alternatives available, like water-based systems.</w:t>
      </w:r>
    </w:p>
    <w:p w14:paraId="32C1D590" w14:textId="583C9905" w:rsidR="00980BF0" w:rsidRPr="008D7AB4" w:rsidRDefault="00980BF0" w:rsidP="00980BF0">
      <w:pPr>
        <w:pStyle w:val="Heading1"/>
      </w:pPr>
      <w:r w:rsidRPr="008D7AB4">
        <w:t>Based on the information provided by UNDP, the Secretariat considers it appropriate to let the Government and UNDP continue implementation until December 2023, and to report at the 93</w:t>
      </w:r>
      <w:r w:rsidRPr="008D7AB4">
        <w:rPr>
          <w:vertAlign w:val="superscript"/>
        </w:rPr>
        <w:t>rd</w:t>
      </w:r>
      <w:r w:rsidR="00A04F54">
        <w:t> meeting</w:t>
      </w:r>
      <w:r w:rsidRPr="008D7AB4">
        <w:t xml:space="preserve"> on the progress of these conversions. </w:t>
      </w:r>
    </w:p>
    <w:p w14:paraId="512AC4A6" w14:textId="77777777" w:rsidR="00980BF0" w:rsidRPr="008D7AB4" w:rsidRDefault="00980BF0" w:rsidP="00980BF0">
      <w:pPr>
        <w:pStyle w:val="StyleBold"/>
      </w:pPr>
      <w:r w:rsidRPr="008D7AB4">
        <w:t>Recommendation</w:t>
      </w:r>
    </w:p>
    <w:p w14:paraId="70C6E4F6" w14:textId="77777777" w:rsidR="00980BF0" w:rsidRPr="008D7AB4" w:rsidRDefault="00980BF0" w:rsidP="00980BF0">
      <w:pPr>
        <w:numPr>
          <w:ilvl w:val="0"/>
          <w:numId w:val="1"/>
        </w:numPr>
        <w:tabs>
          <w:tab w:val="clear" w:pos="0"/>
          <w:tab w:val="num" w:pos="710"/>
        </w:tabs>
        <w:spacing w:after="240"/>
        <w:outlineLvl w:val="0"/>
      </w:pPr>
      <w:r w:rsidRPr="008D7AB4">
        <w:t>The Executive Committee may wish:</w:t>
      </w:r>
    </w:p>
    <w:p w14:paraId="194AB2FF" w14:textId="37F5173E" w:rsidR="00980BF0" w:rsidRPr="008D7AB4" w:rsidRDefault="00980BF0" w:rsidP="00980BF0">
      <w:pPr>
        <w:pStyle w:val="Heading2"/>
      </w:pPr>
      <w:r w:rsidRPr="008D7AB4">
        <w:t>To take note of the report on the progress in the implementation of the conversion of the foam enterprises, the availability of hydrofluoroolefin/hydrofluoroolefin</w:t>
      </w:r>
      <w:r w:rsidRPr="008D7AB4">
        <w:noBreakHyphen/>
        <w:t xml:space="preserve">based polyurethane (PU) systems and their associated components funded under </w:t>
      </w:r>
      <w:r w:rsidR="00B92759">
        <w:t>stage </w:t>
      </w:r>
      <w:r w:rsidRPr="008D7AB4">
        <w:t xml:space="preserve">II of the HCFC phase-out management plan (HPMP) for Uruguay and the request for an additional extension of the date of completion for </w:t>
      </w:r>
      <w:r w:rsidR="00B92759">
        <w:t>stage </w:t>
      </w:r>
      <w:r w:rsidRPr="008D7AB4">
        <w:t xml:space="preserve">II, submitted by UNDP, and contained in document UNEP/OzL.Pro/ExCom/91/18; </w:t>
      </w:r>
    </w:p>
    <w:p w14:paraId="61C19D67" w14:textId="467D5DBB" w:rsidR="00980BF0" w:rsidRPr="008D7AB4" w:rsidRDefault="00980BF0" w:rsidP="00980BF0">
      <w:pPr>
        <w:pStyle w:val="Heading2"/>
      </w:pPr>
      <w:r w:rsidRPr="008D7AB4">
        <w:t xml:space="preserve">To approve, on an exceptional basis, the further extension of the date of completion of </w:t>
      </w:r>
      <w:r w:rsidR="00B92759">
        <w:t>stage </w:t>
      </w:r>
      <w:r w:rsidRPr="008D7AB4">
        <w:t xml:space="preserve">II of the HPMP for Uruguay to 31 December 2023, given the delay in completing the conversions of the remaining foam enterprises due to availability of the alternative and supply chain disruptions; </w:t>
      </w:r>
    </w:p>
    <w:p w14:paraId="5BC05E2B" w14:textId="77777777" w:rsidR="00980BF0" w:rsidRPr="008D7AB4" w:rsidRDefault="00980BF0" w:rsidP="00980BF0">
      <w:pPr>
        <w:pStyle w:val="Heading2"/>
      </w:pPr>
      <w:r w:rsidRPr="008D7AB4">
        <w:t xml:space="preserve">To note that the ban on imports </w:t>
      </w:r>
      <w:r w:rsidRPr="008D7AB4">
        <w:rPr>
          <w:rFonts w:cstheme="minorHAnsi"/>
        </w:rPr>
        <w:t>of pure HCFC-141b</w:t>
      </w:r>
      <w:r w:rsidRPr="008D7AB4">
        <w:t xml:space="preserve"> will be implemented by 1 January 2023, and that the ban on HCFC-141b contained in imported pre-blended polyols will be effective from 1 January 2024; </w:t>
      </w:r>
    </w:p>
    <w:p w14:paraId="7DE98B15" w14:textId="77777777" w:rsidR="00980BF0" w:rsidRPr="008D7AB4" w:rsidRDefault="00980BF0" w:rsidP="00980BF0">
      <w:pPr>
        <w:pStyle w:val="Heading2"/>
      </w:pPr>
      <w:r w:rsidRPr="008D7AB4">
        <w:t>To request the Government of Uruguay, through UNDP to submit:</w:t>
      </w:r>
    </w:p>
    <w:p w14:paraId="0389A150" w14:textId="1EFF7896" w:rsidR="00980BF0" w:rsidRPr="008D7AB4" w:rsidRDefault="00980BF0" w:rsidP="00980BF0">
      <w:pPr>
        <w:pStyle w:val="Heading3"/>
      </w:pPr>
      <w:r w:rsidRPr="008D7AB4">
        <w:t>A progress report on the implementation of the conversion of the foam enterprises, the availability of HFO/HFO based PU systems and the status of the legislation for the ban on import and use of HCFC</w:t>
      </w:r>
      <w:r w:rsidRPr="008D7AB4">
        <w:noBreakHyphen/>
        <w:t>141b and HCFC-141b contained in imported pre-blended polyols, at the 93</w:t>
      </w:r>
      <w:r w:rsidRPr="008D7AB4">
        <w:rPr>
          <w:vertAlign w:val="superscript"/>
        </w:rPr>
        <w:t>rd</w:t>
      </w:r>
      <w:r w:rsidR="00A04F54">
        <w:t> meeting</w:t>
      </w:r>
      <w:r w:rsidRPr="008D7AB4">
        <w:t>; and</w:t>
      </w:r>
    </w:p>
    <w:p w14:paraId="51FE3721" w14:textId="77777777" w:rsidR="00980BF0" w:rsidRPr="008D7AB4" w:rsidRDefault="00980BF0" w:rsidP="002E1E12">
      <w:pPr>
        <w:pStyle w:val="Heading3"/>
        <w:keepNext/>
        <w:keepLines/>
      </w:pPr>
      <w:r w:rsidRPr="008D7AB4">
        <w:t>A progress report on the implementation of the work programme associated with the final tranche and the project completion report to the first meeting of the Executive Committee in 2024.</w:t>
      </w:r>
    </w:p>
    <w:p w14:paraId="1DD01B21" w14:textId="6D971F99" w:rsidR="00B04161" w:rsidRPr="008D7AB4" w:rsidRDefault="009441C5" w:rsidP="00AA0EF2">
      <w:pPr>
        <w:pStyle w:val="Style4"/>
        <w:ind w:hanging="720"/>
      </w:pPr>
      <w:r w:rsidRPr="008D7AB4">
        <w:t>Reports related to HFC projects</w:t>
      </w:r>
    </w:p>
    <w:p w14:paraId="396DEA33" w14:textId="77777777" w:rsidR="006B1D75" w:rsidRPr="00B85D05" w:rsidRDefault="006B1D75" w:rsidP="00B85D05">
      <w:pPr>
        <w:keepNext/>
        <w:spacing w:after="240"/>
        <w:ind w:left="720"/>
        <w:jc w:val="left"/>
        <w:rPr>
          <w:b/>
          <w:bCs/>
        </w:rPr>
      </w:pPr>
      <w:r w:rsidRPr="00B85D05">
        <w:rPr>
          <w:b/>
          <w:bCs/>
          <w:u w:val="single"/>
        </w:rPr>
        <w:t>Argentina: Control of emissions of HFC-23 generated in the production of HCFC-22</w:t>
      </w:r>
      <w:r w:rsidRPr="00B85D05">
        <w:rPr>
          <w:b/>
          <w:bCs/>
        </w:rPr>
        <w:t xml:space="preserve"> (UNIDO)</w:t>
      </w:r>
    </w:p>
    <w:p w14:paraId="48BE76DA" w14:textId="77777777" w:rsidR="006B1D75" w:rsidRPr="008D7AB4" w:rsidRDefault="006B1D75" w:rsidP="006B1D75">
      <w:pPr>
        <w:keepNext/>
        <w:spacing w:after="240"/>
        <w:rPr>
          <w:b/>
        </w:rPr>
      </w:pPr>
      <w:r w:rsidRPr="008D7AB4">
        <w:rPr>
          <w:b/>
        </w:rPr>
        <w:t>Background</w:t>
      </w:r>
    </w:p>
    <w:p w14:paraId="4DE2583E" w14:textId="63711698" w:rsidR="006B1D75" w:rsidRPr="008D7AB4" w:rsidRDefault="006B1D75" w:rsidP="006B1D75">
      <w:pPr>
        <w:pStyle w:val="Heading1"/>
      </w:pPr>
      <w:r w:rsidRPr="008D7AB4">
        <w:t>At its 87</w:t>
      </w:r>
      <w:r w:rsidRPr="008D7AB4">
        <w:rPr>
          <w:vertAlign w:val="superscript"/>
        </w:rPr>
        <w:t>th</w:t>
      </w:r>
      <w:r w:rsidR="00A04F54">
        <w:t> meeting</w:t>
      </w:r>
      <w:r w:rsidRPr="008D7AB4">
        <w:t>, the Executive Committee approved the project for the control of emissions of HFC-23 generated in the production of HCFC-22 at Frio Industrias Argentina (FIASA) (</w:t>
      </w:r>
      <w:r w:rsidR="00B92759">
        <w:t>decision </w:t>
      </w:r>
      <w:r w:rsidRPr="008D7AB4">
        <w:t>87/52(b)), followed by, at its 88</w:t>
      </w:r>
      <w:r w:rsidRPr="008D7AB4">
        <w:rPr>
          <w:vertAlign w:val="superscript"/>
        </w:rPr>
        <w:t>th</w:t>
      </w:r>
      <w:r w:rsidR="00A04F54">
        <w:t> meeting</w:t>
      </w:r>
      <w:r w:rsidRPr="008D7AB4">
        <w:t>, approval of the draft Agreement (</w:t>
      </w:r>
      <w:r w:rsidR="00B92759">
        <w:t>decision </w:t>
      </w:r>
      <w:r w:rsidRPr="008D7AB4">
        <w:t>88/77(c)) and 2021</w:t>
      </w:r>
      <w:r w:rsidRPr="008D7AB4">
        <w:noBreakHyphen/>
        <w:t xml:space="preserve">2022 annual implementation plan (decisions 87/52(f) and 88/77(b)). </w:t>
      </w:r>
    </w:p>
    <w:p w14:paraId="7F603490" w14:textId="77777777" w:rsidR="006B1D75" w:rsidRPr="008D7AB4" w:rsidRDefault="006B1D75" w:rsidP="006B1D75">
      <w:pPr>
        <w:pStyle w:val="Heading1"/>
      </w:pPr>
      <w:r w:rsidRPr="008D7AB4">
        <w:t xml:space="preserve">The 2021-2022 annual implementation plan </w:t>
      </w:r>
      <w:r w:rsidRPr="008D7AB4">
        <w:rPr>
          <w:i/>
          <w:iCs/>
        </w:rPr>
        <w:t xml:space="preserve">inter alia </w:t>
      </w:r>
      <w:r w:rsidRPr="008D7AB4">
        <w:t>anticipated that any HFC-23 by-product generated after 1 January 2022 and before the completion of the refurbishment of the incinerator would be stored in the on</w:t>
      </w:r>
      <w:r w:rsidRPr="008D7AB4">
        <w:noBreakHyphen/>
        <w:t xml:space="preserve">site cryogenic tank until the maximum capacity of the cryogenic tank had been reached. UNIDO noted that in case of unforeseen delays caused by </w:t>
      </w:r>
      <w:r w:rsidRPr="008D7AB4">
        <w:rPr>
          <w:i/>
          <w:iCs/>
        </w:rPr>
        <w:t>force majeure</w:t>
      </w:r>
      <w:r w:rsidRPr="008D7AB4">
        <w:t>, such as the COVID-19 pandemic, FIASA, the Government of Argentina, and UNIDO would immediately inform the Executive Committee and propose HFC-23 emission mitigation measures.</w:t>
      </w:r>
      <w:r w:rsidRPr="008D7AB4">
        <w:rPr>
          <w:rStyle w:val="FootnoteReference"/>
        </w:rPr>
        <w:footnoteReference w:id="25"/>
      </w:r>
    </w:p>
    <w:p w14:paraId="28CD63B0" w14:textId="04D6957F" w:rsidR="006B1D75" w:rsidRPr="008D7AB4" w:rsidRDefault="006B1D75" w:rsidP="006B1D75">
      <w:pPr>
        <w:pStyle w:val="Heading1"/>
      </w:pPr>
      <w:r w:rsidRPr="008D7AB4">
        <w:t>At the 90</w:t>
      </w:r>
      <w:r w:rsidRPr="008D7AB4">
        <w:rPr>
          <w:vertAlign w:val="superscript"/>
        </w:rPr>
        <w:t>th</w:t>
      </w:r>
      <w:r w:rsidR="00A04F54">
        <w:t> meeting</w:t>
      </w:r>
      <w:r w:rsidRPr="008D7AB4">
        <w:t>, UNIDO reported delays finalizing a contract for the refurbishment of the incinerator; as a result, delivery of the parts had been delayed. The cryogenic storage tank could have been used to store HFC-23 by-product while the incinerator refurbishment was ongoing at FIASA; however, due to concern by the Government that the cryogenic tank would reach its maximum capacity before the refurbishment was complete, FIASA had not connected the cryogenic tank, and HFC</w:t>
      </w:r>
      <w:r w:rsidRPr="008D7AB4">
        <w:noBreakHyphen/>
        <w:t>23 had been vented to the atmosphere between January 2022 and March or April 2022 when it was reconnected. In March 2022, FIASA had also temporarily stopped producing HCFC-22 due to challenges in purchasing raw materials given supply chain disruptions. It was agreed that once the enterprise restarted production of HCFC-22, it would store the HFC-23 by-product generated in the cryogenic tank until the refurbishment of the incinerator was complete or the maximum capacity of the cryogenic tank was reached, as originally planned.</w:t>
      </w:r>
    </w:p>
    <w:p w14:paraId="6A7615A6" w14:textId="13A9821E" w:rsidR="006B1D75" w:rsidRPr="008D7AB4" w:rsidRDefault="006B1D75" w:rsidP="006B1D75">
      <w:pPr>
        <w:pStyle w:val="Heading1"/>
      </w:pPr>
      <w:r w:rsidRPr="008D7AB4">
        <w:t>Following an informal discussion at its 90</w:t>
      </w:r>
      <w:r w:rsidRPr="008D7AB4">
        <w:rPr>
          <w:vertAlign w:val="superscript"/>
        </w:rPr>
        <w:t>th</w:t>
      </w:r>
      <w:r w:rsidR="00A04F54">
        <w:t> meeting</w:t>
      </w:r>
      <w:r w:rsidRPr="008D7AB4">
        <w:t>, the Executive Committee decided to request UNIDO to provide to the 91</w:t>
      </w:r>
      <w:r w:rsidRPr="008D7AB4">
        <w:rPr>
          <w:vertAlign w:val="superscript"/>
        </w:rPr>
        <w:t>st</w:t>
      </w:r>
      <w:r w:rsidR="00A04F54">
        <w:t> meeting</w:t>
      </w:r>
      <w:r w:rsidRPr="008D7AB4">
        <w:t xml:space="preserve"> an update on the progress in implementing the referenced project, including progress in the delivery of the parts needed to refurbish the incinerator, progress toward refurbishing the incinerator, confirmation that the cryogenic tank was storing the HFC-23 by-product generated, the quantity of HFC-23 by-product stored, and the amount of HFC-23 vented, in case there had been any new occurrences (decision 90/24).</w:t>
      </w:r>
    </w:p>
    <w:p w14:paraId="4F2982C8" w14:textId="11BD6634" w:rsidR="006B1D75" w:rsidRPr="008D7AB4" w:rsidRDefault="006B1D75" w:rsidP="006B1D75">
      <w:pPr>
        <w:spacing w:after="240"/>
        <w:rPr>
          <w:b/>
          <w:bCs/>
        </w:rPr>
      </w:pPr>
      <w:r w:rsidRPr="008D7AB4">
        <w:rPr>
          <w:b/>
          <w:bCs/>
        </w:rPr>
        <w:t>Progress report submitted to the 91</w:t>
      </w:r>
      <w:r w:rsidRPr="008D7AB4">
        <w:rPr>
          <w:b/>
          <w:bCs/>
          <w:vertAlign w:val="superscript"/>
        </w:rPr>
        <w:t>st</w:t>
      </w:r>
      <w:r w:rsidR="00A04F54">
        <w:rPr>
          <w:b/>
          <w:bCs/>
        </w:rPr>
        <w:t> meeting</w:t>
      </w:r>
    </w:p>
    <w:p w14:paraId="068B07B4" w14:textId="3F05508F" w:rsidR="006B1D75" w:rsidRPr="008D7AB4" w:rsidRDefault="006B1D75" w:rsidP="006B1D75">
      <w:pPr>
        <w:pStyle w:val="Heading1"/>
      </w:pPr>
      <w:r w:rsidRPr="008D7AB4">
        <w:t xml:space="preserve">In line with </w:t>
      </w:r>
      <w:r w:rsidR="00B92759">
        <w:t>decision </w:t>
      </w:r>
      <w:r w:rsidRPr="008D7AB4">
        <w:t>90/24, the Government of Argentina, through UNIDO, has submitted a progress report to the 91</w:t>
      </w:r>
      <w:r w:rsidRPr="008D7AB4">
        <w:rPr>
          <w:vertAlign w:val="superscript"/>
        </w:rPr>
        <w:t>st</w:t>
      </w:r>
      <w:r w:rsidR="00A04F54">
        <w:t> meeting</w:t>
      </w:r>
      <w:r w:rsidRPr="008D7AB4">
        <w:t>. The report confirms that the cryogenic tank is connected and storing the HFC-23 by-product generated, and that there have been no further emissions of HFC-23 vented to the atmosphere beyond those reported to the 90</w:t>
      </w:r>
      <w:r w:rsidRPr="008D7AB4">
        <w:rPr>
          <w:vertAlign w:val="superscript"/>
        </w:rPr>
        <w:t>th</w:t>
      </w:r>
      <w:r w:rsidR="00A04F54">
        <w:t> meeting</w:t>
      </w:r>
      <w:r w:rsidRPr="008D7AB4">
        <w:t>. FIASA resumed production of HCFC</w:t>
      </w:r>
      <w:r w:rsidRPr="008D7AB4">
        <w:noBreakHyphen/>
        <w:t>22 on 13 June 2022. Since that time, production of HCFC-22 at the enterprise had been intermittent due to delays in the supply of anhydrous hydrogen fluoride caused by supply chain disruptions. HFC-23 by-product generated during that period of intermittent production was stored in the cryogenic tank. At the time of finalization of the present document, 6.70</w:t>
      </w:r>
      <w:r w:rsidR="00A04F54">
        <w:t> mt</w:t>
      </w:r>
      <w:r w:rsidRPr="008D7AB4">
        <w:t xml:space="preserve"> of HFC-23 by-product were stored in the cryogenic tank.</w:t>
      </w:r>
    </w:p>
    <w:p w14:paraId="1EB33E16" w14:textId="77777777" w:rsidR="006B1D75" w:rsidRPr="008D7AB4" w:rsidRDefault="006B1D75" w:rsidP="006B1D75">
      <w:pPr>
        <w:pStyle w:val="Heading1"/>
      </w:pPr>
      <w:r w:rsidRPr="008D7AB4">
        <w:t>Many but not all the parts needed to refurbish the incinerator have been delivered. In particular, all the equipment purchased directly by FIASA was delivered except the natural gas flow control and block valves, which were expected to arrive in November 2022. Delivery of some parts from SGL Carbon Group of Meitingen, Germany (SGL), the technology provider for the incinerator, were delayed as the required documentation to initiate the diplomatic franchise process was not provided until October 2022; it was expected that delivery of those parts would take up to three months.</w:t>
      </w:r>
    </w:p>
    <w:p w14:paraId="5D61A696" w14:textId="77777777" w:rsidR="006B1D75" w:rsidRPr="008D7AB4" w:rsidRDefault="006B1D75" w:rsidP="006B1D75">
      <w:pPr>
        <w:pStyle w:val="Heading1"/>
      </w:pPr>
      <w:r w:rsidRPr="008D7AB4">
        <w:t>To mitigate further delays in the start</w:t>
      </w:r>
      <w:r w:rsidRPr="008D7AB4">
        <w:noBreakHyphen/>
        <w:t xml:space="preserve">up of the incinerator, UNIDO, the Government of Argentina and FIASA were evaluating alternative options. In particular, the natural gas flow control and block valves were expected to be delivered in November 2022, after which FIASA planned to start the incinerator with local parts while waiting for the shipment from SGL to arrive. Accordingly, FIASA expected to operationalize the incinerator by December 2022. </w:t>
      </w:r>
    </w:p>
    <w:p w14:paraId="0640A51B" w14:textId="77777777" w:rsidR="006B1D75" w:rsidRPr="008D7AB4" w:rsidRDefault="006B1D75" w:rsidP="006B1D75">
      <w:pPr>
        <w:pStyle w:val="Heading1"/>
        <w:numPr>
          <w:ilvl w:val="0"/>
          <w:numId w:val="0"/>
        </w:numPr>
      </w:pPr>
      <w:r w:rsidRPr="008D7AB4">
        <w:rPr>
          <w:b/>
          <w:bCs/>
        </w:rPr>
        <w:t>Secretariat’s comments</w:t>
      </w:r>
    </w:p>
    <w:p w14:paraId="790AC3C3" w14:textId="740B879C" w:rsidR="006B1D75" w:rsidRPr="008D7AB4" w:rsidRDefault="006B1D75" w:rsidP="006B1D75">
      <w:pPr>
        <w:pStyle w:val="Heading1"/>
      </w:pPr>
      <w:r w:rsidRPr="008D7AB4">
        <w:t>FIASA is storing the HFC-23 by-product generated in the onsite cryogenic tank and, notwithstanding delays in the delivery of some of the parts needed to refurbish the incinerator, was expecting to start destroying HFC-23 by-product by December 2022. Based on the current quantity of HFC</w:t>
      </w:r>
      <w:r w:rsidRPr="008D7AB4">
        <w:noBreakHyphen/>
        <w:t>23 stored in the cryogenic tank (6.70</w:t>
      </w:r>
      <w:r w:rsidR="00A04F54">
        <w:t> mt</w:t>
      </w:r>
      <w:r w:rsidRPr="008D7AB4">
        <w:t>), the maximum capacity of the tank (31.95</w:t>
      </w:r>
      <w:r w:rsidR="00A04F54">
        <w:t> mt</w:t>
      </w:r>
      <w:r w:rsidRPr="008D7AB4">
        <w:t>), and FIASA’s 2021 HCFC-22 production and historic by-product generation rate, the Secretariat estimates that the maximum capacity of the tank would be reached within approximately eight or nine months. The Secretariat notes, however, that FIASA produces HCFC-22 in campaigns and the peak in demand for HCFC-22 is likely to be in the Argentine summer, which could result in the tank being filled sooner. The enterprise expects the incinerator to be operational by the end of 2022, which is at least several months before the maximum capacity of the cryogenic tank would be reached.</w:t>
      </w:r>
    </w:p>
    <w:p w14:paraId="2D051091" w14:textId="77777777" w:rsidR="006B1D75" w:rsidRPr="008D7AB4" w:rsidRDefault="006B1D75" w:rsidP="006B1D75">
      <w:pPr>
        <w:rPr>
          <w:b/>
          <w:bCs/>
        </w:rPr>
      </w:pPr>
      <w:r w:rsidRPr="008D7AB4">
        <w:rPr>
          <w:b/>
          <w:bCs/>
        </w:rPr>
        <w:t>Recommendation</w:t>
      </w:r>
    </w:p>
    <w:p w14:paraId="365966EA" w14:textId="77777777" w:rsidR="006B1D75" w:rsidRPr="008D7AB4" w:rsidRDefault="006B1D75" w:rsidP="006B1D75">
      <w:pPr>
        <w:rPr>
          <w:b/>
          <w:bCs/>
        </w:rPr>
      </w:pPr>
    </w:p>
    <w:p w14:paraId="1ECDE97D" w14:textId="77777777" w:rsidR="006B1D75" w:rsidRPr="008D7AB4" w:rsidRDefault="006B1D75" w:rsidP="006B1D75">
      <w:pPr>
        <w:pStyle w:val="Heading1"/>
      </w:pPr>
      <w:r w:rsidRPr="008D7AB4">
        <w:t>The Executive Committee may wish to note the progress report on the implementation of the project for the control of emissions of HFC-23 generated in the production of HCFC-22 at Frio Industrias Argentina, submitted by UNIDO, and contained in document UNEP/OzL.Pro/ExCom/91/18.</w:t>
      </w:r>
    </w:p>
    <w:p w14:paraId="488AAA24" w14:textId="16D98C18" w:rsidR="009441C5" w:rsidRPr="008D7AB4" w:rsidRDefault="007066DF" w:rsidP="00AA0EF2">
      <w:pPr>
        <w:pStyle w:val="Style4"/>
        <w:ind w:hanging="720"/>
      </w:pPr>
      <w:r w:rsidRPr="008D7AB4">
        <w:t>Methyl bromide</w:t>
      </w:r>
    </w:p>
    <w:p w14:paraId="522564FD" w14:textId="77777777" w:rsidR="007066DF" w:rsidRPr="00B85D05" w:rsidRDefault="007066DF" w:rsidP="007066DF">
      <w:pPr>
        <w:keepNext/>
        <w:spacing w:after="240"/>
        <w:ind w:firstLine="720"/>
        <w:rPr>
          <w:b/>
          <w:bCs/>
        </w:rPr>
      </w:pPr>
      <w:r w:rsidRPr="00B85D05">
        <w:rPr>
          <w:b/>
          <w:bCs/>
          <w:u w:val="single"/>
        </w:rPr>
        <w:t>Argentina: Methyl bromide phase-out plan</w:t>
      </w:r>
      <w:r w:rsidRPr="00B85D05">
        <w:rPr>
          <w:b/>
          <w:bCs/>
        </w:rPr>
        <w:t xml:space="preserve"> (UNIDO)</w:t>
      </w:r>
    </w:p>
    <w:p w14:paraId="7FA00E14" w14:textId="77777777" w:rsidR="007066DF" w:rsidRPr="008D7AB4" w:rsidRDefault="007066DF" w:rsidP="007066DF">
      <w:pPr>
        <w:keepNext/>
        <w:spacing w:after="240"/>
        <w:rPr>
          <w:b/>
          <w:bCs/>
        </w:rPr>
      </w:pPr>
      <w:r w:rsidRPr="008D7AB4">
        <w:rPr>
          <w:b/>
          <w:bCs/>
        </w:rPr>
        <w:t>Background</w:t>
      </w:r>
    </w:p>
    <w:p w14:paraId="3A49231B" w14:textId="376F8F7A" w:rsidR="007066DF" w:rsidRPr="008D7AB4" w:rsidRDefault="007066DF" w:rsidP="007066DF">
      <w:pPr>
        <w:pStyle w:val="Heading1"/>
      </w:pPr>
      <w:r w:rsidRPr="008D7AB4">
        <w:t>At its 30</w:t>
      </w:r>
      <w:r w:rsidRPr="008D7AB4">
        <w:rPr>
          <w:vertAlign w:val="superscript"/>
        </w:rPr>
        <w:t>th</w:t>
      </w:r>
      <w:r w:rsidRPr="008D7AB4">
        <w:t> meeting, the Executive Committee approved the project for the phase-out of methyl bromide (MB) in strawberry, protected vegetable and cut flower production in Argentina, and at its 36</w:t>
      </w:r>
      <w:r w:rsidRPr="008D7AB4">
        <w:rPr>
          <w:vertAlign w:val="superscript"/>
        </w:rPr>
        <w:t>th</w:t>
      </w:r>
      <w:r w:rsidRPr="008D7AB4">
        <w:t> meeting, approved the project for the phase-out of MB for soil fumigation in tobacco and non</w:t>
      </w:r>
      <w:r w:rsidRPr="008D7AB4">
        <w:noBreakHyphen/>
        <w:t>protected vegetable seed-beds. The Agreement between the Government and the Executive Committee was subsequently modified at the 45</w:t>
      </w:r>
      <w:r w:rsidRPr="008D7AB4">
        <w:rPr>
          <w:vertAlign w:val="superscript"/>
        </w:rPr>
        <w:t>th</w:t>
      </w:r>
      <w:r w:rsidRPr="008D7AB4">
        <w:t> meeting. While the Agreement explicitly excluded quarantine and pre</w:t>
      </w:r>
      <w:r w:rsidRPr="008D7AB4">
        <w:noBreakHyphen/>
        <w:t>shipment applications from the targets for national MB consumption, the Agreement did not include an exclusion for critical-use exemptions (CUEs) that the Parties to the Montreal Protocol may authorize, and instead specified zero national consumption of MB by 2015. The Parties authorized CUEs for Argentina at each of their meetings from 2015 (26</w:t>
      </w:r>
      <w:r w:rsidRPr="008D7AB4">
        <w:rPr>
          <w:vertAlign w:val="superscript"/>
        </w:rPr>
        <w:t>th</w:t>
      </w:r>
      <w:r w:rsidR="00A04F54">
        <w:t> meeting</w:t>
      </w:r>
      <w:r w:rsidRPr="008D7AB4">
        <w:t>) to 2021 (32</w:t>
      </w:r>
      <w:r w:rsidRPr="008D7AB4">
        <w:rPr>
          <w:vertAlign w:val="superscript"/>
        </w:rPr>
        <w:t>nd</w:t>
      </w:r>
      <w:r w:rsidR="00A04F54">
        <w:t> meeting</w:t>
      </w:r>
      <w:r w:rsidRPr="008D7AB4">
        <w:t>).</w:t>
      </w:r>
    </w:p>
    <w:p w14:paraId="22D496CE" w14:textId="77777777" w:rsidR="007066DF" w:rsidRPr="008D7AB4" w:rsidRDefault="007066DF" w:rsidP="00811D2A">
      <w:pPr>
        <w:pStyle w:val="Heading1"/>
        <w:keepNext/>
        <w:keepLines/>
        <w:numPr>
          <w:ilvl w:val="0"/>
          <w:numId w:val="0"/>
        </w:numPr>
        <w:rPr>
          <w:b/>
          <w:bCs/>
        </w:rPr>
      </w:pPr>
      <w:r w:rsidRPr="008D7AB4">
        <w:rPr>
          <w:b/>
          <w:bCs/>
        </w:rPr>
        <w:t>Secretariat’s comments</w:t>
      </w:r>
    </w:p>
    <w:p w14:paraId="50AA2810" w14:textId="55980CE3" w:rsidR="007066DF" w:rsidRPr="008D7AB4" w:rsidRDefault="007066DF" w:rsidP="00811D2A">
      <w:pPr>
        <w:pStyle w:val="Heading1"/>
        <w:keepNext/>
        <w:keepLines/>
      </w:pPr>
      <w:r w:rsidRPr="008D7AB4">
        <w:t>Argentina reported MB consumption of 6.74 ODP tonnes in 2021 which is less than the authorized CUE of 6.79</w:t>
      </w:r>
      <w:r w:rsidR="00A04F54">
        <w:t> ODP tonnes</w:t>
      </w:r>
      <w:r w:rsidRPr="008D7AB4">
        <w:t xml:space="preserve"> for that year. Accordingly, the Secretariat considers that the level of consumption of MB for Argentina in 2021 was zero, as the maximum level specified in the Agreement, except for any CUEs approved by the Parties. </w:t>
      </w:r>
    </w:p>
    <w:p w14:paraId="2ACFD5BD" w14:textId="77777777" w:rsidR="007066DF" w:rsidRPr="008D7AB4" w:rsidRDefault="007066DF" w:rsidP="007066DF">
      <w:pPr>
        <w:spacing w:after="240"/>
        <w:rPr>
          <w:b/>
        </w:rPr>
      </w:pPr>
      <w:r w:rsidRPr="008D7AB4">
        <w:rPr>
          <w:b/>
        </w:rPr>
        <w:t>Recommendation</w:t>
      </w:r>
    </w:p>
    <w:p w14:paraId="02478B08" w14:textId="77777777" w:rsidR="007066DF" w:rsidRPr="00811D2A" w:rsidRDefault="007066DF" w:rsidP="007066DF">
      <w:pPr>
        <w:pStyle w:val="Heading1"/>
      </w:pPr>
      <w:r w:rsidRPr="008D7AB4">
        <w:t xml:space="preserve">The Executive Committee may wish to note that the reported level of consumption of methyl bromide for Argentina in 2021 was zero, as per the Agreement between the Government and the Executive </w:t>
      </w:r>
      <w:r w:rsidRPr="00811D2A">
        <w:t>Committee, except for the critical-use exemptions approved by the Parties to the Montreal Protocol.</w:t>
      </w:r>
    </w:p>
    <w:p w14:paraId="53AD7690" w14:textId="13F168FF" w:rsidR="00E85409" w:rsidRPr="008D7AB4" w:rsidRDefault="00E560C6" w:rsidP="00E560C6">
      <w:pPr>
        <w:pStyle w:val="Style3"/>
      </w:pPr>
      <w:r>
        <w:t>II</w:t>
      </w:r>
      <w:r w:rsidR="003E3623" w:rsidRPr="00811D2A">
        <w:t>I</w:t>
      </w:r>
      <w:r>
        <w:t>.</w:t>
      </w:r>
      <w:r w:rsidR="003E3623" w:rsidRPr="00811D2A">
        <w:tab/>
        <w:t>Individual consideration</w:t>
      </w:r>
    </w:p>
    <w:p w14:paraId="49C847C2" w14:textId="1EA2F333" w:rsidR="003E3623" w:rsidRPr="008D7AB4" w:rsidRDefault="00CB4CCD" w:rsidP="003E3623">
      <w:pPr>
        <w:pStyle w:val="Heading1"/>
      </w:pPr>
      <w:r>
        <w:t>This section includes only one HPMP tranche for individual consideration.</w:t>
      </w:r>
    </w:p>
    <w:p w14:paraId="2D512EC0" w14:textId="23F27686" w:rsidR="00DC4BFF" w:rsidRPr="008D7AB4" w:rsidRDefault="0017484C" w:rsidP="006E63AE">
      <w:pPr>
        <w:pStyle w:val="Style4"/>
        <w:keepNext/>
        <w:keepLines/>
        <w:numPr>
          <w:ilvl w:val="0"/>
          <w:numId w:val="0"/>
        </w:numPr>
      </w:pPr>
      <w:r w:rsidRPr="008D7AB4">
        <w:t>A.</w:t>
      </w:r>
      <w:r w:rsidRPr="008D7AB4">
        <w:tab/>
      </w:r>
      <w:r w:rsidR="00DC4BFF" w:rsidRPr="008D7AB4">
        <w:t>Reports related to HCFC phase-out management plans</w:t>
      </w:r>
    </w:p>
    <w:p w14:paraId="061BEF6D" w14:textId="5584AAF6" w:rsidR="00980BF0" w:rsidRPr="00B85D05" w:rsidRDefault="00980BF0" w:rsidP="006E63AE">
      <w:pPr>
        <w:pStyle w:val="Heading1"/>
        <w:keepNext/>
        <w:keepLines/>
        <w:numPr>
          <w:ilvl w:val="0"/>
          <w:numId w:val="0"/>
        </w:numPr>
        <w:ind w:left="720"/>
        <w:rPr>
          <w:b/>
          <w:bCs/>
        </w:rPr>
      </w:pPr>
      <w:r w:rsidRPr="00B85D05">
        <w:rPr>
          <w:b/>
          <w:bCs/>
          <w:u w:val="single"/>
        </w:rPr>
        <w:t>Brazil: HCFC phase-out management plan (</w:t>
      </w:r>
      <w:r w:rsidR="00B92759" w:rsidRPr="00B85D05">
        <w:rPr>
          <w:b/>
          <w:bCs/>
          <w:u w:val="single"/>
        </w:rPr>
        <w:t>stage </w:t>
      </w:r>
      <w:r w:rsidRPr="00B85D05">
        <w:rPr>
          <w:b/>
          <w:bCs/>
          <w:u w:val="single"/>
        </w:rPr>
        <w:t xml:space="preserve">II </w:t>
      </w:r>
      <w:r w:rsidRPr="00B85D05">
        <w:rPr>
          <w:b/>
          <w:bCs/>
          <w:u w:val="single"/>
        </w:rPr>
        <w:noBreakHyphen/>
        <w:t xml:space="preserve"> progress report on the implementation of the fifth tranche and request for extension)</w:t>
      </w:r>
      <w:r w:rsidRPr="00B85D05">
        <w:rPr>
          <w:b/>
          <w:bCs/>
        </w:rPr>
        <w:t xml:space="preserve"> (UNDP, UNIDO, the Government of Germany and the Government of Italy)</w:t>
      </w:r>
    </w:p>
    <w:p w14:paraId="78BCC9CA" w14:textId="77777777" w:rsidR="00980BF0" w:rsidRPr="008D7AB4" w:rsidRDefault="00980BF0" w:rsidP="006E63AE">
      <w:pPr>
        <w:keepNext/>
        <w:keepLines/>
        <w:rPr>
          <w:b/>
          <w:bCs/>
          <w:u w:val="single"/>
        </w:rPr>
      </w:pPr>
      <w:r w:rsidRPr="008D7AB4">
        <w:rPr>
          <w:b/>
          <w:bCs/>
        </w:rPr>
        <w:t>Background</w:t>
      </w:r>
    </w:p>
    <w:p w14:paraId="7D963620" w14:textId="77777777" w:rsidR="00980BF0" w:rsidRPr="008D7AB4" w:rsidRDefault="00980BF0" w:rsidP="006E63AE">
      <w:pPr>
        <w:keepNext/>
        <w:keepLines/>
        <w:rPr>
          <w:b/>
          <w:bCs/>
        </w:rPr>
      </w:pPr>
    </w:p>
    <w:p w14:paraId="06A771A0" w14:textId="492AC13D" w:rsidR="00980BF0" w:rsidRPr="008D7AB4" w:rsidRDefault="00980BF0" w:rsidP="006E63AE">
      <w:pPr>
        <w:pStyle w:val="Heading1"/>
        <w:keepNext/>
        <w:keepLines/>
      </w:pPr>
      <w:r w:rsidRPr="008D7AB4">
        <w:t xml:space="preserve">On behalf of the Government of Brazil, UNDP as the lead implementing agency has submitted a progress report and a revised plan of action for </w:t>
      </w:r>
      <w:r w:rsidR="00B92759">
        <w:t>stage </w:t>
      </w:r>
      <w:r w:rsidRPr="008D7AB4">
        <w:t>II of the HCFC phase-out management plan (HPMP).</w:t>
      </w:r>
      <w:r w:rsidRPr="008D7AB4">
        <w:rPr>
          <w:rStyle w:val="FootnoteReference"/>
        </w:rPr>
        <w:footnoteReference w:id="26"/>
      </w:r>
      <w:r w:rsidRPr="008D7AB4">
        <w:t xml:space="preserve"> The report includes a request by the Government of Brazil to revise its Agreement with the Executive Committee by cancelling the sixth tranche for UNDP in the amount of US $2,495,000 due to the non</w:t>
      </w:r>
      <w:r w:rsidRPr="008D7AB4">
        <w:noBreakHyphen/>
        <w:t>participation of several polyurethane (PU) foam enterprises in the sector plan for conversion to low</w:t>
      </w:r>
      <w:r w:rsidRPr="008D7AB4">
        <w:noBreakHyphen/>
        <w:t xml:space="preserve">global-warming-potential (GWP) alternatives. </w:t>
      </w:r>
    </w:p>
    <w:p w14:paraId="60BEAE50" w14:textId="77777777" w:rsidR="00980BF0" w:rsidRPr="008D7AB4" w:rsidRDefault="00980BF0" w:rsidP="00980BF0">
      <w:pPr>
        <w:spacing w:after="120"/>
        <w:rPr>
          <w:b/>
          <w:bCs/>
        </w:rPr>
      </w:pPr>
      <w:r w:rsidRPr="008D7AB4">
        <w:rPr>
          <w:b/>
          <w:bCs/>
        </w:rPr>
        <w:t>Report on HCFC consumption</w:t>
      </w:r>
    </w:p>
    <w:p w14:paraId="0E320CD4" w14:textId="77777777" w:rsidR="00980BF0" w:rsidRPr="008D7AB4" w:rsidRDefault="00980BF0" w:rsidP="00980BF0">
      <w:pPr>
        <w:pStyle w:val="Heading1"/>
        <w:widowControl w:val="0"/>
      </w:pPr>
      <w:r w:rsidRPr="008D7AB4">
        <w:t xml:space="preserve">The Government of Brazil reported a consumption of 490.93 ODP tonnes of HCFCs in 2021, which is 63 per cent below its HCFC baseline for compliance. The data on HCFC consumption in the 2021 country programme (CP) implementation report is consistent with that reported under Article 7 of the Montreal Protocol. </w:t>
      </w:r>
    </w:p>
    <w:p w14:paraId="3122EBB8" w14:textId="77777777" w:rsidR="00980BF0" w:rsidRPr="008D7AB4" w:rsidRDefault="00980BF0" w:rsidP="00980BF0">
      <w:pPr>
        <w:pStyle w:val="Heading1"/>
        <w:widowControl w:val="0"/>
      </w:pPr>
      <w:r w:rsidRPr="008D7AB4">
        <w:t>HCFC consumption in 2021 was slightly higher than that reported in 2020 (452.81 ODP tonnes). The decline in HCFC-141b consumption noted in 2020 and 2021 was influenced by the ban on imports of HCFC</w:t>
      </w:r>
      <w:r w:rsidRPr="008D7AB4">
        <w:noBreakHyphen/>
        <w:t>141b used as a foam</w:t>
      </w:r>
      <w:r w:rsidRPr="008D7AB4">
        <w:noBreakHyphen/>
        <w:t>blowing agent that went into effect on 1 January 2020; whereas reductions in the use of HCFC</w:t>
      </w:r>
      <w:r w:rsidRPr="008D7AB4">
        <w:noBreakHyphen/>
        <w:t>22 in 2020 are ascribed to the COVID-19 pandemic-related restrictions. HCFC</w:t>
      </w:r>
      <w:r w:rsidRPr="008D7AB4">
        <w:noBreakHyphen/>
        <w:t>22 consumption increased again in 2021 and is expected to remain at similar levels between 2022 and 2024.</w:t>
      </w:r>
    </w:p>
    <w:p w14:paraId="23B9CF5B" w14:textId="11EDFF99" w:rsidR="00980BF0" w:rsidRPr="008D7AB4" w:rsidRDefault="00980BF0" w:rsidP="00811D2A">
      <w:pPr>
        <w:pStyle w:val="Heading1"/>
        <w:keepNext/>
        <w:keepLines/>
        <w:numPr>
          <w:ilvl w:val="0"/>
          <w:numId w:val="0"/>
        </w:numPr>
        <w:rPr>
          <w:b/>
          <w:bCs/>
        </w:rPr>
      </w:pPr>
      <w:r w:rsidRPr="008D7AB4">
        <w:rPr>
          <w:b/>
          <w:bCs/>
        </w:rPr>
        <w:t>Progress report on the implementation of the fifth tranche of the HPMP</w:t>
      </w:r>
    </w:p>
    <w:p w14:paraId="2A54A3E9" w14:textId="77777777" w:rsidR="00980BF0" w:rsidRPr="008D7AB4" w:rsidRDefault="00980BF0" w:rsidP="00811D2A">
      <w:pPr>
        <w:pStyle w:val="Heading1"/>
        <w:keepNext/>
        <w:keepLines/>
        <w:numPr>
          <w:ilvl w:val="0"/>
          <w:numId w:val="0"/>
        </w:numPr>
        <w:rPr>
          <w:iCs/>
          <w:u w:val="single"/>
        </w:rPr>
      </w:pPr>
      <w:r w:rsidRPr="008D7AB4">
        <w:rPr>
          <w:iCs/>
          <w:u w:val="single"/>
        </w:rPr>
        <w:t>PU foam manufacturing sector</w:t>
      </w:r>
    </w:p>
    <w:p w14:paraId="0C20F0EC" w14:textId="77777777" w:rsidR="00980BF0" w:rsidRPr="008D7AB4" w:rsidRDefault="00980BF0" w:rsidP="00811D2A">
      <w:pPr>
        <w:keepNext/>
        <w:keepLines/>
        <w:rPr>
          <w:i/>
        </w:rPr>
      </w:pPr>
      <w:r w:rsidRPr="008D7AB4">
        <w:rPr>
          <w:i/>
        </w:rPr>
        <w:t>Conversion of 13 stand-alone PU foam enterprises (53.52 ODP tonnes)</w:t>
      </w:r>
      <w:r w:rsidRPr="008D7AB4">
        <w:rPr>
          <w:rStyle w:val="FootnoteReference"/>
          <w:i/>
        </w:rPr>
        <w:footnoteReference w:id="27"/>
      </w:r>
    </w:p>
    <w:p w14:paraId="66C747F4" w14:textId="77777777" w:rsidR="00980BF0" w:rsidRPr="008D7AB4" w:rsidRDefault="00980BF0" w:rsidP="00811D2A">
      <w:pPr>
        <w:keepNext/>
        <w:keepLines/>
        <w:rPr>
          <w:highlight w:val="yellow"/>
        </w:rPr>
      </w:pPr>
    </w:p>
    <w:p w14:paraId="06203AA7" w14:textId="77777777" w:rsidR="00980BF0" w:rsidRPr="008D7AB4" w:rsidRDefault="00980BF0" w:rsidP="00811D2A">
      <w:pPr>
        <w:pStyle w:val="Heading1"/>
        <w:keepNext/>
        <w:keepLines/>
      </w:pPr>
      <w:r w:rsidRPr="008D7AB4">
        <w:t>Eleven enterprises have completed their conversions to water-based technology, methyl formate (MF), methylal, or hydrofluoroolefins (HFOs), phasing out 49.06 ODP tonnes of HCFC</w:t>
      </w:r>
      <w:r w:rsidRPr="008D7AB4">
        <w:noBreakHyphen/>
        <w:t xml:space="preserve">141b, and one additional enterprise is finalizing its conversion to HFOs. The following adjustments have been made to the sector plan: </w:t>
      </w:r>
    </w:p>
    <w:p w14:paraId="1D76D86F" w14:textId="77777777" w:rsidR="00980BF0" w:rsidRPr="008D7AB4" w:rsidRDefault="00980BF0" w:rsidP="00980BF0">
      <w:pPr>
        <w:pStyle w:val="Heading2"/>
      </w:pPr>
      <w:r w:rsidRPr="008D7AB4">
        <w:t>The enterprise Ananda Metais (6.93 ODP tonnes) converted to MF instead of hydrocarbon (HC) as originally planned, achieving savings of US $154,222 by incurring lower incremental capital costs (ICCs). These unspent funds will be deducted from funding for the sixth tranche; and</w:t>
      </w:r>
    </w:p>
    <w:p w14:paraId="7359E3E7" w14:textId="77777777" w:rsidR="00980BF0" w:rsidRPr="008D7AB4" w:rsidRDefault="00980BF0" w:rsidP="00B85D05">
      <w:pPr>
        <w:pStyle w:val="Heading2"/>
        <w:widowControl/>
      </w:pPr>
      <w:r w:rsidRPr="008D7AB4">
        <w:t>The enterprise Tecpur (1.43 ODP tonnes) developed formulations for several low</w:t>
      </w:r>
      <w:r w:rsidRPr="008D7AB4">
        <w:noBreakHyphen/>
        <w:t>GWP alternatives; however, it eventually withdrew from participating in the project due to the unavailability of HFOs in the domestic market, coupled with the availability of HFC</w:t>
      </w:r>
      <w:r w:rsidRPr="008D7AB4">
        <w:noBreakHyphen/>
        <w:t>365mfc/227ea</w:t>
      </w:r>
      <w:r w:rsidRPr="008D7AB4">
        <w:rPr>
          <w:rStyle w:val="FootnoteReference"/>
        </w:rPr>
        <w:footnoteReference w:id="28"/>
      </w:r>
      <w:r w:rsidRPr="008D7AB4">
        <w:t xml:space="preserve"> at competitive prices. The remaining funds allocated for this conversion (US $89,810) will be deducted from the sixth tranche.</w:t>
      </w:r>
    </w:p>
    <w:p w14:paraId="5A88FCFE" w14:textId="4E3CD82F" w:rsidR="00980BF0" w:rsidRPr="008D7AB4" w:rsidRDefault="00980BF0" w:rsidP="00980BF0">
      <w:pPr>
        <w:pStyle w:val="Heading1"/>
      </w:pPr>
      <w:r w:rsidRPr="008D7AB4">
        <w:t xml:space="preserve">Table </w:t>
      </w:r>
      <w:r w:rsidR="006E63AE">
        <w:t>4</w:t>
      </w:r>
      <w:r w:rsidRPr="008D7AB4">
        <w:t xml:space="preserve"> summarizes the progress of conversions in the 13 participating PU foam enterprises.</w:t>
      </w:r>
    </w:p>
    <w:p w14:paraId="545E81A7" w14:textId="1C73A6C1" w:rsidR="00980BF0" w:rsidRPr="008D7AB4" w:rsidRDefault="00980BF0" w:rsidP="00980BF0">
      <w:pPr>
        <w:keepNext/>
        <w:rPr>
          <w:b/>
          <w:highlight w:val="yellow"/>
        </w:rPr>
      </w:pPr>
      <w:r w:rsidRPr="008D7AB4">
        <w:rPr>
          <w:b/>
        </w:rPr>
        <w:t xml:space="preserve">Table </w:t>
      </w:r>
      <w:r w:rsidR="006E63AE">
        <w:rPr>
          <w:b/>
        </w:rPr>
        <w:t>4.</w:t>
      </w:r>
      <w:r w:rsidRPr="008D7AB4">
        <w:rPr>
          <w:b/>
        </w:rPr>
        <w:t xml:space="preserve"> Status of progress of conversion projects in the PU foam manufacturing sector in Brazil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9"/>
        <w:gridCol w:w="1546"/>
        <w:gridCol w:w="1965"/>
        <w:gridCol w:w="2807"/>
        <w:gridCol w:w="1633"/>
      </w:tblGrid>
      <w:tr w:rsidR="00980BF0" w:rsidRPr="008D7AB4" w14:paraId="09C6D986" w14:textId="77777777" w:rsidTr="0013699E">
        <w:trPr>
          <w:trHeight w:val="362"/>
          <w:tblHeader/>
        </w:trPr>
        <w:tc>
          <w:tcPr>
            <w:tcW w:w="1575" w:type="pct"/>
            <w:gridSpan w:val="2"/>
            <w:vAlign w:val="center"/>
          </w:tcPr>
          <w:p w14:paraId="48A0B44A" w14:textId="77777777" w:rsidR="00980BF0" w:rsidRPr="008D7AB4" w:rsidRDefault="00980BF0" w:rsidP="0013699E">
            <w:pPr>
              <w:keepNext/>
              <w:jc w:val="center"/>
              <w:rPr>
                <w:b/>
                <w:bCs/>
                <w:color w:val="000000"/>
                <w:sz w:val="20"/>
                <w:szCs w:val="20"/>
                <w:lang w:eastAsia="en-CA"/>
              </w:rPr>
            </w:pPr>
            <w:r w:rsidRPr="008D7AB4">
              <w:rPr>
                <w:b/>
                <w:bCs/>
                <w:color w:val="000000"/>
                <w:sz w:val="20"/>
                <w:szCs w:val="20"/>
                <w:lang w:eastAsia="en-CA"/>
              </w:rPr>
              <w:t>Participating enterprises</w:t>
            </w:r>
          </w:p>
        </w:tc>
        <w:tc>
          <w:tcPr>
            <w:tcW w:w="1051" w:type="pct"/>
            <w:vAlign w:val="center"/>
          </w:tcPr>
          <w:p w14:paraId="583165CE" w14:textId="77777777" w:rsidR="00980BF0" w:rsidRPr="008D7AB4" w:rsidRDefault="00980BF0" w:rsidP="0013699E">
            <w:pPr>
              <w:keepNext/>
              <w:jc w:val="center"/>
              <w:rPr>
                <w:b/>
                <w:bCs/>
                <w:color w:val="000000"/>
                <w:sz w:val="20"/>
                <w:szCs w:val="20"/>
                <w:lang w:eastAsia="en-CA"/>
              </w:rPr>
            </w:pPr>
            <w:r w:rsidRPr="008D7AB4">
              <w:rPr>
                <w:b/>
                <w:bCs/>
                <w:color w:val="000000"/>
                <w:sz w:val="20"/>
                <w:szCs w:val="20"/>
                <w:lang w:eastAsia="en-CA"/>
              </w:rPr>
              <w:t>Selected alternative technology</w:t>
            </w:r>
          </w:p>
        </w:tc>
        <w:tc>
          <w:tcPr>
            <w:tcW w:w="1501" w:type="pct"/>
            <w:vAlign w:val="center"/>
          </w:tcPr>
          <w:p w14:paraId="7A1B7164" w14:textId="77777777" w:rsidR="00980BF0" w:rsidRPr="008D7AB4" w:rsidRDefault="00980BF0" w:rsidP="0013699E">
            <w:pPr>
              <w:keepNext/>
              <w:jc w:val="center"/>
              <w:rPr>
                <w:b/>
                <w:bCs/>
                <w:color w:val="000000"/>
                <w:sz w:val="20"/>
                <w:szCs w:val="20"/>
                <w:lang w:eastAsia="en-CA"/>
              </w:rPr>
            </w:pPr>
            <w:r w:rsidRPr="008D7AB4">
              <w:rPr>
                <w:b/>
                <w:bCs/>
                <w:color w:val="000000"/>
                <w:sz w:val="20"/>
                <w:szCs w:val="20"/>
                <w:lang w:eastAsia="en-CA"/>
              </w:rPr>
              <w:t>Status of implementation</w:t>
            </w:r>
          </w:p>
        </w:tc>
        <w:tc>
          <w:tcPr>
            <w:tcW w:w="873" w:type="pct"/>
            <w:shd w:val="clear" w:color="auto" w:fill="auto"/>
            <w:tcMar>
              <w:left w:w="0" w:type="dxa"/>
              <w:right w:w="0" w:type="dxa"/>
            </w:tcMar>
            <w:vAlign w:val="center"/>
            <w:hideMark/>
          </w:tcPr>
          <w:p w14:paraId="09D9F634" w14:textId="77777777" w:rsidR="00980BF0" w:rsidRPr="008D7AB4" w:rsidRDefault="00980BF0" w:rsidP="0013699E">
            <w:pPr>
              <w:keepNext/>
              <w:jc w:val="center"/>
              <w:rPr>
                <w:b/>
                <w:bCs/>
                <w:color w:val="000000"/>
                <w:sz w:val="20"/>
                <w:szCs w:val="20"/>
                <w:lang w:eastAsia="en-CA"/>
              </w:rPr>
            </w:pPr>
            <w:r w:rsidRPr="008D7AB4">
              <w:rPr>
                <w:b/>
                <w:bCs/>
                <w:color w:val="000000"/>
                <w:sz w:val="20"/>
                <w:szCs w:val="20"/>
                <w:lang w:eastAsia="en-CA"/>
              </w:rPr>
              <w:t>HCFC phase</w:t>
            </w:r>
            <w:r w:rsidRPr="008D7AB4">
              <w:rPr>
                <w:b/>
                <w:bCs/>
                <w:color w:val="000000"/>
                <w:sz w:val="20"/>
                <w:szCs w:val="20"/>
                <w:lang w:eastAsia="en-CA"/>
              </w:rPr>
              <w:noBreakHyphen/>
              <w:t>out (ODP tonnes)</w:t>
            </w:r>
          </w:p>
        </w:tc>
      </w:tr>
      <w:tr w:rsidR="00980BF0" w:rsidRPr="008D7AB4" w14:paraId="5B0111A8" w14:textId="77777777" w:rsidTr="0013699E">
        <w:trPr>
          <w:trHeight w:val="797"/>
        </w:trPr>
        <w:tc>
          <w:tcPr>
            <w:tcW w:w="1575" w:type="pct"/>
            <w:gridSpan w:val="2"/>
          </w:tcPr>
          <w:p w14:paraId="2C9398BC" w14:textId="77777777" w:rsidR="00980BF0" w:rsidRPr="00CB4CCD" w:rsidRDefault="00980BF0" w:rsidP="0013699E">
            <w:pPr>
              <w:keepNext/>
              <w:spacing w:after="60"/>
              <w:jc w:val="left"/>
              <w:rPr>
                <w:color w:val="000000"/>
                <w:sz w:val="20"/>
                <w:szCs w:val="20"/>
                <w:lang w:val="es-AR" w:eastAsia="en-CA"/>
              </w:rPr>
            </w:pPr>
            <w:r w:rsidRPr="00CB4CCD">
              <w:rPr>
                <w:color w:val="000000"/>
                <w:sz w:val="20"/>
                <w:szCs w:val="20"/>
                <w:lang w:val="es-AR" w:eastAsia="en-CA"/>
              </w:rPr>
              <w:t>Ananda Metais, Artico, Cold Air, F. Ibipora, Gelopar, IBF, Isar, Niju, Refrimate, São Rafael, Termjet/Thermotelas (11)</w:t>
            </w:r>
          </w:p>
        </w:tc>
        <w:tc>
          <w:tcPr>
            <w:tcW w:w="1051" w:type="pct"/>
          </w:tcPr>
          <w:p w14:paraId="355740D6" w14:textId="77777777" w:rsidR="00980BF0" w:rsidRPr="008D7AB4" w:rsidRDefault="00980BF0" w:rsidP="0013699E">
            <w:pPr>
              <w:keepNext/>
              <w:jc w:val="left"/>
              <w:rPr>
                <w:color w:val="000000"/>
                <w:sz w:val="20"/>
                <w:szCs w:val="20"/>
                <w:lang w:eastAsia="en-CA"/>
              </w:rPr>
            </w:pPr>
            <w:r w:rsidRPr="008D7AB4">
              <w:rPr>
                <w:color w:val="000000"/>
                <w:sz w:val="20"/>
                <w:szCs w:val="20"/>
                <w:lang w:eastAsia="en-CA"/>
              </w:rPr>
              <w:t>CO</w:t>
            </w:r>
            <w:r w:rsidRPr="008D7AB4">
              <w:rPr>
                <w:color w:val="000000"/>
                <w:sz w:val="20"/>
                <w:szCs w:val="20"/>
                <w:vertAlign w:val="subscript"/>
                <w:lang w:eastAsia="en-CA"/>
              </w:rPr>
              <w:t>2</w:t>
            </w:r>
            <w:r w:rsidRPr="008D7AB4">
              <w:rPr>
                <w:color w:val="000000"/>
                <w:sz w:val="20"/>
                <w:szCs w:val="20"/>
                <w:lang w:eastAsia="en-CA"/>
              </w:rPr>
              <w:t>, MF, methylal, HFO</w:t>
            </w:r>
          </w:p>
        </w:tc>
        <w:tc>
          <w:tcPr>
            <w:tcW w:w="1501" w:type="pct"/>
          </w:tcPr>
          <w:p w14:paraId="6F5F11BA" w14:textId="77777777" w:rsidR="00980BF0" w:rsidRPr="008D7AB4" w:rsidRDefault="00980BF0" w:rsidP="0013699E">
            <w:pPr>
              <w:keepNext/>
              <w:jc w:val="left"/>
              <w:rPr>
                <w:color w:val="000000"/>
                <w:sz w:val="20"/>
                <w:szCs w:val="20"/>
                <w:lang w:eastAsia="en-CA"/>
              </w:rPr>
            </w:pPr>
            <w:r w:rsidRPr="008D7AB4">
              <w:rPr>
                <w:color w:val="000000"/>
                <w:sz w:val="20"/>
                <w:szCs w:val="20"/>
                <w:lang w:eastAsia="en-CA"/>
              </w:rPr>
              <w:t>Project completed</w:t>
            </w:r>
          </w:p>
        </w:tc>
        <w:tc>
          <w:tcPr>
            <w:tcW w:w="873" w:type="pct"/>
            <w:shd w:val="clear" w:color="auto" w:fill="auto"/>
            <w:tcMar>
              <w:left w:w="115" w:type="dxa"/>
              <w:right w:w="173" w:type="dxa"/>
            </w:tcMar>
            <w:hideMark/>
          </w:tcPr>
          <w:p w14:paraId="2D38116B" w14:textId="77777777" w:rsidR="00980BF0" w:rsidRPr="008D7AB4" w:rsidRDefault="00980BF0" w:rsidP="0013699E">
            <w:pPr>
              <w:keepNext/>
              <w:jc w:val="right"/>
              <w:rPr>
                <w:color w:val="000000"/>
                <w:sz w:val="20"/>
                <w:szCs w:val="20"/>
                <w:lang w:eastAsia="en-CA"/>
              </w:rPr>
            </w:pPr>
            <w:r w:rsidRPr="008D7AB4">
              <w:rPr>
                <w:color w:val="000000"/>
                <w:sz w:val="20"/>
                <w:szCs w:val="20"/>
                <w:lang w:eastAsia="en-CA"/>
              </w:rPr>
              <w:t>49.06</w:t>
            </w:r>
          </w:p>
        </w:tc>
      </w:tr>
      <w:tr w:rsidR="00980BF0" w:rsidRPr="008D7AB4" w14:paraId="22F7F411" w14:textId="77777777" w:rsidTr="0013699E">
        <w:trPr>
          <w:trHeight w:val="158"/>
        </w:trPr>
        <w:tc>
          <w:tcPr>
            <w:tcW w:w="1575" w:type="pct"/>
            <w:gridSpan w:val="2"/>
          </w:tcPr>
          <w:p w14:paraId="530F476D" w14:textId="77777777" w:rsidR="00980BF0" w:rsidRPr="008D7AB4" w:rsidRDefault="00980BF0" w:rsidP="0013699E">
            <w:pPr>
              <w:jc w:val="left"/>
              <w:rPr>
                <w:color w:val="000000"/>
                <w:sz w:val="20"/>
                <w:szCs w:val="20"/>
                <w:lang w:eastAsia="en-CA"/>
              </w:rPr>
            </w:pPr>
            <w:r w:rsidRPr="008D7AB4">
              <w:rPr>
                <w:color w:val="000000"/>
                <w:sz w:val="20"/>
                <w:szCs w:val="20"/>
                <w:lang w:eastAsia="en-CA"/>
              </w:rPr>
              <w:t>Bulltrade (1)</w:t>
            </w:r>
          </w:p>
        </w:tc>
        <w:tc>
          <w:tcPr>
            <w:tcW w:w="1051" w:type="pct"/>
          </w:tcPr>
          <w:p w14:paraId="0C3401EF" w14:textId="77777777" w:rsidR="00980BF0" w:rsidRPr="008D7AB4" w:rsidRDefault="00980BF0" w:rsidP="0013699E">
            <w:pPr>
              <w:jc w:val="left"/>
              <w:rPr>
                <w:color w:val="000000"/>
                <w:sz w:val="20"/>
                <w:szCs w:val="20"/>
                <w:lang w:eastAsia="en-CA"/>
              </w:rPr>
            </w:pPr>
            <w:r w:rsidRPr="008D7AB4">
              <w:rPr>
                <w:color w:val="000000"/>
                <w:sz w:val="20"/>
                <w:szCs w:val="20"/>
                <w:lang w:eastAsia="en-CA"/>
              </w:rPr>
              <w:t>HFO</w:t>
            </w:r>
          </w:p>
        </w:tc>
        <w:tc>
          <w:tcPr>
            <w:tcW w:w="1501" w:type="pct"/>
          </w:tcPr>
          <w:p w14:paraId="423ADF6D" w14:textId="77777777" w:rsidR="00980BF0" w:rsidRPr="008D7AB4" w:rsidRDefault="00980BF0" w:rsidP="0013699E">
            <w:pPr>
              <w:spacing w:after="60"/>
              <w:jc w:val="left"/>
              <w:rPr>
                <w:color w:val="000000"/>
                <w:sz w:val="20"/>
                <w:szCs w:val="20"/>
                <w:lang w:eastAsia="en-CA"/>
              </w:rPr>
            </w:pPr>
            <w:r w:rsidRPr="008D7AB4">
              <w:rPr>
                <w:color w:val="000000"/>
                <w:sz w:val="20"/>
                <w:szCs w:val="20"/>
                <w:lang w:eastAsia="en-CA"/>
              </w:rPr>
              <w:t>Completed formulation development and started industrial conversions</w:t>
            </w:r>
          </w:p>
        </w:tc>
        <w:tc>
          <w:tcPr>
            <w:tcW w:w="873" w:type="pct"/>
            <w:shd w:val="clear" w:color="auto" w:fill="auto"/>
            <w:tcMar>
              <w:left w:w="115" w:type="dxa"/>
              <w:right w:w="173" w:type="dxa"/>
            </w:tcMar>
            <w:hideMark/>
          </w:tcPr>
          <w:p w14:paraId="679A3BE0" w14:textId="77777777" w:rsidR="00980BF0" w:rsidRPr="008D7AB4" w:rsidRDefault="00980BF0" w:rsidP="0013699E">
            <w:pPr>
              <w:jc w:val="right"/>
              <w:rPr>
                <w:color w:val="000000"/>
                <w:sz w:val="20"/>
                <w:szCs w:val="20"/>
                <w:lang w:eastAsia="en-CA"/>
              </w:rPr>
            </w:pPr>
            <w:r w:rsidRPr="008D7AB4">
              <w:rPr>
                <w:color w:val="000000"/>
                <w:sz w:val="20"/>
                <w:szCs w:val="20"/>
                <w:lang w:eastAsia="en-CA"/>
              </w:rPr>
              <w:t>3.03</w:t>
            </w:r>
          </w:p>
        </w:tc>
      </w:tr>
      <w:tr w:rsidR="00980BF0" w:rsidRPr="008D7AB4" w14:paraId="1B4388A6" w14:textId="77777777" w:rsidTr="0013699E">
        <w:trPr>
          <w:trHeight w:val="40"/>
        </w:trPr>
        <w:tc>
          <w:tcPr>
            <w:tcW w:w="1575" w:type="pct"/>
            <w:gridSpan w:val="2"/>
          </w:tcPr>
          <w:p w14:paraId="1D5AF50A" w14:textId="77777777" w:rsidR="00980BF0" w:rsidRPr="008D7AB4" w:rsidRDefault="00980BF0" w:rsidP="0013699E">
            <w:pPr>
              <w:jc w:val="left"/>
              <w:rPr>
                <w:color w:val="000000"/>
                <w:sz w:val="20"/>
                <w:szCs w:val="20"/>
                <w:lang w:eastAsia="en-CA"/>
              </w:rPr>
            </w:pPr>
            <w:r w:rsidRPr="008D7AB4">
              <w:rPr>
                <w:color w:val="000000"/>
                <w:sz w:val="20"/>
                <w:szCs w:val="20"/>
                <w:lang w:eastAsia="en-CA"/>
              </w:rPr>
              <w:t>Tecpur (1)</w:t>
            </w:r>
          </w:p>
        </w:tc>
        <w:tc>
          <w:tcPr>
            <w:tcW w:w="1051" w:type="pct"/>
          </w:tcPr>
          <w:p w14:paraId="45773156" w14:textId="77777777" w:rsidR="00980BF0" w:rsidRPr="008D7AB4" w:rsidRDefault="00980BF0" w:rsidP="0013699E">
            <w:pPr>
              <w:jc w:val="left"/>
              <w:rPr>
                <w:color w:val="000000"/>
                <w:sz w:val="20"/>
                <w:szCs w:val="20"/>
                <w:lang w:eastAsia="en-CA"/>
              </w:rPr>
            </w:pPr>
            <w:r w:rsidRPr="008D7AB4">
              <w:rPr>
                <w:color w:val="000000"/>
                <w:sz w:val="20"/>
                <w:szCs w:val="20"/>
                <w:lang w:eastAsia="en-CA"/>
              </w:rPr>
              <w:t>HFC (self-funded)</w:t>
            </w:r>
          </w:p>
        </w:tc>
        <w:tc>
          <w:tcPr>
            <w:tcW w:w="1501" w:type="pct"/>
          </w:tcPr>
          <w:p w14:paraId="08AC8CA2" w14:textId="77777777" w:rsidR="00980BF0" w:rsidRPr="008D7AB4" w:rsidRDefault="00980BF0" w:rsidP="0013699E">
            <w:pPr>
              <w:spacing w:after="60"/>
              <w:jc w:val="left"/>
              <w:rPr>
                <w:color w:val="000000"/>
                <w:sz w:val="20"/>
                <w:szCs w:val="20"/>
                <w:lang w:eastAsia="en-CA"/>
              </w:rPr>
            </w:pPr>
            <w:r w:rsidRPr="008D7AB4">
              <w:rPr>
                <w:color w:val="000000"/>
                <w:sz w:val="20"/>
                <w:szCs w:val="20"/>
                <w:lang w:eastAsia="en-CA"/>
              </w:rPr>
              <w:t>Withdrew from the project</w:t>
            </w:r>
          </w:p>
        </w:tc>
        <w:tc>
          <w:tcPr>
            <w:tcW w:w="873" w:type="pct"/>
            <w:shd w:val="clear" w:color="auto" w:fill="auto"/>
            <w:tcMar>
              <w:left w:w="115" w:type="dxa"/>
              <w:right w:w="173" w:type="dxa"/>
            </w:tcMar>
          </w:tcPr>
          <w:p w14:paraId="5E9BD4E7" w14:textId="77777777" w:rsidR="00980BF0" w:rsidRPr="008D7AB4" w:rsidRDefault="00980BF0" w:rsidP="0013699E">
            <w:pPr>
              <w:jc w:val="right"/>
              <w:rPr>
                <w:color w:val="000000"/>
                <w:sz w:val="20"/>
                <w:szCs w:val="20"/>
                <w:lang w:eastAsia="en-CA"/>
              </w:rPr>
            </w:pPr>
            <w:r w:rsidRPr="008D7AB4">
              <w:rPr>
                <w:color w:val="000000"/>
                <w:sz w:val="20"/>
                <w:szCs w:val="20"/>
                <w:lang w:eastAsia="en-CA"/>
              </w:rPr>
              <w:t>1.43</w:t>
            </w:r>
          </w:p>
        </w:tc>
      </w:tr>
      <w:tr w:rsidR="00980BF0" w:rsidRPr="008D7AB4" w14:paraId="3FB2D8C2" w14:textId="77777777" w:rsidTr="0013699E">
        <w:trPr>
          <w:trHeight w:val="234"/>
        </w:trPr>
        <w:tc>
          <w:tcPr>
            <w:tcW w:w="748" w:type="pct"/>
            <w:tcBorders>
              <w:right w:val="nil"/>
            </w:tcBorders>
          </w:tcPr>
          <w:p w14:paraId="08DDFCE8" w14:textId="77777777" w:rsidR="00980BF0" w:rsidRPr="008D7AB4" w:rsidRDefault="00980BF0" w:rsidP="0013699E">
            <w:pPr>
              <w:jc w:val="left"/>
              <w:rPr>
                <w:color w:val="000000"/>
                <w:sz w:val="20"/>
                <w:szCs w:val="20"/>
                <w:lang w:eastAsia="en-CA"/>
              </w:rPr>
            </w:pPr>
            <w:r w:rsidRPr="008D7AB4">
              <w:rPr>
                <w:b/>
                <w:bCs/>
                <w:color w:val="000000"/>
                <w:sz w:val="20"/>
                <w:szCs w:val="20"/>
                <w:lang w:eastAsia="en-CA"/>
              </w:rPr>
              <w:t>Total:</w:t>
            </w:r>
          </w:p>
        </w:tc>
        <w:tc>
          <w:tcPr>
            <w:tcW w:w="827" w:type="pct"/>
            <w:tcBorders>
              <w:left w:val="nil"/>
            </w:tcBorders>
          </w:tcPr>
          <w:p w14:paraId="473C1763" w14:textId="77777777" w:rsidR="00980BF0" w:rsidRPr="008D7AB4" w:rsidRDefault="00980BF0" w:rsidP="0013699E">
            <w:pPr>
              <w:jc w:val="right"/>
              <w:rPr>
                <w:b/>
                <w:bCs/>
                <w:color w:val="000000"/>
                <w:sz w:val="20"/>
                <w:szCs w:val="20"/>
                <w:lang w:eastAsia="en-CA"/>
              </w:rPr>
            </w:pPr>
            <w:r w:rsidRPr="008D7AB4">
              <w:rPr>
                <w:b/>
                <w:bCs/>
                <w:color w:val="000000"/>
                <w:sz w:val="20"/>
                <w:szCs w:val="20"/>
                <w:lang w:eastAsia="en-CA"/>
              </w:rPr>
              <w:t>13</w:t>
            </w:r>
          </w:p>
        </w:tc>
        <w:tc>
          <w:tcPr>
            <w:tcW w:w="1051" w:type="pct"/>
          </w:tcPr>
          <w:p w14:paraId="675A1943" w14:textId="77777777" w:rsidR="00980BF0" w:rsidRPr="008D7AB4" w:rsidRDefault="00980BF0" w:rsidP="0013699E">
            <w:pPr>
              <w:jc w:val="right"/>
              <w:rPr>
                <w:b/>
                <w:bCs/>
                <w:color w:val="000000"/>
                <w:sz w:val="20"/>
                <w:szCs w:val="20"/>
                <w:lang w:eastAsia="en-CA"/>
              </w:rPr>
            </w:pPr>
          </w:p>
        </w:tc>
        <w:tc>
          <w:tcPr>
            <w:tcW w:w="1501" w:type="pct"/>
          </w:tcPr>
          <w:p w14:paraId="0688198D" w14:textId="77777777" w:rsidR="00980BF0" w:rsidRPr="008D7AB4" w:rsidRDefault="00980BF0" w:rsidP="0013699E">
            <w:pPr>
              <w:jc w:val="right"/>
              <w:rPr>
                <w:b/>
                <w:bCs/>
                <w:color w:val="000000"/>
                <w:sz w:val="20"/>
                <w:szCs w:val="20"/>
                <w:lang w:eastAsia="en-CA"/>
              </w:rPr>
            </w:pPr>
          </w:p>
        </w:tc>
        <w:tc>
          <w:tcPr>
            <w:tcW w:w="873" w:type="pct"/>
            <w:shd w:val="clear" w:color="auto" w:fill="auto"/>
            <w:tcMar>
              <w:left w:w="115" w:type="dxa"/>
              <w:right w:w="173" w:type="dxa"/>
            </w:tcMar>
            <w:hideMark/>
          </w:tcPr>
          <w:p w14:paraId="2E48F384" w14:textId="77777777" w:rsidR="00980BF0" w:rsidRPr="008D7AB4" w:rsidRDefault="00980BF0" w:rsidP="0013699E">
            <w:pPr>
              <w:jc w:val="right"/>
              <w:rPr>
                <w:b/>
                <w:bCs/>
                <w:color w:val="000000"/>
                <w:sz w:val="20"/>
                <w:szCs w:val="20"/>
                <w:lang w:eastAsia="en-CA"/>
              </w:rPr>
            </w:pPr>
            <w:r w:rsidRPr="008D7AB4">
              <w:rPr>
                <w:b/>
                <w:bCs/>
                <w:color w:val="000000"/>
                <w:sz w:val="20"/>
                <w:szCs w:val="20"/>
                <w:lang w:eastAsia="en-CA"/>
              </w:rPr>
              <w:t>53.52</w:t>
            </w:r>
          </w:p>
        </w:tc>
      </w:tr>
    </w:tbl>
    <w:p w14:paraId="4B326118" w14:textId="1A9492BE" w:rsidR="00980BF0" w:rsidRDefault="00980BF0" w:rsidP="002E1E12">
      <w:pPr>
        <w:widowControl w:val="0"/>
        <w:rPr>
          <w:i/>
          <w:u w:val="single"/>
        </w:rPr>
      </w:pPr>
    </w:p>
    <w:p w14:paraId="66C3AEA8" w14:textId="77777777" w:rsidR="00980BF0" w:rsidRPr="008D7AB4" w:rsidRDefault="00980BF0" w:rsidP="002E1E12">
      <w:pPr>
        <w:keepNext/>
        <w:widowControl w:val="0"/>
        <w:rPr>
          <w:i/>
        </w:rPr>
      </w:pPr>
      <w:r w:rsidRPr="008D7AB4">
        <w:rPr>
          <w:i/>
        </w:rPr>
        <w:t>Conversion of 14 systems houses with 445 downstream users</w:t>
      </w:r>
      <w:r w:rsidRPr="008D7AB4">
        <w:rPr>
          <w:rStyle w:val="FootnoteReference"/>
          <w:i/>
        </w:rPr>
        <w:footnoteReference w:id="29"/>
      </w:r>
      <w:r w:rsidRPr="008D7AB4">
        <w:rPr>
          <w:i/>
        </w:rPr>
        <w:t xml:space="preserve"> (116.20 ODP tonnes)</w:t>
      </w:r>
    </w:p>
    <w:p w14:paraId="7C10542B" w14:textId="77777777" w:rsidR="00980BF0" w:rsidRPr="008D7AB4" w:rsidRDefault="00980BF0" w:rsidP="002E1E12">
      <w:pPr>
        <w:keepNext/>
        <w:widowControl w:val="0"/>
        <w:rPr>
          <w:u w:val="single"/>
        </w:rPr>
      </w:pPr>
    </w:p>
    <w:p w14:paraId="197A0077" w14:textId="77777777" w:rsidR="00980BF0" w:rsidRPr="008D7AB4" w:rsidRDefault="00980BF0" w:rsidP="002E1E12">
      <w:pPr>
        <w:pStyle w:val="Heading1"/>
        <w:keepNext/>
      </w:pPr>
      <w:r w:rsidRPr="008D7AB4">
        <w:t>Nine eligible systems houses have completed developing their formulations with low</w:t>
      </w:r>
      <w:r w:rsidRPr="008D7AB4">
        <w:noBreakHyphen/>
        <w:t>GWP blowing agents, followed by plant conversions where needed, and are now in the process of assisting their downstream users (DSUs) to convert to the new formulations; 100 DSUs have already completed conversions. The remaining systems houses and DSUs are at different stages of implementation. During the implementation of the project the following issues were encountered:</w:t>
      </w:r>
    </w:p>
    <w:p w14:paraId="78709F08" w14:textId="77777777" w:rsidR="00980BF0" w:rsidRPr="008D7AB4" w:rsidRDefault="00980BF0" w:rsidP="002E1E12">
      <w:pPr>
        <w:pStyle w:val="Heading2"/>
        <w:keepNext/>
      </w:pPr>
      <w:r w:rsidRPr="008D7AB4">
        <w:t>It was not possible to reach an agreement with Basf and Dow (both ineligible systems houses) to support the conversion of their (eligible) DSUs. Therefore, UNDP started assisting these DSUs directly, having so far completed two conversions and started a third one;</w:t>
      </w:r>
    </w:p>
    <w:p w14:paraId="1391F2E4" w14:textId="77777777" w:rsidR="00980BF0" w:rsidRPr="008D7AB4" w:rsidRDefault="00980BF0" w:rsidP="00980BF0">
      <w:pPr>
        <w:pStyle w:val="Heading2"/>
      </w:pPr>
      <w:r w:rsidRPr="008D7AB4">
        <w:t>One systems house (Polisystem) declined to participate in the project, stating that it would migrate from the use of HCFC-141b to HFC-365mfc/HFC-227ea technology with its own resources, and making the associated conversions of its 47 DSUs ineligible for assistance. Accordingly, funding associated with the Polisystem group investment project (US $950,562) will be deducted from the sixth tranche; and</w:t>
      </w:r>
    </w:p>
    <w:p w14:paraId="611FC767" w14:textId="36347309" w:rsidR="00980BF0" w:rsidRPr="008D7AB4" w:rsidRDefault="00980BF0" w:rsidP="00980BF0">
      <w:pPr>
        <w:pStyle w:val="Heading2"/>
      </w:pPr>
      <w:r w:rsidRPr="008D7AB4">
        <w:t xml:space="preserve">Thirty-three DSUs will not participate in the HPMP because they have either stopped manufacturing PU foam (4), already received assistance under </w:t>
      </w:r>
      <w:r w:rsidR="00B92759">
        <w:t>stage </w:t>
      </w:r>
      <w:r w:rsidRPr="008D7AB4">
        <w:t>I (20), been identified as ineligible (1), or declined to participate in the project and chosen to convert to HFC</w:t>
      </w:r>
      <w:r w:rsidRPr="008D7AB4">
        <w:noBreakHyphen/>
        <w:t>365mfc/HFC-227ea with their own resources (8). In addition, one DSU had lower consumption than initially reported, resulting in ICC savings. The resources associated with the conversion of these DSUs (US $1,300,407) will be deducted from the sixth tranche.</w:t>
      </w:r>
    </w:p>
    <w:p w14:paraId="1B31AB90" w14:textId="3B42B3FE" w:rsidR="00980BF0" w:rsidRPr="008D7AB4" w:rsidRDefault="00980BF0" w:rsidP="00980BF0">
      <w:pPr>
        <w:pStyle w:val="Heading1"/>
      </w:pPr>
      <w:r w:rsidRPr="008D7AB4">
        <w:t>The status of progress of the group projects is presented in table </w:t>
      </w:r>
      <w:r w:rsidR="006E63AE">
        <w:t>5</w:t>
      </w:r>
      <w:r w:rsidRPr="008D7AB4">
        <w:t xml:space="preserve">. </w:t>
      </w:r>
    </w:p>
    <w:p w14:paraId="5B8F716D" w14:textId="5A95DC74" w:rsidR="00980BF0" w:rsidRPr="008D7AB4" w:rsidRDefault="00980BF0" w:rsidP="00980BF0">
      <w:pPr>
        <w:keepNext/>
        <w:rPr>
          <w:rFonts w:ascii="Times New Roman Bold" w:hAnsi="Times New Roman Bold"/>
          <w:b/>
          <w:w w:val="98"/>
        </w:rPr>
      </w:pPr>
      <w:r w:rsidRPr="008D7AB4">
        <w:rPr>
          <w:rFonts w:ascii="Times New Roman Bold" w:hAnsi="Times New Roman Bold"/>
          <w:b/>
          <w:w w:val="98"/>
        </w:rPr>
        <w:t xml:space="preserve">Table </w:t>
      </w:r>
      <w:r w:rsidR="006E63AE">
        <w:rPr>
          <w:rFonts w:ascii="Times New Roman Bold" w:hAnsi="Times New Roman Bold"/>
          <w:b/>
          <w:w w:val="98"/>
        </w:rPr>
        <w:t>5</w:t>
      </w:r>
      <w:r w:rsidRPr="008D7AB4">
        <w:rPr>
          <w:rFonts w:ascii="Times New Roman Bold" w:hAnsi="Times New Roman Bold"/>
          <w:b/>
          <w:w w:val="98"/>
        </w:rPr>
        <w:t>. Status of progress of group conversion projects in the PU foam manufacturing sector in Brazil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843"/>
        <w:gridCol w:w="1276"/>
        <w:gridCol w:w="992"/>
        <w:gridCol w:w="850"/>
        <w:gridCol w:w="1134"/>
        <w:gridCol w:w="1134"/>
        <w:gridCol w:w="940"/>
      </w:tblGrid>
      <w:tr w:rsidR="00980BF0" w:rsidRPr="008D7AB4" w14:paraId="7F1DDD0E" w14:textId="77777777" w:rsidTr="0013699E">
        <w:trPr>
          <w:trHeight w:val="487"/>
          <w:tblHeader/>
        </w:trPr>
        <w:tc>
          <w:tcPr>
            <w:tcW w:w="1271" w:type="dxa"/>
            <w:vMerge w:val="restart"/>
            <w:tcBorders>
              <w:top w:val="single" w:sz="4" w:space="0" w:color="auto"/>
              <w:left w:val="single" w:sz="4" w:space="0" w:color="auto"/>
              <w:right w:val="single" w:sz="4" w:space="0" w:color="auto"/>
            </w:tcBorders>
            <w:tcMar>
              <w:left w:w="57" w:type="dxa"/>
              <w:right w:w="57" w:type="dxa"/>
            </w:tcMar>
            <w:vAlign w:val="center"/>
          </w:tcPr>
          <w:p w14:paraId="28FF52B1" w14:textId="77777777" w:rsidR="00980BF0" w:rsidRPr="008D7AB4" w:rsidRDefault="00980BF0" w:rsidP="0013699E">
            <w:pPr>
              <w:keepNext/>
              <w:jc w:val="center"/>
              <w:rPr>
                <w:b/>
                <w:bCs/>
                <w:color w:val="000000"/>
                <w:sz w:val="19"/>
                <w:szCs w:val="19"/>
              </w:rPr>
            </w:pPr>
            <w:r w:rsidRPr="008D7AB4">
              <w:rPr>
                <w:b/>
                <w:bCs/>
                <w:color w:val="000000"/>
                <w:sz w:val="19"/>
                <w:szCs w:val="19"/>
              </w:rPr>
              <w:t>Participating systems houses</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6141FF3" w14:textId="77777777" w:rsidR="00980BF0" w:rsidRPr="008D7AB4" w:rsidRDefault="00980BF0" w:rsidP="0013699E">
            <w:pPr>
              <w:keepNext/>
              <w:jc w:val="center"/>
              <w:rPr>
                <w:b/>
                <w:bCs/>
                <w:color w:val="000000"/>
                <w:sz w:val="19"/>
                <w:szCs w:val="19"/>
              </w:rPr>
            </w:pPr>
            <w:r w:rsidRPr="008D7AB4">
              <w:rPr>
                <w:b/>
                <w:bCs/>
                <w:color w:val="000000"/>
                <w:sz w:val="19"/>
                <w:szCs w:val="19"/>
              </w:rPr>
              <w:t>Selected alternative technology</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2D1A8A57" w14:textId="77777777" w:rsidR="00980BF0" w:rsidRPr="008D7AB4" w:rsidRDefault="00980BF0" w:rsidP="0013699E">
            <w:pPr>
              <w:keepNext/>
              <w:jc w:val="center"/>
              <w:rPr>
                <w:b/>
                <w:bCs/>
                <w:color w:val="000000"/>
                <w:sz w:val="19"/>
                <w:szCs w:val="19"/>
              </w:rPr>
            </w:pPr>
            <w:r w:rsidRPr="008D7AB4">
              <w:rPr>
                <w:b/>
                <w:bCs/>
                <w:color w:val="000000"/>
                <w:sz w:val="19"/>
                <w:szCs w:val="19"/>
              </w:rPr>
              <w:t xml:space="preserve">Status of systems house conversions </w:t>
            </w:r>
          </w:p>
        </w:tc>
        <w:tc>
          <w:tcPr>
            <w:tcW w:w="2976" w:type="dxa"/>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E39F602" w14:textId="77777777" w:rsidR="00980BF0" w:rsidRPr="008D7AB4" w:rsidRDefault="00980BF0" w:rsidP="0013699E">
            <w:pPr>
              <w:keepNext/>
              <w:jc w:val="center"/>
              <w:rPr>
                <w:b/>
                <w:bCs/>
                <w:color w:val="000000"/>
                <w:sz w:val="19"/>
                <w:szCs w:val="19"/>
              </w:rPr>
            </w:pPr>
            <w:r w:rsidRPr="008D7AB4">
              <w:rPr>
                <w:b/>
                <w:bCs/>
                <w:color w:val="000000"/>
                <w:sz w:val="19"/>
                <w:szCs w:val="19"/>
              </w:rPr>
              <w:t>Number of participating DSUs</w:t>
            </w:r>
          </w:p>
        </w:tc>
        <w:tc>
          <w:tcPr>
            <w:tcW w:w="1134" w:type="dxa"/>
            <w:vMerge w:val="restart"/>
            <w:tcBorders>
              <w:top w:val="single" w:sz="4" w:space="0" w:color="auto"/>
              <w:left w:val="single" w:sz="4" w:space="0" w:color="auto"/>
              <w:right w:val="single" w:sz="4" w:space="0" w:color="auto"/>
            </w:tcBorders>
            <w:shd w:val="clear" w:color="auto" w:fill="auto"/>
            <w:tcMar>
              <w:left w:w="57" w:type="dxa"/>
              <w:right w:w="57" w:type="dxa"/>
            </w:tcMar>
            <w:vAlign w:val="center"/>
            <w:hideMark/>
          </w:tcPr>
          <w:p w14:paraId="409F92BA" w14:textId="77777777" w:rsidR="00980BF0" w:rsidRPr="008D7AB4" w:rsidRDefault="00980BF0" w:rsidP="0013699E">
            <w:pPr>
              <w:keepNext/>
              <w:jc w:val="center"/>
              <w:rPr>
                <w:b/>
                <w:bCs/>
                <w:color w:val="000000"/>
                <w:sz w:val="19"/>
                <w:szCs w:val="19"/>
              </w:rPr>
            </w:pPr>
            <w:r w:rsidRPr="008D7AB4">
              <w:rPr>
                <w:b/>
                <w:bCs/>
                <w:color w:val="000000"/>
                <w:sz w:val="19"/>
                <w:szCs w:val="19"/>
              </w:rPr>
              <w:t>Status of DSU conversions</w:t>
            </w:r>
          </w:p>
        </w:tc>
        <w:tc>
          <w:tcPr>
            <w:tcW w:w="940"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44CCC7E8" w14:textId="77777777" w:rsidR="00980BF0" w:rsidRPr="008D7AB4" w:rsidRDefault="00980BF0" w:rsidP="0013699E">
            <w:pPr>
              <w:keepNext/>
              <w:jc w:val="center"/>
              <w:rPr>
                <w:b/>
                <w:bCs/>
                <w:color w:val="000000"/>
                <w:sz w:val="19"/>
                <w:szCs w:val="19"/>
              </w:rPr>
            </w:pPr>
            <w:r w:rsidRPr="008D7AB4">
              <w:rPr>
                <w:b/>
                <w:bCs/>
                <w:color w:val="000000"/>
                <w:sz w:val="19"/>
                <w:szCs w:val="19"/>
              </w:rPr>
              <w:t>HCFC phase</w:t>
            </w:r>
            <w:r w:rsidRPr="008D7AB4">
              <w:rPr>
                <w:b/>
                <w:bCs/>
                <w:color w:val="000000"/>
                <w:sz w:val="19"/>
                <w:szCs w:val="19"/>
              </w:rPr>
              <w:noBreakHyphen/>
              <w:t>out (ODP tonnes)</w:t>
            </w:r>
          </w:p>
        </w:tc>
      </w:tr>
      <w:tr w:rsidR="00980BF0" w:rsidRPr="008D7AB4" w14:paraId="028CA533" w14:textId="77777777" w:rsidTr="0013699E">
        <w:trPr>
          <w:trHeight w:val="112"/>
        </w:trPr>
        <w:tc>
          <w:tcPr>
            <w:tcW w:w="1271" w:type="dxa"/>
            <w:vMerge/>
            <w:tcBorders>
              <w:left w:val="single" w:sz="4" w:space="0" w:color="auto"/>
              <w:bottom w:val="single" w:sz="4" w:space="0" w:color="auto"/>
              <w:right w:val="single" w:sz="4" w:space="0" w:color="auto"/>
            </w:tcBorders>
          </w:tcPr>
          <w:p w14:paraId="37B650C2" w14:textId="77777777" w:rsidR="00980BF0" w:rsidRPr="008D7AB4" w:rsidRDefault="00980BF0" w:rsidP="0013699E">
            <w:pPr>
              <w:jc w:val="center"/>
              <w:rPr>
                <w:b/>
                <w:bCs/>
                <w:color w:val="000000"/>
                <w:sz w:val="20"/>
                <w:szCs w:val="20"/>
              </w:rPr>
            </w:pPr>
          </w:p>
        </w:tc>
        <w:tc>
          <w:tcPr>
            <w:tcW w:w="1843" w:type="dxa"/>
            <w:vMerge/>
            <w:tcBorders>
              <w:top w:val="single" w:sz="4" w:space="0" w:color="auto"/>
              <w:left w:val="single" w:sz="4" w:space="0" w:color="auto"/>
              <w:bottom w:val="single" w:sz="4" w:space="0" w:color="auto"/>
            </w:tcBorders>
            <w:shd w:val="clear" w:color="auto" w:fill="auto"/>
            <w:vAlign w:val="center"/>
          </w:tcPr>
          <w:p w14:paraId="6844E0E4" w14:textId="77777777" w:rsidR="00980BF0" w:rsidRPr="008D7AB4" w:rsidRDefault="00980BF0" w:rsidP="0013699E">
            <w:pPr>
              <w:jc w:val="center"/>
              <w:rPr>
                <w:b/>
                <w:bCs/>
                <w:color w:val="000000"/>
                <w:sz w:val="20"/>
                <w:szCs w:val="20"/>
              </w:rPr>
            </w:pPr>
          </w:p>
        </w:tc>
        <w:tc>
          <w:tcPr>
            <w:tcW w:w="1276" w:type="dxa"/>
            <w:vMerge/>
            <w:tcBorders>
              <w:top w:val="single" w:sz="4" w:space="0" w:color="auto"/>
              <w:bottom w:val="single" w:sz="4" w:space="0" w:color="auto"/>
            </w:tcBorders>
            <w:shd w:val="clear" w:color="auto" w:fill="auto"/>
            <w:vAlign w:val="center"/>
          </w:tcPr>
          <w:p w14:paraId="3574706F" w14:textId="77777777" w:rsidR="00980BF0" w:rsidRPr="008D7AB4" w:rsidRDefault="00980BF0" w:rsidP="0013699E">
            <w:pPr>
              <w:jc w:val="center"/>
              <w:rPr>
                <w:b/>
                <w:bCs/>
                <w:color w:val="000000"/>
                <w:sz w:val="20"/>
                <w:szCs w:val="20"/>
              </w:rPr>
            </w:pPr>
          </w:p>
        </w:tc>
        <w:tc>
          <w:tcPr>
            <w:tcW w:w="992" w:type="dxa"/>
            <w:tcBorders>
              <w:top w:val="single" w:sz="4" w:space="0" w:color="auto"/>
            </w:tcBorders>
            <w:shd w:val="clear" w:color="auto" w:fill="auto"/>
            <w:vAlign w:val="center"/>
          </w:tcPr>
          <w:p w14:paraId="4F0A117D" w14:textId="77777777" w:rsidR="00980BF0" w:rsidRPr="008D7AB4" w:rsidRDefault="00980BF0" w:rsidP="0013699E">
            <w:pPr>
              <w:jc w:val="center"/>
              <w:rPr>
                <w:b/>
                <w:bCs/>
                <w:color w:val="000000"/>
                <w:sz w:val="19"/>
                <w:szCs w:val="19"/>
              </w:rPr>
            </w:pPr>
            <w:r w:rsidRPr="008D7AB4">
              <w:rPr>
                <w:b/>
                <w:bCs/>
                <w:color w:val="000000"/>
                <w:sz w:val="19"/>
                <w:szCs w:val="19"/>
              </w:rPr>
              <w:t>Planned*</w:t>
            </w:r>
          </w:p>
        </w:tc>
        <w:tc>
          <w:tcPr>
            <w:tcW w:w="850" w:type="dxa"/>
            <w:tcBorders>
              <w:top w:val="single" w:sz="4" w:space="0" w:color="auto"/>
            </w:tcBorders>
            <w:vAlign w:val="center"/>
          </w:tcPr>
          <w:p w14:paraId="504DC6F8" w14:textId="77777777" w:rsidR="00980BF0" w:rsidRPr="008D7AB4" w:rsidRDefault="00980BF0" w:rsidP="0013699E">
            <w:pPr>
              <w:jc w:val="center"/>
              <w:rPr>
                <w:b/>
                <w:bCs/>
                <w:color w:val="000000"/>
                <w:sz w:val="19"/>
                <w:szCs w:val="19"/>
              </w:rPr>
            </w:pPr>
            <w:r w:rsidRPr="008D7AB4">
              <w:rPr>
                <w:b/>
                <w:bCs/>
                <w:color w:val="000000"/>
                <w:sz w:val="19"/>
                <w:szCs w:val="19"/>
              </w:rPr>
              <w:t>Actual</w:t>
            </w:r>
          </w:p>
        </w:tc>
        <w:tc>
          <w:tcPr>
            <w:tcW w:w="1134" w:type="dxa"/>
            <w:tcBorders>
              <w:top w:val="single" w:sz="4" w:space="0" w:color="auto"/>
              <w:right w:val="single" w:sz="4" w:space="0" w:color="auto"/>
            </w:tcBorders>
            <w:shd w:val="clear" w:color="auto" w:fill="auto"/>
            <w:vAlign w:val="center"/>
          </w:tcPr>
          <w:p w14:paraId="52D6FAC6" w14:textId="77777777" w:rsidR="00980BF0" w:rsidRPr="008D7AB4" w:rsidRDefault="00980BF0" w:rsidP="0013699E">
            <w:pPr>
              <w:jc w:val="center"/>
              <w:rPr>
                <w:b/>
                <w:bCs/>
                <w:color w:val="000000"/>
                <w:sz w:val="19"/>
                <w:szCs w:val="19"/>
              </w:rPr>
            </w:pPr>
            <w:r w:rsidRPr="008D7AB4">
              <w:rPr>
                <w:b/>
                <w:bCs/>
                <w:color w:val="000000"/>
                <w:sz w:val="19"/>
                <w:szCs w:val="19"/>
              </w:rPr>
              <w:t>Converted</w:t>
            </w:r>
          </w:p>
        </w:tc>
        <w:tc>
          <w:tcPr>
            <w:tcW w:w="1134" w:type="dxa"/>
            <w:vMerge/>
            <w:tcBorders>
              <w:left w:val="single" w:sz="4" w:space="0" w:color="auto"/>
              <w:bottom w:val="single" w:sz="4" w:space="0" w:color="auto"/>
              <w:right w:val="single" w:sz="4" w:space="0" w:color="auto"/>
            </w:tcBorders>
            <w:shd w:val="clear" w:color="auto" w:fill="auto"/>
            <w:vAlign w:val="center"/>
          </w:tcPr>
          <w:p w14:paraId="1C5F603D" w14:textId="77777777" w:rsidR="00980BF0" w:rsidRPr="008D7AB4" w:rsidRDefault="00980BF0" w:rsidP="0013699E">
            <w:pPr>
              <w:jc w:val="center"/>
              <w:rPr>
                <w:b/>
                <w:bCs/>
                <w:color w:val="000000"/>
                <w:sz w:val="20"/>
                <w:szCs w:val="20"/>
              </w:rPr>
            </w:pPr>
          </w:p>
        </w:tc>
        <w:tc>
          <w:tcPr>
            <w:tcW w:w="940" w:type="dxa"/>
            <w:vMerge/>
            <w:tcBorders>
              <w:top w:val="single" w:sz="4" w:space="0" w:color="auto"/>
              <w:left w:val="single" w:sz="4" w:space="0" w:color="auto"/>
              <w:bottom w:val="single" w:sz="4" w:space="0" w:color="auto"/>
            </w:tcBorders>
            <w:shd w:val="clear" w:color="auto" w:fill="auto"/>
            <w:vAlign w:val="center"/>
          </w:tcPr>
          <w:p w14:paraId="11FBC3A1" w14:textId="77777777" w:rsidR="00980BF0" w:rsidRPr="008D7AB4" w:rsidRDefault="00980BF0" w:rsidP="0013699E">
            <w:pPr>
              <w:jc w:val="center"/>
              <w:rPr>
                <w:b/>
                <w:bCs/>
                <w:color w:val="000000"/>
                <w:sz w:val="20"/>
                <w:szCs w:val="20"/>
              </w:rPr>
            </w:pPr>
          </w:p>
        </w:tc>
      </w:tr>
      <w:tr w:rsidR="00980BF0" w:rsidRPr="008D7AB4" w14:paraId="53F36618" w14:textId="77777777" w:rsidTr="0013699E">
        <w:trPr>
          <w:trHeight w:val="40"/>
        </w:trPr>
        <w:tc>
          <w:tcPr>
            <w:tcW w:w="1271" w:type="dxa"/>
            <w:tcBorders>
              <w:top w:val="single" w:sz="4" w:space="0" w:color="auto"/>
              <w:left w:val="single" w:sz="4" w:space="0" w:color="auto"/>
              <w:bottom w:val="single" w:sz="4" w:space="0" w:color="auto"/>
              <w:right w:val="single" w:sz="4" w:space="0" w:color="auto"/>
            </w:tcBorders>
            <w:tcMar>
              <w:left w:w="57" w:type="dxa"/>
              <w:right w:w="57" w:type="dxa"/>
            </w:tcMar>
          </w:tcPr>
          <w:p w14:paraId="68AA415C" w14:textId="77777777" w:rsidR="00980BF0" w:rsidRPr="008D7AB4" w:rsidRDefault="00980BF0" w:rsidP="0013699E">
            <w:pPr>
              <w:jc w:val="left"/>
              <w:rPr>
                <w:color w:val="000000"/>
                <w:sz w:val="20"/>
                <w:szCs w:val="20"/>
              </w:rPr>
            </w:pPr>
            <w:r w:rsidRPr="008D7AB4">
              <w:rPr>
                <w:color w:val="000000"/>
                <w:sz w:val="20"/>
                <w:szCs w:val="20"/>
              </w:rPr>
              <w:t xml:space="preserve">Amino </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69A4A3A" w14:textId="77777777" w:rsidR="00980BF0" w:rsidRPr="008D7AB4" w:rsidRDefault="00980BF0" w:rsidP="0013699E">
            <w:pPr>
              <w:jc w:val="left"/>
              <w:rPr>
                <w:color w:val="000000"/>
                <w:sz w:val="20"/>
                <w:szCs w:val="20"/>
              </w:rPr>
            </w:pPr>
            <w:r w:rsidRPr="008D7AB4">
              <w:rPr>
                <w:color w:val="000000"/>
                <w:sz w:val="20"/>
                <w:szCs w:val="20"/>
              </w:rPr>
              <w:t>Methylal</w:t>
            </w:r>
          </w:p>
        </w:tc>
        <w:tc>
          <w:tcPr>
            <w:tcW w:w="1276" w:type="dxa"/>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481E81D0" w14:textId="77777777" w:rsidR="00980BF0" w:rsidRPr="008D7AB4" w:rsidRDefault="00980BF0" w:rsidP="0013699E">
            <w:pPr>
              <w:jc w:val="left"/>
              <w:rPr>
                <w:color w:val="000000"/>
                <w:sz w:val="20"/>
                <w:szCs w:val="20"/>
              </w:rPr>
            </w:pPr>
            <w:r w:rsidRPr="008D7AB4">
              <w:rPr>
                <w:color w:val="000000"/>
                <w:sz w:val="20"/>
                <w:szCs w:val="20"/>
              </w:rPr>
              <w:t>Completed formulation development and plant conversions; converting DSUs</w:t>
            </w:r>
          </w:p>
        </w:tc>
        <w:tc>
          <w:tcPr>
            <w:tcW w:w="992" w:type="dxa"/>
            <w:tcBorders>
              <w:left w:val="single" w:sz="4" w:space="0" w:color="auto"/>
            </w:tcBorders>
            <w:shd w:val="clear" w:color="auto" w:fill="auto"/>
          </w:tcPr>
          <w:p w14:paraId="5566F43C" w14:textId="77777777" w:rsidR="00980BF0" w:rsidRPr="008D7AB4" w:rsidRDefault="00980BF0" w:rsidP="0013699E">
            <w:pPr>
              <w:jc w:val="center"/>
              <w:rPr>
                <w:color w:val="000000"/>
                <w:sz w:val="20"/>
                <w:szCs w:val="20"/>
              </w:rPr>
            </w:pPr>
            <w:r w:rsidRPr="008D7AB4">
              <w:rPr>
                <w:color w:val="000000"/>
                <w:sz w:val="20"/>
                <w:szCs w:val="20"/>
              </w:rPr>
              <w:t>46</w:t>
            </w:r>
          </w:p>
        </w:tc>
        <w:tc>
          <w:tcPr>
            <w:tcW w:w="850" w:type="dxa"/>
          </w:tcPr>
          <w:p w14:paraId="69B47C4F" w14:textId="77777777" w:rsidR="00980BF0" w:rsidRPr="008D7AB4" w:rsidRDefault="00980BF0" w:rsidP="0013699E">
            <w:pPr>
              <w:jc w:val="center"/>
              <w:rPr>
                <w:color w:val="000000"/>
                <w:sz w:val="20"/>
                <w:szCs w:val="20"/>
              </w:rPr>
            </w:pPr>
            <w:r w:rsidRPr="008D7AB4">
              <w:rPr>
                <w:color w:val="000000"/>
                <w:sz w:val="20"/>
                <w:szCs w:val="20"/>
              </w:rPr>
              <w:t>43</w:t>
            </w:r>
          </w:p>
        </w:tc>
        <w:tc>
          <w:tcPr>
            <w:tcW w:w="1134" w:type="dxa"/>
            <w:shd w:val="clear" w:color="auto" w:fill="auto"/>
          </w:tcPr>
          <w:p w14:paraId="4C11CCB9" w14:textId="77777777" w:rsidR="00980BF0" w:rsidRPr="008D7AB4" w:rsidRDefault="00980BF0" w:rsidP="0013699E">
            <w:pPr>
              <w:jc w:val="center"/>
              <w:rPr>
                <w:color w:val="000000"/>
                <w:sz w:val="20"/>
                <w:szCs w:val="20"/>
              </w:rPr>
            </w:pPr>
            <w:r w:rsidRPr="008D7AB4">
              <w:rPr>
                <w:color w:val="000000"/>
                <w:sz w:val="20"/>
                <w:szCs w:val="20"/>
              </w:rPr>
              <w:t>6</w:t>
            </w:r>
          </w:p>
        </w:tc>
        <w:tc>
          <w:tcPr>
            <w:tcW w:w="1134" w:type="dxa"/>
            <w:vMerge w:val="restart"/>
            <w:tcMar>
              <w:left w:w="57" w:type="dxa"/>
              <w:right w:w="57" w:type="dxa"/>
            </w:tcMar>
            <w:vAlign w:val="center"/>
          </w:tcPr>
          <w:p w14:paraId="61E7AFDE" w14:textId="77777777" w:rsidR="00980BF0" w:rsidRPr="008D7AB4" w:rsidRDefault="00980BF0" w:rsidP="0013699E">
            <w:pPr>
              <w:jc w:val="left"/>
              <w:rPr>
                <w:color w:val="000000"/>
                <w:sz w:val="20"/>
                <w:szCs w:val="20"/>
              </w:rPr>
            </w:pPr>
            <w:r w:rsidRPr="008D7AB4">
              <w:rPr>
                <w:color w:val="000000"/>
                <w:sz w:val="20"/>
                <w:szCs w:val="20"/>
              </w:rPr>
              <w:t>Ongoing</w:t>
            </w:r>
          </w:p>
        </w:tc>
        <w:tc>
          <w:tcPr>
            <w:tcW w:w="940" w:type="dxa"/>
            <w:vMerge w:val="restart"/>
            <w:shd w:val="clear" w:color="auto" w:fill="auto"/>
            <w:vAlign w:val="center"/>
            <w:hideMark/>
          </w:tcPr>
          <w:p w14:paraId="1052CF9D" w14:textId="77777777" w:rsidR="00980BF0" w:rsidRPr="008D7AB4" w:rsidRDefault="00980BF0" w:rsidP="0013699E">
            <w:pPr>
              <w:jc w:val="right"/>
              <w:rPr>
                <w:color w:val="000000"/>
                <w:sz w:val="20"/>
                <w:szCs w:val="20"/>
              </w:rPr>
            </w:pPr>
            <w:r w:rsidRPr="008D7AB4">
              <w:rPr>
                <w:color w:val="000000"/>
                <w:sz w:val="20"/>
                <w:szCs w:val="20"/>
              </w:rPr>
              <w:t>37.26</w:t>
            </w:r>
          </w:p>
        </w:tc>
      </w:tr>
      <w:tr w:rsidR="00980BF0" w:rsidRPr="008D7AB4" w14:paraId="58E18293" w14:textId="77777777" w:rsidTr="0013699E">
        <w:tc>
          <w:tcPr>
            <w:tcW w:w="1271" w:type="dxa"/>
            <w:tcBorders>
              <w:top w:val="single" w:sz="4" w:space="0" w:color="auto"/>
              <w:left w:val="single" w:sz="4" w:space="0" w:color="auto"/>
              <w:bottom w:val="single" w:sz="4" w:space="0" w:color="auto"/>
              <w:right w:val="single" w:sz="4" w:space="0" w:color="auto"/>
            </w:tcBorders>
            <w:tcMar>
              <w:left w:w="57" w:type="dxa"/>
              <w:right w:w="57" w:type="dxa"/>
            </w:tcMar>
          </w:tcPr>
          <w:p w14:paraId="3BA07911" w14:textId="77777777" w:rsidR="00980BF0" w:rsidRPr="008D7AB4" w:rsidRDefault="00980BF0" w:rsidP="0013699E">
            <w:pPr>
              <w:jc w:val="left"/>
              <w:rPr>
                <w:color w:val="000000"/>
                <w:sz w:val="20"/>
                <w:szCs w:val="20"/>
              </w:rPr>
            </w:pPr>
            <w:r w:rsidRPr="008D7AB4">
              <w:rPr>
                <w:color w:val="000000"/>
                <w:sz w:val="20"/>
                <w:szCs w:val="20"/>
              </w:rPr>
              <w:t xml:space="preserve">Ariston </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6514C8E" w14:textId="77777777" w:rsidR="00980BF0" w:rsidRPr="008D7AB4" w:rsidRDefault="00980BF0" w:rsidP="0013699E">
            <w:pPr>
              <w:jc w:val="left"/>
              <w:rPr>
                <w:color w:val="000000"/>
                <w:sz w:val="20"/>
                <w:szCs w:val="20"/>
              </w:rPr>
            </w:pPr>
            <w:r w:rsidRPr="008D7AB4">
              <w:rPr>
                <w:color w:val="000000"/>
                <w:sz w:val="20"/>
                <w:szCs w:val="20"/>
              </w:rPr>
              <w:t>MF, methylal</w:t>
            </w:r>
          </w:p>
        </w:tc>
        <w:tc>
          <w:tcPr>
            <w:tcW w:w="1276" w:type="dxa"/>
            <w:vMerge/>
            <w:tcBorders>
              <w:left w:val="single" w:sz="4" w:space="0" w:color="auto"/>
              <w:right w:val="single" w:sz="4" w:space="0" w:color="auto"/>
            </w:tcBorders>
            <w:shd w:val="clear" w:color="auto" w:fill="auto"/>
            <w:tcMar>
              <w:left w:w="57" w:type="dxa"/>
              <w:right w:w="57" w:type="dxa"/>
            </w:tcMar>
            <w:vAlign w:val="center"/>
          </w:tcPr>
          <w:p w14:paraId="47F2B316" w14:textId="77777777" w:rsidR="00980BF0" w:rsidRPr="008D7AB4" w:rsidRDefault="00980BF0" w:rsidP="0013699E">
            <w:pPr>
              <w:jc w:val="left"/>
              <w:rPr>
                <w:color w:val="000000"/>
                <w:sz w:val="20"/>
                <w:szCs w:val="20"/>
              </w:rPr>
            </w:pPr>
          </w:p>
        </w:tc>
        <w:tc>
          <w:tcPr>
            <w:tcW w:w="992" w:type="dxa"/>
            <w:tcBorders>
              <w:left w:val="single" w:sz="4" w:space="0" w:color="auto"/>
            </w:tcBorders>
            <w:shd w:val="clear" w:color="auto" w:fill="auto"/>
          </w:tcPr>
          <w:p w14:paraId="44CD221E" w14:textId="77777777" w:rsidR="00980BF0" w:rsidRPr="008D7AB4" w:rsidRDefault="00980BF0" w:rsidP="0013699E">
            <w:pPr>
              <w:jc w:val="center"/>
              <w:rPr>
                <w:color w:val="000000"/>
                <w:sz w:val="20"/>
                <w:szCs w:val="20"/>
              </w:rPr>
            </w:pPr>
            <w:r w:rsidRPr="008D7AB4">
              <w:rPr>
                <w:color w:val="000000"/>
                <w:sz w:val="20"/>
                <w:szCs w:val="20"/>
              </w:rPr>
              <w:t>28</w:t>
            </w:r>
          </w:p>
        </w:tc>
        <w:tc>
          <w:tcPr>
            <w:tcW w:w="850" w:type="dxa"/>
          </w:tcPr>
          <w:p w14:paraId="0CA2AB8C" w14:textId="77777777" w:rsidR="00980BF0" w:rsidRPr="008D7AB4" w:rsidRDefault="00980BF0" w:rsidP="0013699E">
            <w:pPr>
              <w:jc w:val="center"/>
              <w:rPr>
                <w:color w:val="000000"/>
                <w:sz w:val="20"/>
                <w:szCs w:val="20"/>
              </w:rPr>
            </w:pPr>
            <w:r w:rsidRPr="008D7AB4">
              <w:rPr>
                <w:color w:val="000000"/>
                <w:sz w:val="20"/>
                <w:szCs w:val="20"/>
              </w:rPr>
              <w:t>28</w:t>
            </w:r>
          </w:p>
        </w:tc>
        <w:tc>
          <w:tcPr>
            <w:tcW w:w="1134" w:type="dxa"/>
            <w:shd w:val="clear" w:color="auto" w:fill="auto"/>
          </w:tcPr>
          <w:p w14:paraId="579BDABF" w14:textId="77777777" w:rsidR="00980BF0" w:rsidRPr="008D7AB4" w:rsidRDefault="00980BF0" w:rsidP="0013699E">
            <w:pPr>
              <w:jc w:val="center"/>
              <w:rPr>
                <w:color w:val="000000"/>
                <w:sz w:val="20"/>
                <w:szCs w:val="20"/>
              </w:rPr>
            </w:pPr>
            <w:r w:rsidRPr="008D7AB4">
              <w:rPr>
                <w:color w:val="000000"/>
                <w:sz w:val="20"/>
                <w:szCs w:val="20"/>
              </w:rPr>
              <w:t>0</w:t>
            </w:r>
          </w:p>
        </w:tc>
        <w:tc>
          <w:tcPr>
            <w:tcW w:w="1134" w:type="dxa"/>
            <w:vMerge/>
            <w:vAlign w:val="center"/>
          </w:tcPr>
          <w:p w14:paraId="1123B6C5" w14:textId="77777777" w:rsidR="00980BF0" w:rsidRPr="008D7AB4" w:rsidRDefault="00980BF0" w:rsidP="0013699E">
            <w:pPr>
              <w:jc w:val="left"/>
              <w:rPr>
                <w:color w:val="000000"/>
                <w:sz w:val="20"/>
                <w:szCs w:val="20"/>
              </w:rPr>
            </w:pPr>
          </w:p>
        </w:tc>
        <w:tc>
          <w:tcPr>
            <w:tcW w:w="940" w:type="dxa"/>
            <w:vMerge/>
            <w:shd w:val="clear" w:color="auto" w:fill="auto"/>
            <w:vAlign w:val="center"/>
          </w:tcPr>
          <w:p w14:paraId="22274DD4" w14:textId="77777777" w:rsidR="00980BF0" w:rsidRPr="008D7AB4" w:rsidRDefault="00980BF0" w:rsidP="0013699E">
            <w:pPr>
              <w:jc w:val="left"/>
              <w:rPr>
                <w:color w:val="000000"/>
                <w:sz w:val="20"/>
                <w:szCs w:val="20"/>
              </w:rPr>
            </w:pPr>
          </w:p>
        </w:tc>
      </w:tr>
      <w:tr w:rsidR="00980BF0" w:rsidRPr="008D7AB4" w14:paraId="6C41C298" w14:textId="77777777" w:rsidTr="0013699E">
        <w:tc>
          <w:tcPr>
            <w:tcW w:w="1271" w:type="dxa"/>
            <w:tcBorders>
              <w:top w:val="single" w:sz="4" w:space="0" w:color="auto"/>
              <w:left w:val="single" w:sz="4" w:space="0" w:color="auto"/>
              <w:bottom w:val="single" w:sz="4" w:space="0" w:color="auto"/>
              <w:right w:val="single" w:sz="4" w:space="0" w:color="auto"/>
            </w:tcBorders>
            <w:tcMar>
              <w:left w:w="57" w:type="dxa"/>
              <w:right w:w="57" w:type="dxa"/>
            </w:tcMar>
          </w:tcPr>
          <w:p w14:paraId="5E5B22F5" w14:textId="77777777" w:rsidR="00980BF0" w:rsidRPr="008D7AB4" w:rsidRDefault="00980BF0" w:rsidP="0013699E">
            <w:pPr>
              <w:jc w:val="left"/>
              <w:rPr>
                <w:color w:val="000000"/>
                <w:sz w:val="20"/>
                <w:szCs w:val="20"/>
              </w:rPr>
            </w:pPr>
            <w:r w:rsidRPr="008D7AB4">
              <w:rPr>
                <w:color w:val="000000"/>
                <w:sz w:val="20"/>
                <w:szCs w:val="20"/>
              </w:rPr>
              <w:t xml:space="preserve">Ecoblaster </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958FDDF" w14:textId="77777777" w:rsidR="00980BF0" w:rsidRPr="008D7AB4" w:rsidRDefault="00980BF0" w:rsidP="0013699E">
            <w:pPr>
              <w:jc w:val="left"/>
              <w:rPr>
                <w:color w:val="000000"/>
                <w:sz w:val="20"/>
                <w:szCs w:val="20"/>
              </w:rPr>
            </w:pPr>
            <w:r w:rsidRPr="008D7AB4">
              <w:rPr>
                <w:color w:val="000000"/>
                <w:sz w:val="20"/>
                <w:szCs w:val="20"/>
              </w:rPr>
              <w:t>MF</w:t>
            </w:r>
          </w:p>
        </w:tc>
        <w:tc>
          <w:tcPr>
            <w:tcW w:w="1276" w:type="dxa"/>
            <w:vMerge/>
            <w:tcBorders>
              <w:left w:val="single" w:sz="4" w:space="0" w:color="auto"/>
              <w:right w:val="single" w:sz="4" w:space="0" w:color="auto"/>
            </w:tcBorders>
            <w:shd w:val="clear" w:color="auto" w:fill="auto"/>
            <w:tcMar>
              <w:left w:w="57" w:type="dxa"/>
              <w:right w:w="57" w:type="dxa"/>
            </w:tcMar>
            <w:vAlign w:val="center"/>
          </w:tcPr>
          <w:p w14:paraId="1610514B" w14:textId="77777777" w:rsidR="00980BF0" w:rsidRPr="008D7AB4" w:rsidRDefault="00980BF0" w:rsidP="0013699E">
            <w:pPr>
              <w:jc w:val="left"/>
              <w:rPr>
                <w:color w:val="000000"/>
                <w:sz w:val="20"/>
                <w:szCs w:val="20"/>
              </w:rPr>
            </w:pPr>
          </w:p>
        </w:tc>
        <w:tc>
          <w:tcPr>
            <w:tcW w:w="992" w:type="dxa"/>
            <w:tcBorders>
              <w:left w:val="single" w:sz="4" w:space="0" w:color="auto"/>
            </w:tcBorders>
            <w:shd w:val="clear" w:color="auto" w:fill="auto"/>
          </w:tcPr>
          <w:p w14:paraId="0B0B78B3" w14:textId="77777777" w:rsidR="00980BF0" w:rsidRPr="008D7AB4" w:rsidRDefault="00980BF0" w:rsidP="0013699E">
            <w:pPr>
              <w:jc w:val="center"/>
              <w:rPr>
                <w:color w:val="000000"/>
                <w:sz w:val="20"/>
                <w:szCs w:val="20"/>
              </w:rPr>
            </w:pPr>
            <w:r w:rsidRPr="008D7AB4">
              <w:rPr>
                <w:color w:val="000000"/>
                <w:sz w:val="20"/>
                <w:szCs w:val="20"/>
              </w:rPr>
              <w:t>31</w:t>
            </w:r>
          </w:p>
        </w:tc>
        <w:tc>
          <w:tcPr>
            <w:tcW w:w="850" w:type="dxa"/>
          </w:tcPr>
          <w:p w14:paraId="52222552" w14:textId="77777777" w:rsidR="00980BF0" w:rsidRPr="008D7AB4" w:rsidRDefault="00980BF0" w:rsidP="0013699E">
            <w:pPr>
              <w:jc w:val="center"/>
              <w:rPr>
                <w:color w:val="000000"/>
                <w:sz w:val="20"/>
                <w:szCs w:val="20"/>
              </w:rPr>
            </w:pPr>
            <w:r w:rsidRPr="008D7AB4">
              <w:rPr>
                <w:color w:val="000000"/>
                <w:sz w:val="20"/>
                <w:szCs w:val="20"/>
              </w:rPr>
              <w:t>26</w:t>
            </w:r>
          </w:p>
        </w:tc>
        <w:tc>
          <w:tcPr>
            <w:tcW w:w="1134" w:type="dxa"/>
            <w:shd w:val="clear" w:color="auto" w:fill="auto"/>
          </w:tcPr>
          <w:p w14:paraId="02FEA0C5" w14:textId="77777777" w:rsidR="00980BF0" w:rsidRPr="008D7AB4" w:rsidRDefault="00980BF0" w:rsidP="0013699E">
            <w:pPr>
              <w:jc w:val="center"/>
              <w:rPr>
                <w:color w:val="000000"/>
                <w:sz w:val="20"/>
                <w:szCs w:val="20"/>
              </w:rPr>
            </w:pPr>
            <w:r w:rsidRPr="008D7AB4">
              <w:rPr>
                <w:color w:val="000000"/>
                <w:sz w:val="20"/>
                <w:szCs w:val="20"/>
              </w:rPr>
              <w:t>3</w:t>
            </w:r>
          </w:p>
        </w:tc>
        <w:tc>
          <w:tcPr>
            <w:tcW w:w="1134" w:type="dxa"/>
            <w:vMerge/>
            <w:vAlign w:val="center"/>
          </w:tcPr>
          <w:p w14:paraId="7D6A6135" w14:textId="77777777" w:rsidR="00980BF0" w:rsidRPr="008D7AB4" w:rsidRDefault="00980BF0" w:rsidP="0013699E">
            <w:pPr>
              <w:jc w:val="left"/>
              <w:rPr>
                <w:color w:val="000000"/>
                <w:sz w:val="20"/>
                <w:szCs w:val="20"/>
              </w:rPr>
            </w:pPr>
          </w:p>
        </w:tc>
        <w:tc>
          <w:tcPr>
            <w:tcW w:w="940" w:type="dxa"/>
            <w:vMerge/>
            <w:shd w:val="clear" w:color="auto" w:fill="auto"/>
            <w:vAlign w:val="center"/>
          </w:tcPr>
          <w:p w14:paraId="75201E92" w14:textId="77777777" w:rsidR="00980BF0" w:rsidRPr="008D7AB4" w:rsidRDefault="00980BF0" w:rsidP="0013699E">
            <w:pPr>
              <w:jc w:val="left"/>
              <w:rPr>
                <w:color w:val="000000"/>
                <w:sz w:val="20"/>
                <w:szCs w:val="20"/>
              </w:rPr>
            </w:pPr>
          </w:p>
        </w:tc>
      </w:tr>
      <w:tr w:rsidR="00980BF0" w:rsidRPr="008D7AB4" w14:paraId="18E47B33" w14:textId="77777777" w:rsidTr="0013699E">
        <w:trPr>
          <w:trHeight w:val="68"/>
        </w:trPr>
        <w:tc>
          <w:tcPr>
            <w:tcW w:w="1271" w:type="dxa"/>
            <w:tcBorders>
              <w:top w:val="single" w:sz="4" w:space="0" w:color="auto"/>
              <w:left w:val="single" w:sz="4" w:space="0" w:color="auto"/>
              <w:bottom w:val="single" w:sz="4" w:space="0" w:color="auto"/>
              <w:right w:val="single" w:sz="4" w:space="0" w:color="auto"/>
            </w:tcBorders>
            <w:tcMar>
              <w:left w:w="57" w:type="dxa"/>
              <w:right w:w="57" w:type="dxa"/>
            </w:tcMar>
          </w:tcPr>
          <w:p w14:paraId="31D32F4A" w14:textId="77777777" w:rsidR="00980BF0" w:rsidRPr="008D7AB4" w:rsidRDefault="00980BF0" w:rsidP="0013699E">
            <w:pPr>
              <w:jc w:val="left"/>
              <w:rPr>
                <w:color w:val="000000"/>
                <w:sz w:val="20"/>
                <w:szCs w:val="20"/>
              </w:rPr>
            </w:pPr>
            <w:r w:rsidRPr="008D7AB4">
              <w:rPr>
                <w:color w:val="000000"/>
                <w:sz w:val="20"/>
                <w:szCs w:val="20"/>
              </w:rPr>
              <w:t>Flexível</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DC9FD48" w14:textId="77777777" w:rsidR="00980BF0" w:rsidRPr="008D7AB4" w:rsidRDefault="00980BF0" w:rsidP="0013699E">
            <w:pPr>
              <w:jc w:val="left"/>
              <w:rPr>
                <w:color w:val="000000"/>
                <w:sz w:val="20"/>
                <w:szCs w:val="20"/>
              </w:rPr>
            </w:pPr>
            <w:r w:rsidRPr="008D7AB4">
              <w:rPr>
                <w:color w:val="000000"/>
                <w:sz w:val="20"/>
                <w:szCs w:val="20"/>
              </w:rPr>
              <w:t>HFO</w:t>
            </w:r>
          </w:p>
        </w:tc>
        <w:tc>
          <w:tcPr>
            <w:tcW w:w="1276" w:type="dxa"/>
            <w:vMerge/>
            <w:tcBorders>
              <w:left w:val="single" w:sz="4" w:space="0" w:color="auto"/>
              <w:right w:val="single" w:sz="4" w:space="0" w:color="auto"/>
            </w:tcBorders>
            <w:shd w:val="clear" w:color="auto" w:fill="auto"/>
            <w:tcMar>
              <w:left w:w="57" w:type="dxa"/>
              <w:right w:w="57" w:type="dxa"/>
            </w:tcMar>
            <w:vAlign w:val="center"/>
          </w:tcPr>
          <w:p w14:paraId="19066D01" w14:textId="77777777" w:rsidR="00980BF0" w:rsidRPr="008D7AB4" w:rsidRDefault="00980BF0" w:rsidP="0013699E">
            <w:pPr>
              <w:jc w:val="left"/>
              <w:rPr>
                <w:color w:val="000000"/>
                <w:sz w:val="20"/>
                <w:szCs w:val="20"/>
              </w:rPr>
            </w:pPr>
          </w:p>
        </w:tc>
        <w:tc>
          <w:tcPr>
            <w:tcW w:w="992" w:type="dxa"/>
            <w:tcBorders>
              <w:left w:val="single" w:sz="4" w:space="0" w:color="auto"/>
            </w:tcBorders>
            <w:shd w:val="clear" w:color="auto" w:fill="auto"/>
            <w:hideMark/>
          </w:tcPr>
          <w:p w14:paraId="26907B88" w14:textId="77777777" w:rsidR="00980BF0" w:rsidRPr="008D7AB4" w:rsidRDefault="00980BF0" w:rsidP="0013699E">
            <w:pPr>
              <w:jc w:val="center"/>
              <w:rPr>
                <w:color w:val="000000"/>
                <w:sz w:val="20"/>
                <w:szCs w:val="20"/>
              </w:rPr>
            </w:pPr>
            <w:r w:rsidRPr="008D7AB4">
              <w:rPr>
                <w:color w:val="000000"/>
                <w:sz w:val="20"/>
                <w:szCs w:val="20"/>
              </w:rPr>
              <w:t>33</w:t>
            </w:r>
          </w:p>
        </w:tc>
        <w:tc>
          <w:tcPr>
            <w:tcW w:w="850" w:type="dxa"/>
          </w:tcPr>
          <w:p w14:paraId="0FDFE4C7" w14:textId="77777777" w:rsidR="00980BF0" w:rsidRPr="008D7AB4" w:rsidRDefault="00980BF0" w:rsidP="0013699E">
            <w:pPr>
              <w:jc w:val="center"/>
              <w:rPr>
                <w:color w:val="000000"/>
                <w:sz w:val="20"/>
                <w:szCs w:val="20"/>
              </w:rPr>
            </w:pPr>
            <w:r w:rsidRPr="008D7AB4">
              <w:rPr>
                <w:color w:val="000000"/>
                <w:sz w:val="20"/>
                <w:szCs w:val="20"/>
              </w:rPr>
              <w:t>30</w:t>
            </w:r>
          </w:p>
        </w:tc>
        <w:tc>
          <w:tcPr>
            <w:tcW w:w="1134" w:type="dxa"/>
            <w:shd w:val="clear" w:color="auto" w:fill="auto"/>
            <w:hideMark/>
          </w:tcPr>
          <w:p w14:paraId="1B586E00" w14:textId="77777777" w:rsidR="00980BF0" w:rsidRPr="008D7AB4" w:rsidRDefault="00980BF0" w:rsidP="0013699E">
            <w:pPr>
              <w:jc w:val="center"/>
              <w:rPr>
                <w:color w:val="000000"/>
                <w:sz w:val="20"/>
                <w:szCs w:val="20"/>
              </w:rPr>
            </w:pPr>
            <w:r w:rsidRPr="008D7AB4">
              <w:rPr>
                <w:color w:val="000000"/>
                <w:sz w:val="20"/>
                <w:szCs w:val="20"/>
              </w:rPr>
              <w:t>8</w:t>
            </w:r>
          </w:p>
        </w:tc>
        <w:tc>
          <w:tcPr>
            <w:tcW w:w="1134" w:type="dxa"/>
            <w:vMerge/>
            <w:vAlign w:val="center"/>
          </w:tcPr>
          <w:p w14:paraId="2A80C952" w14:textId="77777777" w:rsidR="00980BF0" w:rsidRPr="008D7AB4" w:rsidRDefault="00980BF0" w:rsidP="0013699E">
            <w:pPr>
              <w:jc w:val="left"/>
              <w:rPr>
                <w:color w:val="000000"/>
                <w:sz w:val="20"/>
                <w:szCs w:val="20"/>
              </w:rPr>
            </w:pPr>
          </w:p>
        </w:tc>
        <w:tc>
          <w:tcPr>
            <w:tcW w:w="940" w:type="dxa"/>
            <w:vMerge/>
            <w:shd w:val="clear" w:color="auto" w:fill="auto"/>
            <w:vAlign w:val="center"/>
          </w:tcPr>
          <w:p w14:paraId="29B82808" w14:textId="77777777" w:rsidR="00980BF0" w:rsidRPr="008D7AB4" w:rsidRDefault="00980BF0" w:rsidP="0013699E">
            <w:pPr>
              <w:jc w:val="left"/>
              <w:rPr>
                <w:color w:val="000000"/>
                <w:sz w:val="20"/>
                <w:szCs w:val="20"/>
              </w:rPr>
            </w:pPr>
          </w:p>
        </w:tc>
      </w:tr>
      <w:tr w:rsidR="00980BF0" w:rsidRPr="008D7AB4" w14:paraId="01FF4D2E" w14:textId="77777777" w:rsidTr="0013699E">
        <w:tc>
          <w:tcPr>
            <w:tcW w:w="1271" w:type="dxa"/>
            <w:tcBorders>
              <w:top w:val="single" w:sz="4" w:space="0" w:color="auto"/>
              <w:left w:val="single" w:sz="4" w:space="0" w:color="auto"/>
              <w:bottom w:val="single" w:sz="4" w:space="0" w:color="auto"/>
              <w:right w:val="single" w:sz="4" w:space="0" w:color="auto"/>
            </w:tcBorders>
            <w:tcMar>
              <w:left w:w="57" w:type="dxa"/>
              <w:right w:w="57" w:type="dxa"/>
            </w:tcMar>
          </w:tcPr>
          <w:p w14:paraId="10570129" w14:textId="77777777" w:rsidR="00980BF0" w:rsidRPr="008D7AB4" w:rsidRDefault="00980BF0" w:rsidP="0013699E">
            <w:pPr>
              <w:jc w:val="left"/>
              <w:rPr>
                <w:color w:val="000000"/>
                <w:sz w:val="20"/>
                <w:szCs w:val="20"/>
              </w:rPr>
            </w:pPr>
            <w:r w:rsidRPr="008D7AB4">
              <w:rPr>
                <w:color w:val="000000"/>
                <w:sz w:val="20"/>
                <w:szCs w:val="20"/>
              </w:rPr>
              <w:t xml:space="preserve">M. Cassab </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74D44D1F" w14:textId="77777777" w:rsidR="00980BF0" w:rsidRPr="008D7AB4" w:rsidRDefault="00980BF0" w:rsidP="0013699E">
            <w:pPr>
              <w:jc w:val="left"/>
              <w:rPr>
                <w:color w:val="000000"/>
                <w:sz w:val="20"/>
                <w:szCs w:val="20"/>
              </w:rPr>
            </w:pPr>
            <w:r w:rsidRPr="008D7AB4">
              <w:rPr>
                <w:color w:val="000000"/>
                <w:sz w:val="20"/>
                <w:szCs w:val="20"/>
              </w:rPr>
              <w:t>HFO</w:t>
            </w:r>
          </w:p>
        </w:tc>
        <w:tc>
          <w:tcPr>
            <w:tcW w:w="1276" w:type="dxa"/>
            <w:vMerge/>
            <w:tcBorders>
              <w:left w:val="single" w:sz="4" w:space="0" w:color="auto"/>
              <w:right w:val="single" w:sz="4" w:space="0" w:color="auto"/>
            </w:tcBorders>
            <w:shd w:val="clear" w:color="auto" w:fill="auto"/>
            <w:tcMar>
              <w:left w:w="57" w:type="dxa"/>
              <w:right w:w="57" w:type="dxa"/>
            </w:tcMar>
            <w:vAlign w:val="center"/>
          </w:tcPr>
          <w:p w14:paraId="0F9F8631" w14:textId="77777777" w:rsidR="00980BF0" w:rsidRPr="008D7AB4" w:rsidRDefault="00980BF0" w:rsidP="0013699E">
            <w:pPr>
              <w:jc w:val="left"/>
              <w:rPr>
                <w:color w:val="000000"/>
                <w:sz w:val="20"/>
                <w:szCs w:val="20"/>
              </w:rPr>
            </w:pPr>
          </w:p>
        </w:tc>
        <w:tc>
          <w:tcPr>
            <w:tcW w:w="992" w:type="dxa"/>
            <w:tcBorders>
              <w:left w:val="single" w:sz="4" w:space="0" w:color="auto"/>
            </w:tcBorders>
            <w:shd w:val="clear" w:color="auto" w:fill="auto"/>
          </w:tcPr>
          <w:p w14:paraId="75EBB6E0" w14:textId="77777777" w:rsidR="00980BF0" w:rsidRPr="008D7AB4" w:rsidRDefault="00980BF0" w:rsidP="0013699E">
            <w:pPr>
              <w:jc w:val="center"/>
              <w:rPr>
                <w:color w:val="000000"/>
                <w:sz w:val="20"/>
                <w:szCs w:val="20"/>
              </w:rPr>
            </w:pPr>
            <w:r w:rsidRPr="008D7AB4">
              <w:rPr>
                <w:color w:val="000000"/>
                <w:sz w:val="20"/>
                <w:szCs w:val="20"/>
              </w:rPr>
              <w:t>23</w:t>
            </w:r>
          </w:p>
        </w:tc>
        <w:tc>
          <w:tcPr>
            <w:tcW w:w="850" w:type="dxa"/>
          </w:tcPr>
          <w:p w14:paraId="6ED3AE9A" w14:textId="77777777" w:rsidR="00980BF0" w:rsidRPr="008D7AB4" w:rsidRDefault="00980BF0" w:rsidP="0013699E">
            <w:pPr>
              <w:jc w:val="center"/>
              <w:rPr>
                <w:color w:val="000000"/>
                <w:sz w:val="20"/>
                <w:szCs w:val="20"/>
              </w:rPr>
            </w:pPr>
            <w:r w:rsidRPr="008D7AB4">
              <w:rPr>
                <w:color w:val="000000"/>
                <w:sz w:val="20"/>
                <w:szCs w:val="20"/>
              </w:rPr>
              <w:t>21</w:t>
            </w:r>
          </w:p>
        </w:tc>
        <w:tc>
          <w:tcPr>
            <w:tcW w:w="1134" w:type="dxa"/>
            <w:shd w:val="clear" w:color="auto" w:fill="auto"/>
          </w:tcPr>
          <w:p w14:paraId="49DE3445" w14:textId="77777777" w:rsidR="00980BF0" w:rsidRPr="008D7AB4" w:rsidRDefault="00980BF0" w:rsidP="0013699E">
            <w:pPr>
              <w:jc w:val="center"/>
              <w:rPr>
                <w:color w:val="000000"/>
                <w:sz w:val="20"/>
                <w:szCs w:val="20"/>
              </w:rPr>
            </w:pPr>
            <w:r w:rsidRPr="008D7AB4">
              <w:rPr>
                <w:color w:val="000000"/>
                <w:sz w:val="20"/>
                <w:szCs w:val="20"/>
              </w:rPr>
              <w:t>3</w:t>
            </w:r>
          </w:p>
        </w:tc>
        <w:tc>
          <w:tcPr>
            <w:tcW w:w="1134" w:type="dxa"/>
            <w:vMerge/>
            <w:vAlign w:val="center"/>
          </w:tcPr>
          <w:p w14:paraId="6C880B50" w14:textId="77777777" w:rsidR="00980BF0" w:rsidRPr="008D7AB4" w:rsidRDefault="00980BF0" w:rsidP="0013699E">
            <w:pPr>
              <w:jc w:val="left"/>
              <w:rPr>
                <w:color w:val="000000"/>
                <w:sz w:val="20"/>
                <w:szCs w:val="20"/>
              </w:rPr>
            </w:pPr>
          </w:p>
        </w:tc>
        <w:tc>
          <w:tcPr>
            <w:tcW w:w="940" w:type="dxa"/>
            <w:vMerge/>
            <w:shd w:val="clear" w:color="auto" w:fill="auto"/>
            <w:vAlign w:val="center"/>
          </w:tcPr>
          <w:p w14:paraId="3A26EA82" w14:textId="77777777" w:rsidR="00980BF0" w:rsidRPr="008D7AB4" w:rsidRDefault="00980BF0" w:rsidP="0013699E">
            <w:pPr>
              <w:jc w:val="left"/>
              <w:rPr>
                <w:color w:val="000000"/>
                <w:sz w:val="20"/>
                <w:szCs w:val="20"/>
              </w:rPr>
            </w:pPr>
          </w:p>
        </w:tc>
      </w:tr>
      <w:tr w:rsidR="00980BF0" w:rsidRPr="008D7AB4" w14:paraId="3385F0A4" w14:textId="77777777" w:rsidTr="0013699E">
        <w:tc>
          <w:tcPr>
            <w:tcW w:w="1271" w:type="dxa"/>
            <w:tcBorders>
              <w:top w:val="single" w:sz="4" w:space="0" w:color="auto"/>
              <w:left w:val="single" w:sz="4" w:space="0" w:color="auto"/>
              <w:bottom w:val="single" w:sz="4" w:space="0" w:color="auto"/>
              <w:right w:val="single" w:sz="4" w:space="0" w:color="auto"/>
            </w:tcBorders>
            <w:tcMar>
              <w:left w:w="57" w:type="dxa"/>
              <w:right w:w="57" w:type="dxa"/>
            </w:tcMar>
          </w:tcPr>
          <w:p w14:paraId="3A4089EB" w14:textId="77777777" w:rsidR="00980BF0" w:rsidRPr="008D7AB4" w:rsidRDefault="00980BF0" w:rsidP="0013699E">
            <w:pPr>
              <w:jc w:val="left"/>
              <w:rPr>
                <w:color w:val="000000"/>
                <w:sz w:val="20"/>
                <w:szCs w:val="20"/>
              </w:rPr>
            </w:pPr>
            <w:r w:rsidRPr="008D7AB4">
              <w:rPr>
                <w:color w:val="000000"/>
                <w:sz w:val="20"/>
                <w:szCs w:val="20"/>
              </w:rPr>
              <w:t xml:space="preserve">Polyurethane </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58F7DCA8" w14:textId="77777777" w:rsidR="00980BF0" w:rsidRPr="008D7AB4" w:rsidRDefault="00980BF0" w:rsidP="0013699E">
            <w:pPr>
              <w:jc w:val="left"/>
              <w:rPr>
                <w:color w:val="000000"/>
                <w:sz w:val="20"/>
                <w:szCs w:val="20"/>
              </w:rPr>
            </w:pPr>
            <w:r w:rsidRPr="008D7AB4">
              <w:rPr>
                <w:color w:val="000000"/>
                <w:sz w:val="20"/>
                <w:szCs w:val="20"/>
              </w:rPr>
              <w:t>MF</w:t>
            </w:r>
          </w:p>
        </w:tc>
        <w:tc>
          <w:tcPr>
            <w:tcW w:w="1276" w:type="dxa"/>
            <w:vMerge/>
            <w:tcBorders>
              <w:left w:val="single" w:sz="4" w:space="0" w:color="auto"/>
              <w:right w:val="single" w:sz="4" w:space="0" w:color="auto"/>
            </w:tcBorders>
            <w:shd w:val="clear" w:color="auto" w:fill="auto"/>
            <w:tcMar>
              <w:left w:w="57" w:type="dxa"/>
              <w:right w:w="57" w:type="dxa"/>
            </w:tcMar>
            <w:vAlign w:val="center"/>
          </w:tcPr>
          <w:p w14:paraId="37D8F32C" w14:textId="77777777" w:rsidR="00980BF0" w:rsidRPr="008D7AB4" w:rsidRDefault="00980BF0" w:rsidP="0013699E">
            <w:pPr>
              <w:jc w:val="left"/>
              <w:rPr>
                <w:color w:val="000000"/>
                <w:sz w:val="20"/>
                <w:szCs w:val="20"/>
              </w:rPr>
            </w:pPr>
          </w:p>
        </w:tc>
        <w:tc>
          <w:tcPr>
            <w:tcW w:w="992" w:type="dxa"/>
            <w:tcBorders>
              <w:left w:val="single" w:sz="4" w:space="0" w:color="auto"/>
            </w:tcBorders>
            <w:shd w:val="clear" w:color="auto" w:fill="auto"/>
            <w:hideMark/>
          </w:tcPr>
          <w:p w14:paraId="18F5A62B" w14:textId="77777777" w:rsidR="00980BF0" w:rsidRPr="008D7AB4" w:rsidRDefault="00980BF0" w:rsidP="0013699E">
            <w:pPr>
              <w:jc w:val="center"/>
              <w:rPr>
                <w:color w:val="000000"/>
                <w:sz w:val="20"/>
                <w:szCs w:val="20"/>
              </w:rPr>
            </w:pPr>
            <w:r w:rsidRPr="008D7AB4">
              <w:rPr>
                <w:color w:val="000000"/>
                <w:sz w:val="20"/>
                <w:szCs w:val="20"/>
              </w:rPr>
              <w:t>16</w:t>
            </w:r>
          </w:p>
        </w:tc>
        <w:tc>
          <w:tcPr>
            <w:tcW w:w="850" w:type="dxa"/>
          </w:tcPr>
          <w:p w14:paraId="22F48887" w14:textId="77777777" w:rsidR="00980BF0" w:rsidRPr="008D7AB4" w:rsidRDefault="00980BF0" w:rsidP="0013699E">
            <w:pPr>
              <w:jc w:val="center"/>
              <w:rPr>
                <w:color w:val="000000"/>
                <w:sz w:val="20"/>
                <w:szCs w:val="20"/>
              </w:rPr>
            </w:pPr>
            <w:r w:rsidRPr="008D7AB4">
              <w:rPr>
                <w:color w:val="000000"/>
                <w:sz w:val="20"/>
                <w:szCs w:val="20"/>
              </w:rPr>
              <w:t>16</w:t>
            </w:r>
          </w:p>
        </w:tc>
        <w:tc>
          <w:tcPr>
            <w:tcW w:w="1134" w:type="dxa"/>
            <w:shd w:val="clear" w:color="auto" w:fill="auto"/>
            <w:hideMark/>
          </w:tcPr>
          <w:p w14:paraId="1A2672C5" w14:textId="77777777" w:rsidR="00980BF0" w:rsidRPr="008D7AB4" w:rsidRDefault="00980BF0" w:rsidP="0013699E">
            <w:pPr>
              <w:jc w:val="center"/>
              <w:rPr>
                <w:color w:val="000000"/>
                <w:sz w:val="20"/>
                <w:szCs w:val="20"/>
              </w:rPr>
            </w:pPr>
            <w:r w:rsidRPr="008D7AB4">
              <w:rPr>
                <w:color w:val="000000"/>
                <w:sz w:val="20"/>
                <w:szCs w:val="20"/>
              </w:rPr>
              <w:t>36</w:t>
            </w:r>
          </w:p>
        </w:tc>
        <w:tc>
          <w:tcPr>
            <w:tcW w:w="1134" w:type="dxa"/>
            <w:vMerge/>
            <w:vAlign w:val="center"/>
          </w:tcPr>
          <w:p w14:paraId="500DAD3B" w14:textId="77777777" w:rsidR="00980BF0" w:rsidRPr="008D7AB4" w:rsidRDefault="00980BF0" w:rsidP="0013699E">
            <w:pPr>
              <w:jc w:val="left"/>
              <w:rPr>
                <w:color w:val="000000"/>
                <w:sz w:val="20"/>
                <w:szCs w:val="20"/>
              </w:rPr>
            </w:pPr>
          </w:p>
        </w:tc>
        <w:tc>
          <w:tcPr>
            <w:tcW w:w="940" w:type="dxa"/>
            <w:vMerge/>
            <w:shd w:val="clear" w:color="auto" w:fill="auto"/>
            <w:vAlign w:val="center"/>
          </w:tcPr>
          <w:p w14:paraId="37BB9D15" w14:textId="77777777" w:rsidR="00980BF0" w:rsidRPr="008D7AB4" w:rsidRDefault="00980BF0" w:rsidP="0013699E">
            <w:pPr>
              <w:jc w:val="left"/>
              <w:rPr>
                <w:color w:val="000000"/>
                <w:sz w:val="20"/>
                <w:szCs w:val="20"/>
              </w:rPr>
            </w:pPr>
          </w:p>
        </w:tc>
      </w:tr>
      <w:tr w:rsidR="00980BF0" w:rsidRPr="008D7AB4" w14:paraId="671CDE4E" w14:textId="77777777" w:rsidTr="0013699E">
        <w:tc>
          <w:tcPr>
            <w:tcW w:w="1271" w:type="dxa"/>
            <w:tcBorders>
              <w:top w:val="single" w:sz="4" w:space="0" w:color="auto"/>
              <w:left w:val="single" w:sz="4" w:space="0" w:color="auto"/>
              <w:bottom w:val="single" w:sz="4" w:space="0" w:color="auto"/>
              <w:right w:val="single" w:sz="4" w:space="0" w:color="auto"/>
            </w:tcBorders>
            <w:tcMar>
              <w:left w:w="57" w:type="dxa"/>
              <w:right w:w="57" w:type="dxa"/>
            </w:tcMar>
          </w:tcPr>
          <w:p w14:paraId="346D9E64" w14:textId="77777777" w:rsidR="00980BF0" w:rsidRPr="008D7AB4" w:rsidRDefault="00980BF0" w:rsidP="0013699E">
            <w:pPr>
              <w:jc w:val="left"/>
              <w:rPr>
                <w:color w:val="000000"/>
                <w:sz w:val="20"/>
                <w:szCs w:val="20"/>
              </w:rPr>
            </w:pPr>
            <w:r w:rsidRPr="008D7AB4">
              <w:rPr>
                <w:color w:val="000000"/>
                <w:sz w:val="20"/>
                <w:szCs w:val="20"/>
              </w:rPr>
              <w:t xml:space="preserve">Purcom </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C6241DC" w14:textId="77777777" w:rsidR="00980BF0" w:rsidRPr="008D7AB4" w:rsidRDefault="00980BF0" w:rsidP="0013699E">
            <w:pPr>
              <w:jc w:val="left"/>
              <w:rPr>
                <w:color w:val="000000"/>
                <w:sz w:val="20"/>
                <w:szCs w:val="20"/>
              </w:rPr>
            </w:pPr>
            <w:r w:rsidRPr="008D7AB4">
              <w:rPr>
                <w:color w:val="000000"/>
                <w:sz w:val="20"/>
                <w:szCs w:val="20"/>
              </w:rPr>
              <w:t>MF</w:t>
            </w:r>
          </w:p>
        </w:tc>
        <w:tc>
          <w:tcPr>
            <w:tcW w:w="1276" w:type="dxa"/>
            <w:vMerge/>
            <w:tcBorders>
              <w:left w:val="single" w:sz="4" w:space="0" w:color="auto"/>
              <w:right w:val="single" w:sz="4" w:space="0" w:color="auto"/>
            </w:tcBorders>
            <w:shd w:val="clear" w:color="auto" w:fill="auto"/>
            <w:tcMar>
              <w:left w:w="57" w:type="dxa"/>
              <w:right w:w="57" w:type="dxa"/>
            </w:tcMar>
            <w:vAlign w:val="center"/>
          </w:tcPr>
          <w:p w14:paraId="10858578" w14:textId="77777777" w:rsidR="00980BF0" w:rsidRPr="008D7AB4" w:rsidRDefault="00980BF0" w:rsidP="0013699E">
            <w:pPr>
              <w:jc w:val="left"/>
              <w:rPr>
                <w:color w:val="000000"/>
                <w:sz w:val="20"/>
                <w:szCs w:val="20"/>
              </w:rPr>
            </w:pPr>
          </w:p>
        </w:tc>
        <w:tc>
          <w:tcPr>
            <w:tcW w:w="992" w:type="dxa"/>
            <w:tcBorders>
              <w:left w:val="single" w:sz="4" w:space="0" w:color="auto"/>
            </w:tcBorders>
            <w:shd w:val="clear" w:color="auto" w:fill="auto"/>
          </w:tcPr>
          <w:p w14:paraId="6D5DF979" w14:textId="77777777" w:rsidR="00980BF0" w:rsidRPr="008D7AB4" w:rsidRDefault="00980BF0" w:rsidP="0013699E">
            <w:pPr>
              <w:jc w:val="center"/>
              <w:rPr>
                <w:color w:val="000000"/>
                <w:sz w:val="20"/>
                <w:szCs w:val="20"/>
              </w:rPr>
            </w:pPr>
            <w:r w:rsidRPr="008D7AB4">
              <w:rPr>
                <w:color w:val="000000"/>
                <w:sz w:val="20"/>
                <w:szCs w:val="20"/>
              </w:rPr>
              <w:t>90</w:t>
            </w:r>
          </w:p>
        </w:tc>
        <w:tc>
          <w:tcPr>
            <w:tcW w:w="850" w:type="dxa"/>
          </w:tcPr>
          <w:p w14:paraId="49388F97" w14:textId="77777777" w:rsidR="00980BF0" w:rsidRPr="008D7AB4" w:rsidRDefault="00980BF0" w:rsidP="0013699E">
            <w:pPr>
              <w:jc w:val="center"/>
              <w:rPr>
                <w:color w:val="000000"/>
                <w:sz w:val="20"/>
                <w:szCs w:val="20"/>
              </w:rPr>
            </w:pPr>
            <w:r w:rsidRPr="008D7AB4">
              <w:rPr>
                <w:color w:val="000000"/>
                <w:sz w:val="20"/>
                <w:szCs w:val="20"/>
              </w:rPr>
              <w:t>83</w:t>
            </w:r>
          </w:p>
        </w:tc>
        <w:tc>
          <w:tcPr>
            <w:tcW w:w="1134" w:type="dxa"/>
            <w:shd w:val="clear" w:color="auto" w:fill="auto"/>
          </w:tcPr>
          <w:p w14:paraId="19E97EC8" w14:textId="77777777" w:rsidR="00980BF0" w:rsidRPr="008D7AB4" w:rsidRDefault="00980BF0" w:rsidP="0013699E">
            <w:pPr>
              <w:jc w:val="center"/>
              <w:rPr>
                <w:color w:val="000000"/>
                <w:sz w:val="20"/>
                <w:szCs w:val="20"/>
              </w:rPr>
            </w:pPr>
            <w:r w:rsidRPr="008D7AB4">
              <w:rPr>
                <w:color w:val="000000"/>
                <w:sz w:val="20"/>
                <w:szCs w:val="20"/>
              </w:rPr>
              <w:t>26</w:t>
            </w:r>
          </w:p>
        </w:tc>
        <w:tc>
          <w:tcPr>
            <w:tcW w:w="1134" w:type="dxa"/>
            <w:vMerge/>
            <w:vAlign w:val="center"/>
          </w:tcPr>
          <w:p w14:paraId="2DB179DA" w14:textId="77777777" w:rsidR="00980BF0" w:rsidRPr="008D7AB4" w:rsidRDefault="00980BF0" w:rsidP="0013699E">
            <w:pPr>
              <w:jc w:val="left"/>
              <w:rPr>
                <w:color w:val="000000"/>
                <w:sz w:val="20"/>
                <w:szCs w:val="20"/>
              </w:rPr>
            </w:pPr>
          </w:p>
        </w:tc>
        <w:tc>
          <w:tcPr>
            <w:tcW w:w="940" w:type="dxa"/>
            <w:vMerge/>
            <w:shd w:val="clear" w:color="auto" w:fill="auto"/>
            <w:vAlign w:val="center"/>
          </w:tcPr>
          <w:p w14:paraId="0C9C66B5" w14:textId="77777777" w:rsidR="00980BF0" w:rsidRPr="008D7AB4" w:rsidRDefault="00980BF0" w:rsidP="0013699E">
            <w:pPr>
              <w:jc w:val="left"/>
              <w:rPr>
                <w:color w:val="000000"/>
                <w:sz w:val="20"/>
                <w:szCs w:val="20"/>
              </w:rPr>
            </w:pPr>
          </w:p>
        </w:tc>
      </w:tr>
      <w:tr w:rsidR="00980BF0" w:rsidRPr="008D7AB4" w14:paraId="66227639" w14:textId="77777777" w:rsidTr="0013699E">
        <w:tc>
          <w:tcPr>
            <w:tcW w:w="1271" w:type="dxa"/>
            <w:tcBorders>
              <w:top w:val="single" w:sz="4" w:space="0" w:color="auto"/>
            </w:tcBorders>
            <w:tcMar>
              <w:left w:w="57" w:type="dxa"/>
              <w:right w:w="57" w:type="dxa"/>
            </w:tcMar>
          </w:tcPr>
          <w:p w14:paraId="59894B26" w14:textId="77777777" w:rsidR="00980BF0" w:rsidRPr="008D7AB4" w:rsidRDefault="00980BF0" w:rsidP="0013699E">
            <w:pPr>
              <w:jc w:val="left"/>
              <w:rPr>
                <w:color w:val="000000"/>
                <w:sz w:val="20"/>
                <w:szCs w:val="20"/>
              </w:rPr>
            </w:pPr>
            <w:r w:rsidRPr="008D7AB4">
              <w:rPr>
                <w:color w:val="000000"/>
                <w:sz w:val="20"/>
                <w:szCs w:val="20"/>
              </w:rPr>
              <w:t>Shimtek</w:t>
            </w:r>
          </w:p>
        </w:tc>
        <w:tc>
          <w:tcPr>
            <w:tcW w:w="1843" w:type="dxa"/>
            <w:tcBorders>
              <w:top w:val="single" w:sz="4" w:space="0" w:color="auto"/>
              <w:right w:val="single" w:sz="4" w:space="0" w:color="auto"/>
            </w:tcBorders>
            <w:shd w:val="clear" w:color="auto" w:fill="auto"/>
            <w:tcMar>
              <w:left w:w="57" w:type="dxa"/>
              <w:right w:w="57" w:type="dxa"/>
            </w:tcMar>
          </w:tcPr>
          <w:p w14:paraId="0314D177" w14:textId="77777777" w:rsidR="00980BF0" w:rsidRPr="008D7AB4" w:rsidRDefault="00980BF0" w:rsidP="0013699E">
            <w:pPr>
              <w:jc w:val="left"/>
              <w:rPr>
                <w:color w:val="000000"/>
                <w:sz w:val="20"/>
                <w:szCs w:val="20"/>
              </w:rPr>
            </w:pPr>
            <w:r w:rsidRPr="008D7AB4">
              <w:rPr>
                <w:color w:val="000000"/>
                <w:sz w:val="20"/>
                <w:szCs w:val="20"/>
              </w:rPr>
              <w:t>HFO</w:t>
            </w:r>
          </w:p>
        </w:tc>
        <w:tc>
          <w:tcPr>
            <w:tcW w:w="1276" w:type="dxa"/>
            <w:vMerge/>
            <w:tcBorders>
              <w:left w:val="single" w:sz="4" w:space="0" w:color="auto"/>
              <w:right w:val="single" w:sz="4" w:space="0" w:color="auto"/>
            </w:tcBorders>
            <w:shd w:val="clear" w:color="auto" w:fill="auto"/>
            <w:tcMar>
              <w:left w:w="57" w:type="dxa"/>
              <w:right w:w="57" w:type="dxa"/>
            </w:tcMar>
            <w:vAlign w:val="center"/>
          </w:tcPr>
          <w:p w14:paraId="50B481D8" w14:textId="77777777" w:rsidR="00980BF0" w:rsidRPr="008D7AB4" w:rsidRDefault="00980BF0" w:rsidP="0013699E">
            <w:pPr>
              <w:jc w:val="left"/>
              <w:rPr>
                <w:color w:val="000000"/>
                <w:sz w:val="20"/>
                <w:szCs w:val="20"/>
              </w:rPr>
            </w:pPr>
          </w:p>
        </w:tc>
        <w:tc>
          <w:tcPr>
            <w:tcW w:w="992" w:type="dxa"/>
            <w:tcBorders>
              <w:left w:val="single" w:sz="4" w:space="0" w:color="auto"/>
            </w:tcBorders>
            <w:shd w:val="clear" w:color="auto" w:fill="auto"/>
            <w:hideMark/>
          </w:tcPr>
          <w:p w14:paraId="37E61D7A" w14:textId="77777777" w:rsidR="00980BF0" w:rsidRPr="008D7AB4" w:rsidRDefault="00980BF0" w:rsidP="0013699E">
            <w:pPr>
              <w:jc w:val="center"/>
              <w:rPr>
                <w:color w:val="000000"/>
                <w:sz w:val="20"/>
                <w:szCs w:val="20"/>
              </w:rPr>
            </w:pPr>
            <w:r w:rsidRPr="008D7AB4">
              <w:rPr>
                <w:color w:val="000000"/>
                <w:sz w:val="20"/>
                <w:szCs w:val="20"/>
              </w:rPr>
              <w:t>11</w:t>
            </w:r>
          </w:p>
        </w:tc>
        <w:tc>
          <w:tcPr>
            <w:tcW w:w="850" w:type="dxa"/>
          </w:tcPr>
          <w:p w14:paraId="1205B248" w14:textId="77777777" w:rsidR="00980BF0" w:rsidRPr="008D7AB4" w:rsidRDefault="00980BF0" w:rsidP="0013699E">
            <w:pPr>
              <w:jc w:val="center"/>
              <w:rPr>
                <w:color w:val="000000"/>
                <w:sz w:val="20"/>
                <w:szCs w:val="20"/>
              </w:rPr>
            </w:pPr>
            <w:r w:rsidRPr="008D7AB4">
              <w:rPr>
                <w:color w:val="000000"/>
                <w:sz w:val="20"/>
                <w:szCs w:val="20"/>
              </w:rPr>
              <w:t>9</w:t>
            </w:r>
          </w:p>
        </w:tc>
        <w:tc>
          <w:tcPr>
            <w:tcW w:w="1134" w:type="dxa"/>
            <w:shd w:val="clear" w:color="auto" w:fill="auto"/>
            <w:hideMark/>
          </w:tcPr>
          <w:p w14:paraId="7F952947" w14:textId="77777777" w:rsidR="00980BF0" w:rsidRPr="008D7AB4" w:rsidRDefault="00980BF0" w:rsidP="0013699E">
            <w:pPr>
              <w:jc w:val="center"/>
              <w:rPr>
                <w:color w:val="000000"/>
                <w:sz w:val="20"/>
                <w:szCs w:val="20"/>
              </w:rPr>
            </w:pPr>
            <w:r w:rsidRPr="008D7AB4">
              <w:rPr>
                <w:color w:val="000000"/>
                <w:sz w:val="20"/>
                <w:szCs w:val="20"/>
              </w:rPr>
              <w:t>2</w:t>
            </w:r>
          </w:p>
        </w:tc>
        <w:tc>
          <w:tcPr>
            <w:tcW w:w="1134" w:type="dxa"/>
            <w:vMerge/>
            <w:vAlign w:val="center"/>
          </w:tcPr>
          <w:p w14:paraId="185D80AE" w14:textId="77777777" w:rsidR="00980BF0" w:rsidRPr="008D7AB4" w:rsidRDefault="00980BF0" w:rsidP="0013699E">
            <w:pPr>
              <w:jc w:val="left"/>
              <w:rPr>
                <w:color w:val="000000"/>
                <w:sz w:val="20"/>
                <w:szCs w:val="20"/>
              </w:rPr>
            </w:pPr>
          </w:p>
        </w:tc>
        <w:tc>
          <w:tcPr>
            <w:tcW w:w="940" w:type="dxa"/>
            <w:vMerge/>
            <w:shd w:val="clear" w:color="auto" w:fill="auto"/>
            <w:vAlign w:val="center"/>
            <w:hideMark/>
          </w:tcPr>
          <w:p w14:paraId="561E5EAA" w14:textId="77777777" w:rsidR="00980BF0" w:rsidRPr="008D7AB4" w:rsidRDefault="00980BF0" w:rsidP="0013699E">
            <w:pPr>
              <w:jc w:val="left"/>
              <w:rPr>
                <w:color w:val="000000"/>
                <w:sz w:val="20"/>
                <w:szCs w:val="20"/>
              </w:rPr>
            </w:pPr>
          </w:p>
        </w:tc>
      </w:tr>
      <w:tr w:rsidR="00980BF0" w:rsidRPr="008D7AB4" w14:paraId="368FD72D" w14:textId="77777777" w:rsidTr="0013699E">
        <w:tc>
          <w:tcPr>
            <w:tcW w:w="1271" w:type="dxa"/>
            <w:tcMar>
              <w:left w:w="57" w:type="dxa"/>
              <w:right w:w="57" w:type="dxa"/>
            </w:tcMar>
          </w:tcPr>
          <w:p w14:paraId="531E5A13" w14:textId="77777777" w:rsidR="00980BF0" w:rsidRPr="008D7AB4" w:rsidRDefault="00980BF0" w:rsidP="0013699E">
            <w:pPr>
              <w:jc w:val="left"/>
              <w:rPr>
                <w:color w:val="000000"/>
                <w:sz w:val="20"/>
                <w:szCs w:val="20"/>
              </w:rPr>
            </w:pPr>
            <w:r w:rsidRPr="008D7AB4">
              <w:rPr>
                <w:color w:val="000000"/>
                <w:sz w:val="20"/>
                <w:szCs w:val="20"/>
              </w:rPr>
              <w:t xml:space="preserve">U-Tech </w:t>
            </w:r>
          </w:p>
        </w:tc>
        <w:tc>
          <w:tcPr>
            <w:tcW w:w="1843" w:type="dxa"/>
            <w:tcBorders>
              <w:right w:val="single" w:sz="4" w:space="0" w:color="auto"/>
            </w:tcBorders>
            <w:shd w:val="clear" w:color="auto" w:fill="auto"/>
            <w:tcMar>
              <w:left w:w="57" w:type="dxa"/>
              <w:right w:w="57" w:type="dxa"/>
            </w:tcMar>
          </w:tcPr>
          <w:p w14:paraId="4E725DEC" w14:textId="77777777" w:rsidR="00980BF0" w:rsidRPr="008D7AB4" w:rsidRDefault="00980BF0" w:rsidP="0013699E">
            <w:pPr>
              <w:jc w:val="left"/>
              <w:rPr>
                <w:color w:val="000000"/>
                <w:sz w:val="20"/>
                <w:szCs w:val="20"/>
              </w:rPr>
            </w:pPr>
            <w:r w:rsidRPr="008D7AB4">
              <w:rPr>
                <w:color w:val="000000"/>
                <w:sz w:val="20"/>
                <w:szCs w:val="20"/>
              </w:rPr>
              <w:t>MF, HFO</w:t>
            </w:r>
          </w:p>
        </w:tc>
        <w:tc>
          <w:tcPr>
            <w:tcW w:w="1276" w:type="dxa"/>
            <w:vMerge/>
            <w:tcBorders>
              <w:left w:val="single" w:sz="4" w:space="0" w:color="auto"/>
              <w:right w:val="single" w:sz="4" w:space="0" w:color="auto"/>
            </w:tcBorders>
            <w:shd w:val="clear" w:color="auto" w:fill="auto"/>
            <w:tcMar>
              <w:left w:w="57" w:type="dxa"/>
              <w:right w:w="57" w:type="dxa"/>
            </w:tcMar>
            <w:vAlign w:val="center"/>
          </w:tcPr>
          <w:p w14:paraId="148A0A78" w14:textId="77777777" w:rsidR="00980BF0" w:rsidRPr="008D7AB4" w:rsidRDefault="00980BF0" w:rsidP="0013699E">
            <w:pPr>
              <w:jc w:val="left"/>
              <w:rPr>
                <w:color w:val="000000"/>
                <w:sz w:val="20"/>
                <w:szCs w:val="20"/>
              </w:rPr>
            </w:pPr>
          </w:p>
        </w:tc>
        <w:tc>
          <w:tcPr>
            <w:tcW w:w="992" w:type="dxa"/>
            <w:tcBorders>
              <w:left w:val="single" w:sz="4" w:space="0" w:color="auto"/>
            </w:tcBorders>
            <w:shd w:val="clear" w:color="auto" w:fill="auto"/>
            <w:hideMark/>
          </w:tcPr>
          <w:p w14:paraId="0EC04802" w14:textId="77777777" w:rsidR="00980BF0" w:rsidRPr="008D7AB4" w:rsidRDefault="00980BF0" w:rsidP="0013699E">
            <w:pPr>
              <w:jc w:val="center"/>
              <w:rPr>
                <w:color w:val="000000"/>
                <w:sz w:val="20"/>
                <w:szCs w:val="20"/>
              </w:rPr>
            </w:pPr>
            <w:r w:rsidRPr="008D7AB4">
              <w:rPr>
                <w:color w:val="000000"/>
                <w:sz w:val="20"/>
                <w:szCs w:val="20"/>
              </w:rPr>
              <w:t>5</w:t>
            </w:r>
          </w:p>
        </w:tc>
        <w:tc>
          <w:tcPr>
            <w:tcW w:w="850" w:type="dxa"/>
          </w:tcPr>
          <w:p w14:paraId="019720DD" w14:textId="77777777" w:rsidR="00980BF0" w:rsidRPr="008D7AB4" w:rsidRDefault="00980BF0" w:rsidP="0013699E">
            <w:pPr>
              <w:jc w:val="center"/>
              <w:rPr>
                <w:color w:val="000000"/>
                <w:sz w:val="20"/>
                <w:szCs w:val="20"/>
              </w:rPr>
            </w:pPr>
            <w:r w:rsidRPr="008D7AB4">
              <w:rPr>
                <w:color w:val="000000"/>
                <w:sz w:val="20"/>
                <w:szCs w:val="20"/>
              </w:rPr>
              <w:t>5</w:t>
            </w:r>
          </w:p>
        </w:tc>
        <w:tc>
          <w:tcPr>
            <w:tcW w:w="1134" w:type="dxa"/>
            <w:shd w:val="clear" w:color="auto" w:fill="auto"/>
            <w:hideMark/>
          </w:tcPr>
          <w:p w14:paraId="1DD4713D" w14:textId="77777777" w:rsidR="00980BF0" w:rsidRPr="008D7AB4" w:rsidRDefault="00980BF0" w:rsidP="0013699E">
            <w:pPr>
              <w:jc w:val="center"/>
              <w:rPr>
                <w:color w:val="000000"/>
                <w:sz w:val="20"/>
                <w:szCs w:val="20"/>
              </w:rPr>
            </w:pPr>
            <w:r w:rsidRPr="008D7AB4">
              <w:rPr>
                <w:color w:val="000000"/>
                <w:sz w:val="20"/>
                <w:szCs w:val="20"/>
              </w:rPr>
              <w:t>0</w:t>
            </w:r>
          </w:p>
        </w:tc>
        <w:tc>
          <w:tcPr>
            <w:tcW w:w="1134" w:type="dxa"/>
            <w:vMerge/>
            <w:vAlign w:val="center"/>
          </w:tcPr>
          <w:p w14:paraId="7A08F86A" w14:textId="77777777" w:rsidR="00980BF0" w:rsidRPr="008D7AB4" w:rsidRDefault="00980BF0" w:rsidP="0013699E">
            <w:pPr>
              <w:jc w:val="left"/>
              <w:rPr>
                <w:color w:val="000000"/>
                <w:sz w:val="20"/>
                <w:szCs w:val="20"/>
              </w:rPr>
            </w:pPr>
          </w:p>
        </w:tc>
        <w:tc>
          <w:tcPr>
            <w:tcW w:w="940" w:type="dxa"/>
            <w:vMerge/>
            <w:shd w:val="clear" w:color="auto" w:fill="auto"/>
            <w:vAlign w:val="center"/>
            <w:hideMark/>
          </w:tcPr>
          <w:p w14:paraId="452EFC3F" w14:textId="77777777" w:rsidR="00980BF0" w:rsidRPr="008D7AB4" w:rsidRDefault="00980BF0" w:rsidP="0013699E">
            <w:pPr>
              <w:jc w:val="left"/>
              <w:rPr>
                <w:color w:val="000000"/>
                <w:sz w:val="20"/>
                <w:szCs w:val="20"/>
              </w:rPr>
            </w:pPr>
          </w:p>
        </w:tc>
      </w:tr>
      <w:tr w:rsidR="00980BF0" w:rsidRPr="008D7AB4" w14:paraId="407D6859" w14:textId="77777777" w:rsidTr="0013699E">
        <w:tc>
          <w:tcPr>
            <w:tcW w:w="1271" w:type="dxa"/>
            <w:tcMar>
              <w:left w:w="57" w:type="dxa"/>
              <w:right w:w="57" w:type="dxa"/>
            </w:tcMar>
          </w:tcPr>
          <w:p w14:paraId="473EAE77" w14:textId="77777777" w:rsidR="00980BF0" w:rsidRPr="008D7AB4" w:rsidRDefault="00980BF0" w:rsidP="0013699E">
            <w:pPr>
              <w:jc w:val="left"/>
              <w:rPr>
                <w:color w:val="000000"/>
                <w:sz w:val="20"/>
                <w:szCs w:val="20"/>
              </w:rPr>
            </w:pPr>
            <w:r w:rsidRPr="008D7AB4">
              <w:rPr>
                <w:color w:val="000000"/>
                <w:sz w:val="20"/>
                <w:szCs w:val="20"/>
              </w:rPr>
              <w:t xml:space="preserve">Comfibras </w:t>
            </w:r>
          </w:p>
        </w:tc>
        <w:tc>
          <w:tcPr>
            <w:tcW w:w="1843" w:type="dxa"/>
            <w:shd w:val="clear" w:color="auto" w:fill="auto"/>
            <w:tcMar>
              <w:left w:w="57" w:type="dxa"/>
              <w:right w:w="57" w:type="dxa"/>
            </w:tcMar>
          </w:tcPr>
          <w:p w14:paraId="4AB7F242" w14:textId="77777777" w:rsidR="00980BF0" w:rsidRPr="008D7AB4" w:rsidRDefault="00980BF0" w:rsidP="0013699E">
            <w:pPr>
              <w:jc w:val="left"/>
              <w:rPr>
                <w:color w:val="000000"/>
                <w:sz w:val="20"/>
                <w:szCs w:val="20"/>
              </w:rPr>
            </w:pPr>
            <w:r w:rsidRPr="008D7AB4">
              <w:rPr>
                <w:color w:val="000000"/>
                <w:sz w:val="20"/>
                <w:szCs w:val="20"/>
              </w:rPr>
              <w:t>HFO</w:t>
            </w:r>
          </w:p>
        </w:tc>
        <w:tc>
          <w:tcPr>
            <w:tcW w:w="1276" w:type="dxa"/>
            <w:shd w:val="clear" w:color="auto" w:fill="auto"/>
            <w:tcMar>
              <w:left w:w="57" w:type="dxa"/>
              <w:right w:w="57" w:type="dxa"/>
            </w:tcMar>
          </w:tcPr>
          <w:p w14:paraId="0DD59E74" w14:textId="77777777" w:rsidR="00980BF0" w:rsidRPr="008D7AB4" w:rsidRDefault="00980BF0" w:rsidP="0013699E">
            <w:pPr>
              <w:jc w:val="left"/>
              <w:rPr>
                <w:color w:val="000000"/>
                <w:sz w:val="20"/>
                <w:szCs w:val="20"/>
              </w:rPr>
            </w:pPr>
            <w:r w:rsidRPr="008D7AB4">
              <w:rPr>
                <w:color w:val="000000"/>
                <w:sz w:val="20"/>
                <w:szCs w:val="20"/>
              </w:rPr>
              <w:t>Ongoing</w:t>
            </w:r>
          </w:p>
        </w:tc>
        <w:tc>
          <w:tcPr>
            <w:tcW w:w="992" w:type="dxa"/>
            <w:shd w:val="clear" w:color="auto" w:fill="auto"/>
            <w:hideMark/>
          </w:tcPr>
          <w:p w14:paraId="572C7EC3" w14:textId="77777777" w:rsidR="00980BF0" w:rsidRPr="008D7AB4" w:rsidRDefault="00980BF0" w:rsidP="0013699E">
            <w:pPr>
              <w:jc w:val="center"/>
              <w:rPr>
                <w:color w:val="000000"/>
                <w:sz w:val="20"/>
                <w:szCs w:val="20"/>
              </w:rPr>
            </w:pPr>
            <w:r w:rsidRPr="008D7AB4">
              <w:rPr>
                <w:color w:val="000000"/>
                <w:sz w:val="20"/>
                <w:szCs w:val="20"/>
              </w:rPr>
              <w:t>12</w:t>
            </w:r>
          </w:p>
        </w:tc>
        <w:tc>
          <w:tcPr>
            <w:tcW w:w="850" w:type="dxa"/>
          </w:tcPr>
          <w:p w14:paraId="6107E8A3" w14:textId="77777777" w:rsidR="00980BF0" w:rsidRPr="008D7AB4" w:rsidRDefault="00980BF0" w:rsidP="0013699E">
            <w:pPr>
              <w:jc w:val="center"/>
              <w:rPr>
                <w:color w:val="000000"/>
                <w:sz w:val="20"/>
                <w:szCs w:val="20"/>
              </w:rPr>
            </w:pPr>
            <w:r w:rsidRPr="008D7AB4">
              <w:rPr>
                <w:color w:val="000000"/>
                <w:sz w:val="20"/>
                <w:szCs w:val="20"/>
              </w:rPr>
              <w:t>12</w:t>
            </w:r>
          </w:p>
        </w:tc>
        <w:tc>
          <w:tcPr>
            <w:tcW w:w="1134" w:type="dxa"/>
            <w:shd w:val="clear" w:color="auto" w:fill="auto"/>
            <w:hideMark/>
          </w:tcPr>
          <w:p w14:paraId="0774A157" w14:textId="77777777" w:rsidR="00980BF0" w:rsidRPr="008D7AB4" w:rsidRDefault="00980BF0" w:rsidP="0013699E">
            <w:pPr>
              <w:jc w:val="center"/>
              <w:rPr>
                <w:color w:val="000000"/>
                <w:sz w:val="20"/>
                <w:szCs w:val="20"/>
              </w:rPr>
            </w:pPr>
            <w:r w:rsidRPr="008D7AB4">
              <w:rPr>
                <w:color w:val="000000"/>
                <w:sz w:val="20"/>
                <w:szCs w:val="20"/>
              </w:rPr>
              <w:t>0</w:t>
            </w:r>
          </w:p>
        </w:tc>
        <w:tc>
          <w:tcPr>
            <w:tcW w:w="1134" w:type="dxa"/>
            <w:tcMar>
              <w:left w:w="57" w:type="dxa"/>
              <w:right w:w="57" w:type="dxa"/>
            </w:tcMar>
            <w:vAlign w:val="center"/>
          </w:tcPr>
          <w:p w14:paraId="205E3E34" w14:textId="77777777" w:rsidR="00980BF0" w:rsidRPr="008D7AB4" w:rsidRDefault="00980BF0" w:rsidP="0013699E">
            <w:pPr>
              <w:jc w:val="left"/>
              <w:rPr>
                <w:color w:val="000000"/>
                <w:sz w:val="20"/>
                <w:szCs w:val="20"/>
              </w:rPr>
            </w:pPr>
            <w:r w:rsidRPr="008D7AB4">
              <w:rPr>
                <w:color w:val="000000"/>
                <w:sz w:val="20"/>
                <w:szCs w:val="20"/>
              </w:rPr>
              <w:t>Not started</w:t>
            </w:r>
          </w:p>
        </w:tc>
        <w:tc>
          <w:tcPr>
            <w:tcW w:w="940" w:type="dxa"/>
            <w:vMerge/>
            <w:shd w:val="clear" w:color="auto" w:fill="auto"/>
            <w:vAlign w:val="center"/>
            <w:hideMark/>
          </w:tcPr>
          <w:p w14:paraId="5A852230" w14:textId="77777777" w:rsidR="00980BF0" w:rsidRPr="008D7AB4" w:rsidRDefault="00980BF0" w:rsidP="0013699E">
            <w:pPr>
              <w:jc w:val="left"/>
              <w:rPr>
                <w:color w:val="000000"/>
                <w:sz w:val="20"/>
                <w:szCs w:val="20"/>
              </w:rPr>
            </w:pPr>
          </w:p>
        </w:tc>
      </w:tr>
      <w:tr w:rsidR="00980BF0" w:rsidRPr="008D7AB4" w14:paraId="7BFBAFD5" w14:textId="77777777" w:rsidTr="0013699E">
        <w:tc>
          <w:tcPr>
            <w:tcW w:w="1271" w:type="dxa"/>
            <w:tcMar>
              <w:left w:w="57" w:type="dxa"/>
              <w:right w:w="57" w:type="dxa"/>
            </w:tcMar>
          </w:tcPr>
          <w:p w14:paraId="2619012A" w14:textId="77777777" w:rsidR="00980BF0" w:rsidRPr="008D7AB4" w:rsidRDefault="00980BF0" w:rsidP="0013699E">
            <w:pPr>
              <w:jc w:val="left"/>
              <w:rPr>
                <w:color w:val="000000"/>
                <w:sz w:val="20"/>
                <w:szCs w:val="20"/>
              </w:rPr>
            </w:pPr>
            <w:r w:rsidRPr="008D7AB4">
              <w:rPr>
                <w:color w:val="000000"/>
                <w:sz w:val="20"/>
                <w:szCs w:val="20"/>
              </w:rPr>
              <w:t xml:space="preserve">Univar </w:t>
            </w:r>
          </w:p>
        </w:tc>
        <w:tc>
          <w:tcPr>
            <w:tcW w:w="1843" w:type="dxa"/>
            <w:shd w:val="clear" w:color="auto" w:fill="auto"/>
            <w:tcMar>
              <w:left w:w="57" w:type="dxa"/>
              <w:right w:w="57" w:type="dxa"/>
            </w:tcMar>
            <w:vAlign w:val="center"/>
          </w:tcPr>
          <w:p w14:paraId="284E7224" w14:textId="77777777" w:rsidR="00980BF0" w:rsidRPr="008D7AB4" w:rsidRDefault="00980BF0" w:rsidP="0013699E">
            <w:pPr>
              <w:jc w:val="left"/>
              <w:rPr>
                <w:color w:val="000000"/>
                <w:sz w:val="20"/>
                <w:szCs w:val="20"/>
              </w:rPr>
            </w:pPr>
            <w:r w:rsidRPr="008D7AB4">
              <w:rPr>
                <w:color w:val="000000"/>
                <w:sz w:val="20"/>
                <w:szCs w:val="20"/>
              </w:rPr>
              <w:t>Methylal, HFO, CO</w:t>
            </w:r>
            <w:r w:rsidRPr="008D7AB4">
              <w:rPr>
                <w:color w:val="000000"/>
                <w:sz w:val="20"/>
                <w:szCs w:val="20"/>
                <w:vertAlign w:val="subscript"/>
              </w:rPr>
              <w:t>2</w:t>
            </w:r>
          </w:p>
        </w:tc>
        <w:tc>
          <w:tcPr>
            <w:tcW w:w="1276" w:type="dxa"/>
            <w:vMerge w:val="restart"/>
            <w:shd w:val="clear" w:color="auto" w:fill="auto"/>
            <w:tcMar>
              <w:left w:w="57" w:type="dxa"/>
              <w:right w:w="57" w:type="dxa"/>
            </w:tcMar>
            <w:vAlign w:val="center"/>
          </w:tcPr>
          <w:p w14:paraId="647D864C" w14:textId="77777777" w:rsidR="00980BF0" w:rsidRPr="008D7AB4" w:rsidRDefault="00980BF0" w:rsidP="0013699E">
            <w:pPr>
              <w:jc w:val="left"/>
              <w:rPr>
                <w:color w:val="000000"/>
                <w:sz w:val="20"/>
                <w:szCs w:val="20"/>
              </w:rPr>
            </w:pPr>
            <w:r w:rsidRPr="008D7AB4">
              <w:rPr>
                <w:color w:val="000000"/>
                <w:sz w:val="20"/>
                <w:szCs w:val="20"/>
              </w:rPr>
              <w:t>Ineligible</w:t>
            </w:r>
          </w:p>
        </w:tc>
        <w:tc>
          <w:tcPr>
            <w:tcW w:w="992" w:type="dxa"/>
            <w:shd w:val="clear" w:color="auto" w:fill="auto"/>
            <w:vAlign w:val="center"/>
            <w:hideMark/>
          </w:tcPr>
          <w:p w14:paraId="3E960CCB" w14:textId="77777777" w:rsidR="00980BF0" w:rsidRPr="008D7AB4" w:rsidRDefault="00980BF0" w:rsidP="0013699E">
            <w:pPr>
              <w:jc w:val="center"/>
              <w:rPr>
                <w:color w:val="000000"/>
                <w:sz w:val="20"/>
                <w:szCs w:val="20"/>
              </w:rPr>
            </w:pPr>
            <w:r w:rsidRPr="008D7AB4">
              <w:rPr>
                <w:color w:val="000000"/>
                <w:sz w:val="20"/>
                <w:szCs w:val="20"/>
              </w:rPr>
              <w:t>84</w:t>
            </w:r>
          </w:p>
        </w:tc>
        <w:tc>
          <w:tcPr>
            <w:tcW w:w="850" w:type="dxa"/>
            <w:vAlign w:val="center"/>
          </w:tcPr>
          <w:p w14:paraId="1D7592E7" w14:textId="77777777" w:rsidR="00980BF0" w:rsidRPr="008D7AB4" w:rsidRDefault="00980BF0" w:rsidP="0013699E">
            <w:pPr>
              <w:jc w:val="center"/>
              <w:rPr>
                <w:color w:val="000000"/>
                <w:sz w:val="20"/>
                <w:szCs w:val="20"/>
              </w:rPr>
            </w:pPr>
            <w:r w:rsidRPr="008D7AB4">
              <w:rPr>
                <w:color w:val="000000"/>
                <w:sz w:val="20"/>
                <w:szCs w:val="20"/>
              </w:rPr>
              <w:t>76</w:t>
            </w:r>
          </w:p>
        </w:tc>
        <w:tc>
          <w:tcPr>
            <w:tcW w:w="1134" w:type="dxa"/>
            <w:shd w:val="clear" w:color="auto" w:fill="auto"/>
            <w:vAlign w:val="center"/>
            <w:hideMark/>
          </w:tcPr>
          <w:p w14:paraId="42916283" w14:textId="77777777" w:rsidR="00980BF0" w:rsidRPr="008D7AB4" w:rsidRDefault="00980BF0" w:rsidP="0013699E">
            <w:pPr>
              <w:jc w:val="center"/>
              <w:rPr>
                <w:color w:val="000000"/>
                <w:sz w:val="20"/>
                <w:szCs w:val="20"/>
              </w:rPr>
            </w:pPr>
            <w:r w:rsidRPr="008D7AB4">
              <w:rPr>
                <w:color w:val="000000"/>
                <w:sz w:val="20"/>
                <w:szCs w:val="20"/>
              </w:rPr>
              <w:t>14</w:t>
            </w:r>
          </w:p>
        </w:tc>
        <w:tc>
          <w:tcPr>
            <w:tcW w:w="1134" w:type="dxa"/>
            <w:vMerge w:val="restart"/>
            <w:tcMar>
              <w:left w:w="57" w:type="dxa"/>
              <w:right w:w="57" w:type="dxa"/>
            </w:tcMar>
            <w:vAlign w:val="center"/>
          </w:tcPr>
          <w:p w14:paraId="5E7D1713" w14:textId="77777777" w:rsidR="00980BF0" w:rsidRPr="008D7AB4" w:rsidRDefault="00980BF0" w:rsidP="0013699E">
            <w:pPr>
              <w:jc w:val="left"/>
              <w:rPr>
                <w:color w:val="000000"/>
                <w:sz w:val="20"/>
                <w:szCs w:val="20"/>
              </w:rPr>
            </w:pPr>
            <w:r w:rsidRPr="008D7AB4">
              <w:rPr>
                <w:color w:val="000000"/>
                <w:sz w:val="20"/>
                <w:szCs w:val="20"/>
              </w:rPr>
              <w:t>Ongoing</w:t>
            </w:r>
            <w:r w:rsidRPr="008D7AB4">
              <w:rPr>
                <w:color w:val="000000"/>
                <w:sz w:val="24"/>
                <w:szCs w:val="24"/>
                <w:vertAlign w:val="superscript"/>
              </w:rPr>
              <w:t>**</w:t>
            </w:r>
          </w:p>
        </w:tc>
        <w:tc>
          <w:tcPr>
            <w:tcW w:w="940" w:type="dxa"/>
            <w:vMerge/>
            <w:shd w:val="clear" w:color="auto" w:fill="auto"/>
            <w:vAlign w:val="center"/>
            <w:hideMark/>
          </w:tcPr>
          <w:p w14:paraId="7FEB2BC9" w14:textId="77777777" w:rsidR="00980BF0" w:rsidRPr="008D7AB4" w:rsidRDefault="00980BF0" w:rsidP="0013699E">
            <w:pPr>
              <w:jc w:val="left"/>
              <w:rPr>
                <w:color w:val="000000"/>
                <w:sz w:val="20"/>
                <w:szCs w:val="20"/>
              </w:rPr>
            </w:pPr>
          </w:p>
        </w:tc>
      </w:tr>
      <w:tr w:rsidR="00980BF0" w:rsidRPr="008D7AB4" w14:paraId="7CE32281" w14:textId="77777777" w:rsidTr="0013699E">
        <w:tc>
          <w:tcPr>
            <w:tcW w:w="1271" w:type="dxa"/>
            <w:tcMar>
              <w:left w:w="57" w:type="dxa"/>
              <w:right w:w="57" w:type="dxa"/>
            </w:tcMar>
            <w:vAlign w:val="center"/>
          </w:tcPr>
          <w:p w14:paraId="01957B4A" w14:textId="77777777" w:rsidR="00980BF0" w:rsidRPr="008D7AB4" w:rsidRDefault="00980BF0" w:rsidP="0013699E">
            <w:pPr>
              <w:jc w:val="left"/>
              <w:rPr>
                <w:color w:val="000000"/>
                <w:sz w:val="20"/>
                <w:szCs w:val="20"/>
              </w:rPr>
            </w:pPr>
            <w:r w:rsidRPr="008D7AB4">
              <w:rPr>
                <w:color w:val="000000"/>
                <w:sz w:val="20"/>
                <w:szCs w:val="20"/>
              </w:rPr>
              <w:t xml:space="preserve">Basf </w:t>
            </w:r>
          </w:p>
        </w:tc>
        <w:tc>
          <w:tcPr>
            <w:tcW w:w="1843" w:type="dxa"/>
            <w:shd w:val="clear" w:color="auto" w:fill="auto"/>
            <w:tcMar>
              <w:left w:w="57" w:type="dxa"/>
              <w:right w:w="57" w:type="dxa"/>
            </w:tcMar>
            <w:vAlign w:val="center"/>
          </w:tcPr>
          <w:p w14:paraId="5EA77191" w14:textId="77777777" w:rsidR="00980BF0" w:rsidRPr="008D7AB4" w:rsidRDefault="00980BF0" w:rsidP="0013699E">
            <w:pPr>
              <w:jc w:val="left"/>
              <w:rPr>
                <w:color w:val="000000"/>
                <w:sz w:val="20"/>
                <w:szCs w:val="20"/>
              </w:rPr>
            </w:pPr>
            <w:r w:rsidRPr="008D7AB4">
              <w:rPr>
                <w:color w:val="000000"/>
                <w:sz w:val="20"/>
                <w:szCs w:val="20"/>
              </w:rPr>
              <w:t>HFO</w:t>
            </w:r>
          </w:p>
        </w:tc>
        <w:tc>
          <w:tcPr>
            <w:tcW w:w="1276" w:type="dxa"/>
            <w:vMerge/>
            <w:shd w:val="clear" w:color="auto" w:fill="auto"/>
            <w:tcMar>
              <w:left w:w="57" w:type="dxa"/>
              <w:right w:w="57" w:type="dxa"/>
            </w:tcMar>
            <w:vAlign w:val="center"/>
          </w:tcPr>
          <w:p w14:paraId="58BC9D8B" w14:textId="77777777" w:rsidR="00980BF0" w:rsidRPr="008D7AB4" w:rsidRDefault="00980BF0" w:rsidP="0013699E">
            <w:pPr>
              <w:jc w:val="left"/>
              <w:rPr>
                <w:color w:val="000000"/>
                <w:sz w:val="20"/>
                <w:szCs w:val="20"/>
              </w:rPr>
            </w:pPr>
          </w:p>
        </w:tc>
        <w:tc>
          <w:tcPr>
            <w:tcW w:w="992" w:type="dxa"/>
            <w:shd w:val="clear" w:color="auto" w:fill="auto"/>
            <w:vAlign w:val="center"/>
            <w:hideMark/>
          </w:tcPr>
          <w:p w14:paraId="56F4C8F1" w14:textId="77777777" w:rsidR="00980BF0" w:rsidRPr="008D7AB4" w:rsidRDefault="00980BF0" w:rsidP="0013699E">
            <w:pPr>
              <w:jc w:val="center"/>
              <w:rPr>
                <w:color w:val="000000"/>
                <w:sz w:val="20"/>
                <w:szCs w:val="20"/>
              </w:rPr>
            </w:pPr>
            <w:r w:rsidRPr="008D7AB4">
              <w:rPr>
                <w:color w:val="000000"/>
                <w:sz w:val="20"/>
                <w:szCs w:val="20"/>
              </w:rPr>
              <w:t>8</w:t>
            </w:r>
          </w:p>
        </w:tc>
        <w:tc>
          <w:tcPr>
            <w:tcW w:w="850" w:type="dxa"/>
            <w:vAlign w:val="center"/>
          </w:tcPr>
          <w:p w14:paraId="07CDB187" w14:textId="77777777" w:rsidR="00980BF0" w:rsidRPr="008D7AB4" w:rsidRDefault="00980BF0" w:rsidP="0013699E">
            <w:pPr>
              <w:jc w:val="center"/>
              <w:rPr>
                <w:color w:val="000000"/>
                <w:sz w:val="20"/>
                <w:szCs w:val="20"/>
              </w:rPr>
            </w:pPr>
            <w:r w:rsidRPr="008D7AB4">
              <w:rPr>
                <w:color w:val="000000"/>
                <w:sz w:val="20"/>
                <w:szCs w:val="20"/>
              </w:rPr>
              <w:t>7</w:t>
            </w:r>
          </w:p>
        </w:tc>
        <w:tc>
          <w:tcPr>
            <w:tcW w:w="1134" w:type="dxa"/>
            <w:shd w:val="clear" w:color="auto" w:fill="auto"/>
            <w:vAlign w:val="center"/>
            <w:hideMark/>
          </w:tcPr>
          <w:p w14:paraId="792031B3" w14:textId="77777777" w:rsidR="00980BF0" w:rsidRPr="008D7AB4" w:rsidRDefault="00980BF0" w:rsidP="0013699E">
            <w:pPr>
              <w:jc w:val="center"/>
              <w:rPr>
                <w:color w:val="000000"/>
                <w:sz w:val="20"/>
                <w:szCs w:val="20"/>
              </w:rPr>
            </w:pPr>
            <w:r w:rsidRPr="008D7AB4">
              <w:rPr>
                <w:color w:val="000000"/>
                <w:sz w:val="20"/>
                <w:szCs w:val="20"/>
              </w:rPr>
              <w:t>2</w:t>
            </w:r>
          </w:p>
        </w:tc>
        <w:tc>
          <w:tcPr>
            <w:tcW w:w="1134" w:type="dxa"/>
            <w:vMerge/>
            <w:tcMar>
              <w:left w:w="57" w:type="dxa"/>
              <w:right w:w="57" w:type="dxa"/>
            </w:tcMar>
            <w:vAlign w:val="center"/>
          </w:tcPr>
          <w:p w14:paraId="631F9FEE" w14:textId="77777777" w:rsidR="00980BF0" w:rsidRPr="008D7AB4" w:rsidRDefault="00980BF0" w:rsidP="0013699E">
            <w:pPr>
              <w:jc w:val="left"/>
              <w:rPr>
                <w:color w:val="000000"/>
                <w:sz w:val="20"/>
                <w:szCs w:val="20"/>
              </w:rPr>
            </w:pPr>
          </w:p>
        </w:tc>
        <w:tc>
          <w:tcPr>
            <w:tcW w:w="940" w:type="dxa"/>
            <w:vMerge/>
            <w:shd w:val="clear" w:color="auto" w:fill="auto"/>
            <w:vAlign w:val="center"/>
            <w:hideMark/>
          </w:tcPr>
          <w:p w14:paraId="4F4749B2" w14:textId="77777777" w:rsidR="00980BF0" w:rsidRPr="008D7AB4" w:rsidRDefault="00980BF0" w:rsidP="0013699E">
            <w:pPr>
              <w:jc w:val="left"/>
              <w:rPr>
                <w:color w:val="000000"/>
                <w:sz w:val="20"/>
                <w:szCs w:val="20"/>
              </w:rPr>
            </w:pPr>
          </w:p>
        </w:tc>
      </w:tr>
      <w:tr w:rsidR="00980BF0" w:rsidRPr="008D7AB4" w14:paraId="1BC06D8A" w14:textId="77777777" w:rsidTr="0013699E">
        <w:tc>
          <w:tcPr>
            <w:tcW w:w="1271" w:type="dxa"/>
            <w:tcMar>
              <w:left w:w="57" w:type="dxa"/>
              <w:right w:w="57" w:type="dxa"/>
            </w:tcMar>
            <w:vAlign w:val="center"/>
          </w:tcPr>
          <w:p w14:paraId="30AF9DD5" w14:textId="77777777" w:rsidR="00980BF0" w:rsidRPr="008D7AB4" w:rsidRDefault="00980BF0" w:rsidP="0013699E">
            <w:pPr>
              <w:jc w:val="left"/>
              <w:rPr>
                <w:color w:val="000000"/>
                <w:sz w:val="20"/>
                <w:szCs w:val="20"/>
              </w:rPr>
            </w:pPr>
            <w:r w:rsidRPr="008D7AB4">
              <w:rPr>
                <w:color w:val="000000"/>
                <w:sz w:val="20"/>
                <w:szCs w:val="20"/>
              </w:rPr>
              <w:t xml:space="preserve">Dow </w:t>
            </w:r>
          </w:p>
        </w:tc>
        <w:tc>
          <w:tcPr>
            <w:tcW w:w="1843" w:type="dxa"/>
            <w:shd w:val="clear" w:color="auto" w:fill="auto"/>
            <w:tcMar>
              <w:left w:w="57" w:type="dxa"/>
              <w:right w:w="57" w:type="dxa"/>
            </w:tcMar>
            <w:vAlign w:val="center"/>
          </w:tcPr>
          <w:p w14:paraId="5C46CEAB" w14:textId="77777777" w:rsidR="00980BF0" w:rsidRPr="008D7AB4" w:rsidRDefault="00980BF0" w:rsidP="0013699E">
            <w:pPr>
              <w:jc w:val="left"/>
              <w:rPr>
                <w:color w:val="000000"/>
                <w:sz w:val="20"/>
                <w:szCs w:val="20"/>
              </w:rPr>
            </w:pPr>
            <w:r w:rsidRPr="008D7AB4">
              <w:rPr>
                <w:color w:val="000000"/>
                <w:sz w:val="20"/>
                <w:szCs w:val="20"/>
              </w:rPr>
              <w:t>HFO</w:t>
            </w:r>
          </w:p>
        </w:tc>
        <w:tc>
          <w:tcPr>
            <w:tcW w:w="1276" w:type="dxa"/>
            <w:vMerge/>
            <w:shd w:val="clear" w:color="auto" w:fill="auto"/>
            <w:tcMar>
              <w:left w:w="57" w:type="dxa"/>
              <w:right w:w="57" w:type="dxa"/>
            </w:tcMar>
            <w:vAlign w:val="center"/>
          </w:tcPr>
          <w:p w14:paraId="23734B3E" w14:textId="77777777" w:rsidR="00980BF0" w:rsidRPr="008D7AB4" w:rsidRDefault="00980BF0" w:rsidP="0013699E">
            <w:pPr>
              <w:jc w:val="left"/>
              <w:rPr>
                <w:color w:val="000000"/>
                <w:sz w:val="20"/>
                <w:szCs w:val="20"/>
              </w:rPr>
            </w:pPr>
          </w:p>
        </w:tc>
        <w:tc>
          <w:tcPr>
            <w:tcW w:w="992" w:type="dxa"/>
            <w:shd w:val="clear" w:color="auto" w:fill="auto"/>
            <w:vAlign w:val="center"/>
            <w:hideMark/>
          </w:tcPr>
          <w:p w14:paraId="191A4A30" w14:textId="77777777" w:rsidR="00980BF0" w:rsidRPr="008D7AB4" w:rsidRDefault="00980BF0" w:rsidP="0013699E">
            <w:pPr>
              <w:jc w:val="center"/>
              <w:rPr>
                <w:color w:val="000000"/>
                <w:sz w:val="20"/>
                <w:szCs w:val="20"/>
              </w:rPr>
            </w:pPr>
            <w:r w:rsidRPr="008D7AB4">
              <w:rPr>
                <w:color w:val="000000"/>
                <w:sz w:val="20"/>
                <w:szCs w:val="20"/>
              </w:rPr>
              <w:t>11</w:t>
            </w:r>
          </w:p>
        </w:tc>
        <w:tc>
          <w:tcPr>
            <w:tcW w:w="850" w:type="dxa"/>
            <w:vAlign w:val="center"/>
          </w:tcPr>
          <w:p w14:paraId="209CE3EA" w14:textId="77777777" w:rsidR="00980BF0" w:rsidRPr="008D7AB4" w:rsidRDefault="00980BF0" w:rsidP="0013699E">
            <w:pPr>
              <w:jc w:val="center"/>
              <w:rPr>
                <w:color w:val="000000"/>
                <w:sz w:val="20"/>
                <w:szCs w:val="20"/>
              </w:rPr>
            </w:pPr>
            <w:r w:rsidRPr="008D7AB4">
              <w:rPr>
                <w:color w:val="000000"/>
                <w:sz w:val="20"/>
                <w:szCs w:val="20"/>
              </w:rPr>
              <w:t>9</w:t>
            </w:r>
          </w:p>
        </w:tc>
        <w:tc>
          <w:tcPr>
            <w:tcW w:w="1134" w:type="dxa"/>
            <w:shd w:val="clear" w:color="auto" w:fill="auto"/>
            <w:vAlign w:val="center"/>
            <w:hideMark/>
          </w:tcPr>
          <w:p w14:paraId="3DE03EA2" w14:textId="77777777" w:rsidR="00980BF0" w:rsidRPr="008D7AB4" w:rsidRDefault="00980BF0" w:rsidP="0013699E">
            <w:pPr>
              <w:jc w:val="center"/>
              <w:rPr>
                <w:color w:val="000000"/>
                <w:sz w:val="20"/>
                <w:szCs w:val="20"/>
              </w:rPr>
            </w:pPr>
            <w:r w:rsidRPr="008D7AB4">
              <w:rPr>
                <w:color w:val="000000"/>
                <w:sz w:val="20"/>
                <w:szCs w:val="20"/>
              </w:rPr>
              <w:t>0</w:t>
            </w:r>
          </w:p>
        </w:tc>
        <w:tc>
          <w:tcPr>
            <w:tcW w:w="1134" w:type="dxa"/>
            <w:vMerge/>
            <w:tcMar>
              <w:left w:w="57" w:type="dxa"/>
              <w:right w:w="57" w:type="dxa"/>
            </w:tcMar>
            <w:vAlign w:val="center"/>
          </w:tcPr>
          <w:p w14:paraId="5ECF9049" w14:textId="77777777" w:rsidR="00980BF0" w:rsidRPr="008D7AB4" w:rsidRDefault="00980BF0" w:rsidP="0013699E">
            <w:pPr>
              <w:jc w:val="left"/>
              <w:rPr>
                <w:color w:val="000000"/>
                <w:sz w:val="20"/>
                <w:szCs w:val="20"/>
              </w:rPr>
            </w:pPr>
          </w:p>
        </w:tc>
        <w:tc>
          <w:tcPr>
            <w:tcW w:w="940" w:type="dxa"/>
            <w:vMerge/>
            <w:shd w:val="clear" w:color="auto" w:fill="auto"/>
            <w:vAlign w:val="center"/>
            <w:hideMark/>
          </w:tcPr>
          <w:p w14:paraId="5BDF2CA4" w14:textId="77777777" w:rsidR="00980BF0" w:rsidRPr="008D7AB4" w:rsidRDefault="00980BF0" w:rsidP="0013699E">
            <w:pPr>
              <w:jc w:val="left"/>
              <w:rPr>
                <w:color w:val="000000"/>
                <w:sz w:val="20"/>
                <w:szCs w:val="20"/>
              </w:rPr>
            </w:pPr>
          </w:p>
        </w:tc>
      </w:tr>
      <w:tr w:rsidR="00980BF0" w:rsidRPr="008D7AB4" w14:paraId="18BB4439" w14:textId="77777777" w:rsidTr="0013699E">
        <w:tc>
          <w:tcPr>
            <w:tcW w:w="1271" w:type="dxa"/>
            <w:tcMar>
              <w:left w:w="57" w:type="dxa"/>
              <w:right w:w="57" w:type="dxa"/>
            </w:tcMar>
          </w:tcPr>
          <w:p w14:paraId="4037186E" w14:textId="77777777" w:rsidR="00980BF0" w:rsidRPr="008D7AB4" w:rsidRDefault="00980BF0" w:rsidP="0013699E">
            <w:pPr>
              <w:jc w:val="left"/>
              <w:rPr>
                <w:color w:val="000000"/>
                <w:sz w:val="20"/>
                <w:szCs w:val="20"/>
              </w:rPr>
            </w:pPr>
            <w:r w:rsidRPr="008D7AB4">
              <w:rPr>
                <w:color w:val="000000"/>
                <w:sz w:val="20"/>
                <w:szCs w:val="20"/>
              </w:rPr>
              <w:t>Polisystem</w:t>
            </w:r>
          </w:p>
        </w:tc>
        <w:tc>
          <w:tcPr>
            <w:tcW w:w="1843" w:type="dxa"/>
            <w:shd w:val="clear" w:color="auto" w:fill="auto"/>
            <w:tcMar>
              <w:left w:w="57" w:type="dxa"/>
              <w:right w:w="57" w:type="dxa"/>
            </w:tcMar>
            <w:vAlign w:val="center"/>
          </w:tcPr>
          <w:p w14:paraId="1CB110E0" w14:textId="77777777" w:rsidR="00980BF0" w:rsidRPr="008D7AB4" w:rsidRDefault="00980BF0" w:rsidP="0013699E">
            <w:pPr>
              <w:jc w:val="left"/>
              <w:rPr>
                <w:color w:val="000000"/>
                <w:sz w:val="20"/>
                <w:szCs w:val="20"/>
              </w:rPr>
            </w:pPr>
            <w:r w:rsidRPr="008D7AB4">
              <w:rPr>
                <w:color w:val="000000"/>
                <w:sz w:val="20"/>
                <w:szCs w:val="20"/>
              </w:rPr>
              <w:t>MF</w:t>
            </w:r>
          </w:p>
        </w:tc>
        <w:tc>
          <w:tcPr>
            <w:tcW w:w="1276" w:type="dxa"/>
            <w:tcBorders>
              <w:bottom w:val="single" w:sz="4" w:space="0" w:color="auto"/>
            </w:tcBorders>
            <w:shd w:val="clear" w:color="auto" w:fill="auto"/>
            <w:tcMar>
              <w:left w:w="57" w:type="dxa"/>
              <w:right w:w="57" w:type="dxa"/>
            </w:tcMar>
          </w:tcPr>
          <w:p w14:paraId="4FE11DD7" w14:textId="77777777" w:rsidR="00980BF0" w:rsidRPr="008D7AB4" w:rsidRDefault="00980BF0" w:rsidP="0013699E">
            <w:pPr>
              <w:jc w:val="left"/>
              <w:rPr>
                <w:color w:val="000000"/>
                <w:sz w:val="20"/>
                <w:szCs w:val="20"/>
              </w:rPr>
            </w:pPr>
            <w:r w:rsidRPr="008D7AB4">
              <w:rPr>
                <w:color w:val="000000"/>
                <w:sz w:val="20"/>
                <w:szCs w:val="20"/>
              </w:rPr>
              <w:t>Removed from the HPMP</w:t>
            </w:r>
          </w:p>
        </w:tc>
        <w:tc>
          <w:tcPr>
            <w:tcW w:w="992" w:type="dxa"/>
            <w:shd w:val="clear" w:color="auto" w:fill="auto"/>
            <w:vAlign w:val="center"/>
            <w:hideMark/>
          </w:tcPr>
          <w:p w14:paraId="0A42B15A" w14:textId="77777777" w:rsidR="00980BF0" w:rsidRPr="008D7AB4" w:rsidRDefault="00980BF0" w:rsidP="0013699E">
            <w:pPr>
              <w:jc w:val="center"/>
              <w:rPr>
                <w:color w:val="000000"/>
                <w:sz w:val="20"/>
                <w:szCs w:val="20"/>
              </w:rPr>
            </w:pPr>
            <w:r w:rsidRPr="008D7AB4">
              <w:rPr>
                <w:color w:val="000000"/>
                <w:sz w:val="20"/>
                <w:szCs w:val="20"/>
              </w:rPr>
              <w:t>47</w:t>
            </w:r>
          </w:p>
        </w:tc>
        <w:tc>
          <w:tcPr>
            <w:tcW w:w="850" w:type="dxa"/>
            <w:vAlign w:val="center"/>
          </w:tcPr>
          <w:p w14:paraId="3B9A80EB" w14:textId="77777777" w:rsidR="00980BF0" w:rsidRPr="008D7AB4" w:rsidRDefault="00980BF0" w:rsidP="0013699E">
            <w:pPr>
              <w:jc w:val="center"/>
              <w:rPr>
                <w:color w:val="000000"/>
                <w:sz w:val="20"/>
                <w:szCs w:val="20"/>
              </w:rPr>
            </w:pPr>
            <w:r w:rsidRPr="008D7AB4">
              <w:rPr>
                <w:color w:val="000000"/>
                <w:sz w:val="20"/>
                <w:szCs w:val="20"/>
              </w:rPr>
              <w:t>0</w:t>
            </w:r>
          </w:p>
        </w:tc>
        <w:tc>
          <w:tcPr>
            <w:tcW w:w="1134" w:type="dxa"/>
            <w:shd w:val="clear" w:color="auto" w:fill="auto"/>
            <w:vAlign w:val="center"/>
            <w:hideMark/>
          </w:tcPr>
          <w:p w14:paraId="31508C31" w14:textId="77777777" w:rsidR="00980BF0" w:rsidRPr="008D7AB4" w:rsidRDefault="00980BF0" w:rsidP="0013699E">
            <w:pPr>
              <w:jc w:val="center"/>
              <w:rPr>
                <w:color w:val="000000"/>
                <w:sz w:val="20"/>
                <w:szCs w:val="20"/>
              </w:rPr>
            </w:pPr>
            <w:r w:rsidRPr="008D7AB4">
              <w:rPr>
                <w:color w:val="000000"/>
                <w:sz w:val="20"/>
                <w:szCs w:val="20"/>
              </w:rPr>
              <w:t>0</w:t>
            </w:r>
          </w:p>
        </w:tc>
        <w:tc>
          <w:tcPr>
            <w:tcW w:w="1134" w:type="dxa"/>
            <w:tcMar>
              <w:left w:w="57" w:type="dxa"/>
              <w:right w:w="57" w:type="dxa"/>
            </w:tcMar>
            <w:vAlign w:val="center"/>
          </w:tcPr>
          <w:p w14:paraId="7A1EFEF3" w14:textId="77777777" w:rsidR="00980BF0" w:rsidRPr="008D7AB4" w:rsidRDefault="00980BF0" w:rsidP="0013699E">
            <w:pPr>
              <w:jc w:val="left"/>
              <w:rPr>
                <w:color w:val="000000"/>
                <w:sz w:val="20"/>
                <w:szCs w:val="20"/>
              </w:rPr>
            </w:pPr>
            <w:r w:rsidRPr="008D7AB4">
              <w:rPr>
                <w:color w:val="000000"/>
                <w:sz w:val="20"/>
                <w:szCs w:val="20"/>
              </w:rPr>
              <w:t>Removed from the HPMP</w:t>
            </w:r>
          </w:p>
        </w:tc>
        <w:tc>
          <w:tcPr>
            <w:tcW w:w="940" w:type="dxa"/>
            <w:vMerge/>
            <w:shd w:val="clear" w:color="auto" w:fill="auto"/>
            <w:vAlign w:val="center"/>
            <w:hideMark/>
          </w:tcPr>
          <w:p w14:paraId="1227B79A" w14:textId="77777777" w:rsidR="00980BF0" w:rsidRPr="008D7AB4" w:rsidRDefault="00980BF0" w:rsidP="0013699E">
            <w:pPr>
              <w:jc w:val="left"/>
              <w:rPr>
                <w:color w:val="000000"/>
                <w:sz w:val="20"/>
                <w:szCs w:val="20"/>
              </w:rPr>
            </w:pPr>
          </w:p>
        </w:tc>
      </w:tr>
      <w:tr w:rsidR="00980BF0" w:rsidRPr="008D7AB4" w14:paraId="52E6CDA2" w14:textId="77777777" w:rsidTr="0013699E">
        <w:tc>
          <w:tcPr>
            <w:tcW w:w="3114" w:type="dxa"/>
            <w:gridSpan w:val="2"/>
            <w:tcBorders>
              <w:right w:val="nil"/>
            </w:tcBorders>
            <w:vAlign w:val="center"/>
          </w:tcPr>
          <w:p w14:paraId="6334F7CD" w14:textId="77777777" w:rsidR="00980BF0" w:rsidRPr="008D7AB4" w:rsidRDefault="00980BF0" w:rsidP="0013699E">
            <w:pPr>
              <w:jc w:val="left"/>
              <w:rPr>
                <w:b/>
                <w:bCs/>
                <w:color w:val="000000"/>
                <w:sz w:val="20"/>
                <w:szCs w:val="20"/>
              </w:rPr>
            </w:pPr>
            <w:r w:rsidRPr="008D7AB4">
              <w:rPr>
                <w:b/>
                <w:bCs/>
                <w:color w:val="000000"/>
                <w:sz w:val="20"/>
                <w:szCs w:val="20"/>
              </w:rPr>
              <w:t>Total</w:t>
            </w:r>
          </w:p>
        </w:tc>
        <w:tc>
          <w:tcPr>
            <w:tcW w:w="1276" w:type="dxa"/>
            <w:tcBorders>
              <w:left w:val="nil"/>
            </w:tcBorders>
            <w:shd w:val="clear" w:color="auto" w:fill="auto"/>
            <w:vAlign w:val="center"/>
            <w:hideMark/>
          </w:tcPr>
          <w:p w14:paraId="02135D0D" w14:textId="77777777" w:rsidR="00980BF0" w:rsidRPr="008D7AB4" w:rsidRDefault="00980BF0" w:rsidP="0013699E">
            <w:pPr>
              <w:jc w:val="right"/>
              <w:rPr>
                <w:b/>
                <w:bCs/>
                <w:color w:val="000000"/>
                <w:sz w:val="20"/>
                <w:szCs w:val="20"/>
              </w:rPr>
            </w:pPr>
            <w:r w:rsidRPr="008D7AB4">
              <w:rPr>
                <w:b/>
                <w:bCs/>
                <w:color w:val="000000"/>
                <w:sz w:val="20"/>
                <w:szCs w:val="20"/>
              </w:rPr>
              <w:t>14</w:t>
            </w:r>
          </w:p>
        </w:tc>
        <w:tc>
          <w:tcPr>
            <w:tcW w:w="992" w:type="dxa"/>
            <w:shd w:val="clear" w:color="auto" w:fill="auto"/>
            <w:vAlign w:val="center"/>
            <w:hideMark/>
          </w:tcPr>
          <w:p w14:paraId="3BE56C94" w14:textId="77777777" w:rsidR="00980BF0" w:rsidRPr="008D7AB4" w:rsidRDefault="00980BF0" w:rsidP="0013699E">
            <w:pPr>
              <w:jc w:val="center"/>
              <w:rPr>
                <w:b/>
                <w:bCs/>
                <w:color w:val="000000"/>
                <w:sz w:val="20"/>
                <w:szCs w:val="20"/>
              </w:rPr>
            </w:pPr>
            <w:r w:rsidRPr="008D7AB4">
              <w:rPr>
                <w:b/>
                <w:bCs/>
                <w:color w:val="000000"/>
                <w:sz w:val="20"/>
                <w:szCs w:val="20"/>
              </w:rPr>
              <w:t>445</w:t>
            </w:r>
          </w:p>
        </w:tc>
        <w:tc>
          <w:tcPr>
            <w:tcW w:w="850" w:type="dxa"/>
            <w:vAlign w:val="center"/>
          </w:tcPr>
          <w:p w14:paraId="6B832DBA" w14:textId="77777777" w:rsidR="00980BF0" w:rsidRPr="008D7AB4" w:rsidRDefault="00980BF0" w:rsidP="0013699E">
            <w:pPr>
              <w:jc w:val="center"/>
              <w:rPr>
                <w:b/>
                <w:bCs/>
                <w:color w:val="000000"/>
                <w:sz w:val="20"/>
                <w:szCs w:val="20"/>
              </w:rPr>
            </w:pPr>
            <w:r w:rsidRPr="008D7AB4">
              <w:rPr>
                <w:b/>
                <w:bCs/>
                <w:color w:val="000000"/>
                <w:sz w:val="20"/>
                <w:szCs w:val="20"/>
              </w:rPr>
              <w:t>365</w:t>
            </w:r>
          </w:p>
        </w:tc>
        <w:tc>
          <w:tcPr>
            <w:tcW w:w="1134" w:type="dxa"/>
            <w:shd w:val="clear" w:color="auto" w:fill="auto"/>
            <w:vAlign w:val="center"/>
            <w:hideMark/>
          </w:tcPr>
          <w:p w14:paraId="227E1FC0" w14:textId="77777777" w:rsidR="00980BF0" w:rsidRPr="008D7AB4" w:rsidRDefault="00980BF0" w:rsidP="0013699E">
            <w:pPr>
              <w:jc w:val="center"/>
              <w:rPr>
                <w:b/>
                <w:bCs/>
                <w:color w:val="000000"/>
                <w:sz w:val="20"/>
                <w:szCs w:val="20"/>
              </w:rPr>
            </w:pPr>
            <w:r w:rsidRPr="008D7AB4">
              <w:rPr>
                <w:b/>
                <w:bCs/>
                <w:color w:val="000000"/>
                <w:sz w:val="20"/>
                <w:szCs w:val="20"/>
              </w:rPr>
              <w:t>100</w:t>
            </w:r>
          </w:p>
        </w:tc>
        <w:tc>
          <w:tcPr>
            <w:tcW w:w="1134" w:type="dxa"/>
            <w:tcBorders>
              <w:top w:val="single" w:sz="4" w:space="0" w:color="auto"/>
            </w:tcBorders>
            <w:shd w:val="clear" w:color="auto" w:fill="auto"/>
            <w:vAlign w:val="center"/>
            <w:hideMark/>
          </w:tcPr>
          <w:p w14:paraId="5B94C0DF" w14:textId="77777777" w:rsidR="00980BF0" w:rsidRPr="008D7AB4" w:rsidRDefault="00980BF0" w:rsidP="0013699E">
            <w:pPr>
              <w:rPr>
                <w:b/>
                <w:bCs/>
                <w:color w:val="000000"/>
                <w:sz w:val="20"/>
                <w:szCs w:val="20"/>
              </w:rPr>
            </w:pPr>
          </w:p>
        </w:tc>
        <w:tc>
          <w:tcPr>
            <w:tcW w:w="940" w:type="dxa"/>
            <w:shd w:val="clear" w:color="auto" w:fill="auto"/>
            <w:hideMark/>
          </w:tcPr>
          <w:p w14:paraId="74B806B9" w14:textId="77777777" w:rsidR="00980BF0" w:rsidRPr="008D7AB4" w:rsidRDefault="00980BF0" w:rsidP="0013699E">
            <w:pPr>
              <w:jc w:val="right"/>
              <w:rPr>
                <w:b/>
                <w:bCs/>
                <w:color w:val="000000"/>
                <w:sz w:val="20"/>
                <w:szCs w:val="20"/>
              </w:rPr>
            </w:pPr>
            <w:r w:rsidRPr="008D7AB4">
              <w:rPr>
                <w:b/>
                <w:bCs/>
                <w:color w:val="000000"/>
                <w:sz w:val="20"/>
                <w:szCs w:val="20"/>
              </w:rPr>
              <w:t>37.26</w:t>
            </w:r>
          </w:p>
        </w:tc>
      </w:tr>
    </w:tbl>
    <w:p w14:paraId="7B6BA560" w14:textId="77777777" w:rsidR="00980BF0" w:rsidRPr="008D7AB4" w:rsidRDefault="00980BF0" w:rsidP="00980BF0">
      <w:pPr>
        <w:rPr>
          <w:sz w:val="18"/>
          <w:szCs w:val="18"/>
        </w:rPr>
      </w:pPr>
      <w:r w:rsidRPr="008D7AB4">
        <w:rPr>
          <w:sz w:val="18"/>
          <w:szCs w:val="18"/>
        </w:rPr>
        <w:t>* Only including enterprises funded by the Multilateral Fund. The total estimated number of DSUs in the country is over 700.</w:t>
      </w:r>
    </w:p>
    <w:p w14:paraId="6BB458CC" w14:textId="77777777" w:rsidR="00980BF0" w:rsidRPr="008D7AB4" w:rsidRDefault="00980BF0" w:rsidP="00980BF0">
      <w:pPr>
        <w:rPr>
          <w:sz w:val="18"/>
          <w:szCs w:val="18"/>
        </w:rPr>
      </w:pPr>
      <w:r w:rsidRPr="008D7AB4">
        <w:rPr>
          <w:sz w:val="18"/>
          <w:szCs w:val="18"/>
        </w:rPr>
        <w:t>** DSU conversions associated with Basf and Dow are being implemented directly by UNDP.</w:t>
      </w:r>
    </w:p>
    <w:p w14:paraId="00BF6CF2" w14:textId="77777777" w:rsidR="00980BF0" w:rsidRPr="008D7AB4" w:rsidRDefault="00980BF0" w:rsidP="00980BF0">
      <w:pPr>
        <w:rPr>
          <w:b/>
          <w:highlight w:val="yellow"/>
        </w:rPr>
      </w:pPr>
    </w:p>
    <w:p w14:paraId="4AC32381" w14:textId="2542DDFA" w:rsidR="00980BF0" w:rsidRPr="00811D2A" w:rsidRDefault="00980BF0" w:rsidP="00980BF0">
      <w:pPr>
        <w:pStyle w:val="Heading1"/>
        <w:rPr>
          <w:iCs/>
          <w:u w:val="single"/>
        </w:rPr>
      </w:pPr>
      <w:r w:rsidRPr="008D7AB4">
        <w:t>As reported at the 86</w:t>
      </w:r>
      <w:r w:rsidRPr="008D7AB4">
        <w:rPr>
          <w:vertAlign w:val="superscript"/>
        </w:rPr>
        <w:t>th</w:t>
      </w:r>
      <w:r w:rsidRPr="008D7AB4">
        <w:t xml:space="preserve"> and 88</w:t>
      </w:r>
      <w:r w:rsidRPr="008D7AB4">
        <w:rPr>
          <w:vertAlign w:val="superscript"/>
        </w:rPr>
        <w:t>th</w:t>
      </w:r>
      <w:r w:rsidR="00A04F54">
        <w:t> meeting</w:t>
      </w:r>
      <w:r w:rsidRPr="008D7AB4">
        <w:t>s, the constraints imposed by the COVID-19 pandemic continued to slow down the ongoing conversion of systems houses and DSUs, and reduced the demand for foam products. The delayed conversions to low-GWP foam-blowing agents led systems houses to use existing stocks of HCFC-141b as well as several low-GWP alternatives (i.e., MF, methylal) after the ban on imports of HCFC-141b entered into force on 1 January 2020. However, many enterprises have deferred their decision to join the project because they prefer not to commit to never using HFCs, owing to concerns about the imbalance in the supply of zero-ODP and low-GWP blowing agents, especially HFOs.</w:t>
      </w:r>
    </w:p>
    <w:p w14:paraId="3B35F06B" w14:textId="77777777" w:rsidR="00980BF0" w:rsidRPr="008D7AB4" w:rsidRDefault="00980BF0" w:rsidP="00C620F7">
      <w:pPr>
        <w:pStyle w:val="Heading1"/>
        <w:keepNext/>
        <w:keepLines/>
        <w:numPr>
          <w:ilvl w:val="0"/>
          <w:numId w:val="0"/>
        </w:numPr>
        <w:rPr>
          <w:i/>
        </w:rPr>
      </w:pPr>
      <w:r w:rsidRPr="008D7AB4">
        <w:rPr>
          <w:i/>
        </w:rPr>
        <w:t>Temporary use of high-GWP technology</w:t>
      </w:r>
    </w:p>
    <w:p w14:paraId="1F551509" w14:textId="77777777" w:rsidR="00980BF0" w:rsidRPr="008D7AB4" w:rsidRDefault="00980BF0" w:rsidP="00C620F7">
      <w:pPr>
        <w:pStyle w:val="Heading1"/>
        <w:keepNext/>
        <w:keepLines/>
      </w:pPr>
      <w:r w:rsidRPr="008D7AB4">
        <w:t>One systems house (U-Tech), which has completed the conversion of its manufacturing plant from HCFC</w:t>
      </w:r>
      <w:r w:rsidRPr="008D7AB4">
        <w:noBreakHyphen/>
        <w:t>141b to MF, continues to temporarily use HFC</w:t>
      </w:r>
      <w:r w:rsidRPr="008D7AB4">
        <w:noBreakHyphen/>
        <w:t>134a to replace the use of HCFC</w:t>
      </w:r>
      <w:r w:rsidRPr="008D7AB4">
        <w:noBreakHyphen/>
        <w:t>22 at some of its DSUs using the froth application, which requires the use of a gaseous blowing agent (i.e., the usual low</w:t>
      </w:r>
      <w:r w:rsidRPr="008D7AB4">
        <w:noBreakHyphen/>
        <w:t>GWP technology alternatives to HCFC-141b cannot be used in this application), with the commitment to discontinue the use of HFC-134a with its own resources as soon as gaseous HFO is available on the market and polyol systems containing it have been developed and optimized.</w:t>
      </w:r>
    </w:p>
    <w:p w14:paraId="1E14BDC8" w14:textId="77777777" w:rsidR="00980BF0" w:rsidRPr="008D7AB4" w:rsidRDefault="00980BF0" w:rsidP="00980BF0">
      <w:pPr>
        <w:pStyle w:val="Heading1"/>
      </w:pPr>
      <w:r w:rsidRPr="008D7AB4">
        <w:t>In addition, due to the shortage of HFOs in the domestic market resulting from two emergency situations declared by the HFC producer in the region during the last year, three systems houses (Amino, Flexível and Purcom, that had already converted to low-GWP alternatives) have requested authorization from the Government of Brazil to use HFC-365mfc/HFC-227ea to supply some of their clients.</w:t>
      </w:r>
    </w:p>
    <w:p w14:paraId="1CC16E63" w14:textId="77777777" w:rsidR="00980BF0" w:rsidRPr="008D7AB4" w:rsidRDefault="00980BF0" w:rsidP="00980BF0">
      <w:pPr>
        <w:widowControl w:val="0"/>
        <w:spacing w:after="240"/>
        <w:rPr>
          <w:iCs/>
          <w:u w:val="single"/>
        </w:rPr>
      </w:pPr>
      <w:r w:rsidRPr="008D7AB4">
        <w:rPr>
          <w:iCs/>
          <w:u w:val="single"/>
        </w:rPr>
        <w:t xml:space="preserve">Refrigeration and air-conditioning manufacturing sector (61.05 ODP tonnes) </w:t>
      </w:r>
    </w:p>
    <w:p w14:paraId="43B47F71" w14:textId="77777777" w:rsidR="00980BF0" w:rsidRPr="008D7AB4" w:rsidRDefault="00980BF0" w:rsidP="00980BF0">
      <w:pPr>
        <w:pStyle w:val="Heading1"/>
        <w:widowControl w:val="0"/>
      </w:pPr>
      <w:r w:rsidRPr="008D7AB4">
        <w:t>Activities undertaken in the commercial refrigeration manufacturing sector included individual projects in the supermarket sector, group projects, and a technical assistance project in small and medium</w:t>
      </w:r>
      <w:r w:rsidRPr="008D7AB4">
        <w:noBreakHyphen/>
        <w:t>sized enterprises (SMEs). The status of implementation is presented below.</w:t>
      </w:r>
    </w:p>
    <w:p w14:paraId="7E89E3B8" w14:textId="77777777" w:rsidR="00980BF0" w:rsidRPr="008D7AB4" w:rsidRDefault="00980BF0" w:rsidP="000F7978">
      <w:pPr>
        <w:pStyle w:val="Heading1"/>
        <w:keepNext/>
        <w:keepLines/>
        <w:numPr>
          <w:ilvl w:val="0"/>
          <w:numId w:val="0"/>
        </w:numPr>
        <w:rPr>
          <w:i/>
        </w:rPr>
      </w:pPr>
      <w:r w:rsidRPr="008D7AB4">
        <w:rPr>
          <w:i/>
        </w:rPr>
        <w:t>Commercial refrigeration individual projects (8.67 ODP tonnes)</w:t>
      </w:r>
    </w:p>
    <w:p w14:paraId="0AF2099A" w14:textId="37689605" w:rsidR="00980BF0" w:rsidRPr="008D7AB4" w:rsidRDefault="00980BF0" w:rsidP="000F7978">
      <w:pPr>
        <w:pStyle w:val="Heading1"/>
        <w:keepNext/>
        <w:keepLines/>
      </w:pPr>
      <w:r w:rsidRPr="008D7AB4">
        <w:t>This project includes the conversion to R</w:t>
      </w:r>
      <w:r w:rsidRPr="008D7AB4">
        <w:noBreakHyphen/>
        <w:t>290 of two enterprises (Eletrofrio and Plotter Rack), consuming more than 35</w:t>
      </w:r>
      <w:r w:rsidR="00A04F54">
        <w:t> mt</w:t>
      </w:r>
      <w:r w:rsidRPr="008D7AB4">
        <w:t xml:space="preserve"> of HCFC</w:t>
      </w:r>
      <w:r w:rsidRPr="008D7AB4">
        <w:noBreakHyphen/>
        <w:t xml:space="preserve">22, and a demonstration of the new technology in the supermarket sector. As previously reported, both enterprises completed the conversion of their manufacturing plants to operate with R-290, developed R-290-based modular chiller prototypes, and installed them in supermarkets. Several workshops were held to disseminate the results of the projects. </w:t>
      </w:r>
    </w:p>
    <w:p w14:paraId="026700E3" w14:textId="77777777" w:rsidR="00980BF0" w:rsidRPr="008D7AB4" w:rsidRDefault="00980BF0" w:rsidP="00980BF0">
      <w:pPr>
        <w:pStyle w:val="Heading1"/>
        <w:keepNext/>
        <w:numPr>
          <w:ilvl w:val="0"/>
          <w:numId w:val="0"/>
        </w:numPr>
        <w:rPr>
          <w:i/>
        </w:rPr>
      </w:pPr>
      <w:r w:rsidRPr="008D7AB4">
        <w:rPr>
          <w:i/>
        </w:rPr>
        <w:t>Commercial refrigeration group projects (3.22 ODP tonnes)</w:t>
      </w:r>
    </w:p>
    <w:p w14:paraId="4499B0D3" w14:textId="7557A12D" w:rsidR="00980BF0" w:rsidRPr="008D7AB4" w:rsidRDefault="00980BF0" w:rsidP="00980BF0">
      <w:pPr>
        <w:pStyle w:val="Heading1"/>
        <w:keepNext/>
      </w:pPr>
      <w:r w:rsidRPr="008D7AB4">
        <w:t>This project includes the conversion of three enterprises with consumption between 10 and 35</w:t>
      </w:r>
      <w:r w:rsidR="00A04F54">
        <w:t> mt</w:t>
      </w:r>
      <w:r w:rsidRPr="008D7AB4">
        <w:t xml:space="preserve"> of HCFC</w:t>
      </w:r>
      <w:r w:rsidRPr="008D7AB4">
        <w:noBreakHyphen/>
        <w:t>22. As previously reported, two of these enterprises (Chopeiras Ribeirão Memo, 1.24 ODP tonnes, and Aquagel Refrigeração, 1.05 ODP tonnes) have completed their conversions, and manufactured and installed R-290-based units at several customers. The funds associated with the third enterprise (Freeart Seral, 0.93 ODP tonnes), which withdrew from the HPMP, were returned by UNIDO at the 90</w:t>
      </w:r>
      <w:r w:rsidRPr="008D7AB4">
        <w:rPr>
          <w:vertAlign w:val="superscript"/>
        </w:rPr>
        <w:t>th</w:t>
      </w:r>
      <w:r w:rsidR="00A04F54">
        <w:t> meeting</w:t>
      </w:r>
      <w:r w:rsidRPr="008D7AB4">
        <w:t xml:space="preserve"> (US $202,100, plus agency support costs of US $14,147).</w:t>
      </w:r>
    </w:p>
    <w:p w14:paraId="57215683" w14:textId="77777777" w:rsidR="00980BF0" w:rsidRPr="008D7AB4" w:rsidRDefault="00980BF0" w:rsidP="00980BF0">
      <w:pPr>
        <w:pStyle w:val="Heading1"/>
        <w:widowControl w:val="0"/>
        <w:numPr>
          <w:ilvl w:val="0"/>
          <w:numId w:val="0"/>
        </w:numPr>
        <w:rPr>
          <w:i/>
        </w:rPr>
      </w:pPr>
      <w:r w:rsidRPr="008D7AB4">
        <w:rPr>
          <w:i/>
        </w:rPr>
        <w:t>Commercial refrigeration technical assistance project for SMEs</w:t>
      </w:r>
      <w:r w:rsidRPr="008D7AB4">
        <w:rPr>
          <w:rStyle w:val="FootnoteReference"/>
        </w:rPr>
        <w:footnoteReference w:id="30"/>
      </w:r>
      <w:r w:rsidRPr="008D7AB4">
        <w:rPr>
          <w:i/>
        </w:rPr>
        <w:t xml:space="preserve"> (3.85 ODP tonnes)</w:t>
      </w:r>
    </w:p>
    <w:p w14:paraId="3500B17D" w14:textId="77777777" w:rsidR="00980BF0" w:rsidRPr="008D7AB4" w:rsidRDefault="00980BF0" w:rsidP="00980BF0">
      <w:pPr>
        <w:pStyle w:val="Heading1"/>
        <w:widowControl w:val="0"/>
      </w:pPr>
      <w:r w:rsidRPr="008D7AB4">
        <w:t xml:space="preserve">Between 2018 and 2022, UNIDO and the Government of Brazil held eight workshops for 398 SMEs, installers and educational institutions, </w:t>
      </w:r>
      <w:r w:rsidRPr="008D7AB4">
        <w:rPr>
          <w:i/>
          <w:iCs/>
        </w:rPr>
        <w:t>inter alia</w:t>
      </w:r>
      <w:r w:rsidRPr="008D7AB4">
        <w:t xml:space="preserve"> on the experiences of enterprises in the sector that had converted or were in the process of converting to low-GWP technologies, the availability of components for low</w:t>
      </w:r>
      <w:r w:rsidRPr="008D7AB4">
        <w:noBreakHyphen/>
        <w:t>GWP technologies, and the revised standards for commercial refrigeration.</w:t>
      </w:r>
    </w:p>
    <w:p w14:paraId="76A5D057" w14:textId="77777777" w:rsidR="00980BF0" w:rsidRPr="008D7AB4" w:rsidRDefault="00980BF0" w:rsidP="00980BF0">
      <w:pPr>
        <w:pStyle w:val="Heading1"/>
      </w:pPr>
      <w:r w:rsidRPr="008D7AB4">
        <w:t xml:space="preserve">Out of the 20 SMEs that manufacture commercial refrigeration equipment completely in their plants, two have completed conversions to R-290-based technology, and seven have started conversions to technologies based on R-290 (five) and HFO (two). All conversions at SMEs are expected to be completed by the end of 2023. </w:t>
      </w:r>
    </w:p>
    <w:p w14:paraId="523681D4" w14:textId="213736A8" w:rsidR="00980BF0" w:rsidRPr="008D7AB4" w:rsidRDefault="00980BF0" w:rsidP="00C620F7">
      <w:pPr>
        <w:pStyle w:val="Heading1"/>
        <w:keepNext/>
        <w:keepLines/>
      </w:pPr>
      <w:r w:rsidRPr="008D7AB4">
        <w:t>At the 88</w:t>
      </w:r>
      <w:r w:rsidRPr="008D7AB4">
        <w:rPr>
          <w:vertAlign w:val="superscript"/>
        </w:rPr>
        <w:t>th</w:t>
      </w:r>
      <w:r w:rsidR="00A04F54">
        <w:t> meeting</w:t>
      </w:r>
      <w:r w:rsidRPr="008D7AB4">
        <w:t xml:space="preserve">, UNIDO had identified three SMEs that might have stopped activities and potentially eligible SMEs that could replace them. In line with </w:t>
      </w:r>
      <w:r w:rsidR="00B92759">
        <w:t>decision </w:t>
      </w:r>
      <w:r w:rsidRPr="008D7AB4">
        <w:t>88/61(b)(ii), UNIDO reported that two of those enterprises, Gelomax (0.23</w:t>
      </w:r>
      <w:r w:rsidR="00A04F54">
        <w:t> mt</w:t>
      </w:r>
      <w:r w:rsidRPr="008D7AB4">
        <w:t>) and So Frio (2.31</w:t>
      </w:r>
      <w:r w:rsidR="00A04F54">
        <w:t> mt</w:t>
      </w:r>
      <w:r w:rsidRPr="008D7AB4">
        <w:t>), would not participate in the HPMP, and that associated funding</w:t>
      </w:r>
      <w:r w:rsidRPr="008D7AB4">
        <w:rPr>
          <w:rStyle w:val="FootnoteReference"/>
        </w:rPr>
        <w:footnoteReference w:id="31"/>
      </w:r>
      <w:r w:rsidRPr="008D7AB4">
        <w:t xml:space="preserve"> would be allocated to two other eligible enterprises with similar levels of consumption, Peracchi (2.10</w:t>
      </w:r>
      <w:r w:rsidR="00A04F54">
        <w:t> mt</w:t>
      </w:r>
      <w:r w:rsidRPr="008D7AB4">
        <w:t>) and Zero Grau (0.90</w:t>
      </w:r>
      <w:r w:rsidR="00A04F54">
        <w:t> mt</w:t>
      </w:r>
      <w:r w:rsidRPr="008D7AB4">
        <w:t xml:space="preserve">). The third enterprise, AGB, continues to be included in the project. </w:t>
      </w:r>
    </w:p>
    <w:p w14:paraId="101F9555" w14:textId="77777777" w:rsidR="00980BF0" w:rsidRPr="008D7AB4" w:rsidRDefault="00980BF0" w:rsidP="00980BF0">
      <w:pPr>
        <w:pStyle w:val="Heading1"/>
        <w:widowControl w:val="0"/>
        <w:numPr>
          <w:ilvl w:val="0"/>
          <w:numId w:val="0"/>
        </w:numPr>
        <w:rPr>
          <w:i/>
        </w:rPr>
      </w:pPr>
      <w:r w:rsidRPr="008D7AB4">
        <w:rPr>
          <w:i/>
        </w:rPr>
        <w:t>Room air-conditioning (AC) manufacturing sector (45.31 ODP tonnes)</w:t>
      </w:r>
    </w:p>
    <w:p w14:paraId="26B0A643" w14:textId="214545CF" w:rsidR="00980BF0" w:rsidRPr="008D7AB4" w:rsidRDefault="00980BF0" w:rsidP="00980BF0">
      <w:pPr>
        <w:pStyle w:val="Heading1"/>
      </w:pPr>
      <w:r w:rsidRPr="008D7AB4">
        <w:t>The project included the conversion of three room AC manufacturers (Climazon, Elgin and Gree) to R</w:t>
      </w:r>
      <w:r w:rsidRPr="008D7AB4">
        <w:noBreakHyphen/>
        <w:t>290, at a total funding of US $7,353,365, approved in principle. At the 86</w:t>
      </w:r>
      <w:r w:rsidRPr="008D7AB4">
        <w:rPr>
          <w:vertAlign w:val="superscript"/>
        </w:rPr>
        <w:t>th</w:t>
      </w:r>
      <w:r w:rsidR="00A04F54">
        <w:t> meeting</w:t>
      </w:r>
      <w:r w:rsidRPr="008D7AB4">
        <w:t>, the Executive Committee noted that the three enterprises had converted with their own resources to R</w:t>
      </w:r>
      <w:r w:rsidRPr="008D7AB4">
        <w:noBreakHyphen/>
        <w:t>410A</w:t>
      </w:r>
      <w:r w:rsidRPr="008D7AB4">
        <w:noBreakHyphen/>
        <w:t>based technology, resulting in the phase-out of 823.80</w:t>
      </w:r>
      <w:r w:rsidR="00A04F54">
        <w:t> mt</w:t>
      </w:r>
      <w:r w:rsidRPr="008D7AB4">
        <w:t xml:space="preserve"> (45.31 ODP tonnes) of HCFC</w:t>
      </w:r>
      <w:r w:rsidRPr="008D7AB4">
        <w:noBreakHyphen/>
        <w:t xml:space="preserve">22. Accordingly, the funding balance of US $7,147,469, plus agency support costs of US $500,323 for UNIDO, associated with the conversion of the enterprises was deducted from </w:t>
      </w:r>
      <w:r w:rsidR="00B92759">
        <w:t>stage </w:t>
      </w:r>
      <w:r w:rsidRPr="008D7AB4">
        <w:t>II of the HPMP (decision 86/89(a)(iii) and (iv)).</w:t>
      </w:r>
    </w:p>
    <w:p w14:paraId="61E71DA6" w14:textId="77777777" w:rsidR="00980BF0" w:rsidRPr="008D7AB4" w:rsidRDefault="00980BF0" w:rsidP="000F7978">
      <w:pPr>
        <w:keepNext/>
        <w:keepLines/>
        <w:widowControl w:val="0"/>
        <w:rPr>
          <w:i/>
        </w:rPr>
      </w:pPr>
      <w:r w:rsidRPr="008D7AB4">
        <w:rPr>
          <w:i/>
        </w:rPr>
        <w:t>Refrigeration and air-conditioning servicing sector</w:t>
      </w:r>
    </w:p>
    <w:p w14:paraId="7A6943D1" w14:textId="77777777" w:rsidR="00980BF0" w:rsidRPr="008D7AB4" w:rsidRDefault="00980BF0" w:rsidP="000F7978">
      <w:pPr>
        <w:keepNext/>
        <w:keepLines/>
        <w:widowControl w:val="0"/>
      </w:pPr>
    </w:p>
    <w:p w14:paraId="335B92F3" w14:textId="77777777" w:rsidR="00980BF0" w:rsidRPr="008D7AB4" w:rsidRDefault="00980BF0" w:rsidP="000F7978">
      <w:pPr>
        <w:pStyle w:val="Heading1"/>
        <w:keepNext/>
        <w:keepLines/>
        <w:widowControl w:val="0"/>
      </w:pPr>
      <w:r w:rsidRPr="008D7AB4">
        <w:t>Activities in this sector continue to be implemented without modification. Additional progress reported since the approval of the fifth tranche includes the training of an additional 1,113 (for a total of 5,868) technicians in best servicing practices for split and window-type air conditioners and the training of an additional 207 (for a total of 1,127) technicians in best commercial refrigeration practices; the selection and contracting of five technical training institutions to carry out training on the safe use of flammable refrigerants in AC systems and the initiation of a tendering process for the acquisition of R</w:t>
      </w:r>
      <w:r w:rsidRPr="008D7AB4">
        <w:noBreakHyphen/>
        <w:t>290 air conditioners and tools for the aforementioned training; the production of technical information on the safe use of HC and carbon dioxide refrigerants; the development and distribution of technical handbooks and awareness materials; and the continued support provided for the review, discussion and development of technical standards in the refrigeration and air-conditioning sector.</w:t>
      </w:r>
    </w:p>
    <w:p w14:paraId="5B214F04" w14:textId="77777777" w:rsidR="00980BF0" w:rsidRPr="008D7AB4" w:rsidRDefault="00980BF0" w:rsidP="00980BF0">
      <w:pPr>
        <w:rPr>
          <w:i/>
        </w:rPr>
      </w:pPr>
      <w:r w:rsidRPr="008D7AB4">
        <w:rPr>
          <w:i/>
        </w:rPr>
        <w:t>Project implementation and monitoring</w:t>
      </w:r>
    </w:p>
    <w:p w14:paraId="27E12505" w14:textId="77777777" w:rsidR="00980BF0" w:rsidRPr="008D7AB4" w:rsidRDefault="00980BF0" w:rsidP="00980BF0"/>
    <w:p w14:paraId="0355FF1F" w14:textId="77777777" w:rsidR="00980BF0" w:rsidRPr="008D7AB4" w:rsidRDefault="00980BF0" w:rsidP="00980BF0">
      <w:pPr>
        <w:pStyle w:val="Heading1"/>
        <w:rPr>
          <w:u w:val="single"/>
        </w:rPr>
      </w:pPr>
      <w:r w:rsidRPr="008D7AB4">
        <w:t>The project implementation and monitoring unit (PMU) continues to provide both international and national technical assistance to the Government and the eligible enterprises, including missions and technical visits, as well as managing the implementation of investment projects; drafting, executing and monitoring service contracts; preparing periodic progress and financial reports and technical documentation; organizing follow-up meetings with the Ministry of the Environment and the Brazilian Cooperation Agency; undertaking technical analyses of products and financial control of the funds approved; and organizing awareness</w:t>
      </w:r>
      <w:r w:rsidRPr="008D7AB4">
        <w:noBreakHyphen/>
        <w:t xml:space="preserve">raising activities. </w:t>
      </w:r>
    </w:p>
    <w:p w14:paraId="1528F49F" w14:textId="77777777" w:rsidR="00980BF0" w:rsidRPr="008D7AB4" w:rsidRDefault="00980BF0" w:rsidP="00980BF0">
      <w:pPr>
        <w:pStyle w:val="Heading1"/>
        <w:numPr>
          <w:ilvl w:val="0"/>
          <w:numId w:val="0"/>
        </w:numPr>
        <w:rPr>
          <w:u w:val="single"/>
        </w:rPr>
      </w:pPr>
      <w:r w:rsidRPr="008D7AB4">
        <w:rPr>
          <w:u w:val="single"/>
        </w:rPr>
        <w:t>Level of fund disbursement</w:t>
      </w:r>
    </w:p>
    <w:p w14:paraId="5F3D3F9E" w14:textId="58985EC5" w:rsidR="00980BF0" w:rsidRPr="008D7AB4" w:rsidRDefault="00980BF0" w:rsidP="00980BF0">
      <w:pPr>
        <w:pStyle w:val="Heading1"/>
      </w:pPr>
      <w:r w:rsidRPr="008D7AB4">
        <w:t>As of July 2022, of the US $25,146,674 approved so far, US $15,392,807 had been disbursed (US $9,220,937 for UNDP, US $2,494,554 for UNIDO, US $3,427,316 for the Government of Germany, and US $250,000 for the Government of Italy) as shown in table </w:t>
      </w:r>
      <w:r w:rsidR="006E63AE">
        <w:t>6</w:t>
      </w:r>
      <w:r w:rsidRPr="008D7AB4">
        <w:t>. The balance of US $9,753,867 will be disbursed in 2023-2024. No funds are being requested at the present meeting.</w:t>
      </w:r>
    </w:p>
    <w:p w14:paraId="4BBE71A8" w14:textId="730A33CB" w:rsidR="00980BF0" w:rsidRPr="008D7AB4" w:rsidRDefault="00980BF0" w:rsidP="00980BF0">
      <w:pPr>
        <w:rPr>
          <w:b/>
        </w:rPr>
      </w:pPr>
      <w:r w:rsidRPr="008D7AB4">
        <w:rPr>
          <w:b/>
        </w:rPr>
        <w:t>Table </w:t>
      </w:r>
      <w:r w:rsidR="006E63AE">
        <w:rPr>
          <w:b/>
        </w:rPr>
        <w:t>6</w:t>
      </w:r>
      <w:r w:rsidRPr="008D7AB4">
        <w:rPr>
          <w:b/>
        </w:rPr>
        <w:t xml:space="preserve">. Financial report of </w:t>
      </w:r>
      <w:r w:rsidR="00B92759">
        <w:rPr>
          <w:b/>
        </w:rPr>
        <w:t>stage </w:t>
      </w:r>
      <w:r w:rsidRPr="008D7AB4">
        <w:rPr>
          <w:b/>
        </w:rPr>
        <w:t xml:space="preserve">II of the HPMP for Brazil (US $) </w:t>
      </w:r>
    </w:p>
    <w:tbl>
      <w:tblPr>
        <w:tblW w:w="93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1398"/>
        <w:gridCol w:w="1137"/>
        <w:gridCol w:w="1270"/>
        <w:gridCol w:w="1275"/>
        <w:gridCol w:w="993"/>
        <w:gridCol w:w="850"/>
        <w:gridCol w:w="1134"/>
        <w:gridCol w:w="1303"/>
      </w:tblGrid>
      <w:tr w:rsidR="00980BF0" w:rsidRPr="008D7AB4" w14:paraId="7F31C223" w14:textId="77777777" w:rsidTr="00C620F7">
        <w:trPr>
          <w:tblHeader/>
        </w:trPr>
        <w:tc>
          <w:tcPr>
            <w:tcW w:w="2535" w:type="dxa"/>
            <w:gridSpan w:val="2"/>
            <w:shd w:val="clear" w:color="auto" w:fill="auto"/>
            <w:noWrap/>
            <w:vAlign w:val="center"/>
            <w:hideMark/>
          </w:tcPr>
          <w:p w14:paraId="641B0B07" w14:textId="77777777" w:rsidR="00980BF0" w:rsidRPr="008D7AB4" w:rsidRDefault="00980BF0" w:rsidP="0013699E">
            <w:pPr>
              <w:jc w:val="center"/>
              <w:rPr>
                <w:b/>
                <w:bCs/>
                <w:color w:val="000000"/>
                <w:sz w:val="20"/>
                <w:szCs w:val="20"/>
                <w:lang w:eastAsia="en-CA"/>
              </w:rPr>
            </w:pPr>
            <w:r w:rsidRPr="008D7AB4">
              <w:rPr>
                <w:b/>
                <w:bCs/>
                <w:color w:val="000000"/>
                <w:sz w:val="20"/>
                <w:szCs w:val="20"/>
                <w:lang w:eastAsia="en-CA"/>
              </w:rPr>
              <w:t>Tranche</w:t>
            </w:r>
          </w:p>
        </w:tc>
        <w:tc>
          <w:tcPr>
            <w:tcW w:w="1270" w:type="dxa"/>
            <w:shd w:val="clear" w:color="auto" w:fill="auto"/>
            <w:noWrap/>
            <w:vAlign w:val="center"/>
            <w:hideMark/>
          </w:tcPr>
          <w:p w14:paraId="7C82F2F1" w14:textId="77777777" w:rsidR="00980BF0" w:rsidRPr="008D7AB4" w:rsidRDefault="00980BF0" w:rsidP="0013699E">
            <w:pPr>
              <w:jc w:val="center"/>
              <w:rPr>
                <w:b/>
                <w:color w:val="000000"/>
                <w:sz w:val="20"/>
                <w:szCs w:val="20"/>
                <w:lang w:eastAsia="en-CA"/>
              </w:rPr>
            </w:pPr>
            <w:r w:rsidRPr="008D7AB4">
              <w:rPr>
                <w:b/>
                <w:color w:val="000000"/>
                <w:sz w:val="20"/>
                <w:szCs w:val="20"/>
                <w:lang w:eastAsia="en-CA"/>
              </w:rPr>
              <w:t>UNDP</w:t>
            </w:r>
          </w:p>
        </w:tc>
        <w:tc>
          <w:tcPr>
            <w:tcW w:w="1275" w:type="dxa"/>
            <w:vAlign w:val="center"/>
          </w:tcPr>
          <w:p w14:paraId="46AEFADE" w14:textId="77777777" w:rsidR="00980BF0" w:rsidRPr="008D7AB4" w:rsidRDefault="00980BF0" w:rsidP="0013699E">
            <w:pPr>
              <w:jc w:val="center"/>
              <w:rPr>
                <w:b/>
                <w:color w:val="000000"/>
                <w:sz w:val="20"/>
                <w:szCs w:val="20"/>
                <w:lang w:eastAsia="en-CA"/>
              </w:rPr>
            </w:pPr>
            <w:r w:rsidRPr="008D7AB4">
              <w:rPr>
                <w:b/>
                <w:color w:val="000000"/>
                <w:sz w:val="20"/>
                <w:szCs w:val="20"/>
                <w:lang w:eastAsia="en-CA"/>
              </w:rPr>
              <w:t>UNIDO</w:t>
            </w:r>
          </w:p>
        </w:tc>
        <w:tc>
          <w:tcPr>
            <w:tcW w:w="993" w:type="dxa"/>
            <w:vAlign w:val="center"/>
          </w:tcPr>
          <w:p w14:paraId="41DADF1B" w14:textId="77777777" w:rsidR="00980BF0" w:rsidRPr="008D7AB4" w:rsidRDefault="00980BF0" w:rsidP="0013699E">
            <w:pPr>
              <w:jc w:val="center"/>
              <w:rPr>
                <w:b/>
                <w:color w:val="000000"/>
                <w:sz w:val="20"/>
                <w:szCs w:val="20"/>
                <w:lang w:eastAsia="en-CA"/>
              </w:rPr>
            </w:pPr>
            <w:r w:rsidRPr="008D7AB4">
              <w:rPr>
                <w:b/>
                <w:color w:val="000000"/>
                <w:sz w:val="20"/>
                <w:szCs w:val="20"/>
                <w:lang w:eastAsia="en-CA"/>
              </w:rPr>
              <w:t>Germany</w:t>
            </w:r>
          </w:p>
        </w:tc>
        <w:tc>
          <w:tcPr>
            <w:tcW w:w="850" w:type="dxa"/>
            <w:vAlign w:val="center"/>
          </w:tcPr>
          <w:p w14:paraId="04ADDB17" w14:textId="77777777" w:rsidR="00980BF0" w:rsidRPr="008D7AB4" w:rsidRDefault="00980BF0" w:rsidP="0013699E">
            <w:pPr>
              <w:jc w:val="center"/>
              <w:rPr>
                <w:b/>
                <w:color w:val="000000"/>
                <w:sz w:val="20"/>
                <w:szCs w:val="20"/>
                <w:lang w:eastAsia="en-CA"/>
              </w:rPr>
            </w:pPr>
            <w:r w:rsidRPr="008D7AB4">
              <w:rPr>
                <w:b/>
                <w:color w:val="000000"/>
                <w:sz w:val="20"/>
                <w:szCs w:val="20"/>
                <w:lang w:eastAsia="en-CA"/>
              </w:rPr>
              <w:t>Italy</w:t>
            </w:r>
          </w:p>
        </w:tc>
        <w:tc>
          <w:tcPr>
            <w:tcW w:w="1134" w:type="dxa"/>
            <w:shd w:val="clear" w:color="auto" w:fill="auto"/>
            <w:noWrap/>
            <w:vAlign w:val="center"/>
            <w:hideMark/>
          </w:tcPr>
          <w:p w14:paraId="1CBAB163" w14:textId="77777777" w:rsidR="00980BF0" w:rsidRPr="008D7AB4" w:rsidRDefault="00980BF0" w:rsidP="0013699E">
            <w:pPr>
              <w:jc w:val="center"/>
              <w:rPr>
                <w:b/>
                <w:color w:val="000000"/>
                <w:sz w:val="20"/>
                <w:szCs w:val="20"/>
                <w:lang w:eastAsia="en-CA"/>
              </w:rPr>
            </w:pPr>
            <w:r w:rsidRPr="008D7AB4">
              <w:rPr>
                <w:b/>
                <w:color w:val="000000"/>
                <w:sz w:val="20"/>
                <w:szCs w:val="20"/>
                <w:lang w:eastAsia="en-CA"/>
              </w:rPr>
              <w:t>Total</w:t>
            </w:r>
          </w:p>
        </w:tc>
        <w:tc>
          <w:tcPr>
            <w:tcW w:w="1303" w:type="dxa"/>
            <w:shd w:val="clear" w:color="auto" w:fill="auto"/>
            <w:noWrap/>
            <w:tcMar>
              <w:right w:w="57" w:type="dxa"/>
            </w:tcMar>
            <w:vAlign w:val="center"/>
            <w:hideMark/>
          </w:tcPr>
          <w:p w14:paraId="4133E700" w14:textId="77777777" w:rsidR="00980BF0" w:rsidRPr="008D7AB4" w:rsidRDefault="00980BF0" w:rsidP="0013699E">
            <w:pPr>
              <w:jc w:val="center"/>
              <w:rPr>
                <w:b/>
                <w:color w:val="000000"/>
                <w:sz w:val="20"/>
                <w:szCs w:val="20"/>
                <w:lang w:eastAsia="en-CA"/>
              </w:rPr>
            </w:pPr>
            <w:r w:rsidRPr="008D7AB4">
              <w:rPr>
                <w:b/>
                <w:color w:val="000000"/>
                <w:sz w:val="20"/>
                <w:szCs w:val="20"/>
                <w:lang w:eastAsia="en-CA"/>
              </w:rPr>
              <w:t>Disbursement rate (%)</w:t>
            </w:r>
          </w:p>
        </w:tc>
      </w:tr>
      <w:tr w:rsidR="00980BF0" w:rsidRPr="008D7AB4" w14:paraId="67CB3833" w14:textId="77777777" w:rsidTr="0013699E">
        <w:tc>
          <w:tcPr>
            <w:tcW w:w="1398" w:type="dxa"/>
            <w:vMerge w:val="restart"/>
            <w:shd w:val="clear" w:color="auto" w:fill="auto"/>
            <w:noWrap/>
            <w:hideMark/>
          </w:tcPr>
          <w:p w14:paraId="32F1C26F" w14:textId="77777777" w:rsidR="00980BF0" w:rsidRPr="008D7AB4" w:rsidRDefault="00980BF0" w:rsidP="0013699E">
            <w:pPr>
              <w:jc w:val="left"/>
              <w:rPr>
                <w:bCs/>
                <w:color w:val="000000"/>
                <w:sz w:val="20"/>
                <w:szCs w:val="20"/>
                <w:lang w:eastAsia="en-CA"/>
              </w:rPr>
            </w:pPr>
            <w:r w:rsidRPr="008D7AB4">
              <w:rPr>
                <w:bCs/>
                <w:color w:val="000000"/>
                <w:sz w:val="20"/>
                <w:szCs w:val="20"/>
                <w:lang w:eastAsia="en-CA"/>
              </w:rPr>
              <w:t>First tranche</w:t>
            </w:r>
          </w:p>
        </w:tc>
        <w:tc>
          <w:tcPr>
            <w:tcW w:w="1137" w:type="dxa"/>
            <w:shd w:val="clear" w:color="auto" w:fill="auto"/>
            <w:noWrap/>
            <w:hideMark/>
          </w:tcPr>
          <w:p w14:paraId="7FBCF0C4" w14:textId="77777777" w:rsidR="00980BF0" w:rsidRPr="008D7AB4" w:rsidRDefault="00980BF0" w:rsidP="0013699E">
            <w:pPr>
              <w:rPr>
                <w:bCs/>
                <w:color w:val="000000"/>
                <w:sz w:val="20"/>
                <w:szCs w:val="20"/>
                <w:lang w:eastAsia="en-CA"/>
              </w:rPr>
            </w:pPr>
            <w:r w:rsidRPr="008D7AB4">
              <w:rPr>
                <w:bCs/>
                <w:color w:val="000000"/>
                <w:sz w:val="20"/>
                <w:szCs w:val="20"/>
                <w:lang w:eastAsia="en-CA"/>
              </w:rPr>
              <w:t>Approved</w:t>
            </w:r>
          </w:p>
        </w:tc>
        <w:tc>
          <w:tcPr>
            <w:tcW w:w="1270" w:type="dxa"/>
            <w:shd w:val="clear" w:color="auto" w:fill="auto"/>
            <w:noWrap/>
          </w:tcPr>
          <w:p w14:paraId="0E6D843F" w14:textId="77777777" w:rsidR="00980BF0" w:rsidRPr="008D7AB4" w:rsidRDefault="00980BF0" w:rsidP="0013699E">
            <w:pPr>
              <w:widowControl w:val="0"/>
              <w:jc w:val="right"/>
              <w:rPr>
                <w:sz w:val="20"/>
                <w:szCs w:val="20"/>
              </w:rPr>
            </w:pPr>
            <w:r w:rsidRPr="008D7AB4">
              <w:rPr>
                <w:sz w:val="20"/>
                <w:szCs w:val="20"/>
              </w:rPr>
              <w:t>3,078,900</w:t>
            </w:r>
          </w:p>
        </w:tc>
        <w:tc>
          <w:tcPr>
            <w:tcW w:w="1275" w:type="dxa"/>
          </w:tcPr>
          <w:p w14:paraId="1A770DE0" w14:textId="77777777" w:rsidR="00980BF0" w:rsidRPr="008D7AB4" w:rsidRDefault="00980BF0" w:rsidP="0013699E">
            <w:pPr>
              <w:jc w:val="right"/>
              <w:rPr>
                <w:color w:val="000000"/>
                <w:sz w:val="20"/>
                <w:szCs w:val="20"/>
                <w:lang w:eastAsia="en-CA"/>
              </w:rPr>
            </w:pPr>
            <w:r w:rsidRPr="008D7AB4">
              <w:rPr>
                <w:sz w:val="20"/>
                <w:szCs w:val="20"/>
              </w:rPr>
              <w:t>*1,748,175</w:t>
            </w:r>
          </w:p>
        </w:tc>
        <w:tc>
          <w:tcPr>
            <w:tcW w:w="993" w:type="dxa"/>
          </w:tcPr>
          <w:p w14:paraId="645C0B90" w14:textId="77777777" w:rsidR="00980BF0" w:rsidRPr="008D7AB4" w:rsidRDefault="00980BF0" w:rsidP="0013699E">
            <w:pPr>
              <w:jc w:val="right"/>
              <w:rPr>
                <w:color w:val="000000"/>
                <w:sz w:val="20"/>
                <w:szCs w:val="20"/>
                <w:lang w:eastAsia="en-CA"/>
              </w:rPr>
            </w:pPr>
            <w:r w:rsidRPr="008D7AB4">
              <w:rPr>
                <w:sz w:val="20"/>
                <w:szCs w:val="20"/>
              </w:rPr>
              <w:t>1,299,386</w:t>
            </w:r>
          </w:p>
        </w:tc>
        <w:tc>
          <w:tcPr>
            <w:tcW w:w="850" w:type="dxa"/>
          </w:tcPr>
          <w:p w14:paraId="3A346E34" w14:textId="77777777" w:rsidR="00980BF0" w:rsidRPr="008D7AB4" w:rsidRDefault="00980BF0" w:rsidP="0013699E">
            <w:pPr>
              <w:widowControl w:val="0"/>
              <w:jc w:val="right"/>
              <w:rPr>
                <w:sz w:val="20"/>
                <w:szCs w:val="20"/>
              </w:rPr>
            </w:pPr>
            <w:r w:rsidRPr="008D7AB4">
              <w:rPr>
                <w:sz w:val="20"/>
                <w:szCs w:val="20"/>
              </w:rPr>
              <w:t>250,000</w:t>
            </w:r>
          </w:p>
        </w:tc>
        <w:tc>
          <w:tcPr>
            <w:tcW w:w="1134" w:type="dxa"/>
            <w:shd w:val="clear" w:color="auto" w:fill="auto"/>
            <w:noWrap/>
          </w:tcPr>
          <w:p w14:paraId="08748108" w14:textId="77777777" w:rsidR="00980BF0" w:rsidRPr="008D7AB4" w:rsidRDefault="00980BF0" w:rsidP="0013699E">
            <w:pPr>
              <w:jc w:val="right"/>
              <w:rPr>
                <w:color w:val="000000"/>
                <w:sz w:val="20"/>
                <w:szCs w:val="20"/>
                <w:lang w:eastAsia="en-CA"/>
              </w:rPr>
            </w:pPr>
            <w:r w:rsidRPr="008D7AB4">
              <w:rPr>
                <w:b/>
                <w:sz w:val="20"/>
                <w:szCs w:val="20"/>
              </w:rPr>
              <w:t>6,376,461</w:t>
            </w:r>
          </w:p>
        </w:tc>
        <w:tc>
          <w:tcPr>
            <w:tcW w:w="1303" w:type="dxa"/>
            <w:vMerge w:val="restart"/>
            <w:shd w:val="clear" w:color="auto" w:fill="auto"/>
            <w:noWrap/>
            <w:vAlign w:val="center"/>
          </w:tcPr>
          <w:p w14:paraId="7886D5F6" w14:textId="77777777" w:rsidR="00980BF0" w:rsidRPr="008D7AB4" w:rsidRDefault="00980BF0" w:rsidP="0013699E">
            <w:pPr>
              <w:jc w:val="center"/>
              <w:rPr>
                <w:color w:val="000000"/>
                <w:sz w:val="20"/>
                <w:szCs w:val="20"/>
                <w:lang w:eastAsia="en-CA"/>
              </w:rPr>
            </w:pPr>
            <w:r w:rsidRPr="008D7AB4">
              <w:rPr>
                <w:color w:val="000000"/>
                <w:sz w:val="20"/>
                <w:szCs w:val="20"/>
                <w:lang w:eastAsia="en-CA"/>
              </w:rPr>
              <w:t>96</w:t>
            </w:r>
          </w:p>
        </w:tc>
      </w:tr>
      <w:tr w:rsidR="00980BF0" w:rsidRPr="008D7AB4" w14:paraId="6830F975" w14:textId="77777777" w:rsidTr="0013699E">
        <w:tc>
          <w:tcPr>
            <w:tcW w:w="1398" w:type="dxa"/>
            <w:vMerge/>
            <w:hideMark/>
          </w:tcPr>
          <w:p w14:paraId="7A37E3DA" w14:textId="77777777" w:rsidR="00980BF0" w:rsidRPr="008D7AB4" w:rsidRDefault="00980BF0" w:rsidP="0013699E">
            <w:pPr>
              <w:jc w:val="left"/>
              <w:rPr>
                <w:bCs/>
                <w:color w:val="000000"/>
                <w:sz w:val="20"/>
                <w:szCs w:val="20"/>
                <w:lang w:eastAsia="en-CA"/>
              </w:rPr>
            </w:pPr>
          </w:p>
        </w:tc>
        <w:tc>
          <w:tcPr>
            <w:tcW w:w="1137" w:type="dxa"/>
            <w:shd w:val="clear" w:color="auto" w:fill="auto"/>
            <w:noWrap/>
            <w:hideMark/>
          </w:tcPr>
          <w:p w14:paraId="4D2D0E8B" w14:textId="77777777" w:rsidR="00980BF0" w:rsidRPr="008D7AB4" w:rsidRDefault="00980BF0" w:rsidP="0013699E">
            <w:pPr>
              <w:rPr>
                <w:bCs/>
                <w:color w:val="000000"/>
                <w:sz w:val="20"/>
                <w:szCs w:val="20"/>
                <w:lang w:eastAsia="en-CA"/>
              </w:rPr>
            </w:pPr>
            <w:r w:rsidRPr="008D7AB4">
              <w:rPr>
                <w:bCs/>
                <w:color w:val="000000"/>
                <w:sz w:val="20"/>
                <w:szCs w:val="20"/>
                <w:lang w:eastAsia="en-CA"/>
              </w:rPr>
              <w:t>Disbursed</w:t>
            </w:r>
          </w:p>
        </w:tc>
        <w:tc>
          <w:tcPr>
            <w:tcW w:w="1270" w:type="dxa"/>
            <w:shd w:val="clear" w:color="auto" w:fill="auto"/>
            <w:noWrap/>
          </w:tcPr>
          <w:p w14:paraId="5493B726" w14:textId="77777777" w:rsidR="00980BF0" w:rsidRPr="008D7AB4" w:rsidRDefault="00980BF0" w:rsidP="0013699E">
            <w:pPr>
              <w:jc w:val="right"/>
              <w:rPr>
                <w:color w:val="000000"/>
                <w:sz w:val="20"/>
                <w:szCs w:val="20"/>
                <w:lang w:eastAsia="en-CA"/>
              </w:rPr>
            </w:pPr>
            <w:r w:rsidRPr="008D7AB4">
              <w:rPr>
                <w:color w:val="000000"/>
                <w:sz w:val="20"/>
                <w:szCs w:val="20"/>
                <w:lang w:eastAsia="en-CA"/>
              </w:rPr>
              <w:t>3,078,900</w:t>
            </w:r>
          </w:p>
        </w:tc>
        <w:tc>
          <w:tcPr>
            <w:tcW w:w="1275" w:type="dxa"/>
          </w:tcPr>
          <w:p w14:paraId="41E5FFAD" w14:textId="77777777" w:rsidR="00980BF0" w:rsidRPr="008D7AB4" w:rsidRDefault="00980BF0" w:rsidP="0013699E">
            <w:pPr>
              <w:jc w:val="right"/>
              <w:rPr>
                <w:color w:val="000000"/>
                <w:sz w:val="20"/>
                <w:szCs w:val="20"/>
                <w:lang w:eastAsia="en-CA"/>
              </w:rPr>
            </w:pPr>
            <w:r w:rsidRPr="008D7AB4">
              <w:rPr>
                <w:color w:val="000000"/>
                <w:sz w:val="20"/>
                <w:szCs w:val="20"/>
                <w:lang w:eastAsia="en-CA"/>
              </w:rPr>
              <w:t>1,523,343</w:t>
            </w:r>
          </w:p>
        </w:tc>
        <w:tc>
          <w:tcPr>
            <w:tcW w:w="993" w:type="dxa"/>
          </w:tcPr>
          <w:p w14:paraId="2F8E65A4" w14:textId="77777777" w:rsidR="00980BF0" w:rsidRPr="008D7AB4" w:rsidRDefault="00980BF0" w:rsidP="0013699E">
            <w:pPr>
              <w:jc w:val="right"/>
              <w:rPr>
                <w:color w:val="000000"/>
                <w:sz w:val="20"/>
                <w:szCs w:val="20"/>
                <w:lang w:eastAsia="en-CA"/>
              </w:rPr>
            </w:pPr>
            <w:r w:rsidRPr="008D7AB4">
              <w:rPr>
                <w:sz w:val="20"/>
                <w:szCs w:val="20"/>
              </w:rPr>
              <w:t>1,299,386</w:t>
            </w:r>
          </w:p>
        </w:tc>
        <w:tc>
          <w:tcPr>
            <w:tcW w:w="850" w:type="dxa"/>
          </w:tcPr>
          <w:p w14:paraId="04DE1D99" w14:textId="77777777" w:rsidR="00980BF0" w:rsidRPr="008D7AB4" w:rsidRDefault="00980BF0" w:rsidP="0013699E">
            <w:pPr>
              <w:widowControl w:val="0"/>
              <w:jc w:val="right"/>
              <w:rPr>
                <w:sz w:val="20"/>
                <w:szCs w:val="20"/>
              </w:rPr>
            </w:pPr>
            <w:r w:rsidRPr="008D7AB4">
              <w:rPr>
                <w:sz w:val="20"/>
                <w:szCs w:val="20"/>
              </w:rPr>
              <w:t>250,000</w:t>
            </w:r>
          </w:p>
        </w:tc>
        <w:tc>
          <w:tcPr>
            <w:tcW w:w="1134" w:type="dxa"/>
            <w:shd w:val="clear" w:color="auto" w:fill="auto"/>
            <w:noWrap/>
          </w:tcPr>
          <w:p w14:paraId="582221F7" w14:textId="77777777" w:rsidR="00980BF0" w:rsidRPr="008D7AB4" w:rsidRDefault="00980BF0" w:rsidP="0013699E">
            <w:pPr>
              <w:jc w:val="right"/>
              <w:rPr>
                <w:b/>
                <w:color w:val="000000"/>
                <w:sz w:val="20"/>
                <w:szCs w:val="20"/>
                <w:lang w:eastAsia="en-CA"/>
              </w:rPr>
            </w:pPr>
            <w:r w:rsidRPr="008D7AB4">
              <w:rPr>
                <w:b/>
                <w:color w:val="000000"/>
                <w:sz w:val="20"/>
                <w:szCs w:val="20"/>
                <w:lang w:eastAsia="en-CA"/>
              </w:rPr>
              <w:t>6,151,629</w:t>
            </w:r>
          </w:p>
        </w:tc>
        <w:tc>
          <w:tcPr>
            <w:tcW w:w="1303" w:type="dxa"/>
            <w:vMerge/>
            <w:vAlign w:val="center"/>
          </w:tcPr>
          <w:p w14:paraId="307DE117" w14:textId="77777777" w:rsidR="00980BF0" w:rsidRPr="008D7AB4" w:rsidRDefault="00980BF0" w:rsidP="0013699E">
            <w:pPr>
              <w:jc w:val="center"/>
              <w:rPr>
                <w:color w:val="000000"/>
                <w:sz w:val="20"/>
                <w:szCs w:val="20"/>
                <w:lang w:eastAsia="en-CA"/>
              </w:rPr>
            </w:pPr>
          </w:p>
        </w:tc>
      </w:tr>
      <w:tr w:rsidR="00980BF0" w:rsidRPr="008D7AB4" w14:paraId="2DDDC641" w14:textId="77777777" w:rsidTr="0013699E">
        <w:tc>
          <w:tcPr>
            <w:tcW w:w="1398" w:type="dxa"/>
            <w:vMerge w:val="restart"/>
            <w:shd w:val="clear" w:color="auto" w:fill="auto"/>
            <w:noWrap/>
            <w:hideMark/>
          </w:tcPr>
          <w:p w14:paraId="39DEEFFF" w14:textId="77777777" w:rsidR="00980BF0" w:rsidRPr="008D7AB4" w:rsidRDefault="00980BF0" w:rsidP="0013699E">
            <w:pPr>
              <w:jc w:val="left"/>
              <w:rPr>
                <w:bCs/>
                <w:color w:val="000000"/>
                <w:sz w:val="20"/>
                <w:szCs w:val="20"/>
                <w:lang w:eastAsia="en-CA"/>
              </w:rPr>
            </w:pPr>
            <w:r w:rsidRPr="008D7AB4">
              <w:rPr>
                <w:bCs/>
                <w:color w:val="000000"/>
                <w:sz w:val="20"/>
                <w:szCs w:val="20"/>
                <w:lang w:eastAsia="en-CA"/>
              </w:rPr>
              <w:t>Second tranche</w:t>
            </w:r>
          </w:p>
        </w:tc>
        <w:tc>
          <w:tcPr>
            <w:tcW w:w="1137" w:type="dxa"/>
            <w:shd w:val="clear" w:color="auto" w:fill="auto"/>
            <w:noWrap/>
            <w:hideMark/>
          </w:tcPr>
          <w:p w14:paraId="38A9D218" w14:textId="77777777" w:rsidR="00980BF0" w:rsidRPr="008D7AB4" w:rsidRDefault="00980BF0" w:rsidP="0013699E">
            <w:pPr>
              <w:rPr>
                <w:bCs/>
                <w:color w:val="000000"/>
                <w:sz w:val="20"/>
                <w:szCs w:val="20"/>
                <w:lang w:eastAsia="en-CA"/>
              </w:rPr>
            </w:pPr>
            <w:r w:rsidRPr="008D7AB4">
              <w:rPr>
                <w:bCs/>
                <w:color w:val="000000"/>
                <w:sz w:val="20"/>
                <w:szCs w:val="20"/>
                <w:lang w:eastAsia="en-CA"/>
              </w:rPr>
              <w:t>Approved</w:t>
            </w:r>
          </w:p>
        </w:tc>
        <w:tc>
          <w:tcPr>
            <w:tcW w:w="1270" w:type="dxa"/>
            <w:shd w:val="clear" w:color="auto" w:fill="auto"/>
            <w:noWrap/>
          </w:tcPr>
          <w:p w14:paraId="65EDAEFE" w14:textId="77777777" w:rsidR="00980BF0" w:rsidRPr="008D7AB4" w:rsidRDefault="00980BF0" w:rsidP="0013699E">
            <w:pPr>
              <w:jc w:val="right"/>
              <w:rPr>
                <w:color w:val="000000"/>
                <w:sz w:val="20"/>
                <w:szCs w:val="20"/>
                <w:lang w:eastAsia="en-CA"/>
              </w:rPr>
            </w:pPr>
            <w:r w:rsidRPr="008D7AB4">
              <w:rPr>
                <w:sz w:val="20"/>
                <w:szCs w:val="20"/>
              </w:rPr>
              <w:t>2,627,704</w:t>
            </w:r>
          </w:p>
        </w:tc>
        <w:tc>
          <w:tcPr>
            <w:tcW w:w="1275" w:type="dxa"/>
          </w:tcPr>
          <w:p w14:paraId="6A5F4307" w14:textId="77777777" w:rsidR="00980BF0" w:rsidRPr="008D7AB4" w:rsidRDefault="00980BF0" w:rsidP="0013699E">
            <w:pPr>
              <w:jc w:val="right"/>
              <w:rPr>
                <w:color w:val="000000"/>
                <w:sz w:val="20"/>
                <w:szCs w:val="20"/>
                <w:lang w:eastAsia="en-CA"/>
              </w:rPr>
            </w:pPr>
            <w:r w:rsidRPr="008D7AB4">
              <w:rPr>
                <w:color w:val="000000"/>
                <w:sz w:val="20"/>
                <w:szCs w:val="20"/>
                <w:lang w:eastAsia="en-CA"/>
              </w:rPr>
              <w:t>0</w:t>
            </w:r>
          </w:p>
        </w:tc>
        <w:tc>
          <w:tcPr>
            <w:tcW w:w="993" w:type="dxa"/>
          </w:tcPr>
          <w:p w14:paraId="639B4DF0" w14:textId="77777777" w:rsidR="00980BF0" w:rsidRPr="008D7AB4" w:rsidRDefault="00980BF0" w:rsidP="0013699E">
            <w:pPr>
              <w:jc w:val="right"/>
              <w:rPr>
                <w:color w:val="000000"/>
                <w:sz w:val="20"/>
                <w:szCs w:val="20"/>
                <w:lang w:eastAsia="en-CA"/>
              </w:rPr>
            </w:pPr>
            <w:r w:rsidRPr="008D7AB4">
              <w:rPr>
                <w:sz w:val="20"/>
                <w:szCs w:val="20"/>
              </w:rPr>
              <w:t>686,978</w:t>
            </w:r>
          </w:p>
        </w:tc>
        <w:tc>
          <w:tcPr>
            <w:tcW w:w="850" w:type="dxa"/>
          </w:tcPr>
          <w:p w14:paraId="5809EDB1" w14:textId="77777777" w:rsidR="00980BF0" w:rsidRPr="008D7AB4" w:rsidRDefault="00980BF0" w:rsidP="0013699E">
            <w:pPr>
              <w:jc w:val="right"/>
              <w:rPr>
                <w:color w:val="000000"/>
                <w:sz w:val="20"/>
                <w:szCs w:val="20"/>
                <w:lang w:eastAsia="en-CA"/>
              </w:rPr>
            </w:pPr>
            <w:r w:rsidRPr="008D7AB4">
              <w:rPr>
                <w:color w:val="000000"/>
                <w:sz w:val="20"/>
                <w:szCs w:val="20"/>
                <w:lang w:eastAsia="en-CA"/>
              </w:rPr>
              <w:t>0</w:t>
            </w:r>
          </w:p>
        </w:tc>
        <w:tc>
          <w:tcPr>
            <w:tcW w:w="1134" w:type="dxa"/>
            <w:shd w:val="clear" w:color="auto" w:fill="auto"/>
            <w:noWrap/>
          </w:tcPr>
          <w:p w14:paraId="0FF082A9" w14:textId="77777777" w:rsidR="00980BF0" w:rsidRPr="008D7AB4" w:rsidRDefault="00980BF0" w:rsidP="0013699E">
            <w:pPr>
              <w:jc w:val="right"/>
              <w:rPr>
                <w:color w:val="000000"/>
                <w:sz w:val="20"/>
                <w:szCs w:val="20"/>
                <w:lang w:eastAsia="en-CA"/>
              </w:rPr>
            </w:pPr>
            <w:r w:rsidRPr="008D7AB4">
              <w:rPr>
                <w:b/>
                <w:sz w:val="20"/>
                <w:szCs w:val="20"/>
              </w:rPr>
              <w:t>3,314,682</w:t>
            </w:r>
          </w:p>
        </w:tc>
        <w:tc>
          <w:tcPr>
            <w:tcW w:w="1303" w:type="dxa"/>
            <w:vMerge w:val="restart"/>
            <w:shd w:val="clear" w:color="auto" w:fill="auto"/>
            <w:noWrap/>
            <w:vAlign w:val="center"/>
          </w:tcPr>
          <w:p w14:paraId="18D13B54" w14:textId="77777777" w:rsidR="00980BF0" w:rsidRPr="008D7AB4" w:rsidRDefault="00980BF0" w:rsidP="0013699E">
            <w:pPr>
              <w:jc w:val="center"/>
              <w:rPr>
                <w:color w:val="000000"/>
                <w:sz w:val="20"/>
                <w:szCs w:val="20"/>
                <w:lang w:eastAsia="en-CA"/>
              </w:rPr>
            </w:pPr>
            <w:r w:rsidRPr="008D7AB4">
              <w:rPr>
                <w:color w:val="000000"/>
                <w:sz w:val="20"/>
                <w:szCs w:val="20"/>
                <w:lang w:eastAsia="en-CA"/>
              </w:rPr>
              <w:t>100</w:t>
            </w:r>
          </w:p>
        </w:tc>
      </w:tr>
      <w:tr w:rsidR="00980BF0" w:rsidRPr="008D7AB4" w14:paraId="2027ACA1" w14:textId="77777777" w:rsidTr="0013699E">
        <w:tc>
          <w:tcPr>
            <w:tcW w:w="1398" w:type="dxa"/>
            <w:vMerge/>
            <w:hideMark/>
          </w:tcPr>
          <w:p w14:paraId="300B830E" w14:textId="77777777" w:rsidR="00980BF0" w:rsidRPr="008D7AB4" w:rsidRDefault="00980BF0" w:rsidP="0013699E">
            <w:pPr>
              <w:jc w:val="left"/>
              <w:rPr>
                <w:bCs/>
                <w:color w:val="000000"/>
                <w:sz w:val="20"/>
                <w:szCs w:val="20"/>
                <w:lang w:eastAsia="en-CA"/>
              </w:rPr>
            </w:pPr>
          </w:p>
        </w:tc>
        <w:tc>
          <w:tcPr>
            <w:tcW w:w="1137" w:type="dxa"/>
            <w:shd w:val="clear" w:color="auto" w:fill="auto"/>
            <w:noWrap/>
            <w:hideMark/>
          </w:tcPr>
          <w:p w14:paraId="44AF88F3" w14:textId="77777777" w:rsidR="00980BF0" w:rsidRPr="008D7AB4" w:rsidRDefault="00980BF0" w:rsidP="0013699E">
            <w:pPr>
              <w:rPr>
                <w:bCs/>
                <w:color w:val="000000"/>
                <w:sz w:val="20"/>
                <w:szCs w:val="20"/>
                <w:lang w:eastAsia="en-CA"/>
              </w:rPr>
            </w:pPr>
            <w:r w:rsidRPr="008D7AB4">
              <w:rPr>
                <w:bCs/>
                <w:color w:val="000000"/>
                <w:sz w:val="20"/>
                <w:szCs w:val="20"/>
                <w:lang w:eastAsia="en-CA"/>
              </w:rPr>
              <w:t>Disbursed</w:t>
            </w:r>
          </w:p>
        </w:tc>
        <w:tc>
          <w:tcPr>
            <w:tcW w:w="1270" w:type="dxa"/>
            <w:shd w:val="clear" w:color="auto" w:fill="auto"/>
            <w:noWrap/>
          </w:tcPr>
          <w:p w14:paraId="1D25BC74" w14:textId="77777777" w:rsidR="00980BF0" w:rsidRPr="008D7AB4" w:rsidRDefault="00980BF0" w:rsidP="0013699E">
            <w:pPr>
              <w:jc w:val="right"/>
              <w:rPr>
                <w:color w:val="000000"/>
                <w:sz w:val="20"/>
                <w:szCs w:val="20"/>
                <w:lang w:eastAsia="en-CA"/>
              </w:rPr>
            </w:pPr>
            <w:r w:rsidRPr="008D7AB4">
              <w:rPr>
                <w:color w:val="000000"/>
                <w:sz w:val="20"/>
                <w:szCs w:val="20"/>
                <w:lang w:eastAsia="en-CA"/>
              </w:rPr>
              <w:t>2,627,704</w:t>
            </w:r>
          </w:p>
        </w:tc>
        <w:tc>
          <w:tcPr>
            <w:tcW w:w="1275" w:type="dxa"/>
          </w:tcPr>
          <w:p w14:paraId="4BBB7060" w14:textId="77777777" w:rsidR="00980BF0" w:rsidRPr="008D7AB4" w:rsidRDefault="00980BF0" w:rsidP="0013699E">
            <w:pPr>
              <w:jc w:val="right"/>
              <w:rPr>
                <w:color w:val="000000"/>
                <w:sz w:val="20"/>
                <w:szCs w:val="20"/>
                <w:lang w:eastAsia="en-CA"/>
              </w:rPr>
            </w:pPr>
            <w:r w:rsidRPr="008D7AB4">
              <w:rPr>
                <w:color w:val="000000"/>
                <w:sz w:val="20"/>
                <w:szCs w:val="20"/>
                <w:lang w:eastAsia="en-CA"/>
              </w:rPr>
              <w:t>0</w:t>
            </w:r>
          </w:p>
        </w:tc>
        <w:tc>
          <w:tcPr>
            <w:tcW w:w="993" w:type="dxa"/>
          </w:tcPr>
          <w:p w14:paraId="70D30297" w14:textId="77777777" w:rsidR="00980BF0" w:rsidRPr="008D7AB4" w:rsidRDefault="00980BF0" w:rsidP="0013699E">
            <w:pPr>
              <w:jc w:val="right"/>
              <w:rPr>
                <w:color w:val="000000"/>
                <w:sz w:val="20"/>
                <w:szCs w:val="20"/>
                <w:lang w:eastAsia="en-CA"/>
              </w:rPr>
            </w:pPr>
            <w:r w:rsidRPr="008D7AB4">
              <w:rPr>
                <w:sz w:val="20"/>
                <w:szCs w:val="20"/>
              </w:rPr>
              <w:t>686,978</w:t>
            </w:r>
          </w:p>
        </w:tc>
        <w:tc>
          <w:tcPr>
            <w:tcW w:w="850" w:type="dxa"/>
          </w:tcPr>
          <w:p w14:paraId="6A175463" w14:textId="77777777" w:rsidR="00980BF0" w:rsidRPr="008D7AB4" w:rsidRDefault="00980BF0" w:rsidP="0013699E">
            <w:pPr>
              <w:jc w:val="right"/>
              <w:rPr>
                <w:color w:val="000000"/>
                <w:sz w:val="20"/>
                <w:szCs w:val="20"/>
                <w:lang w:eastAsia="en-CA"/>
              </w:rPr>
            </w:pPr>
            <w:r w:rsidRPr="008D7AB4">
              <w:rPr>
                <w:color w:val="000000"/>
                <w:sz w:val="20"/>
                <w:szCs w:val="20"/>
                <w:lang w:eastAsia="en-CA"/>
              </w:rPr>
              <w:t>0</w:t>
            </w:r>
          </w:p>
        </w:tc>
        <w:tc>
          <w:tcPr>
            <w:tcW w:w="1134" w:type="dxa"/>
            <w:shd w:val="clear" w:color="auto" w:fill="auto"/>
            <w:noWrap/>
          </w:tcPr>
          <w:p w14:paraId="1C0D4BC9" w14:textId="77777777" w:rsidR="00980BF0" w:rsidRPr="008D7AB4" w:rsidRDefault="00980BF0" w:rsidP="0013699E">
            <w:pPr>
              <w:jc w:val="right"/>
              <w:rPr>
                <w:color w:val="000000"/>
                <w:sz w:val="20"/>
                <w:szCs w:val="20"/>
                <w:lang w:eastAsia="en-CA"/>
              </w:rPr>
            </w:pPr>
            <w:r w:rsidRPr="008D7AB4">
              <w:rPr>
                <w:b/>
                <w:sz w:val="20"/>
                <w:szCs w:val="20"/>
              </w:rPr>
              <w:t>3,314,682</w:t>
            </w:r>
          </w:p>
        </w:tc>
        <w:tc>
          <w:tcPr>
            <w:tcW w:w="1303" w:type="dxa"/>
            <w:vMerge/>
            <w:vAlign w:val="center"/>
          </w:tcPr>
          <w:p w14:paraId="45210E20" w14:textId="77777777" w:rsidR="00980BF0" w:rsidRPr="008D7AB4" w:rsidRDefault="00980BF0" w:rsidP="0013699E">
            <w:pPr>
              <w:jc w:val="center"/>
              <w:rPr>
                <w:color w:val="000000"/>
                <w:sz w:val="20"/>
                <w:szCs w:val="20"/>
                <w:lang w:eastAsia="en-CA"/>
              </w:rPr>
            </w:pPr>
          </w:p>
        </w:tc>
      </w:tr>
      <w:tr w:rsidR="00980BF0" w:rsidRPr="008D7AB4" w14:paraId="5176C9B1" w14:textId="77777777" w:rsidTr="0013699E">
        <w:tc>
          <w:tcPr>
            <w:tcW w:w="1398" w:type="dxa"/>
            <w:vMerge w:val="restart"/>
            <w:shd w:val="clear" w:color="auto" w:fill="auto"/>
            <w:noWrap/>
            <w:hideMark/>
          </w:tcPr>
          <w:p w14:paraId="2D166F83" w14:textId="77777777" w:rsidR="00980BF0" w:rsidRPr="008D7AB4" w:rsidRDefault="00980BF0" w:rsidP="0013699E">
            <w:pPr>
              <w:jc w:val="left"/>
              <w:rPr>
                <w:bCs/>
                <w:color w:val="000000"/>
                <w:sz w:val="20"/>
                <w:szCs w:val="20"/>
                <w:lang w:eastAsia="en-CA"/>
              </w:rPr>
            </w:pPr>
            <w:r w:rsidRPr="008D7AB4">
              <w:rPr>
                <w:bCs/>
                <w:color w:val="000000"/>
                <w:sz w:val="20"/>
                <w:szCs w:val="20"/>
                <w:lang w:eastAsia="en-CA"/>
              </w:rPr>
              <w:t>Third tranche</w:t>
            </w:r>
          </w:p>
        </w:tc>
        <w:tc>
          <w:tcPr>
            <w:tcW w:w="1137" w:type="dxa"/>
            <w:shd w:val="clear" w:color="auto" w:fill="auto"/>
            <w:noWrap/>
            <w:hideMark/>
          </w:tcPr>
          <w:p w14:paraId="50C0B1F5" w14:textId="77777777" w:rsidR="00980BF0" w:rsidRPr="008D7AB4" w:rsidRDefault="00980BF0" w:rsidP="0013699E">
            <w:pPr>
              <w:rPr>
                <w:bCs/>
                <w:color w:val="000000"/>
                <w:sz w:val="20"/>
                <w:szCs w:val="20"/>
                <w:lang w:eastAsia="en-CA"/>
              </w:rPr>
            </w:pPr>
            <w:r w:rsidRPr="008D7AB4">
              <w:rPr>
                <w:bCs/>
                <w:color w:val="000000"/>
                <w:sz w:val="20"/>
                <w:szCs w:val="20"/>
                <w:lang w:eastAsia="en-CA"/>
              </w:rPr>
              <w:t>Approved</w:t>
            </w:r>
          </w:p>
        </w:tc>
        <w:tc>
          <w:tcPr>
            <w:tcW w:w="1270" w:type="dxa"/>
            <w:shd w:val="clear" w:color="auto" w:fill="auto"/>
            <w:noWrap/>
          </w:tcPr>
          <w:p w14:paraId="0B77D4C8" w14:textId="77777777" w:rsidR="00980BF0" w:rsidRPr="008D7AB4" w:rsidRDefault="00980BF0" w:rsidP="0013699E">
            <w:pPr>
              <w:jc w:val="right"/>
              <w:rPr>
                <w:color w:val="000000"/>
                <w:sz w:val="20"/>
                <w:szCs w:val="20"/>
                <w:lang w:eastAsia="en-CA"/>
              </w:rPr>
            </w:pPr>
            <w:r w:rsidRPr="008D7AB4">
              <w:rPr>
                <w:sz w:val="20"/>
                <w:szCs w:val="20"/>
              </w:rPr>
              <w:t>7,168,396</w:t>
            </w:r>
          </w:p>
        </w:tc>
        <w:tc>
          <w:tcPr>
            <w:tcW w:w="1275" w:type="dxa"/>
          </w:tcPr>
          <w:p w14:paraId="0F2AA8CB" w14:textId="77777777" w:rsidR="00980BF0" w:rsidRPr="008D7AB4" w:rsidRDefault="00980BF0" w:rsidP="0013699E">
            <w:pPr>
              <w:jc w:val="right"/>
              <w:rPr>
                <w:color w:val="000000"/>
                <w:sz w:val="20"/>
                <w:szCs w:val="20"/>
                <w:lang w:eastAsia="en-CA"/>
              </w:rPr>
            </w:pPr>
            <w:r w:rsidRPr="008D7AB4">
              <w:rPr>
                <w:sz w:val="20"/>
                <w:szCs w:val="20"/>
              </w:rPr>
              <w:t>**1,902,953</w:t>
            </w:r>
          </w:p>
        </w:tc>
        <w:tc>
          <w:tcPr>
            <w:tcW w:w="993" w:type="dxa"/>
          </w:tcPr>
          <w:p w14:paraId="729A26B2" w14:textId="77777777" w:rsidR="00980BF0" w:rsidRPr="008D7AB4" w:rsidRDefault="00980BF0" w:rsidP="0013699E">
            <w:pPr>
              <w:jc w:val="right"/>
              <w:rPr>
                <w:color w:val="000000"/>
                <w:sz w:val="20"/>
                <w:szCs w:val="20"/>
                <w:lang w:eastAsia="en-CA"/>
              </w:rPr>
            </w:pPr>
            <w:r w:rsidRPr="008D7AB4">
              <w:rPr>
                <w:sz w:val="20"/>
                <w:szCs w:val="20"/>
              </w:rPr>
              <w:t>2,363,637</w:t>
            </w:r>
          </w:p>
        </w:tc>
        <w:tc>
          <w:tcPr>
            <w:tcW w:w="850" w:type="dxa"/>
          </w:tcPr>
          <w:p w14:paraId="1ECB6849" w14:textId="77777777" w:rsidR="00980BF0" w:rsidRPr="008D7AB4" w:rsidRDefault="00980BF0" w:rsidP="0013699E">
            <w:pPr>
              <w:jc w:val="right"/>
              <w:rPr>
                <w:color w:val="000000"/>
                <w:sz w:val="20"/>
                <w:szCs w:val="20"/>
                <w:lang w:eastAsia="en-CA"/>
              </w:rPr>
            </w:pPr>
            <w:r w:rsidRPr="008D7AB4">
              <w:rPr>
                <w:color w:val="000000"/>
                <w:sz w:val="20"/>
                <w:szCs w:val="20"/>
                <w:lang w:eastAsia="en-CA"/>
              </w:rPr>
              <w:t>0</w:t>
            </w:r>
          </w:p>
        </w:tc>
        <w:tc>
          <w:tcPr>
            <w:tcW w:w="1134" w:type="dxa"/>
            <w:shd w:val="clear" w:color="auto" w:fill="auto"/>
            <w:noWrap/>
          </w:tcPr>
          <w:p w14:paraId="7C6C8877" w14:textId="77777777" w:rsidR="00980BF0" w:rsidRPr="008D7AB4" w:rsidRDefault="00980BF0" w:rsidP="0013699E">
            <w:pPr>
              <w:jc w:val="right"/>
              <w:rPr>
                <w:color w:val="000000"/>
                <w:sz w:val="20"/>
                <w:szCs w:val="20"/>
                <w:lang w:eastAsia="en-CA"/>
              </w:rPr>
            </w:pPr>
            <w:r w:rsidRPr="008D7AB4">
              <w:rPr>
                <w:b/>
                <w:sz w:val="20"/>
                <w:szCs w:val="20"/>
              </w:rPr>
              <w:t>11,434,986</w:t>
            </w:r>
          </w:p>
        </w:tc>
        <w:tc>
          <w:tcPr>
            <w:tcW w:w="1303" w:type="dxa"/>
            <w:vMerge w:val="restart"/>
            <w:shd w:val="clear" w:color="auto" w:fill="auto"/>
            <w:noWrap/>
            <w:vAlign w:val="center"/>
          </w:tcPr>
          <w:p w14:paraId="6ABC362A" w14:textId="77777777" w:rsidR="00980BF0" w:rsidRPr="008D7AB4" w:rsidRDefault="00980BF0" w:rsidP="0013699E">
            <w:pPr>
              <w:jc w:val="center"/>
              <w:rPr>
                <w:color w:val="000000"/>
                <w:sz w:val="20"/>
                <w:szCs w:val="20"/>
                <w:lang w:eastAsia="en-CA"/>
              </w:rPr>
            </w:pPr>
            <w:r w:rsidRPr="008D7AB4">
              <w:rPr>
                <w:color w:val="000000"/>
                <w:sz w:val="20"/>
                <w:szCs w:val="20"/>
                <w:lang w:eastAsia="en-CA"/>
              </w:rPr>
              <w:t>47</w:t>
            </w:r>
          </w:p>
        </w:tc>
      </w:tr>
      <w:tr w:rsidR="00980BF0" w:rsidRPr="008D7AB4" w14:paraId="18EC5A21" w14:textId="77777777" w:rsidTr="0013699E">
        <w:tc>
          <w:tcPr>
            <w:tcW w:w="1398" w:type="dxa"/>
            <w:vMerge/>
            <w:hideMark/>
          </w:tcPr>
          <w:p w14:paraId="55245C5F" w14:textId="77777777" w:rsidR="00980BF0" w:rsidRPr="008D7AB4" w:rsidRDefault="00980BF0" w:rsidP="0013699E">
            <w:pPr>
              <w:jc w:val="left"/>
              <w:rPr>
                <w:bCs/>
                <w:color w:val="000000"/>
                <w:sz w:val="20"/>
                <w:szCs w:val="20"/>
                <w:lang w:eastAsia="en-CA"/>
              </w:rPr>
            </w:pPr>
          </w:p>
        </w:tc>
        <w:tc>
          <w:tcPr>
            <w:tcW w:w="1137" w:type="dxa"/>
            <w:shd w:val="clear" w:color="auto" w:fill="auto"/>
            <w:noWrap/>
            <w:hideMark/>
          </w:tcPr>
          <w:p w14:paraId="6EF896E1" w14:textId="77777777" w:rsidR="00980BF0" w:rsidRPr="008D7AB4" w:rsidRDefault="00980BF0" w:rsidP="0013699E">
            <w:pPr>
              <w:rPr>
                <w:bCs/>
                <w:color w:val="000000"/>
                <w:sz w:val="20"/>
                <w:szCs w:val="20"/>
                <w:lang w:eastAsia="en-CA"/>
              </w:rPr>
            </w:pPr>
            <w:r w:rsidRPr="008D7AB4">
              <w:rPr>
                <w:bCs/>
                <w:color w:val="000000"/>
                <w:sz w:val="20"/>
                <w:szCs w:val="20"/>
                <w:lang w:eastAsia="en-CA"/>
              </w:rPr>
              <w:t>Disbursed</w:t>
            </w:r>
          </w:p>
        </w:tc>
        <w:tc>
          <w:tcPr>
            <w:tcW w:w="1270" w:type="dxa"/>
            <w:shd w:val="clear" w:color="auto" w:fill="auto"/>
            <w:noWrap/>
          </w:tcPr>
          <w:p w14:paraId="51C124EE" w14:textId="77777777" w:rsidR="00980BF0" w:rsidRPr="008D7AB4" w:rsidRDefault="00980BF0" w:rsidP="0013699E">
            <w:pPr>
              <w:jc w:val="right"/>
              <w:rPr>
                <w:color w:val="000000"/>
                <w:sz w:val="20"/>
                <w:szCs w:val="20"/>
                <w:lang w:eastAsia="en-CA"/>
              </w:rPr>
            </w:pPr>
            <w:r w:rsidRPr="008D7AB4">
              <w:rPr>
                <w:color w:val="000000"/>
                <w:sz w:val="20"/>
                <w:szCs w:val="20"/>
                <w:lang w:eastAsia="en-CA"/>
              </w:rPr>
              <w:t>3,421,625</w:t>
            </w:r>
          </w:p>
        </w:tc>
        <w:tc>
          <w:tcPr>
            <w:tcW w:w="1275" w:type="dxa"/>
          </w:tcPr>
          <w:p w14:paraId="79B2AD94" w14:textId="77777777" w:rsidR="00980BF0" w:rsidRPr="008D7AB4" w:rsidRDefault="00980BF0" w:rsidP="0013699E">
            <w:pPr>
              <w:jc w:val="right"/>
              <w:rPr>
                <w:color w:val="000000"/>
                <w:sz w:val="20"/>
                <w:szCs w:val="20"/>
                <w:lang w:eastAsia="en-CA"/>
              </w:rPr>
            </w:pPr>
            <w:r w:rsidRPr="008D7AB4">
              <w:rPr>
                <w:color w:val="000000"/>
                <w:sz w:val="20"/>
                <w:szCs w:val="20"/>
                <w:lang w:eastAsia="en-CA"/>
              </w:rPr>
              <w:t>971,210</w:t>
            </w:r>
          </w:p>
        </w:tc>
        <w:tc>
          <w:tcPr>
            <w:tcW w:w="993" w:type="dxa"/>
          </w:tcPr>
          <w:p w14:paraId="56B9EEEA" w14:textId="77777777" w:rsidR="00980BF0" w:rsidRPr="008D7AB4" w:rsidRDefault="00980BF0" w:rsidP="0013699E">
            <w:pPr>
              <w:jc w:val="right"/>
              <w:rPr>
                <w:color w:val="000000"/>
                <w:sz w:val="20"/>
                <w:szCs w:val="20"/>
                <w:lang w:eastAsia="en-CA"/>
              </w:rPr>
            </w:pPr>
            <w:r w:rsidRPr="008D7AB4">
              <w:rPr>
                <w:color w:val="000000"/>
                <w:sz w:val="20"/>
                <w:szCs w:val="20"/>
                <w:lang w:eastAsia="en-CA"/>
              </w:rPr>
              <w:t>992,520</w:t>
            </w:r>
          </w:p>
        </w:tc>
        <w:tc>
          <w:tcPr>
            <w:tcW w:w="850" w:type="dxa"/>
          </w:tcPr>
          <w:p w14:paraId="360F736E" w14:textId="77777777" w:rsidR="00980BF0" w:rsidRPr="008D7AB4" w:rsidRDefault="00980BF0" w:rsidP="0013699E">
            <w:pPr>
              <w:jc w:val="right"/>
              <w:rPr>
                <w:color w:val="000000"/>
                <w:sz w:val="20"/>
                <w:szCs w:val="20"/>
                <w:lang w:eastAsia="en-CA"/>
              </w:rPr>
            </w:pPr>
            <w:r w:rsidRPr="008D7AB4">
              <w:rPr>
                <w:color w:val="000000"/>
                <w:sz w:val="20"/>
                <w:szCs w:val="20"/>
                <w:lang w:eastAsia="en-CA"/>
              </w:rPr>
              <w:t>0</w:t>
            </w:r>
          </w:p>
        </w:tc>
        <w:tc>
          <w:tcPr>
            <w:tcW w:w="1134" w:type="dxa"/>
            <w:shd w:val="clear" w:color="auto" w:fill="auto"/>
            <w:noWrap/>
          </w:tcPr>
          <w:p w14:paraId="09CC166F" w14:textId="77777777" w:rsidR="00980BF0" w:rsidRPr="008D7AB4" w:rsidRDefault="00980BF0" w:rsidP="0013699E">
            <w:pPr>
              <w:jc w:val="right"/>
              <w:rPr>
                <w:b/>
                <w:color w:val="000000"/>
                <w:sz w:val="20"/>
                <w:szCs w:val="20"/>
                <w:lang w:eastAsia="en-CA"/>
              </w:rPr>
            </w:pPr>
            <w:r w:rsidRPr="008D7AB4">
              <w:rPr>
                <w:b/>
                <w:color w:val="000000"/>
                <w:sz w:val="20"/>
                <w:szCs w:val="20"/>
                <w:lang w:eastAsia="en-CA"/>
              </w:rPr>
              <w:t>5,385,355</w:t>
            </w:r>
          </w:p>
        </w:tc>
        <w:tc>
          <w:tcPr>
            <w:tcW w:w="1303" w:type="dxa"/>
            <w:vMerge/>
            <w:vAlign w:val="center"/>
          </w:tcPr>
          <w:p w14:paraId="75856122" w14:textId="77777777" w:rsidR="00980BF0" w:rsidRPr="008D7AB4" w:rsidRDefault="00980BF0" w:rsidP="0013699E">
            <w:pPr>
              <w:jc w:val="center"/>
              <w:rPr>
                <w:color w:val="000000"/>
                <w:sz w:val="20"/>
                <w:szCs w:val="20"/>
                <w:lang w:eastAsia="en-CA"/>
              </w:rPr>
            </w:pPr>
          </w:p>
        </w:tc>
      </w:tr>
      <w:tr w:rsidR="00980BF0" w:rsidRPr="008D7AB4" w14:paraId="1EDCDE1C" w14:textId="77777777" w:rsidTr="0013699E">
        <w:tc>
          <w:tcPr>
            <w:tcW w:w="1398" w:type="dxa"/>
            <w:vMerge w:val="restart"/>
            <w:shd w:val="clear" w:color="auto" w:fill="auto"/>
            <w:noWrap/>
            <w:hideMark/>
          </w:tcPr>
          <w:p w14:paraId="3E4A525F" w14:textId="77777777" w:rsidR="00980BF0" w:rsidRPr="008D7AB4" w:rsidRDefault="00980BF0" w:rsidP="0013699E">
            <w:pPr>
              <w:jc w:val="left"/>
              <w:rPr>
                <w:bCs/>
                <w:color w:val="000000"/>
                <w:sz w:val="20"/>
                <w:szCs w:val="20"/>
                <w:lang w:eastAsia="en-CA"/>
              </w:rPr>
            </w:pPr>
            <w:r w:rsidRPr="008D7AB4">
              <w:rPr>
                <w:bCs/>
                <w:color w:val="000000"/>
                <w:sz w:val="20"/>
                <w:szCs w:val="20"/>
                <w:lang w:eastAsia="en-CA"/>
              </w:rPr>
              <w:t>Fourth tranche</w:t>
            </w:r>
          </w:p>
        </w:tc>
        <w:tc>
          <w:tcPr>
            <w:tcW w:w="1137" w:type="dxa"/>
            <w:shd w:val="clear" w:color="auto" w:fill="auto"/>
            <w:noWrap/>
            <w:hideMark/>
          </w:tcPr>
          <w:p w14:paraId="4446CAB2" w14:textId="77777777" w:rsidR="00980BF0" w:rsidRPr="008D7AB4" w:rsidRDefault="00980BF0" w:rsidP="0013699E">
            <w:pPr>
              <w:rPr>
                <w:bCs/>
                <w:color w:val="000000"/>
                <w:sz w:val="20"/>
                <w:szCs w:val="20"/>
                <w:lang w:eastAsia="en-CA"/>
              </w:rPr>
            </w:pPr>
            <w:r w:rsidRPr="008D7AB4">
              <w:rPr>
                <w:bCs/>
                <w:color w:val="000000"/>
                <w:sz w:val="20"/>
                <w:szCs w:val="20"/>
                <w:lang w:eastAsia="en-CA"/>
              </w:rPr>
              <w:t>Approved</w:t>
            </w:r>
          </w:p>
        </w:tc>
        <w:tc>
          <w:tcPr>
            <w:tcW w:w="1270" w:type="dxa"/>
            <w:shd w:val="clear" w:color="auto" w:fill="auto"/>
            <w:noWrap/>
          </w:tcPr>
          <w:p w14:paraId="6ADAF3BD" w14:textId="77777777" w:rsidR="00980BF0" w:rsidRPr="008D7AB4" w:rsidRDefault="00980BF0" w:rsidP="0013699E">
            <w:pPr>
              <w:jc w:val="right"/>
              <w:rPr>
                <w:color w:val="000000"/>
                <w:sz w:val="20"/>
                <w:szCs w:val="20"/>
                <w:lang w:eastAsia="en-CA"/>
              </w:rPr>
            </w:pPr>
            <w:r w:rsidRPr="008D7AB4">
              <w:rPr>
                <w:color w:val="000000"/>
                <w:sz w:val="20"/>
                <w:szCs w:val="20"/>
                <w:lang w:eastAsia="en-CA"/>
              </w:rPr>
              <w:t>0</w:t>
            </w:r>
          </w:p>
        </w:tc>
        <w:tc>
          <w:tcPr>
            <w:tcW w:w="1275" w:type="dxa"/>
          </w:tcPr>
          <w:p w14:paraId="6CC59B22" w14:textId="77777777" w:rsidR="00980BF0" w:rsidRPr="008D7AB4" w:rsidRDefault="00980BF0" w:rsidP="0013699E">
            <w:pPr>
              <w:jc w:val="right"/>
              <w:rPr>
                <w:color w:val="000000"/>
                <w:sz w:val="20"/>
                <w:szCs w:val="20"/>
                <w:lang w:eastAsia="en-CA"/>
              </w:rPr>
            </w:pPr>
            <w:r w:rsidRPr="008D7AB4">
              <w:rPr>
                <w:color w:val="000000"/>
                <w:sz w:val="20"/>
                <w:szCs w:val="20"/>
                <w:lang w:eastAsia="en-CA"/>
              </w:rPr>
              <w:t>0</w:t>
            </w:r>
          </w:p>
        </w:tc>
        <w:tc>
          <w:tcPr>
            <w:tcW w:w="993" w:type="dxa"/>
          </w:tcPr>
          <w:p w14:paraId="73DD62C1" w14:textId="77777777" w:rsidR="00980BF0" w:rsidRPr="008D7AB4" w:rsidRDefault="00980BF0" w:rsidP="0013699E">
            <w:pPr>
              <w:jc w:val="right"/>
              <w:rPr>
                <w:color w:val="000000"/>
                <w:sz w:val="20"/>
                <w:szCs w:val="20"/>
                <w:lang w:eastAsia="en-CA"/>
              </w:rPr>
            </w:pPr>
            <w:r w:rsidRPr="008D7AB4">
              <w:rPr>
                <w:color w:val="000000"/>
                <w:sz w:val="20"/>
                <w:szCs w:val="20"/>
                <w:lang w:eastAsia="en-CA"/>
              </w:rPr>
              <w:t>1,004,545</w:t>
            </w:r>
          </w:p>
        </w:tc>
        <w:tc>
          <w:tcPr>
            <w:tcW w:w="850" w:type="dxa"/>
          </w:tcPr>
          <w:p w14:paraId="0F228C9D" w14:textId="77777777" w:rsidR="00980BF0" w:rsidRPr="008D7AB4" w:rsidRDefault="00980BF0" w:rsidP="0013699E">
            <w:pPr>
              <w:jc w:val="right"/>
              <w:rPr>
                <w:color w:val="000000"/>
                <w:sz w:val="20"/>
                <w:szCs w:val="20"/>
                <w:lang w:eastAsia="en-CA"/>
              </w:rPr>
            </w:pPr>
            <w:r w:rsidRPr="008D7AB4">
              <w:rPr>
                <w:color w:val="000000"/>
                <w:sz w:val="20"/>
                <w:szCs w:val="20"/>
                <w:lang w:eastAsia="en-CA"/>
              </w:rPr>
              <w:t>0</w:t>
            </w:r>
          </w:p>
        </w:tc>
        <w:tc>
          <w:tcPr>
            <w:tcW w:w="1134" w:type="dxa"/>
            <w:shd w:val="clear" w:color="auto" w:fill="auto"/>
            <w:noWrap/>
          </w:tcPr>
          <w:p w14:paraId="3B79184F" w14:textId="77777777" w:rsidR="00980BF0" w:rsidRPr="008D7AB4" w:rsidRDefault="00980BF0" w:rsidP="0013699E">
            <w:pPr>
              <w:jc w:val="right"/>
              <w:rPr>
                <w:b/>
                <w:color w:val="000000"/>
                <w:sz w:val="20"/>
                <w:szCs w:val="20"/>
                <w:lang w:eastAsia="en-CA"/>
              </w:rPr>
            </w:pPr>
            <w:r w:rsidRPr="008D7AB4">
              <w:rPr>
                <w:b/>
                <w:color w:val="000000"/>
                <w:sz w:val="20"/>
                <w:szCs w:val="20"/>
                <w:lang w:eastAsia="en-CA"/>
              </w:rPr>
              <w:t>1,004,545</w:t>
            </w:r>
          </w:p>
        </w:tc>
        <w:tc>
          <w:tcPr>
            <w:tcW w:w="1303" w:type="dxa"/>
            <w:vMerge w:val="restart"/>
            <w:shd w:val="clear" w:color="auto" w:fill="auto"/>
            <w:noWrap/>
            <w:vAlign w:val="center"/>
          </w:tcPr>
          <w:p w14:paraId="2FA66E29" w14:textId="77777777" w:rsidR="00980BF0" w:rsidRPr="008D7AB4" w:rsidRDefault="00980BF0" w:rsidP="0013699E">
            <w:pPr>
              <w:jc w:val="center"/>
              <w:rPr>
                <w:color w:val="000000"/>
                <w:sz w:val="20"/>
                <w:szCs w:val="20"/>
                <w:lang w:eastAsia="en-CA"/>
              </w:rPr>
            </w:pPr>
            <w:r w:rsidRPr="008D7AB4">
              <w:rPr>
                <w:color w:val="000000"/>
                <w:sz w:val="20"/>
                <w:szCs w:val="20"/>
                <w:lang w:eastAsia="en-CA"/>
              </w:rPr>
              <w:t>26</w:t>
            </w:r>
          </w:p>
        </w:tc>
      </w:tr>
      <w:tr w:rsidR="00980BF0" w:rsidRPr="008D7AB4" w14:paraId="111FFCB8" w14:textId="77777777" w:rsidTr="0013699E">
        <w:tc>
          <w:tcPr>
            <w:tcW w:w="1398" w:type="dxa"/>
            <w:vMerge/>
            <w:hideMark/>
          </w:tcPr>
          <w:p w14:paraId="1A418907" w14:textId="77777777" w:rsidR="00980BF0" w:rsidRPr="008D7AB4" w:rsidRDefault="00980BF0" w:rsidP="0013699E">
            <w:pPr>
              <w:jc w:val="left"/>
              <w:rPr>
                <w:bCs/>
                <w:color w:val="000000"/>
                <w:sz w:val="20"/>
                <w:szCs w:val="20"/>
                <w:lang w:eastAsia="en-CA"/>
              </w:rPr>
            </w:pPr>
          </w:p>
        </w:tc>
        <w:tc>
          <w:tcPr>
            <w:tcW w:w="1137" w:type="dxa"/>
            <w:shd w:val="clear" w:color="auto" w:fill="auto"/>
            <w:noWrap/>
            <w:hideMark/>
          </w:tcPr>
          <w:p w14:paraId="5F329580" w14:textId="77777777" w:rsidR="00980BF0" w:rsidRPr="008D7AB4" w:rsidRDefault="00980BF0" w:rsidP="0013699E">
            <w:pPr>
              <w:rPr>
                <w:bCs/>
                <w:color w:val="000000"/>
                <w:sz w:val="20"/>
                <w:szCs w:val="20"/>
                <w:lang w:eastAsia="en-CA"/>
              </w:rPr>
            </w:pPr>
            <w:r w:rsidRPr="008D7AB4">
              <w:rPr>
                <w:bCs/>
                <w:color w:val="000000"/>
                <w:sz w:val="20"/>
                <w:szCs w:val="20"/>
                <w:lang w:eastAsia="en-CA"/>
              </w:rPr>
              <w:t>Disbursed</w:t>
            </w:r>
          </w:p>
        </w:tc>
        <w:tc>
          <w:tcPr>
            <w:tcW w:w="1270" w:type="dxa"/>
            <w:shd w:val="clear" w:color="auto" w:fill="auto"/>
            <w:noWrap/>
          </w:tcPr>
          <w:p w14:paraId="329E460A" w14:textId="77777777" w:rsidR="00980BF0" w:rsidRPr="008D7AB4" w:rsidRDefault="00980BF0" w:rsidP="0013699E">
            <w:pPr>
              <w:jc w:val="right"/>
              <w:rPr>
                <w:color w:val="000000"/>
                <w:sz w:val="20"/>
                <w:szCs w:val="20"/>
                <w:lang w:eastAsia="en-CA"/>
              </w:rPr>
            </w:pPr>
            <w:r w:rsidRPr="008D7AB4">
              <w:rPr>
                <w:color w:val="000000"/>
                <w:sz w:val="20"/>
                <w:szCs w:val="20"/>
                <w:lang w:eastAsia="en-CA"/>
              </w:rPr>
              <w:t>0</w:t>
            </w:r>
          </w:p>
        </w:tc>
        <w:tc>
          <w:tcPr>
            <w:tcW w:w="1275" w:type="dxa"/>
          </w:tcPr>
          <w:p w14:paraId="7CF1AEBE" w14:textId="77777777" w:rsidR="00980BF0" w:rsidRPr="008D7AB4" w:rsidRDefault="00980BF0" w:rsidP="0013699E">
            <w:pPr>
              <w:jc w:val="right"/>
              <w:rPr>
                <w:color w:val="000000"/>
                <w:sz w:val="20"/>
                <w:szCs w:val="20"/>
                <w:lang w:eastAsia="en-CA"/>
              </w:rPr>
            </w:pPr>
            <w:r w:rsidRPr="008D7AB4">
              <w:rPr>
                <w:color w:val="000000"/>
                <w:sz w:val="20"/>
                <w:szCs w:val="20"/>
                <w:lang w:eastAsia="en-CA"/>
              </w:rPr>
              <w:t>0</w:t>
            </w:r>
          </w:p>
        </w:tc>
        <w:tc>
          <w:tcPr>
            <w:tcW w:w="993" w:type="dxa"/>
          </w:tcPr>
          <w:p w14:paraId="5EC9A94E" w14:textId="77777777" w:rsidR="00980BF0" w:rsidRPr="008D7AB4" w:rsidRDefault="00980BF0" w:rsidP="0013699E">
            <w:pPr>
              <w:jc w:val="right"/>
              <w:rPr>
                <w:color w:val="000000"/>
                <w:sz w:val="20"/>
                <w:szCs w:val="20"/>
                <w:lang w:eastAsia="en-CA"/>
              </w:rPr>
            </w:pPr>
            <w:r w:rsidRPr="008D7AB4">
              <w:rPr>
                <w:color w:val="000000"/>
                <w:sz w:val="20"/>
                <w:szCs w:val="20"/>
                <w:lang w:eastAsia="en-CA"/>
              </w:rPr>
              <w:t>260,400</w:t>
            </w:r>
          </w:p>
        </w:tc>
        <w:tc>
          <w:tcPr>
            <w:tcW w:w="850" w:type="dxa"/>
          </w:tcPr>
          <w:p w14:paraId="7970FFF5" w14:textId="77777777" w:rsidR="00980BF0" w:rsidRPr="008D7AB4" w:rsidRDefault="00980BF0" w:rsidP="0013699E">
            <w:pPr>
              <w:jc w:val="right"/>
              <w:rPr>
                <w:color w:val="000000"/>
                <w:sz w:val="20"/>
                <w:szCs w:val="20"/>
                <w:lang w:eastAsia="en-CA"/>
              </w:rPr>
            </w:pPr>
            <w:r w:rsidRPr="008D7AB4">
              <w:rPr>
                <w:color w:val="000000"/>
                <w:sz w:val="20"/>
                <w:szCs w:val="20"/>
                <w:lang w:eastAsia="en-CA"/>
              </w:rPr>
              <w:t>0</w:t>
            </w:r>
          </w:p>
        </w:tc>
        <w:tc>
          <w:tcPr>
            <w:tcW w:w="1134" w:type="dxa"/>
            <w:shd w:val="clear" w:color="auto" w:fill="auto"/>
            <w:noWrap/>
          </w:tcPr>
          <w:p w14:paraId="7F18460C" w14:textId="77777777" w:rsidR="00980BF0" w:rsidRPr="008D7AB4" w:rsidRDefault="00980BF0" w:rsidP="0013699E">
            <w:pPr>
              <w:jc w:val="right"/>
              <w:rPr>
                <w:b/>
                <w:color w:val="000000"/>
                <w:sz w:val="20"/>
                <w:szCs w:val="20"/>
                <w:lang w:eastAsia="en-CA"/>
              </w:rPr>
            </w:pPr>
            <w:r w:rsidRPr="008D7AB4">
              <w:rPr>
                <w:b/>
                <w:color w:val="000000"/>
                <w:sz w:val="20"/>
                <w:szCs w:val="20"/>
                <w:lang w:eastAsia="en-CA"/>
              </w:rPr>
              <w:t>260,400</w:t>
            </w:r>
          </w:p>
        </w:tc>
        <w:tc>
          <w:tcPr>
            <w:tcW w:w="1303" w:type="dxa"/>
            <w:vMerge/>
            <w:vAlign w:val="center"/>
          </w:tcPr>
          <w:p w14:paraId="614437DD" w14:textId="77777777" w:rsidR="00980BF0" w:rsidRPr="008D7AB4" w:rsidRDefault="00980BF0" w:rsidP="0013699E">
            <w:pPr>
              <w:jc w:val="center"/>
              <w:rPr>
                <w:color w:val="000000"/>
                <w:sz w:val="20"/>
                <w:szCs w:val="20"/>
                <w:lang w:eastAsia="en-CA"/>
              </w:rPr>
            </w:pPr>
          </w:p>
        </w:tc>
      </w:tr>
      <w:tr w:rsidR="00980BF0" w:rsidRPr="008D7AB4" w14:paraId="5B594827" w14:textId="77777777" w:rsidTr="0013699E">
        <w:tc>
          <w:tcPr>
            <w:tcW w:w="1398" w:type="dxa"/>
            <w:vMerge w:val="restart"/>
          </w:tcPr>
          <w:p w14:paraId="132ED3BF" w14:textId="77777777" w:rsidR="00980BF0" w:rsidRPr="008D7AB4" w:rsidRDefault="00980BF0" w:rsidP="0013699E">
            <w:pPr>
              <w:jc w:val="left"/>
              <w:rPr>
                <w:bCs/>
                <w:color w:val="000000"/>
                <w:sz w:val="20"/>
                <w:szCs w:val="20"/>
                <w:lang w:eastAsia="en-CA"/>
              </w:rPr>
            </w:pPr>
            <w:r w:rsidRPr="008D7AB4">
              <w:rPr>
                <w:bCs/>
                <w:color w:val="000000"/>
                <w:sz w:val="20"/>
                <w:szCs w:val="20"/>
                <w:lang w:eastAsia="en-CA"/>
              </w:rPr>
              <w:t>Fifth tranche</w:t>
            </w:r>
          </w:p>
        </w:tc>
        <w:tc>
          <w:tcPr>
            <w:tcW w:w="1137" w:type="dxa"/>
            <w:shd w:val="clear" w:color="auto" w:fill="auto"/>
            <w:noWrap/>
          </w:tcPr>
          <w:p w14:paraId="067E0302" w14:textId="77777777" w:rsidR="00980BF0" w:rsidRPr="008D7AB4" w:rsidRDefault="00980BF0" w:rsidP="0013699E">
            <w:pPr>
              <w:rPr>
                <w:bCs/>
                <w:color w:val="000000"/>
                <w:sz w:val="20"/>
                <w:szCs w:val="20"/>
                <w:lang w:eastAsia="en-CA"/>
              </w:rPr>
            </w:pPr>
            <w:r w:rsidRPr="008D7AB4">
              <w:rPr>
                <w:bCs/>
                <w:color w:val="000000"/>
                <w:sz w:val="20"/>
                <w:szCs w:val="20"/>
                <w:lang w:eastAsia="en-CA"/>
              </w:rPr>
              <w:t>Approved</w:t>
            </w:r>
          </w:p>
        </w:tc>
        <w:tc>
          <w:tcPr>
            <w:tcW w:w="1270" w:type="dxa"/>
            <w:shd w:val="clear" w:color="auto" w:fill="auto"/>
            <w:noWrap/>
          </w:tcPr>
          <w:p w14:paraId="2B46152E" w14:textId="77777777" w:rsidR="00980BF0" w:rsidRPr="008D7AB4" w:rsidRDefault="00980BF0" w:rsidP="0013699E">
            <w:pPr>
              <w:jc w:val="right"/>
              <w:rPr>
                <w:color w:val="000000"/>
                <w:sz w:val="20"/>
                <w:szCs w:val="20"/>
                <w:lang w:eastAsia="en-CA"/>
              </w:rPr>
            </w:pPr>
            <w:r w:rsidRPr="008D7AB4">
              <w:rPr>
                <w:color w:val="000000"/>
                <w:sz w:val="20"/>
                <w:szCs w:val="20"/>
                <w:lang w:eastAsia="en-CA"/>
              </w:rPr>
              <w:t>***1,400,000</w:t>
            </w:r>
          </w:p>
        </w:tc>
        <w:tc>
          <w:tcPr>
            <w:tcW w:w="1275" w:type="dxa"/>
          </w:tcPr>
          <w:p w14:paraId="3AA75B0E" w14:textId="77777777" w:rsidR="00980BF0" w:rsidRPr="008D7AB4" w:rsidRDefault="00980BF0" w:rsidP="0013699E">
            <w:pPr>
              <w:jc w:val="right"/>
              <w:rPr>
                <w:color w:val="000000"/>
                <w:sz w:val="20"/>
                <w:szCs w:val="20"/>
                <w:lang w:eastAsia="en-CA"/>
              </w:rPr>
            </w:pPr>
            <w:r w:rsidRPr="008D7AB4">
              <w:rPr>
                <w:color w:val="000000"/>
                <w:sz w:val="20"/>
                <w:szCs w:val="20"/>
                <w:lang w:eastAsia="en-CA"/>
              </w:rPr>
              <w:t>116,000</w:t>
            </w:r>
          </w:p>
        </w:tc>
        <w:tc>
          <w:tcPr>
            <w:tcW w:w="993" w:type="dxa"/>
          </w:tcPr>
          <w:p w14:paraId="415CFDA7" w14:textId="77777777" w:rsidR="00980BF0" w:rsidRPr="008D7AB4" w:rsidRDefault="00980BF0" w:rsidP="0013699E">
            <w:pPr>
              <w:jc w:val="right"/>
              <w:rPr>
                <w:color w:val="000000"/>
                <w:sz w:val="20"/>
                <w:szCs w:val="20"/>
                <w:lang w:eastAsia="en-CA"/>
              </w:rPr>
            </w:pPr>
            <w:r w:rsidRPr="008D7AB4">
              <w:rPr>
                <w:color w:val="000000"/>
                <w:sz w:val="20"/>
                <w:szCs w:val="20"/>
                <w:lang w:eastAsia="en-CA"/>
              </w:rPr>
              <w:t>1,500,000</w:t>
            </w:r>
          </w:p>
        </w:tc>
        <w:tc>
          <w:tcPr>
            <w:tcW w:w="850" w:type="dxa"/>
          </w:tcPr>
          <w:p w14:paraId="277BDA25" w14:textId="77777777" w:rsidR="00980BF0" w:rsidRPr="008D7AB4" w:rsidRDefault="00980BF0" w:rsidP="0013699E">
            <w:pPr>
              <w:jc w:val="right"/>
              <w:rPr>
                <w:color w:val="000000"/>
                <w:sz w:val="20"/>
                <w:szCs w:val="20"/>
                <w:lang w:eastAsia="en-CA"/>
              </w:rPr>
            </w:pPr>
            <w:r w:rsidRPr="008D7AB4">
              <w:rPr>
                <w:color w:val="000000"/>
                <w:sz w:val="20"/>
                <w:szCs w:val="20"/>
                <w:lang w:eastAsia="en-CA"/>
              </w:rPr>
              <w:t>0</w:t>
            </w:r>
          </w:p>
        </w:tc>
        <w:tc>
          <w:tcPr>
            <w:tcW w:w="1134" w:type="dxa"/>
            <w:shd w:val="clear" w:color="auto" w:fill="auto"/>
            <w:noWrap/>
          </w:tcPr>
          <w:p w14:paraId="556C7530" w14:textId="77777777" w:rsidR="00980BF0" w:rsidRPr="008D7AB4" w:rsidRDefault="00980BF0" w:rsidP="0013699E">
            <w:pPr>
              <w:jc w:val="right"/>
              <w:rPr>
                <w:b/>
                <w:color w:val="000000"/>
                <w:sz w:val="20"/>
                <w:szCs w:val="20"/>
                <w:lang w:eastAsia="en-CA"/>
              </w:rPr>
            </w:pPr>
            <w:r w:rsidRPr="008D7AB4">
              <w:rPr>
                <w:b/>
                <w:color w:val="000000"/>
                <w:sz w:val="20"/>
                <w:szCs w:val="20"/>
                <w:lang w:eastAsia="en-CA"/>
              </w:rPr>
              <w:t>3,016,000</w:t>
            </w:r>
          </w:p>
        </w:tc>
        <w:tc>
          <w:tcPr>
            <w:tcW w:w="1303" w:type="dxa"/>
            <w:vMerge w:val="restart"/>
            <w:vAlign w:val="center"/>
          </w:tcPr>
          <w:p w14:paraId="3CD891AC" w14:textId="77777777" w:rsidR="00980BF0" w:rsidRPr="008D7AB4" w:rsidRDefault="00980BF0" w:rsidP="0013699E">
            <w:pPr>
              <w:jc w:val="center"/>
              <w:rPr>
                <w:color w:val="000000"/>
                <w:sz w:val="20"/>
                <w:szCs w:val="20"/>
                <w:lang w:eastAsia="en-CA"/>
              </w:rPr>
            </w:pPr>
            <w:r w:rsidRPr="008D7AB4">
              <w:rPr>
                <w:color w:val="000000"/>
                <w:sz w:val="20"/>
                <w:szCs w:val="20"/>
                <w:lang w:eastAsia="en-CA"/>
              </w:rPr>
              <w:t>9</w:t>
            </w:r>
          </w:p>
        </w:tc>
      </w:tr>
      <w:tr w:rsidR="00980BF0" w:rsidRPr="008D7AB4" w14:paraId="7381919A" w14:textId="77777777" w:rsidTr="0013699E">
        <w:tc>
          <w:tcPr>
            <w:tcW w:w="1398" w:type="dxa"/>
            <w:vMerge/>
          </w:tcPr>
          <w:p w14:paraId="0B31E3C0" w14:textId="77777777" w:rsidR="00980BF0" w:rsidRPr="008D7AB4" w:rsidRDefault="00980BF0" w:rsidP="0013699E">
            <w:pPr>
              <w:jc w:val="left"/>
              <w:rPr>
                <w:bCs/>
                <w:color w:val="000000"/>
                <w:sz w:val="20"/>
                <w:szCs w:val="20"/>
                <w:lang w:eastAsia="en-CA"/>
              </w:rPr>
            </w:pPr>
          </w:p>
        </w:tc>
        <w:tc>
          <w:tcPr>
            <w:tcW w:w="1137" w:type="dxa"/>
            <w:shd w:val="clear" w:color="auto" w:fill="auto"/>
            <w:noWrap/>
          </w:tcPr>
          <w:p w14:paraId="13FAFF97" w14:textId="77777777" w:rsidR="00980BF0" w:rsidRPr="008D7AB4" w:rsidRDefault="00980BF0" w:rsidP="0013699E">
            <w:pPr>
              <w:rPr>
                <w:bCs/>
                <w:color w:val="000000"/>
                <w:sz w:val="20"/>
                <w:szCs w:val="20"/>
                <w:lang w:eastAsia="en-CA"/>
              </w:rPr>
            </w:pPr>
            <w:r w:rsidRPr="008D7AB4">
              <w:rPr>
                <w:bCs/>
                <w:color w:val="000000"/>
                <w:sz w:val="20"/>
                <w:szCs w:val="20"/>
                <w:lang w:eastAsia="en-CA"/>
              </w:rPr>
              <w:t>Disbursed</w:t>
            </w:r>
          </w:p>
        </w:tc>
        <w:tc>
          <w:tcPr>
            <w:tcW w:w="1270" w:type="dxa"/>
            <w:shd w:val="clear" w:color="auto" w:fill="auto"/>
            <w:noWrap/>
          </w:tcPr>
          <w:p w14:paraId="1F2BF83C" w14:textId="77777777" w:rsidR="00980BF0" w:rsidRPr="008D7AB4" w:rsidRDefault="00980BF0" w:rsidP="0013699E">
            <w:pPr>
              <w:jc w:val="right"/>
              <w:rPr>
                <w:color w:val="000000"/>
                <w:sz w:val="20"/>
                <w:szCs w:val="20"/>
                <w:lang w:eastAsia="en-CA"/>
              </w:rPr>
            </w:pPr>
            <w:r w:rsidRPr="008D7AB4">
              <w:rPr>
                <w:color w:val="000000"/>
                <w:sz w:val="20"/>
                <w:szCs w:val="20"/>
                <w:lang w:eastAsia="en-CA"/>
              </w:rPr>
              <w:t>92,708</w:t>
            </w:r>
          </w:p>
        </w:tc>
        <w:tc>
          <w:tcPr>
            <w:tcW w:w="1275" w:type="dxa"/>
          </w:tcPr>
          <w:p w14:paraId="74DEC7FF" w14:textId="77777777" w:rsidR="00980BF0" w:rsidRPr="008D7AB4" w:rsidRDefault="00980BF0" w:rsidP="0013699E">
            <w:pPr>
              <w:jc w:val="right"/>
              <w:rPr>
                <w:color w:val="000000"/>
                <w:sz w:val="20"/>
                <w:szCs w:val="20"/>
                <w:lang w:eastAsia="en-CA"/>
              </w:rPr>
            </w:pPr>
            <w:r w:rsidRPr="008D7AB4">
              <w:rPr>
                <w:color w:val="000000"/>
                <w:sz w:val="20"/>
                <w:szCs w:val="20"/>
                <w:lang w:eastAsia="en-CA"/>
              </w:rPr>
              <w:t>0</w:t>
            </w:r>
          </w:p>
        </w:tc>
        <w:tc>
          <w:tcPr>
            <w:tcW w:w="993" w:type="dxa"/>
          </w:tcPr>
          <w:p w14:paraId="21AB764D" w14:textId="77777777" w:rsidR="00980BF0" w:rsidRPr="008D7AB4" w:rsidRDefault="00980BF0" w:rsidP="0013699E">
            <w:pPr>
              <w:jc w:val="right"/>
              <w:rPr>
                <w:color w:val="000000"/>
                <w:sz w:val="20"/>
                <w:szCs w:val="20"/>
                <w:lang w:eastAsia="en-CA"/>
              </w:rPr>
            </w:pPr>
            <w:r w:rsidRPr="008D7AB4">
              <w:rPr>
                <w:color w:val="000000"/>
                <w:sz w:val="20"/>
                <w:szCs w:val="20"/>
                <w:lang w:eastAsia="en-CA"/>
              </w:rPr>
              <w:t>188,032</w:t>
            </w:r>
          </w:p>
        </w:tc>
        <w:tc>
          <w:tcPr>
            <w:tcW w:w="850" w:type="dxa"/>
          </w:tcPr>
          <w:p w14:paraId="49E63AC5" w14:textId="77777777" w:rsidR="00980BF0" w:rsidRPr="008D7AB4" w:rsidRDefault="00980BF0" w:rsidP="0013699E">
            <w:pPr>
              <w:jc w:val="right"/>
              <w:rPr>
                <w:color w:val="000000"/>
                <w:sz w:val="20"/>
                <w:szCs w:val="20"/>
                <w:lang w:eastAsia="en-CA"/>
              </w:rPr>
            </w:pPr>
            <w:r w:rsidRPr="008D7AB4">
              <w:rPr>
                <w:color w:val="000000"/>
                <w:sz w:val="20"/>
                <w:szCs w:val="20"/>
                <w:lang w:eastAsia="en-CA"/>
              </w:rPr>
              <w:t>0</w:t>
            </w:r>
          </w:p>
        </w:tc>
        <w:tc>
          <w:tcPr>
            <w:tcW w:w="1134" w:type="dxa"/>
            <w:shd w:val="clear" w:color="auto" w:fill="auto"/>
            <w:noWrap/>
          </w:tcPr>
          <w:p w14:paraId="20696665" w14:textId="77777777" w:rsidR="00980BF0" w:rsidRPr="008D7AB4" w:rsidRDefault="00980BF0" w:rsidP="0013699E">
            <w:pPr>
              <w:jc w:val="right"/>
              <w:rPr>
                <w:b/>
                <w:color w:val="000000"/>
                <w:sz w:val="20"/>
                <w:szCs w:val="20"/>
                <w:lang w:eastAsia="en-CA"/>
              </w:rPr>
            </w:pPr>
            <w:r w:rsidRPr="008D7AB4">
              <w:rPr>
                <w:b/>
                <w:color w:val="000000"/>
                <w:sz w:val="20"/>
                <w:szCs w:val="20"/>
                <w:lang w:eastAsia="en-CA"/>
              </w:rPr>
              <w:t>280,740</w:t>
            </w:r>
          </w:p>
        </w:tc>
        <w:tc>
          <w:tcPr>
            <w:tcW w:w="1303" w:type="dxa"/>
            <w:vMerge/>
            <w:vAlign w:val="center"/>
          </w:tcPr>
          <w:p w14:paraId="0689E778" w14:textId="77777777" w:rsidR="00980BF0" w:rsidRPr="008D7AB4" w:rsidRDefault="00980BF0" w:rsidP="0013699E">
            <w:pPr>
              <w:jc w:val="center"/>
              <w:rPr>
                <w:color w:val="000000"/>
                <w:sz w:val="20"/>
                <w:szCs w:val="20"/>
                <w:lang w:eastAsia="en-CA"/>
              </w:rPr>
            </w:pPr>
          </w:p>
        </w:tc>
      </w:tr>
      <w:tr w:rsidR="00980BF0" w:rsidRPr="008D7AB4" w14:paraId="2D31AAAB" w14:textId="77777777" w:rsidTr="0013699E">
        <w:tc>
          <w:tcPr>
            <w:tcW w:w="1398" w:type="dxa"/>
            <w:vMerge w:val="restart"/>
            <w:shd w:val="clear" w:color="auto" w:fill="auto"/>
            <w:hideMark/>
          </w:tcPr>
          <w:p w14:paraId="4CBBA4D3" w14:textId="77777777" w:rsidR="00980BF0" w:rsidRPr="008D7AB4" w:rsidRDefault="00980BF0" w:rsidP="0013699E">
            <w:pPr>
              <w:jc w:val="left"/>
              <w:rPr>
                <w:b/>
                <w:bCs/>
                <w:color w:val="000000"/>
                <w:sz w:val="20"/>
                <w:szCs w:val="20"/>
                <w:lang w:eastAsia="en-CA"/>
              </w:rPr>
            </w:pPr>
            <w:r w:rsidRPr="008D7AB4">
              <w:rPr>
                <w:b/>
                <w:bCs/>
                <w:color w:val="000000"/>
                <w:sz w:val="20"/>
                <w:szCs w:val="20"/>
                <w:lang w:eastAsia="en-CA"/>
              </w:rPr>
              <w:t>Total</w:t>
            </w:r>
          </w:p>
        </w:tc>
        <w:tc>
          <w:tcPr>
            <w:tcW w:w="1137" w:type="dxa"/>
            <w:shd w:val="clear" w:color="auto" w:fill="auto"/>
            <w:hideMark/>
          </w:tcPr>
          <w:p w14:paraId="55AF1170" w14:textId="77777777" w:rsidR="00980BF0" w:rsidRPr="008D7AB4" w:rsidRDefault="00980BF0" w:rsidP="0013699E">
            <w:pPr>
              <w:rPr>
                <w:b/>
                <w:bCs/>
                <w:color w:val="000000"/>
                <w:sz w:val="20"/>
                <w:szCs w:val="20"/>
                <w:lang w:eastAsia="en-CA"/>
              </w:rPr>
            </w:pPr>
            <w:r w:rsidRPr="008D7AB4">
              <w:rPr>
                <w:b/>
                <w:bCs/>
                <w:color w:val="000000"/>
                <w:sz w:val="20"/>
                <w:szCs w:val="20"/>
                <w:lang w:eastAsia="en-CA"/>
              </w:rPr>
              <w:t>Approved</w:t>
            </w:r>
          </w:p>
        </w:tc>
        <w:tc>
          <w:tcPr>
            <w:tcW w:w="1270" w:type="dxa"/>
            <w:shd w:val="clear" w:color="auto" w:fill="auto"/>
          </w:tcPr>
          <w:p w14:paraId="383CC6E9" w14:textId="77777777" w:rsidR="00980BF0" w:rsidRPr="008D7AB4" w:rsidRDefault="00980BF0" w:rsidP="0013699E">
            <w:pPr>
              <w:jc w:val="right"/>
              <w:rPr>
                <w:b/>
                <w:color w:val="000000"/>
                <w:sz w:val="20"/>
                <w:szCs w:val="20"/>
                <w:lang w:eastAsia="en-CA"/>
              </w:rPr>
            </w:pPr>
            <w:r w:rsidRPr="008D7AB4">
              <w:rPr>
                <w:b/>
                <w:color w:val="000000"/>
                <w:sz w:val="20"/>
                <w:szCs w:val="20"/>
                <w:lang w:eastAsia="en-CA"/>
              </w:rPr>
              <w:t>14,275,000</w:t>
            </w:r>
          </w:p>
        </w:tc>
        <w:tc>
          <w:tcPr>
            <w:tcW w:w="1275" w:type="dxa"/>
          </w:tcPr>
          <w:p w14:paraId="0EA7AE97" w14:textId="77777777" w:rsidR="00980BF0" w:rsidRPr="008D7AB4" w:rsidRDefault="00980BF0" w:rsidP="0013699E">
            <w:pPr>
              <w:jc w:val="right"/>
              <w:rPr>
                <w:b/>
                <w:color w:val="000000"/>
                <w:sz w:val="20"/>
                <w:szCs w:val="20"/>
                <w:lang w:eastAsia="en-CA"/>
              </w:rPr>
            </w:pPr>
            <w:r w:rsidRPr="008D7AB4">
              <w:rPr>
                <w:b/>
                <w:sz w:val="20"/>
                <w:szCs w:val="20"/>
              </w:rPr>
              <w:t>3,767,128</w:t>
            </w:r>
          </w:p>
        </w:tc>
        <w:tc>
          <w:tcPr>
            <w:tcW w:w="993" w:type="dxa"/>
          </w:tcPr>
          <w:p w14:paraId="51E19771" w14:textId="77777777" w:rsidR="00980BF0" w:rsidRPr="008D7AB4" w:rsidRDefault="00980BF0" w:rsidP="0013699E">
            <w:pPr>
              <w:jc w:val="right"/>
              <w:rPr>
                <w:b/>
                <w:color w:val="000000"/>
                <w:sz w:val="20"/>
                <w:szCs w:val="20"/>
                <w:lang w:eastAsia="en-CA"/>
              </w:rPr>
            </w:pPr>
            <w:r w:rsidRPr="008D7AB4">
              <w:rPr>
                <w:b/>
                <w:color w:val="000000"/>
                <w:sz w:val="20"/>
                <w:szCs w:val="20"/>
                <w:lang w:eastAsia="en-CA"/>
              </w:rPr>
              <w:t>6,854,546</w:t>
            </w:r>
          </w:p>
        </w:tc>
        <w:tc>
          <w:tcPr>
            <w:tcW w:w="850" w:type="dxa"/>
          </w:tcPr>
          <w:p w14:paraId="567BB9EB" w14:textId="77777777" w:rsidR="00980BF0" w:rsidRPr="008D7AB4" w:rsidRDefault="00980BF0" w:rsidP="0013699E">
            <w:pPr>
              <w:jc w:val="right"/>
              <w:rPr>
                <w:b/>
                <w:sz w:val="20"/>
                <w:szCs w:val="20"/>
              </w:rPr>
            </w:pPr>
            <w:r w:rsidRPr="008D7AB4">
              <w:rPr>
                <w:b/>
                <w:sz w:val="20"/>
                <w:szCs w:val="20"/>
              </w:rPr>
              <w:t>250,000</w:t>
            </w:r>
          </w:p>
        </w:tc>
        <w:tc>
          <w:tcPr>
            <w:tcW w:w="1134" w:type="dxa"/>
            <w:shd w:val="clear" w:color="auto" w:fill="auto"/>
          </w:tcPr>
          <w:p w14:paraId="63984D7A" w14:textId="77777777" w:rsidR="00980BF0" w:rsidRPr="008D7AB4" w:rsidRDefault="00980BF0" w:rsidP="0013699E">
            <w:pPr>
              <w:jc w:val="right"/>
              <w:rPr>
                <w:b/>
                <w:color w:val="000000"/>
                <w:sz w:val="20"/>
                <w:szCs w:val="20"/>
                <w:lang w:eastAsia="en-CA"/>
              </w:rPr>
            </w:pPr>
            <w:r w:rsidRPr="008D7AB4">
              <w:rPr>
                <w:b/>
                <w:color w:val="000000"/>
                <w:sz w:val="20"/>
                <w:szCs w:val="20"/>
                <w:lang w:eastAsia="en-CA"/>
              </w:rPr>
              <w:t>25,146,674</w:t>
            </w:r>
          </w:p>
        </w:tc>
        <w:tc>
          <w:tcPr>
            <w:tcW w:w="1303" w:type="dxa"/>
            <w:vMerge w:val="restart"/>
            <w:shd w:val="clear" w:color="auto" w:fill="auto"/>
            <w:vAlign w:val="center"/>
          </w:tcPr>
          <w:p w14:paraId="64E12ABE" w14:textId="77777777" w:rsidR="00980BF0" w:rsidRPr="008D7AB4" w:rsidRDefault="00980BF0" w:rsidP="0013699E">
            <w:pPr>
              <w:jc w:val="center"/>
              <w:rPr>
                <w:b/>
                <w:color w:val="000000"/>
                <w:sz w:val="20"/>
                <w:szCs w:val="20"/>
                <w:lang w:eastAsia="en-CA"/>
              </w:rPr>
            </w:pPr>
            <w:r w:rsidRPr="008D7AB4">
              <w:rPr>
                <w:b/>
                <w:color w:val="000000"/>
                <w:sz w:val="20"/>
                <w:szCs w:val="20"/>
                <w:lang w:eastAsia="en-CA"/>
              </w:rPr>
              <w:t>61</w:t>
            </w:r>
          </w:p>
        </w:tc>
      </w:tr>
      <w:tr w:rsidR="00980BF0" w:rsidRPr="008D7AB4" w14:paraId="32CFAAEF" w14:textId="77777777" w:rsidTr="0013699E">
        <w:tc>
          <w:tcPr>
            <w:tcW w:w="1398" w:type="dxa"/>
            <w:vMerge/>
            <w:shd w:val="clear" w:color="auto" w:fill="auto"/>
          </w:tcPr>
          <w:p w14:paraId="656D2E52" w14:textId="77777777" w:rsidR="00980BF0" w:rsidRPr="008D7AB4" w:rsidRDefault="00980BF0" w:rsidP="0013699E">
            <w:pPr>
              <w:jc w:val="left"/>
              <w:rPr>
                <w:b/>
                <w:bCs/>
                <w:color w:val="000000"/>
                <w:sz w:val="20"/>
                <w:szCs w:val="20"/>
                <w:lang w:eastAsia="en-CA"/>
              </w:rPr>
            </w:pPr>
          </w:p>
        </w:tc>
        <w:tc>
          <w:tcPr>
            <w:tcW w:w="1137" w:type="dxa"/>
            <w:shd w:val="clear" w:color="auto" w:fill="auto"/>
          </w:tcPr>
          <w:p w14:paraId="2896F594" w14:textId="77777777" w:rsidR="00980BF0" w:rsidRPr="008D7AB4" w:rsidRDefault="00980BF0" w:rsidP="0013699E">
            <w:pPr>
              <w:rPr>
                <w:b/>
                <w:bCs/>
                <w:color w:val="000000"/>
                <w:sz w:val="20"/>
                <w:szCs w:val="20"/>
                <w:lang w:eastAsia="en-CA"/>
              </w:rPr>
            </w:pPr>
            <w:r w:rsidRPr="008D7AB4">
              <w:rPr>
                <w:b/>
                <w:bCs/>
                <w:color w:val="000000"/>
                <w:sz w:val="20"/>
                <w:szCs w:val="20"/>
                <w:lang w:eastAsia="en-CA"/>
              </w:rPr>
              <w:t>Disbursed</w:t>
            </w:r>
          </w:p>
        </w:tc>
        <w:tc>
          <w:tcPr>
            <w:tcW w:w="1270" w:type="dxa"/>
            <w:shd w:val="clear" w:color="auto" w:fill="auto"/>
          </w:tcPr>
          <w:p w14:paraId="4257F6EC" w14:textId="77777777" w:rsidR="00980BF0" w:rsidRPr="008D7AB4" w:rsidRDefault="00980BF0" w:rsidP="0013699E">
            <w:pPr>
              <w:jc w:val="right"/>
              <w:rPr>
                <w:b/>
                <w:color w:val="000000"/>
                <w:sz w:val="20"/>
                <w:szCs w:val="20"/>
                <w:lang w:eastAsia="en-CA"/>
              </w:rPr>
            </w:pPr>
            <w:r w:rsidRPr="008D7AB4">
              <w:rPr>
                <w:b/>
                <w:color w:val="000000"/>
                <w:sz w:val="20"/>
                <w:szCs w:val="20"/>
                <w:lang w:eastAsia="en-CA"/>
              </w:rPr>
              <w:t>9,220,937</w:t>
            </w:r>
          </w:p>
        </w:tc>
        <w:tc>
          <w:tcPr>
            <w:tcW w:w="1275" w:type="dxa"/>
          </w:tcPr>
          <w:p w14:paraId="43A89280" w14:textId="77777777" w:rsidR="00980BF0" w:rsidRPr="008D7AB4" w:rsidRDefault="00980BF0" w:rsidP="0013699E">
            <w:pPr>
              <w:jc w:val="right"/>
              <w:rPr>
                <w:b/>
                <w:color w:val="000000"/>
                <w:sz w:val="20"/>
                <w:szCs w:val="20"/>
                <w:lang w:eastAsia="en-CA"/>
              </w:rPr>
            </w:pPr>
            <w:r w:rsidRPr="008D7AB4">
              <w:rPr>
                <w:b/>
                <w:color w:val="000000"/>
                <w:sz w:val="20"/>
                <w:szCs w:val="20"/>
                <w:lang w:eastAsia="en-CA"/>
              </w:rPr>
              <w:t>2,494,554</w:t>
            </w:r>
          </w:p>
        </w:tc>
        <w:tc>
          <w:tcPr>
            <w:tcW w:w="993" w:type="dxa"/>
          </w:tcPr>
          <w:p w14:paraId="35091F61" w14:textId="77777777" w:rsidR="00980BF0" w:rsidRPr="008D7AB4" w:rsidRDefault="00980BF0" w:rsidP="0013699E">
            <w:pPr>
              <w:jc w:val="right"/>
              <w:rPr>
                <w:b/>
                <w:color w:val="000000"/>
                <w:sz w:val="20"/>
                <w:szCs w:val="20"/>
                <w:lang w:eastAsia="en-CA"/>
              </w:rPr>
            </w:pPr>
            <w:r w:rsidRPr="008D7AB4">
              <w:rPr>
                <w:b/>
                <w:color w:val="000000"/>
                <w:sz w:val="20"/>
                <w:szCs w:val="20"/>
                <w:lang w:eastAsia="en-CA"/>
              </w:rPr>
              <w:t>3,427,316</w:t>
            </w:r>
          </w:p>
        </w:tc>
        <w:tc>
          <w:tcPr>
            <w:tcW w:w="850" w:type="dxa"/>
          </w:tcPr>
          <w:p w14:paraId="3A058EC6" w14:textId="77777777" w:rsidR="00980BF0" w:rsidRPr="008D7AB4" w:rsidRDefault="00980BF0" w:rsidP="0013699E">
            <w:pPr>
              <w:jc w:val="right"/>
              <w:rPr>
                <w:b/>
                <w:sz w:val="20"/>
                <w:szCs w:val="20"/>
              </w:rPr>
            </w:pPr>
            <w:r w:rsidRPr="008D7AB4">
              <w:rPr>
                <w:b/>
                <w:sz w:val="20"/>
                <w:szCs w:val="20"/>
              </w:rPr>
              <w:t>250,000</w:t>
            </w:r>
          </w:p>
        </w:tc>
        <w:tc>
          <w:tcPr>
            <w:tcW w:w="1134" w:type="dxa"/>
            <w:shd w:val="clear" w:color="auto" w:fill="auto"/>
          </w:tcPr>
          <w:p w14:paraId="02432729" w14:textId="77777777" w:rsidR="00980BF0" w:rsidRPr="008D7AB4" w:rsidRDefault="00980BF0" w:rsidP="0013699E">
            <w:pPr>
              <w:jc w:val="right"/>
              <w:rPr>
                <w:b/>
                <w:color w:val="000000"/>
                <w:sz w:val="20"/>
                <w:szCs w:val="20"/>
                <w:lang w:eastAsia="en-CA"/>
              </w:rPr>
            </w:pPr>
            <w:r w:rsidRPr="008D7AB4">
              <w:rPr>
                <w:b/>
                <w:color w:val="000000"/>
                <w:sz w:val="20"/>
                <w:szCs w:val="20"/>
                <w:lang w:eastAsia="en-CA"/>
              </w:rPr>
              <w:t>15,392,807</w:t>
            </w:r>
          </w:p>
        </w:tc>
        <w:tc>
          <w:tcPr>
            <w:tcW w:w="1303" w:type="dxa"/>
            <w:vMerge/>
            <w:shd w:val="clear" w:color="auto" w:fill="auto"/>
          </w:tcPr>
          <w:p w14:paraId="65421294" w14:textId="77777777" w:rsidR="00980BF0" w:rsidRPr="008D7AB4" w:rsidRDefault="00980BF0" w:rsidP="0013699E">
            <w:pPr>
              <w:jc w:val="center"/>
              <w:rPr>
                <w:color w:val="000000"/>
                <w:sz w:val="20"/>
                <w:szCs w:val="20"/>
                <w:lang w:eastAsia="en-CA"/>
              </w:rPr>
            </w:pPr>
          </w:p>
        </w:tc>
      </w:tr>
      <w:tr w:rsidR="00980BF0" w:rsidRPr="008D7AB4" w14:paraId="447101FB" w14:textId="77777777" w:rsidTr="0013699E">
        <w:tc>
          <w:tcPr>
            <w:tcW w:w="1398" w:type="dxa"/>
            <w:shd w:val="clear" w:color="auto" w:fill="auto"/>
          </w:tcPr>
          <w:p w14:paraId="63DD6445" w14:textId="77777777" w:rsidR="00980BF0" w:rsidRPr="008D7AB4" w:rsidRDefault="00980BF0" w:rsidP="0013699E">
            <w:pPr>
              <w:jc w:val="left"/>
              <w:rPr>
                <w:color w:val="000000"/>
                <w:sz w:val="20"/>
                <w:szCs w:val="20"/>
                <w:lang w:eastAsia="en-CA"/>
              </w:rPr>
            </w:pPr>
            <w:r w:rsidRPr="008D7AB4">
              <w:rPr>
                <w:color w:val="000000"/>
                <w:sz w:val="20"/>
                <w:szCs w:val="20"/>
                <w:lang w:eastAsia="en-CA"/>
              </w:rPr>
              <w:t>Balance</w:t>
            </w:r>
          </w:p>
        </w:tc>
        <w:tc>
          <w:tcPr>
            <w:tcW w:w="1137" w:type="dxa"/>
            <w:shd w:val="clear" w:color="auto" w:fill="auto"/>
          </w:tcPr>
          <w:p w14:paraId="3F5C95EA" w14:textId="77777777" w:rsidR="00980BF0" w:rsidRPr="008D7AB4" w:rsidRDefault="00980BF0" w:rsidP="0013699E">
            <w:pPr>
              <w:rPr>
                <w:color w:val="000000"/>
                <w:sz w:val="20"/>
                <w:szCs w:val="20"/>
                <w:lang w:eastAsia="en-CA"/>
              </w:rPr>
            </w:pPr>
          </w:p>
        </w:tc>
        <w:tc>
          <w:tcPr>
            <w:tcW w:w="1270" w:type="dxa"/>
            <w:shd w:val="clear" w:color="auto" w:fill="auto"/>
          </w:tcPr>
          <w:p w14:paraId="5DF00C98" w14:textId="77777777" w:rsidR="00980BF0" w:rsidRPr="008D7AB4" w:rsidRDefault="00980BF0" w:rsidP="0013699E">
            <w:pPr>
              <w:jc w:val="right"/>
              <w:rPr>
                <w:color w:val="000000"/>
                <w:sz w:val="20"/>
                <w:szCs w:val="20"/>
                <w:lang w:eastAsia="en-CA"/>
              </w:rPr>
            </w:pPr>
            <w:r w:rsidRPr="008D7AB4">
              <w:rPr>
                <w:color w:val="000000"/>
                <w:sz w:val="20"/>
                <w:szCs w:val="20"/>
                <w:lang w:eastAsia="en-CA"/>
              </w:rPr>
              <w:t>5,054,063</w:t>
            </w:r>
          </w:p>
        </w:tc>
        <w:tc>
          <w:tcPr>
            <w:tcW w:w="1275" w:type="dxa"/>
          </w:tcPr>
          <w:p w14:paraId="5D201436" w14:textId="77777777" w:rsidR="00980BF0" w:rsidRPr="008D7AB4" w:rsidRDefault="00980BF0" w:rsidP="0013699E">
            <w:pPr>
              <w:jc w:val="right"/>
              <w:rPr>
                <w:color w:val="000000"/>
                <w:sz w:val="20"/>
                <w:szCs w:val="20"/>
                <w:lang w:eastAsia="en-CA"/>
              </w:rPr>
            </w:pPr>
            <w:r w:rsidRPr="008D7AB4">
              <w:rPr>
                <w:color w:val="000000"/>
                <w:sz w:val="20"/>
                <w:szCs w:val="20"/>
                <w:lang w:eastAsia="en-CA"/>
              </w:rPr>
              <w:t>1,272,574</w:t>
            </w:r>
          </w:p>
        </w:tc>
        <w:tc>
          <w:tcPr>
            <w:tcW w:w="993" w:type="dxa"/>
          </w:tcPr>
          <w:p w14:paraId="32B43229" w14:textId="77777777" w:rsidR="00980BF0" w:rsidRPr="008D7AB4" w:rsidRDefault="00980BF0" w:rsidP="0013699E">
            <w:pPr>
              <w:jc w:val="right"/>
              <w:rPr>
                <w:color w:val="000000"/>
                <w:sz w:val="20"/>
                <w:szCs w:val="20"/>
                <w:lang w:eastAsia="en-CA"/>
              </w:rPr>
            </w:pPr>
            <w:r w:rsidRPr="008D7AB4">
              <w:rPr>
                <w:color w:val="000000"/>
                <w:sz w:val="20"/>
                <w:szCs w:val="20"/>
                <w:lang w:eastAsia="en-CA"/>
              </w:rPr>
              <w:t>3,427,230</w:t>
            </w:r>
          </w:p>
        </w:tc>
        <w:tc>
          <w:tcPr>
            <w:tcW w:w="850" w:type="dxa"/>
          </w:tcPr>
          <w:p w14:paraId="45F520DE" w14:textId="77777777" w:rsidR="00980BF0" w:rsidRPr="008D7AB4" w:rsidRDefault="00980BF0" w:rsidP="0013699E">
            <w:pPr>
              <w:jc w:val="right"/>
              <w:rPr>
                <w:sz w:val="20"/>
                <w:szCs w:val="20"/>
              </w:rPr>
            </w:pPr>
            <w:r w:rsidRPr="008D7AB4">
              <w:rPr>
                <w:sz w:val="20"/>
                <w:szCs w:val="20"/>
              </w:rPr>
              <w:t>0</w:t>
            </w:r>
          </w:p>
        </w:tc>
        <w:tc>
          <w:tcPr>
            <w:tcW w:w="1134" w:type="dxa"/>
            <w:shd w:val="clear" w:color="auto" w:fill="auto"/>
          </w:tcPr>
          <w:p w14:paraId="67FAB38C" w14:textId="77777777" w:rsidR="00980BF0" w:rsidRPr="008D7AB4" w:rsidRDefault="00980BF0" w:rsidP="0013699E">
            <w:pPr>
              <w:jc w:val="right"/>
              <w:rPr>
                <w:color w:val="000000"/>
                <w:sz w:val="20"/>
                <w:szCs w:val="20"/>
                <w:lang w:eastAsia="en-CA"/>
              </w:rPr>
            </w:pPr>
            <w:r w:rsidRPr="008D7AB4">
              <w:rPr>
                <w:color w:val="000000"/>
                <w:sz w:val="20"/>
                <w:szCs w:val="20"/>
                <w:lang w:eastAsia="en-CA"/>
              </w:rPr>
              <w:t>9,753,867</w:t>
            </w:r>
          </w:p>
        </w:tc>
        <w:tc>
          <w:tcPr>
            <w:tcW w:w="1303" w:type="dxa"/>
            <w:shd w:val="clear" w:color="auto" w:fill="auto"/>
          </w:tcPr>
          <w:p w14:paraId="17C6E5F7" w14:textId="77777777" w:rsidR="00980BF0" w:rsidRPr="008D7AB4" w:rsidRDefault="00980BF0" w:rsidP="0013699E">
            <w:pPr>
              <w:jc w:val="center"/>
              <w:rPr>
                <w:color w:val="000000"/>
                <w:sz w:val="20"/>
                <w:szCs w:val="20"/>
                <w:lang w:eastAsia="en-CA"/>
              </w:rPr>
            </w:pPr>
          </w:p>
        </w:tc>
      </w:tr>
    </w:tbl>
    <w:p w14:paraId="3E65DE70" w14:textId="3A96192A" w:rsidR="00980BF0" w:rsidRPr="008D7AB4" w:rsidRDefault="00980BF0" w:rsidP="00980BF0">
      <w:pPr>
        <w:rPr>
          <w:sz w:val="18"/>
          <w:szCs w:val="18"/>
        </w:rPr>
      </w:pPr>
      <w:r w:rsidRPr="008D7AB4">
        <w:rPr>
          <w:sz w:val="18"/>
          <w:szCs w:val="18"/>
        </w:rPr>
        <w:t xml:space="preserve">* Including a deduction of US $202,100 in line with </w:t>
      </w:r>
      <w:r w:rsidR="00B92759">
        <w:rPr>
          <w:sz w:val="18"/>
          <w:szCs w:val="18"/>
        </w:rPr>
        <w:t>decision </w:t>
      </w:r>
      <w:r w:rsidRPr="008D7AB4">
        <w:rPr>
          <w:sz w:val="18"/>
          <w:szCs w:val="18"/>
        </w:rPr>
        <w:t>88/61(a)(iii).</w:t>
      </w:r>
    </w:p>
    <w:p w14:paraId="651349E0" w14:textId="3D959C7D" w:rsidR="00980BF0" w:rsidRPr="008D7AB4" w:rsidRDefault="00980BF0" w:rsidP="00980BF0">
      <w:pPr>
        <w:rPr>
          <w:sz w:val="18"/>
          <w:szCs w:val="18"/>
        </w:rPr>
      </w:pPr>
      <w:r w:rsidRPr="008D7AB4">
        <w:rPr>
          <w:sz w:val="18"/>
          <w:szCs w:val="18"/>
        </w:rPr>
        <w:t xml:space="preserve">** Value revised in line with </w:t>
      </w:r>
      <w:r w:rsidR="00B92759">
        <w:rPr>
          <w:sz w:val="18"/>
          <w:szCs w:val="18"/>
        </w:rPr>
        <w:t>decision </w:t>
      </w:r>
      <w:r w:rsidRPr="008D7AB4">
        <w:rPr>
          <w:sz w:val="18"/>
          <w:szCs w:val="18"/>
        </w:rPr>
        <w:t>86/89(a)(ii).</w:t>
      </w:r>
    </w:p>
    <w:p w14:paraId="3005F263" w14:textId="5A6A8DBD" w:rsidR="00980BF0" w:rsidRPr="008D7AB4" w:rsidRDefault="00980BF0" w:rsidP="00980BF0">
      <w:pPr>
        <w:rPr>
          <w:sz w:val="18"/>
          <w:szCs w:val="18"/>
        </w:rPr>
      </w:pPr>
      <w:r w:rsidRPr="008D7AB4">
        <w:rPr>
          <w:sz w:val="18"/>
          <w:szCs w:val="18"/>
        </w:rPr>
        <w:t xml:space="preserve">*** Value revised in line with </w:t>
      </w:r>
      <w:r w:rsidR="00B92759">
        <w:rPr>
          <w:sz w:val="18"/>
          <w:szCs w:val="18"/>
        </w:rPr>
        <w:t>decision </w:t>
      </w:r>
      <w:r w:rsidRPr="008D7AB4">
        <w:rPr>
          <w:sz w:val="18"/>
          <w:szCs w:val="18"/>
        </w:rPr>
        <w:t>88/61(a)(ii).</w:t>
      </w:r>
    </w:p>
    <w:p w14:paraId="6F309BE6" w14:textId="77777777" w:rsidR="00980BF0" w:rsidRPr="008D7AB4" w:rsidRDefault="00980BF0" w:rsidP="00980BF0"/>
    <w:p w14:paraId="36D9C1E3" w14:textId="1E4F53EA" w:rsidR="00980BF0" w:rsidRPr="008D7AB4" w:rsidRDefault="00980BF0" w:rsidP="00980BF0">
      <w:pPr>
        <w:pStyle w:val="Heading1"/>
      </w:pPr>
      <w:r w:rsidRPr="008D7AB4">
        <w:t xml:space="preserve">In line with </w:t>
      </w:r>
      <w:r w:rsidR="00B92759">
        <w:t>decision </w:t>
      </w:r>
      <w:r w:rsidRPr="008D7AB4">
        <w:t>88/61(a)(iii), UNIDO deducted US $202,100 from the first tranche based on the return of funds made at the 90</w:t>
      </w:r>
      <w:r w:rsidRPr="008D7AB4">
        <w:rPr>
          <w:vertAlign w:val="superscript"/>
        </w:rPr>
        <w:t>th</w:t>
      </w:r>
      <w:r w:rsidR="00A04F54">
        <w:t> meeting</w:t>
      </w:r>
      <w:r w:rsidRPr="008D7AB4">
        <w:t xml:space="preserve">. </w:t>
      </w:r>
      <w:r w:rsidRPr="006E63AE">
        <w:t xml:space="preserve">Accordingly, the first tranche for UNIDO will be adjusted from US $1,950,275 to US $1,748,175, as shown in table </w:t>
      </w:r>
      <w:r w:rsidR="006E63AE" w:rsidRPr="006E63AE">
        <w:t>6</w:t>
      </w:r>
      <w:r w:rsidRPr="006E63AE">
        <w:t>. This</w:t>
      </w:r>
      <w:r w:rsidRPr="008D7AB4">
        <w:t xml:space="preserve"> adjustment will be reflected in the revised Agreement, as done with the previous returns of funds.</w:t>
      </w:r>
    </w:p>
    <w:p w14:paraId="5AEFFAB4" w14:textId="69297953" w:rsidR="00980BF0" w:rsidRPr="008D7AB4" w:rsidRDefault="00980BF0" w:rsidP="00980BF0">
      <w:pPr>
        <w:rPr>
          <w:i/>
          <w:iCs/>
        </w:rPr>
      </w:pPr>
      <w:r w:rsidRPr="008D7AB4">
        <w:rPr>
          <w:i/>
          <w:iCs/>
        </w:rPr>
        <w:t xml:space="preserve">Extension of </w:t>
      </w:r>
      <w:r w:rsidR="00B92759">
        <w:rPr>
          <w:i/>
          <w:iCs/>
        </w:rPr>
        <w:t>stage </w:t>
      </w:r>
      <w:r w:rsidRPr="008D7AB4">
        <w:rPr>
          <w:i/>
          <w:iCs/>
        </w:rPr>
        <w:t xml:space="preserve">II of the HPMP </w:t>
      </w:r>
    </w:p>
    <w:p w14:paraId="4371B20B" w14:textId="77777777" w:rsidR="00980BF0" w:rsidRPr="008D7AB4" w:rsidRDefault="00980BF0" w:rsidP="00980BF0">
      <w:pPr>
        <w:rPr>
          <w:i/>
          <w:iCs/>
        </w:rPr>
      </w:pPr>
    </w:p>
    <w:p w14:paraId="7BC823FD" w14:textId="40BD1F4D" w:rsidR="00980BF0" w:rsidRPr="008D7AB4" w:rsidRDefault="00980BF0" w:rsidP="00980BF0">
      <w:pPr>
        <w:pStyle w:val="Heading1"/>
      </w:pPr>
      <w:r w:rsidRPr="008D7AB4">
        <w:t xml:space="preserve">UNDP reported that procurement and supply-chain issues created by the COVID-19 pandemic have caused delays in the implementation of project activities, making it necessary to extend the duration of </w:t>
      </w:r>
      <w:r w:rsidR="00B92759">
        <w:t>stage </w:t>
      </w:r>
      <w:r w:rsidRPr="008D7AB4">
        <w:t xml:space="preserve">II to December 2025. The last tranche of the </w:t>
      </w:r>
      <w:r w:rsidR="00B92759">
        <w:t>stage </w:t>
      </w:r>
      <w:r w:rsidRPr="008D7AB4">
        <w:t xml:space="preserve">will therefore be requested in 2024 rather than 2023. </w:t>
      </w:r>
    </w:p>
    <w:p w14:paraId="48199280" w14:textId="77777777" w:rsidR="00980BF0" w:rsidRPr="008D7AB4" w:rsidRDefault="00980BF0" w:rsidP="00980BF0">
      <w:pPr>
        <w:keepNext/>
        <w:rPr>
          <w:b/>
          <w:bCs/>
        </w:rPr>
      </w:pPr>
      <w:r w:rsidRPr="008D7AB4">
        <w:rPr>
          <w:b/>
          <w:bCs/>
        </w:rPr>
        <w:t>Secretariat’s comments</w:t>
      </w:r>
    </w:p>
    <w:p w14:paraId="1816206E" w14:textId="77777777" w:rsidR="00980BF0" w:rsidRPr="008D7AB4" w:rsidRDefault="00980BF0" w:rsidP="00980BF0">
      <w:pPr>
        <w:keepNext/>
      </w:pPr>
    </w:p>
    <w:p w14:paraId="23E6CCF7" w14:textId="77777777" w:rsidR="00980BF0" w:rsidRPr="008D7AB4" w:rsidRDefault="00980BF0" w:rsidP="00980BF0">
      <w:pPr>
        <w:keepNext/>
        <w:rPr>
          <w:u w:val="single"/>
        </w:rPr>
      </w:pPr>
      <w:r w:rsidRPr="008D7AB4">
        <w:rPr>
          <w:u w:val="single"/>
        </w:rPr>
        <w:t xml:space="preserve">Modifications to the PU foam sector and the Agreement </w:t>
      </w:r>
    </w:p>
    <w:p w14:paraId="6851F1A0" w14:textId="77777777" w:rsidR="00980BF0" w:rsidRPr="008D7AB4" w:rsidRDefault="00980BF0" w:rsidP="00980BF0">
      <w:pPr>
        <w:keepNext/>
      </w:pPr>
    </w:p>
    <w:p w14:paraId="2AAF756C" w14:textId="03C5C4DF" w:rsidR="00980BF0" w:rsidRPr="006E63AE" w:rsidRDefault="00980BF0" w:rsidP="00980BF0">
      <w:pPr>
        <w:pStyle w:val="Heading1"/>
        <w:keepNext/>
      </w:pPr>
      <w:r w:rsidRPr="008D7AB4">
        <w:t xml:space="preserve">The summary of </w:t>
      </w:r>
      <w:r w:rsidRPr="006E63AE">
        <w:t xml:space="preserve">adjustments proposed to the PU foam sector plan and the associated changes in funding are presented in table </w:t>
      </w:r>
      <w:r w:rsidR="006E63AE" w:rsidRPr="006E63AE">
        <w:t>7</w:t>
      </w:r>
      <w:r w:rsidRPr="006E63AE">
        <w:t xml:space="preserve">. </w:t>
      </w:r>
    </w:p>
    <w:p w14:paraId="28387219" w14:textId="0660C1D2" w:rsidR="00980BF0" w:rsidRPr="008D7AB4" w:rsidRDefault="00980BF0" w:rsidP="00980BF0">
      <w:pPr>
        <w:keepNext/>
        <w:rPr>
          <w:b/>
          <w:bCs/>
        </w:rPr>
      </w:pPr>
      <w:r w:rsidRPr="008D7AB4">
        <w:rPr>
          <w:b/>
          <w:bCs/>
        </w:rPr>
        <w:t xml:space="preserve">Table </w:t>
      </w:r>
      <w:r w:rsidR="006E63AE">
        <w:rPr>
          <w:b/>
          <w:bCs/>
        </w:rPr>
        <w:t>7</w:t>
      </w:r>
      <w:r w:rsidRPr="008D7AB4">
        <w:rPr>
          <w:b/>
          <w:bCs/>
        </w:rPr>
        <w:t xml:space="preserve">. Proposed adjustments to the PU foam sector plan in </w:t>
      </w:r>
      <w:r w:rsidR="00B92759">
        <w:rPr>
          <w:b/>
          <w:bCs/>
        </w:rPr>
        <w:t>stage </w:t>
      </w:r>
      <w:r w:rsidRPr="008D7AB4">
        <w:rPr>
          <w:b/>
          <w:bCs/>
        </w:rPr>
        <w:t>II of the HPMP for Brazil</w:t>
      </w:r>
    </w:p>
    <w:tbl>
      <w:tblPr>
        <w:tblW w:w="0" w:type="auto"/>
        <w:tblLook w:val="04A0" w:firstRow="1" w:lastRow="0" w:firstColumn="1" w:lastColumn="0" w:noHBand="0" w:noVBand="1"/>
      </w:tblPr>
      <w:tblGrid>
        <w:gridCol w:w="2088"/>
        <w:gridCol w:w="3873"/>
        <w:gridCol w:w="1378"/>
        <w:gridCol w:w="2011"/>
      </w:tblGrid>
      <w:tr w:rsidR="00980BF0" w:rsidRPr="008D7AB4" w14:paraId="4B301A88" w14:textId="77777777" w:rsidTr="0013699E">
        <w:trPr>
          <w:trHeight w:val="780"/>
          <w:tblHeader/>
        </w:trPr>
        <w:tc>
          <w:tcPr>
            <w:tcW w:w="20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7DF5F6" w14:textId="77777777" w:rsidR="00980BF0" w:rsidRPr="008D7AB4" w:rsidRDefault="00980BF0" w:rsidP="0013699E">
            <w:pPr>
              <w:keepNext/>
              <w:jc w:val="center"/>
              <w:rPr>
                <w:b/>
                <w:bCs/>
                <w:sz w:val="20"/>
                <w:szCs w:val="20"/>
                <w:lang w:eastAsia="en-CA"/>
              </w:rPr>
            </w:pPr>
            <w:r w:rsidRPr="008D7AB4">
              <w:rPr>
                <w:b/>
                <w:bCs/>
                <w:sz w:val="20"/>
                <w:szCs w:val="20"/>
                <w:lang w:eastAsia="en-CA"/>
              </w:rPr>
              <w:t>Enterprise</w:t>
            </w:r>
          </w:p>
        </w:tc>
        <w:tc>
          <w:tcPr>
            <w:tcW w:w="3937" w:type="dxa"/>
            <w:tcBorders>
              <w:top w:val="single" w:sz="4" w:space="0" w:color="auto"/>
              <w:left w:val="nil"/>
              <w:bottom w:val="single" w:sz="4" w:space="0" w:color="auto"/>
              <w:right w:val="single" w:sz="4" w:space="0" w:color="auto"/>
            </w:tcBorders>
            <w:vAlign w:val="center"/>
          </w:tcPr>
          <w:p w14:paraId="33519FC8" w14:textId="77777777" w:rsidR="00980BF0" w:rsidRPr="008D7AB4" w:rsidRDefault="00980BF0" w:rsidP="0013699E">
            <w:pPr>
              <w:keepNext/>
              <w:jc w:val="center"/>
              <w:rPr>
                <w:b/>
                <w:bCs/>
                <w:sz w:val="20"/>
                <w:szCs w:val="20"/>
                <w:lang w:eastAsia="en-CA"/>
              </w:rPr>
            </w:pPr>
            <w:r w:rsidRPr="008D7AB4">
              <w:rPr>
                <w:b/>
                <w:bCs/>
                <w:sz w:val="20"/>
                <w:szCs w:val="20"/>
              </w:rPr>
              <w:t>Reason for modifications</w:t>
            </w:r>
          </w:p>
        </w:tc>
        <w:tc>
          <w:tcPr>
            <w:tcW w:w="13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6B8516" w14:textId="77777777" w:rsidR="00980BF0" w:rsidRPr="008D7AB4" w:rsidRDefault="00980BF0" w:rsidP="0013699E">
            <w:pPr>
              <w:keepNext/>
              <w:jc w:val="center"/>
              <w:rPr>
                <w:b/>
                <w:bCs/>
                <w:sz w:val="20"/>
                <w:szCs w:val="20"/>
                <w:lang w:eastAsia="en-CA"/>
              </w:rPr>
            </w:pPr>
            <w:r w:rsidRPr="008D7AB4">
              <w:rPr>
                <w:b/>
                <w:bCs/>
                <w:sz w:val="20"/>
                <w:szCs w:val="20"/>
                <w:lang w:eastAsia="en-CA"/>
              </w:rPr>
              <w:t>HCFC-141b consumption (ODP tonnes)</w:t>
            </w:r>
          </w:p>
        </w:tc>
        <w:tc>
          <w:tcPr>
            <w:tcW w:w="2037" w:type="dxa"/>
            <w:tcBorders>
              <w:top w:val="single" w:sz="4" w:space="0" w:color="auto"/>
              <w:left w:val="nil"/>
              <w:bottom w:val="single" w:sz="4" w:space="0" w:color="auto"/>
              <w:right w:val="single" w:sz="4" w:space="0" w:color="auto"/>
            </w:tcBorders>
            <w:shd w:val="clear" w:color="auto" w:fill="auto"/>
            <w:vAlign w:val="center"/>
            <w:hideMark/>
          </w:tcPr>
          <w:p w14:paraId="00DD7723" w14:textId="77777777" w:rsidR="00980BF0" w:rsidRPr="008D7AB4" w:rsidRDefault="00980BF0" w:rsidP="0013699E">
            <w:pPr>
              <w:keepNext/>
              <w:jc w:val="center"/>
              <w:rPr>
                <w:b/>
                <w:bCs/>
                <w:color w:val="000000"/>
                <w:sz w:val="20"/>
                <w:szCs w:val="20"/>
                <w:lang w:eastAsia="en-CA"/>
              </w:rPr>
            </w:pPr>
            <w:r w:rsidRPr="008D7AB4">
              <w:rPr>
                <w:b/>
                <w:bCs/>
                <w:color w:val="000000"/>
                <w:sz w:val="20"/>
                <w:szCs w:val="20"/>
                <w:lang w:eastAsia="en-CA"/>
              </w:rPr>
              <w:t>Funding to be deducted from the sixth tranche (US $)</w:t>
            </w:r>
          </w:p>
        </w:tc>
      </w:tr>
      <w:tr w:rsidR="00980BF0" w:rsidRPr="008D7AB4" w14:paraId="0F98A2B1" w14:textId="77777777" w:rsidTr="0013699E">
        <w:trPr>
          <w:trHeight w:val="418"/>
        </w:trPr>
        <w:tc>
          <w:tcPr>
            <w:tcW w:w="2088" w:type="dxa"/>
            <w:tcBorders>
              <w:top w:val="nil"/>
              <w:left w:val="single" w:sz="4" w:space="0" w:color="auto"/>
              <w:bottom w:val="single" w:sz="4" w:space="0" w:color="auto"/>
              <w:right w:val="single" w:sz="4" w:space="0" w:color="auto"/>
            </w:tcBorders>
            <w:shd w:val="clear" w:color="auto" w:fill="auto"/>
            <w:hideMark/>
          </w:tcPr>
          <w:p w14:paraId="0F76C2AE" w14:textId="77777777" w:rsidR="00980BF0" w:rsidRPr="008D7AB4" w:rsidRDefault="00980BF0" w:rsidP="0013699E">
            <w:pPr>
              <w:jc w:val="left"/>
              <w:rPr>
                <w:sz w:val="20"/>
                <w:szCs w:val="20"/>
                <w:lang w:eastAsia="en-CA"/>
              </w:rPr>
            </w:pPr>
            <w:r w:rsidRPr="008D7AB4">
              <w:rPr>
                <w:sz w:val="20"/>
                <w:szCs w:val="20"/>
                <w:lang w:eastAsia="en-CA"/>
              </w:rPr>
              <w:t>Ananda Metais (individual conversion)</w:t>
            </w:r>
          </w:p>
        </w:tc>
        <w:tc>
          <w:tcPr>
            <w:tcW w:w="3937" w:type="dxa"/>
            <w:tcBorders>
              <w:top w:val="single" w:sz="4" w:space="0" w:color="auto"/>
              <w:left w:val="nil"/>
              <w:bottom w:val="single" w:sz="4" w:space="0" w:color="auto"/>
              <w:right w:val="single" w:sz="4" w:space="0" w:color="auto"/>
            </w:tcBorders>
          </w:tcPr>
          <w:p w14:paraId="5A174209" w14:textId="77777777" w:rsidR="00980BF0" w:rsidRPr="008D7AB4" w:rsidRDefault="00980BF0" w:rsidP="0013699E">
            <w:pPr>
              <w:jc w:val="left"/>
              <w:rPr>
                <w:sz w:val="20"/>
                <w:szCs w:val="20"/>
                <w:lang w:eastAsia="en-CA"/>
              </w:rPr>
            </w:pPr>
            <w:r w:rsidRPr="008D7AB4">
              <w:rPr>
                <w:sz w:val="20"/>
                <w:szCs w:val="20"/>
              </w:rPr>
              <w:t>Savings due to change of technology from cyclopentane to MF</w:t>
            </w:r>
          </w:p>
        </w:tc>
        <w:tc>
          <w:tcPr>
            <w:tcW w:w="1378" w:type="dxa"/>
            <w:tcBorders>
              <w:top w:val="nil"/>
              <w:left w:val="single" w:sz="4" w:space="0" w:color="auto"/>
              <w:bottom w:val="single" w:sz="4" w:space="0" w:color="auto"/>
              <w:right w:val="single" w:sz="4" w:space="0" w:color="auto"/>
            </w:tcBorders>
            <w:shd w:val="clear" w:color="auto" w:fill="auto"/>
            <w:hideMark/>
          </w:tcPr>
          <w:p w14:paraId="494D2F48" w14:textId="77777777" w:rsidR="00980BF0" w:rsidRPr="008D7AB4" w:rsidRDefault="00980BF0" w:rsidP="0013699E">
            <w:pPr>
              <w:jc w:val="right"/>
              <w:rPr>
                <w:sz w:val="20"/>
                <w:szCs w:val="20"/>
                <w:lang w:eastAsia="en-CA"/>
              </w:rPr>
            </w:pPr>
            <w:r w:rsidRPr="008D7AB4">
              <w:rPr>
                <w:sz w:val="20"/>
                <w:szCs w:val="20"/>
                <w:lang w:eastAsia="en-CA"/>
              </w:rPr>
              <w:t>6.93</w:t>
            </w:r>
          </w:p>
        </w:tc>
        <w:tc>
          <w:tcPr>
            <w:tcW w:w="2037" w:type="dxa"/>
            <w:tcBorders>
              <w:top w:val="nil"/>
              <w:left w:val="nil"/>
              <w:bottom w:val="single" w:sz="4" w:space="0" w:color="auto"/>
              <w:right w:val="single" w:sz="4" w:space="0" w:color="auto"/>
            </w:tcBorders>
            <w:shd w:val="clear" w:color="auto" w:fill="auto"/>
            <w:hideMark/>
          </w:tcPr>
          <w:p w14:paraId="311BB918" w14:textId="77777777" w:rsidR="00980BF0" w:rsidRPr="008D7AB4" w:rsidRDefault="00980BF0" w:rsidP="0013699E">
            <w:pPr>
              <w:jc w:val="right"/>
              <w:rPr>
                <w:color w:val="000000"/>
                <w:sz w:val="20"/>
                <w:szCs w:val="20"/>
                <w:lang w:eastAsia="en-CA"/>
              </w:rPr>
            </w:pPr>
            <w:r w:rsidRPr="008D7AB4">
              <w:rPr>
                <w:color w:val="000000"/>
                <w:sz w:val="20"/>
                <w:szCs w:val="20"/>
                <w:lang w:eastAsia="en-CA"/>
              </w:rPr>
              <w:t>154,221</w:t>
            </w:r>
          </w:p>
        </w:tc>
      </w:tr>
      <w:tr w:rsidR="00980BF0" w:rsidRPr="008D7AB4" w14:paraId="38F71B79" w14:textId="77777777" w:rsidTr="0013699E">
        <w:trPr>
          <w:trHeight w:val="41"/>
        </w:trPr>
        <w:tc>
          <w:tcPr>
            <w:tcW w:w="2088" w:type="dxa"/>
            <w:tcBorders>
              <w:top w:val="nil"/>
              <w:left w:val="single" w:sz="4" w:space="0" w:color="auto"/>
              <w:bottom w:val="single" w:sz="4" w:space="0" w:color="auto"/>
              <w:right w:val="single" w:sz="4" w:space="0" w:color="auto"/>
            </w:tcBorders>
            <w:shd w:val="clear" w:color="auto" w:fill="auto"/>
            <w:hideMark/>
          </w:tcPr>
          <w:p w14:paraId="6DA61306" w14:textId="77777777" w:rsidR="00980BF0" w:rsidRPr="008D7AB4" w:rsidRDefault="00980BF0" w:rsidP="0013699E">
            <w:pPr>
              <w:jc w:val="left"/>
              <w:rPr>
                <w:sz w:val="20"/>
                <w:szCs w:val="20"/>
                <w:lang w:eastAsia="en-CA"/>
              </w:rPr>
            </w:pPr>
            <w:r w:rsidRPr="008D7AB4">
              <w:rPr>
                <w:sz w:val="20"/>
                <w:szCs w:val="20"/>
                <w:lang w:eastAsia="en-CA"/>
              </w:rPr>
              <w:t>Tecpur (individual conversion)</w:t>
            </w:r>
          </w:p>
        </w:tc>
        <w:tc>
          <w:tcPr>
            <w:tcW w:w="3937" w:type="dxa"/>
            <w:tcBorders>
              <w:top w:val="single" w:sz="4" w:space="0" w:color="auto"/>
              <w:left w:val="nil"/>
              <w:bottom w:val="single" w:sz="4" w:space="0" w:color="auto"/>
              <w:right w:val="single" w:sz="4" w:space="0" w:color="auto"/>
            </w:tcBorders>
          </w:tcPr>
          <w:p w14:paraId="1734CC43" w14:textId="77777777" w:rsidR="00980BF0" w:rsidRPr="008D7AB4" w:rsidRDefault="00980BF0" w:rsidP="0013699E">
            <w:pPr>
              <w:jc w:val="left"/>
              <w:rPr>
                <w:sz w:val="20"/>
                <w:szCs w:val="20"/>
                <w:lang w:eastAsia="en-CA"/>
              </w:rPr>
            </w:pPr>
            <w:r w:rsidRPr="008D7AB4">
              <w:rPr>
                <w:sz w:val="20"/>
                <w:szCs w:val="20"/>
              </w:rPr>
              <w:t>Enterprise declined participation</w:t>
            </w:r>
          </w:p>
        </w:tc>
        <w:tc>
          <w:tcPr>
            <w:tcW w:w="1378" w:type="dxa"/>
            <w:tcBorders>
              <w:top w:val="nil"/>
              <w:left w:val="single" w:sz="4" w:space="0" w:color="auto"/>
              <w:bottom w:val="single" w:sz="4" w:space="0" w:color="auto"/>
              <w:right w:val="single" w:sz="4" w:space="0" w:color="auto"/>
            </w:tcBorders>
            <w:shd w:val="clear" w:color="auto" w:fill="auto"/>
            <w:hideMark/>
          </w:tcPr>
          <w:p w14:paraId="5F8CDC36" w14:textId="77777777" w:rsidR="00980BF0" w:rsidRPr="008D7AB4" w:rsidRDefault="00980BF0" w:rsidP="0013699E">
            <w:pPr>
              <w:jc w:val="right"/>
              <w:rPr>
                <w:sz w:val="20"/>
                <w:szCs w:val="20"/>
                <w:lang w:eastAsia="en-CA"/>
              </w:rPr>
            </w:pPr>
            <w:r w:rsidRPr="008D7AB4">
              <w:rPr>
                <w:sz w:val="20"/>
                <w:szCs w:val="20"/>
                <w:lang w:eastAsia="en-CA"/>
              </w:rPr>
              <w:t>1.43</w:t>
            </w:r>
          </w:p>
        </w:tc>
        <w:tc>
          <w:tcPr>
            <w:tcW w:w="2037" w:type="dxa"/>
            <w:tcBorders>
              <w:top w:val="nil"/>
              <w:left w:val="nil"/>
              <w:bottom w:val="single" w:sz="4" w:space="0" w:color="auto"/>
              <w:right w:val="single" w:sz="4" w:space="0" w:color="auto"/>
            </w:tcBorders>
            <w:shd w:val="clear" w:color="auto" w:fill="auto"/>
            <w:hideMark/>
          </w:tcPr>
          <w:p w14:paraId="39E8F476" w14:textId="77777777" w:rsidR="00980BF0" w:rsidRPr="008D7AB4" w:rsidRDefault="00980BF0" w:rsidP="0013699E">
            <w:pPr>
              <w:jc w:val="right"/>
              <w:rPr>
                <w:color w:val="000000"/>
                <w:sz w:val="20"/>
                <w:szCs w:val="20"/>
                <w:lang w:eastAsia="en-CA"/>
              </w:rPr>
            </w:pPr>
            <w:r w:rsidRPr="008D7AB4">
              <w:rPr>
                <w:color w:val="000000"/>
                <w:sz w:val="20"/>
                <w:szCs w:val="20"/>
                <w:lang w:eastAsia="en-CA"/>
              </w:rPr>
              <w:t>89,810</w:t>
            </w:r>
          </w:p>
        </w:tc>
      </w:tr>
      <w:tr w:rsidR="00980BF0" w:rsidRPr="008D7AB4" w14:paraId="59719221" w14:textId="77777777" w:rsidTr="0013699E">
        <w:trPr>
          <w:trHeight w:val="297"/>
        </w:trPr>
        <w:tc>
          <w:tcPr>
            <w:tcW w:w="2088" w:type="dxa"/>
            <w:tcBorders>
              <w:top w:val="nil"/>
              <w:left w:val="single" w:sz="4" w:space="0" w:color="auto"/>
              <w:bottom w:val="single" w:sz="4" w:space="0" w:color="auto"/>
              <w:right w:val="single" w:sz="4" w:space="0" w:color="auto"/>
            </w:tcBorders>
            <w:shd w:val="clear" w:color="auto" w:fill="auto"/>
            <w:hideMark/>
          </w:tcPr>
          <w:p w14:paraId="7AE5CB2B" w14:textId="77777777" w:rsidR="00980BF0" w:rsidRPr="008D7AB4" w:rsidRDefault="00980BF0" w:rsidP="0013699E">
            <w:pPr>
              <w:jc w:val="left"/>
              <w:rPr>
                <w:sz w:val="20"/>
                <w:szCs w:val="20"/>
                <w:lang w:eastAsia="en-CA"/>
              </w:rPr>
            </w:pPr>
            <w:r w:rsidRPr="008D7AB4">
              <w:rPr>
                <w:sz w:val="20"/>
                <w:szCs w:val="20"/>
                <w:lang w:eastAsia="en-CA"/>
              </w:rPr>
              <w:t>Polisystem systems house and its 47 DSUs</w:t>
            </w:r>
          </w:p>
        </w:tc>
        <w:tc>
          <w:tcPr>
            <w:tcW w:w="3937" w:type="dxa"/>
            <w:tcBorders>
              <w:top w:val="single" w:sz="4" w:space="0" w:color="auto"/>
              <w:left w:val="nil"/>
              <w:bottom w:val="single" w:sz="4" w:space="0" w:color="auto"/>
              <w:right w:val="single" w:sz="4" w:space="0" w:color="auto"/>
            </w:tcBorders>
          </w:tcPr>
          <w:p w14:paraId="5CB02522" w14:textId="77777777" w:rsidR="00980BF0" w:rsidRPr="008D7AB4" w:rsidRDefault="00980BF0" w:rsidP="0013699E">
            <w:pPr>
              <w:jc w:val="left"/>
              <w:rPr>
                <w:sz w:val="20"/>
                <w:szCs w:val="20"/>
                <w:lang w:eastAsia="en-CA"/>
              </w:rPr>
            </w:pPr>
            <w:r w:rsidRPr="008D7AB4">
              <w:rPr>
                <w:sz w:val="20"/>
                <w:szCs w:val="20"/>
              </w:rPr>
              <w:t>Systems house declined participation</w:t>
            </w:r>
          </w:p>
        </w:tc>
        <w:tc>
          <w:tcPr>
            <w:tcW w:w="1378" w:type="dxa"/>
            <w:tcBorders>
              <w:top w:val="nil"/>
              <w:left w:val="single" w:sz="4" w:space="0" w:color="auto"/>
              <w:bottom w:val="single" w:sz="4" w:space="0" w:color="auto"/>
              <w:right w:val="single" w:sz="4" w:space="0" w:color="auto"/>
            </w:tcBorders>
            <w:shd w:val="clear" w:color="auto" w:fill="auto"/>
            <w:hideMark/>
          </w:tcPr>
          <w:p w14:paraId="6C8D7492" w14:textId="77777777" w:rsidR="00980BF0" w:rsidRPr="008D7AB4" w:rsidRDefault="00980BF0" w:rsidP="0013699E">
            <w:pPr>
              <w:jc w:val="right"/>
              <w:rPr>
                <w:sz w:val="20"/>
                <w:szCs w:val="20"/>
                <w:lang w:eastAsia="en-CA"/>
              </w:rPr>
            </w:pPr>
            <w:r w:rsidRPr="008D7AB4">
              <w:rPr>
                <w:sz w:val="20"/>
                <w:szCs w:val="20"/>
                <w:lang w:eastAsia="en-CA"/>
              </w:rPr>
              <w:t>13.09</w:t>
            </w:r>
          </w:p>
        </w:tc>
        <w:tc>
          <w:tcPr>
            <w:tcW w:w="2037" w:type="dxa"/>
            <w:tcBorders>
              <w:top w:val="nil"/>
              <w:left w:val="nil"/>
              <w:bottom w:val="single" w:sz="4" w:space="0" w:color="auto"/>
              <w:right w:val="single" w:sz="4" w:space="0" w:color="auto"/>
            </w:tcBorders>
            <w:shd w:val="clear" w:color="auto" w:fill="auto"/>
            <w:hideMark/>
          </w:tcPr>
          <w:p w14:paraId="09BE0279" w14:textId="77777777" w:rsidR="00980BF0" w:rsidRPr="008D7AB4" w:rsidRDefault="00980BF0" w:rsidP="0013699E">
            <w:pPr>
              <w:jc w:val="right"/>
              <w:rPr>
                <w:color w:val="000000"/>
                <w:sz w:val="20"/>
                <w:szCs w:val="20"/>
                <w:lang w:eastAsia="en-CA"/>
              </w:rPr>
            </w:pPr>
            <w:r w:rsidRPr="008D7AB4">
              <w:rPr>
                <w:color w:val="000000"/>
                <w:sz w:val="20"/>
                <w:szCs w:val="20"/>
                <w:lang w:eastAsia="en-CA"/>
              </w:rPr>
              <w:t>950,562</w:t>
            </w:r>
          </w:p>
        </w:tc>
      </w:tr>
      <w:tr w:rsidR="00980BF0" w:rsidRPr="008D7AB4" w14:paraId="59ED154A" w14:textId="77777777" w:rsidTr="0013699E">
        <w:trPr>
          <w:trHeight w:val="41"/>
        </w:trPr>
        <w:tc>
          <w:tcPr>
            <w:tcW w:w="2088" w:type="dxa"/>
            <w:tcBorders>
              <w:top w:val="nil"/>
              <w:left w:val="single" w:sz="4" w:space="0" w:color="auto"/>
              <w:bottom w:val="single" w:sz="4" w:space="0" w:color="auto"/>
              <w:right w:val="single" w:sz="4" w:space="0" w:color="auto"/>
            </w:tcBorders>
            <w:shd w:val="clear" w:color="auto" w:fill="auto"/>
            <w:hideMark/>
          </w:tcPr>
          <w:p w14:paraId="74FFE256" w14:textId="77777777" w:rsidR="00980BF0" w:rsidRPr="008D7AB4" w:rsidRDefault="00980BF0" w:rsidP="0013699E">
            <w:pPr>
              <w:jc w:val="left"/>
              <w:rPr>
                <w:sz w:val="20"/>
                <w:szCs w:val="20"/>
                <w:lang w:eastAsia="en-CA"/>
              </w:rPr>
            </w:pPr>
            <w:r w:rsidRPr="008D7AB4">
              <w:rPr>
                <w:sz w:val="20"/>
                <w:szCs w:val="20"/>
                <w:lang w:eastAsia="en-CA"/>
              </w:rPr>
              <w:t>Eight DSUs</w:t>
            </w:r>
          </w:p>
        </w:tc>
        <w:tc>
          <w:tcPr>
            <w:tcW w:w="3937" w:type="dxa"/>
            <w:tcBorders>
              <w:top w:val="single" w:sz="4" w:space="0" w:color="auto"/>
              <w:left w:val="nil"/>
              <w:bottom w:val="single" w:sz="4" w:space="0" w:color="auto"/>
              <w:right w:val="single" w:sz="4" w:space="0" w:color="auto"/>
            </w:tcBorders>
          </w:tcPr>
          <w:p w14:paraId="179B0218" w14:textId="77777777" w:rsidR="00980BF0" w:rsidRPr="008D7AB4" w:rsidRDefault="00980BF0" w:rsidP="0013699E">
            <w:pPr>
              <w:jc w:val="left"/>
              <w:rPr>
                <w:sz w:val="20"/>
                <w:szCs w:val="20"/>
                <w:lang w:eastAsia="en-CA"/>
              </w:rPr>
            </w:pPr>
            <w:r w:rsidRPr="008D7AB4">
              <w:rPr>
                <w:sz w:val="20"/>
                <w:szCs w:val="20"/>
              </w:rPr>
              <w:t>Enterprises declined participation</w:t>
            </w:r>
          </w:p>
        </w:tc>
        <w:tc>
          <w:tcPr>
            <w:tcW w:w="1378" w:type="dxa"/>
            <w:tcBorders>
              <w:top w:val="nil"/>
              <w:left w:val="single" w:sz="4" w:space="0" w:color="auto"/>
              <w:bottom w:val="single" w:sz="4" w:space="0" w:color="auto"/>
              <w:right w:val="single" w:sz="4" w:space="0" w:color="auto"/>
            </w:tcBorders>
            <w:shd w:val="clear" w:color="auto" w:fill="auto"/>
            <w:hideMark/>
          </w:tcPr>
          <w:p w14:paraId="30AC0825" w14:textId="77777777" w:rsidR="00980BF0" w:rsidRPr="008D7AB4" w:rsidRDefault="00980BF0" w:rsidP="0013699E">
            <w:pPr>
              <w:jc w:val="right"/>
              <w:rPr>
                <w:sz w:val="20"/>
                <w:szCs w:val="20"/>
                <w:lang w:eastAsia="en-CA"/>
              </w:rPr>
            </w:pPr>
            <w:r w:rsidRPr="008D7AB4">
              <w:rPr>
                <w:sz w:val="20"/>
                <w:szCs w:val="20"/>
                <w:lang w:eastAsia="en-CA"/>
              </w:rPr>
              <w:t>3.56</w:t>
            </w:r>
          </w:p>
        </w:tc>
        <w:tc>
          <w:tcPr>
            <w:tcW w:w="2037" w:type="dxa"/>
            <w:tcBorders>
              <w:top w:val="nil"/>
              <w:left w:val="nil"/>
              <w:bottom w:val="single" w:sz="4" w:space="0" w:color="auto"/>
              <w:right w:val="single" w:sz="4" w:space="0" w:color="auto"/>
            </w:tcBorders>
            <w:shd w:val="clear" w:color="auto" w:fill="auto"/>
            <w:hideMark/>
          </w:tcPr>
          <w:p w14:paraId="52C13A79" w14:textId="77777777" w:rsidR="00980BF0" w:rsidRPr="008D7AB4" w:rsidRDefault="00980BF0" w:rsidP="0013699E">
            <w:pPr>
              <w:jc w:val="right"/>
              <w:rPr>
                <w:color w:val="000000"/>
                <w:sz w:val="20"/>
                <w:szCs w:val="20"/>
                <w:lang w:eastAsia="en-CA"/>
              </w:rPr>
            </w:pPr>
            <w:r w:rsidRPr="008D7AB4">
              <w:rPr>
                <w:color w:val="000000"/>
                <w:sz w:val="20"/>
                <w:szCs w:val="20"/>
                <w:lang w:eastAsia="en-CA"/>
              </w:rPr>
              <w:t>230,638</w:t>
            </w:r>
          </w:p>
        </w:tc>
      </w:tr>
      <w:tr w:rsidR="00980BF0" w:rsidRPr="008D7AB4" w14:paraId="16D41767" w14:textId="77777777" w:rsidTr="0013699E">
        <w:trPr>
          <w:trHeight w:val="172"/>
        </w:trPr>
        <w:tc>
          <w:tcPr>
            <w:tcW w:w="2088" w:type="dxa"/>
            <w:tcBorders>
              <w:top w:val="nil"/>
              <w:left w:val="single" w:sz="4" w:space="0" w:color="auto"/>
              <w:bottom w:val="single" w:sz="4" w:space="0" w:color="auto"/>
              <w:right w:val="single" w:sz="4" w:space="0" w:color="auto"/>
            </w:tcBorders>
            <w:shd w:val="clear" w:color="auto" w:fill="auto"/>
            <w:hideMark/>
          </w:tcPr>
          <w:p w14:paraId="77568FD8" w14:textId="77777777" w:rsidR="00980BF0" w:rsidRPr="008D7AB4" w:rsidRDefault="00980BF0" w:rsidP="0013699E">
            <w:pPr>
              <w:jc w:val="left"/>
              <w:rPr>
                <w:sz w:val="20"/>
                <w:szCs w:val="20"/>
                <w:lang w:eastAsia="en-CA"/>
              </w:rPr>
            </w:pPr>
            <w:r w:rsidRPr="008D7AB4">
              <w:rPr>
                <w:sz w:val="20"/>
                <w:szCs w:val="20"/>
                <w:lang w:eastAsia="en-CA"/>
              </w:rPr>
              <w:t>20 DSUs</w:t>
            </w:r>
          </w:p>
        </w:tc>
        <w:tc>
          <w:tcPr>
            <w:tcW w:w="3937" w:type="dxa"/>
            <w:tcBorders>
              <w:top w:val="single" w:sz="4" w:space="0" w:color="auto"/>
              <w:left w:val="nil"/>
              <w:bottom w:val="single" w:sz="4" w:space="0" w:color="auto"/>
              <w:right w:val="single" w:sz="4" w:space="0" w:color="auto"/>
            </w:tcBorders>
          </w:tcPr>
          <w:p w14:paraId="4ED95B1D" w14:textId="77777777" w:rsidR="00980BF0" w:rsidRPr="008D7AB4" w:rsidRDefault="00980BF0" w:rsidP="0013699E">
            <w:pPr>
              <w:jc w:val="left"/>
              <w:rPr>
                <w:sz w:val="20"/>
                <w:szCs w:val="20"/>
                <w:lang w:eastAsia="en-CA"/>
              </w:rPr>
            </w:pPr>
            <w:r w:rsidRPr="008D7AB4">
              <w:rPr>
                <w:sz w:val="20"/>
                <w:szCs w:val="20"/>
              </w:rPr>
              <w:t>Enterprises already converted to low GWP alternatives</w:t>
            </w:r>
          </w:p>
        </w:tc>
        <w:tc>
          <w:tcPr>
            <w:tcW w:w="1378" w:type="dxa"/>
            <w:tcBorders>
              <w:top w:val="nil"/>
              <w:left w:val="single" w:sz="4" w:space="0" w:color="auto"/>
              <w:bottom w:val="single" w:sz="4" w:space="0" w:color="auto"/>
              <w:right w:val="single" w:sz="4" w:space="0" w:color="auto"/>
            </w:tcBorders>
            <w:shd w:val="clear" w:color="auto" w:fill="auto"/>
            <w:hideMark/>
          </w:tcPr>
          <w:p w14:paraId="038934F1" w14:textId="77777777" w:rsidR="00980BF0" w:rsidRPr="008D7AB4" w:rsidRDefault="00980BF0" w:rsidP="0013699E">
            <w:pPr>
              <w:jc w:val="right"/>
              <w:rPr>
                <w:sz w:val="20"/>
                <w:szCs w:val="20"/>
                <w:lang w:eastAsia="en-CA"/>
              </w:rPr>
            </w:pPr>
            <w:r w:rsidRPr="008D7AB4">
              <w:rPr>
                <w:sz w:val="20"/>
                <w:szCs w:val="20"/>
                <w:lang w:eastAsia="en-CA"/>
              </w:rPr>
              <w:t>8.82</w:t>
            </w:r>
          </w:p>
        </w:tc>
        <w:tc>
          <w:tcPr>
            <w:tcW w:w="2037" w:type="dxa"/>
            <w:tcBorders>
              <w:top w:val="nil"/>
              <w:left w:val="nil"/>
              <w:bottom w:val="single" w:sz="4" w:space="0" w:color="auto"/>
              <w:right w:val="single" w:sz="4" w:space="0" w:color="auto"/>
            </w:tcBorders>
            <w:shd w:val="clear" w:color="auto" w:fill="auto"/>
            <w:hideMark/>
          </w:tcPr>
          <w:p w14:paraId="41C0A704" w14:textId="77777777" w:rsidR="00980BF0" w:rsidRPr="008D7AB4" w:rsidRDefault="00980BF0" w:rsidP="0013699E">
            <w:pPr>
              <w:jc w:val="right"/>
              <w:rPr>
                <w:color w:val="000000"/>
                <w:sz w:val="20"/>
                <w:szCs w:val="20"/>
                <w:lang w:eastAsia="en-CA"/>
              </w:rPr>
            </w:pPr>
            <w:r w:rsidRPr="008D7AB4">
              <w:rPr>
                <w:color w:val="000000"/>
                <w:sz w:val="20"/>
                <w:szCs w:val="20"/>
                <w:lang w:eastAsia="en-CA"/>
              </w:rPr>
              <w:t>547,658</w:t>
            </w:r>
          </w:p>
        </w:tc>
      </w:tr>
      <w:tr w:rsidR="00980BF0" w:rsidRPr="008D7AB4" w14:paraId="6335090B" w14:textId="77777777" w:rsidTr="0013699E">
        <w:trPr>
          <w:trHeight w:val="234"/>
        </w:trPr>
        <w:tc>
          <w:tcPr>
            <w:tcW w:w="2088" w:type="dxa"/>
            <w:tcBorders>
              <w:top w:val="nil"/>
              <w:left w:val="single" w:sz="4" w:space="0" w:color="auto"/>
              <w:bottom w:val="single" w:sz="4" w:space="0" w:color="auto"/>
              <w:right w:val="single" w:sz="4" w:space="0" w:color="auto"/>
            </w:tcBorders>
            <w:shd w:val="clear" w:color="auto" w:fill="auto"/>
            <w:hideMark/>
          </w:tcPr>
          <w:p w14:paraId="619280D0" w14:textId="77777777" w:rsidR="00980BF0" w:rsidRPr="008D7AB4" w:rsidRDefault="00980BF0" w:rsidP="0013699E">
            <w:pPr>
              <w:jc w:val="left"/>
              <w:rPr>
                <w:sz w:val="20"/>
                <w:szCs w:val="20"/>
                <w:lang w:eastAsia="en-CA"/>
              </w:rPr>
            </w:pPr>
            <w:r w:rsidRPr="008D7AB4">
              <w:rPr>
                <w:sz w:val="20"/>
                <w:szCs w:val="20"/>
                <w:lang w:eastAsia="en-CA"/>
              </w:rPr>
              <w:t>Four DSUs</w:t>
            </w:r>
          </w:p>
        </w:tc>
        <w:tc>
          <w:tcPr>
            <w:tcW w:w="3937" w:type="dxa"/>
            <w:tcBorders>
              <w:top w:val="single" w:sz="4" w:space="0" w:color="auto"/>
              <w:left w:val="nil"/>
              <w:bottom w:val="single" w:sz="4" w:space="0" w:color="auto"/>
              <w:right w:val="single" w:sz="4" w:space="0" w:color="auto"/>
            </w:tcBorders>
          </w:tcPr>
          <w:p w14:paraId="4C64A6D2" w14:textId="77777777" w:rsidR="00980BF0" w:rsidRPr="008D7AB4" w:rsidRDefault="00980BF0" w:rsidP="0013699E">
            <w:pPr>
              <w:jc w:val="left"/>
              <w:rPr>
                <w:sz w:val="20"/>
                <w:szCs w:val="20"/>
                <w:lang w:eastAsia="en-CA"/>
              </w:rPr>
            </w:pPr>
            <w:r w:rsidRPr="008D7AB4">
              <w:rPr>
                <w:sz w:val="20"/>
                <w:szCs w:val="20"/>
              </w:rPr>
              <w:t>Enterprises discontinued manufacturing PU foam</w:t>
            </w:r>
          </w:p>
        </w:tc>
        <w:tc>
          <w:tcPr>
            <w:tcW w:w="1378" w:type="dxa"/>
            <w:tcBorders>
              <w:top w:val="nil"/>
              <w:left w:val="single" w:sz="4" w:space="0" w:color="auto"/>
              <w:bottom w:val="single" w:sz="4" w:space="0" w:color="auto"/>
              <w:right w:val="single" w:sz="4" w:space="0" w:color="auto"/>
            </w:tcBorders>
            <w:shd w:val="clear" w:color="auto" w:fill="auto"/>
            <w:hideMark/>
          </w:tcPr>
          <w:p w14:paraId="4C609869" w14:textId="77777777" w:rsidR="00980BF0" w:rsidRPr="008D7AB4" w:rsidRDefault="00980BF0" w:rsidP="0013699E">
            <w:pPr>
              <w:jc w:val="right"/>
              <w:rPr>
                <w:sz w:val="20"/>
                <w:szCs w:val="20"/>
                <w:lang w:eastAsia="en-CA"/>
              </w:rPr>
            </w:pPr>
            <w:r w:rsidRPr="008D7AB4">
              <w:rPr>
                <w:sz w:val="20"/>
                <w:szCs w:val="20"/>
                <w:lang w:eastAsia="en-CA"/>
              </w:rPr>
              <w:t>3.66</w:t>
            </w:r>
          </w:p>
        </w:tc>
        <w:tc>
          <w:tcPr>
            <w:tcW w:w="2037" w:type="dxa"/>
            <w:tcBorders>
              <w:top w:val="nil"/>
              <w:left w:val="nil"/>
              <w:bottom w:val="single" w:sz="4" w:space="0" w:color="auto"/>
              <w:right w:val="single" w:sz="4" w:space="0" w:color="auto"/>
            </w:tcBorders>
            <w:shd w:val="clear" w:color="auto" w:fill="auto"/>
            <w:hideMark/>
          </w:tcPr>
          <w:p w14:paraId="30C3D0FB" w14:textId="77777777" w:rsidR="00980BF0" w:rsidRPr="008D7AB4" w:rsidRDefault="00980BF0" w:rsidP="0013699E">
            <w:pPr>
              <w:jc w:val="right"/>
              <w:rPr>
                <w:color w:val="000000"/>
                <w:sz w:val="20"/>
                <w:szCs w:val="20"/>
                <w:lang w:eastAsia="en-CA"/>
              </w:rPr>
            </w:pPr>
            <w:r w:rsidRPr="008D7AB4">
              <w:rPr>
                <w:color w:val="000000"/>
                <w:sz w:val="20"/>
                <w:szCs w:val="20"/>
                <w:lang w:eastAsia="en-CA"/>
              </w:rPr>
              <w:t>343,104</w:t>
            </w:r>
          </w:p>
        </w:tc>
      </w:tr>
      <w:tr w:rsidR="00980BF0" w:rsidRPr="008D7AB4" w14:paraId="1578EC09" w14:textId="77777777" w:rsidTr="0013699E">
        <w:trPr>
          <w:trHeight w:val="181"/>
        </w:trPr>
        <w:tc>
          <w:tcPr>
            <w:tcW w:w="2088" w:type="dxa"/>
            <w:tcBorders>
              <w:top w:val="nil"/>
              <w:left w:val="single" w:sz="4" w:space="0" w:color="auto"/>
              <w:bottom w:val="single" w:sz="4" w:space="0" w:color="auto"/>
              <w:right w:val="single" w:sz="4" w:space="0" w:color="auto"/>
            </w:tcBorders>
            <w:shd w:val="clear" w:color="auto" w:fill="auto"/>
            <w:hideMark/>
          </w:tcPr>
          <w:p w14:paraId="04A8DF5D" w14:textId="77777777" w:rsidR="00980BF0" w:rsidRPr="008D7AB4" w:rsidRDefault="00980BF0" w:rsidP="0013699E">
            <w:pPr>
              <w:jc w:val="left"/>
              <w:rPr>
                <w:sz w:val="20"/>
                <w:szCs w:val="20"/>
                <w:lang w:eastAsia="en-CA"/>
              </w:rPr>
            </w:pPr>
            <w:r w:rsidRPr="008D7AB4">
              <w:rPr>
                <w:sz w:val="20"/>
                <w:szCs w:val="20"/>
                <w:lang w:eastAsia="en-CA"/>
              </w:rPr>
              <w:t>One DSU</w:t>
            </w:r>
          </w:p>
        </w:tc>
        <w:tc>
          <w:tcPr>
            <w:tcW w:w="3937" w:type="dxa"/>
            <w:tcBorders>
              <w:top w:val="single" w:sz="4" w:space="0" w:color="auto"/>
              <w:left w:val="nil"/>
              <w:bottom w:val="single" w:sz="4" w:space="0" w:color="auto"/>
              <w:right w:val="single" w:sz="4" w:space="0" w:color="auto"/>
            </w:tcBorders>
          </w:tcPr>
          <w:p w14:paraId="5D8DA9A2" w14:textId="77777777" w:rsidR="00980BF0" w:rsidRPr="008D7AB4" w:rsidRDefault="00980BF0" w:rsidP="0013699E">
            <w:pPr>
              <w:jc w:val="left"/>
              <w:rPr>
                <w:sz w:val="20"/>
                <w:szCs w:val="20"/>
                <w:lang w:eastAsia="en-CA"/>
              </w:rPr>
            </w:pPr>
            <w:r w:rsidRPr="008D7AB4">
              <w:rPr>
                <w:sz w:val="20"/>
                <w:szCs w:val="20"/>
              </w:rPr>
              <w:t xml:space="preserve">Enterprise found ineligible for funding </w:t>
            </w:r>
          </w:p>
        </w:tc>
        <w:tc>
          <w:tcPr>
            <w:tcW w:w="1378" w:type="dxa"/>
            <w:tcBorders>
              <w:top w:val="nil"/>
              <w:left w:val="single" w:sz="4" w:space="0" w:color="auto"/>
              <w:bottom w:val="single" w:sz="4" w:space="0" w:color="auto"/>
              <w:right w:val="single" w:sz="4" w:space="0" w:color="auto"/>
            </w:tcBorders>
            <w:shd w:val="clear" w:color="auto" w:fill="auto"/>
            <w:hideMark/>
          </w:tcPr>
          <w:p w14:paraId="1EB18432" w14:textId="77777777" w:rsidR="00980BF0" w:rsidRPr="008D7AB4" w:rsidRDefault="00980BF0" w:rsidP="0013699E">
            <w:pPr>
              <w:jc w:val="right"/>
              <w:rPr>
                <w:sz w:val="20"/>
                <w:szCs w:val="20"/>
                <w:lang w:eastAsia="en-CA"/>
              </w:rPr>
            </w:pPr>
            <w:r w:rsidRPr="008D7AB4">
              <w:rPr>
                <w:sz w:val="20"/>
                <w:szCs w:val="20"/>
                <w:lang w:eastAsia="en-CA"/>
              </w:rPr>
              <w:t>0.44</w:t>
            </w:r>
          </w:p>
        </w:tc>
        <w:tc>
          <w:tcPr>
            <w:tcW w:w="2037" w:type="dxa"/>
            <w:tcBorders>
              <w:top w:val="nil"/>
              <w:left w:val="nil"/>
              <w:bottom w:val="single" w:sz="4" w:space="0" w:color="auto"/>
              <w:right w:val="single" w:sz="4" w:space="0" w:color="auto"/>
            </w:tcBorders>
            <w:shd w:val="clear" w:color="auto" w:fill="auto"/>
            <w:hideMark/>
          </w:tcPr>
          <w:p w14:paraId="1B292B90" w14:textId="77777777" w:rsidR="00980BF0" w:rsidRPr="008D7AB4" w:rsidRDefault="00980BF0" w:rsidP="0013699E">
            <w:pPr>
              <w:jc w:val="right"/>
              <w:rPr>
                <w:color w:val="000000"/>
                <w:sz w:val="20"/>
                <w:szCs w:val="20"/>
                <w:lang w:eastAsia="en-CA"/>
              </w:rPr>
            </w:pPr>
            <w:r w:rsidRPr="008D7AB4">
              <w:rPr>
                <w:color w:val="000000"/>
                <w:sz w:val="20"/>
                <w:szCs w:val="20"/>
                <w:lang w:eastAsia="en-CA"/>
              </w:rPr>
              <w:t>39,760</w:t>
            </w:r>
          </w:p>
        </w:tc>
      </w:tr>
      <w:tr w:rsidR="00980BF0" w:rsidRPr="008D7AB4" w14:paraId="7B084176" w14:textId="77777777" w:rsidTr="0013699E">
        <w:trPr>
          <w:trHeight w:val="134"/>
        </w:trPr>
        <w:tc>
          <w:tcPr>
            <w:tcW w:w="2088" w:type="dxa"/>
            <w:tcBorders>
              <w:top w:val="nil"/>
              <w:left w:val="single" w:sz="4" w:space="0" w:color="auto"/>
              <w:bottom w:val="single" w:sz="4" w:space="0" w:color="auto"/>
              <w:right w:val="single" w:sz="4" w:space="0" w:color="auto"/>
            </w:tcBorders>
            <w:shd w:val="clear" w:color="auto" w:fill="auto"/>
            <w:hideMark/>
          </w:tcPr>
          <w:p w14:paraId="5B03DC00" w14:textId="77777777" w:rsidR="00980BF0" w:rsidRPr="008D7AB4" w:rsidRDefault="00980BF0" w:rsidP="0013699E">
            <w:pPr>
              <w:jc w:val="left"/>
              <w:rPr>
                <w:sz w:val="20"/>
                <w:szCs w:val="20"/>
                <w:lang w:eastAsia="en-CA"/>
              </w:rPr>
            </w:pPr>
            <w:r w:rsidRPr="008D7AB4">
              <w:rPr>
                <w:sz w:val="20"/>
                <w:szCs w:val="20"/>
                <w:lang w:eastAsia="en-CA"/>
              </w:rPr>
              <w:t>One DSU</w:t>
            </w:r>
          </w:p>
        </w:tc>
        <w:tc>
          <w:tcPr>
            <w:tcW w:w="3937" w:type="dxa"/>
            <w:tcBorders>
              <w:top w:val="single" w:sz="4" w:space="0" w:color="auto"/>
              <w:left w:val="nil"/>
              <w:bottom w:val="single" w:sz="4" w:space="0" w:color="auto"/>
              <w:right w:val="single" w:sz="4" w:space="0" w:color="auto"/>
            </w:tcBorders>
          </w:tcPr>
          <w:p w14:paraId="3E1BD7D2" w14:textId="77777777" w:rsidR="00980BF0" w:rsidRPr="008D7AB4" w:rsidRDefault="00980BF0" w:rsidP="0013699E">
            <w:pPr>
              <w:jc w:val="left"/>
              <w:rPr>
                <w:sz w:val="20"/>
                <w:szCs w:val="20"/>
                <w:lang w:eastAsia="en-CA"/>
              </w:rPr>
            </w:pPr>
            <w:r w:rsidRPr="008D7AB4">
              <w:rPr>
                <w:sz w:val="20"/>
                <w:szCs w:val="20"/>
              </w:rPr>
              <w:t>Verified enterprise consumption was lower than initially reported</w:t>
            </w:r>
          </w:p>
        </w:tc>
        <w:tc>
          <w:tcPr>
            <w:tcW w:w="1378" w:type="dxa"/>
            <w:tcBorders>
              <w:top w:val="nil"/>
              <w:left w:val="single" w:sz="4" w:space="0" w:color="auto"/>
              <w:bottom w:val="single" w:sz="4" w:space="0" w:color="auto"/>
              <w:right w:val="single" w:sz="4" w:space="0" w:color="auto"/>
            </w:tcBorders>
            <w:shd w:val="clear" w:color="auto" w:fill="auto"/>
            <w:hideMark/>
          </w:tcPr>
          <w:p w14:paraId="4D337BBD" w14:textId="77777777" w:rsidR="00980BF0" w:rsidRPr="008D7AB4" w:rsidRDefault="00980BF0" w:rsidP="0013699E">
            <w:pPr>
              <w:jc w:val="right"/>
              <w:rPr>
                <w:sz w:val="20"/>
                <w:szCs w:val="20"/>
                <w:lang w:eastAsia="en-CA"/>
              </w:rPr>
            </w:pPr>
            <w:r w:rsidRPr="008D7AB4">
              <w:rPr>
                <w:sz w:val="20"/>
                <w:szCs w:val="20"/>
                <w:lang w:eastAsia="en-CA"/>
              </w:rPr>
              <w:t>3.67</w:t>
            </w:r>
          </w:p>
        </w:tc>
        <w:tc>
          <w:tcPr>
            <w:tcW w:w="2037" w:type="dxa"/>
            <w:tcBorders>
              <w:top w:val="nil"/>
              <w:left w:val="nil"/>
              <w:bottom w:val="single" w:sz="4" w:space="0" w:color="auto"/>
              <w:right w:val="single" w:sz="4" w:space="0" w:color="auto"/>
            </w:tcBorders>
            <w:shd w:val="clear" w:color="auto" w:fill="auto"/>
            <w:hideMark/>
          </w:tcPr>
          <w:p w14:paraId="4B1EE371" w14:textId="77777777" w:rsidR="00980BF0" w:rsidRPr="008D7AB4" w:rsidRDefault="00980BF0" w:rsidP="0013699E">
            <w:pPr>
              <w:jc w:val="right"/>
              <w:rPr>
                <w:color w:val="000000"/>
                <w:sz w:val="20"/>
                <w:szCs w:val="20"/>
                <w:lang w:eastAsia="en-CA"/>
              </w:rPr>
            </w:pPr>
            <w:r w:rsidRPr="008D7AB4">
              <w:rPr>
                <w:color w:val="000000"/>
                <w:sz w:val="20"/>
                <w:szCs w:val="20"/>
                <w:lang w:eastAsia="en-CA"/>
              </w:rPr>
              <w:t>139,246</w:t>
            </w:r>
          </w:p>
        </w:tc>
      </w:tr>
      <w:tr w:rsidR="00980BF0" w:rsidRPr="008D7AB4" w14:paraId="2BBD487B" w14:textId="77777777" w:rsidTr="0013699E">
        <w:trPr>
          <w:trHeight w:val="280"/>
        </w:trPr>
        <w:tc>
          <w:tcPr>
            <w:tcW w:w="6025" w:type="dxa"/>
            <w:gridSpan w:val="2"/>
            <w:tcBorders>
              <w:top w:val="nil"/>
              <w:left w:val="single" w:sz="4" w:space="0" w:color="auto"/>
              <w:bottom w:val="single" w:sz="4" w:space="0" w:color="auto"/>
              <w:right w:val="single" w:sz="4" w:space="0" w:color="auto"/>
            </w:tcBorders>
            <w:shd w:val="clear" w:color="auto" w:fill="auto"/>
            <w:hideMark/>
          </w:tcPr>
          <w:p w14:paraId="06C43CCA" w14:textId="77777777" w:rsidR="00980BF0" w:rsidRPr="008D7AB4" w:rsidRDefault="00980BF0" w:rsidP="0013699E">
            <w:pPr>
              <w:jc w:val="left"/>
              <w:rPr>
                <w:sz w:val="20"/>
                <w:szCs w:val="20"/>
                <w:lang w:eastAsia="en-CA"/>
              </w:rPr>
            </w:pPr>
            <w:r w:rsidRPr="008D7AB4">
              <w:rPr>
                <w:b/>
                <w:bCs/>
                <w:sz w:val="20"/>
                <w:szCs w:val="20"/>
                <w:lang w:eastAsia="en-CA"/>
              </w:rPr>
              <w:t>Total</w:t>
            </w:r>
          </w:p>
        </w:tc>
        <w:tc>
          <w:tcPr>
            <w:tcW w:w="1378" w:type="dxa"/>
            <w:tcBorders>
              <w:top w:val="nil"/>
              <w:left w:val="single" w:sz="4" w:space="0" w:color="auto"/>
              <w:bottom w:val="single" w:sz="4" w:space="0" w:color="auto"/>
              <w:right w:val="single" w:sz="4" w:space="0" w:color="auto"/>
            </w:tcBorders>
            <w:shd w:val="clear" w:color="auto" w:fill="auto"/>
            <w:hideMark/>
          </w:tcPr>
          <w:p w14:paraId="315CBAAB" w14:textId="77777777" w:rsidR="00980BF0" w:rsidRPr="008D7AB4" w:rsidRDefault="00980BF0" w:rsidP="0013699E">
            <w:pPr>
              <w:jc w:val="right"/>
              <w:rPr>
                <w:b/>
                <w:bCs/>
                <w:sz w:val="20"/>
                <w:szCs w:val="20"/>
                <w:lang w:eastAsia="en-CA"/>
              </w:rPr>
            </w:pPr>
            <w:r w:rsidRPr="008D7AB4">
              <w:rPr>
                <w:b/>
                <w:bCs/>
                <w:sz w:val="20"/>
                <w:szCs w:val="20"/>
                <w:lang w:eastAsia="en-CA"/>
              </w:rPr>
              <w:t>41.6</w:t>
            </w:r>
          </w:p>
        </w:tc>
        <w:tc>
          <w:tcPr>
            <w:tcW w:w="2037" w:type="dxa"/>
            <w:tcBorders>
              <w:top w:val="nil"/>
              <w:left w:val="nil"/>
              <w:bottom w:val="single" w:sz="4" w:space="0" w:color="auto"/>
              <w:right w:val="single" w:sz="4" w:space="0" w:color="auto"/>
            </w:tcBorders>
            <w:shd w:val="clear" w:color="auto" w:fill="auto"/>
            <w:hideMark/>
          </w:tcPr>
          <w:p w14:paraId="4D720F2E" w14:textId="77777777" w:rsidR="00980BF0" w:rsidRPr="008D7AB4" w:rsidRDefault="00980BF0" w:rsidP="0013699E">
            <w:pPr>
              <w:jc w:val="right"/>
              <w:rPr>
                <w:b/>
                <w:bCs/>
                <w:color w:val="000000"/>
                <w:sz w:val="20"/>
                <w:szCs w:val="20"/>
                <w:lang w:eastAsia="en-CA"/>
              </w:rPr>
            </w:pPr>
            <w:r w:rsidRPr="008D7AB4">
              <w:rPr>
                <w:b/>
                <w:bCs/>
                <w:color w:val="000000"/>
                <w:sz w:val="20"/>
                <w:szCs w:val="20"/>
                <w:lang w:eastAsia="en-CA"/>
              </w:rPr>
              <w:t>2,495,000</w:t>
            </w:r>
          </w:p>
        </w:tc>
      </w:tr>
    </w:tbl>
    <w:p w14:paraId="17925853" w14:textId="77777777" w:rsidR="00980BF0" w:rsidRPr="008D7AB4" w:rsidRDefault="00980BF0" w:rsidP="00980BF0">
      <w:pPr>
        <w:rPr>
          <w:highlight w:val="yellow"/>
        </w:rPr>
      </w:pPr>
    </w:p>
    <w:p w14:paraId="6453201F" w14:textId="057E22DD" w:rsidR="00980BF0" w:rsidRPr="008D7AB4" w:rsidRDefault="00980BF0" w:rsidP="00980BF0">
      <w:pPr>
        <w:pStyle w:val="Heading1"/>
      </w:pPr>
      <w:r w:rsidRPr="008D7AB4">
        <w:t xml:space="preserve">The Secretariat verified the funding levels to be returned by enterprises that would not be participating in the plan. In the case of Ananda Metais, the savings are associated to a lower level of ICCs due to fewer items required for the conversion to MF than to HCs (i.e., high-pressure foam equipment and safety adaptations to the plant). As for the remaining enterprises, the values in the table accurately reflect the level of allocated funds. Accordingly, the total value of US $2,495,000 for UNDP will be deducted from the sixth tranche of </w:t>
      </w:r>
      <w:r w:rsidR="00B92759">
        <w:t>stage </w:t>
      </w:r>
      <w:r w:rsidRPr="008D7AB4">
        <w:t>II of the HPMP for Brazil.</w:t>
      </w:r>
    </w:p>
    <w:p w14:paraId="64043966" w14:textId="77777777" w:rsidR="00980BF0" w:rsidRPr="008D7AB4" w:rsidRDefault="00980BF0" w:rsidP="00980BF0">
      <w:pPr>
        <w:rPr>
          <w:i/>
          <w:iCs/>
        </w:rPr>
      </w:pPr>
      <w:r w:rsidRPr="008D7AB4">
        <w:rPr>
          <w:i/>
          <w:iCs/>
        </w:rPr>
        <w:t>Temporary use of high-GWP alternatives</w:t>
      </w:r>
    </w:p>
    <w:p w14:paraId="111AECBA" w14:textId="77777777" w:rsidR="00980BF0" w:rsidRPr="008D7AB4" w:rsidRDefault="00980BF0" w:rsidP="00980BF0"/>
    <w:p w14:paraId="50F859E9" w14:textId="777F7F35" w:rsidR="00980BF0" w:rsidRPr="006E63AE" w:rsidRDefault="00980BF0" w:rsidP="00980BF0">
      <w:pPr>
        <w:pStyle w:val="Heading1"/>
      </w:pPr>
      <w:bookmarkStart w:id="10" w:name="_Hlk116423894"/>
      <w:r w:rsidRPr="008D7AB4">
        <w:t>Regarding the use of HFC-134a by U-Tech, the Secretariat notes that there have not been any new developments since the 88</w:t>
      </w:r>
      <w:r w:rsidRPr="008D7AB4">
        <w:rPr>
          <w:vertAlign w:val="superscript"/>
        </w:rPr>
        <w:t>th</w:t>
      </w:r>
      <w:r w:rsidR="00A04F54">
        <w:t> meeting</w:t>
      </w:r>
      <w:r w:rsidRPr="008D7AB4">
        <w:t>. Regarding the authorization given to Amino, Flex</w:t>
      </w:r>
      <w:r w:rsidRPr="008D7AB4">
        <w:rPr>
          <w:sz w:val="20"/>
          <w:szCs w:val="20"/>
        </w:rPr>
        <w:t>í</w:t>
      </w:r>
      <w:r w:rsidRPr="008D7AB4">
        <w:t>vel and Purcom to use high-GWP technology on a temporary basis, upon request UNDP provided the average consumption of HFC</w:t>
      </w:r>
      <w:r w:rsidRPr="008D7AB4">
        <w:noBreakHyphen/>
        <w:t>365mfc/HFC</w:t>
      </w:r>
      <w:r w:rsidRPr="008D7AB4">
        <w:noBreakHyphen/>
        <w:t xml:space="preserve">227ea for the three systems houses, as shown in </w:t>
      </w:r>
      <w:r w:rsidRPr="006E63AE">
        <w:t xml:space="preserve">table </w:t>
      </w:r>
      <w:r w:rsidR="006E63AE" w:rsidRPr="006E63AE">
        <w:t>8</w:t>
      </w:r>
      <w:r w:rsidRPr="006E63AE">
        <w:t>.</w:t>
      </w:r>
    </w:p>
    <w:p w14:paraId="629E1E47" w14:textId="43D06D7E" w:rsidR="00980BF0" w:rsidRPr="008D7AB4" w:rsidRDefault="00980BF0" w:rsidP="00B85D05">
      <w:pPr>
        <w:keepNext/>
        <w:rPr>
          <w:b/>
          <w:bCs/>
        </w:rPr>
      </w:pPr>
      <w:r w:rsidRPr="008D7AB4">
        <w:rPr>
          <w:b/>
          <w:bCs/>
        </w:rPr>
        <w:t xml:space="preserve">Table </w:t>
      </w:r>
      <w:r w:rsidR="006E63AE">
        <w:rPr>
          <w:b/>
          <w:bCs/>
        </w:rPr>
        <w:t>8</w:t>
      </w:r>
      <w:r w:rsidRPr="008D7AB4">
        <w:rPr>
          <w:b/>
          <w:bCs/>
        </w:rPr>
        <w:t>. Temporary consumption of HFCs by three systems houses in Brazil</w:t>
      </w:r>
    </w:p>
    <w:tbl>
      <w:tblPr>
        <w:tblStyle w:val="TableGrid"/>
        <w:tblW w:w="5000" w:type="pct"/>
        <w:shd w:val="clear" w:color="auto" w:fill="FFFFFF" w:themeFill="background1"/>
        <w:tblLook w:val="04A0" w:firstRow="1" w:lastRow="0" w:firstColumn="1" w:lastColumn="0" w:noHBand="0" w:noVBand="1"/>
      </w:tblPr>
      <w:tblGrid>
        <w:gridCol w:w="4675"/>
        <w:gridCol w:w="4675"/>
      </w:tblGrid>
      <w:tr w:rsidR="00980BF0" w:rsidRPr="00F66464" w14:paraId="755DD88C" w14:textId="77777777" w:rsidTr="0013699E">
        <w:tc>
          <w:tcPr>
            <w:tcW w:w="2500" w:type="pct"/>
            <w:shd w:val="clear" w:color="auto" w:fill="FFFFFF" w:themeFill="background1"/>
            <w:vAlign w:val="center"/>
            <w:hideMark/>
          </w:tcPr>
          <w:p w14:paraId="66FC7371" w14:textId="77777777" w:rsidR="00980BF0" w:rsidRPr="00F66464" w:rsidRDefault="00980BF0" w:rsidP="00B85D05">
            <w:pPr>
              <w:pStyle w:val="Heading2"/>
              <w:keepNext/>
              <w:widowControl/>
              <w:numPr>
                <w:ilvl w:val="0"/>
                <w:numId w:val="0"/>
              </w:numPr>
              <w:tabs>
                <w:tab w:val="left" w:pos="720"/>
              </w:tabs>
              <w:spacing w:after="0"/>
              <w:jc w:val="center"/>
              <w:rPr>
                <w:b/>
                <w:bCs/>
                <w:sz w:val="20"/>
                <w:szCs w:val="20"/>
              </w:rPr>
            </w:pPr>
            <w:r w:rsidRPr="00F66464">
              <w:rPr>
                <w:b/>
                <w:bCs/>
                <w:sz w:val="20"/>
                <w:szCs w:val="20"/>
              </w:rPr>
              <w:t>Systems house</w:t>
            </w:r>
          </w:p>
        </w:tc>
        <w:tc>
          <w:tcPr>
            <w:tcW w:w="2500" w:type="pct"/>
            <w:shd w:val="clear" w:color="auto" w:fill="FFFFFF" w:themeFill="background1"/>
            <w:vAlign w:val="center"/>
            <w:hideMark/>
          </w:tcPr>
          <w:p w14:paraId="7DE5943B" w14:textId="77777777" w:rsidR="00980BF0" w:rsidRPr="00F66464" w:rsidRDefault="00980BF0" w:rsidP="00B85D05">
            <w:pPr>
              <w:pStyle w:val="Heading2"/>
              <w:keepNext/>
              <w:widowControl/>
              <w:numPr>
                <w:ilvl w:val="0"/>
                <w:numId w:val="0"/>
              </w:numPr>
              <w:tabs>
                <w:tab w:val="left" w:pos="720"/>
              </w:tabs>
              <w:spacing w:after="0"/>
              <w:jc w:val="center"/>
              <w:rPr>
                <w:b/>
                <w:bCs/>
                <w:sz w:val="20"/>
                <w:szCs w:val="20"/>
              </w:rPr>
            </w:pPr>
            <w:r w:rsidRPr="00F66464">
              <w:rPr>
                <w:b/>
                <w:bCs/>
                <w:sz w:val="20"/>
                <w:szCs w:val="20"/>
              </w:rPr>
              <w:t>Monthly average consumption of</w:t>
            </w:r>
          </w:p>
          <w:p w14:paraId="6B74A7FF" w14:textId="77777777" w:rsidR="00980BF0" w:rsidRPr="00F66464" w:rsidRDefault="00980BF0" w:rsidP="00B85D05">
            <w:pPr>
              <w:pStyle w:val="Heading2"/>
              <w:keepNext/>
              <w:widowControl/>
              <w:numPr>
                <w:ilvl w:val="0"/>
                <w:numId w:val="0"/>
              </w:numPr>
              <w:tabs>
                <w:tab w:val="left" w:pos="720"/>
              </w:tabs>
              <w:spacing w:after="0"/>
              <w:jc w:val="center"/>
              <w:rPr>
                <w:b/>
                <w:bCs/>
                <w:sz w:val="20"/>
                <w:szCs w:val="20"/>
              </w:rPr>
            </w:pPr>
            <w:r w:rsidRPr="00F66464">
              <w:rPr>
                <w:b/>
                <w:bCs/>
                <w:sz w:val="20"/>
                <w:szCs w:val="20"/>
              </w:rPr>
              <w:t>HFC-365mfc/HFC-227ea (mt)</w:t>
            </w:r>
          </w:p>
        </w:tc>
      </w:tr>
      <w:tr w:rsidR="00980BF0" w:rsidRPr="00F66464" w14:paraId="06FA0D6C" w14:textId="77777777" w:rsidTr="0013699E">
        <w:tc>
          <w:tcPr>
            <w:tcW w:w="2500" w:type="pct"/>
            <w:shd w:val="clear" w:color="auto" w:fill="FFFFFF" w:themeFill="background1"/>
            <w:hideMark/>
          </w:tcPr>
          <w:p w14:paraId="2C4956E4" w14:textId="77777777" w:rsidR="00980BF0" w:rsidRPr="00F66464" w:rsidRDefault="00980BF0" w:rsidP="00B85D05">
            <w:pPr>
              <w:pStyle w:val="Heading2"/>
              <w:keepNext/>
              <w:widowControl/>
              <w:numPr>
                <w:ilvl w:val="0"/>
                <w:numId w:val="0"/>
              </w:numPr>
              <w:tabs>
                <w:tab w:val="left" w:pos="720"/>
              </w:tabs>
              <w:spacing w:after="0"/>
              <w:rPr>
                <w:sz w:val="20"/>
                <w:szCs w:val="20"/>
              </w:rPr>
            </w:pPr>
            <w:r w:rsidRPr="00F66464">
              <w:rPr>
                <w:sz w:val="20"/>
                <w:szCs w:val="20"/>
              </w:rPr>
              <w:t>Amino</w:t>
            </w:r>
          </w:p>
        </w:tc>
        <w:tc>
          <w:tcPr>
            <w:tcW w:w="2500" w:type="pct"/>
            <w:shd w:val="clear" w:color="auto" w:fill="FFFFFF" w:themeFill="background1"/>
            <w:hideMark/>
          </w:tcPr>
          <w:p w14:paraId="14972F30" w14:textId="77777777" w:rsidR="00980BF0" w:rsidRPr="00F66464" w:rsidRDefault="00980BF0" w:rsidP="00B85D05">
            <w:pPr>
              <w:pStyle w:val="Heading2"/>
              <w:keepNext/>
              <w:widowControl/>
              <w:numPr>
                <w:ilvl w:val="0"/>
                <w:numId w:val="0"/>
              </w:numPr>
              <w:tabs>
                <w:tab w:val="left" w:pos="720"/>
              </w:tabs>
              <w:spacing w:after="0"/>
              <w:jc w:val="right"/>
              <w:rPr>
                <w:sz w:val="20"/>
                <w:szCs w:val="20"/>
              </w:rPr>
            </w:pPr>
            <w:r w:rsidRPr="00F66464">
              <w:rPr>
                <w:sz w:val="20"/>
                <w:szCs w:val="20"/>
              </w:rPr>
              <w:t>0.96</w:t>
            </w:r>
          </w:p>
        </w:tc>
      </w:tr>
      <w:tr w:rsidR="00980BF0" w:rsidRPr="00F66464" w14:paraId="4329CD5D" w14:textId="77777777" w:rsidTr="0013699E">
        <w:tc>
          <w:tcPr>
            <w:tcW w:w="2500" w:type="pct"/>
            <w:shd w:val="clear" w:color="auto" w:fill="FFFFFF" w:themeFill="background1"/>
            <w:hideMark/>
          </w:tcPr>
          <w:p w14:paraId="41E19890" w14:textId="77777777" w:rsidR="00980BF0" w:rsidRPr="00F66464" w:rsidRDefault="00980BF0" w:rsidP="00B85D05">
            <w:pPr>
              <w:pStyle w:val="Heading2"/>
              <w:keepNext/>
              <w:widowControl/>
              <w:numPr>
                <w:ilvl w:val="0"/>
                <w:numId w:val="0"/>
              </w:numPr>
              <w:tabs>
                <w:tab w:val="left" w:pos="720"/>
              </w:tabs>
              <w:spacing w:after="0"/>
              <w:rPr>
                <w:sz w:val="20"/>
                <w:szCs w:val="20"/>
              </w:rPr>
            </w:pPr>
            <w:r w:rsidRPr="00F66464">
              <w:rPr>
                <w:sz w:val="20"/>
                <w:szCs w:val="20"/>
              </w:rPr>
              <w:t>Flexível</w:t>
            </w:r>
          </w:p>
        </w:tc>
        <w:tc>
          <w:tcPr>
            <w:tcW w:w="2500" w:type="pct"/>
            <w:shd w:val="clear" w:color="auto" w:fill="FFFFFF" w:themeFill="background1"/>
            <w:hideMark/>
          </w:tcPr>
          <w:p w14:paraId="06A6AC39" w14:textId="77777777" w:rsidR="00980BF0" w:rsidRPr="00F66464" w:rsidRDefault="00980BF0" w:rsidP="00B85D05">
            <w:pPr>
              <w:pStyle w:val="Heading2"/>
              <w:keepNext/>
              <w:widowControl/>
              <w:numPr>
                <w:ilvl w:val="0"/>
                <w:numId w:val="0"/>
              </w:numPr>
              <w:tabs>
                <w:tab w:val="left" w:pos="720"/>
              </w:tabs>
              <w:spacing w:after="0"/>
              <w:jc w:val="right"/>
              <w:rPr>
                <w:sz w:val="20"/>
                <w:szCs w:val="20"/>
              </w:rPr>
            </w:pPr>
            <w:r w:rsidRPr="00F66464">
              <w:rPr>
                <w:sz w:val="20"/>
                <w:szCs w:val="20"/>
              </w:rPr>
              <w:t>11.76</w:t>
            </w:r>
          </w:p>
        </w:tc>
      </w:tr>
      <w:tr w:rsidR="00980BF0" w:rsidRPr="00F66464" w14:paraId="347FCA6D" w14:textId="77777777" w:rsidTr="0013699E">
        <w:tc>
          <w:tcPr>
            <w:tcW w:w="2500" w:type="pct"/>
            <w:shd w:val="clear" w:color="auto" w:fill="FFFFFF" w:themeFill="background1"/>
            <w:hideMark/>
          </w:tcPr>
          <w:p w14:paraId="35B84DA4" w14:textId="77777777" w:rsidR="00980BF0" w:rsidRPr="00F66464" w:rsidRDefault="00980BF0" w:rsidP="00B85D05">
            <w:pPr>
              <w:pStyle w:val="Heading2"/>
              <w:keepNext/>
              <w:widowControl/>
              <w:numPr>
                <w:ilvl w:val="0"/>
                <w:numId w:val="0"/>
              </w:numPr>
              <w:tabs>
                <w:tab w:val="left" w:pos="720"/>
              </w:tabs>
              <w:spacing w:after="0"/>
              <w:rPr>
                <w:sz w:val="20"/>
                <w:szCs w:val="20"/>
              </w:rPr>
            </w:pPr>
            <w:r w:rsidRPr="00F66464">
              <w:rPr>
                <w:sz w:val="20"/>
                <w:szCs w:val="20"/>
              </w:rPr>
              <w:t>Purcom</w:t>
            </w:r>
          </w:p>
        </w:tc>
        <w:tc>
          <w:tcPr>
            <w:tcW w:w="2500" w:type="pct"/>
            <w:shd w:val="clear" w:color="auto" w:fill="FFFFFF" w:themeFill="background1"/>
            <w:hideMark/>
          </w:tcPr>
          <w:p w14:paraId="7A8752C8" w14:textId="77777777" w:rsidR="00980BF0" w:rsidRPr="00F66464" w:rsidRDefault="00980BF0" w:rsidP="00B85D05">
            <w:pPr>
              <w:pStyle w:val="Heading2"/>
              <w:keepNext/>
              <w:widowControl/>
              <w:numPr>
                <w:ilvl w:val="0"/>
                <w:numId w:val="0"/>
              </w:numPr>
              <w:tabs>
                <w:tab w:val="left" w:pos="720"/>
              </w:tabs>
              <w:spacing w:after="0"/>
              <w:jc w:val="right"/>
              <w:rPr>
                <w:sz w:val="20"/>
                <w:szCs w:val="20"/>
              </w:rPr>
            </w:pPr>
            <w:r w:rsidRPr="00F66464">
              <w:rPr>
                <w:sz w:val="20"/>
                <w:szCs w:val="20"/>
              </w:rPr>
              <w:t>3.56</w:t>
            </w:r>
          </w:p>
        </w:tc>
      </w:tr>
      <w:tr w:rsidR="00980BF0" w:rsidRPr="00F66464" w14:paraId="65578E60" w14:textId="77777777" w:rsidTr="0013699E">
        <w:tc>
          <w:tcPr>
            <w:tcW w:w="2500" w:type="pct"/>
            <w:shd w:val="clear" w:color="auto" w:fill="FFFFFF" w:themeFill="background1"/>
          </w:tcPr>
          <w:p w14:paraId="25859689" w14:textId="77777777" w:rsidR="00980BF0" w:rsidRPr="00F66464" w:rsidRDefault="00980BF0" w:rsidP="00B85D05">
            <w:pPr>
              <w:pStyle w:val="Heading2"/>
              <w:keepNext/>
              <w:widowControl/>
              <w:numPr>
                <w:ilvl w:val="0"/>
                <w:numId w:val="0"/>
              </w:numPr>
              <w:tabs>
                <w:tab w:val="left" w:pos="720"/>
              </w:tabs>
              <w:spacing w:after="0"/>
              <w:rPr>
                <w:b/>
                <w:bCs/>
                <w:sz w:val="20"/>
                <w:szCs w:val="20"/>
              </w:rPr>
            </w:pPr>
            <w:r w:rsidRPr="00F66464">
              <w:rPr>
                <w:b/>
                <w:bCs/>
                <w:sz w:val="20"/>
                <w:szCs w:val="20"/>
              </w:rPr>
              <w:t>Total</w:t>
            </w:r>
          </w:p>
        </w:tc>
        <w:tc>
          <w:tcPr>
            <w:tcW w:w="2500" w:type="pct"/>
            <w:shd w:val="clear" w:color="auto" w:fill="FFFFFF" w:themeFill="background1"/>
          </w:tcPr>
          <w:p w14:paraId="10ECBE92" w14:textId="77777777" w:rsidR="00980BF0" w:rsidRPr="00F66464" w:rsidRDefault="00980BF0" w:rsidP="00B85D05">
            <w:pPr>
              <w:pStyle w:val="Heading2"/>
              <w:keepNext/>
              <w:widowControl/>
              <w:numPr>
                <w:ilvl w:val="0"/>
                <w:numId w:val="0"/>
              </w:numPr>
              <w:tabs>
                <w:tab w:val="left" w:pos="720"/>
              </w:tabs>
              <w:spacing w:after="0"/>
              <w:jc w:val="right"/>
              <w:rPr>
                <w:b/>
                <w:bCs/>
                <w:sz w:val="20"/>
                <w:szCs w:val="20"/>
              </w:rPr>
            </w:pPr>
            <w:r w:rsidRPr="00F66464">
              <w:rPr>
                <w:b/>
                <w:bCs/>
                <w:sz w:val="20"/>
                <w:szCs w:val="20"/>
              </w:rPr>
              <w:t>16.28</w:t>
            </w:r>
          </w:p>
        </w:tc>
      </w:tr>
    </w:tbl>
    <w:p w14:paraId="6AFDE093" w14:textId="77777777" w:rsidR="00980BF0" w:rsidRPr="008D7AB4" w:rsidRDefault="00980BF0" w:rsidP="00980BF0">
      <w:pPr>
        <w:rPr>
          <w:b/>
          <w:bCs/>
        </w:rPr>
      </w:pPr>
    </w:p>
    <w:p w14:paraId="289D503B" w14:textId="77777777" w:rsidR="00980BF0" w:rsidRPr="008D7AB4" w:rsidRDefault="00980BF0" w:rsidP="00980BF0">
      <w:pPr>
        <w:pStyle w:val="Heading1"/>
      </w:pPr>
      <w:r w:rsidRPr="008D7AB4">
        <w:t>The Secretariat noted that the overall GWP of the blend was higher than that of the originally proposed HCFC-141b and HFO</w:t>
      </w:r>
      <w:r w:rsidRPr="008D7AB4">
        <w:noBreakHyphen/>
        <w:t>1233zd(E). Regarding the estimated timeframe for the use of HFC blends by these enterprises, UNDP reported that it had initially been authorized until September 2022, but an extension was being discussed between UNDP and the systems houses. UNDP explained that it was difficult to determine how long the temporary use of HFCs should last, with systems houses indicating that the supply of HFOs would likely continue to be limited in Brazil, as global producers focus on their main markets and clients, i.e., the European Union market and large international systems houses with long</w:t>
      </w:r>
      <w:r w:rsidRPr="008D7AB4">
        <w:noBreakHyphen/>
        <w:t>term contracts.</w:t>
      </w:r>
    </w:p>
    <w:p w14:paraId="361B9F68" w14:textId="77777777" w:rsidR="00980BF0" w:rsidRPr="008D7AB4" w:rsidRDefault="00980BF0" w:rsidP="00980BF0">
      <w:pPr>
        <w:pStyle w:val="Heading1"/>
      </w:pPr>
      <w:r w:rsidRPr="008D7AB4">
        <w:t>Regarding the question of the three systems houses potentially adopting other available low</w:t>
      </w:r>
      <w:r w:rsidRPr="008D7AB4">
        <w:noBreakHyphen/>
        <w:t>GWP technologies rather than HFCs, UNDP reported that Flexível had selected HFO as an alternative, and that a new conversion to flammable technologies without Multilateral Fund assistance would not be economically feasible due to the high investment required for plant adaptations. Amino and Purcom are already using other technologies (MF, methylal and water-based) for many of their clients, and have only requested the temporary use of HFCs to supply some of their unassisted DSUs who do not meet the technical requirements for adopting new technologies. Both systems houses stated that they would use HFOs for these DSUs once the supply became stable and affordable. The current price of HFC</w:t>
      </w:r>
      <w:r w:rsidRPr="008D7AB4">
        <w:noBreakHyphen/>
        <w:t>365mfc/HFC</w:t>
      </w:r>
      <w:r w:rsidRPr="008D7AB4">
        <w:noBreakHyphen/>
        <w:t xml:space="preserve">227ea is between US $10.75 and US $13.80 per kg, while the price of HFO-1233zd(E), when available, is between US $17.80 and US $20.80 per kg. </w:t>
      </w:r>
    </w:p>
    <w:bookmarkEnd w:id="10"/>
    <w:p w14:paraId="5CBF268E" w14:textId="166D58B4" w:rsidR="00980BF0" w:rsidRPr="008D7AB4" w:rsidRDefault="00980BF0" w:rsidP="00980BF0">
      <w:pPr>
        <w:pStyle w:val="Heading1"/>
      </w:pPr>
      <w:r w:rsidRPr="008D7AB4">
        <w:t xml:space="preserve">UNDP further explained that so far the Government had not considered any disincentive to the import or use of HFC blends, as it was still in the process of ratifying the Kigali Amendment. The Secretariat notes with appreciation that during the last </w:t>
      </w:r>
      <w:r w:rsidR="00B92759">
        <w:t>stage </w:t>
      </w:r>
      <w:r w:rsidRPr="008D7AB4">
        <w:t>of review of the present report, the Government of Brazil had completed the process of ratification of the Kigali Amendment (19 October 2022).</w:t>
      </w:r>
    </w:p>
    <w:p w14:paraId="2C370442" w14:textId="5DC33CE8" w:rsidR="00980BF0" w:rsidRPr="008D7AB4" w:rsidRDefault="00980BF0" w:rsidP="00980BF0">
      <w:pPr>
        <w:pStyle w:val="Heading1"/>
      </w:pPr>
      <w:r w:rsidRPr="008D7AB4">
        <w:t xml:space="preserve">Considering the above circumstances, and in line with precedent cases related to the temporary use of high-GWP alternatives and </w:t>
      </w:r>
      <w:r w:rsidR="00B92759">
        <w:t>decision </w:t>
      </w:r>
      <w:r w:rsidRPr="008D7AB4">
        <w:t xml:space="preserve">88/61(b)(i)a., the Secretariat suggests that UNDP continue to assist the Government of Brazil in securing the supply of low-GWP alternative technologies for the Amino, Flexível, Purcom and U-Tech systems houses, on the understanding that any incremental operational costs related to the conversions (where applicable) would not be paid until the technology originally selected or another low-GWP technology had been fully introduced, and to provide, at each meeting until the technology originally selected or another low-GWP technology had been fully introduced, a report on the status of temporary use of high-GWP alternatives, along with an update from the suppliers on the progress made towards ensuring that the selected technologies, including associated components, were available on a commercial basis in the country. </w:t>
      </w:r>
    </w:p>
    <w:p w14:paraId="55AB1651" w14:textId="77777777" w:rsidR="00980BF0" w:rsidRPr="008D7AB4" w:rsidRDefault="00980BF0" w:rsidP="00980BF0">
      <w:pPr>
        <w:pStyle w:val="Heading1"/>
      </w:pPr>
      <w:r w:rsidRPr="008D7AB4">
        <w:t>In the case of Brazil, these reports will also be valuable to continue monitoring the special situation with regard to the availability of HFC-365mfc/HFC-227ea at competitive prices combined with the lack of availability of HFO</w:t>
      </w:r>
      <w:r w:rsidRPr="008D7AB4">
        <w:noBreakHyphen/>
        <w:t xml:space="preserve">1233zd(E), which has affected some conversions in the PU foam sector plan. </w:t>
      </w:r>
    </w:p>
    <w:p w14:paraId="1F840010" w14:textId="77777777" w:rsidR="00980BF0" w:rsidRPr="008D7AB4" w:rsidRDefault="00980BF0" w:rsidP="00980BF0">
      <w:pPr>
        <w:rPr>
          <w:u w:val="single"/>
        </w:rPr>
      </w:pPr>
      <w:r w:rsidRPr="008D7AB4">
        <w:rPr>
          <w:u w:val="single"/>
        </w:rPr>
        <w:t>Replacement of two eligible enterprises in the technical assistance project for SMEs in commercial refrigeration</w:t>
      </w:r>
    </w:p>
    <w:p w14:paraId="2603291A" w14:textId="77777777" w:rsidR="00980BF0" w:rsidRPr="008D7AB4" w:rsidRDefault="00980BF0" w:rsidP="00980BF0">
      <w:pPr>
        <w:rPr>
          <w:i/>
          <w:iCs/>
        </w:rPr>
      </w:pPr>
    </w:p>
    <w:p w14:paraId="624C8244" w14:textId="5AADF435" w:rsidR="00980BF0" w:rsidRPr="008D7AB4" w:rsidRDefault="00980BF0" w:rsidP="00980BF0">
      <w:pPr>
        <w:pStyle w:val="Heading1"/>
      </w:pPr>
      <w:r w:rsidRPr="008D7AB4">
        <w:t>Gelomax and So Frio are phasing out 2.54</w:t>
      </w:r>
      <w:r w:rsidR="00A04F54">
        <w:t> mt</w:t>
      </w:r>
      <w:r w:rsidRPr="008D7AB4">
        <w:t xml:space="preserve"> of HCFC-22 without Multilateral Fund assistance. UNIDO proposed that the funds previously allocated for these enterprises be reallocated to the newly identified eligible enterprises Peracchi and Zero Grau (3.0</w:t>
      </w:r>
      <w:r w:rsidR="00A04F54">
        <w:t> mt</w:t>
      </w:r>
      <w:r w:rsidRPr="008D7AB4">
        <w:t xml:space="preserve">). Upon review of the information provided, the Secretariat recommends the reallocation of US $132,000 from Gelomax and So Frio to </w:t>
      </w:r>
      <w:bookmarkStart w:id="11" w:name="_Hlk118311044"/>
      <w:r w:rsidRPr="008D7AB4">
        <w:t>Peracchi and Zero Grau (3.0</w:t>
      </w:r>
      <w:r w:rsidR="00A04F54">
        <w:t> mt</w:t>
      </w:r>
      <w:r w:rsidRPr="008D7AB4">
        <w:t>)</w:t>
      </w:r>
      <w:bookmarkEnd w:id="11"/>
      <w:r w:rsidRPr="008D7AB4">
        <w:t>, noting that the costs of conversion will be the same. Accordingly, the project will phase out an additional 0.46</w:t>
      </w:r>
      <w:r w:rsidR="00A04F54">
        <w:t> mt</w:t>
      </w:r>
      <w:r w:rsidRPr="008D7AB4">
        <w:t xml:space="preserve"> (0.04 ODP tonnes) of HCFC-22.</w:t>
      </w:r>
    </w:p>
    <w:p w14:paraId="2C2E50E8" w14:textId="77777777" w:rsidR="00980BF0" w:rsidRPr="008D7AB4" w:rsidRDefault="00980BF0" w:rsidP="000F7978">
      <w:pPr>
        <w:keepNext/>
        <w:keepLines/>
        <w:rPr>
          <w:iCs/>
          <w:u w:val="single"/>
        </w:rPr>
      </w:pPr>
      <w:r w:rsidRPr="008D7AB4">
        <w:rPr>
          <w:iCs/>
          <w:u w:val="single"/>
        </w:rPr>
        <w:t>Project implementation and monitoring</w:t>
      </w:r>
    </w:p>
    <w:p w14:paraId="07E2A4D5" w14:textId="77777777" w:rsidR="00980BF0" w:rsidRPr="008D7AB4" w:rsidRDefault="00980BF0" w:rsidP="000F7978">
      <w:pPr>
        <w:keepNext/>
        <w:keepLines/>
        <w:rPr>
          <w:iCs/>
        </w:rPr>
      </w:pPr>
    </w:p>
    <w:p w14:paraId="1CDA3CF9" w14:textId="77777777" w:rsidR="00980BF0" w:rsidRPr="008D7AB4" w:rsidRDefault="00980BF0" w:rsidP="000F7978">
      <w:pPr>
        <w:pStyle w:val="Heading1"/>
        <w:keepNext/>
        <w:keepLines/>
      </w:pPr>
      <w:r w:rsidRPr="008D7AB4">
        <w:t>The Secretariat proposed a reduction in PMU funding, proportionate to the lower cost and effort represented by the combined removal from the project of individual conversions, systems house conversions and 80 DSUs in the PU foam sector. UNDP explained that the PMU had deployed additional efforts linked to verifying and validating the information for each enterprise</w:t>
      </w:r>
      <w:r w:rsidRPr="008D7AB4" w:rsidDel="00DF1835">
        <w:t xml:space="preserve"> </w:t>
      </w:r>
      <w:r w:rsidRPr="008D7AB4">
        <w:t>in order to adjust the PU foam sector plan, and had further spent additional resources to monitor and provide clarifications to enterprises in the foam sector in the context of the HFO shortage in combination with the COVID-19 pandemic. The remaining resources were therefore still needed to assist the remaining enterprises to convert.</w:t>
      </w:r>
    </w:p>
    <w:p w14:paraId="7B61DBC5" w14:textId="3541661D" w:rsidR="00980BF0" w:rsidRPr="008D7AB4" w:rsidRDefault="00980BF0" w:rsidP="00C620F7">
      <w:pPr>
        <w:pStyle w:val="Heading1"/>
      </w:pPr>
      <w:r w:rsidRPr="008D7AB4">
        <w:t xml:space="preserve">Based on the level of PMU funding previously approved for </w:t>
      </w:r>
      <w:r w:rsidR="00B92759">
        <w:t>stage </w:t>
      </w:r>
      <w:r w:rsidRPr="008D7AB4">
        <w:t xml:space="preserve">II (5.75 per cent of the total value of the stage), the amount associated to the enterprises removed from the HPMP and the effort already made to verify and validate the information related to these enterprises, the Secretariat estimated that the level of funding to be returned was US $87,487. In order to maintain the resources to assist the remaining enterprises, UNDP agreed to associate this sum to additional reductions of HCFC-22 in </w:t>
      </w:r>
      <w:r w:rsidR="00B92759">
        <w:t>stage </w:t>
      </w:r>
      <w:r w:rsidRPr="008D7AB4">
        <w:t>II of the HPMP. At US $4.80/kg, this represents 18.60</w:t>
      </w:r>
      <w:r w:rsidR="00A04F54">
        <w:t> mt</w:t>
      </w:r>
      <w:r w:rsidRPr="008D7AB4">
        <w:t xml:space="preserve"> (one ODP tonne) of HCFC-22. Accordingly, one additional ODP tonne of HCFC-22 will be deducted from the country’s remaining eligible consumption for funding.</w:t>
      </w:r>
    </w:p>
    <w:p w14:paraId="7439010F" w14:textId="77777777" w:rsidR="00980BF0" w:rsidRPr="008D7AB4" w:rsidRDefault="00980BF0" w:rsidP="00C620F7">
      <w:pPr>
        <w:rPr>
          <w:u w:val="single"/>
        </w:rPr>
      </w:pPr>
      <w:r w:rsidRPr="008D7AB4">
        <w:rPr>
          <w:u w:val="single"/>
        </w:rPr>
        <w:t>Revised Agreement</w:t>
      </w:r>
    </w:p>
    <w:p w14:paraId="49EA9D40" w14:textId="77777777" w:rsidR="00980BF0" w:rsidRPr="008D7AB4" w:rsidRDefault="00980BF0" w:rsidP="00C620F7"/>
    <w:p w14:paraId="489F8361" w14:textId="2C7F61D0" w:rsidR="00980BF0" w:rsidRPr="008D7AB4" w:rsidRDefault="00980BF0" w:rsidP="00C620F7">
      <w:pPr>
        <w:pStyle w:val="Heading1"/>
      </w:pPr>
      <w:r w:rsidRPr="008D7AB4">
        <w:t>The Secretariat has modified Appendix 2-A of the Agreement between the Government of Brazil and the Executive Committee to reflect the adjustments proposed to the PU foam sector plan and the associated cancellation of the sixth tranche for UNDP (US $2,495,000 plus agency support costs), the request from the Government of Brazil to update the value of the first tranche for UNIDO from US $1,950,275 to US $1,748,175 (plus agency support costs) due to a fund return from the commercial refrigeration sector that took place at the 90</w:t>
      </w:r>
      <w:r w:rsidRPr="008D7AB4">
        <w:rPr>
          <w:vertAlign w:val="superscript"/>
        </w:rPr>
        <w:t>th</w:t>
      </w:r>
      <w:r w:rsidR="00A04F54">
        <w:t> meeting</w:t>
      </w:r>
      <w:r w:rsidRPr="008D7AB4">
        <w:t>, and the reduction of one ODP tonne from the remaining eligible consumption of HCFC</w:t>
      </w:r>
      <w:r w:rsidRPr="008D7AB4">
        <w:noBreakHyphen/>
        <w:t xml:space="preserve">22. The Secretariat also updated in Appendix 7-A the reductions in funding for failure to comply from </w:t>
      </w:r>
      <w:r w:rsidR="00B92759">
        <w:t>US $</w:t>
      </w:r>
      <w:r w:rsidRPr="008D7AB4">
        <w:t xml:space="preserve">154.98 per ODP kg to </w:t>
      </w:r>
      <w:r w:rsidR="00B92759">
        <w:t>US $</w:t>
      </w:r>
      <w:r w:rsidRPr="008D7AB4">
        <w:t xml:space="preserve">111.90 per ODP kg, based on the revised overall level of funding of </w:t>
      </w:r>
      <w:r w:rsidR="00B92759">
        <w:t>stage </w:t>
      </w:r>
      <w:r w:rsidRPr="008D7AB4">
        <w:t>II of the HPMP.</w:t>
      </w:r>
    </w:p>
    <w:p w14:paraId="2A8005FE" w14:textId="68DD7874" w:rsidR="00980BF0" w:rsidRPr="008D7AB4" w:rsidRDefault="00BD6CCF" w:rsidP="00C620F7">
      <w:pPr>
        <w:pStyle w:val="StyleHeader4Para4Left0Firstline0"/>
        <w:keepNext/>
        <w:keepLines/>
        <w:numPr>
          <w:ilvl w:val="0"/>
          <w:numId w:val="0"/>
        </w:numPr>
        <w:rPr>
          <w:b/>
          <w:bCs/>
          <w:sz w:val="22"/>
        </w:rPr>
      </w:pPr>
      <w:r w:rsidRPr="008D7AB4">
        <w:rPr>
          <w:b/>
          <w:bCs/>
          <w:sz w:val="22"/>
        </w:rPr>
        <w:t>Recommendation</w:t>
      </w:r>
    </w:p>
    <w:p w14:paraId="0C72AE61" w14:textId="77777777" w:rsidR="00980BF0" w:rsidRPr="008D7AB4" w:rsidRDefault="00980BF0" w:rsidP="00C620F7">
      <w:pPr>
        <w:pStyle w:val="Heading1"/>
        <w:keepNext/>
        <w:keepLines/>
      </w:pPr>
      <w:r w:rsidRPr="008D7AB4">
        <w:t>The Executive Committee may wish:</w:t>
      </w:r>
    </w:p>
    <w:p w14:paraId="26986F32" w14:textId="77777777" w:rsidR="00980BF0" w:rsidRPr="008D7AB4" w:rsidRDefault="00980BF0" w:rsidP="00C620F7">
      <w:pPr>
        <w:pStyle w:val="Heading2"/>
        <w:keepNext/>
        <w:keepLines/>
      </w:pPr>
      <w:r w:rsidRPr="008D7AB4">
        <w:t>To note:</w:t>
      </w:r>
    </w:p>
    <w:p w14:paraId="40EE8E3B" w14:textId="5A16D681" w:rsidR="00980BF0" w:rsidRPr="008D7AB4" w:rsidRDefault="00980BF0" w:rsidP="00C620F7">
      <w:pPr>
        <w:pStyle w:val="Heading3"/>
        <w:keepNext/>
        <w:keepLines/>
      </w:pPr>
      <w:r w:rsidRPr="008D7AB4">
        <w:t xml:space="preserve">The progress report on the implementation of the fifth tranche of </w:t>
      </w:r>
      <w:r w:rsidR="00B92759">
        <w:t>stage </w:t>
      </w:r>
      <w:r w:rsidRPr="008D7AB4">
        <w:t>II of the HCFC phase-out management plan (HPMP) for Brazil and the request for extension submitted by UNDP, contained in document UNEP/OzL.Pro/ExCom/91/18;</w:t>
      </w:r>
    </w:p>
    <w:p w14:paraId="1AD348B3" w14:textId="77777777" w:rsidR="00980BF0" w:rsidRPr="008D7AB4" w:rsidRDefault="00980BF0" w:rsidP="00980BF0">
      <w:pPr>
        <w:pStyle w:val="Heading3"/>
      </w:pPr>
      <w:r w:rsidRPr="008D7AB4">
        <w:t>That the polyurethane (PU) foam enterprise Ananda Metais changed the selected technology from cyclopentane to methyl formate, resulting in savings of US $154,222;</w:t>
      </w:r>
    </w:p>
    <w:p w14:paraId="3698B7A5" w14:textId="02F994A1" w:rsidR="00980BF0" w:rsidRPr="008D7AB4" w:rsidRDefault="00980BF0" w:rsidP="00980BF0">
      <w:pPr>
        <w:pStyle w:val="Heading3"/>
      </w:pPr>
      <w:r w:rsidRPr="008D7AB4">
        <w:t xml:space="preserve">That the PU foam enterprise Tecpur, the systems house Polisystem and the 80 downstream PU foam users would not participate in </w:t>
      </w:r>
      <w:r w:rsidR="00B92759">
        <w:t>stage </w:t>
      </w:r>
      <w:r w:rsidRPr="008D7AB4">
        <w:t>II of the HPMP, and that one additional PU foam enterprise had lower consumption of HCFC</w:t>
      </w:r>
      <w:r w:rsidRPr="008D7AB4">
        <w:noBreakHyphen/>
        <w:t>141b than initially reported, resulting in savings of US $2,340,778;</w:t>
      </w:r>
    </w:p>
    <w:p w14:paraId="1BCA0CC3" w14:textId="73A7AA32" w:rsidR="00980BF0" w:rsidRPr="008D7AB4" w:rsidRDefault="00980BF0" w:rsidP="000F7978">
      <w:pPr>
        <w:pStyle w:val="Heading3"/>
        <w:keepNext/>
        <w:keepLines/>
      </w:pPr>
      <w:r w:rsidRPr="008D7AB4">
        <w:t>That savings of US $2,459,000, plus agency support costs of US $174,650 for UNDP, associated with the conversion of the PU foam enterprises referred to in sub</w:t>
      </w:r>
      <w:r w:rsidRPr="008D7AB4">
        <w:noBreakHyphen/>
        <w:t xml:space="preserve">paragraphs (a)(i) and (a)(ii) above, would be deducted from the sixth tranche of </w:t>
      </w:r>
      <w:r w:rsidR="00B92759">
        <w:t>stage </w:t>
      </w:r>
      <w:r w:rsidRPr="008D7AB4">
        <w:t xml:space="preserve">II of the HPMP; </w:t>
      </w:r>
    </w:p>
    <w:p w14:paraId="315843D2" w14:textId="77777777" w:rsidR="00980BF0" w:rsidRPr="008D7AB4" w:rsidRDefault="00980BF0" w:rsidP="00980BF0">
      <w:pPr>
        <w:pStyle w:val="Heading3"/>
      </w:pPr>
      <w:r w:rsidRPr="008D7AB4">
        <w:t>That one ODP tonne would be deducted from the remaining eligible consumption of HCFC-22 associated to the project monitoring unit costs related to the reductions in the PU foam sector plan referred to in sub</w:t>
      </w:r>
      <w:r w:rsidRPr="008D7AB4">
        <w:noBreakHyphen/>
        <w:t>paragraph (a)(iv);</w:t>
      </w:r>
    </w:p>
    <w:p w14:paraId="222EA4DC" w14:textId="514FD96F" w:rsidR="00980BF0" w:rsidRPr="008D7AB4" w:rsidRDefault="00980BF0" w:rsidP="00980BF0">
      <w:pPr>
        <w:pStyle w:val="Heading3"/>
      </w:pPr>
      <w:r w:rsidRPr="008D7AB4">
        <w:t>That the enterprises Gelomax and So Frio, consuming 2.54</w:t>
      </w:r>
      <w:r w:rsidR="00A04F54">
        <w:t> mt</w:t>
      </w:r>
      <w:r w:rsidRPr="008D7AB4">
        <w:t xml:space="preserve"> (0.14 ODP tonnes) of HCFC-22, have withdrawn from </w:t>
      </w:r>
      <w:r w:rsidR="00B92759">
        <w:t>stage </w:t>
      </w:r>
      <w:r w:rsidRPr="008D7AB4">
        <w:t>II of the HPMP, and that the enterprises Peracchi and Zero Grau, with a total consumption of 3.00</w:t>
      </w:r>
      <w:r w:rsidR="00A04F54">
        <w:t> mt</w:t>
      </w:r>
      <w:r w:rsidRPr="008D7AB4">
        <w:t xml:space="preserve"> (0.17 ODP tonnes) of HCFC-22, have been included in </w:t>
      </w:r>
      <w:r w:rsidR="00B92759">
        <w:t>stage </w:t>
      </w:r>
      <w:r w:rsidRPr="008D7AB4">
        <w:t xml:space="preserve">II, at no additional cost to the Multilateral Fund; </w:t>
      </w:r>
    </w:p>
    <w:p w14:paraId="72775007" w14:textId="3D7FBDD2" w:rsidR="00980BF0" w:rsidRPr="008D7AB4" w:rsidRDefault="00980BF0" w:rsidP="00980BF0">
      <w:pPr>
        <w:pStyle w:val="Heading3"/>
      </w:pPr>
      <w:r w:rsidRPr="008D7AB4">
        <w:t>That the Fund Secretariat has updated the Agreement between the Government of Brazil and the Executive Committee, as contained in Annex</w:t>
      </w:r>
      <w:r w:rsidR="00BD6CCF" w:rsidRPr="008D7AB4">
        <w:t> II</w:t>
      </w:r>
      <w:r w:rsidRPr="008D7AB4">
        <w:t xml:space="preserve"> to the present document, specifically: Appendix 2-A, including the funding deduction from the sixth tranche for UNDP referred to in sub</w:t>
      </w:r>
      <w:r w:rsidRPr="008D7AB4">
        <w:noBreakHyphen/>
        <w:t>paragraph (a)(iv) above, the adjustment of the first tranche for UNIDO due to the return of funds referred to in decision 88/61(a)(iii), the reduction of the remaining eligible consumption referred to in sub</w:t>
      </w:r>
      <w:r w:rsidRPr="008D7AB4">
        <w:noBreakHyphen/>
        <w:t>paragraph (a)(v) above, and the postponement of the sixth tranche to 2024; Appendix 7-A, adjusting the reductions in funding for failure to comply; and paragraph 16, modified to indicate that the updated Agreement supersedes that reached at the 88</w:t>
      </w:r>
      <w:r w:rsidRPr="008D7AB4">
        <w:rPr>
          <w:vertAlign w:val="superscript"/>
        </w:rPr>
        <w:t>th</w:t>
      </w:r>
      <w:r w:rsidRPr="008D7AB4">
        <w:t> meeting;</w:t>
      </w:r>
    </w:p>
    <w:p w14:paraId="66462104" w14:textId="77777777" w:rsidR="00980BF0" w:rsidRPr="008D7AB4" w:rsidRDefault="00980BF0" w:rsidP="00980BF0">
      <w:pPr>
        <w:pStyle w:val="Heading3"/>
        <w:numPr>
          <w:ilvl w:val="1"/>
          <w:numId w:val="1"/>
        </w:numPr>
      </w:pPr>
      <w:r w:rsidRPr="008D7AB4">
        <w:t>To approve:</w:t>
      </w:r>
    </w:p>
    <w:p w14:paraId="2B6D75B0" w14:textId="77777777" w:rsidR="00980BF0" w:rsidRPr="008D7AB4" w:rsidRDefault="00980BF0" w:rsidP="00980BF0">
      <w:pPr>
        <w:pStyle w:val="Heading3"/>
      </w:pPr>
      <w:r w:rsidRPr="008D7AB4">
        <w:t>The reallocation of US $132,000 from the enterprises Gelomax and So Frio to the enterprises Peracchi and Zero Grau, as indicated in sub-paragraph (a)(vi) above;</w:t>
      </w:r>
    </w:p>
    <w:p w14:paraId="2148B59C" w14:textId="07B882B1" w:rsidR="00980BF0" w:rsidRPr="008D7AB4" w:rsidRDefault="00980BF0" w:rsidP="00C620F7">
      <w:pPr>
        <w:pStyle w:val="Heading3"/>
        <w:keepNext/>
        <w:keepLines/>
      </w:pPr>
      <w:r w:rsidRPr="008D7AB4">
        <w:t xml:space="preserve">The extension of the implementation period of </w:t>
      </w:r>
      <w:r w:rsidR="00B92759">
        <w:t>stage </w:t>
      </w:r>
      <w:r w:rsidRPr="008D7AB4">
        <w:t>II of the HPMP for Brazil to 31 December 2025, given delays in implementing phase</w:t>
      </w:r>
      <w:r w:rsidRPr="008D7AB4">
        <w:noBreakHyphen/>
        <w:t>out activities owing to the COVID</w:t>
      </w:r>
      <w:r w:rsidRPr="008D7AB4">
        <w:noBreakHyphen/>
        <w:t>19 pandemic, on the understanding that no further extension would be requested; and</w:t>
      </w:r>
    </w:p>
    <w:p w14:paraId="7D6BDEE3" w14:textId="77777777" w:rsidR="00980BF0" w:rsidRPr="008D7AB4" w:rsidRDefault="00980BF0" w:rsidP="00980BF0">
      <w:pPr>
        <w:pStyle w:val="Heading2"/>
      </w:pPr>
      <w:r w:rsidRPr="008D7AB4">
        <w:t>To request that UNDP continue to assist the Government of Brazil in securing the supply of alternative technologies with low global-warming potential (GWP) to the Amino, Flexível, Purcom and U-Tech systems houses, on the understanding that any incremental operational costs related to the conversions (where applicable) would not be paid until the technology originally selected or another low-GWP technology had been fully introduced, and to provide, at each meeting until the technology originally selected or another low</w:t>
      </w:r>
      <w:r w:rsidRPr="008D7AB4">
        <w:noBreakHyphen/>
        <w:t>GWP technology had been fully introduced, a report on the status of temporary use of high</w:t>
      </w:r>
      <w:r w:rsidRPr="008D7AB4">
        <w:noBreakHyphen/>
        <w:t>GWP alternatives, along with an update from the suppliers on the progress made towards ensuring that the selected technologies, including associated components, were available on a commercial basis in the country.</w:t>
      </w:r>
    </w:p>
    <w:p w14:paraId="35620AC5" w14:textId="0D43F6C5" w:rsidR="006621BF" w:rsidRPr="008D7AB4" w:rsidRDefault="006621BF" w:rsidP="006621BF">
      <w:pPr>
        <w:rPr>
          <w:highlight w:val="yellow"/>
        </w:rPr>
      </w:pPr>
    </w:p>
    <w:p w14:paraId="035E96D2" w14:textId="5ECCB30E" w:rsidR="006621BF" w:rsidRPr="008D7AB4" w:rsidRDefault="006621BF" w:rsidP="006621BF">
      <w:pPr>
        <w:rPr>
          <w:highlight w:val="yellow"/>
        </w:rPr>
      </w:pPr>
    </w:p>
    <w:p w14:paraId="4A5085A5" w14:textId="77777777" w:rsidR="006621BF" w:rsidRPr="008D7AB4" w:rsidRDefault="006621BF" w:rsidP="006621BF">
      <w:pPr>
        <w:rPr>
          <w:highlight w:val="yellow"/>
        </w:rPr>
        <w:sectPr w:rsidR="006621BF" w:rsidRPr="008D7AB4" w:rsidSect="008D7AB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docGrid w:linePitch="299"/>
        </w:sectPr>
      </w:pPr>
    </w:p>
    <w:p w14:paraId="6DFE05D6" w14:textId="64AFAF5F" w:rsidR="006621BF" w:rsidRPr="008D7AB4" w:rsidRDefault="006621BF" w:rsidP="006621BF">
      <w:pPr>
        <w:jc w:val="center"/>
        <w:rPr>
          <w:b/>
          <w:bCs/>
        </w:rPr>
      </w:pPr>
      <w:r w:rsidRPr="008D7AB4">
        <w:rPr>
          <w:b/>
          <w:bCs/>
        </w:rPr>
        <w:t>Annex I</w:t>
      </w:r>
    </w:p>
    <w:p w14:paraId="42E7BE68" w14:textId="3011824A" w:rsidR="006621BF" w:rsidRPr="008D7AB4" w:rsidRDefault="006621BF" w:rsidP="006621BF"/>
    <w:p w14:paraId="2554698F" w14:textId="1095EC85" w:rsidR="00EE69D4" w:rsidRPr="008D7AB4" w:rsidRDefault="00EE69D4" w:rsidP="00EE69D4">
      <w:pPr>
        <w:pStyle w:val="Heading2"/>
        <w:numPr>
          <w:ilvl w:val="0"/>
          <w:numId w:val="0"/>
        </w:numPr>
        <w:ind w:left="100"/>
        <w:jc w:val="center"/>
      </w:pPr>
      <w:r w:rsidRPr="008D7AB4">
        <w:rPr>
          <w:rFonts w:eastAsiaTheme="minorHAnsi" w:hAnsiTheme="minorHAnsi" w:cstheme="minorBidi"/>
          <w:b/>
          <w:spacing w:val="-1"/>
        </w:rPr>
        <w:t xml:space="preserve">TEXT TO BE INCLUDED IN THE UPDATED AGREEMENT BETWEEN THE GOVERNMENT OF BRUNEI DARUSSALAM AND THE EXECUTIVE COMMITTEE OF THE MULTILATERAL FUND FOR THE REDUCTION IN CONSUMPTION OF HYDROCHLOROFLUOROCARBONS IN ACCORDANCE WITH </w:t>
      </w:r>
      <w:r w:rsidR="00B92759">
        <w:rPr>
          <w:rFonts w:eastAsiaTheme="minorHAnsi" w:hAnsiTheme="minorHAnsi" w:cstheme="minorBidi"/>
          <w:b/>
          <w:spacing w:val="-1"/>
        </w:rPr>
        <w:t>STAGE</w:t>
      </w:r>
      <w:r w:rsidR="00B92759">
        <w:rPr>
          <w:rFonts w:eastAsiaTheme="minorHAnsi" w:hAnsiTheme="minorHAnsi" w:cstheme="minorBidi"/>
          <w:b/>
          <w:spacing w:val="-1"/>
        </w:rPr>
        <w:t> </w:t>
      </w:r>
      <w:r w:rsidRPr="008D7AB4">
        <w:rPr>
          <w:rFonts w:eastAsiaTheme="minorHAnsi" w:hAnsiTheme="minorHAnsi" w:cstheme="minorBidi"/>
          <w:b/>
          <w:spacing w:val="-1"/>
        </w:rPr>
        <w:t>II OF THE HCFC PHASE-OUT MANAGEMENT PLAN</w:t>
      </w:r>
    </w:p>
    <w:p w14:paraId="32624839" w14:textId="77777777" w:rsidR="00EE69D4" w:rsidRPr="008D7AB4" w:rsidRDefault="00EE69D4" w:rsidP="00EE69D4">
      <w:pPr>
        <w:widowControl w:val="0"/>
        <w:tabs>
          <w:tab w:val="left" w:pos="821"/>
        </w:tabs>
        <w:ind w:left="100" w:right="221"/>
        <w:jc w:val="center"/>
        <w:rPr>
          <w:rFonts w:cstheme="minorBidi"/>
        </w:rPr>
      </w:pPr>
      <w:r w:rsidRPr="008D7AB4">
        <w:rPr>
          <w:rFonts w:cstheme="minorBidi"/>
        </w:rPr>
        <w:t>(Relevant changes are in bold font for ease of reference)</w:t>
      </w:r>
    </w:p>
    <w:p w14:paraId="7F79922A" w14:textId="77777777" w:rsidR="00EE69D4" w:rsidRPr="008D7AB4" w:rsidRDefault="00EE69D4" w:rsidP="00EE69D4"/>
    <w:p w14:paraId="75E93ED4" w14:textId="77777777" w:rsidR="00EE69D4" w:rsidRPr="008D7AB4" w:rsidRDefault="00EE69D4" w:rsidP="00EE69D4">
      <w:pPr>
        <w:pStyle w:val="Heading1"/>
        <w:numPr>
          <w:ilvl w:val="0"/>
          <w:numId w:val="15"/>
        </w:numPr>
      </w:pPr>
      <w:r w:rsidRPr="008D7AB4">
        <w:t xml:space="preserve">The Country agrees to assume overall responsibility for the management and implementation of this Agreement and of all activities undertaken by it or on its behalf to fulfil the obligations under this Agreement. UNEP has agreed to be the lead implementing agency (the “Lead IA”) and </w:t>
      </w:r>
      <w:r w:rsidRPr="008D7AB4">
        <w:rPr>
          <w:b/>
          <w:bCs/>
        </w:rPr>
        <w:t>UNIDO</w:t>
      </w:r>
      <w:r w:rsidRPr="008D7AB4">
        <w:t xml:space="preserve">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101C48AC" w14:textId="31359F27" w:rsidR="00EE69D4" w:rsidRPr="008D7AB4" w:rsidRDefault="00EE69D4" w:rsidP="00EE69D4">
      <w:pPr>
        <w:pStyle w:val="Heading1"/>
        <w:keepNext/>
        <w:keepLines/>
        <w:numPr>
          <w:ilvl w:val="0"/>
          <w:numId w:val="16"/>
        </w:numPr>
        <w:rPr>
          <w:b/>
          <w:bCs/>
        </w:rPr>
      </w:pPr>
      <w:bookmarkStart w:id="12" w:name="_Hlk118288831"/>
      <w:r w:rsidRPr="008D7AB4">
        <w:rPr>
          <w:b/>
          <w:bCs/>
        </w:rPr>
        <w:t>At the 91</w:t>
      </w:r>
      <w:r w:rsidRPr="008D7AB4">
        <w:rPr>
          <w:b/>
          <w:bCs/>
          <w:vertAlign w:val="superscript"/>
        </w:rPr>
        <w:t>st</w:t>
      </w:r>
      <w:r w:rsidR="00A04F54">
        <w:rPr>
          <w:b/>
          <w:bCs/>
        </w:rPr>
        <w:t> meeting</w:t>
      </w:r>
      <w:r w:rsidRPr="008D7AB4">
        <w:rPr>
          <w:b/>
          <w:bCs/>
        </w:rPr>
        <w:t>, UNDP stopped being the Cooperating IA in respect of the Country’s activities under this Agreement. This updated Agreement supersedes the Agreement reached between the Government of Brunei Darussalam and the Executive Committee at the 86</w:t>
      </w:r>
      <w:r w:rsidRPr="008D7AB4">
        <w:rPr>
          <w:b/>
          <w:bCs/>
          <w:vertAlign w:val="superscript"/>
        </w:rPr>
        <w:t>th</w:t>
      </w:r>
      <w:r w:rsidR="00A04F54">
        <w:rPr>
          <w:b/>
          <w:bCs/>
        </w:rPr>
        <w:t> meeting</w:t>
      </w:r>
      <w:r w:rsidRPr="008D7AB4">
        <w:rPr>
          <w:b/>
          <w:bCs/>
        </w:rPr>
        <w:t xml:space="preserve"> of the Executive Committee.</w:t>
      </w:r>
    </w:p>
    <w:bookmarkEnd w:id="12"/>
    <w:p w14:paraId="281CB97D" w14:textId="77777777" w:rsidR="00EE69D4" w:rsidRPr="008D7AB4" w:rsidRDefault="00EE69D4" w:rsidP="00EE69D4">
      <w:pPr>
        <w:rPr>
          <w:b/>
          <w:bCs/>
        </w:rPr>
      </w:pPr>
      <w:r w:rsidRPr="008D7AB4">
        <w:rPr>
          <w:b/>
          <w:bCs/>
        </w:rPr>
        <w:t xml:space="preserve">APPENDIX 2-A: </w:t>
      </w:r>
      <w:r w:rsidRPr="008D7AB4">
        <w:rPr>
          <w:b/>
          <w:bCs/>
          <w:spacing w:val="-2"/>
        </w:rPr>
        <w:t>THE</w:t>
      </w:r>
      <w:r w:rsidRPr="008D7AB4">
        <w:rPr>
          <w:b/>
          <w:bCs/>
        </w:rPr>
        <w:t xml:space="preserve"> </w:t>
      </w:r>
      <w:r w:rsidRPr="008D7AB4">
        <w:rPr>
          <w:b/>
          <w:bCs/>
          <w:spacing w:val="-2"/>
        </w:rPr>
        <w:t>TARGETS,</w:t>
      </w:r>
      <w:r w:rsidRPr="008D7AB4">
        <w:rPr>
          <w:b/>
          <w:bCs/>
        </w:rPr>
        <w:t xml:space="preserve"> </w:t>
      </w:r>
      <w:r w:rsidRPr="008D7AB4">
        <w:rPr>
          <w:b/>
          <w:bCs/>
          <w:spacing w:val="-2"/>
        </w:rPr>
        <w:t>AND</w:t>
      </w:r>
      <w:r w:rsidRPr="008D7AB4">
        <w:rPr>
          <w:b/>
          <w:bCs/>
        </w:rPr>
        <w:t xml:space="preserve"> FUNDING</w:t>
      </w:r>
    </w:p>
    <w:tbl>
      <w:tblPr>
        <w:tblW w:w="5053" w:type="pct"/>
        <w:tblInd w:w="-5" w:type="dxa"/>
        <w:tblLayout w:type="fixed"/>
        <w:tblLook w:val="04A0" w:firstRow="1" w:lastRow="0" w:firstColumn="1" w:lastColumn="0" w:noHBand="0" w:noVBand="1"/>
      </w:tblPr>
      <w:tblGrid>
        <w:gridCol w:w="615"/>
        <w:gridCol w:w="2264"/>
        <w:gridCol w:w="819"/>
        <w:gridCol w:w="820"/>
        <w:gridCol w:w="819"/>
        <w:gridCol w:w="820"/>
        <w:gridCol w:w="819"/>
        <w:gridCol w:w="820"/>
        <w:gridCol w:w="843"/>
        <w:gridCol w:w="810"/>
      </w:tblGrid>
      <w:tr w:rsidR="00EE69D4" w:rsidRPr="008D7AB4" w14:paraId="6F68A7A6" w14:textId="77777777" w:rsidTr="00C665F2">
        <w:trPr>
          <w:tblHeader/>
        </w:trPr>
        <w:tc>
          <w:tcPr>
            <w:tcW w:w="615"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vAlign w:val="center"/>
            <w:hideMark/>
          </w:tcPr>
          <w:p w14:paraId="7104C36E" w14:textId="77777777" w:rsidR="00EE69D4" w:rsidRPr="008D7AB4" w:rsidRDefault="00EE69D4" w:rsidP="00C665F2">
            <w:pPr>
              <w:jc w:val="center"/>
              <w:rPr>
                <w:b/>
                <w:bCs/>
                <w:color w:val="000000"/>
                <w:sz w:val="20"/>
                <w:szCs w:val="20"/>
                <w:lang w:bidi="th-TH"/>
              </w:rPr>
            </w:pPr>
            <w:r w:rsidRPr="008D7AB4">
              <w:rPr>
                <w:b/>
                <w:bCs/>
                <w:color w:val="000000"/>
                <w:sz w:val="20"/>
                <w:szCs w:val="20"/>
                <w:lang w:bidi="th-TH"/>
              </w:rPr>
              <w:t>Row</w:t>
            </w:r>
          </w:p>
        </w:tc>
        <w:tc>
          <w:tcPr>
            <w:tcW w:w="2264" w:type="dxa"/>
            <w:tcBorders>
              <w:top w:val="single" w:sz="4" w:space="0" w:color="auto"/>
              <w:left w:val="nil"/>
              <w:bottom w:val="single" w:sz="4" w:space="0" w:color="auto"/>
              <w:right w:val="single" w:sz="4" w:space="0" w:color="auto"/>
            </w:tcBorders>
            <w:shd w:val="clear" w:color="auto" w:fill="auto"/>
            <w:vAlign w:val="center"/>
            <w:hideMark/>
          </w:tcPr>
          <w:p w14:paraId="5ECA36B0" w14:textId="77777777" w:rsidR="00EE69D4" w:rsidRPr="008D7AB4" w:rsidRDefault="00EE69D4" w:rsidP="00C665F2">
            <w:pPr>
              <w:jc w:val="center"/>
              <w:rPr>
                <w:b/>
                <w:bCs/>
                <w:color w:val="000000"/>
                <w:sz w:val="20"/>
                <w:szCs w:val="20"/>
                <w:lang w:bidi="th-TH"/>
              </w:rPr>
            </w:pPr>
            <w:r w:rsidRPr="008D7AB4">
              <w:rPr>
                <w:b/>
                <w:bCs/>
                <w:color w:val="000000"/>
                <w:sz w:val="20"/>
                <w:szCs w:val="20"/>
                <w:lang w:bidi="th-TH"/>
              </w:rPr>
              <w:t>Particulars</w:t>
            </w:r>
          </w:p>
        </w:tc>
        <w:tc>
          <w:tcPr>
            <w:tcW w:w="819" w:type="dxa"/>
            <w:tcBorders>
              <w:top w:val="single" w:sz="4" w:space="0" w:color="auto"/>
              <w:left w:val="nil"/>
              <w:bottom w:val="single" w:sz="4" w:space="0" w:color="auto"/>
              <w:right w:val="single" w:sz="4" w:space="0" w:color="auto"/>
            </w:tcBorders>
            <w:shd w:val="clear" w:color="auto" w:fill="auto"/>
            <w:noWrap/>
            <w:tcMar>
              <w:left w:w="0" w:type="dxa"/>
              <w:right w:w="58" w:type="dxa"/>
            </w:tcMar>
            <w:vAlign w:val="center"/>
            <w:hideMark/>
          </w:tcPr>
          <w:p w14:paraId="0EA0F527" w14:textId="77777777" w:rsidR="00EE69D4" w:rsidRPr="008D7AB4" w:rsidRDefault="00EE69D4" w:rsidP="00C665F2">
            <w:pPr>
              <w:jc w:val="center"/>
              <w:rPr>
                <w:b/>
                <w:bCs/>
                <w:color w:val="000000"/>
                <w:sz w:val="20"/>
                <w:szCs w:val="20"/>
                <w:lang w:bidi="th-TH"/>
              </w:rPr>
            </w:pPr>
            <w:r w:rsidRPr="008D7AB4">
              <w:rPr>
                <w:b/>
                <w:bCs/>
                <w:color w:val="000000"/>
                <w:sz w:val="20"/>
                <w:szCs w:val="20"/>
                <w:lang w:bidi="th-TH"/>
              </w:rPr>
              <w:t>2020</w:t>
            </w:r>
          </w:p>
        </w:tc>
        <w:tc>
          <w:tcPr>
            <w:tcW w:w="820" w:type="dxa"/>
            <w:tcBorders>
              <w:top w:val="single" w:sz="4" w:space="0" w:color="auto"/>
              <w:left w:val="nil"/>
              <w:bottom w:val="single" w:sz="4" w:space="0" w:color="auto"/>
              <w:right w:val="single" w:sz="4" w:space="0" w:color="auto"/>
            </w:tcBorders>
            <w:shd w:val="clear" w:color="auto" w:fill="auto"/>
            <w:noWrap/>
            <w:tcMar>
              <w:left w:w="0" w:type="dxa"/>
              <w:right w:w="58" w:type="dxa"/>
            </w:tcMar>
            <w:vAlign w:val="center"/>
            <w:hideMark/>
          </w:tcPr>
          <w:p w14:paraId="4FE98C45" w14:textId="77777777" w:rsidR="00EE69D4" w:rsidRPr="008D7AB4" w:rsidRDefault="00EE69D4" w:rsidP="00C665F2">
            <w:pPr>
              <w:jc w:val="center"/>
              <w:rPr>
                <w:b/>
                <w:bCs/>
                <w:color w:val="000000"/>
                <w:sz w:val="20"/>
                <w:szCs w:val="20"/>
                <w:lang w:bidi="th-TH"/>
              </w:rPr>
            </w:pPr>
            <w:r w:rsidRPr="008D7AB4">
              <w:rPr>
                <w:b/>
                <w:bCs/>
                <w:color w:val="000000"/>
                <w:sz w:val="20"/>
                <w:szCs w:val="20"/>
                <w:lang w:bidi="th-TH"/>
              </w:rPr>
              <w:t>2021-2023</w:t>
            </w:r>
          </w:p>
        </w:tc>
        <w:tc>
          <w:tcPr>
            <w:tcW w:w="819" w:type="dxa"/>
            <w:tcBorders>
              <w:top w:val="single" w:sz="4" w:space="0" w:color="auto"/>
              <w:left w:val="nil"/>
              <w:bottom w:val="single" w:sz="4" w:space="0" w:color="auto"/>
              <w:right w:val="single" w:sz="4" w:space="0" w:color="auto"/>
            </w:tcBorders>
            <w:shd w:val="clear" w:color="auto" w:fill="auto"/>
            <w:noWrap/>
            <w:tcMar>
              <w:left w:w="0" w:type="dxa"/>
              <w:right w:w="58" w:type="dxa"/>
            </w:tcMar>
            <w:vAlign w:val="center"/>
            <w:hideMark/>
          </w:tcPr>
          <w:p w14:paraId="4DB70842" w14:textId="77777777" w:rsidR="00EE69D4" w:rsidRPr="008D7AB4" w:rsidRDefault="00EE69D4" w:rsidP="00C665F2">
            <w:pPr>
              <w:jc w:val="center"/>
              <w:rPr>
                <w:b/>
                <w:bCs/>
                <w:color w:val="000000"/>
                <w:sz w:val="20"/>
                <w:szCs w:val="20"/>
                <w:lang w:bidi="th-TH"/>
              </w:rPr>
            </w:pPr>
            <w:r w:rsidRPr="008D7AB4">
              <w:rPr>
                <w:b/>
                <w:bCs/>
                <w:color w:val="000000"/>
                <w:sz w:val="20"/>
                <w:szCs w:val="20"/>
                <w:lang w:bidi="th-TH"/>
              </w:rPr>
              <w:t>2024</w:t>
            </w:r>
          </w:p>
        </w:tc>
        <w:tc>
          <w:tcPr>
            <w:tcW w:w="820" w:type="dxa"/>
            <w:tcBorders>
              <w:top w:val="single" w:sz="4" w:space="0" w:color="auto"/>
              <w:left w:val="nil"/>
              <w:bottom w:val="single" w:sz="4" w:space="0" w:color="auto"/>
              <w:right w:val="single" w:sz="4" w:space="0" w:color="auto"/>
            </w:tcBorders>
            <w:shd w:val="clear" w:color="auto" w:fill="auto"/>
            <w:noWrap/>
            <w:tcMar>
              <w:left w:w="0" w:type="dxa"/>
              <w:right w:w="58" w:type="dxa"/>
            </w:tcMar>
            <w:vAlign w:val="center"/>
            <w:hideMark/>
          </w:tcPr>
          <w:p w14:paraId="01C4B9FA" w14:textId="77777777" w:rsidR="00EE69D4" w:rsidRPr="008D7AB4" w:rsidRDefault="00EE69D4" w:rsidP="00C665F2">
            <w:pPr>
              <w:jc w:val="center"/>
              <w:rPr>
                <w:b/>
                <w:bCs/>
                <w:color w:val="000000"/>
                <w:sz w:val="20"/>
                <w:szCs w:val="20"/>
                <w:lang w:bidi="th-TH"/>
              </w:rPr>
            </w:pPr>
            <w:r w:rsidRPr="008D7AB4">
              <w:rPr>
                <w:b/>
                <w:bCs/>
                <w:color w:val="000000"/>
                <w:sz w:val="20"/>
                <w:szCs w:val="20"/>
                <w:lang w:bidi="th-TH"/>
              </w:rPr>
              <w:t>2025-2026</w:t>
            </w:r>
          </w:p>
        </w:tc>
        <w:tc>
          <w:tcPr>
            <w:tcW w:w="819" w:type="dxa"/>
            <w:tcBorders>
              <w:top w:val="single" w:sz="4" w:space="0" w:color="auto"/>
              <w:left w:val="nil"/>
              <w:bottom w:val="single" w:sz="4" w:space="0" w:color="auto"/>
              <w:right w:val="single" w:sz="4" w:space="0" w:color="auto"/>
            </w:tcBorders>
            <w:shd w:val="clear" w:color="auto" w:fill="auto"/>
            <w:noWrap/>
            <w:tcMar>
              <w:left w:w="0" w:type="dxa"/>
              <w:right w:w="58" w:type="dxa"/>
            </w:tcMar>
            <w:vAlign w:val="center"/>
            <w:hideMark/>
          </w:tcPr>
          <w:p w14:paraId="731F51CE" w14:textId="77777777" w:rsidR="00EE69D4" w:rsidRPr="008D7AB4" w:rsidRDefault="00EE69D4" w:rsidP="00C665F2">
            <w:pPr>
              <w:jc w:val="center"/>
              <w:rPr>
                <w:b/>
                <w:bCs/>
                <w:color w:val="000000"/>
                <w:sz w:val="20"/>
                <w:szCs w:val="20"/>
                <w:lang w:bidi="th-TH"/>
              </w:rPr>
            </w:pPr>
            <w:r w:rsidRPr="008D7AB4">
              <w:rPr>
                <w:b/>
                <w:bCs/>
                <w:color w:val="000000"/>
                <w:sz w:val="20"/>
                <w:szCs w:val="20"/>
                <w:lang w:bidi="th-TH"/>
              </w:rPr>
              <w:t>2027</w:t>
            </w:r>
          </w:p>
        </w:tc>
        <w:tc>
          <w:tcPr>
            <w:tcW w:w="820" w:type="dxa"/>
            <w:tcBorders>
              <w:top w:val="single" w:sz="4" w:space="0" w:color="auto"/>
              <w:left w:val="nil"/>
              <w:bottom w:val="single" w:sz="4" w:space="0" w:color="auto"/>
              <w:right w:val="single" w:sz="4" w:space="0" w:color="auto"/>
            </w:tcBorders>
            <w:shd w:val="clear" w:color="auto" w:fill="auto"/>
            <w:noWrap/>
            <w:tcMar>
              <w:left w:w="0" w:type="dxa"/>
              <w:right w:w="58" w:type="dxa"/>
            </w:tcMar>
            <w:vAlign w:val="center"/>
            <w:hideMark/>
          </w:tcPr>
          <w:p w14:paraId="13924F91" w14:textId="77777777" w:rsidR="00EE69D4" w:rsidRPr="008D7AB4" w:rsidRDefault="00EE69D4" w:rsidP="00C665F2">
            <w:pPr>
              <w:jc w:val="center"/>
              <w:rPr>
                <w:b/>
                <w:bCs/>
                <w:color w:val="000000"/>
                <w:sz w:val="20"/>
                <w:szCs w:val="20"/>
                <w:lang w:bidi="th-TH"/>
              </w:rPr>
            </w:pPr>
            <w:r w:rsidRPr="008D7AB4">
              <w:rPr>
                <w:b/>
                <w:bCs/>
                <w:color w:val="000000"/>
                <w:sz w:val="20"/>
                <w:szCs w:val="20"/>
                <w:lang w:bidi="th-TH"/>
              </w:rPr>
              <w:t>2028-2029</w:t>
            </w:r>
          </w:p>
        </w:tc>
        <w:tc>
          <w:tcPr>
            <w:tcW w:w="843" w:type="dxa"/>
            <w:tcBorders>
              <w:top w:val="single" w:sz="4" w:space="0" w:color="auto"/>
              <w:left w:val="nil"/>
              <w:bottom w:val="single" w:sz="4" w:space="0" w:color="auto"/>
              <w:right w:val="single" w:sz="4" w:space="0" w:color="auto"/>
            </w:tcBorders>
            <w:shd w:val="clear" w:color="auto" w:fill="auto"/>
            <w:noWrap/>
            <w:tcMar>
              <w:left w:w="0" w:type="dxa"/>
              <w:right w:w="58" w:type="dxa"/>
            </w:tcMar>
            <w:vAlign w:val="center"/>
            <w:hideMark/>
          </w:tcPr>
          <w:p w14:paraId="6F031E4D" w14:textId="77777777" w:rsidR="00EE69D4" w:rsidRPr="008D7AB4" w:rsidRDefault="00EE69D4" w:rsidP="00C665F2">
            <w:pPr>
              <w:jc w:val="center"/>
              <w:rPr>
                <w:b/>
                <w:bCs/>
                <w:color w:val="000000"/>
                <w:sz w:val="20"/>
                <w:szCs w:val="20"/>
                <w:lang w:bidi="th-TH"/>
              </w:rPr>
            </w:pPr>
            <w:r w:rsidRPr="008D7AB4">
              <w:rPr>
                <w:b/>
                <w:bCs/>
                <w:color w:val="000000"/>
                <w:sz w:val="20"/>
                <w:szCs w:val="20"/>
                <w:lang w:bidi="th-TH"/>
              </w:rPr>
              <w:t>2030</w:t>
            </w:r>
          </w:p>
        </w:tc>
        <w:tc>
          <w:tcPr>
            <w:tcW w:w="810" w:type="dxa"/>
            <w:tcBorders>
              <w:top w:val="single" w:sz="4" w:space="0" w:color="auto"/>
              <w:left w:val="nil"/>
              <w:bottom w:val="single" w:sz="4" w:space="0" w:color="auto"/>
              <w:right w:val="single" w:sz="4" w:space="0" w:color="auto"/>
            </w:tcBorders>
            <w:shd w:val="clear" w:color="auto" w:fill="auto"/>
            <w:noWrap/>
            <w:tcMar>
              <w:left w:w="0" w:type="dxa"/>
              <w:right w:w="58" w:type="dxa"/>
            </w:tcMar>
            <w:vAlign w:val="center"/>
            <w:hideMark/>
          </w:tcPr>
          <w:p w14:paraId="65AE6BC1" w14:textId="77777777" w:rsidR="00EE69D4" w:rsidRPr="008D7AB4" w:rsidRDefault="00EE69D4" w:rsidP="00C665F2">
            <w:pPr>
              <w:jc w:val="center"/>
              <w:rPr>
                <w:b/>
                <w:bCs/>
                <w:color w:val="000000"/>
                <w:sz w:val="20"/>
                <w:szCs w:val="20"/>
                <w:lang w:bidi="th-TH"/>
              </w:rPr>
            </w:pPr>
            <w:r w:rsidRPr="008D7AB4">
              <w:rPr>
                <w:b/>
                <w:bCs/>
                <w:color w:val="000000"/>
                <w:sz w:val="20"/>
                <w:szCs w:val="20"/>
                <w:lang w:bidi="th-TH"/>
              </w:rPr>
              <w:t>Total</w:t>
            </w:r>
          </w:p>
        </w:tc>
      </w:tr>
      <w:tr w:rsidR="00EE69D4" w:rsidRPr="008D7AB4" w14:paraId="0257F8E2" w14:textId="77777777" w:rsidTr="00C665F2">
        <w:tc>
          <w:tcPr>
            <w:tcW w:w="615"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1CF471A9" w14:textId="77777777" w:rsidR="00EE69D4" w:rsidRPr="008D7AB4" w:rsidRDefault="00EE69D4" w:rsidP="00C665F2">
            <w:pPr>
              <w:jc w:val="left"/>
              <w:rPr>
                <w:color w:val="000000"/>
                <w:sz w:val="20"/>
                <w:szCs w:val="20"/>
                <w:lang w:bidi="th-TH"/>
              </w:rPr>
            </w:pPr>
            <w:r w:rsidRPr="008D7AB4">
              <w:rPr>
                <w:color w:val="000000"/>
                <w:sz w:val="20"/>
                <w:szCs w:val="20"/>
                <w:lang w:bidi="th-TH"/>
              </w:rPr>
              <w:t>1.1</w:t>
            </w:r>
          </w:p>
        </w:tc>
        <w:tc>
          <w:tcPr>
            <w:tcW w:w="2264" w:type="dxa"/>
            <w:tcBorders>
              <w:top w:val="nil"/>
              <w:left w:val="nil"/>
              <w:bottom w:val="single" w:sz="4" w:space="0" w:color="auto"/>
              <w:right w:val="single" w:sz="4" w:space="0" w:color="auto"/>
            </w:tcBorders>
            <w:shd w:val="clear" w:color="auto" w:fill="auto"/>
            <w:hideMark/>
          </w:tcPr>
          <w:p w14:paraId="68B918AA" w14:textId="77777777" w:rsidR="00EE69D4" w:rsidRPr="008D7AB4" w:rsidRDefault="00EE69D4" w:rsidP="00C665F2">
            <w:pPr>
              <w:jc w:val="left"/>
              <w:rPr>
                <w:color w:val="000000"/>
                <w:sz w:val="20"/>
                <w:szCs w:val="20"/>
                <w:lang w:bidi="th-TH"/>
              </w:rPr>
            </w:pPr>
            <w:r w:rsidRPr="008D7AB4">
              <w:rPr>
                <w:color w:val="000000"/>
                <w:sz w:val="20"/>
                <w:szCs w:val="20"/>
                <w:lang w:bidi="th-TH"/>
              </w:rPr>
              <w:t>Montreal Protocol reduction schedule of Annex C, Group I substances (ODP tonnes)</w:t>
            </w:r>
          </w:p>
        </w:tc>
        <w:tc>
          <w:tcPr>
            <w:tcW w:w="819" w:type="dxa"/>
            <w:tcBorders>
              <w:top w:val="nil"/>
              <w:left w:val="nil"/>
              <w:bottom w:val="single" w:sz="4" w:space="0" w:color="auto"/>
              <w:right w:val="single" w:sz="4" w:space="0" w:color="auto"/>
            </w:tcBorders>
            <w:shd w:val="clear" w:color="auto" w:fill="auto"/>
            <w:noWrap/>
            <w:tcMar>
              <w:left w:w="0" w:type="dxa"/>
              <w:right w:w="58" w:type="dxa"/>
            </w:tcMar>
            <w:hideMark/>
          </w:tcPr>
          <w:p w14:paraId="1FF41B69" w14:textId="77777777" w:rsidR="00EE69D4" w:rsidRPr="008D7AB4" w:rsidRDefault="00EE69D4" w:rsidP="00C665F2">
            <w:pPr>
              <w:jc w:val="right"/>
              <w:rPr>
                <w:color w:val="000000"/>
                <w:sz w:val="20"/>
                <w:szCs w:val="20"/>
                <w:lang w:bidi="th-TH"/>
              </w:rPr>
            </w:pPr>
            <w:r w:rsidRPr="008D7AB4">
              <w:rPr>
                <w:color w:val="000000"/>
                <w:sz w:val="20"/>
                <w:szCs w:val="20"/>
                <w:lang w:bidi="th-TH"/>
              </w:rPr>
              <w:t>3.96</w:t>
            </w:r>
          </w:p>
        </w:tc>
        <w:tc>
          <w:tcPr>
            <w:tcW w:w="820" w:type="dxa"/>
            <w:tcBorders>
              <w:top w:val="nil"/>
              <w:left w:val="nil"/>
              <w:bottom w:val="single" w:sz="4" w:space="0" w:color="auto"/>
              <w:right w:val="single" w:sz="4" w:space="0" w:color="auto"/>
            </w:tcBorders>
            <w:shd w:val="clear" w:color="auto" w:fill="auto"/>
            <w:noWrap/>
            <w:tcMar>
              <w:left w:w="0" w:type="dxa"/>
              <w:right w:w="58" w:type="dxa"/>
            </w:tcMar>
            <w:hideMark/>
          </w:tcPr>
          <w:p w14:paraId="72CC42F7" w14:textId="77777777" w:rsidR="00EE69D4" w:rsidRPr="008D7AB4" w:rsidRDefault="00EE69D4" w:rsidP="00C665F2">
            <w:pPr>
              <w:jc w:val="right"/>
              <w:rPr>
                <w:color w:val="000000"/>
                <w:sz w:val="20"/>
                <w:szCs w:val="20"/>
                <w:lang w:bidi="th-TH"/>
              </w:rPr>
            </w:pPr>
            <w:r w:rsidRPr="008D7AB4">
              <w:rPr>
                <w:color w:val="000000"/>
                <w:sz w:val="20"/>
                <w:szCs w:val="20"/>
                <w:lang w:bidi="th-TH"/>
              </w:rPr>
              <w:t>3.96</w:t>
            </w:r>
          </w:p>
        </w:tc>
        <w:tc>
          <w:tcPr>
            <w:tcW w:w="819" w:type="dxa"/>
            <w:tcBorders>
              <w:top w:val="nil"/>
              <w:left w:val="nil"/>
              <w:bottom w:val="single" w:sz="4" w:space="0" w:color="auto"/>
              <w:right w:val="single" w:sz="4" w:space="0" w:color="auto"/>
            </w:tcBorders>
            <w:shd w:val="clear" w:color="auto" w:fill="auto"/>
            <w:noWrap/>
            <w:tcMar>
              <w:left w:w="0" w:type="dxa"/>
              <w:right w:w="58" w:type="dxa"/>
            </w:tcMar>
            <w:hideMark/>
          </w:tcPr>
          <w:p w14:paraId="2131E3EF" w14:textId="77777777" w:rsidR="00EE69D4" w:rsidRPr="008D7AB4" w:rsidRDefault="00EE69D4" w:rsidP="00C665F2">
            <w:pPr>
              <w:jc w:val="right"/>
              <w:rPr>
                <w:color w:val="000000"/>
                <w:sz w:val="20"/>
                <w:szCs w:val="20"/>
                <w:lang w:bidi="th-TH"/>
              </w:rPr>
            </w:pPr>
            <w:r w:rsidRPr="008D7AB4">
              <w:rPr>
                <w:color w:val="000000"/>
                <w:sz w:val="20"/>
                <w:szCs w:val="20"/>
                <w:lang w:bidi="th-TH"/>
              </w:rPr>
              <w:t>3.96</w:t>
            </w:r>
          </w:p>
        </w:tc>
        <w:tc>
          <w:tcPr>
            <w:tcW w:w="820" w:type="dxa"/>
            <w:tcBorders>
              <w:top w:val="nil"/>
              <w:left w:val="nil"/>
              <w:bottom w:val="single" w:sz="4" w:space="0" w:color="auto"/>
              <w:right w:val="single" w:sz="4" w:space="0" w:color="auto"/>
            </w:tcBorders>
            <w:shd w:val="clear" w:color="auto" w:fill="auto"/>
            <w:noWrap/>
            <w:tcMar>
              <w:left w:w="0" w:type="dxa"/>
              <w:right w:w="58" w:type="dxa"/>
            </w:tcMar>
            <w:hideMark/>
          </w:tcPr>
          <w:p w14:paraId="12021860" w14:textId="77777777" w:rsidR="00EE69D4" w:rsidRPr="008D7AB4" w:rsidRDefault="00EE69D4" w:rsidP="00C665F2">
            <w:pPr>
              <w:jc w:val="right"/>
              <w:rPr>
                <w:color w:val="000000"/>
                <w:sz w:val="20"/>
                <w:szCs w:val="20"/>
                <w:lang w:bidi="th-TH"/>
              </w:rPr>
            </w:pPr>
            <w:r w:rsidRPr="008D7AB4">
              <w:rPr>
                <w:color w:val="000000"/>
                <w:sz w:val="20"/>
                <w:szCs w:val="20"/>
                <w:lang w:bidi="th-TH"/>
              </w:rPr>
              <w:t>1.98</w:t>
            </w:r>
          </w:p>
        </w:tc>
        <w:tc>
          <w:tcPr>
            <w:tcW w:w="819" w:type="dxa"/>
            <w:tcBorders>
              <w:top w:val="nil"/>
              <w:left w:val="nil"/>
              <w:bottom w:val="single" w:sz="4" w:space="0" w:color="auto"/>
              <w:right w:val="single" w:sz="4" w:space="0" w:color="auto"/>
            </w:tcBorders>
            <w:shd w:val="clear" w:color="auto" w:fill="auto"/>
            <w:noWrap/>
            <w:tcMar>
              <w:left w:w="0" w:type="dxa"/>
              <w:right w:w="58" w:type="dxa"/>
            </w:tcMar>
            <w:hideMark/>
          </w:tcPr>
          <w:p w14:paraId="756DD877" w14:textId="77777777" w:rsidR="00EE69D4" w:rsidRPr="008D7AB4" w:rsidRDefault="00EE69D4" w:rsidP="00C665F2">
            <w:pPr>
              <w:jc w:val="right"/>
              <w:rPr>
                <w:color w:val="000000"/>
                <w:sz w:val="20"/>
                <w:szCs w:val="20"/>
                <w:lang w:bidi="th-TH"/>
              </w:rPr>
            </w:pPr>
            <w:r w:rsidRPr="008D7AB4">
              <w:rPr>
                <w:color w:val="000000"/>
                <w:sz w:val="20"/>
                <w:szCs w:val="20"/>
                <w:lang w:bidi="th-TH"/>
              </w:rPr>
              <w:t>1.98</w:t>
            </w:r>
          </w:p>
        </w:tc>
        <w:tc>
          <w:tcPr>
            <w:tcW w:w="820" w:type="dxa"/>
            <w:tcBorders>
              <w:top w:val="nil"/>
              <w:left w:val="nil"/>
              <w:bottom w:val="single" w:sz="4" w:space="0" w:color="auto"/>
              <w:right w:val="single" w:sz="4" w:space="0" w:color="auto"/>
            </w:tcBorders>
            <w:shd w:val="clear" w:color="auto" w:fill="auto"/>
            <w:noWrap/>
            <w:tcMar>
              <w:left w:w="0" w:type="dxa"/>
              <w:right w:w="58" w:type="dxa"/>
            </w:tcMar>
            <w:hideMark/>
          </w:tcPr>
          <w:p w14:paraId="121632E9" w14:textId="77777777" w:rsidR="00EE69D4" w:rsidRPr="008D7AB4" w:rsidRDefault="00EE69D4" w:rsidP="00C665F2">
            <w:pPr>
              <w:jc w:val="right"/>
              <w:rPr>
                <w:color w:val="000000"/>
                <w:sz w:val="20"/>
                <w:szCs w:val="20"/>
                <w:lang w:bidi="th-TH"/>
              </w:rPr>
            </w:pPr>
            <w:r w:rsidRPr="008D7AB4">
              <w:rPr>
                <w:color w:val="000000"/>
                <w:sz w:val="20"/>
                <w:szCs w:val="20"/>
                <w:lang w:bidi="th-TH"/>
              </w:rPr>
              <w:t>1.98</w:t>
            </w:r>
          </w:p>
        </w:tc>
        <w:tc>
          <w:tcPr>
            <w:tcW w:w="843" w:type="dxa"/>
            <w:tcBorders>
              <w:top w:val="nil"/>
              <w:left w:val="nil"/>
              <w:bottom w:val="single" w:sz="4" w:space="0" w:color="auto"/>
              <w:right w:val="single" w:sz="4" w:space="0" w:color="auto"/>
            </w:tcBorders>
            <w:shd w:val="clear" w:color="auto" w:fill="auto"/>
            <w:noWrap/>
            <w:tcMar>
              <w:left w:w="0" w:type="dxa"/>
              <w:right w:w="58" w:type="dxa"/>
            </w:tcMar>
            <w:hideMark/>
          </w:tcPr>
          <w:p w14:paraId="78ABDAD9" w14:textId="77777777" w:rsidR="00EE69D4" w:rsidRPr="008D7AB4" w:rsidRDefault="00EE69D4" w:rsidP="00C665F2">
            <w:pPr>
              <w:jc w:val="right"/>
              <w:rPr>
                <w:color w:val="000000"/>
                <w:sz w:val="20"/>
                <w:szCs w:val="20"/>
                <w:lang w:bidi="th-TH"/>
              </w:rPr>
            </w:pPr>
            <w:r w:rsidRPr="008D7AB4">
              <w:rPr>
                <w:color w:val="000000"/>
                <w:sz w:val="20"/>
                <w:szCs w:val="20"/>
                <w:lang w:bidi="th-TH"/>
              </w:rPr>
              <w:t>0.00</w:t>
            </w:r>
          </w:p>
        </w:tc>
        <w:tc>
          <w:tcPr>
            <w:tcW w:w="810" w:type="dxa"/>
            <w:tcBorders>
              <w:top w:val="nil"/>
              <w:left w:val="nil"/>
              <w:bottom w:val="single" w:sz="4" w:space="0" w:color="auto"/>
              <w:right w:val="single" w:sz="4" w:space="0" w:color="auto"/>
            </w:tcBorders>
            <w:shd w:val="clear" w:color="auto" w:fill="auto"/>
            <w:noWrap/>
            <w:tcMar>
              <w:left w:w="0" w:type="dxa"/>
              <w:right w:w="58" w:type="dxa"/>
            </w:tcMar>
            <w:hideMark/>
          </w:tcPr>
          <w:p w14:paraId="73F7BE99" w14:textId="77777777" w:rsidR="00EE69D4" w:rsidRPr="008D7AB4" w:rsidRDefault="00EE69D4" w:rsidP="00C665F2">
            <w:pPr>
              <w:jc w:val="right"/>
              <w:rPr>
                <w:color w:val="000000"/>
                <w:sz w:val="20"/>
                <w:szCs w:val="20"/>
                <w:lang w:bidi="th-TH"/>
              </w:rPr>
            </w:pPr>
            <w:r w:rsidRPr="008D7AB4">
              <w:rPr>
                <w:color w:val="000000"/>
                <w:sz w:val="20"/>
                <w:szCs w:val="20"/>
                <w:lang w:bidi="th-TH"/>
              </w:rPr>
              <w:t>n/a</w:t>
            </w:r>
          </w:p>
        </w:tc>
      </w:tr>
      <w:tr w:rsidR="00EE69D4" w:rsidRPr="008D7AB4" w14:paraId="00DEF929" w14:textId="77777777" w:rsidTr="00C665F2">
        <w:tc>
          <w:tcPr>
            <w:tcW w:w="615"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03F3AEFA" w14:textId="77777777" w:rsidR="00EE69D4" w:rsidRPr="008D7AB4" w:rsidRDefault="00EE69D4" w:rsidP="00C665F2">
            <w:pPr>
              <w:jc w:val="left"/>
              <w:rPr>
                <w:color w:val="000000"/>
                <w:sz w:val="20"/>
                <w:szCs w:val="20"/>
                <w:lang w:bidi="th-TH"/>
              </w:rPr>
            </w:pPr>
            <w:r w:rsidRPr="008D7AB4">
              <w:rPr>
                <w:color w:val="000000"/>
                <w:sz w:val="20"/>
                <w:szCs w:val="20"/>
                <w:lang w:bidi="th-TH"/>
              </w:rPr>
              <w:t>1.2</w:t>
            </w:r>
          </w:p>
        </w:tc>
        <w:tc>
          <w:tcPr>
            <w:tcW w:w="2264" w:type="dxa"/>
            <w:tcBorders>
              <w:top w:val="nil"/>
              <w:left w:val="nil"/>
              <w:bottom w:val="single" w:sz="4" w:space="0" w:color="auto"/>
              <w:right w:val="single" w:sz="4" w:space="0" w:color="auto"/>
            </w:tcBorders>
            <w:shd w:val="clear" w:color="auto" w:fill="auto"/>
            <w:hideMark/>
          </w:tcPr>
          <w:p w14:paraId="368C5B21" w14:textId="77777777" w:rsidR="00EE69D4" w:rsidRPr="008D7AB4" w:rsidRDefault="00EE69D4" w:rsidP="00C665F2">
            <w:pPr>
              <w:jc w:val="left"/>
              <w:rPr>
                <w:color w:val="000000"/>
                <w:sz w:val="20"/>
                <w:szCs w:val="20"/>
                <w:lang w:bidi="th-TH"/>
              </w:rPr>
            </w:pPr>
            <w:r w:rsidRPr="008D7AB4">
              <w:rPr>
                <w:color w:val="000000"/>
                <w:sz w:val="20"/>
                <w:szCs w:val="20"/>
                <w:lang w:bidi="th-TH"/>
              </w:rPr>
              <w:t>Maximum allowable total consumption of Annex C, Group I substances (ODP tonnes)</w:t>
            </w:r>
          </w:p>
        </w:tc>
        <w:tc>
          <w:tcPr>
            <w:tcW w:w="819" w:type="dxa"/>
            <w:tcBorders>
              <w:top w:val="nil"/>
              <w:left w:val="nil"/>
              <w:bottom w:val="single" w:sz="4" w:space="0" w:color="auto"/>
              <w:right w:val="single" w:sz="4" w:space="0" w:color="auto"/>
            </w:tcBorders>
            <w:shd w:val="clear" w:color="auto" w:fill="auto"/>
            <w:noWrap/>
            <w:tcMar>
              <w:left w:w="0" w:type="dxa"/>
              <w:right w:w="58" w:type="dxa"/>
            </w:tcMar>
            <w:hideMark/>
          </w:tcPr>
          <w:p w14:paraId="4190D533" w14:textId="77777777" w:rsidR="00EE69D4" w:rsidRPr="008D7AB4" w:rsidRDefault="00EE69D4" w:rsidP="00C665F2">
            <w:pPr>
              <w:jc w:val="right"/>
              <w:rPr>
                <w:color w:val="000000"/>
                <w:sz w:val="20"/>
                <w:szCs w:val="20"/>
                <w:lang w:bidi="th-TH"/>
              </w:rPr>
            </w:pPr>
            <w:r w:rsidRPr="008D7AB4">
              <w:rPr>
                <w:color w:val="000000"/>
                <w:sz w:val="20"/>
                <w:szCs w:val="20"/>
                <w:lang w:bidi="th-TH"/>
              </w:rPr>
              <w:t>3.96</w:t>
            </w:r>
          </w:p>
        </w:tc>
        <w:tc>
          <w:tcPr>
            <w:tcW w:w="820" w:type="dxa"/>
            <w:tcBorders>
              <w:top w:val="nil"/>
              <w:left w:val="nil"/>
              <w:bottom w:val="single" w:sz="4" w:space="0" w:color="auto"/>
              <w:right w:val="single" w:sz="4" w:space="0" w:color="auto"/>
            </w:tcBorders>
            <w:shd w:val="clear" w:color="auto" w:fill="auto"/>
            <w:noWrap/>
            <w:tcMar>
              <w:left w:w="0" w:type="dxa"/>
              <w:right w:w="58" w:type="dxa"/>
            </w:tcMar>
            <w:hideMark/>
          </w:tcPr>
          <w:p w14:paraId="6C4FD65F" w14:textId="77777777" w:rsidR="00EE69D4" w:rsidRPr="008D7AB4" w:rsidRDefault="00EE69D4" w:rsidP="00C665F2">
            <w:pPr>
              <w:jc w:val="right"/>
              <w:rPr>
                <w:color w:val="000000"/>
                <w:sz w:val="20"/>
                <w:szCs w:val="20"/>
                <w:lang w:bidi="th-TH"/>
              </w:rPr>
            </w:pPr>
            <w:r w:rsidRPr="008D7AB4">
              <w:rPr>
                <w:color w:val="000000"/>
                <w:sz w:val="20"/>
                <w:szCs w:val="20"/>
                <w:lang w:bidi="th-TH"/>
              </w:rPr>
              <w:t>3.96</w:t>
            </w:r>
          </w:p>
        </w:tc>
        <w:tc>
          <w:tcPr>
            <w:tcW w:w="819" w:type="dxa"/>
            <w:tcBorders>
              <w:top w:val="nil"/>
              <w:left w:val="nil"/>
              <w:bottom w:val="single" w:sz="4" w:space="0" w:color="auto"/>
              <w:right w:val="single" w:sz="4" w:space="0" w:color="auto"/>
            </w:tcBorders>
            <w:shd w:val="clear" w:color="auto" w:fill="auto"/>
            <w:noWrap/>
            <w:tcMar>
              <w:left w:w="0" w:type="dxa"/>
              <w:right w:w="58" w:type="dxa"/>
            </w:tcMar>
            <w:hideMark/>
          </w:tcPr>
          <w:p w14:paraId="4DDFFA57" w14:textId="77777777" w:rsidR="00EE69D4" w:rsidRPr="008D7AB4" w:rsidRDefault="00EE69D4" w:rsidP="00C665F2">
            <w:pPr>
              <w:jc w:val="right"/>
              <w:rPr>
                <w:color w:val="000000"/>
                <w:sz w:val="20"/>
                <w:szCs w:val="20"/>
                <w:lang w:bidi="th-TH"/>
              </w:rPr>
            </w:pPr>
            <w:r w:rsidRPr="008D7AB4">
              <w:rPr>
                <w:color w:val="000000"/>
                <w:sz w:val="20"/>
                <w:szCs w:val="20"/>
                <w:lang w:bidi="th-TH"/>
              </w:rPr>
              <w:t>3.96</w:t>
            </w:r>
          </w:p>
        </w:tc>
        <w:tc>
          <w:tcPr>
            <w:tcW w:w="820" w:type="dxa"/>
            <w:tcBorders>
              <w:top w:val="nil"/>
              <w:left w:val="nil"/>
              <w:bottom w:val="single" w:sz="4" w:space="0" w:color="auto"/>
              <w:right w:val="single" w:sz="4" w:space="0" w:color="auto"/>
            </w:tcBorders>
            <w:shd w:val="clear" w:color="auto" w:fill="auto"/>
            <w:noWrap/>
            <w:tcMar>
              <w:left w:w="0" w:type="dxa"/>
              <w:right w:w="58" w:type="dxa"/>
            </w:tcMar>
            <w:hideMark/>
          </w:tcPr>
          <w:p w14:paraId="2493B0F3" w14:textId="77777777" w:rsidR="00EE69D4" w:rsidRPr="008D7AB4" w:rsidRDefault="00EE69D4" w:rsidP="00C665F2">
            <w:pPr>
              <w:jc w:val="right"/>
              <w:rPr>
                <w:color w:val="000000"/>
                <w:sz w:val="20"/>
                <w:szCs w:val="20"/>
                <w:lang w:bidi="th-TH"/>
              </w:rPr>
            </w:pPr>
            <w:r w:rsidRPr="008D7AB4">
              <w:rPr>
                <w:color w:val="000000"/>
                <w:sz w:val="20"/>
                <w:szCs w:val="20"/>
                <w:lang w:bidi="th-TH"/>
              </w:rPr>
              <w:t>1.98</w:t>
            </w:r>
          </w:p>
        </w:tc>
        <w:tc>
          <w:tcPr>
            <w:tcW w:w="819" w:type="dxa"/>
            <w:tcBorders>
              <w:top w:val="nil"/>
              <w:left w:val="nil"/>
              <w:bottom w:val="single" w:sz="4" w:space="0" w:color="auto"/>
              <w:right w:val="single" w:sz="4" w:space="0" w:color="auto"/>
            </w:tcBorders>
            <w:shd w:val="clear" w:color="auto" w:fill="auto"/>
            <w:noWrap/>
            <w:tcMar>
              <w:left w:w="0" w:type="dxa"/>
              <w:right w:w="58" w:type="dxa"/>
            </w:tcMar>
            <w:hideMark/>
          </w:tcPr>
          <w:p w14:paraId="50F82FD8" w14:textId="77777777" w:rsidR="00EE69D4" w:rsidRPr="008D7AB4" w:rsidRDefault="00EE69D4" w:rsidP="00C665F2">
            <w:pPr>
              <w:jc w:val="right"/>
              <w:rPr>
                <w:color w:val="000000"/>
                <w:sz w:val="20"/>
                <w:szCs w:val="20"/>
                <w:lang w:bidi="th-TH"/>
              </w:rPr>
            </w:pPr>
            <w:r w:rsidRPr="008D7AB4">
              <w:rPr>
                <w:color w:val="000000"/>
                <w:sz w:val="20"/>
                <w:szCs w:val="20"/>
                <w:lang w:bidi="th-TH"/>
              </w:rPr>
              <w:t>1.98</w:t>
            </w:r>
          </w:p>
        </w:tc>
        <w:tc>
          <w:tcPr>
            <w:tcW w:w="820" w:type="dxa"/>
            <w:tcBorders>
              <w:top w:val="nil"/>
              <w:left w:val="nil"/>
              <w:bottom w:val="single" w:sz="4" w:space="0" w:color="auto"/>
              <w:right w:val="single" w:sz="4" w:space="0" w:color="auto"/>
            </w:tcBorders>
            <w:shd w:val="clear" w:color="auto" w:fill="auto"/>
            <w:noWrap/>
            <w:tcMar>
              <w:left w:w="0" w:type="dxa"/>
              <w:right w:w="58" w:type="dxa"/>
            </w:tcMar>
            <w:hideMark/>
          </w:tcPr>
          <w:p w14:paraId="5C505BF1" w14:textId="77777777" w:rsidR="00EE69D4" w:rsidRPr="008D7AB4" w:rsidRDefault="00EE69D4" w:rsidP="00C665F2">
            <w:pPr>
              <w:jc w:val="right"/>
              <w:rPr>
                <w:color w:val="000000"/>
                <w:sz w:val="20"/>
                <w:szCs w:val="20"/>
                <w:lang w:bidi="th-TH"/>
              </w:rPr>
            </w:pPr>
            <w:r w:rsidRPr="008D7AB4">
              <w:rPr>
                <w:color w:val="000000"/>
                <w:sz w:val="20"/>
                <w:szCs w:val="20"/>
                <w:lang w:bidi="th-TH"/>
              </w:rPr>
              <w:t>1.98</w:t>
            </w:r>
          </w:p>
        </w:tc>
        <w:tc>
          <w:tcPr>
            <w:tcW w:w="843" w:type="dxa"/>
            <w:tcBorders>
              <w:top w:val="nil"/>
              <w:left w:val="nil"/>
              <w:bottom w:val="single" w:sz="4" w:space="0" w:color="auto"/>
              <w:right w:val="single" w:sz="4" w:space="0" w:color="auto"/>
            </w:tcBorders>
            <w:shd w:val="clear" w:color="auto" w:fill="auto"/>
            <w:noWrap/>
            <w:tcMar>
              <w:left w:w="0" w:type="dxa"/>
              <w:right w:w="58" w:type="dxa"/>
            </w:tcMar>
            <w:hideMark/>
          </w:tcPr>
          <w:p w14:paraId="11E40AAA" w14:textId="77777777" w:rsidR="00EE69D4" w:rsidRPr="008D7AB4" w:rsidRDefault="00EE69D4" w:rsidP="00C665F2">
            <w:pPr>
              <w:jc w:val="right"/>
              <w:rPr>
                <w:color w:val="000000"/>
                <w:sz w:val="20"/>
                <w:szCs w:val="20"/>
                <w:lang w:bidi="th-TH"/>
              </w:rPr>
            </w:pPr>
            <w:r w:rsidRPr="008D7AB4">
              <w:rPr>
                <w:color w:val="000000"/>
                <w:sz w:val="20"/>
                <w:szCs w:val="20"/>
                <w:lang w:bidi="th-TH"/>
              </w:rPr>
              <w:t>0.00</w:t>
            </w:r>
          </w:p>
        </w:tc>
        <w:tc>
          <w:tcPr>
            <w:tcW w:w="810" w:type="dxa"/>
            <w:tcBorders>
              <w:top w:val="nil"/>
              <w:left w:val="nil"/>
              <w:bottom w:val="single" w:sz="4" w:space="0" w:color="auto"/>
              <w:right w:val="single" w:sz="4" w:space="0" w:color="auto"/>
            </w:tcBorders>
            <w:shd w:val="clear" w:color="auto" w:fill="auto"/>
            <w:noWrap/>
            <w:tcMar>
              <w:left w:w="0" w:type="dxa"/>
              <w:right w:w="58" w:type="dxa"/>
            </w:tcMar>
            <w:hideMark/>
          </w:tcPr>
          <w:p w14:paraId="7479D4A0" w14:textId="77777777" w:rsidR="00EE69D4" w:rsidRPr="008D7AB4" w:rsidRDefault="00EE69D4" w:rsidP="00C665F2">
            <w:pPr>
              <w:jc w:val="right"/>
              <w:rPr>
                <w:color w:val="000000"/>
                <w:sz w:val="20"/>
                <w:szCs w:val="20"/>
                <w:lang w:bidi="th-TH"/>
              </w:rPr>
            </w:pPr>
            <w:r w:rsidRPr="008D7AB4">
              <w:rPr>
                <w:color w:val="000000"/>
                <w:sz w:val="20"/>
                <w:szCs w:val="20"/>
                <w:lang w:bidi="th-TH"/>
              </w:rPr>
              <w:t>n/a</w:t>
            </w:r>
          </w:p>
        </w:tc>
      </w:tr>
      <w:tr w:rsidR="00EE69D4" w:rsidRPr="008D7AB4" w14:paraId="4B69FA41" w14:textId="77777777" w:rsidTr="00C665F2">
        <w:tc>
          <w:tcPr>
            <w:tcW w:w="615"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05095744" w14:textId="77777777" w:rsidR="00EE69D4" w:rsidRPr="008D7AB4" w:rsidRDefault="00EE69D4" w:rsidP="00C665F2">
            <w:pPr>
              <w:jc w:val="left"/>
              <w:rPr>
                <w:color w:val="000000"/>
                <w:sz w:val="20"/>
                <w:szCs w:val="20"/>
                <w:lang w:bidi="th-TH"/>
              </w:rPr>
            </w:pPr>
            <w:r w:rsidRPr="008D7AB4">
              <w:rPr>
                <w:color w:val="000000"/>
                <w:sz w:val="20"/>
                <w:szCs w:val="20"/>
                <w:lang w:bidi="th-TH"/>
              </w:rPr>
              <w:t>2.1</w:t>
            </w:r>
          </w:p>
        </w:tc>
        <w:tc>
          <w:tcPr>
            <w:tcW w:w="2264" w:type="dxa"/>
            <w:tcBorders>
              <w:top w:val="nil"/>
              <w:left w:val="nil"/>
              <w:bottom w:val="single" w:sz="4" w:space="0" w:color="auto"/>
              <w:right w:val="single" w:sz="4" w:space="0" w:color="auto"/>
            </w:tcBorders>
            <w:shd w:val="clear" w:color="auto" w:fill="auto"/>
            <w:hideMark/>
          </w:tcPr>
          <w:p w14:paraId="5265761D" w14:textId="77777777" w:rsidR="00EE69D4" w:rsidRPr="008D7AB4" w:rsidRDefault="00EE69D4" w:rsidP="00C665F2">
            <w:pPr>
              <w:jc w:val="left"/>
              <w:rPr>
                <w:color w:val="000000"/>
                <w:sz w:val="20"/>
                <w:szCs w:val="20"/>
                <w:lang w:bidi="th-TH"/>
              </w:rPr>
            </w:pPr>
            <w:r w:rsidRPr="008D7AB4">
              <w:rPr>
                <w:color w:val="000000"/>
                <w:sz w:val="20"/>
                <w:szCs w:val="20"/>
                <w:lang w:bidi="th-TH"/>
              </w:rPr>
              <w:t>Lead IA (UNEP) agreed funding (US $)</w:t>
            </w:r>
          </w:p>
        </w:tc>
        <w:tc>
          <w:tcPr>
            <w:tcW w:w="819"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19711488" w14:textId="77777777" w:rsidR="00EE69D4" w:rsidRPr="008D7AB4" w:rsidRDefault="00EE69D4" w:rsidP="00C665F2">
            <w:pPr>
              <w:jc w:val="right"/>
              <w:rPr>
                <w:color w:val="000000"/>
                <w:sz w:val="20"/>
                <w:szCs w:val="20"/>
                <w:lang w:bidi="th-TH"/>
              </w:rPr>
            </w:pPr>
            <w:r w:rsidRPr="008D7AB4">
              <w:rPr>
                <w:color w:val="000000"/>
                <w:sz w:val="20"/>
                <w:szCs w:val="20"/>
              </w:rPr>
              <w:t>149,100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222D5F67" w14:textId="77777777" w:rsidR="00EE69D4" w:rsidRPr="008D7AB4" w:rsidRDefault="00EE69D4" w:rsidP="00C665F2">
            <w:pPr>
              <w:jc w:val="right"/>
              <w:rPr>
                <w:color w:val="000000"/>
                <w:sz w:val="20"/>
                <w:szCs w:val="20"/>
              </w:rPr>
            </w:pPr>
            <w:r w:rsidRPr="008D7AB4">
              <w:rPr>
                <w:color w:val="000000"/>
                <w:sz w:val="20"/>
                <w:szCs w:val="20"/>
              </w:rPr>
              <w:t>0 </w:t>
            </w:r>
          </w:p>
        </w:tc>
        <w:tc>
          <w:tcPr>
            <w:tcW w:w="819" w:type="dxa"/>
            <w:tcBorders>
              <w:top w:val="single" w:sz="4" w:space="0" w:color="auto"/>
              <w:left w:val="nil"/>
              <w:bottom w:val="single" w:sz="4" w:space="0" w:color="auto"/>
              <w:right w:val="single" w:sz="4" w:space="0" w:color="auto"/>
            </w:tcBorders>
            <w:shd w:val="clear" w:color="auto" w:fill="auto"/>
            <w:noWrap/>
            <w:tcMar>
              <w:left w:w="0" w:type="dxa"/>
              <w:right w:w="58" w:type="dxa"/>
            </w:tcMar>
          </w:tcPr>
          <w:p w14:paraId="41B1BC86" w14:textId="77777777" w:rsidR="00EE69D4" w:rsidRPr="008D7AB4" w:rsidRDefault="00EE69D4" w:rsidP="00C665F2">
            <w:pPr>
              <w:jc w:val="right"/>
              <w:rPr>
                <w:color w:val="FFFFFF"/>
                <w:sz w:val="20"/>
                <w:szCs w:val="20"/>
                <w:lang w:bidi="th-TH"/>
              </w:rPr>
            </w:pPr>
            <w:r w:rsidRPr="008D7AB4">
              <w:rPr>
                <w:color w:val="000000"/>
                <w:sz w:val="20"/>
                <w:szCs w:val="20"/>
              </w:rPr>
              <w:t>76,100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5A9A2CCE" w14:textId="77777777" w:rsidR="00EE69D4" w:rsidRPr="008D7AB4" w:rsidRDefault="00EE69D4" w:rsidP="00C665F2">
            <w:pPr>
              <w:jc w:val="right"/>
              <w:rPr>
                <w:color w:val="000000"/>
                <w:sz w:val="20"/>
                <w:szCs w:val="20"/>
              </w:rPr>
            </w:pPr>
            <w:r w:rsidRPr="008D7AB4">
              <w:rPr>
                <w:color w:val="000000"/>
                <w:sz w:val="20"/>
                <w:szCs w:val="20"/>
              </w:rPr>
              <w:t>0</w:t>
            </w:r>
          </w:p>
        </w:tc>
        <w:tc>
          <w:tcPr>
            <w:tcW w:w="819" w:type="dxa"/>
            <w:tcBorders>
              <w:top w:val="single" w:sz="4" w:space="0" w:color="auto"/>
              <w:left w:val="nil"/>
              <w:bottom w:val="single" w:sz="4" w:space="0" w:color="auto"/>
              <w:right w:val="single" w:sz="4" w:space="0" w:color="auto"/>
            </w:tcBorders>
            <w:shd w:val="clear" w:color="auto" w:fill="auto"/>
            <w:noWrap/>
            <w:tcMar>
              <w:left w:w="0" w:type="dxa"/>
              <w:right w:w="58" w:type="dxa"/>
            </w:tcMar>
          </w:tcPr>
          <w:p w14:paraId="67B5C9A7" w14:textId="77777777" w:rsidR="00EE69D4" w:rsidRPr="008D7AB4" w:rsidRDefault="00EE69D4" w:rsidP="00C665F2">
            <w:pPr>
              <w:jc w:val="right"/>
              <w:rPr>
                <w:color w:val="FFFFFF"/>
                <w:sz w:val="20"/>
                <w:szCs w:val="20"/>
                <w:lang w:bidi="th-TH"/>
              </w:rPr>
            </w:pPr>
            <w:r w:rsidRPr="008D7AB4">
              <w:rPr>
                <w:color w:val="000000"/>
                <w:sz w:val="20"/>
                <w:szCs w:val="20"/>
              </w:rPr>
              <w:t>67,300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4405FE4F" w14:textId="77777777" w:rsidR="00EE69D4" w:rsidRPr="008D7AB4" w:rsidRDefault="00EE69D4" w:rsidP="00C665F2">
            <w:pPr>
              <w:jc w:val="right"/>
              <w:rPr>
                <w:color w:val="000000"/>
                <w:sz w:val="20"/>
                <w:szCs w:val="20"/>
              </w:rPr>
            </w:pPr>
            <w:r w:rsidRPr="008D7AB4">
              <w:rPr>
                <w:color w:val="000000"/>
                <w:sz w:val="20"/>
                <w:szCs w:val="20"/>
              </w:rPr>
              <w:t>0</w:t>
            </w:r>
          </w:p>
        </w:tc>
        <w:tc>
          <w:tcPr>
            <w:tcW w:w="843" w:type="dxa"/>
            <w:tcBorders>
              <w:top w:val="single" w:sz="4" w:space="0" w:color="auto"/>
              <w:left w:val="nil"/>
              <w:bottom w:val="single" w:sz="4" w:space="0" w:color="auto"/>
              <w:right w:val="single" w:sz="4" w:space="0" w:color="auto"/>
            </w:tcBorders>
            <w:shd w:val="clear" w:color="auto" w:fill="auto"/>
            <w:noWrap/>
            <w:tcMar>
              <w:left w:w="0" w:type="dxa"/>
              <w:right w:w="58" w:type="dxa"/>
            </w:tcMar>
          </w:tcPr>
          <w:p w14:paraId="34F9F318" w14:textId="77777777" w:rsidR="00EE69D4" w:rsidRPr="008D7AB4" w:rsidRDefault="00EE69D4" w:rsidP="00C665F2">
            <w:pPr>
              <w:jc w:val="right"/>
              <w:rPr>
                <w:color w:val="000000"/>
                <w:sz w:val="20"/>
                <w:szCs w:val="20"/>
                <w:lang w:bidi="th-TH"/>
              </w:rPr>
            </w:pPr>
            <w:r w:rsidRPr="008D7AB4">
              <w:rPr>
                <w:color w:val="000000"/>
                <w:sz w:val="20"/>
                <w:szCs w:val="20"/>
              </w:rPr>
              <w:t>58,500</w:t>
            </w:r>
          </w:p>
        </w:tc>
        <w:tc>
          <w:tcPr>
            <w:tcW w:w="810" w:type="dxa"/>
            <w:tcBorders>
              <w:top w:val="single" w:sz="4" w:space="0" w:color="auto"/>
              <w:left w:val="nil"/>
              <w:bottom w:val="single" w:sz="4" w:space="0" w:color="auto"/>
              <w:right w:val="single" w:sz="4" w:space="0" w:color="auto"/>
            </w:tcBorders>
            <w:shd w:val="clear" w:color="auto" w:fill="auto"/>
            <w:noWrap/>
            <w:tcMar>
              <w:left w:w="0" w:type="dxa"/>
              <w:right w:w="58" w:type="dxa"/>
            </w:tcMar>
          </w:tcPr>
          <w:p w14:paraId="73EFA3C0" w14:textId="77777777" w:rsidR="00EE69D4" w:rsidRPr="008D7AB4" w:rsidRDefault="00EE69D4" w:rsidP="00C665F2">
            <w:pPr>
              <w:jc w:val="right"/>
              <w:rPr>
                <w:color w:val="000000"/>
                <w:sz w:val="20"/>
                <w:szCs w:val="20"/>
                <w:lang w:bidi="th-TH"/>
              </w:rPr>
            </w:pPr>
            <w:r w:rsidRPr="008D7AB4">
              <w:rPr>
                <w:color w:val="000000"/>
                <w:sz w:val="20"/>
                <w:szCs w:val="20"/>
              </w:rPr>
              <w:t>351,000</w:t>
            </w:r>
          </w:p>
        </w:tc>
      </w:tr>
      <w:tr w:rsidR="00EE69D4" w:rsidRPr="008D7AB4" w14:paraId="212CC54B" w14:textId="77777777" w:rsidTr="00C665F2">
        <w:tc>
          <w:tcPr>
            <w:tcW w:w="615"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3BB2730B" w14:textId="77777777" w:rsidR="00EE69D4" w:rsidRPr="008D7AB4" w:rsidRDefault="00EE69D4" w:rsidP="00C665F2">
            <w:pPr>
              <w:jc w:val="left"/>
              <w:rPr>
                <w:color w:val="000000"/>
                <w:sz w:val="20"/>
                <w:szCs w:val="20"/>
                <w:lang w:bidi="th-TH"/>
              </w:rPr>
            </w:pPr>
            <w:r w:rsidRPr="008D7AB4">
              <w:rPr>
                <w:color w:val="000000"/>
                <w:sz w:val="20"/>
                <w:szCs w:val="20"/>
                <w:lang w:bidi="th-TH"/>
              </w:rPr>
              <w:t>2.2</w:t>
            </w:r>
          </w:p>
        </w:tc>
        <w:tc>
          <w:tcPr>
            <w:tcW w:w="2264" w:type="dxa"/>
            <w:tcBorders>
              <w:top w:val="nil"/>
              <w:left w:val="nil"/>
              <w:bottom w:val="single" w:sz="4" w:space="0" w:color="auto"/>
              <w:right w:val="single" w:sz="4" w:space="0" w:color="auto"/>
            </w:tcBorders>
            <w:shd w:val="clear" w:color="auto" w:fill="auto"/>
            <w:hideMark/>
          </w:tcPr>
          <w:p w14:paraId="47F44842" w14:textId="77777777" w:rsidR="00EE69D4" w:rsidRPr="008D7AB4" w:rsidRDefault="00EE69D4" w:rsidP="00C665F2">
            <w:pPr>
              <w:jc w:val="left"/>
              <w:rPr>
                <w:color w:val="000000"/>
                <w:sz w:val="20"/>
                <w:szCs w:val="20"/>
                <w:lang w:bidi="th-TH"/>
              </w:rPr>
            </w:pPr>
            <w:r w:rsidRPr="008D7AB4">
              <w:rPr>
                <w:color w:val="000000"/>
                <w:sz w:val="20"/>
                <w:szCs w:val="20"/>
                <w:lang w:bidi="th-TH"/>
              </w:rPr>
              <w:t>Support costs for Lead IA (US $)</w:t>
            </w:r>
          </w:p>
        </w:tc>
        <w:tc>
          <w:tcPr>
            <w:tcW w:w="819" w:type="dxa"/>
            <w:tcBorders>
              <w:top w:val="nil"/>
              <w:left w:val="single" w:sz="4" w:space="0" w:color="auto"/>
              <w:bottom w:val="single" w:sz="4" w:space="0" w:color="auto"/>
              <w:right w:val="single" w:sz="4" w:space="0" w:color="auto"/>
            </w:tcBorders>
            <w:shd w:val="clear" w:color="auto" w:fill="auto"/>
            <w:noWrap/>
            <w:tcMar>
              <w:left w:w="0" w:type="dxa"/>
              <w:right w:w="58" w:type="dxa"/>
            </w:tcMar>
          </w:tcPr>
          <w:p w14:paraId="0184EEF6" w14:textId="77777777" w:rsidR="00EE69D4" w:rsidRPr="008D7AB4" w:rsidRDefault="00EE69D4" w:rsidP="00C665F2">
            <w:pPr>
              <w:jc w:val="right"/>
              <w:rPr>
                <w:color w:val="000000"/>
                <w:sz w:val="20"/>
                <w:szCs w:val="20"/>
                <w:lang w:bidi="th-TH"/>
              </w:rPr>
            </w:pPr>
            <w:r w:rsidRPr="008D7AB4">
              <w:rPr>
                <w:color w:val="000000"/>
                <w:sz w:val="20"/>
                <w:szCs w:val="20"/>
              </w:rPr>
              <w:t>19,383</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63D004D1" w14:textId="77777777" w:rsidR="00EE69D4" w:rsidRPr="008D7AB4" w:rsidRDefault="00EE69D4" w:rsidP="00C665F2">
            <w:pPr>
              <w:jc w:val="right"/>
              <w:rPr>
                <w:color w:val="000000"/>
                <w:sz w:val="20"/>
                <w:szCs w:val="20"/>
              </w:rPr>
            </w:pPr>
            <w:r w:rsidRPr="008D7AB4">
              <w:rPr>
                <w:color w:val="000000"/>
                <w:sz w:val="20"/>
                <w:szCs w:val="20"/>
              </w:rPr>
              <w:t>0 </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3E55C1A2" w14:textId="77777777" w:rsidR="00EE69D4" w:rsidRPr="008D7AB4" w:rsidRDefault="00EE69D4" w:rsidP="00C665F2">
            <w:pPr>
              <w:jc w:val="right"/>
              <w:rPr>
                <w:color w:val="FFFFFF"/>
                <w:sz w:val="20"/>
                <w:szCs w:val="20"/>
                <w:lang w:bidi="th-TH"/>
              </w:rPr>
            </w:pPr>
            <w:r w:rsidRPr="008D7AB4">
              <w:rPr>
                <w:color w:val="000000"/>
                <w:sz w:val="20"/>
                <w:szCs w:val="20"/>
              </w:rPr>
              <w:t>9,893</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7AF244E1" w14:textId="77777777" w:rsidR="00EE69D4" w:rsidRPr="008D7AB4" w:rsidRDefault="00EE69D4" w:rsidP="00C665F2">
            <w:pPr>
              <w:jc w:val="right"/>
              <w:rPr>
                <w:color w:val="000000"/>
                <w:sz w:val="20"/>
                <w:szCs w:val="20"/>
              </w:rPr>
            </w:pPr>
            <w:r w:rsidRPr="008D7AB4">
              <w:rPr>
                <w:color w:val="000000"/>
                <w:sz w:val="20"/>
                <w:szCs w:val="20"/>
              </w:rPr>
              <w:t>0</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3B49748F" w14:textId="77777777" w:rsidR="00EE69D4" w:rsidRPr="008D7AB4" w:rsidRDefault="00EE69D4" w:rsidP="00C665F2">
            <w:pPr>
              <w:jc w:val="right"/>
              <w:rPr>
                <w:color w:val="FFFFFF"/>
                <w:sz w:val="20"/>
                <w:szCs w:val="20"/>
                <w:lang w:bidi="th-TH"/>
              </w:rPr>
            </w:pPr>
            <w:r w:rsidRPr="008D7AB4">
              <w:rPr>
                <w:color w:val="000000"/>
                <w:sz w:val="20"/>
                <w:szCs w:val="20"/>
              </w:rPr>
              <w:t>8,749</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0C095F81" w14:textId="77777777" w:rsidR="00EE69D4" w:rsidRPr="008D7AB4" w:rsidRDefault="00EE69D4" w:rsidP="00C665F2">
            <w:pPr>
              <w:jc w:val="right"/>
              <w:rPr>
                <w:color w:val="000000"/>
                <w:sz w:val="20"/>
                <w:szCs w:val="20"/>
              </w:rPr>
            </w:pPr>
            <w:r w:rsidRPr="008D7AB4">
              <w:rPr>
                <w:color w:val="000000"/>
                <w:sz w:val="20"/>
                <w:szCs w:val="20"/>
              </w:rPr>
              <w:t>0</w:t>
            </w:r>
          </w:p>
        </w:tc>
        <w:tc>
          <w:tcPr>
            <w:tcW w:w="843" w:type="dxa"/>
            <w:tcBorders>
              <w:top w:val="nil"/>
              <w:left w:val="nil"/>
              <w:bottom w:val="single" w:sz="4" w:space="0" w:color="auto"/>
              <w:right w:val="single" w:sz="4" w:space="0" w:color="auto"/>
            </w:tcBorders>
            <w:shd w:val="clear" w:color="auto" w:fill="auto"/>
            <w:noWrap/>
            <w:tcMar>
              <w:left w:w="0" w:type="dxa"/>
              <w:right w:w="58" w:type="dxa"/>
            </w:tcMar>
          </w:tcPr>
          <w:p w14:paraId="5EA18B43" w14:textId="77777777" w:rsidR="00EE69D4" w:rsidRPr="008D7AB4" w:rsidRDefault="00EE69D4" w:rsidP="00C665F2">
            <w:pPr>
              <w:jc w:val="right"/>
              <w:rPr>
                <w:color w:val="000000"/>
                <w:sz w:val="20"/>
                <w:szCs w:val="20"/>
                <w:lang w:bidi="th-TH"/>
              </w:rPr>
            </w:pPr>
            <w:r w:rsidRPr="008D7AB4">
              <w:rPr>
                <w:color w:val="000000"/>
                <w:sz w:val="20"/>
                <w:szCs w:val="20"/>
              </w:rPr>
              <w:t>7,605</w:t>
            </w:r>
          </w:p>
        </w:tc>
        <w:tc>
          <w:tcPr>
            <w:tcW w:w="810" w:type="dxa"/>
            <w:tcBorders>
              <w:top w:val="nil"/>
              <w:left w:val="nil"/>
              <w:bottom w:val="single" w:sz="4" w:space="0" w:color="auto"/>
              <w:right w:val="single" w:sz="4" w:space="0" w:color="auto"/>
            </w:tcBorders>
            <w:shd w:val="clear" w:color="auto" w:fill="auto"/>
            <w:noWrap/>
            <w:tcMar>
              <w:left w:w="0" w:type="dxa"/>
              <w:right w:w="58" w:type="dxa"/>
            </w:tcMar>
          </w:tcPr>
          <w:p w14:paraId="76687A67" w14:textId="77777777" w:rsidR="00EE69D4" w:rsidRPr="008D7AB4" w:rsidRDefault="00EE69D4" w:rsidP="00C665F2">
            <w:pPr>
              <w:jc w:val="right"/>
              <w:rPr>
                <w:color w:val="000000"/>
                <w:sz w:val="20"/>
                <w:szCs w:val="20"/>
                <w:lang w:bidi="th-TH"/>
              </w:rPr>
            </w:pPr>
            <w:r w:rsidRPr="008D7AB4">
              <w:rPr>
                <w:color w:val="000000"/>
                <w:sz w:val="20"/>
                <w:szCs w:val="20"/>
              </w:rPr>
              <w:t>45,630</w:t>
            </w:r>
          </w:p>
        </w:tc>
      </w:tr>
      <w:tr w:rsidR="00EE69D4" w:rsidRPr="008D7AB4" w14:paraId="122E7CE1" w14:textId="77777777" w:rsidTr="00C665F2">
        <w:tc>
          <w:tcPr>
            <w:tcW w:w="615"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4D999C19" w14:textId="77777777" w:rsidR="00EE69D4" w:rsidRPr="008D7AB4" w:rsidRDefault="00EE69D4" w:rsidP="00C665F2">
            <w:pPr>
              <w:jc w:val="left"/>
              <w:rPr>
                <w:color w:val="000000"/>
                <w:sz w:val="20"/>
                <w:szCs w:val="20"/>
                <w:lang w:bidi="th-TH"/>
              </w:rPr>
            </w:pPr>
            <w:r w:rsidRPr="008D7AB4">
              <w:rPr>
                <w:color w:val="000000"/>
                <w:sz w:val="20"/>
                <w:szCs w:val="20"/>
                <w:lang w:bidi="th-TH"/>
              </w:rPr>
              <w:t>2.3</w:t>
            </w:r>
          </w:p>
        </w:tc>
        <w:tc>
          <w:tcPr>
            <w:tcW w:w="2264" w:type="dxa"/>
            <w:tcBorders>
              <w:top w:val="nil"/>
              <w:left w:val="nil"/>
              <w:bottom w:val="single" w:sz="4" w:space="0" w:color="auto"/>
              <w:right w:val="single" w:sz="4" w:space="0" w:color="auto"/>
            </w:tcBorders>
            <w:shd w:val="clear" w:color="auto" w:fill="auto"/>
            <w:hideMark/>
          </w:tcPr>
          <w:p w14:paraId="19063A5C" w14:textId="77777777" w:rsidR="00EE69D4" w:rsidRPr="008D7AB4" w:rsidRDefault="00EE69D4" w:rsidP="00C665F2">
            <w:pPr>
              <w:jc w:val="left"/>
              <w:rPr>
                <w:color w:val="000000"/>
                <w:sz w:val="20"/>
                <w:szCs w:val="20"/>
                <w:lang w:bidi="th-TH"/>
              </w:rPr>
            </w:pPr>
            <w:r w:rsidRPr="008D7AB4">
              <w:rPr>
                <w:color w:val="000000"/>
                <w:sz w:val="20"/>
                <w:szCs w:val="20"/>
                <w:lang w:bidi="th-TH"/>
              </w:rPr>
              <w:t>Cooperating IA (</w:t>
            </w:r>
            <w:r w:rsidRPr="008D7AB4">
              <w:rPr>
                <w:b/>
                <w:bCs/>
                <w:color w:val="000000"/>
                <w:sz w:val="20"/>
                <w:szCs w:val="20"/>
                <w:lang w:bidi="th-TH"/>
              </w:rPr>
              <w:t>UNIDO</w:t>
            </w:r>
            <w:r w:rsidRPr="008D7AB4">
              <w:rPr>
                <w:color w:val="000000"/>
                <w:sz w:val="20"/>
                <w:szCs w:val="20"/>
                <w:lang w:bidi="th-TH"/>
              </w:rPr>
              <w:t>) agreed funding (US $)</w:t>
            </w:r>
          </w:p>
        </w:tc>
        <w:tc>
          <w:tcPr>
            <w:tcW w:w="819" w:type="dxa"/>
            <w:tcBorders>
              <w:top w:val="nil"/>
              <w:left w:val="single" w:sz="4" w:space="0" w:color="auto"/>
              <w:bottom w:val="single" w:sz="4" w:space="0" w:color="auto"/>
              <w:right w:val="single" w:sz="4" w:space="0" w:color="auto"/>
            </w:tcBorders>
            <w:shd w:val="clear" w:color="auto" w:fill="auto"/>
            <w:noWrap/>
            <w:tcMar>
              <w:left w:w="0" w:type="dxa"/>
              <w:right w:w="58" w:type="dxa"/>
            </w:tcMar>
          </w:tcPr>
          <w:p w14:paraId="1EF995A5" w14:textId="77777777" w:rsidR="00EE69D4" w:rsidRPr="008D7AB4" w:rsidRDefault="00EE69D4" w:rsidP="00C665F2">
            <w:pPr>
              <w:jc w:val="right"/>
              <w:rPr>
                <w:color w:val="000000"/>
                <w:sz w:val="20"/>
                <w:szCs w:val="20"/>
                <w:lang w:bidi="th-TH"/>
              </w:rPr>
            </w:pPr>
            <w:r w:rsidRPr="008D7AB4">
              <w:rPr>
                <w:b/>
                <w:bCs/>
                <w:color w:val="000000"/>
                <w:sz w:val="20"/>
                <w:szCs w:val="20"/>
              </w:rPr>
              <w:t>**</w:t>
            </w:r>
            <w:r w:rsidRPr="008D7AB4">
              <w:rPr>
                <w:color w:val="000000"/>
                <w:sz w:val="20"/>
                <w:szCs w:val="20"/>
              </w:rPr>
              <w:t>11,000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67EE9396" w14:textId="77777777" w:rsidR="00EE69D4" w:rsidRPr="008D7AB4" w:rsidRDefault="00EE69D4" w:rsidP="00C665F2">
            <w:pPr>
              <w:jc w:val="right"/>
              <w:rPr>
                <w:color w:val="000000"/>
                <w:sz w:val="20"/>
                <w:szCs w:val="20"/>
              </w:rPr>
            </w:pPr>
            <w:r w:rsidRPr="008D7AB4">
              <w:rPr>
                <w:color w:val="000000"/>
                <w:sz w:val="20"/>
                <w:szCs w:val="20"/>
              </w:rPr>
              <w:t>0 </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46A0C79F" w14:textId="77777777" w:rsidR="00EE69D4" w:rsidRPr="008D7AB4" w:rsidRDefault="00EE69D4" w:rsidP="00C665F2">
            <w:pPr>
              <w:jc w:val="right"/>
              <w:rPr>
                <w:color w:val="FFFFFF"/>
                <w:sz w:val="20"/>
                <w:szCs w:val="20"/>
                <w:lang w:bidi="th-TH"/>
              </w:rPr>
            </w:pPr>
            <w:r w:rsidRPr="008D7AB4">
              <w:rPr>
                <w:color w:val="000000"/>
                <w:sz w:val="20"/>
                <w:szCs w:val="20"/>
              </w:rPr>
              <w:t>154,000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2116E858" w14:textId="2A405379" w:rsidR="00EE69D4" w:rsidRPr="008D7AB4" w:rsidRDefault="00EE69D4" w:rsidP="00C665F2">
            <w:pPr>
              <w:jc w:val="right"/>
              <w:rPr>
                <w:color w:val="000000"/>
                <w:sz w:val="20"/>
                <w:szCs w:val="20"/>
              </w:rPr>
            </w:pPr>
            <w:r w:rsidRPr="008D7AB4">
              <w:rPr>
                <w:color w:val="000000"/>
                <w:sz w:val="20"/>
                <w:szCs w:val="20"/>
              </w:rPr>
              <w:t>0</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06DC39AF" w14:textId="77777777" w:rsidR="00EE69D4" w:rsidRPr="008D7AB4" w:rsidRDefault="00EE69D4" w:rsidP="00C665F2">
            <w:pPr>
              <w:jc w:val="right"/>
              <w:rPr>
                <w:color w:val="FFFFFF"/>
                <w:sz w:val="20"/>
                <w:szCs w:val="20"/>
                <w:lang w:bidi="th-TH"/>
              </w:rPr>
            </w:pPr>
            <w:r w:rsidRPr="008D7AB4">
              <w:rPr>
                <w:color w:val="000000"/>
                <w:sz w:val="20"/>
                <w:szCs w:val="20"/>
              </w:rPr>
              <w:t>69,000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499DAD84" w14:textId="77777777" w:rsidR="00EE69D4" w:rsidRPr="008D7AB4" w:rsidRDefault="00EE69D4" w:rsidP="00C665F2">
            <w:pPr>
              <w:jc w:val="right"/>
              <w:rPr>
                <w:color w:val="000000"/>
                <w:sz w:val="20"/>
                <w:szCs w:val="20"/>
              </w:rPr>
            </w:pPr>
            <w:r w:rsidRPr="008D7AB4">
              <w:rPr>
                <w:color w:val="000000"/>
                <w:sz w:val="20"/>
                <w:szCs w:val="20"/>
              </w:rPr>
              <w:t>0</w:t>
            </w:r>
          </w:p>
        </w:tc>
        <w:tc>
          <w:tcPr>
            <w:tcW w:w="843"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41166A9C" w14:textId="77777777" w:rsidR="00EE69D4" w:rsidRPr="008D7AB4" w:rsidRDefault="00EE69D4" w:rsidP="00C665F2">
            <w:pPr>
              <w:jc w:val="right"/>
              <w:rPr>
                <w:color w:val="000000"/>
                <w:sz w:val="20"/>
                <w:szCs w:val="20"/>
                <w:lang w:bidi="th-TH"/>
              </w:rPr>
            </w:pPr>
            <w:r w:rsidRPr="008D7AB4">
              <w:rPr>
                <w:color w:val="000000"/>
                <w:sz w:val="20"/>
                <w:szCs w:val="20"/>
                <w:lang w:bidi="th-TH"/>
              </w:rPr>
              <w:t>0</w:t>
            </w:r>
          </w:p>
        </w:tc>
        <w:tc>
          <w:tcPr>
            <w:tcW w:w="810" w:type="dxa"/>
            <w:tcBorders>
              <w:top w:val="nil"/>
              <w:left w:val="nil"/>
              <w:bottom w:val="single" w:sz="4" w:space="0" w:color="auto"/>
              <w:right w:val="single" w:sz="4" w:space="0" w:color="auto"/>
            </w:tcBorders>
            <w:shd w:val="clear" w:color="auto" w:fill="auto"/>
            <w:noWrap/>
            <w:tcMar>
              <w:left w:w="0" w:type="dxa"/>
              <w:right w:w="58" w:type="dxa"/>
            </w:tcMar>
          </w:tcPr>
          <w:p w14:paraId="1404AB5B" w14:textId="77777777" w:rsidR="00EE69D4" w:rsidRPr="008D7AB4" w:rsidRDefault="00EE69D4" w:rsidP="00C665F2">
            <w:pPr>
              <w:jc w:val="right"/>
              <w:rPr>
                <w:color w:val="000000"/>
                <w:sz w:val="20"/>
                <w:szCs w:val="20"/>
                <w:lang w:bidi="th-TH"/>
              </w:rPr>
            </w:pPr>
            <w:r w:rsidRPr="008D7AB4">
              <w:rPr>
                <w:color w:val="000000"/>
                <w:sz w:val="20"/>
                <w:szCs w:val="20"/>
              </w:rPr>
              <w:t>234,000</w:t>
            </w:r>
          </w:p>
        </w:tc>
      </w:tr>
      <w:tr w:rsidR="00EE69D4" w:rsidRPr="008D7AB4" w14:paraId="55906121" w14:textId="77777777" w:rsidTr="00C665F2">
        <w:tc>
          <w:tcPr>
            <w:tcW w:w="615"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1C798DC5" w14:textId="77777777" w:rsidR="00EE69D4" w:rsidRPr="008D7AB4" w:rsidRDefault="00EE69D4" w:rsidP="00C665F2">
            <w:pPr>
              <w:jc w:val="left"/>
              <w:rPr>
                <w:color w:val="000000"/>
                <w:sz w:val="20"/>
                <w:szCs w:val="20"/>
                <w:lang w:bidi="th-TH"/>
              </w:rPr>
            </w:pPr>
            <w:r w:rsidRPr="008D7AB4">
              <w:rPr>
                <w:color w:val="000000"/>
                <w:sz w:val="20"/>
                <w:szCs w:val="20"/>
                <w:lang w:bidi="th-TH"/>
              </w:rPr>
              <w:t>2.4</w:t>
            </w:r>
          </w:p>
        </w:tc>
        <w:tc>
          <w:tcPr>
            <w:tcW w:w="2264" w:type="dxa"/>
            <w:tcBorders>
              <w:top w:val="nil"/>
              <w:left w:val="nil"/>
              <w:bottom w:val="single" w:sz="4" w:space="0" w:color="auto"/>
              <w:right w:val="single" w:sz="4" w:space="0" w:color="auto"/>
            </w:tcBorders>
            <w:shd w:val="clear" w:color="auto" w:fill="auto"/>
            <w:hideMark/>
          </w:tcPr>
          <w:p w14:paraId="7E4083B9" w14:textId="77777777" w:rsidR="00EE69D4" w:rsidRPr="008D7AB4" w:rsidRDefault="00EE69D4" w:rsidP="00C665F2">
            <w:pPr>
              <w:jc w:val="left"/>
              <w:rPr>
                <w:color w:val="000000"/>
                <w:sz w:val="20"/>
                <w:szCs w:val="20"/>
                <w:lang w:bidi="th-TH"/>
              </w:rPr>
            </w:pPr>
            <w:r w:rsidRPr="008D7AB4">
              <w:rPr>
                <w:color w:val="000000"/>
                <w:sz w:val="20"/>
                <w:szCs w:val="20"/>
                <w:lang w:bidi="th-TH"/>
              </w:rPr>
              <w:t>Support costs for Cooperating IA (US $)</w:t>
            </w:r>
          </w:p>
        </w:tc>
        <w:tc>
          <w:tcPr>
            <w:tcW w:w="819" w:type="dxa"/>
            <w:tcBorders>
              <w:top w:val="nil"/>
              <w:left w:val="single" w:sz="4" w:space="0" w:color="auto"/>
              <w:bottom w:val="single" w:sz="4" w:space="0" w:color="auto"/>
              <w:right w:val="single" w:sz="4" w:space="0" w:color="auto"/>
            </w:tcBorders>
            <w:shd w:val="clear" w:color="auto" w:fill="auto"/>
            <w:noWrap/>
            <w:tcMar>
              <w:left w:w="0" w:type="dxa"/>
              <w:right w:w="58" w:type="dxa"/>
            </w:tcMar>
          </w:tcPr>
          <w:p w14:paraId="0C0A4327" w14:textId="77777777" w:rsidR="00EE69D4" w:rsidRPr="008D7AB4" w:rsidRDefault="00EE69D4" w:rsidP="00C665F2">
            <w:pPr>
              <w:jc w:val="right"/>
              <w:rPr>
                <w:color w:val="000000"/>
                <w:sz w:val="20"/>
                <w:szCs w:val="20"/>
                <w:lang w:bidi="th-TH"/>
              </w:rPr>
            </w:pPr>
            <w:r w:rsidRPr="008D7AB4">
              <w:rPr>
                <w:b/>
                <w:bCs/>
                <w:color w:val="000000"/>
                <w:sz w:val="20"/>
                <w:szCs w:val="20"/>
              </w:rPr>
              <w:t>**</w:t>
            </w:r>
            <w:r w:rsidRPr="008D7AB4">
              <w:rPr>
                <w:color w:val="000000"/>
                <w:sz w:val="20"/>
                <w:szCs w:val="20"/>
              </w:rPr>
              <w:t>990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00BED4DC" w14:textId="77777777" w:rsidR="00EE69D4" w:rsidRPr="008D7AB4" w:rsidRDefault="00EE69D4" w:rsidP="00C665F2">
            <w:pPr>
              <w:jc w:val="right"/>
              <w:rPr>
                <w:color w:val="000000"/>
                <w:sz w:val="20"/>
                <w:szCs w:val="20"/>
              </w:rPr>
            </w:pPr>
            <w:r w:rsidRPr="008D7AB4">
              <w:rPr>
                <w:color w:val="000000"/>
                <w:sz w:val="20"/>
                <w:szCs w:val="20"/>
              </w:rPr>
              <w:t>0 </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33F8BD69" w14:textId="77777777" w:rsidR="00EE69D4" w:rsidRPr="008D7AB4" w:rsidRDefault="00EE69D4" w:rsidP="00C665F2">
            <w:pPr>
              <w:jc w:val="right"/>
              <w:rPr>
                <w:color w:val="FFFFFF"/>
                <w:sz w:val="20"/>
                <w:szCs w:val="20"/>
                <w:lang w:bidi="th-TH"/>
              </w:rPr>
            </w:pPr>
            <w:r w:rsidRPr="008D7AB4">
              <w:rPr>
                <w:color w:val="000000"/>
                <w:sz w:val="20"/>
                <w:szCs w:val="20"/>
              </w:rPr>
              <w:t>13,860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6887358B" w14:textId="77777777" w:rsidR="00EE69D4" w:rsidRPr="008D7AB4" w:rsidRDefault="00EE69D4" w:rsidP="00C665F2">
            <w:pPr>
              <w:jc w:val="right"/>
              <w:rPr>
                <w:color w:val="000000"/>
                <w:sz w:val="20"/>
                <w:szCs w:val="20"/>
              </w:rPr>
            </w:pPr>
            <w:r w:rsidRPr="008D7AB4">
              <w:rPr>
                <w:color w:val="000000"/>
                <w:sz w:val="20"/>
                <w:szCs w:val="20"/>
              </w:rPr>
              <w:t>0</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261DF704" w14:textId="77777777" w:rsidR="00EE69D4" w:rsidRPr="008D7AB4" w:rsidRDefault="00EE69D4" w:rsidP="00C665F2">
            <w:pPr>
              <w:jc w:val="right"/>
              <w:rPr>
                <w:color w:val="FFFFFF"/>
                <w:sz w:val="20"/>
                <w:szCs w:val="20"/>
                <w:lang w:bidi="th-TH"/>
              </w:rPr>
            </w:pPr>
            <w:r w:rsidRPr="008D7AB4">
              <w:rPr>
                <w:color w:val="000000"/>
                <w:sz w:val="20"/>
                <w:szCs w:val="20"/>
              </w:rPr>
              <w:t>6,210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669A2A9E" w14:textId="77777777" w:rsidR="00EE69D4" w:rsidRPr="008D7AB4" w:rsidRDefault="00EE69D4" w:rsidP="00C665F2">
            <w:pPr>
              <w:jc w:val="right"/>
              <w:rPr>
                <w:color w:val="000000"/>
                <w:sz w:val="20"/>
                <w:szCs w:val="20"/>
              </w:rPr>
            </w:pPr>
            <w:r w:rsidRPr="008D7AB4">
              <w:rPr>
                <w:color w:val="000000"/>
                <w:sz w:val="20"/>
                <w:szCs w:val="20"/>
              </w:rPr>
              <w:t>0</w:t>
            </w:r>
          </w:p>
        </w:tc>
        <w:tc>
          <w:tcPr>
            <w:tcW w:w="843"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4361EB41" w14:textId="77777777" w:rsidR="00EE69D4" w:rsidRPr="008D7AB4" w:rsidRDefault="00EE69D4" w:rsidP="00C665F2">
            <w:pPr>
              <w:jc w:val="right"/>
              <w:rPr>
                <w:color w:val="000000"/>
                <w:sz w:val="20"/>
                <w:szCs w:val="20"/>
                <w:lang w:bidi="th-TH"/>
              </w:rPr>
            </w:pPr>
            <w:r w:rsidRPr="008D7AB4">
              <w:rPr>
                <w:color w:val="000000"/>
                <w:sz w:val="20"/>
                <w:szCs w:val="20"/>
                <w:lang w:bidi="th-TH"/>
              </w:rPr>
              <w:t>0</w:t>
            </w:r>
          </w:p>
        </w:tc>
        <w:tc>
          <w:tcPr>
            <w:tcW w:w="810" w:type="dxa"/>
            <w:tcBorders>
              <w:top w:val="nil"/>
              <w:left w:val="nil"/>
              <w:bottom w:val="single" w:sz="4" w:space="0" w:color="auto"/>
              <w:right w:val="single" w:sz="4" w:space="0" w:color="auto"/>
            </w:tcBorders>
            <w:shd w:val="clear" w:color="auto" w:fill="auto"/>
            <w:noWrap/>
            <w:tcMar>
              <w:left w:w="0" w:type="dxa"/>
              <w:right w:w="58" w:type="dxa"/>
            </w:tcMar>
          </w:tcPr>
          <w:p w14:paraId="1E8B001F" w14:textId="77777777" w:rsidR="00EE69D4" w:rsidRPr="008D7AB4" w:rsidRDefault="00EE69D4" w:rsidP="00C665F2">
            <w:pPr>
              <w:jc w:val="right"/>
              <w:rPr>
                <w:color w:val="000000"/>
                <w:sz w:val="20"/>
                <w:szCs w:val="20"/>
                <w:lang w:bidi="th-TH"/>
              </w:rPr>
            </w:pPr>
            <w:r w:rsidRPr="008D7AB4">
              <w:rPr>
                <w:color w:val="000000"/>
                <w:sz w:val="20"/>
                <w:szCs w:val="20"/>
              </w:rPr>
              <w:t>21,060</w:t>
            </w:r>
          </w:p>
        </w:tc>
      </w:tr>
      <w:tr w:rsidR="00EE69D4" w:rsidRPr="008D7AB4" w14:paraId="30C130F2" w14:textId="77777777" w:rsidTr="00C665F2">
        <w:tc>
          <w:tcPr>
            <w:tcW w:w="615"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1EEB0DDA" w14:textId="77777777" w:rsidR="00EE69D4" w:rsidRPr="008D7AB4" w:rsidRDefault="00EE69D4" w:rsidP="00C665F2">
            <w:pPr>
              <w:jc w:val="left"/>
              <w:rPr>
                <w:color w:val="000000"/>
                <w:sz w:val="20"/>
                <w:szCs w:val="20"/>
                <w:lang w:bidi="th-TH"/>
              </w:rPr>
            </w:pPr>
            <w:r w:rsidRPr="008D7AB4">
              <w:rPr>
                <w:color w:val="000000"/>
                <w:sz w:val="20"/>
                <w:szCs w:val="20"/>
                <w:lang w:bidi="th-TH"/>
              </w:rPr>
              <w:t>3.1</w:t>
            </w:r>
          </w:p>
        </w:tc>
        <w:tc>
          <w:tcPr>
            <w:tcW w:w="2264" w:type="dxa"/>
            <w:tcBorders>
              <w:top w:val="nil"/>
              <w:left w:val="nil"/>
              <w:bottom w:val="single" w:sz="4" w:space="0" w:color="auto"/>
              <w:right w:val="single" w:sz="4" w:space="0" w:color="auto"/>
            </w:tcBorders>
            <w:shd w:val="clear" w:color="auto" w:fill="auto"/>
            <w:hideMark/>
          </w:tcPr>
          <w:p w14:paraId="3A7F1606" w14:textId="77777777" w:rsidR="00EE69D4" w:rsidRPr="008D7AB4" w:rsidRDefault="00EE69D4" w:rsidP="00C665F2">
            <w:pPr>
              <w:jc w:val="left"/>
              <w:rPr>
                <w:color w:val="000000"/>
                <w:sz w:val="20"/>
                <w:szCs w:val="20"/>
                <w:lang w:bidi="th-TH"/>
              </w:rPr>
            </w:pPr>
            <w:r w:rsidRPr="008D7AB4">
              <w:rPr>
                <w:color w:val="000000"/>
                <w:sz w:val="20"/>
                <w:szCs w:val="20"/>
                <w:lang w:bidi="th-TH"/>
              </w:rPr>
              <w:t>Total agreed funding (US $)</w:t>
            </w:r>
          </w:p>
        </w:tc>
        <w:tc>
          <w:tcPr>
            <w:tcW w:w="819" w:type="dxa"/>
            <w:tcBorders>
              <w:top w:val="nil"/>
              <w:left w:val="single" w:sz="4" w:space="0" w:color="auto"/>
              <w:bottom w:val="single" w:sz="4" w:space="0" w:color="auto"/>
              <w:right w:val="single" w:sz="4" w:space="0" w:color="auto"/>
            </w:tcBorders>
            <w:shd w:val="clear" w:color="auto" w:fill="auto"/>
            <w:noWrap/>
            <w:tcMar>
              <w:left w:w="0" w:type="dxa"/>
              <w:right w:w="58" w:type="dxa"/>
            </w:tcMar>
          </w:tcPr>
          <w:p w14:paraId="387CB601" w14:textId="77777777" w:rsidR="00EE69D4" w:rsidRPr="008D7AB4" w:rsidRDefault="00EE69D4" w:rsidP="00C665F2">
            <w:pPr>
              <w:jc w:val="right"/>
              <w:rPr>
                <w:color w:val="000000"/>
                <w:sz w:val="20"/>
                <w:szCs w:val="20"/>
                <w:lang w:bidi="th-TH"/>
              </w:rPr>
            </w:pPr>
            <w:r w:rsidRPr="008D7AB4">
              <w:rPr>
                <w:color w:val="000000"/>
                <w:sz w:val="20"/>
                <w:szCs w:val="20"/>
              </w:rPr>
              <w:t>160,100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235F0554" w14:textId="77777777" w:rsidR="00EE69D4" w:rsidRPr="008D7AB4" w:rsidRDefault="00EE69D4" w:rsidP="00C665F2">
            <w:pPr>
              <w:jc w:val="right"/>
              <w:rPr>
                <w:color w:val="000000"/>
                <w:sz w:val="20"/>
                <w:szCs w:val="20"/>
              </w:rPr>
            </w:pPr>
            <w:r w:rsidRPr="008D7AB4">
              <w:rPr>
                <w:color w:val="000000"/>
                <w:sz w:val="20"/>
                <w:szCs w:val="20"/>
              </w:rPr>
              <w:t>0 </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0F5C2D80" w14:textId="77777777" w:rsidR="00EE69D4" w:rsidRPr="008D7AB4" w:rsidRDefault="00EE69D4" w:rsidP="00C665F2">
            <w:pPr>
              <w:jc w:val="right"/>
              <w:rPr>
                <w:color w:val="FFFFFF"/>
                <w:sz w:val="20"/>
                <w:szCs w:val="20"/>
                <w:lang w:bidi="th-TH"/>
              </w:rPr>
            </w:pPr>
            <w:r w:rsidRPr="008D7AB4">
              <w:rPr>
                <w:color w:val="000000"/>
                <w:sz w:val="20"/>
                <w:szCs w:val="20"/>
              </w:rPr>
              <w:t>230,100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5E4A5400" w14:textId="77777777" w:rsidR="00EE69D4" w:rsidRPr="008D7AB4" w:rsidRDefault="00EE69D4" w:rsidP="00C665F2">
            <w:pPr>
              <w:jc w:val="right"/>
              <w:rPr>
                <w:color w:val="000000"/>
                <w:sz w:val="20"/>
                <w:szCs w:val="20"/>
              </w:rPr>
            </w:pPr>
            <w:r w:rsidRPr="008D7AB4">
              <w:rPr>
                <w:color w:val="000000"/>
                <w:sz w:val="20"/>
                <w:szCs w:val="20"/>
              </w:rPr>
              <w:t>0</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64856F4C" w14:textId="77777777" w:rsidR="00EE69D4" w:rsidRPr="008D7AB4" w:rsidRDefault="00EE69D4" w:rsidP="00C665F2">
            <w:pPr>
              <w:jc w:val="right"/>
              <w:rPr>
                <w:color w:val="FFFFFF"/>
                <w:sz w:val="20"/>
                <w:szCs w:val="20"/>
                <w:lang w:bidi="th-TH"/>
              </w:rPr>
            </w:pPr>
            <w:r w:rsidRPr="008D7AB4">
              <w:rPr>
                <w:color w:val="000000"/>
                <w:sz w:val="20"/>
                <w:szCs w:val="20"/>
              </w:rPr>
              <w:t>136,300</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6E0B94A4" w14:textId="77777777" w:rsidR="00EE69D4" w:rsidRPr="008D7AB4" w:rsidRDefault="00EE69D4" w:rsidP="00C665F2">
            <w:pPr>
              <w:jc w:val="right"/>
              <w:rPr>
                <w:color w:val="000000"/>
                <w:sz w:val="20"/>
                <w:szCs w:val="20"/>
              </w:rPr>
            </w:pPr>
            <w:r w:rsidRPr="008D7AB4">
              <w:rPr>
                <w:color w:val="000000"/>
                <w:sz w:val="20"/>
                <w:szCs w:val="20"/>
              </w:rPr>
              <w:t>0</w:t>
            </w:r>
          </w:p>
        </w:tc>
        <w:tc>
          <w:tcPr>
            <w:tcW w:w="843" w:type="dxa"/>
            <w:tcBorders>
              <w:top w:val="nil"/>
              <w:left w:val="nil"/>
              <w:bottom w:val="single" w:sz="4" w:space="0" w:color="auto"/>
              <w:right w:val="single" w:sz="4" w:space="0" w:color="auto"/>
            </w:tcBorders>
            <w:shd w:val="clear" w:color="auto" w:fill="auto"/>
            <w:noWrap/>
            <w:tcMar>
              <w:left w:w="0" w:type="dxa"/>
              <w:right w:w="58" w:type="dxa"/>
            </w:tcMar>
          </w:tcPr>
          <w:p w14:paraId="4D525635" w14:textId="77777777" w:rsidR="00EE69D4" w:rsidRPr="008D7AB4" w:rsidRDefault="00EE69D4" w:rsidP="00C665F2">
            <w:pPr>
              <w:jc w:val="right"/>
              <w:rPr>
                <w:color w:val="000000"/>
                <w:sz w:val="20"/>
                <w:szCs w:val="20"/>
                <w:lang w:bidi="th-TH"/>
              </w:rPr>
            </w:pPr>
            <w:r w:rsidRPr="008D7AB4">
              <w:rPr>
                <w:color w:val="000000"/>
                <w:sz w:val="20"/>
                <w:szCs w:val="20"/>
              </w:rPr>
              <w:t>58,500</w:t>
            </w:r>
          </w:p>
        </w:tc>
        <w:tc>
          <w:tcPr>
            <w:tcW w:w="810" w:type="dxa"/>
            <w:tcBorders>
              <w:top w:val="nil"/>
              <w:left w:val="nil"/>
              <w:bottom w:val="single" w:sz="4" w:space="0" w:color="auto"/>
              <w:right w:val="single" w:sz="4" w:space="0" w:color="auto"/>
            </w:tcBorders>
            <w:shd w:val="clear" w:color="auto" w:fill="auto"/>
            <w:noWrap/>
            <w:tcMar>
              <w:left w:w="0" w:type="dxa"/>
              <w:right w:w="58" w:type="dxa"/>
            </w:tcMar>
          </w:tcPr>
          <w:p w14:paraId="6AC20831" w14:textId="77777777" w:rsidR="00EE69D4" w:rsidRPr="008D7AB4" w:rsidRDefault="00EE69D4" w:rsidP="00C665F2">
            <w:pPr>
              <w:jc w:val="right"/>
              <w:rPr>
                <w:color w:val="000000"/>
                <w:sz w:val="20"/>
                <w:szCs w:val="20"/>
                <w:lang w:bidi="th-TH"/>
              </w:rPr>
            </w:pPr>
            <w:r w:rsidRPr="008D7AB4">
              <w:rPr>
                <w:color w:val="000000"/>
                <w:sz w:val="20"/>
                <w:szCs w:val="20"/>
              </w:rPr>
              <w:t>585,000</w:t>
            </w:r>
          </w:p>
        </w:tc>
      </w:tr>
      <w:tr w:rsidR="00EE69D4" w:rsidRPr="008D7AB4" w14:paraId="120B4AAD" w14:textId="77777777" w:rsidTr="00C665F2">
        <w:tc>
          <w:tcPr>
            <w:tcW w:w="615"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7E7F7207" w14:textId="77777777" w:rsidR="00EE69D4" w:rsidRPr="008D7AB4" w:rsidRDefault="00EE69D4" w:rsidP="00C665F2">
            <w:pPr>
              <w:jc w:val="left"/>
              <w:rPr>
                <w:color w:val="000000"/>
                <w:sz w:val="20"/>
                <w:szCs w:val="20"/>
                <w:lang w:bidi="th-TH"/>
              </w:rPr>
            </w:pPr>
            <w:r w:rsidRPr="008D7AB4">
              <w:rPr>
                <w:color w:val="000000"/>
                <w:sz w:val="20"/>
                <w:szCs w:val="20"/>
                <w:lang w:bidi="th-TH"/>
              </w:rPr>
              <w:t>3.2</w:t>
            </w:r>
          </w:p>
        </w:tc>
        <w:tc>
          <w:tcPr>
            <w:tcW w:w="2264" w:type="dxa"/>
            <w:tcBorders>
              <w:top w:val="nil"/>
              <w:left w:val="nil"/>
              <w:bottom w:val="single" w:sz="4" w:space="0" w:color="auto"/>
              <w:right w:val="single" w:sz="4" w:space="0" w:color="auto"/>
            </w:tcBorders>
            <w:shd w:val="clear" w:color="auto" w:fill="auto"/>
            <w:hideMark/>
          </w:tcPr>
          <w:p w14:paraId="7A4666A2" w14:textId="77777777" w:rsidR="00EE69D4" w:rsidRPr="008D7AB4" w:rsidRDefault="00EE69D4" w:rsidP="00C665F2">
            <w:pPr>
              <w:jc w:val="left"/>
              <w:rPr>
                <w:color w:val="000000"/>
                <w:sz w:val="20"/>
                <w:szCs w:val="20"/>
                <w:lang w:bidi="th-TH"/>
              </w:rPr>
            </w:pPr>
            <w:r w:rsidRPr="008D7AB4">
              <w:rPr>
                <w:color w:val="000000"/>
                <w:sz w:val="20"/>
                <w:szCs w:val="20"/>
                <w:lang w:bidi="th-TH"/>
              </w:rPr>
              <w:t>Total support cost (US $)</w:t>
            </w:r>
          </w:p>
        </w:tc>
        <w:tc>
          <w:tcPr>
            <w:tcW w:w="819" w:type="dxa"/>
            <w:tcBorders>
              <w:top w:val="nil"/>
              <w:left w:val="single" w:sz="4" w:space="0" w:color="auto"/>
              <w:bottom w:val="single" w:sz="4" w:space="0" w:color="auto"/>
              <w:right w:val="single" w:sz="4" w:space="0" w:color="auto"/>
            </w:tcBorders>
            <w:shd w:val="clear" w:color="auto" w:fill="auto"/>
            <w:noWrap/>
            <w:tcMar>
              <w:left w:w="0" w:type="dxa"/>
              <w:right w:w="58" w:type="dxa"/>
            </w:tcMar>
          </w:tcPr>
          <w:p w14:paraId="79DC4ADC" w14:textId="77777777" w:rsidR="00EE69D4" w:rsidRPr="008D7AB4" w:rsidRDefault="00EE69D4" w:rsidP="00C665F2">
            <w:pPr>
              <w:jc w:val="right"/>
              <w:rPr>
                <w:color w:val="000000"/>
                <w:sz w:val="20"/>
                <w:szCs w:val="20"/>
                <w:lang w:bidi="th-TH"/>
              </w:rPr>
            </w:pPr>
            <w:r w:rsidRPr="008D7AB4">
              <w:rPr>
                <w:color w:val="000000"/>
                <w:sz w:val="20"/>
                <w:szCs w:val="20"/>
              </w:rPr>
              <w:t>20,373</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1330DD6D" w14:textId="77777777" w:rsidR="00EE69D4" w:rsidRPr="008D7AB4" w:rsidRDefault="00EE69D4" w:rsidP="00C665F2">
            <w:pPr>
              <w:jc w:val="right"/>
              <w:rPr>
                <w:color w:val="000000"/>
                <w:sz w:val="20"/>
                <w:szCs w:val="20"/>
              </w:rPr>
            </w:pPr>
            <w:r w:rsidRPr="008D7AB4">
              <w:rPr>
                <w:color w:val="000000"/>
                <w:sz w:val="20"/>
                <w:szCs w:val="20"/>
              </w:rPr>
              <w:t>0 </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54AB49AE" w14:textId="77777777" w:rsidR="00EE69D4" w:rsidRPr="008D7AB4" w:rsidRDefault="00EE69D4" w:rsidP="00C665F2">
            <w:pPr>
              <w:jc w:val="right"/>
              <w:rPr>
                <w:color w:val="FFFFFF"/>
                <w:sz w:val="20"/>
                <w:szCs w:val="20"/>
                <w:lang w:bidi="th-TH"/>
              </w:rPr>
            </w:pPr>
            <w:r w:rsidRPr="008D7AB4">
              <w:rPr>
                <w:color w:val="000000"/>
                <w:sz w:val="20"/>
                <w:szCs w:val="20"/>
              </w:rPr>
              <w:t>23,753</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4A36830F" w14:textId="77777777" w:rsidR="00EE69D4" w:rsidRPr="008D7AB4" w:rsidRDefault="00EE69D4" w:rsidP="00C665F2">
            <w:pPr>
              <w:jc w:val="right"/>
              <w:rPr>
                <w:color w:val="000000"/>
                <w:sz w:val="20"/>
                <w:szCs w:val="20"/>
              </w:rPr>
            </w:pPr>
            <w:r w:rsidRPr="008D7AB4">
              <w:rPr>
                <w:color w:val="000000"/>
                <w:sz w:val="20"/>
                <w:szCs w:val="20"/>
              </w:rPr>
              <w:t>0</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284EB10A" w14:textId="77777777" w:rsidR="00EE69D4" w:rsidRPr="008D7AB4" w:rsidRDefault="00EE69D4" w:rsidP="00C665F2">
            <w:pPr>
              <w:jc w:val="right"/>
              <w:rPr>
                <w:color w:val="FFFFFF"/>
                <w:sz w:val="20"/>
                <w:szCs w:val="20"/>
                <w:lang w:bidi="th-TH"/>
              </w:rPr>
            </w:pPr>
            <w:r w:rsidRPr="008D7AB4">
              <w:rPr>
                <w:color w:val="000000"/>
                <w:sz w:val="20"/>
                <w:szCs w:val="20"/>
              </w:rPr>
              <w:t>14,959</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6DEA9742" w14:textId="77777777" w:rsidR="00EE69D4" w:rsidRPr="008D7AB4" w:rsidRDefault="00EE69D4" w:rsidP="00C665F2">
            <w:pPr>
              <w:jc w:val="right"/>
              <w:rPr>
                <w:color w:val="000000"/>
                <w:sz w:val="20"/>
                <w:szCs w:val="20"/>
              </w:rPr>
            </w:pPr>
            <w:r w:rsidRPr="008D7AB4">
              <w:rPr>
                <w:color w:val="000000"/>
                <w:sz w:val="20"/>
                <w:szCs w:val="20"/>
              </w:rPr>
              <w:t>0</w:t>
            </w:r>
          </w:p>
        </w:tc>
        <w:tc>
          <w:tcPr>
            <w:tcW w:w="843" w:type="dxa"/>
            <w:tcBorders>
              <w:top w:val="nil"/>
              <w:left w:val="nil"/>
              <w:bottom w:val="single" w:sz="4" w:space="0" w:color="auto"/>
              <w:right w:val="single" w:sz="4" w:space="0" w:color="auto"/>
            </w:tcBorders>
            <w:shd w:val="clear" w:color="auto" w:fill="auto"/>
            <w:noWrap/>
            <w:tcMar>
              <w:left w:w="0" w:type="dxa"/>
              <w:right w:w="58" w:type="dxa"/>
            </w:tcMar>
          </w:tcPr>
          <w:p w14:paraId="5BB9BBE1" w14:textId="77777777" w:rsidR="00EE69D4" w:rsidRPr="008D7AB4" w:rsidRDefault="00EE69D4" w:rsidP="00C665F2">
            <w:pPr>
              <w:jc w:val="right"/>
              <w:rPr>
                <w:color w:val="000000"/>
                <w:sz w:val="20"/>
                <w:szCs w:val="20"/>
                <w:lang w:bidi="th-TH"/>
              </w:rPr>
            </w:pPr>
            <w:r w:rsidRPr="008D7AB4">
              <w:rPr>
                <w:color w:val="000000"/>
                <w:sz w:val="20"/>
                <w:szCs w:val="20"/>
              </w:rPr>
              <w:t>7,605</w:t>
            </w:r>
          </w:p>
        </w:tc>
        <w:tc>
          <w:tcPr>
            <w:tcW w:w="810" w:type="dxa"/>
            <w:tcBorders>
              <w:top w:val="nil"/>
              <w:left w:val="nil"/>
              <w:bottom w:val="single" w:sz="4" w:space="0" w:color="auto"/>
              <w:right w:val="single" w:sz="4" w:space="0" w:color="auto"/>
            </w:tcBorders>
            <w:shd w:val="clear" w:color="auto" w:fill="auto"/>
            <w:noWrap/>
            <w:tcMar>
              <w:left w:w="0" w:type="dxa"/>
              <w:right w:w="58" w:type="dxa"/>
            </w:tcMar>
          </w:tcPr>
          <w:p w14:paraId="7F699F25" w14:textId="77777777" w:rsidR="00EE69D4" w:rsidRPr="008D7AB4" w:rsidRDefault="00EE69D4" w:rsidP="00C665F2">
            <w:pPr>
              <w:jc w:val="right"/>
              <w:rPr>
                <w:color w:val="000000"/>
                <w:sz w:val="20"/>
                <w:szCs w:val="20"/>
                <w:lang w:bidi="th-TH"/>
              </w:rPr>
            </w:pPr>
            <w:r w:rsidRPr="008D7AB4">
              <w:rPr>
                <w:color w:val="000000"/>
                <w:sz w:val="20"/>
                <w:szCs w:val="20"/>
              </w:rPr>
              <w:t>66,690</w:t>
            </w:r>
          </w:p>
        </w:tc>
      </w:tr>
      <w:tr w:rsidR="00EE69D4" w:rsidRPr="008D7AB4" w14:paraId="11AAD5F1" w14:textId="77777777" w:rsidTr="00C665F2">
        <w:tc>
          <w:tcPr>
            <w:tcW w:w="615" w:type="dxa"/>
            <w:tcBorders>
              <w:top w:val="nil"/>
              <w:left w:val="single" w:sz="4" w:space="0" w:color="auto"/>
              <w:bottom w:val="single" w:sz="4" w:space="0" w:color="auto"/>
              <w:right w:val="single" w:sz="4" w:space="0" w:color="auto"/>
            </w:tcBorders>
            <w:shd w:val="clear" w:color="auto" w:fill="auto"/>
            <w:noWrap/>
            <w:tcMar>
              <w:left w:w="14" w:type="dxa"/>
              <w:right w:w="14" w:type="dxa"/>
            </w:tcMar>
            <w:hideMark/>
          </w:tcPr>
          <w:p w14:paraId="563C889E" w14:textId="77777777" w:rsidR="00EE69D4" w:rsidRPr="008D7AB4" w:rsidRDefault="00EE69D4" w:rsidP="00C665F2">
            <w:pPr>
              <w:jc w:val="left"/>
              <w:rPr>
                <w:color w:val="000000"/>
                <w:sz w:val="20"/>
                <w:szCs w:val="20"/>
                <w:lang w:bidi="th-TH"/>
              </w:rPr>
            </w:pPr>
            <w:r w:rsidRPr="008D7AB4">
              <w:rPr>
                <w:color w:val="000000"/>
                <w:sz w:val="20"/>
                <w:szCs w:val="20"/>
                <w:lang w:bidi="th-TH"/>
              </w:rPr>
              <w:t>3.3</w:t>
            </w:r>
          </w:p>
        </w:tc>
        <w:tc>
          <w:tcPr>
            <w:tcW w:w="2264" w:type="dxa"/>
            <w:tcBorders>
              <w:top w:val="nil"/>
              <w:left w:val="nil"/>
              <w:bottom w:val="single" w:sz="4" w:space="0" w:color="auto"/>
              <w:right w:val="single" w:sz="4" w:space="0" w:color="auto"/>
            </w:tcBorders>
            <w:shd w:val="clear" w:color="auto" w:fill="auto"/>
            <w:hideMark/>
          </w:tcPr>
          <w:p w14:paraId="6B51F0F5" w14:textId="77777777" w:rsidR="00EE69D4" w:rsidRPr="008D7AB4" w:rsidRDefault="00EE69D4" w:rsidP="00C665F2">
            <w:pPr>
              <w:jc w:val="left"/>
              <w:rPr>
                <w:color w:val="000000"/>
                <w:sz w:val="20"/>
                <w:szCs w:val="20"/>
                <w:lang w:bidi="th-TH"/>
              </w:rPr>
            </w:pPr>
            <w:r w:rsidRPr="008D7AB4">
              <w:rPr>
                <w:color w:val="000000"/>
                <w:sz w:val="20"/>
                <w:szCs w:val="20"/>
                <w:lang w:bidi="th-TH"/>
              </w:rPr>
              <w:t>Total agreed costs (US $)</w:t>
            </w:r>
          </w:p>
        </w:tc>
        <w:tc>
          <w:tcPr>
            <w:tcW w:w="819" w:type="dxa"/>
            <w:tcBorders>
              <w:top w:val="nil"/>
              <w:left w:val="single" w:sz="4" w:space="0" w:color="auto"/>
              <w:bottom w:val="single" w:sz="4" w:space="0" w:color="auto"/>
              <w:right w:val="single" w:sz="4" w:space="0" w:color="auto"/>
            </w:tcBorders>
            <w:shd w:val="clear" w:color="auto" w:fill="auto"/>
            <w:noWrap/>
            <w:tcMar>
              <w:left w:w="0" w:type="dxa"/>
              <w:right w:w="58" w:type="dxa"/>
            </w:tcMar>
          </w:tcPr>
          <w:p w14:paraId="4195E5DC" w14:textId="77777777" w:rsidR="00EE69D4" w:rsidRPr="008D7AB4" w:rsidRDefault="00EE69D4" w:rsidP="00C665F2">
            <w:pPr>
              <w:jc w:val="right"/>
              <w:rPr>
                <w:color w:val="000000"/>
                <w:sz w:val="20"/>
                <w:szCs w:val="20"/>
                <w:lang w:bidi="th-TH"/>
              </w:rPr>
            </w:pPr>
            <w:r w:rsidRPr="008D7AB4">
              <w:rPr>
                <w:color w:val="000000"/>
                <w:sz w:val="20"/>
                <w:szCs w:val="20"/>
              </w:rPr>
              <w:t>180,473</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2E9FF054" w14:textId="77777777" w:rsidR="00EE69D4" w:rsidRPr="008D7AB4" w:rsidRDefault="00EE69D4" w:rsidP="00C665F2">
            <w:pPr>
              <w:jc w:val="right"/>
              <w:rPr>
                <w:color w:val="000000"/>
                <w:sz w:val="20"/>
                <w:szCs w:val="20"/>
              </w:rPr>
            </w:pPr>
            <w:r w:rsidRPr="008D7AB4">
              <w:rPr>
                <w:color w:val="000000"/>
                <w:sz w:val="20"/>
                <w:szCs w:val="20"/>
              </w:rPr>
              <w:t>0 </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48D3A453" w14:textId="77777777" w:rsidR="00EE69D4" w:rsidRPr="008D7AB4" w:rsidRDefault="00EE69D4" w:rsidP="00C665F2">
            <w:pPr>
              <w:jc w:val="right"/>
              <w:rPr>
                <w:color w:val="FFFFFF"/>
                <w:sz w:val="20"/>
                <w:szCs w:val="20"/>
                <w:lang w:bidi="th-TH"/>
              </w:rPr>
            </w:pPr>
            <w:r w:rsidRPr="008D7AB4">
              <w:rPr>
                <w:color w:val="000000"/>
                <w:sz w:val="20"/>
                <w:szCs w:val="20"/>
              </w:rPr>
              <w:t>253,853</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7A53EDDF" w14:textId="77777777" w:rsidR="00EE69D4" w:rsidRPr="008D7AB4" w:rsidRDefault="00EE69D4" w:rsidP="00C665F2">
            <w:pPr>
              <w:jc w:val="right"/>
              <w:rPr>
                <w:color w:val="000000"/>
                <w:sz w:val="20"/>
                <w:szCs w:val="20"/>
              </w:rPr>
            </w:pPr>
            <w:r w:rsidRPr="008D7AB4">
              <w:rPr>
                <w:color w:val="000000"/>
                <w:sz w:val="20"/>
                <w:szCs w:val="20"/>
              </w:rPr>
              <w:t>0</w:t>
            </w:r>
          </w:p>
        </w:tc>
        <w:tc>
          <w:tcPr>
            <w:tcW w:w="819" w:type="dxa"/>
            <w:tcBorders>
              <w:top w:val="nil"/>
              <w:left w:val="nil"/>
              <w:bottom w:val="single" w:sz="4" w:space="0" w:color="auto"/>
              <w:right w:val="single" w:sz="4" w:space="0" w:color="auto"/>
            </w:tcBorders>
            <w:shd w:val="clear" w:color="auto" w:fill="auto"/>
            <w:noWrap/>
            <w:tcMar>
              <w:left w:w="0" w:type="dxa"/>
              <w:right w:w="58" w:type="dxa"/>
            </w:tcMar>
          </w:tcPr>
          <w:p w14:paraId="00D98F88" w14:textId="77777777" w:rsidR="00EE69D4" w:rsidRPr="008D7AB4" w:rsidRDefault="00EE69D4" w:rsidP="00C665F2">
            <w:pPr>
              <w:jc w:val="right"/>
              <w:rPr>
                <w:color w:val="FFFFFF"/>
                <w:sz w:val="20"/>
                <w:szCs w:val="20"/>
                <w:lang w:bidi="th-TH"/>
              </w:rPr>
            </w:pPr>
            <w:r w:rsidRPr="008D7AB4">
              <w:rPr>
                <w:color w:val="000000"/>
                <w:sz w:val="20"/>
                <w:szCs w:val="20"/>
              </w:rPr>
              <w:t>151,259</w:t>
            </w:r>
          </w:p>
        </w:tc>
        <w:tc>
          <w:tcPr>
            <w:tcW w:w="820" w:type="dxa"/>
            <w:tcBorders>
              <w:top w:val="single" w:sz="4" w:space="0" w:color="auto"/>
              <w:left w:val="single" w:sz="4" w:space="0" w:color="auto"/>
              <w:bottom w:val="single" w:sz="4" w:space="0" w:color="auto"/>
              <w:right w:val="single" w:sz="4" w:space="0" w:color="auto"/>
            </w:tcBorders>
            <w:shd w:val="clear" w:color="auto" w:fill="auto"/>
            <w:noWrap/>
            <w:tcMar>
              <w:left w:w="0" w:type="dxa"/>
              <w:right w:w="58" w:type="dxa"/>
            </w:tcMar>
          </w:tcPr>
          <w:p w14:paraId="35641046" w14:textId="77777777" w:rsidR="00EE69D4" w:rsidRPr="008D7AB4" w:rsidRDefault="00EE69D4" w:rsidP="00C665F2">
            <w:pPr>
              <w:jc w:val="right"/>
              <w:rPr>
                <w:color w:val="000000"/>
                <w:sz w:val="20"/>
                <w:szCs w:val="20"/>
              </w:rPr>
            </w:pPr>
            <w:r w:rsidRPr="008D7AB4">
              <w:rPr>
                <w:color w:val="000000"/>
                <w:sz w:val="20"/>
                <w:szCs w:val="20"/>
              </w:rPr>
              <w:t>0</w:t>
            </w:r>
          </w:p>
        </w:tc>
        <w:tc>
          <w:tcPr>
            <w:tcW w:w="843" w:type="dxa"/>
            <w:tcBorders>
              <w:top w:val="nil"/>
              <w:left w:val="nil"/>
              <w:bottom w:val="single" w:sz="4" w:space="0" w:color="auto"/>
              <w:right w:val="single" w:sz="4" w:space="0" w:color="auto"/>
            </w:tcBorders>
            <w:shd w:val="clear" w:color="auto" w:fill="auto"/>
            <w:noWrap/>
            <w:tcMar>
              <w:left w:w="0" w:type="dxa"/>
              <w:right w:w="58" w:type="dxa"/>
            </w:tcMar>
          </w:tcPr>
          <w:p w14:paraId="5AD12C4A" w14:textId="77777777" w:rsidR="00EE69D4" w:rsidRPr="008D7AB4" w:rsidRDefault="00EE69D4" w:rsidP="00C665F2">
            <w:pPr>
              <w:jc w:val="right"/>
              <w:rPr>
                <w:color w:val="000000"/>
                <w:sz w:val="20"/>
                <w:szCs w:val="20"/>
                <w:lang w:bidi="th-TH"/>
              </w:rPr>
            </w:pPr>
            <w:r w:rsidRPr="008D7AB4">
              <w:rPr>
                <w:color w:val="000000"/>
                <w:sz w:val="20"/>
                <w:szCs w:val="20"/>
              </w:rPr>
              <w:t>66,105</w:t>
            </w:r>
          </w:p>
        </w:tc>
        <w:tc>
          <w:tcPr>
            <w:tcW w:w="810" w:type="dxa"/>
            <w:tcBorders>
              <w:top w:val="nil"/>
              <w:left w:val="nil"/>
              <w:bottom w:val="single" w:sz="4" w:space="0" w:color="auto"/>
              <w:right w:val="single" w:sz="4" w:space="0" w:color="auto"/>
            </w:tcBorders>
            <w:shd w:val="clear" w:color="auto" w:fill="auto"/>
            <w:noWrap/>
            <w:tcMar>
              <w:left w:w="0" w:type="dxa"/>
              <w:right w:w="58" w:type="dxa"/>
            </w:tcMar>
          </w:tcPr>
          <w:p w14:paraId="259CF68A" w14:textId="77777777" w:rsidR="00EE69D4" w:rsidRPr="008D7AB4" w:rsidRDefault="00EE69D4" w:rsidP="00C665F2">
            <w:pPr>
              <w:jc w:val="right"/>
              <w:rPr>
                <w:color w:val="000000"/>
                <w:sz w:val="20"/>
                <w:szCs w:val="20"/>
                <w:lang w:bidi="th-TH"/>
              </w:rPr>
            </w:pPr>
            <w:r w:rsidRPr="008D7AB4">
              <w:rPr>
                <w:color w:val="000000"/>
                <w:sz w:val="20"/>
                <w:szCs w:val="20"/>
              </w:rPr>
              <w:t>651,690</w:t>
            </w:r>
          </w:p>
        </w:tc>
      </w:tr>
      <w:tr w:rsidR="00EE69D4" w:rsidRPr="008D7AB4" w14:paraId="588D3504" w14:textId="77777777" w:rsidTr="00C665F2">
        <w:tc>
          <w:tcPr>
            <w:tcW w:w="615"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tcPr>
          <w:p w14:paraId="61DE2ECE" w14:textId="77777777" w:rsidR="00EE69D4" w:rsidRPr="008D7AB4" w:rsidRDefault="00EE69D4" w:rsidP="00C665F2">
            <w:pPr>
              <w:jc w:val="left"/>
              <w:rPr>
                <w:color w:val="000000"/>
                <w:sz w:val="20"/>
                <w:szCs w:val="20"/>
                <w:lang w:bidi="th-TH"/>
              </w:rPr>
            </w:pPr>
            <w:r w:rsidRPr="008D7AB4">
              <w:rPr>
                <w:color w:val="000000"/>
                <w:sz w:val="20"/>
                <w:szCs w:val="20"/>
                <w:lang w:bidi="th-TH"/>
              </w:rPr>
              <w:t>4.1.1</w:t>
            </w:r>
          </w:p>
        </w:tc>
        <w:tc>
          <w:tcPr>
            <w:tcW w:w="8024" w:type="dxa"/>
            <w:gridSpan w:val="8"/>
            <w:tcBorders>
              <w:top w:val="single" w:sz="4" w:space="0" w:color="auto"/>
              <w:left w:val="nil"/>
              <w:bottom w:val="single" w:sz="4" w:space="0" w:color="auto"/>
              <w:right w:val="single" w:sz="4" w:space="0" w:color="auto"/>
            </w:tcBorders>
            <w:shd w:val="clear" w:color="auto" w:fill="auto"/>
          </w:tcPr>
          <w:p w14:paraId="23B66DC7" w14:textId="77777777" w:rsidR="00EE69D4" w:rsidRPr="008D7AB4" w:rsidRDefault="00EE69D4" w:rsidP="00C665F2">
            <w:pPr>
              <w:jc w:val="left"/>
              <w:rPr>
                <w:color w:val="000000"/>
                <w:sz w:val="20"/>
                <w:szCs w:val="20"/>
              </w:rPr>
            </w:pPr>
            <w:r w:rsidRPr="008D7AB4">
              <w:rPr>
                <w:color w:val="000000"/>
                <w:sz w:val="20"/>
                <w:szCs w:val="20"/>
                <w:lang w:bidi="th-TH"/>
              </w:rPr>
              <w:t>Total phase-out of HCFC-22 agreed to be achieved under this agreement (ODP tonnes)</w:t>
            </w:r>
          </w:p>
        </w:tc>
        <w:tc>
          <w:tcPr>
            <w:tcW w:w="810" w:type="dxa"/>
            <w:tcBorders>
              <w:top w:val="single" w:sz="4" w:space="0" w:color="auto"/>
              <w:left w:val="nil"/>
              <w:bottom w:val="single" w:sz="4" w:space="0" w:color="auto"/>
              <w:right w:val="single" w:sz="4" w:space="0" w:color="auto"/>
            </w:tcBorders>
            <w:shd w:val="clear" w:color="auto" w:fill="auto"/>
            <w:noWrap/>
            <w:tcMar>
              <w:left w:w="0" w:type="dxa"/>
              <w:right w:w="58" w:type="dxa"/>
            </w:tcMar>
          </w:tcPr>
          <w:p w14:paraId="289E3613" w14:textId="77777777" w:rsidR="00EE69D4" w:rsidRPr="008D7AB4" w:rsidRDefault="00EE69D4" w:rsidP="00C665F2">
            <w:pPr>
              <w:jc w:val="right"/>
              <w:rPr>
                <w:color w:val="000000"/>
                <w:sz w:val="20"/>
                <w:szCs w:val="20"/>
              </w:rPr>
            </w:pPr>
            <w:r w:rsidRPr="008D7AB4">
              <w:rPr>
                <w:color w:val="000000"/>
                <w:sz w:val="20"/>
                <w:szCs w:val="20"/>
                <w:lang w:bidi="th-TH"/>
              </w:rPr>
              <w:t>3.96</w:t>
            </w:r>
          </w:p>
        </w:tc>
      </w:tr>
      <w:tr w:rsidR="00EE69D4" w:rsidRPr="008D7AB4" w14:paraId="79786549" w14:textId="77777777" w:rsidTr="00C665F2">
        <w:tc>
          <w:tcPr>
            <w:tcW w:w="615"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tcPr>
          <w:p w14:paraId="3C37CA8C" w14:textId="77777777" w:rsidR="00EE69D4" w:rsidRPr="008D7AB4" w:rsidRDefault="00EE69D4" w:rsidP="00C665F2">
            <w:pPr>
              <w:jc w:val="left"/>
              <w:rPr>
                <w:color w:val="000000"/>
                <w:sz w:val="20"/>
                <w:szCs w:val="20"/>
                <w:lang w:bidi="th-TH"/>
              </w:rPr>
            </w:pPr>
            <w:r w:rsidRPr="008D7AB4">
              <w:rPr>
                <w:color w:val="000000"/>
                <w:sz w:val="20"/>
                <w:szCs w:val="20"/>
                <w:lang w:bidi="th-TH"/>
              </w:rPr>
              <w:t>4.1.2</w:t>
            </w:r>
          </w:p>
        </w:tc>
        <w:tc>
          <w:tcPr>
            <w:tcW w:w="8024" w:type="dxa"/>
            <w:gridSpan w:val="8"/>
            <w:tcBorders>
              <w:top w:val="single" w:sz="4" w:space="0" w:color="auto"/>
              <w:left w:val="nil"/>
              <w:bottom w:val="single" w:sz="4" w:space="0" w:color="auto"/>
              <w:right w:val="single" w:sz="4" w:space="0" w:color="auto"/>
            </w:tcBorders>
            <w:shd w:val="clear" w:color="auto" w:fill="auto"/>
          </w:tcPr>
          <w:p w14:paraId="43622C82" w14:textId="77777777" w:rsidR="00EE69D4" w:rsidRPr="008D7AB4" w:rsidRDefault="00EE69D4" w:rsidP="00C665F2">
            <w:pPr>
              <w:jc w:val="left"/>
              <w:rPr>
                <w:color w:val="000000"/>
                <w:sz w:val="20"/>
                <w:szCs w:val="20"/>
              </w:rPr>
            </w:pPr>
            <w:r w:rsidRPr="008D7AB4">
              <w:rPr>
                <w:color w:val="000000"/>
                <w:sz w:val="20"/>
                <w:szCs w:val="20"/>
                <w:lang w:bidi="th-TH"/>
              </w:rPr>
              <w:t>Phase-out of HCFC-22 to be achieved in previously approved projects (ODP tonnes)</w:t>
            </w:r>
          </w:p>
        </w:tc>
        <w:tc>
          <w:tcPr>
            <w:tcW w:w="810" w:type="dxa"/>
            <w:tcBorders>
              <w:top w:val="single" w:sz="4" w:space="0" w:color="auto"/>
              <w:left w:val="nil"/>
              <w:bottom w:val="single" w:sz="4" w:space="0" w:color="auto"/>
              <w:right w:val="single" w:sz="4" w:space="0" w:color="auto"/>
            </w:tcBorders>
            <w:shd w:val="clear" w:color="auto" w:fill="auto"/>
            <w:noWrap/>
            <w:tcMar>
              <w:left w:w="0" w:type="dxa"/>
              <w:right w:w="58" w:type="dxa"/>
            </w:tcMar>
          </w:tcPr>
          <w:p w14:paraId="2852544A" w14:textId="77777777" w:rsidR="00EE69D4" w:rsidRPr="008D7AB4" w:rsidRDefault="00EE69D4" w:rsidP="00C665F2">
            <w:pPr>
              <w:jc w:val="right"/>
              <w:rPr>
                <w:color w:val="000000"/>
                <w:sz w:val="20"/>
                <w:szCs w:val="20"/>
              </w:rPr>
            </w:pPr>
            <w:r w:rsidRPr="008D7AB4">
              <w:rPr>
                <w:color w:val="000000"/>
                <w:sz w:val="20"/>
                <w:szCs w:val="20"/>
                <w:lang w:bidi="th-TH"/>
              </w:rPr>
              <w:t>2.14</w:t>
            </w:r>
          </w:p>
        </w:tc>
      </w:tr>
      <w:tr w:rsidR="00EE69D4" w:rsidRPr="008D7AB4" w14:paraId="38D4BAB8" w14:textId="77777777" w:rsidTr="00C665F2">
        <w:tc>
          <w:tcPr>
            <w:tcW w:w="615" w:type="dxa"/>
            <w:tcBorders>
              <w:top w:val="single" w:sz="4" w:space="0" w:color="auto"/>
              <w:left w:val="single" w:sz="4" w:space="0" w:color="auto"/>
              <w:bottom w:val="single" w:sz="4" w:space="0" w:color="auto"/>
              <w:right w:val="single" w:sz="4" w:space="0" w:color="auto"/>
            </w:tcBorders>
            <w:shd w:val="clear" w:color="auto" w:fill="auto"/>
            <w:noWrap/>
            <w:tcMar>
              <w:left w:w="14" w:type="dxa"/>
              <w:right w:w="14" w:type="dxa"/>
            </w:tcMar>
          </w:tcPr>
          <w:p w14:paraId="1AD28986" w14:textId="77777777" w:rsidR="00EE69D4" w:rsidRPr="008D7AB4" w:rsidRDefault="00EE69D4" w:rsidP="00C665F2">
            <w:pPr>
              <w:jc w:val="left"/>
              <w:rPr>
                <w:color w:val="000000"/>
                <w:sz w:val="20"/>
                <w:szCs w:val="20"/>
                <w:lang w:bidi="th-TH"/>
              </w:rPr>
            </w:pPr>
            <w:r w:rsidRPr="008D7AB4">
              <w:rPr>
                <w:color w:val="000000"/>
                <w:sz w:val="20"/>
                <w:szCs w:val="20"/>
                <w:lang w:bidi="th-TH"/>
              </w:rPr>
              <w:t>4.1.3</w:t>
            </w:r>
          </w:p>
        </w:tc>
        <w:tc>
          <w:tcPr>
            <w:tcW w:w="8024" w:type="dxa"/>
            <w:gridSpan w:val="8"/>
            <w:tcBorders>
              <w:top w:val="single" w:sz="4" w:space="0" w:color="auto"/>
              <w:left w:val="nil"/>
              <w:bottom w:val="single" w:sz="4" w:space="0" w:color="auto"/>
              <w:right w:val="single" w:sz="4" w:space="0" w:color="auto"/>
            </w:tcBorders>
            <w:shd w:val="clear" w:color="auto" w:fill="auto"/>
          </w:tcPr>
          <w:p w14:paraId="19F291A7" w14:textId="77777777" w:rsidR="00EE69D4" w:rsidRPr="008D7AB4" w:rsidRDefault="00EE69D4" w:rsidP="00C665F2">
            <w:pPr>
              <w:jc w:val="left"/>
              <w:rPr>
                <w:color w:val="000000"/>
                <w:sz w:val="20"/>
                <w:szCs w:val="20"/>
              </w:rPr>
            </w:pPr>
            <w:r w:rsidRPr="008D7AB4">
              <w:rPr>
                <w:color w:val="000000"/>
                <w:sz w:val="20"/>
                <w:szCs w:val="20"/>
                <w:lang w:bidi="th-TH"/>
              </w:rPr>
              <w:t>Remaining eligible consumption for HCFC-22 (ODP tonnes)</w:t>
            </w:r>
          </w:p>
        </w:tc>
        <w:tc>
          <w:tcPr>
            <w:tcW w:w="810" w:type="dxa"/>
            <w:tcBorders>
              <w:top w:val="single" w:sz="4" w:space="0" w:color="auto"/>
              <w:left w:val="nil"/>
              <w:bottom w:val="single" w:sz="4" w:space="0" w:color="auto"/>
              <w:right w:val="single" w:sz="4" w:space="0" w:color="auto"/>
            </w:tcBorders>
            <w:shd w:val="clear" w:color="auto" w:fill="auto"/>
            <w:noWrap/>
            <w:tcMar>
              <w:left w:w="0" w:type="dxa"/>
              <w:right w:w="58" w:type="dxa"/>
            </w:tcMar>
          </w:tcPr>
          <w:p w14:paraId="09CA8172" w14:textId="77777777" w:rsidR="00EE69D4" w:rsidRPr="008D7AB4" w:rsidRDefault="00EE69D4" w:rsidP="00C665F2">
            <w:pPr>
              <w:jc w:val="right"/>
              <w:rPr>
                <w:color w:val="000000"/>
                <w:sz w:val="20"/>
                <w:szCs w:val="20"/>
              </w:rPr>
            </w:pPr>
            <w:r w:rsidRPr="008D7AB4">
              <w:rPr>
                <w:color w:val="000000"/>
                <w:sz w:val="20"/>
                <w:szCs w:val="20"/>
                <w:lang w:bidi="th-TH"/>
              </w:rPr>
              <w:t>0.00</w:t>
            </w:r>
          </w:p>
        </w:tc>
      </w:tr>
    </w:tbl>
    <w:p w14:paraId="540C098C" w14:textId="6B36255B" w:rsidR="00EE69D4" w:rsidRPr="008D7AB4" w:rsidRDefault="00EE69D4" w:rsidP="00EE69D4">
      <w:pPr>
        <w:rPr>
          <w:sz w:val="16"/>
          <w:szCs w:val="16"/>
        </w:rPr>
      </w:pPr>
      <w:r w:rsidRPr="008D7AB4">
        <w:rPr>
          <w:sz w:val="16"/>
          <w:szCs w:val="16"/>
        </w:rPr>
        <w:t xml:space="preserve">*Date of completion of </w:t>
      </w:r>
      <w:r w:rsidR="00B92759">
        <w:rPr>
          <w:sz w:val="16"/>
          <w:szCs w:val="16"/>
        </w:rPr>
        <w:t>stage </w:t>
      </w:r>
      <w:r w:rsidRPr="008D7AB4">
        <w:rPr>
          <w:sz w:val="16"/>
          <w:szCs w:val="16"/>
        </w:rPr>
        <w:t xml:space="preserve">I as per </w:t>
      </w:r>
      <w:r w:rsidR="00B92759">
        <w:rPr>
          <w:sz w:val="16"/>
          <w:szCs w:val="16"/>
        </w:rPr>
        <w:t>stage </w:t>
      </w:r>
      <w:r w:rsidRPr="008D7AB4">
        <w:rPr>
          <w:sz w:val="16"/>
          <w:szCs w:val="16"/>
        </w:rPr>
        <w:t xml:space="preserve">I Agreement: 31 December </w:t>
      </w:r>
      <w:r w:rsidRPr="008D7AB4">
        <w:rPr>
          <w:b/>
          <w:bCs/>
          <w:sz w:val="16"/>
          <w:szCs w:val="16"/>
        </w:rPr>
        <w:t xml:space="preserve">2022 as per </w:t>
      </w:r>
      <w:r w:rsidR="00B92759">
        <w:rPr>
          <w:b/>
          <w:bCs/>
          <w:sz w:val="16"/>
          <w:szCs w:val="16"/>
        </w:rPr>
        <w:t>decision </w:t>
      </w:r>
      <w:r w:rsidRPr="008D7AB4">
        <w:rPr>
          <w:b/>
          <w:bCs/>
          <w:sz w:val="16"/>
          <w:szCs w:val="16"/>
        </w:rPr>
        <w:t>87/8(b)</w:t>
      </w:r>
    </w:p>
    <w:p w14:paraId="6CD71E7E" w14:textId="112B2620" w:rsidR="00EE69D4" w:rsidRPr="008D7AB4" w:rsidRDefault="00EE69D4" w:rsidP="00EE69D4">
      <w:pPr>
        <w:rPr>
          <w:b/>
          <w:bCs/>
          <w:sz w:val="16"/>
          <w:szCs w:val="16"/>
        </w:rPr>
      </w:pPr>
      <w:r w:rsidRPr="008D7AB4">
        <w:rPr>
          <w:b/>
          <w:bCs/>
          <w:sz w:val="16"/>
          <w:szCs w:val="16"/>
        </w:rPr>
        <w:t>** Funds were transferred from UNDP to UNIDO at the 91</w:t>
      </w:r>
      <w:r w:rsidRPr="008D7AB4">
        <w:rPr>
          <w:b/>
          <w:bCs/>
          <w:sz w:val="16"/>
          <w:szCs w:val="16"/>
          <w:vertAlign w:val="superscript"/>
        </w:rPr>
        <w:t>st</w:t>
      </w:r>
      <w:r w:rsidR="00A04F54">
        <w:rPr>
          <w:b/>
          <w:bCs/>
          <w:sz w:val="16"/>
          <w:szCs w:val="16"/>
        </w:rPr>
        <w:t> meeting</w:t>
      </w:r>
    </w:p>
    <w:p w14:paraId="13B9B16D" w14:textId="77777777" w:rsidR="00EE69D4" w:rsidRPr="008D7AB4" w:rsidRDefault="00EE69D4" w:rsidP="00EE69D4">
      <w:pPr>
        <w:rPr>
          <w:sz w:val="16"/>
          <w:szCs w:val="16"/>
          <w:highlight w:val="yellow"/>
        </w:rPr>
      </w:pPr>
    </w:p>
    <w:p w14:paraId="557DB7AA" w14:textId="52FBD44A" w:rsidR="006621BF" w:rsidRPr="008D7AB4" w:rsidRDefault="006621BF" w:rsidP="006621BF"/>
    <w:p w14:paraId="454AAADF" w14:textId="5C8A062D" w:rsidR="007B3584" w:rsidRPr="008D7AB4" w:rsidRDefault="007B3584" w:rsidP="006621BF">
      <w:pPr>
        <w:rPr>
          <w:highlight w:val="yellow"/>
        </w:rPr>
      </w:pPr>
    </w:p>
    <w:p w14:paraId="2CA7819B" w14:textId="77777777" w:rsidR="007B3584" w:rsidRPr="008D7AB4" w:rsidRDefault="007B3584" w:rsidP="006621BF">
      <w:pPr>
        <w:rPr>
          <w:highlight w:val="yellow"/>
        </w:rPr>
        <w:sectPr w:rsidR="007B3584" w:rsidRPr="008D7AB4" w:rsidSect="00EE69D4">
          <w:headerReference w:type="even" r:id="rId20"/>
          <w:headerReference w:type="default" r:id="rId21"/>
          <w:footerReference w:type="default" r:id="rId22"/>
          <w:pgSz w:w="12240" w:h="15840" w:code="1"/>
          <w:pgMar w:top="720" w:right="1440" w:bottom="864" w:left="1440" w:header="720" w:footer="475" w:gutter="0"/>
          <w:pgNumType w:start="1"/>
          <w:cols w:space="720"/>
          <w:docGrid w:linePitch="299"/>
        </w:sectPr>
      </w:pPr>
    </w:p>
    <w:p w14:paraId="590C2273" w14:textId="162CBB00" w:rsidR="007B3584" w:rsidRPr="008D7AB4" w:rsidRDefault="007B3584" w:rsidP="007B3584">
      <w:pPr>
        <w:widowControl w:val="0"/>
        <w:jc w:val="center"/>
        <w:rPr>
          <w:b/>
          <w:bCs/>
        </w:rPr>
      </w:pPr>
      <w:r w:rsidRPr="008D7AB4">
        <w:rPr>
          <w:b/>
          <w:bCs/>
        </w:rPr>
        <w:t>Annex II</w:t>
      </w:r>
    </w:p>
    <w:p w14:paraId="5FCD9A66" w14:textId="2779FABB" w:rsidR="00BD6CCF" w:rsidRPr="008D7AB4" w:rsidRDefault="00BD6CCF" w:rsidP="00BD6CCF">
      <w:pPr>
        <w:jc w:val="center"/>
        <w:rPr>
          <w:b/>
        </w:rPr>
      </w:pPr>
      <w:bookmarkStart w:id="13" w:name="8348"/>
      <w:bookmarkStart w:id="14" w:name="8348ax1p1"/>
      <w:bookmarkStart w:id="15" w:name="8348ax2_Additional_status_reports"/>
      <w:bookmarkStart w:id="16" w:name="8348ax3_Tunisia_-_Updated_Agreement_HPMP"/>
      <w:bookmarkStart w:id="17" w:name="8348ax4_Philippines_-_Updated_Agreement_"/>
      <w:bookmarkStart w:id="18" w:name="8348ax5_Tranche_submission_delays"/>
      <w:bookmarkStart w:id="19" w:name="8348ax6"/>
      <w:bookmarkStart w:id="20" w:name="83-48AnnexVI"/>
      <w:bookmarkStart w:id="21" w:name="LastPage"/>
      <w:bookmarkStart w:id="22" w:name="8348ax7_Mozambique_-_Updated_Agreement"/>
      <w:bookmarkStart w:id="23" w:name="8348ax8_Work_programmes_-_IS_Views"/>
      <w:bookmarkStart w:id="24" w:name="8348ax9_Kuwait_-_Revised_updated_agreeme"/>
      <w:bookmarkStart w:id="25" w:name="8348ax10_Morocco_-_Updated_agreement_HPM"/>
      <w:bookmarkStart w:id="26" w:name="8348ax11_Pakistan_stage_II_HPMP"/>
      <w:bookmarkStart w:id="27" w:name="8348Ax12_Energy_efficiency_draft_recomme"/>
      <w:bookmarkStart w:id="28" w:name="8348ax13_HFC_cost_guidelines_draft_templ"/>
      <w:bookmarkStart w:id="29" w:name="8348ax14_HFC_cost_guidelines_outstanding"/>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sidRPr="008D7AB4">
        <w:rPr>
          <w:b/>
        </w:rPr>
        <w:t xml:space="preserve">TEXT TO BE INCLUDED IN THE REVISED UPDATED AGREEMENT BETWEEN THE GOVERNMENT OF THE FEDERATIVE REPUBLIC OF BRAZIL AND THE EXECUTIVE COMMITTEE OF THE MULTILATERAL FUND FOR THE REDUCTION IN CONSUMPTION OF HYDROCHLOROFLUOROCARBONS IN ACCORDANCE WITH </w:t>
      </w:r>
      <w:r w:rsidR="00B92759">
        <w:rPr>
          <w:b/>
        </w:rPr>
        <w:t>STAGE </w:t>
      </w:r>
      <w:r w:rsidRPr="008D7AB4">
        <w:rPr>
          <w:b/>
        </w:rPr>
        <w:t>II OF THE HCFC PHASE-OUT MANAGEMENT PLAN</w:t>
      </w:r>
    </w:p>
    <w:p w14:paraId="73A862B7" w14:textId="0043989A" w:rsidR="00BD6CCF" w:rsidRPr="008D7AB4" w:rsidRDefault="00BD6CCF" w:rsidP="00BD6CCF">
      <w:pPr>
        <w:jc w:val="center"/>
        <w:rPr>
          <w:b/>
        </w:rPr>
      </w:pPr>
      <w:r w:rsidRPr="008D7AB4">
        <w:rPr>
          <w:rFonts w:cstheme="minorBidi"/>
        </w:rPr>
        <w:t>(Relevant changes are in bold font for ease of reference)</w:t>
      </w:r>
    </w:p>
    <w:p w14:paraId="366A5987" w14:textId="77777777" w:rsidR="00BD6CCF" w:rsidRPr="008D7AB4" w:rsidRDefault="00BD6CCF" w:rsidP="00BD6CCF">
      <w:pPr>
        <w:jc w:val="center"/>
        <w:rPr>
          <w:b/>
        </w:rPr>
      </w:pPr>
    </w:p>
    <w:p w14:paraId="0DEEE033" w14:textId="77777777" w:rsidR="00BD6CCF" w:rsidRPr="008D7AB4" w:rsidRDefault="00BD6CCF" w:rsidP="00BD6CCF">
      <w:pPr>
        <w:numPr>
          <w:ilvl w:val="0"/>
          <w:numId w:val="34"/>
        </w:numPr>
        <w:spacing w:after="240"/>
        <w:outlineLvl w:val="0"/>
        <w:rPr>
          <w:bCs/>
        </w:rPr>
      </w:pPr>
      <w:r w:rsidRPr="008D7AB4">
        <w:rPr>
          <w:bCs/>
        </w:rPr>
        <w:t xml:space="preserve">This updated Agreement supersedes the Agreement reached between the Government of Brazil and the Executive Committee at the </w:t>
      </w:r>
      <w:r w:rsidRPr="008D7AB4">
        <w:rPr>
          <w:b/>
        </w:rPr>
        <w:t>88</w:t>
      </w:r>
      <w:r w:rsidRPr="008D7AB4">
        <w:rPr>
          <w:b/>
          <w:vertAlign w:val="superscript"/>
        </w:rPr>
        <w:t>th</w:t>
      </w:r>
      <w:r w:rsidRPr="008D7AB4">
        <w:rPr>
          <w:b/>
        </w:rPr>
        <w:t> </w:t>
      </w:r>
      <w:r w:rsidRPr="008D7AB4">
        <w:rPr>
          <w:bCs/>
        </w:rPr>
        <w:t>meeting of the Executive Committee.</w:t>
      </w:r>
    </w:p>
    <w:p w14:paraId="201BB30F" w14:textId="77777777" w:rsidR="00BD6CCF" w:rsidRPr="008D7AB4" w:rsidRDefault="00BD6CCF" w:rsidP="00BD6CCF">
      <w:pPr>
        <w:keepNext/>
        <w:keepLines/>
        <w:rPr>
          <w:b/>
          <w:sz w:val="20"/>
          <w:szCs w:val="20"/>
        </w:rPr>
      </w:pPr>
      <w:r w:rsidRPr="008D7AB4">
        <w:rPr>
          <w:b/>
          <w:sz w:val="20"/>
          <w:szCs w:val="20"/>
        </w:rPr>
        <w:t>APPENDIX 2-A: THE TARGETS, AND FUNDING</w:t>
      </w:r>
    </w:p>
    <w:tbl>
      <w:tblPr>
        <w:tblW w:w="5023" w:type="pct"/>
        <w:tblLayout w:type="fixed"/>
        <w:tblLook w:val="04A0" w:firstRow="1" w:lastRow="0" w:firstColumn="1" w:lastColumn="0" w:noHBand="0" w:noVBand="1"/>
      </w:tblPr>
      <w:tblGrid>
        <w:gridCol w:w="650"/>
        <w:gridCol w:w="3375"/>
        <w:gridCol w:w="913"/>
        <w:gridCol w:w="916"/>
        <w:gridCol w:w="916"/>
        <w:gridCol w:w="916"/>
        <w:gridCol w:w="916"/>
        <w:gridCol w:w="916"/>
        <w:gridCol w:w="916"/>
        <w:gridCol w:w="916"/>
        <w:gridCol w:w="919"/>
        <w:gridCol w:w="1010"/>
        <w:gridCol w:w="1033"/>
      </w:tblGrid>
      <w:tr w:rsidR="00BD6CCF" w:rsidRPr="008D7AB4" w14:paraId="02C47C80" w14:textId="77777777" w:rsidTr="0013699E">
        <w:trPr>
          <w:trHeight w:val="288"/>
        </w:trPr>
        <w:tc>
          <w:tcPr>
            <w:tcW w:w="227" w:type="pct"/>
            <w:tcBorders>
              <w:top w:val="single" w:sz="4" w:space="0" w:color="auto"/>
              <w:left w:val="single" w:sz="4" w:space="0" w:color="auto"/>
              <w:bottom w:val="single" w:sz="4" w:space="0" w:color="auto"/>
              <w:right w:val="single" w:sz="4" w:space="0" w:color="auto"/>
            </w:tcBorders>
            <w:vAlign w:val="center"/>
            <w:hideMark/>
          </w:tcPr>
          <w:p w14:paraId="61B11892" w14:textId="77777777" w:rsidR="00BD6CCF" w:rsidRPr="008D7AB4" w:rsidRDefault="00BD6CCF" w:rsidP="0013699E">
            <w:pPr>
              <w:jc w:val="center"/>
              <w:rPr>
                <w:b/>
                <w:bCs/>
                <w:color w:val="000000"/>
                <w:sz w:val="17"/>
                <w:szCs w:val="17"/>
              </w:rPr>
            </w:pPr>
            <w:r w:rsidRPr="008D7AB4">
              <w:rPr>
                <w:b/>
                <w:bCs/>
                <w:color w:val="000000"/>
                <w:sz w:val="17"/>
                <w:szCs w:val="17"/>
              </w:rPr>
              <w:t>Row</w:t>
            </w:r>
          </w:p>
        </w:tc>
        <w:tc>
          <w:tcPr>
            <w:tcW w:w="1179" w:type="pct"/>
            <w:tcBorders>
              <w:top w:val="single" w:sz="4" w:space="0" w:color="auto"/>
              <w:left w:val="nil"/>
              <w:bottom w:val="single" w:sz="4" w:space="0" w:color="auto"/>
              <w:right w:val="single" w:sz="4" w:space="0" w:color="auto"/>
            </w:tcBorders>
            <w:vAlign w:val="center"/>
            <w:hideMark/>
          </w:tcPr>
          <w:p w14:paraId="620875E0" w14:textId="77777777" w:rsidR="00BD6CCF" w:rsidRPr="008D7AB4" w:rsidRDefault="00BD6CCF" w:rsidP="0013699E">
            <w:pPr>
              <w:jc w:val="center"/>
              <w:rPr>
                <w:b/>
                <w:bCs/>
                <w:color w:val="000000"/>
                <w:sz w:val="17"/>
                <w:szCs w:val="17"/>
              </w:rPr>
            </w:pPr>
            <w:r w:rsidRPr="008D7AB4">
              <w:rPr>
                <w:b/>
                <w:bCs/>
                <w:color w:val="000000"/>
                <w:sz w:val="17"/>
                <w:szCs w:val="17"/>
              </w:rPr>
              <w:t>Particulars</w:t>
            </w:r>
          </w:p>
        </w:tc>
        <w:tc>
          <w:tcPr>
            <w:tcW w:w="319" w:type="pct"/>
            <w:tcBorders>
              <w:top w:val="single" w:sz="4" w:space="0" w:color="auto"/>
              <w:left w:val="nil"/>
              <w:bottom w:val="single" w:sz="4" w:space="0" w:color="auto"/>
              <w:right w:val="single" w:sz="4" w:space="0" w:color="auto"/>
            </w:tcBorders>
            <w:tcMar>
              <w:left w:w="0" w:type="dxa"/>
              <w:right w:w="58" w:type="dxa"/>
            </w:tcMar>
            <w:vAlign w:val="center"/>
            <w:hideMark/>
          </w:tcPr>
          <w:p w14:paraId="799EEE3C" w14:textId="77777777" w:rsidR="00BD6CCF" w:rsidRPr="008D7AB4" w:rsidRDefault="00BD6CCF" w:rsidP="0013699E">
            <w:pPr>
              <w:jc w:val="center"/>
              <w:rPr>
                <w:b/>
                <w:bCs/>
                <w:color w:val="000000"/>
                <w:sz w:val="17"/>
                <w:szCs w:val="17"/>
              </w:rPr>
            </w:pPr>
            <w:r w:rsidRPr="008D7AB4">
              <w:rPr>
                <w:b/>
                <w:bCs/>
                <w:color w:val="000000"/>
                <w:sz w:val="17"/>
                <w:szCs w:val="17"/>
              </w:rPr>
              <w:t>2015</w:t>
            </w:r>
          </w:p>
        </w:tc>
        <w:tc>
          <w:tcPr>
            <w:tcW w:w="320" w:type="pct"/>
            <w:tcBorders>
              <w:top w:val="single" w:sz="4" w:space="0" w:color="auto"/>
              <w:left w:val="nil"/>
              <w:bottom w:val="single" w:sz="4" w:space="0" w:color="auto"/>
              <w:right w:val="single" w:sz="4" w:space="0" w:color="auto"/>
            </w:tcBorders>
            <w:tcMar>
              <w:left w:w="0" w:type="dxa"/>
              <w:right w:w="58" w:type="dxa"/>
            </w:tcMar>
            <w:vAlign w:val="center"/>
            <w:hideMark/>
          </w:tcPr>
          <w:p w14:paraId="61266829" w14:textId="77777777" w:rsidR="00BD6CCF" w:rsidRPr="008D7AB4" w:rsidRDefault="00BD6CCF" w:rsidP="0013699E">
            <w:pPr>
              <w:jc w:val="center"/>
              <w:rPr>
                <w:b/>
                <w:bCs/>
                <w:color w:val="000000"/>
                <w:sz w:val="17"/>
                <w:szCs w:val="17"/>
              </w:rPr>
            </w:pPr>
            <w:r w:rsidRPr="008D7AB4">
              <w:rPr>
                <w:b/>
                <w:bCs/>
                <w:color w:val="000000"/>
                <w:sz w:val="17"/>
                <w:szCs w:val="17"/>
              </w:rPr>
              <w:t>2016</w:t>
            </w:r>
          </w:p>
        </w:tc>
        <w:tc>
          <w:tcPr>
            <w:tcW w:w="320" w:type="pct"/>
            <w:tcBorders>
              <w:top w:val="single" w:sz="4" w:space="0" w:color="auto"/>
              <w:left w:val="nil"/>
              <w:bottom w:val="single" w:sz="4" w:space="0" w:color="auto"/>
              <w:right w:val="single" w:sz="4" w:space="0" w:color="auto"/>
            </w:tcBorders>
            <w:tcMar>
              <w:left w:w="0" w:type="dxa"/>
              <w:right w:w="58" w:type="dxa"/>
            </w:tcMar>
            <w:vAlign w:val="center"/>
            <w:hideMark/>
          </w:tcPr>
          <w:p w14:paraId="1976CA2F" w14:textId="77777777" w:rsidR="00BD6CCF" w:rsidRPr="008D7AB4" w:rsidRDefault="00BD6CCF" w:rsidP="0013699E">
            <w:pPr>
              <w:jc w:val="center"/>
              <w:rPr>
                <w:b/>
                <w:bCs/>
                <w:color w:val="000000"/>
                <w:sz w:val="17"/>
                <w:szCs w:val="17"/>
              </w:rPr>
            </w:pPr>
            <w:r w:rsidRPr="008D7AB4">
              <w:rPr>
                <w:b/>
                <w:bCs/>
                <w:color w:val="000000"/>
                <w:sz w:val="17"/>
                <w:szCs w:val="17"/>
              </w:rPr>
              <w:t>2017</w:t>
            </w:r>
          </w:p>
        </w:tc>
        <w:tc>
          <w:tcPr>
            <w:tcW w:w="320" w:type="pct"/>
            <w:tcBorders>
              <w:top w:val="single" w:sz="4" w:space="0" w:color="auto"/>
              <w:left w:val="nil"/>
              <w:bottom w:val="single" w:sz="4" w:space="0" w:color="auto"/>
              <w:right w:val="single" w:sz="4" w:space="0" w:color="auto"/>
            </w:tcBorders>
            <w:tcMar>
              <w:left w:w="0" w:type="dxa"/>
              <w:right w:w="58" w:type="dxa"/>
            </w:tcMar>
            <w:vAlign w:val="center"/>
            <w:hideMark/>
          </w:tcPr>
          <w:p w14:paraId="7D372604" w14:textId="77777777" w:rsidR="00BD6CCF" w:rsidRPr="008D7AB4" w:rsidRDefault="00BD6CCF" w:rsidP="0013699E">
            <w:pPr>
              <w:jc w:val="center"/>
              <w:rPr>
                <w:b/>
                <w:bCs/>
                <w:color w:val="000000"/>
                <w:sz w:val="17"/>
                <w:szCs w:val="17"/>
              </w:rPr>
            </w:pPr>
            <w:r w:rsidRPr="008D7AB4">
              <w:rPr>
                <w:b/>
                <w:bCs/>
                <w:color w:val="000000"/>
                <w:sz w:val="17"/>
                <w:szCs w:val="17"/>
              </w:rPr>
              <w:t>2018</w:t>
            </w:r>
          </w:p>
        </w:tc>
        <w:tc>
          <w:tcPr>
            <w:tcW w:w="320" w:type="pct"/>
            <w:tcBorders>
              <w:top w:val="single" w:sz="4" w:space="0" w:color="auto"/>
              <w:left w:val="nil"/>
              <w:bottom w:val="single" w:sz="4" w:space="0" w:color="auto"/>
              <w:right w:val="single" w:sz="4" w:space="0" w:color="auto"/>
            </w:tcBorders>
            <w:tcMar>
              <w:left w:w="0" w:type="dxa"/>
              <w:right w:w="58" w:type="dxa"/>
            </w:tcMar>
            <w:vAlign w:val="center"/>
            <w:hideMark/>
          </w:tcPr>
          <w:p w14:paraId="47BA6974" w14:textId="77777777" w:rsidR="00BD6CCF" w:rsidRPr="008D7AB4" w:rsidRDefault="00BD6CCF" w:rsidP="0013699E">
            <w:pPr>
              <w:jc w:val="center"/>
              <w:rPr>
                <w:b/>
                <w:bCs/>
                <w:color w:val="000000"/>
                <w:sz w:val="17"/>
                <w:szCs w:val="17"/>
              </w:rPr>
            </w:pPr>
            <w:r w:rsidRPr="008D7AB4">
              <w:rPr>
                <w:b/>
                <w:bCs/>
                <w:color w:val="000000"/>
                <w:sz w:val="17"/>
                <w:szCs w:val="17"/>
              </w:rPr>
              <w:t>2019</w:t>
            </w:r>
          </w:p>
        </w:tc>
        <w:tc>
          <w:tcPr>
            <w:tcW w:w="320" w:type="pct"/>
            <w:tcBorders>
              <w:top w:val="single" w:sz="4" w:space="0" w:color="auto"/>
              <w:left w:val="nil"/>
              <w:bottom w:val="single" w:sz="4" w:space="0" w:color="auto"/>
              <w:right w:val="single" w:sz="4" w:space="0" w:color="auto"/>
            </w:tcBorders>
            <w:tcMar>
              <w:left w:w="0" w:type="dxa"/>
              <w:right w:w="58" w:type="dxa"/>
            </w:tcMar>
            <w:vAlign w:val="center"/>
            <w:hideMark/>
          </w:tcPr>
          <w:p w14:paraId="556C66AC" w14:textId="77777777" w:rsidR="00BD6CCF" w:rsidRPr="008D7AB4" w:rsidRDefault="00BD6CCF" w:rsidP="0013699E">
            <w:pPr>
              <w:jc w:val="center"/>
              <w:rPr>
                <w:b/>
                <w:bCs/>
                <w:color w:val="000000"/>
                <w:sz w:val="17"/>
                <w:szCs w:val="17"/>
              </w:rPr>
            </w:pPr>
            <w:r w:rsidRPr="008D7AB4">
              <w:rPr>
                <w:b/>
                <w:bCs/>
                <w:color w:val="000000"/>
                <w:sz w:val="17"/>
                <w:szCs w:val="17"/>
              </w:rPr>
              <w:t>2020</w:t>
            </w:r>
          </w:p>
        </w:tc>
        <w:tc>
          <w:tcPr>
            <w:tcW w:w="320" w:type="pct"/>
            <w:tcBorders>
              <w:top w:val="single" w:sz="4" w:space="0" w:color="auto"/>
              <w:left w:val="nil"/>
              <w:bottom w:val="single" w:sz="4" w:space="0" w:color="auto"/>
              <w:right w:val="single" w:sz="4" w:space="0" w:color="auto"/>
            </w:tcBorders>
            <w:tcMar>
              <w:left w:w="0" w:type="dxa"/>
              <w:right w:w="58" w:type="dxa"/>
            </w:tcMar>
            <w:vAlign w:val="center"/>
            <w:hideMark/>
          </w:tcPr>
          <w:p w14:paraId="3AABC507" w14:textId="77777777" w:rsidR="00BD6CCF" w:rsidRPr="008D7AB4" w:rsidRDefault="00BD6CCF" w:rsidP="0013699E">
            <w:pPr>
              <w:jc w:val="center"/>
              <w:rPr>
                <w:b/>
                <w:bCs/>
                <w:color w:val="000000"/>
                <w:sz w:val="17"/>
                <w:szCs w:val="17"/>
              </w:rPr>
            </w:pPr>
            <w:r w:rsidRPr="008D7AB4">
              <w:rPr>
                <w:b/>
                <w:bCs/>
                <w:color w:val="000000"/>
                <w:sz w:val="17"/>
                <w:szCs w:val="17"/>
              </w:rPr>
              <w:t>2021</w:t>
            </w:r>
          </w:p>
        </w:tc>
        <w:tc>
          <w:tcPr>
            <w:tcW w:w="320" w:type="pct"/>
            <w:tcBorders>
              <w:top w:val="single" w:sz="4" w:space="0" w:color="auto"/>
              <w:left w:val="single" w:sz="4" w:space="0" w:color="auto"/>
              <w:bottom w:val="single" w:sz="4" w:space="0" w:color="auto"/>
              <w:right w:val="single" w:sz="4" w:space="0" w:color="auto"/>
            </w:tcBorders>
            <w:tcMar>
              <w:left w:w="0" w:type="dxa"/>
              <w:right w:w="58" w:type="dxa"/>
            </w:tcMar>
            <w:vAlign w:val="center"/>
            <w:hideMark/>
          </w:tcPr>
          <w:p w14:paraId="6AB270A3" w14:textId="77777777" w:rsidR="00BD6CCF" w:rsidRPr="008D7AB4" w:rsidRDefault="00BD6CCF" w:rsidP="0013699E">
            <w:pPr>
              <w:jc w:val="center"/>
              <w:rPr>
                <w:b/>
                <w:bCs/>
                <w:color w:val="000000"/>
                <w:sz w:val="17"/>
                <w:szCs w:val="17"/>
              </w:rPr>
            </w:pPr>
            <w:r w:rsidRPr="008D7AB4">
              <w:rPr>
                <w:b/>
                <w:bCs/>
                <w:color w:val="000000"/>
                <w:sz w:val="17"/>
                <w:szCs w:val="17"/>
              </w:rPr>
              <w:t>2022</w:t>
            </w:r>
          </w:p>
        </w:tc>
        <w:tc>
          <w:tcPr>
            <w:tcW w:w="321" w:type="pct"/>
            <w:tcBorders>
              <w:top w:val="single" w:sz="4" w:space="0" w:color="auto"/>
              <w:left w:val="single" w:sz="4" w:space="0" w:color="auto"/>
              <w:bottom w:val="single" w:sz="4" w:space="0" w:color="auto"/>
              <w:right w:val="single" w:sz="4" w:space="0" w:color="auto"/>
            </w:tcBorders>
            <w:vAlign w:val="center"/>
          </w:tcPr>
          <w:p w14:paraId="5A9807E9" w14:textId="77777777" w:rsidR="00BD6CCF" w:rsidRPr="008D7AB4" w:rsidRDefault="00BD6CCF" w:rsidP="0013699E">
            <w:pPr>
              <w:jc w:val="center"/>
              <w:rPr>
                <w:b/>
                <w:bCs/>
                <w:color w:val="000000"/>
                <w:sz w:val="17"/>
                <w:szCs w:val="17"/>
              </w:rPr>
            </w:pPr>
            <w:r w:rsidRPr="008D7AB4">
              <w:rPr>
                <w:b/>
                <w:bCs/>
                <w:color w:val="000000"/>
                <w:sz w:val="17"/>
                <w:szCs w:val="17"/>
              </w:rPr>
              <w:t>2023</w:t>
            </w:r>
          </w:p>
        </w:tc>
        <w:tc>
          <w:tcPr>
            <w:tcW w:w="353" w:type="pct"/>
            <w:tcBorders>
              <w:top w:val="single" w:sz="4" w:space="0" w:color="auto"/>
              <w:left w:val="single" w:sz="4" w:space="0" w:color="auto"/>
              <w:bottom w:val="single" w:sz="4" w:space="0" w:color="auto"/>
              <w:right w:val="single" w:sz="4" w:space="0" w:color="auto"/>
            </w:tcBorders>
            <w:noWrap/>
            <w:tcMar>
              <w:left w:w="0" w:type="dxa"/>
              <w:right w:w="58" w:type="dxa"/>
            </w:tcMar>
            <w:vAlign w:val="center"/>
            <w:hideMark/>
          </w:tcPr>
          <w:p w14:paraId="157468AA" w14:textId="77777777" w:rsidR="00BD6CCF" w:rsidRPr="008D7AB4" w:rsidRDefault="00BD6CCF" w:rsidP="0013699E">
            <w:pPr>
              <w:jc w:val="center"/>
              <w:rPr>
                <w:b/>
                <w:bCs/>
                <w:color w:val="000000"/>
                <w:sz w:val="17"/>
                <w:szCs w:val="17"/>
              </w:rPr>
            </w:pPr>
            <w:r w:rsidRPr="008D7AB4">
              <w:rPr>
                <w:b/>
                <w:bCs/>
                <w:color w:val="000000"/>
                <w:sz w:val="17"/>
                <w:szCs w:val="17"/>
              </w:rPr>
              <w:t>2024</w:t>
            </w:r>
          </w:p>
        </w:tc>
        <w:tc>
          <w:tcPr>
            <w:tcW w:w="361" w:type="pct"/>
            <w:tcBorders>
              <w:top w:val="single" w:sz="4" w:space="0" w:color="auto"/>
              <w:left w:val="nil"/>
              <w:bottom w:val="single" w:sz="4" w:space="0" w:color="auto"/>
              <w:right w:val="single" w:sz="4" w:space="0" w:color="auto"/>
            </w:tcBorders>
            <w:vAlign w:val="center"/>
            <w:hideMark/>
          </w:tcPr>
          <w:p w14:paraId="2DDFEE44" w14:textId="77777777" w:rsidR="00BD6CCF" w:rsidRPr="008D7AB4" w:rsidRDefault="00BD6CCF" w:rsidP="0013699E">
            <w:pPr>
              <w:jc w:val="center"/>
              <w:rPr>
                <w:b/>
                <w:bCs/>
                <w:color w:val="000000"/>
                <w:sz w:val="17"/>
                <w:szCs w:val="17"/>
              </w:rPr>
            </w:pPr>
            <w:r w:rsidRPr="008D7AB4">
              <w:rPr>
                <w:b/>
                <w:bCs/>
                <w:color w:val="000000"/>
                <w:sz w:val="17"/>
                <w:szCs w:val="17"/>
              </w:rPr>
              <w:t>Total</w:t>
            </w:r>
          </w:p>
        </w:tc>
      </w:tr>
      <w:tr w:rsidR="00BD6CCF" w:rsidRPr="008D7AB4" w14:paraId="3BE3C581" w14:textId="77777777" w:rsidTr="0013699E">
        <w:trPr>
          <w:trHeight w:val="57"/>
        </w:trPr>
        <w:tc>
          <w:tcPr>
            <w:tcW w:w="227" w:type="pct"/>
            <w:tcBorders>
              <w:top w:val="nil"/>
              <w:left w:val="single" w:sz="4" w:space="0" w:color="auto"/>
              <w:bottom w:val="single" w:sz="4" w:space="0" w:color="auto"/>
              <w:right w:val="single" w:sz="4" w:space="0" w:color="auto"/>
            </w:tcBorders>
            <w:hideMark/>
          </w:tcPr>
          <w:p w14:paraId="46E8ED27" w14:textId="77777777" w:rsidR="00BD6CCF" w:rsidRPr="008D7AB4" w:rsidRDefault="00BD6CCF" w:rsidP="0013699E">
            <w:pPr>
              <w:jc w:val="left"/>
              <w:rPr>
                <w:color w:val="000000"/>
                <w:sz w:val="17"/>
                <w:szCs w:val="17"/>
              </w:rPr>
            </w:pPr>
            <w:r w:rsidRPr="008D7AB4">
              <w:rPr>
                <w:color w:val="000000"/>
                <w:sz w:val="17"/>
                <w:szCs w:val="17"/>
              </w:rPr>
              <w:t>1.1</w:t>
            </w:r>
          </w:p>
        </w:tc>
        <w:tc>
          <w:tcPr>
            <w:tcW w:w="1179" w:type="pct"/>
            <w:tcBorders>
              <w:top w:val="nil"/>
              <w:left w:val="nil"/>
              <w:bottom w:val="single" w:sz="4" w:space="0" w:color="auto"/>
              <w:right w:val="single" w:sz="4" w:space="0" w:color="auto"/>
            </w:tcBorders>
            <w:hideMark/>
          </w:tcPr>
          <w:p w14:paraId="70DEC2EA" w14:textId="77777777" w:rsidR="00BD6CCF" w:rsidRPr="008D7AB4" w:rsidRDefault="00BD6CCF" w:rsidP="0013699E">
            <w:pPr>
              <w:jc w:val="left"/>
              <w:rPr>
                <w:color w:val="000000"/>
                <w:sz w:val="17"/>
                <w:szCs w:val="17"/>
              </w:rPr>
            </w:pPr>
            <w:r w:rsidRPr="008D7AB4">
              <w:rPr>
                <w:color w:val="000000"/>
                <w:sz w:val="17"/>
                <w:szCs w:val="17"/>
              </w:rPr>
              <w:t>Montreal Protocol reduction schedule of Annex C, Group I substances (ODP tonnes)</w:t>
            </w:r>
          </w:p>
        </w:tc>
        <w:tc>
          <w:tcPr>
            <w:tcW w:w="319" w:type="pct"/>
            <w:tcBorders>
              <w:top w:val="nil"/>
              <w:left w:val="nil"/>
              <w:bottom w:val="single" w:sz="4" w:space="0" w:color="auto"/>
              <w:right w:val="single" w:sz="4" w:space="0" w:color="auto"/>
            </w:tcBorders>
            <w:tcMar>
              <w:left w:w="0" w:type="dxa"/>
              <w:right w:w="58" w:type="dxa"/>
            </w:tcMar>
            <w:hideMark/>
          </w:tcPr>
          <w:p w14:paraId="2CE8825F" w14:textId="77777777" w:rsidR="00BD6CCF" w:rsidRPr="008D7AB4" w:rsidRDefault="00BD6CCF" w:rsidP="0013699E">
            <w:pPr>
              <w:jc w:val="right"/>
              <w:rPr>
                <w:color w:val="000000"/>
                <w:sz w:val="17"/>
                <w:szCs w:val="17"/>
              </w:rPr>
            </w:pPr>
            <w:r w:rsidRPr="008D7AB4">
              <w:rPr>
                <w:color w:val="000000"/>
                <w:sz w:val="17"/>
                <w:szCs w:val="17"/>
              </w:rPr>
              <w:t>1,194.60</w:t>
            </w:r>
          </w:p>
        </w:tc>
        <w:tc>
          <w:tcPr>
            <w:tcW w:w="320" w:type="pct"/>
            <w:tcBorders>
              <w:top w:val="nil"/>
              <w:left w:val="nil"/>
              <w:bottom w:val="single" w:sz="4" w:space="0" w:color="auto"/>
              <w:right w:val="single" w:sz="4" w:space="0" w:color="auto"/>
            </w:tcBorders>
            <w:tcMar>
              <w:left w:w="0" w:type="dxa"/>
              <w:right w:w="58" w:type="dxa"/>
            </w:tcMar>
            <w:hideMark/>
          </w:tcPr>
          <w:p w14:paraId="6EDE379F" w14:textId="77777777" w:rsidR="00BD6CCF" w:rsidRPr="008D7AB4" w:rsidRDefault="00BD6CCF" w:rsidP="0013699E">
            <w:pPr>
              <w:jc w:val="right"/>
              <w:rPr>
                <w:color w:val="000000"/>
                <w:sz w:val="17"/>
                <w:szCs w:val="17"/>
              </w:rPr>
            </w:pPr>
            <w:r w:rsidRPr="008D7AB4">
              <w:rPr>
                <w:color w:val="000000"/>
                <w:sz w:val="17"/>
                <w:szCs w:val="17"/>
              </w:rPr>
              <w:t>1,194.60</w:t>
            </w:r>
          </w:p>
        </w:tc>
        <w:tc>
          <w:tcPr>
            <w:tcW w:w="320" w:type="pct"/>
            <w:tcBorders>
              <w:top w:val="nil"/>
              <w:left w:val="nil"/>
              <w:bottom w:val="single" w:sz="4" w:space="0" w:color="auto"/>
              <w:right w:val="single" w:sz="4" w:space="0" w:color="auto"/>
            </w:tcBorders>
            <w:tcMar>
              <w:left w:w="0" w:type="dxa"/>
              <w:right w:w="58" w:type="dxa"/>
            </w:tcMar>
            <w:hideMark/>
          </w:tcPr>
          <w:p w14:paraId="5E08C90B" w14:textId="77777777" w:rsidR="00BD6CCF" w:rsidRPr="008D7AB4" w:rsidRDefault="00BD6CCF" w:rsidP="0013699E">
            <w:pPr>
              <w:jc w:val="right"/>
              <w:rPr>
                <w:color w:val="000000"/>
                <w:sz w:val="17"/>
                <w:szCs w:val="17"/>
              </w:rPr>
            </w:pPr>
            <w:r w:rsidRPr="008D7AB4">
              <w:rPr>
                <w:color w:val="000000"/>
                <w:sz w:val="17"/>
                <w:szCs w:val="17"/>
              </w:rPr>
              <w:t>1,194.60</w:t>
            </w:r>
          </w:p>
        </w:tc>
        <w:tc>
          <w:tcPr>
            <w:tcW w:w="320" w:type="pct"/>
            <w:tcBorders>
              <w:top w:val="nil"/>
              <w:left w:val="nil"/>
              <w:bottom w:val="single" w:sz="4" w:space="0" w:color="auto"/>
              <w:right w:val="single" w:sz="4" w:space="0" w:color="auto"/>
            </w:tcBorders>
            <w:tcMar>
              <w:left w:w="0" w:type="dxa"/>
              <w:right w:w="58" w:type="dxa"/>
            </w:tcMar>
            <w:hideMark/>
          </w:tcPr>
          <w:p w14:paraId="1215959F" w14:textId="77777777" w:rsidR="00BD6CCF" w:rsidRPr="008D7AB4" w:rsidRDefault="00BD6CCF" w:rsidP="0013699E">
            <w:pPr>
              <w:jc w:val="right"/>
              <w:rPr>
                <w:color w:val="000000"/>
                <w:sz w:val="17"/>
                <w:szCs w:val="17"/>
              </w:rPr>
            </w:pPr>
            <w:r w:rsidRPr="008D7AB4">
              <w:rPr>
                <w:color w:val="000000"/>
                <w:sz w:val="17"/>
                <w:szCs w:val="17"/>
              </w:rPr>
              <w:t>1,194.60</w:t>
            </w:r>
          </w:p>
        </w:tc>
        <w:tc>
          <w:tcPr>
            <w:tcW w:w="320" w:type="pct"/>
            <w:tcBorders>
              <w:top w:val="nil"/>
              <w:left w:val="nil"/>
              <w:bottom w:val="single" w:sz="4" w:space="0" w:color="auto"/>
              <w:right w:val="single" w:sz="4" w:space="0" w:color="auto"/>
            </w:tcBorders>
            <w:tcMar>
              <w:left w:w="0" w:type="dxa"/>
              <w:right w:w="58" w:type="dxa"/>
            </w:tcMar>
            <w:hideMark/>
          </w:tcPr>
          <w:p w14:paraId="6119BA71" w14:textId="77777777" w:rsidR="00BD6CCF" w:rsidRPr="008D7AB4" w:rsidRDefault="00BD6CCF" w:rsidP="0013699E">
            <w:pPr>
              <w:jc w:val="right"/>
              <w:rPr>
                <w:color w:val="000000"/>
                <w:sz w:val="17"/>
                <w:szCs w:val="17"/>
              </w:rPr>
            </w:pPr>
            <w:r w:rsidRPr="008D7AB4">
              <w:rPr>
                <w:color w:val="000000"/>
                <w:sz w:val="17"/>
                <w:szCs w:val="17"/>
              </w:rPr>
              <w:t>1,194.60</w:t>
            </w:r>
          </w:p>
        </w:tc>
        <w:tc>
          <w:tcPr>
            <w:tcW w:w="320" w:type="pct"/>
            <w:tcBorders>
              <w:top w:val="nil"/>
              <w:left w:val="nil"/>
              <w:bottom w:val="single" w:sz="4" w:space="0" w:color="auto"/>
              <w:right w:val="single" w:sz="4" w:space="0" w:color="auto"/>
            </w:tcBorders>
            <w:tcMar>
              <w:left w:w="0" w:type="dxa"/>
              <w:right w:w="58" w:type="dxa"/>
            </w:tcMar>
            <w:hideMark/>
          </w:tcPr>
          <w:p w14:paraId="33127E68" w14:textId="77777777" w:rsidR="00BD6CCF" w:rsidRPr="008D7AB4" w:rsidRDefault="00BD6CCF" w:rsidP="0013699E">
            <w:pPr>
              <w:jc w:val="right"/>
              <w:rPr>
                <w:color w:val="000000"/>
                <w:sz w:val="17"/>
                <w:szCs w:val="17"/>
              </w:rPr>
            </w:pPr>
            <w:r w:rsidRPr="008D7AB4">
              <w:rPr>
                <w:color w:val="000000"/>
                <w:sz w:val="17"/>
                <w:szCs w:val="17"/>
              </w:rPr>
              <w:t>862.74</w:t>
            </w:r>
          </w:p>
        </w:tc>
        <w:tc>
          <w:tcPr>
            <w:tcW w:w="320" w:type="pct"/>
            <w:tcBorders>
              <w:top w:val="single" w:sz="4" w:space="0" w:color="auto"/>
              <w:left w:val="nil"/>
              <w:bottom w:val="single" w:sz="4" w:space="0" w:color="auto"/>
              <w:right w:val="single" w:sz="4" w:space="0" w:color="auto"/>
            </w:tcBorders>
            <w:tcMar>
              <w:left w:w="0" w:type="dxa"/>
              <w:right w:w="58" w:type="dxa"/>
            </w:tcMar>
            <w:hideMark/>
          </w:tcPr>
          <w:p w14:paraId="67883133" w14:textId="77777777" w:rsidR="00BD6CCF" w:rsidRPr="008D7AB4" w:rsidRDefault="00BD6CCF" w:rsidP="0013699E">
            <w:pPr>
              <w:jc w:val="right"/>
              <w:rPr>
                <w:color w:val="000000"/>
                <w:sz w:val="17"/>
                <w:szCs w:val="17"/>
              </w:rPr>
            </w:pPr>
            <w:r w:rsidRPr="008D7AB4">
              <w:rPr>
                <w:color w:val="000000"/>
                <w:sz w:val="17"/>
                <w:szCs w:val="17"/>
              </w:rPr>
              <w:t>862.74</w:t>
            </w:r>
          </w:p>
        </w:tc>
        <w:tc>
          <w:tcPr>
            <w:tcW w:w="32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6ED44E10" w14:textId="77777777" w:rsidR="00BD6CCF" w:rsidRPr="008D7AB4" w:rsidRDefault="00BD6CCF" w:rsidP="0013699E">
            <w:pPr>
              <w:jc w:val="right"/>
              <w:rPr>
                <w:color w:val="000000"/>
                <w:sz w:val="17"/>
                <w:szCs w:val="17"/>
              </w:rPr>
            </w:pPr>
            <w:r w:rsidRPr="008D7AB4">
              <w:rPr>
                <w:color w:val="000000"/>
                <w:sz w:val="17"/>
                <w:szCs w:val="17"/>
              </w:rPr>
              <w:t>862.74</w:t>
            </w:r>
          </w:p>
        </w:tc>
        <w:tc>
          <w:tcPr>
            <w:tcW w:w="321" w:type="pct"/>
            <w:tcBorders>
              <w:top w:val="single" w:sz="4" w:space="0" w:color="auto"/>
              <w:left w:val="single" w:sz="4" w:space="0" w:color="auto"/>
              <w:bottom w:val="single" w:sz="4" w:space="0" w:color="auto"/>
              <w:right w:val="single" w:sz="4" w:space="0" w:color="auto"/>
            </w:tcBorders>
          </w:tcPr>
          <w:p w14:paraId="61C3A22A" w14:textId="77777777" w:rsidR="00BD6CCF" w:rsidRPr="008D7AB4" w:rsidRDefault="00BD6CCF" w:rsidP="0013699E">
            <w:pPr>
              <w:jc w:val="right"/>
              <w:rPr>
                <w:color w:val="000000"/>
                <w:sz w:val="17"/>
                <w:szCs w:val="17"/>
              </w:rPr>
            </w:pPr>
            <w:r w:rsidRPr="008D7AB4">
              <w:rPr>
                <w:color w:val="000000"/>
                <w:sz w:val="17"/>
                <w:szCs w:val="17"/>
              </w:rPr>
              <w:t>862.74</w:t>
            </w:r>
          </w:p>
        </w:tc>
        <w:tc>
          <w:tcPr>
            <w:tcW w:w="353" w:type="pct"/>
            <w:tcBorders>
              <w:top w:val="nil"/>
              <w:left w:val="single" w:sz="4" w:space="0" w:color="auto"/>
              <w:bottom w:val="single" w:sz="4" w:space="0" w:color="auto"/>
              <w:right w:val="single" w:sz="4" w:space="0" w:color="auto"/>
            </w:tcBorders>
            <w:noWrap/>
            <w:tcMar>
              <w:left w:w="0" w:type="dxa"/>
              <w:right w:w="58" w:type="dxa"/>
            </w:tcMar>
            <w:hideMark/>
          </w:tcPr>
          <w:p w14:paraId="293103E5" w14:textId="77777777" w:rsidR="00BD6CCF" w:rsidRPr="008D7AB4" w:rsidRDefault="00BD6CCF" w:rsidP="0013699E">
            <w:pPr>
              <w:jc w:val="right"/>
              <w:rPr>
                <w:color w:val="000000"/>
                <w:sz w:val="17"/>
                <w:szCs w:val="17"/>
              </w:rPr>
            </w:pPr>
            <w:r w:rsidRPr="008D7AB4">
              <w:rPr>
                <w:color w:val="000000"/>
                <w:sz w:val="17"/>
                <w:szCs w:val="17"/>
              </w:rPr>
              <w:t>862.74</w:t>
            </w:r>
          </w:p>
        </w:tc>
        <w:tc>
          <w:tcPr>
            <w:tcW w:w="361" w:type="pct"/>
            <w:tcBorders>
              <w:top w:val="nil"/>
              <w:left w:val="nil"/>
              <w:bottom w:val="single" w:sz="4" w:space="0" w:color="auto"/>
              <w:right w:val="single" w:sz="4" w:space="0" w:color="auto"/>
            </w:tcBorders>
            <w:hideMark/>
          </w:tcPr>
          <w:p w14:paraId="586F2B7A" w14:textId="77777777" w:rsidR="00BD6CCF" w:rsidRPr="008D7AB4" w:rsidRDefault="00BD6CCF" w:rsidP="0013699E">
            <w:pPr>
              <w:jc w:val="right"/>
              <w:rPr>
                <w:color w:val="000000"/>
                <w:sz w:val="17"/>
                <w:szCs w:val="17"/>
              </w:rPr>
            </w:pPr>
            <w:r w:rsidRPr="008D7AB4">
              <w:rPr>
                <w:color w:val="000000"/>
                <w:sz w:val="17"/>
                <w:szCs w:val="17"/>
              </w:rPr>
              <w:t>n/a</w:t>
            </w:r>
          </w:p>
        </w:tc>
      </w:tr>
      <w:tr w:rsidR="00BD6CCF" w:rsidRPr="008D7AB4" w14:paraId="230C523A" w14:textId="77777777" w:rsidTr="0013699E">
        <w:trPr>
          <w:trHeight w:val="57"/>
        </w:trPr>
        <w:tc>
          <w:tcPr>
            <w:tcW w:w="227" w:type="pct"/>
            <w:tcBorders>
              <w:top w:val="nil"/>
              <w:left w:val="single" w:sz="4" w:space="0" w:color="auto"/>
              <w:bottom w:val="single" w:sz="4" w:space="0" w:color="auto"/>
              <w:right w:val="single" w:sz="4" w:space="0" w:color="auto"/>
            </w:tcBorders>
            <w:hideMark/>
          </w:tcPr>
          <w:p w14:paraId="2C1CCC11" w14:textId="77777777" w:rsidR="00BD6CCF" w:rsidRPr="008D7AB4" w:rsidRDefault="00BD6CCF" w:rsidP="0013699E">
            <w:pPr>
              <w:jc w:val="left"/>
              <w:rPr>
                <w:color w:val="000000"/>
                <w:sz w:val="17"/>
                <w:szCs w:val="17"/>
              </w:rPr>
            </w:pPr>
            <w:r w:rsidRPr="008D7AB4">
              <w:rPr>
                <w:color w:val="000000"/>
                <w:sz w:val="17"/>
                <w:szCs w:val="17"/>
              </w:rPr>
              <w:t>1.2</w:t>
            </w:r>
          </w:p>
        </w:tc>
        <w:tc>
          <w:tcPr>
            <w:tcW w:w="1179" w:type="pct"/>
            <w:tcBorders>
              <w:top w:val="nil"/>
              <w:left w:val="nil"/>
              <w:bottom w:val="single" w:sz="4" w:space="0" w:color="auto"/>
              <w:right w:val="single" w:sz="4" w:space="0" w:color="auto"/>
            </w:tcBorders>
            <w:hideMark/>
          </w:tcPr>
          <w:p w14:paraId="67CD78B9" w14:textId="77777777" w:rsidR="00BD6CCF" w:rsidRPr="008D7AB4" w:rsidRDefault="00BD6CCF" w:rsidP="0013699E">
            <w:pPr>
              <w:jc w:val="left"/>
              <w:rPr>
                <w:color w:val="000000"/>
                <w:sz w:val="17"/>
                <w:szCs w:val="17"/>
              </w:rPr>
            </w:pPr>
            <w:r w:rsidRPr="008D7AB4">
              <w:rPr>
                <w:color w:val="000000"/>
                <w:sz w:val="17"/>
                <w:szCs w:val="17"/>
              </w:rPr>
              <w:t>Maximum allowable total consumption of Annex C, Group I substances (ODP tonnes)</w:t>
            </w:r>
          </w:p>
        </w:tc>
        <w:tc>
          <w:tcPr>
            <w:tcW w:w="319" w:type="pct"/>
            <w:tcBorders>
              <w:top w:val="nil"/>
              <w:left w:val="nil"/>
              <w:bottom w:val="single" w:sz="4" w:space="0" w:color="auto"/>
              <w:right w:val="single" w:sz="4" w:space="0" w:color="auto"/>
            </w:tcBorders>
            <w:tcMar>
              <w:left w:w="0" w:type="dxa"/>
              <w:right w:w="58" w:type="dxa"/>
            </w:tcMar>
            <w:hideMark/>
          </w:tcPr>
          <w:p w14:paraId="509D3529" w14:textId="77777777" w:rsidR="00BD6CCF" w:rsidRPr="008D7AB4" w:rsidRDefault="00BD6CCF" w:rsidP="0013699E">
            <w:pPr>
              <w:jc w:val="right"/>
              <w:rPr>
                <w:color w:val="000000"/>
                <w:sz w:val="17"/>
                <w:szCs w:val="17"/>
              </w:rPr>
            </w:pPr>
            <w:r w:rsidRPr="008D7AB4">
              <w:rPr>
                <w:color w:val="000000"/>
                <w:sz w:val="17"/>
                <w:szCs w:val="17"/>
              </w:rPr>
              <w:t>1,194.60</w:t>
            </w:r>
          </w:p>
        </w:tc>
        <w:tc>
          <w:tcPr>
            <w:tcW w:w="320" w:type="pct"/>
            <w:tcBorders>
              <w:top w:val="nil"/>
              <w:left w:val="nil"/>
              <w:bottom w:val="single" w:sz="4" w:space="0" w:color="auto"/>
              <w:right w:val="single" w:sz="4" w:space="0" w:color="auto"/>
            </w:tcBorders>
            <w:tcMar>
              <w:left w:w="0" w:type="dxa"/>
              <w:right w:w="58" w:type="dxa"/>
            </w:tcMar>
            <w:hideMark/>
          </w:tcPr>
          <w:p w14:paraId="3A0D4B93" w14:textId="77777777" w:rsidR="00BD6CCF" w:rsidRPr="008D7AB4" w:rsidRDefault="00BD6CCF" w:rsidP="0013699E">
            <w:pPr>
              <w:jc w:val="right"/>
              <w:rPr>
                <w:color w:val="000000"/>
                <w:sz w:val="17"/>
                <w:szCs w:val="17"/>
              </w:rPr>
            </w:pPr>
            <w:r w:rsidRPr="008D7AB4">
              <w:rPr>
                <w:color w:val="000000"/>
                <w:sz w:val="17"/>
                <w:szCs w:val="17"/>
              </w:rPr>
              <w:t>1,194.60</w:t>
            </w:r>
          </w:p>
        </w:tc>
        <w:tc>
          <w:tcPr>
            <w:tcW w:w="320" w:type="pct"/>
            <w:tcBorders>
              <w:top w:val="nil"/>
              <w:left w:val="nil"/>
              <w:bottom w:val="single" w:sz="4" w:space="0" w:color="auto"/>
              <w:right w:val="single" w:sz="4" w:space="0" w:color="auto"/>
            </w:tcBorders>
            <w:tcMar>
              <w:left w:w="0" w:type="dxa"/>
              <w:right w:w="58" w:type="dxa"/>
            </w:tcMar>
            <w:hideMark/>
          </w:tcPr>
          <w:p w14:paraId="2B190C89" w14:textId="77777777" w:rsidR="00BD6CCF" w:rsidRPr="008D7AB4" w:rsidRDefault="00BD6CCF" w:rsidP="0013699E">
            <w:pPr>
              <w:jc w:val="right"/>
              <w:rPr>
                <w:color w:val="000000"/>
                <w:sz w:val="17"/>
                <w:szCs w:val="17"/>
              </w:rPr>
            </w:pPr>
            <w:r w:rsidRPr="008D7AB4">
              <w:rPr>
                <w:color w:val="000000"/>
                <w:sz w:val="17"/>
                <w:szCs w:val="17"/>
              </w:rPr>
              <w:t>1,194.60</w:t>
            </w:r>
          </w:p>
        </w:tc>
        <w:tc>
          <w:tcPr>
            <w:tcW w:w="320" w:type="pct"/>
            <w:tcBorders>
              <w:top w:val="nil"/>
              <w:left w:val="nil"/>
              <w:bottom w:val="single" w:sz="4" w:space="0" w:color="auto"/>
              <w:right w:val="single" w:sz="4" w:space="0" w:color="auto"/>
            </w:tcBorders>
            <w:tcMar>
              <w:left w:w="0" w:type="dxa"/>
              <w:right w:w="58" w:type="dxa"/>
            </w:tcMar>
            <w:hideMark/>
          </w:tcPr>
          <w:p w14:paraId="7B02BE34" w14:textId="77777777" w:rsidR="00BD6CCF" w:rsidRPr="008D7AB4" w:rsidRDefault="00BD6CCF" w:rsidP="0013699E">
            <w:pPr>
              <w:jc w:val="right"/>
              <w:rPr>
                <w:color w:val="000000"/>
                <w:sz w:val="17"/>
                <w:szCs w:val="17"/>
              </w:rPr>
            </w:pPr>
            <w:r w:rsidRPr="008D7AB4">
              <w:rPr>
                <w:color w:val="000000"/>
                <w:sz w:val="17"/>
                <w:szCs w:val="17"/>
              </w:rPr>
              <w:t>1,194.60</w:t>
            </w:r>
          </w:p>
        </w:tc>
        <w:tc>
          <w:tcPr>
            <w:tcW w:w="320" w:type="pct"/>
            <w:tcBorders>
              <w:top w:val="nil"/>
              <w:left w:val="nil"/>
              <w:bottom w:val="single" w:sz="4" w:space="0" w:color="auto"/>
              <w:right w:val="single" w:sz="4" w:space="0" w:color="auto"/>
            </w:tcBorders>
            <w:tcMar>
              <w:left w:w="0" w:type="dxa"/>
              <w:right w:w="58" w:type="dxa"/>
            </w:tcMar>
            <w:hideMark/>
          </w:tcPr>
          <w:p w14:paraId="3347DA4F" w14:textId="77777777" w:rsidR="00BD6CCF" w:rsidRPr="008D7AB4" w:rsidRDefault="00BD6CCF" w:rsidP="0013699E">
            <w:pPr>
              <w:jc w:val="right"/>
              <w:rPr>
                <w:color w:val="000000"/>
                <w:sz w:val="17"/>
                <w:szCs w:val="17"/>
              </w:rPr>
            </w:pPr>
            <w:r w:rsidRPr="008D7AB4">
              <w:rPr>
                <w:color w:val="000000"/>
                <w:sz w:val="17"/>
                <w:szCs w:val="17"/>
              </w:rPr>
              <w:t>1,194.60</w:t>
            </w:r>
          </w:p>
        </w:tc>
        <w:tc>
          <w:tcPr>
            <w:tcW w:w="320" w:type="pct"/>
            <w:tcBorders>
              <w:top w:val="nil"/>
              <w:left w:val="nil"/>
              <w:bottom w:val="single" w:sz="4" w:space="0" w:color="auto"/>
              <w:right w:val="single" w:sz="4" w:space="0" w:color="auto"/>
            </w:tcBorders>
            <w:tcMar>
              <w:left w:w="0" w:type="dxa"/>
              <w:right w:w="58" w:type="dxa"/>
            </w:tcMar>
            <w:hideMark/>
          </w:tcPr>
          <w:p w14:paraId="668EE7A2" w14:textId="77777777" w:rsidR="00BD6CCF" w:rsidRPr="008D7AB4" w:rsidRDefault="00BD6CCF" w:rsidP="0013699E">
            <w:pPr>
              <w:jc w:val="right"/>
              <w:rPr>
                <w:color w:val="000000"/>
                <w:sz w:val="17"/>
                <w:szCs w:val="17"/>
              </w:rPr>
            </w:pPr>
            <w:r w:rsidRPr="008D7AB4">
              <w:rPr>
                <w:color w:val="000000"/>
                <w:sz w:val="17"/>
                <w:szCs w:val="17"/>
              </w:rPr>
              <w:t>862.74</w:t>
            </w:r>
          </w:p>
        </w:tc>
        <w:tc>
          <w:tcPr>
            <w:tcW w:w="320" w:type="pct"/>
            <w:tcBorders>
              <w:top w:val="single" w:sz="4" w:space="0" w:color="auto"/>
              <w:left w:val="nil"/>
              <w:bottom w:val="single" w:sz="4" w:space="0" w:color="auto"/>
              <w:right w:val="single" w:sz="4" w:space="0" w:color="auto"/>
            </w:tcBorders>
            <w:tcMar>
              <w:left w:w="0" w:type="dxa"/>
              <w:right w:w="58" w:type="dxa"/>
            </w:tcMar>
            <w:hideMark/>
          </w:tcPr>
          <w:p w14:paraId="13591103" w14:textId="77777777" w:rsidR="00BD6CCF" w:rsidRPr="008D7AB4" w:rsidRDefault="00BD6CCF" w:rsidP="0013699E">
            <w:pPr>
              <w:jc w:val="right"/>
              <w:rPr>
                <w:color w:val="000000"/>
                <w:sz w:val="17"/>
                <w:szCs w:val="17"/>
              </w:rPr>
            </w:pPr>
            <w:r w:rsidRPr="008D7AB4">
              <w:rPr>
                <w:color w:val="000000"/>
                <w:sz w:val="17"/>
                <w:szCs w:val="17"/>
              </w:rPr>
              <w:t>730.02</w:t>
            </w:r>
          </w:p>
        </w:tc>
        <w:tc>
          <w:tcPr>
            <w:tcW w:w="32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5AEE6DCA" w14:textId="77777777" w:rsidR="00BD6CCF" w:rsidRPr="008D7AB4" w:rsidRDefault="00BD6CCF" w:rsidP="0013699E">
            <w:pPr>
              <w:jc w:val="right"/>
              <w:rPr>
                <w:color w:val="000000"/>
                <w:sz w:val="17"/>
                <w:szCs w:val="17"/>
              </w:rPr>
            </w:pPr>
            <w:r w:rsidRPr="008D7AB4">
              <w:rPr>
                <w:color w:val="000000"/>
                <w:sz w:val="17"/>
                <w:szCs w:val="17"/>
              </w:rPr>
              <w:t>730.02</w:t>
            </w:r>
          </w:p>
        </w:tc>
        <w:tc>
          <w:tcPr>
            <w:tcW w:w="321" w:type="pct"/>
            <w:tcBorders>
              <w:top w:val="single" w:sz="4" w:space="0" w:color="auto"/>
              <w:left w:val="single" w:sz="4" w:space="0" w:color="auto"/>
              <w:bottom w:val="single" w:sz="4" w:space="0" w:color="auto"/>
              <w:right w:val="single" w:sz="4" w:space="0" w:color="auto"/>
            </w:tcBorders>
          </w:tcPr>
          <w:p w14:paraId="07F6C616" w14:textId="77777777" w:rsidR="00BD6CCF" w:rsidRPr="008D7AB4" w:rsidRDefault="00BD6CCF" w:rsidP="0013699E">
            <w:pPr>
              <w:jc w:val="right"/>
              <w:rPr>
                <w:color w:val="000000"/>
                <w:sz w:val="17"/>
                <w:szCs w:val="17"/>
              </w:rPr>
            </w:pPr>
            <w:r w:rsidRPr="008D7AB4">
              <w:rPr>
                <w:color w:val="000000"/>
                <w:sz w:val="17"/>
                <w:szCs w:val="17"/>
              </w:rPr>
              <w:t>730.02</w:t>
            </w:r>
          </w:p>
        </w:tc>
        <w:tc>
          <w:tcPr>
            <w:tcW w:w="353" w:type="pct"/>
            <w:tcBorders>
              <w:top w:val="nil"/>
              <w:left w:val="single" w:sz="4" w:space="0" w:color="auto"/>
              <w:bottom w:val="single" w:sz="4" w:space="0" w:color="auto"/>
              <w:right w:val="single" w:sz="4" w:space="0" w:color="auto"/>
            </w:tcBorders>
            <w:noWrap/>
            <w:tcMar>
              <w:left w:w="0" w:type="dxa"/>
              <w:right w:w="58" w:type="dxa"/>
            </w:tcMar>
            <w:hideMark/>
          </w:tcPr>
          <w:p w14:paraId="2119FC75" w14:textId="77777777" w:rsidR="00BD6CCF" w:rsidRPr="008D7AB4" w:rsidRDefault="00BD6CCF" w:rsidP="0013699E">
            <w:pPr>
              <w:jc w:val="right"/>
              <w:rPr>
                <w:color w:val="000000"/>
                <w:sz w:val="17"/>
                <w:szCs w:val="17"/>
              </w:rPr>
            </w:pPr>
            <w:r w:rsidRPr="008D7AB4">
              <w:rPr>
                <w:color w:val="000000"/>
                <w:sz w:val="17"/>
                <w:szCs w:val="17"/>
              </w:rPr>
              <w:t>730.02</w:t>
            </w:r>
          </w:p>
        </w:tc>
        <w:tc>
          <w:tcPr>
            <w:tcW w:w="361" w:type="pct"/>
            <w:tcBorders>
              <w:top w:val="nil"/>
              <w:left w:val="nil"/>
              <w:bottom w:val="single" w:sz="4" w:space="0" w:color="auto"/>
              <w:right w:val="single" w:sz="4" w:space="0" w:color="auto"/>
            </w:tcBorders>
            <w:hideMark/>
          </w:tcPr>
          <w:p w14:paraId="7CF6CC66" w14:textId="77777777" w:rsidR="00BD6CCF" w:rsidRPr="008D7AB4" w:rsidRDefault="00BD6CCF" w:rsidP="0013699E">
            <w:pPr>
              <w:jc w:val="right"/>
              <w:rPr>
                <w:color w:val="000000"/>
                <w:sz w:val="17"/>
                <w:szCs w:val="17"/>
              </w:rPr>
            </w:pPr>
            <w:r w:rsidRPr="008D7AB4">
              <w:rPr>
                <w:color w:val="000000"/>
                <w:sz w:val="17"/>
                <w:szCs w:val="17"/>
              </w:rPr>
              <w:t>n/a</w:t>
            </w:r>
          </w:p>
        </w:tc>
      </w:tr>
      <w:tr w:rsidR="00BD6CCF" w:rsidRPr="008D7AB4" w14:paraId="6DB1805C" w14:textId="77777777" w:rsidTr="0013699E">
        <w:trPr>
          <w:trHeight w:val="57"/>
        </w:trPr>
        <w:tc>
          <w:tcPr>
            <w:tcW w:w="227" w:type="pct"/>
            <w:tcBorders>
              <w:top w:val="nil"/>
              <w:left w:val="single" w:sz="4" w:space="0" w:color="auto"/>
              <w:bottom w:val="single" w:sz="4" w:space="0" w:color="auto"/>
              <w:right w:val="single" w:sz="4" w:space="0" w:color="auto"/>
            </w:tcBorders>
            <w:hideMark/>
          </w:tcPr>
          <w:p w14:paraId="2ABB4793" w14:textId="77777777" w:rsidR="00BD6CCF" w:rsidRPr="008D7AB4" w:rsidRDefault="00BD6CCF" w:rsidP="0013699E">
            <w:pPr>
              <w:jc w:val="left"/>
              <w:rPr>
                <w:color w:val="000000"/>
                <w:sz w:val="17"/>
                <w:szCs w:val="17"/>
              </w:rPr>
            </w:pPr>
            <w:r w:rsidRPr="008D7AB4">
              <w:rPr>
                <w:color w:val="000000"/>
                <w:sz w:val="17"/>
                <w:szCs w:val="17"/>
              </w:rPr>
              <w:t>2.1</w:t>
            </w:r>
          </w:p>
        </w:tc>
        <w:tc>
          <w:tcPr>
            <w:tcW w:w="1179" w:type="pct"/>
            <w:tcBorders>
              <w:top w:val="nil"/>
              <w:left w:val="nil"/>
              <w:bottom w:val="single" w:sz="4" w:space="0" w:color="auto"/>
              <w:right w:val="single" w:sz="4" w:space="0" w:color="auto"/>
            </w:tcBorders>
            <w:hideMark/>
          </w:tcPr>
          <w:p w14:paraId="6DB59755" w14:textId="77777777" w:rsidR="00BD6CCF" w:rsidRPr="008D7AB4" w:rsidRDefault="00BD6CCF" w:rsidP="0013699E">
            <w:pPr>
              <w:jc w:val="left"/>
              <w:rPr>
                <w:color w:val="000000"/>
                <w:sz w:val="17"/>
                <w:szCs w:val="17"/>
              </w:rPr>
            </w:pPr>
            <w:r w:rsidRPr="008D7AB4">
              <w:rPr>
                <w:color w:val="000000"/>
                <w:sz w:val="17"/>
                <w:szCs w:val="17"/>
              </w:rPr>
              <w:t>Lead IA (UNDP) agreed funding (US $)</w:t>
            </w:r>
          </w:p>
        </w:tc>
        <w:tc>
          <w:tcPr>
            <w:tcW w:w="319" w:type="pct"/>
            <w:tcBorders>
              <w:top w:val="nil"/>
              <w:left w:val="nil"/>
              <w:bottom w:val="single" w:sz="4" w:space="0" w:color="auto"/>
              <w:right w:val="single" w:sz="4" w:space="0" w:color="auto"/>
            </w:tcBorders>
            <w:tcMar>
              <w:left w:w="0" w:type="dxa"/>
              <w:right w:w="58" w:type="dxa"/>
            </w:tcMar>
            <w:hideMark/>
          </w:tcPr>
          <w:p w14:paraId="6A7B9C46" w14:textId="77777777" w:rsidR="00BD6CCF" w:rsidRPr="008D7AB4" w:rsidRDefault="00BD6CCF" w:rsidP="0013699E">
            <w:pPr>
              <w:jc w:val="right"/>
              <w:rPr>
                <w:color w:val="000000"/>
                <w:sz w:val="17"/>
                <w:szCs w:val="17"/>
              </w:rPr>
            </w:pPr>
            <w:r w:rsidRPr="008D7AB4">
              <w:rPr>
                <w:color w:val="000000"/>
                <w:sz w:val="17"/>
                <w:szCs w:val="17"/>
              </w:rPr>
              <w:t>3,078,900</w:t>
            </w:r>
          </w:p>
        </w:tc>
        <w:tc>
          <w:tcPr>
            <w:tcW w:w="320" w:type="pct"/>
            <w:tcBorders>
              <w:top w:val="nil"/>
              <w:left w:val="nil"/>
              <w:bottom w:val="single" w:sz="4" w:space="0" w:color="auto"/>
              <w:right w:val="single" w:sz="4" w:space="0" w:color="auto"/>
            </w:tcBorders>
            <w:tcMar>
              <w:left w:w="0" w:type="dxa"/>
              <w:right w:w="58" w:type="dxa"/>
            </w:tcMar>
            <w:hideMark/>
          </w:tcPr>
          <w:p w14:paraId="23272823" w14:textId="77777777" w:rsidR="00BD6CCF" w:rsidRPr="008D7AB4" w:rsidRDefault="00BD6CCF" w:rsidP="0013699E">
            <w:pPr>
              <w:jc w:val="right"/>
              <w:rPr>
                <w:color w:val="000000"/>
                <w:sz w:val="17"/>
                <w:szCs w:val="17"/>
              </w:rPr>
            </w:pPr>
            <w:r w:rsidRPr="008D7AB4">
              <w:rPr>
                <w:color w:val="000000"/>
                <w:sz w:val="17"/>
                <w:szCs w:val="17"/>
              </w:rPr>
              <w:t>0</w:t>
            </w:r>
          </w:p>
        </w:tc>
        <w:tc>
          <w:tcPr>
            <w:tcW w:w="320" w:type="pct"/>
            <w:tcBorders>
              <w:top w:val="nil"/>
              <w:left w:val="nil"/>
              <w:bottom w:val="single" w:sz="4" w:space="0" w:color="auto"/>
              <w:right w:val="single" w:sz="4" w:space="0" w:color="auto"/>
            </w:tcBorders>
            <w:tcMar>
              <w:left w:w="0" w:type="dxa"/>
              <w:right w:w="58" w:type="dxa"/>
            </w:tcMar>
            <w:vAlign w:val="center"/>
            <w:hideMark/>
          </w:tcPr>
          <w:p w14:paraId="303B801C" w14:textId="77777777" w:rsidR="00BD6CCF" w:rsidRPr="008D7AB4" w:rsidRDefault="00BD6CCF" w:rsidP="0013699E">
            <w:pPr>
              <w:jc w:val="right"/>
              <w:rPr>
                <w:color w:val="000000"/>
                <w:sz w:val="17"/>
                <w:szCs w:val="17"/>
              </w:rPr>
            </w:pPr>
            <w:r w:rsidRPr="008D7AB4">
              <w:rPr>
                <w:color w:val="000000"/>
                <w:sz w:val="17"/>
                <w:szCs w:val="17"/>
              </w:rPr>
              <w:t>2,627,704</w:t>
            </w:r>
          </w:p>
        </w:tc>
        <w:tc>
          <w:tcPr>
            <w:tcW w:w="320" w:type="pct"/>
            <w:tcBorders>
              <w:top w:val="nil"/>
              <w:left w:val="nil"/>
              <w:bottom w:val="single" w:sz="4" w:space="0" w:color="auto"/>
              <w:right w:val="single" w:sz="4" w:space="0" w:color="auto"/>
            </w:tcBorders>
            <w:tcMar>
              <w:left w:w="0" w:type="dxa"/>
              <w:right w:w="58" w:type="dxa"/>
            </w:tcMar>
            <w:vAlign w:val="center"/>
            <w:hideMark/>
          </w:tcPr>
          <w:p w14:paraId="75AE9141" w14:textId="77777777" w:rsidR="00BD6CCF" w:rsidRPr="008D7AB4" w:rsidRDefault="00BD6CCF" w:rsidP="0013699E">
            <w:pPr>
              <w:jc w:val="right"/>
              <w:rPr>
                <w:color w:val="000000"/>
                <w:sz w:val="17"/>
                <w:szCs w:val="17"/>
              </w:rPr>
            </w:pPr>
            <w:r w:rsidRPr="008D7AB4">
              <w:rPr>
                <w:color w:val="000000"/>
                <w:sz w:val="17"/>
                <w:szCs w:val="17"/>
              </w:rPr>
              <w:t>7,168,396</w:t>
            </w:r>
          </w:p>
        </w:tc>
        <w:tc>
          <w:tcPr>
            <w:tcW w:w="320" w:type="pct"/>
            <w:tcBorders>
              <w:top w:val="nil"/>
              <w:left w:val="nil"/>
              <w:bottom w:val="single" w:sz="4" w:space="0" w:color="auto"/>
              <w:right w:val="single" w:sz="4" w:space="0" w:color="auto"/>
            </w:tcBorders>
            <w:tcMar>
              <w:left w:w="0" w:type="dxa"/>
              <w:right w:w="58" w:type="dxa"/>
            </w:tcMar>
            <w:hideMark/>
          </w:tcPr>
          <w:p w14:paraId="450757B5" w14:textId="77777777" w:rsidR="00BD6CCF" w:rsidRPr="008D7AB4" w:rsidRDefault="00BD6CCF" w:rsidP="0013699E">
            <w:pPr>
              <w:jc w:val="right"/>
              <w:rPr>
                <w:color w:val="000000"/>
                <w:sz w:val="17"/>
                <w:szCs w:val="17"/>
              </w:rPr>
            </w:pPr>
            <w:r w:rsidRPr="008D7AB4">
              <w:rPr>
                <w:color w:val="000000"/>
                <w:sz w:val="17"/>
                <w:szCs w:val="17"/>
              </w:rPr>
              <w:t>0</w:t>
            </w:r>
          </w:p>
        </w:tc>
        <w:tc>
          <w:tcPr>
            <w:tcW w:w="320" w:type="pct"/>
            <w:tcBorders>
              <w:top w:val="nil"/>
              <w:left w:val="nil"/>
              <w:bottom w:val="single" w:sz="4" w:space="0" w:color="auto"/>
              <w:right w:val="single" w:sz="4" w:space="0" w:color="auto"/>
            </w:tcBorders>
            <w:tcMar>
              <w:left w:w="0" w:type="dxa"/>
              <w:right w:w="58" w:type="dxa"/>
            </w:tcMar>
            <w:vAlign w:val="center"/>
            <w:hideMark/>
          </w:tcPr>
          <w:p w14:paraId="45BCA693" w14:textId="77777777" w:rsidR="00BD6CCF" w:rsidRPr="008D7AB4" w:rsidRDefault="00BD6CCF" w:rsidP="0013699E">
            <w:pPr>
              <w:jc w:val="right"/>
              <w:rPr>
                <w:color w:val="000000"/>
                <w:sz w:val="17"/>
                <w:szCs w:val="17"/>
              </w:rPr>
            </w:pPr>
            <w:r w:rsidRPr="008D7AB4">
              <w:rPr>
                <w:color w:val="000000"/>
                <w:sz w:val="17"/>
                <w:szCs w:val="17"/>
              </w:rPr>
              <w:t>0</w:t>
            </w:r>
          </w:p>
        </w:tc>
        <w:tc>
          <w:tcPr>
            <w:tcW w:w="320" w:type="pct"/>
            <w:tcBorders>
              <w:top w:val="single" w:sz="4" w:space="0" w:color="auto"/>
              <w:left w:val="nil"/>
              <w:bottom w:val="single" w:sz="4" w:space="0" w:color="auto"/>
              <w:right w:val="single" w:sz="4" w:space="0" w:color="auto"/>
            </w:tcBorders>
            <w:tcMar>
              <w:left w:w="0" w:type="dxa"/>
              <w:right w:w="58" w:type="dxa"/>
            </w:tcMar>
            <w:hideMark/>
          </w:tcPr>
          <w:p w14:paraId="714F3DDA" w14:textId="77777777" w:rsidR="00BD6CCF" w:rsidRPr="008D7AB4" w:rsidRDefault="00BD6CCF" w:rsidP="0013699E">
            <w:pPr>
              <w:jc w:val="right"/>
              <w:rPr>
                <w:bCs/>
                <w:color w:val="000000"/>
                <w:sz w:val="17"/>
                <w:szCs w:val="17"/>
              </w:rPr>
            </w:pPr>
            <w:r w:rsidRPr="008D7AB4">
              <w:rPr>
                <w:bCs/>
                <w:color w:val="000000"/>
                <w:sz w:val="17"/>
                <w:szCs w:val="17"/>
              </w:rPr>
              <w:t>1,400,000</w:t>
            </w:r>
          </w:p>
        </w:tc>
        <w:tc>
          <w:tcPr>
            <w:tcW w:w="32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0804B5FB" w14:textId="77777777" w:rsidR="00BD6CCF" w:rsidRPr="008D7AB4" w:rsidRDefault="00BD6CCF" w:rsidP="0013699E">
            <w:pPr>
              <w:jc w:val="right"/>
              <w:rPr>
                <w:b/>
                <w:color w:val="000000"/>
                <w:sz w:val="17"/>
                <w:szCs w:val="17"/>
              </w:rPr>
            </w:pPr>
            <w:r w:rsidRPr="008D7AB4">
              <w:rPr>
                <w:b/>
                <w:color w:val="000000"/>
                <w:sz w:val="17"/>
                <w:szCs w:val="17"/>
              </w:rPr>
              <w:t>0</w:t>
            </w:r>
          </w:p>
        </w:tc>
        <w:tc>
          <w:tcPr>
            <w:tcW w:w="321" w:type="pct"/>
            <w:tcBorders>
              <w:top w:val="single" w:sz="4" w:space="0" w:color="auto"/>
              <w:left w:val="single" w:sz="4" w:space="0" w:color="auto"/>
              <w:bottom w:val="single" w:sz="4" w:space="0" w:color="auto"/>
              <w:right w:val="single" w:sz="4" w:space="0" w:color="auto"/>
            </w:tcBorders>
          </w:tcPr>
          <w:p w14:paraId="37C6134F" w14:textId="77777777" w:rsidR="00BD6CCF" w:rsidRPr="008D7AB4" w:rsidRDefault="00BD6CCF" w:rsidP="0013699E">
            <w:pPr>
              <w:jc w:val="right"/>
              <w:rPr>
                <w:bCs/>
                <w:color w:val="000000"/>
                <w:sz w:val="17"/>
                <w:szCs w:val="17"/>
              </w:rPr>
            </w:pPr>
            <w:r w:rsidRPr="008D7AB4">
              <w:rPr>
                <w:bCs/>
                <w:color w:val="000000"/>
                <w:sz w:val="17"/>
                <w:szCs w:val="17"/>
              </w:rPr>
              <w:t>0</w:t>
            </w:r>
          </w:p>
        </w:tc>
        <w:tc>
          <w:tcPr>
            <w:tcW w:w="353" w:type="pct"/>
            <w:tcBorders>
              <w:top w:val="nil"/>
              <w:left w:val="single" w:sz="4" w:space="0" w:color="auto"/>
              <w:bottom w:val="single" w:sz="4" w:space="0" w:color="auto"/>
              <w:right w:val="single" w:sz="4" w:space="0" w:color="auto"/>
            </w:tcBorders>
            <w:noWrap/>
            <w:tcMar>
              <w:left w:w="0" w:type="dxa"/>
              <w:right w:w="58" w:type="dxa"/>
            </w:tcMar>
            <w:hideMark/>
          </w:tcPr>
          <w:p w14:paraId="44DF8F39" w14:textId="77777777" w:rsidR="00BD6CCF" w:rsidRPr="008D7AB4" w:rsidRDefault="00BD6CCF" w:rsidP="0013699E">
            <w:pPr>
              <w:jc w:val="right"/>
              <w:rPr>
                <w:color w:val="000000"/>
                <w:sz w:val="17"/>
                <w:szCs w:val="17"/>
              </w:rPr>
            </w:pPr>
            <w:r w:rsidRPr="008D7AB4">
              <w:rPr>
                <w:color w:val="000000"/>
                <w:sz w:val="17"/>
                <w:szCs w:val="17"/>
              </w:rPr>
              <w:t>0</w:t>
            </w:r>
          </w:p>
        </w:tc>
        <w:tc>
          <w:tcPr>
            <w:tcW w:w="361" w:type="pct"/>
            <w:tcBorders>
              <w:top w:val="nil"/>
              <w:left w:val="nil"/>
              <w:bottom w:val="single" w:sz="4" w:space="0" w:color="auto"/>
              <w:right w:val="single" w:sz="4" w:space="0" w:color="auto"/>
            </w:tcBorders>
            <w:hideMark/>
          </w:tcPr>
          <w:p w14:paraId="4F864929" w14:textId="77777777" w:rsidR="00BD6CCF" w:rsidRPr="008D7AB4" w:rsidRDefault="00BD6CCF" w:rsidP="0013699E">
            <w:pPr>
              <w:jc w:val="right"/>
              <w:rPr>
                <w:b/>
                <w:bCs/>
                <w:color w:val="000000"/>
                <w:sz w:val="17"/>
                <w:szCs w:val="17"/>
              </w:rPr>
            </w:pPr>
            <w:r w:rsidRPr="008D7AB4">
              <w:rPr>
                <w:b/>
                <w:bCs/>
                <w:color w:val="000000"/>
                <w:sz w:val="17"/>
                <w:szCs w:val="17"/>
              </w:rPr>
              <w:t>14,275,000</w:t>
            </w:r>
          </w:p>
        </w:tc>
      </w:tr>
      <w:tr w:rsidR="00BD6CCF" w:rsidRPr="008D7AB4" w14:paraId="0B0FDEC1" w14:textId="77777777" w:rsidTr="0013699E">
        <w:trPr>
          <w:trHeight w:val="57"/>
        </w:trPr>
        <w:tc>
          <w:tcPr>
            <w:tcW w:w="227" w:type="pct"/>
            <w:tcBorders>
              <w:top w:val="nil"/>
              <w:left w:val="single" w:sz="4" w:space="0" w:color="auto"/>
              <w:bottom w:val="single" w:sz="4" w:space="0" w:color="auto"/>
              <w:right w:val="single" w:sz="4" w:space="0" w:color="auto"/>
            </w:tcBorders>
            <w:hideMark/>
          </w:tcPr>
          <w:p w14:paraId="4D963ACA" w14:textId="77777777" w:rsidR="00BD6CCF" w:rsidRPr="008D7AB4" w:rsidRDefault="00BD6CCF" w:rsidP="0013699E">
            <w:pPr>
              <w:jc w:val="left"/>
              <w:rPr>
                <w:color w:val="000000"/>
                <w:sz w:val="17"/>
                <w:szCs w:val="17"/>
              </w:rPr>
            </w:pPr>
            <w:r w:rsidRPr="008D7AB4">
              <w:rPr>
                <w:color w:val="000000"/>
                <w:sz w:val="17"/>
                <w:szCs w:val="17"/>
              </w:rPr>
              <w:t>2.2</w:t>
            </w:r>
          </w:p>
        </w:tc>
        <w:tc>
          <w:tcPr>
            <w:tcW w:w="1179" w:type="pct"/>
            <w:tcBorders>
              <w:top w:val="nil"/>
              <w:left w:val="nil"/>
              <w:bottom w:val="single" w:sz="4" w:space="0" w:color="auto"/>
              <w:right w:val="single" w:sz="4" w:space="0" w:color="auto"/>
            </w:tcBorders>
            <w:hideMark/>
          </w:tcPr>
          <w:p w14:paraId="175A2A7B" w14:textId="77777777" w:rsidR="00BD6CCF" w:rsidRPr="008D7AB4" w:rsidRDefault="00BD6CCF" w:rsidP="0013699E">
            <w:pPr>
              <w:jc w:val="left"/>
              <w:rPr>
                <w:color w:val="000000"/>
                <w:sz w:val="17"/>
                <w:szCs w:val="17"/>
              </w:rPr>
            </w:pPr>
            <w:r w:rsidRPr="008D7AB4">
              <w:rPr>
                <w:color w:val="000000"/>
                <w:sz w:val="17"/>
                <w:szCs w:val="17"/>
              </w:rPr>
              <w:t>Support costs for Lead IA (US $)</w:t>
            </w:r>
          </w:p>
        </w:tc>
        <w:tc>
          <w:tcPr>
            <w:tcW w:w="319" w:type="pct"/>
            <w:tcBorders>
              <w:top w:val="nil"/>
              <w:left w:val="nil"/>
              <w:bottom w:val="single" w:sz="4" w:space="0" w:color="auto"/>
              <w:right w:val="single" w:sz="4" w:space="0" w:color="auto"/>
            </w:tcBorders>
            <w:tcMar>
              <w:left w:w="0" w:type="dxa"/>
              <w:right w:w="58" w:type="dxa"/>
            </w:tcMar>
            <w:hideMark/>
          </w:tcPr>
          <w:p w14:paraId="791C7504" w14:textId="77777777" w:rsidR="00BD6CCF" w:rsidRPr="008D7AB4" w:rsidRDefault="00BD6CCF" w:rsidP="0013699E">
            <w:pPr>
              <w:jc w:val="right"/>
              <w:rPr>
                <w:color w:val="000000"/>
                <w:sz w:val="17"/>
                <w:szCs w:val="17"/>
              </w:rPr>
            </w:pPr>
            <w:r w:rsidRPr="008D7AB4">
              <w:rPr>
                <w:color w:val="000000"/>
                <w:sz w:val="17"/>
                <w:szCs w:val="17"/>
              </w:rPr>
              <w:t>215,523</w:t>
            </w:r>
          </w:p>
        </w:tc>
        <w:tc>
          <w:tcPr>
            <w:tcW w:w="320" w:type="pct"/>
            <w:tcBorders>
              <w:top w:val="nil"/>
              <w:left w:val="nil"/>
              <w:bottom w:val="single" w:sz="4" w:space="0" w:color="auto"/>
              <w:right w:val="single" w:sz="4" w:space="0" w:color="auto"/>
            </w:tcBorders>
            <w:tcMar>
              <w:left w:w="0" w:type="dxa"/>
              <w:right w:w="58" w:type="dxa"/>
            </w:tcMar>
            <w:hideMark/>
          </w:tcPr>
          <w:p w14:paraId="53C20D78" w14:textId="77777777" w:rsidR="00BD6CCF" w:rsidRPr="008D7AB4" w:rsidRDefault="00BD6CCF" w:rsidP="0013699E">
            <w:pPr>
              <w:jc w:val="right"/>
              <w:rPr>
                <w:color w:val="000000"/>
                <w:sz w:val="17"/>
                <w:szCs w:val="17"/>
              </w:rPr>
            </w:pPr>
            <w:r w:rsidRPr="008D7AB4">
              <w:rPr>
                <w:color w:val="000000"/>
                <w:sz w:val="17"/>
                <w:szCs w:val="17"/>
              </w:rPr>
              <w:t>0</w:t>
            </w:r>
          </w:p>
        </w:tc>
        <w:tc>
          <w:tcPr>
            <w:tcW w:w="320" w:type="pct"/>
            <w:tcBorders>
              <w:top w:val="nil"/>
              <w:left w:val="nil"/>
              <w:bottom w:val="single" w:sz="4" w:space="0" w:color="auto"/>
              <w:right w:val="single" w:sz="4" w:space="0" w:color="auto"/>
            </w:tcBorders>
            <w:tcMar>
              <w:left w:w="0" w:type="dxa"/>
              <w:right w:w="58" w:type="dxa"/>
            </w:tcMar>
            <w:vAlign w:val="center"/>
            <w:hideMark/>
          </w:tcPr>
          <w:p w14:paraId="568B878A" w14:textId="77777777" w:rsidR="00BD6CCF" w:rsidRPr="008D7AB4" w:rsidRDefault="00BD6CCF" w:rsidP="0013699E">
            <w:pPr>
              <w:jc w:val="right"/>
              <w:rPr>
                <w:color w:val="000000"/>
                <w:sz w:val="17"/>
                <w:szCs w:val="17"/>
              </w:rPr>
            </w:pPr>
            <w:r w:rsidRPr="008D7AB4">
              <w:rPr>
                <w:color w:val="000000"/>
                <w:sz w:val="17"/>
                <w:szCs w:val="17"/>
              </w:rPr>
              <w:t>183,939</w:t>
            </w:r>
          </w:p>
        </w:tc>
        <w:tc>
          <w:tcPr>
            <w:tcW w:w="320" w:type="pct"/>
            <w:tcBorders>
              <w:top w:val="nil"/>
              <w:left w:val="nil"/>
              <w:bottom w:val="single" w:sz="4" w:space="0" w:color="auto"/>
              <w:right w:val="single" w:sz="4" w:space="0" w:color="auto"/>
            </w:tcBorders>
            <w:tcMar>
              <w:left w:w="0" w:type="dxa"/>
              <w:right w:w="58" w:type="dxa"/>
            </w:tcMar>
            <w:vAlign w:val="center"/>
            <w:hideMark/>
          </w:tcPr>
          <w:p w14:paraId="41DB95E5" w14:textId="77777777" w:rsidR="00BD6CCF" w:rsidRPr="008D7AB4" w:rsidRDefault="00BD6CCF" w:rsidP="0013699E">
            <w:pPr>
              <w:jc w:val="right"/>
              <w:rPr>
                <w:color w:val="000000"/>
                <w:sz w:val="17"/>
                <w:szCs w:val="17"/>
              </w:rPr>
            </w:pPr>
            <w:r w:rsidRPr="008D7AB4">
              <w:rPr>
                <w:color w:val="000000"/>
                <w:sz w:val="17"/>
                <w:szCs w:val="17"/>
              </w:rPr>
              <w:t>501,788</w:t>
            </w:r>
          </w:p>
        </w:tc>
        <w:tc>
          <w:tcPr>
            <w:tcW w:w="320" w:type="pct"/>
            <w:tcBorders>
              <w:top w:val="nil"/>
              <w:left w:val="nil"/>
              <w:bottom w:val="single" w:sz="4" w:space="0" w:color="auto"/>
              <w:right w:val="single" w:sz="4" w:space="0" w:color="auto"/>
            </w:tcBorders>
            <w:tcMar>
              <w:left w:w="0" w:type="dxa"/>
              <w:right w:w="58" w:type="dxa"/>
            </w:tcMar>
            <w:hideMark/>
          </w:tcPr>
          <w:p w14:paraId="20124716" w14:textId="77777777" w:rsidR="00BD6CCF" w:rsidRPr="008D7AB4" w:rsidRDefault="00BD6CCF" w:rsidP="0013699E">
            <w:pPr>
              <w:jc w:val="right"/>
              <w:rPr>
                <w:color w:val="000000"/>
                <w:sz w:val="17"/>
                <w:szCs w:val="17"/>
              </w:rPr>
            </w:pPr>
            <w:r w:rsidRPr="008D7AB4">
              <w:rPr>
                <w:color w:val="000000"/>
                <w:sz w:val="17"/>
                <w:szCs w:val="17"/>
              </w:rPr>
              <w:t>0</w:t>
            </w:r>
          </w:p>
        </w:tc>
        <w:tc>
          <w:tcPr>
            <w:tcW w:w="320" w:type="pct"/>
            <w:tcBorders>
              <w:top w:val="nil"/>
              <w:left w:val="nil"/>
              <w:bottom w:val="single" w:sz="4" w:space="0" w:color="auto"/>
              <w:right w:val="single" w:sz="4" w:space="0" w:color="auto"/>
            </w:tcBorders>
            <w:tcMar>
              <w:left w:w="0" w:type="dxa"/>
              <w:right w:w="58" w:type="dxa"/>
            </w:tcMar>
            <w:vAlign w:val="center"/>
            <w:hideMark/>
          </w:tcPr>
          <w:p w14:paraId="783DE91C" w14:textId="77777777" w:rsidR="00BD6CCF" w:rsidRPr="008D7AB4" w:rsidRDefault="00BD6CCF" w:rsidP="0013699E">
            <w:pPr>
              <w:jc w:val="right"/>
              <w:rPr>
                <w:color w:val="000000"/>
                <w:sz w:val="17"/>
                <w:szCs w:val="17"/>
              </w:rPr>
            </w:pPr>
            <w:r w:rsidRPr="008D7AB4">
              <w:rPr>
                <w:color w:val="000000"/>
                <w:sz w:val="17"/>
                <w:szCs w:val="17"/>
              </w:rPr>
              <w:t>0</w:t>
            </w:r>
          </w:p>
        </w:tc>
        <w:tc>
          <w:tcPr>
            <w:tcW w:w="320" w:type="pct"/>
            <w:tcBorders>
              <w:top w:val="single" w:sz="4" w:space="0" w:color="auto"/>
              <w:left w:val="nil"/>
              <w:bottom w:val="single" w:sz="4" w:space="0" w:color="auto"/>
              <w:right w:val="single" w:sz="4" w:space="0" w:color="auto"/>
            </w:tcBorders>
            <w:tcMar>
              <w:left w:w="0" w:type="dxa"/>
              <w:right w:w="58" w:type="dxa"/>
            </w:tcMar>
            <w:hideMark/>
          </w:tcPr>
          <w:p w14:paraId="7A24DA5E" w14:textId="77777777" w:rsidR="00BD6CCF" w:rsidRPr="008D7AB4" w:rsidRDefault="00BD6CCF" w:rsidP="0013699E">
            <w:pPr>
              <w:jc w:val="right"/>
              <w:rPr>
                <w:bCs/>
                <w:iCs/>
                <w:color w:val="000000"/>
                <w:sz w:val="17"/>
                <w:szCs w:val="17"/>
              </w:rPr>
            </w:pPr>
            <w:r w:rsidRPr="008D7AB4">
              <w:rPr>
                <w:bCs/>
                <w:iCs/>
                <w:sz w:val="17"/>
                <w:szCs w:val="17"/>
              </w:rPr>
              <w:t>98,000</w:t>
            </w:r>
          </w:p>
        </w:tc>
        <w:tc>
          <w:tcPr>
            <w:tcW w:w="32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72DA4A72" w14:textId="77777777" w:rsidR="00BD6CCF" w:rsidRPr="008D7AB4" w:rsidRDefault="00BD6CCF" w:rsidP="0013699E">
            <w:pPr>
              <w:jc w:val="right"/>
              <w:rPr>
                <w:b/>
                <w:color w:val="000000"/>
                <w:sz w:val="17"/>
                <w:szCs w:val="17"/>
              </w:rPr>
            </w:pPr>
            <w:r w:rsidRPr="008D7AB4">
              <w:rPr>
                <w:b/>
                <w:color w:val="000000"/>
                <w:sz w:val="17"/>
                <w:szCs w:val="17"/>
              </w:rPr>
              <w:t>0</w:t>
            </w:r>
          </w:p>
        </w:tc>
        <w:tc>
          <w:tcPr>
            <w:tcW w:w="321" w:type="pct"/>
            <w:tcBorders>
              <w:top w:val="single" w:sz="4" w:space="0" w:color="auto"/>
              <w:left w:val="single" w:sz="4" w:space="0" w:color="auto"/>
              <w:bottom w:val="single" w:sz="4" w:space="0" w:color="auto"/>
              <w:right w:val="single" w:sz="4" w:space="0" w:color="auto"/>
            </w:tcBorders>
          </w:tcPr>
          <w:p w14:paraId="3B66F2D2" w14:textId="77777777" w:rsidR="00BD6CCF" w:rsidRPr="008D7AB4" w:rsidRDefault="00BD6CCF" w:rsidP="0013699E">
            <w:pPr>
              <w:jc w:val="right"/>
              <w:rPr>
                <w:bCs/>
                <w:color w:val="000000"/>
                <w:sz w:val="17"/>
                <w:szCs w:val="17"/>
              </w:rPr>
            </w:pPr>
            <w:r w:rsidRPr="008D7AB4">
              <w:rPr>
                <w:bCs/>
                <w:color w:val="000000"/>
                <w:sz w:val="17"/>
                <w:szCs w:val="17"/>
              </w:rPr>
              <w:t>0</w:t>
            </w:r>
          </w:p>
        </w:tc>
        <w:tc>
          <w:tcPr>
            <w:tcW w:w="353" w:type="pct"/>
            <w:tcBorders>
              <w:top w:val="nil"/>
              <w:left w:val="single" w:sz="4" w:space="0" w:color="auto"/>
              <w:bottom w:val="single" w:sz="4" w:space="0" w:color="auto"/>
              <w:right w:val="single" w:sz="4" w:space="0" w:color="auto"/>
            </w:tcBorders>
            <w:noWrap/>
            <w:tcMar>
              <w:left w:w="0" w:type="dxa"/>
              <w:right w:w="58" w:type="dxa"/>
            </w:tcMar>
            <w:hideMark/>
          </w:tcPr>
          <w:p w14:paraId="777E426B" w14:textId="77777777" w:rsidR="00BD6CCF" w:rsidRPr="008D7AB4" w:rsidRDefault="00BD6CCF" w:rsidP="0013699E">
            <w:pPr>
              <w:jc w:val="right"/>
              <w:rPr>
                <w:color w:val="000000"/>
                <w:sz w:val="17"/>
                <w:szCs w:val="17"/>
              </w:rPr>
            </w:pPr>
            <w:r w:rsidRPr="008D7AB4">
              <w:rPr>
                <w:color w:val="000000"/>
                <w:sz w:val="17"/>
                <w:szCs w:val="17"/>
              </w:rPr>
              <w:t>0</w:t>
            </w:r>
          </w:p>
        </w:tc>
        <w:tc>
          <w:tcPr>
            <w:tcW w:w="361" w:type="pct"/>
            <w:tcBorders>
              <w:top w:val="nil"/>
              <w:left w:val="nil"/>
              <w:bottom w:val="single" w:sz="4" w:space="0" w:color="auto"/>
              <w:right w:val="single" w:sz="4" w:space="0" w:color="auto"/>
            </w:tcBorders>
            <w:hideMark/>
          </w:tcPr>
          <w:p w14:paraId="41C704CC" w14:textId="77777777" w:rsidR="00BD6CCF" w:rsidRPr="008D7AB4" w:rsidRDefault="00BD6CCF" w:rsidP="0013699E">
            <w:pPr>
              <w:jc w:val="right"/>
              <w:rPr>
                <w:b/>
                <w:bCs/>
                <w:color w:val="000000"/>
                <w:sz w:val="17"/>
                <w:szCs w:val="17"/>
              </w:rPr>
            </w:pPr>
            <w:r w:rsidRPr="008D7AB4">
              <w:rPr>
                <w:b/>
                <w:bCs/>
                <w:color w:val="000000"/>
                <w:sz w:val="17"/>
                <w:szCs w:val="17"/>
              </w:rPr>
              <w:t>999,250</w:t>
            </w:r>
          </w:p>
        </w:tc>
      </w:tr>
      <w:tr w:rsidR="00BD6CCF" w:rsidRPr="008D7AB4" w14:paraId="5D4D5AD0" w14:textId="77777777" w:rsidTr="0013699E">
        <w:trPr>
          <w:trHeight w:val="57"/>
        </w:trPr>
        <w:tc>
          <w:tcPr>
            <w:tcW w:w="227" w:type="pct"/>
            <w:tcBorders>
              <w:top w:val="nil"/>
              <w:left w:val="single" w:sz="4" w:space="0" w:color="auto"/>
              <w:bottom w:val="single" w:sz="4" w:space="0" w:color="auto"/>
              <w:right w:val="single" w:sz="4" w:space="0" w:color="auto"/>
            </w:tcBorders>
            <w:hideMark/>
          </w:tcPr>
          <w:p w14:paraId="7AE14104" w14:textId="77777777" w:rsidR="00BD6CCF" w:rsidRPr="008D7AB4" w:rsidRDefault="00BD6CCF" w:rsidP="0013699E">
            <w:pPr>
              <w:jc w:val="left"/>
              <w:rPr>
                <w:color w:val="000000"/>
                <w:sz w:val="17"/>
                <w:szCs w:val="17"/>
              </w:rPr>
            </w:pPr>
            <w:r w:rsidRPr="008D7AB4">
              <w:rPr>
                <w:color w:val="000000"/>
                <w:sz w:val="17"/>
                <w:szCs w:val="17"/>
              </w:rPr>
              <w:t>2.3</w:t>
            </w:r>
          </w:p>
        </w:tc>
        <w:tc>
          <w:tcPr>
            <w:tcW w:w="1179" w:type="pct"/>
            <w:tcBorders>
              <w:top w:val="nil"/>
              <w:left w:val="nil"/>
              <w:bottom w:val="single" w:sz="4" w:space="0" w:color="auto"/>
              <w:right w:val="single" w:sz="4" w:space="0" w:color="auto"/>
            </w:tcBorders>
            <w:hideMark/>
          </w:tcPr>
          <w:p w14:paraId="2E882B6B" w14:textId="77777777" w:rsidR="00BD6CCF" w:rsidRPr="008D7AB4" w:rsidRDefault="00BD6CCF" w:rsidP="0013699E">
            <w:pPr>
              <w:jc w:val="left"/>
              <w:rPr>
                <w:color w:val="000000"/>
                <w:sz w:val="17"/>
                <w:szCs w:val="17"/>
              </w:rPr>
            </w:pPr>
            <w:r w:rsidRPr="008D7AB4">
              <w:rPr>
                <w:color w:val="000000"/>
                <w:sz w:val="17"/>
                <w:szCs w:val="17"/>
              </w:rPr>
              <w:t>Cooperating IA (UNIDO) agreed funding (US $)</w:t>
            </w:r>
          </w:p>
        </w:tc>
        <w:tc>
          <w:tcPr>
            <w:tcW w:w="319" w:type="pct"/>
            <w:tcBorders>
              <w:top w:val="nil"/>
              <w:left w:val="nil"/>
              <w:bottom w:val="single" w:sz="4" w:space="0" w:color="auto"/>
              <w:right w:val="single" w:sz="4" w:space="0" w:color="auto"/>
            </w:tcBorders>
            <w:tcMar>
              <w:left w:w="0" w:type="dxa"/>
              <w:right w:w="58" w:type="dxa"/>
            </w:tcMar>
            <w:hideMark/>
          </w:tcPr>
          <w:p w14:paraId="38F6702D" w14:textId="77777777" w:rsidR="00BD6CCF" w:rsidRPr="008D7AB4" w:rsidRDefault="00BD6CCF" w:rsidP="0013699E">
            <w:pPr>
              <w:jc w:val="right"/>
              <w:rPr>
                <w:b/>
                <w:bCs/>
                <w:color w:val="000000"/>
                <w:sz w:val="17"/>
                <w:szCs w:val="17"/>
              </w:rPr>
            </w:pPr>
            <w:r w:rsidRPr="008D7AB4">
              <w:rPr>
                <w:b/>
                <w:bCs/>
                <w:color w:val="000000"/>
                <w:sz w:val="17"/>
                <w:szCs w:val="17"/>
              </w:rPr>
              <w:t>1,748,175</w:t>
            </w:r>
          </w:p>
        </w:tc>
        <w:tc>
          <w:tcPr>
            <w:tcW w:w="320" w:type="pct"/>
            <w:tcBorders>
              <w:top w:val="nil"/>
              <w:left w:val="nil"/>
              <w:bottom w:val="single" w:sz="4" w:space="0" w:color="auto"/>
              <w:right w:val="single" w:sz="4" w:space="0" w:color="auto"/>
            </w:tcBorders>
            <w:tcMar>
              <w:left w:w="0" w:type="dxa"/>
              <w:right w:w="58" w:type="dxa"/>
            </w:tcMar>
            <w:hideMark/>
          </w:tcPr>
          <w:p w14:paraId="613A530D" w14:textId="77777777" w:rsidR="00BD6CCF" w:rsidRPr="008D7AB4" w:rsidRDefault="00BD6CCF" w:rsidP="0013699E">
            <w:pPr>
              <w:jc w:val="right"/>
              <w:rPr>
                <w:color w:val="000000"/>
                <w:sz w:val="17"/>
                <w:szCs w:val="17"/>
              </w:rPr>
            </w:pPr>
            <w:r w:rsidRPr="008D7AB4">
              <w:rPr>
                <w:color w:val="000000"/>
                <w:sz w:val="17"/>
                <w:szCs w:val="17"/>
              </w:rPr>
              <w:t>0</w:t>
            </w:r>
          </w:p>
        </w:tc>
        <w:tc>
          <w:tcPr>
            <w:tcW w:w="320" w:type="pct"/>
            <w:tcBorders>
              <w:top w:val="nil"/>
              <w:left w:val="nil"/>
              <w:bottom w:val="single" w:sz="4" w:space="0" w:color="auto"/>
              <w:right w:val="single" w:sz="4" w:space="0" w:color="auto"/>
            </w:tcBorders>
            <w:tcMar>
              <w:left w:w="0" w:type="dxa"/>
              <w:right w:w="58" w:type="dxa"/>
            </w:tcMar>
            <w:hideMark/>
          </w:tcPr>
          <w:p w14:paraId="1590F85C" w14:textId="77777777" w:rsidR="00BD6CCF" w:rsidRPr="008D7AB4" w:rsidRDefault="00BD6CCF" w:rsidP="0013699E">
            <w:pPr>
              <w:jc w:val="right"/>
              <w:rPr>
                <w:color w:val="000000"/>
                <w:sz w:val="17"/>
                <w:szCs w:val="17"/>
              </w:rPr>
            </w:pPr>
            <w:r w:rsidRPr="008D7AB4">
              <w:rPr>
                <w:color w:val="000000"/>
                <w:sz w:val="17"/>
                <w:szCs w:val="17"/>
              </w:rPr>
              <w:t>0</w:t>
            </w:r>
          </w:p>
        </w:tc>
        <w:tc>
          <w:tcPr>
            <w:tcW w:w="320" w:type="pct"/>
            <w:tcBorders>
              <w:top w:val="nil"/>
              <w:left w:val="nil"/>
              <w:bottom w:val="single" w:sz="4" w:space="0" w:color="auto"/>
              <w:right w:val="single" w:sz="4" w:space="0" w:color="auto"/>
            </w:tcBorders>
            <w:tcMar>
              <w:left w:w="0" w:type="dxa"/>
              <w:right w:w="58" w:type="dxa"/>
            </w:tcMar>
            <w:vAlign w:val="center"/>
            <w:hideMark/>
          </w:tcPr>
          <w:p w14:paraId="7594A4B4" w14:textId="77777777" w:rsidR="00BD6CCF" w:rsidRPr="008D7AB4" w:rsidRDefault="00BD6CCF" w:rsidP="0013699E">
            <w:pPr>
              <w:jc w:val="right"/>
              <w:rPr>
                <w:color w:val="000000"/>
                <w:sz w:val="17"/>
                <w:szCs w:val="17"/>
              </w:rPr>
            </w:pPr>
            <w:r w:rsidRPr="008D7AB4">
              <w:rPr>
                <w:color w:val="000000"/>
                <w:sz w:val="17"/>
                <w:szCs w:val="17"/>
              </w:rPr>
              <w:t>1,902,953</w:t>
            </w:r>
          </w:p>
        </w:tc>
        <w:tc>
          <w:tcPr>
            <w:tcW w:w="320" w:type="pct"/>
            <w:tcBorders>
              <w:top w:val="nil"/>
              <w:left w:val="nil"/>
              <w:bottom w:val="single" w:sz="4" w:space="0" w:color="auto"/>
              <w:right w:val="single" w:sz="4" w:space="0" w:color="auto"/>
            </w:tcBorders>
            <w:tcMar>
              <w:left w:w="0" w:type="dxa"/>
              <w:right w:w="58" w:type="dxa"/>
            </w:tcMar>
            <w:hideMark/>
          </w:tcPr>
          <w:p w14:paraId="627F91F0" w14:textId="77777777" w:rsidR="00BD6CCF" w:rsidRPr="008D7AB4" w:rsidRDefault="00BD6CCF" w:rsidP="0013699E">
            <w:pPr>
              <w:jc w:val="right"/>
              <w:rPr>
                <w:color w:val="000000"/>
                <w:sz w:val="17"/>
                <w:szCs w:val="17"/>
              </w:rPr>
            </w:pPr>
            <w:r w:rsidRPr="008D7AB4">
              <w:rPr>
                <w:color w:val="000000"/>
                <w:sz w:val="17"/>
                <w:szCs w:val="17"/>
              </w:rPr>
              <w:t>0</w:t>
            </w:r>
          </w:p>
        </w:tc>
        <w:tc>
          <w:tcPr>
            <w:tcW w:w="320" w:type="pct"/>
            <w:tcBorders>
              <w:top w:val="nil"/>
              <w:left w:val="nil"/>
              <w:bottom w:val="single" w:sz="4" w:space="0" w:color="auto"/>
              <w:right w:val="single" w:sz="4" w:space="0" w:color="auto"/>
            </w:tcBorders>
            <w:tcMar>
              <w:left w:w="0" w:type="dxa"/>
              <w:right w:w="58" w:type="dxa"/>
            </w:tcMar>
            <w:vAlign w:val="center"/>
            <w:hideMark/>
          </w:tcPr>
          <w:p w14:paraId="530E8A77" w14:textId="77777777" w:rsidR="00BD6CCF" w:rsidRPr="008D7AB4" w:rsidRDefault="00BD6CCF" w:rsidP="0013699E">
            <w:pPr>
              <w:jc w:val="right"/>
              <w:rPr>
                <w:color w:val="000000"/>
                <w:sz w:val="17"/>
                <w:szCs w:val="17"/>
              </w:rPr>
            </w:pPr>
            <w:r w:rsidRPr="008D7AB4">
              <w:rPr>
                <w:color w:val="000000"/>
                <w:sz w:val="17"/>
                <w:szCs w:val="17"/>
              </w:rPr>
              <w:t>0</w:t>
            </w:r>
          </w:p>
        </w:tc>
        <w:tc>
          <w:tcPr>
            <w:tcW w:w="320" w:type="pct"/>
            <w:tcBorders>
              <w:top w:val="single" w:sz="4" w:space="0" w:color="auto"/>
              <w:left w:val="nil"/>
              <w:bottom w:val="single" w:sz="4" w:space="0" w:color="auto"/>
              <w:right w:val="single" w:sz="4" w:space="0" w:color="auto"/>
            </w:tcBorders>
            <w:tcMar>
              <w:left w:w="0" w:type="dxa"/>
              <w:right w:w="58" w:type="dxa"/>
            </w:tcMar>
            <w:vAlign w:val="center"/>
            <w:hideMark/>
          </w:tcPr>
          <w:p w14:paraId="6FE2CEBE" w14:textId="77777777" w:rsidR="00BD6CCF" w:rsidRPr="008D7AB4" w:rsidRDefault="00BD6CCF" w:rsidP="0013699E">
            <w:pPr>
              <w:jc w:val="right"/>
              <w:rPr>
                <w:bCs/>
                <w:color w:val="000000"/>
                <w:sz w:val="17"/>
                <w:szCs w:val="17"/>
              </w:rPr>
            </w:pPr>
            <w:r w:rsidRPr="008D7AB4">
              <w:rPr>
                <w:bCs/>
                <w:color w:val="000000"/>
                <w:sz w:val="17"/>
                <w:szCs w:val="17"/>
              </w:rPr>
              <w:t>116,000</w:t>
            </w:r>
          </w:p>
        </w:tc>
        <w:tc>
          <w:tcPr>
            <w:tcW w:w="32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6B225538" w14:textId="77777777" w:rsidR="00BD6CCF" w:rsidRPr="008D7AB4" w:rsidRDefault="00BD6CCF" w:rsidP="0013699E">
            <w:pPr>
              <w:jc w:val="right"/>
              <w:rPr>
                <w:color w:val="000000"/>
                <w:sz w:val="17"/>
                <w:szCs w:val="17"/>
              </w:rPr>
            </w:pPr>
            <w:r w:rsidRPr="008D7AB4">
              <w:rPr>
                <w:color w:val="000000"/>
                <w:sz w:val="17"/>
                <w:szCs w:val="17"/>
              </w:rPr>
              <w:t>0</w:t>
            </w:r>
          </w:p>
        </w:tc>
        <w:tc>
          <w:tcPr>
            <w:tcW w:w="321" w:type="pct"/>
            <w:tcBorders>
              <w:top w:val="single" w:sz="4" w:space="0" w:color="auto"/>
              <w:left w:val="single" w:sz="4" w:space="0" w:color="auto"/>
              <w:bottom w:val="single" w:sz="4" w:space="0" w:color="auto"/>
              <w:right w:val="single" w:sz="4" w:space="0" w:color="auto"/>
            </w:tcBorders>
          </w:tcPr>
          <w:p w14:paraId="1F2C2B79" w14:textId="77777777" w:rsidR="00BD6CCF" w:rsidRPr="008D7AB4" w:rsidRDefault="00BD6CCF" w:rsidP="0013699E">
            <w:pPr>
              <w:jc w:val="right"/>
              <w:rPr>
                <w:bCs/>
                <w:color w:val="000000"/>
                <w:sz w:val="17"/>
                <w:szCs w:val="17"/>
              </w:rPr>
            </w:pPr>
            <w:r w:rsidRPr="008D7AB4">
              <w:rPr>
                <w:bCs/>
                <w:color w:val="000000"/>
                <w:sz w:val="17"/>
                <w:szCs w:val="17"/>
              </w:rPr>
              <w:t>0</w:t>
            </w:r>
          </w:p>
        </w:tc>
        <w:tc>
          <w:tcPr>
            <w:tcW w:w="353" w:type="pct"/>
            <w:tcBorders>
              <w:top w:val="nil"/>
              <w:left w:val="single" w:sz="4" w:space="0" w:color="auto"/>
              <w:bottom w:val="single" w:sz="4" w:space="0" w:color="auto"/>
              <w:right w:val="single" w:sz="4" w:space="0" w:color="auto"/>
            </w:tcBorders>
            <w:noWrap/>
            <w:tcMar>
              <w:left w:w="0" w:type="dxa"/>
              <w:right w:w="58" w:type="dxa"/>
            </w:tcMar>
            <w:hideMark/>
          </w:tcPr>
          <w:p w14:paraId="7C8C8A9C" w14:textId="77777777" w:rsidR="00BD6CCF" w:rsidRPr="008D7AB4" w:rsidRDefault="00BD6CCF" w:rsidP="0013699E">
            <w:pPr>
              <w:jc w:val="right"/>
              <w:rPr>
                <w:color w:val="000000"/>
                <w:sz w:val="17"/>
                <w:szCs w:val="17"/>
              </w:rPr>
            </w:pPr>
            <w:r w:rsidRPr="008D7AB4">
              <w:rPr>
                <w:color w:val="000000"/>
                <w:sz w:val="17"/>
                <w:szCs w:val="17"/>
              </w:rPr>
              <w:t>0</w:t>
            </w:r>
          </w:p>
        </w:tc>
        <w:tc>
          <w:tcPr>
            <w:tcW w:w="361" w:type="pct"/>
            <w:tcBorders>
              <w:top w:val="nil"/>
              <w:left w:val="nil"/>
              <w:bottom w:val="single" w:sz="4" w:space="0" w:color="auto"/>
              <w:right w:val="single" w:sz="4" w:space="0" w:color="auto"/>
            </w:tcBorders>
            <w:hideMark/>
          </w:tcPr>
          <w:p w14:paraId="36AE71B7" w14:textId="77777777" w:rsidR="00BD6CCF" w:rsidRPr="008D7AB4" w:rsidRDefault="00BD6CCF" w:rsidP="0013699E">
            <w:pPr>
              <w:jc w:val="right"/>
              <w:rPr>
                <w:b/>
                <w:bCs/>
                <w:color w:val="000000"/>
                <w:sz w:val="17"/>
                <w:szCs w:val="17"/>
              </w:rPr>
            </w:pPr>
            <w:r w:rsidRPr="008D7AB4">
              <w:rPr>
                <w:b/>
                <w:bCs/>
                <w:color w:val="000000"/>
                <w:sz w:val="17"/>
                <w:szCs w:val="17"/>
              </w:rPr>
              <w:t>3,767,128</w:t>
            </w:r>
          </w:p>
        </w:tc>
      </w:tr>
      <w:tr w:rsidR="00BD6CCF" w:rsidRPr="008D7AB4" w14:paraId="16FB90E3" w14:textId="77777777" w:rsidTr="0013699E">
        <w:trPr>
          <w:trHeight w:val="57"/>
        </w:trPr>
        <w:tc>
          <w:tcPr>
            <w:tcW w:w="227" w:type="pct"/>
            <w:tcBorders>
              <w:top w:val="nil"/>
              <w:left w:val="single" w:sz="4" w:space="0" w:color="auto"/>
              <w:bottom w:val="single" w:sz="4" w:space="0" w:color="auto"/>
              <w:right w:val="single" w:sz="4" w:space="0" w:color="auto"/>
            </w:tcBorders>
            <w:hideMark/>
          </w:tcPr>
          <w:p w14:paraId="7BA1B586" w14:textId="77777777" w:rsidR="00BD6CCF" w:rsidRPr="008D7AB4" w:rsidRDefault="00BD6CCF" w:rsidP="0013699E">
            <w:pPr>
              <w:jc w:val="left"/>
              <w:rPr>
                <w:color w:val="000000"/>
                <w:sz w:val="17"/>
                <w:szCs w:val="17"/>
              </w:rPr>
            </w:pPr>
            <w:r w:rsidRPr="008D7AB4">
              <w:rPr>
                <w:color w:val="000000"/>
                <w:sz w:val="17"/>
                <w:szCs w:val="17"/>
              </w:rPr>
              <w:t>2.4</w:t>
            </w:r>
          </w:p>
        </w:tc>
        <w:tc>
          <w:tcPr>
            <w:tcW w:w="1179" w:type="pct"/>
            <w:tcBorders>
              <w:top w:val="nil"/>
              <w:left w:val="nil"/>
              <w:bottom w:val="single" w:sz="4" w:space="0" w:color="auto"/>
              <w:right w:val="single" w:sz="4" w:space="0" w:color="auto"/>
            </w:tcBorders>
            <w:hideMark/>
          </w:tcPr>
          <w:p w14:paraId="05BDDF54" w14:textId="77777777" w:rsidR="00BD6CCF" w:rsidRPr="008D7AB4" w:rsidRDefault="00BD6CCF" w:rsidP="0013699E">
            <w:pPr>
              <w:jc w:val="left"/>
              <w:rPr>
                <w:color w:val="000000"/>
                <w:sz w:val="17"/>
                <w:szCs w:val="17"/>
              </w:rPr>
            </w:pPr>
            <w:r w:rsidRPr="008D7AB4">
              <w:rPr>
                <w:color w:val="000000"/>
                <w:sz w:val="17"/>
                <w:szCs w:val="17"/>
              </w:rPr>
              <w:t>Support costs for Cooperating IA (US $)</w:t>
            </w:r>
          </w:p>
        </w:tc>
        <w:tc>
          <w:tcPr>
            <w:tcW w:w="319" w:type="pct"/>
            <w:tcBorders>
              <w:top w:val="nil"/>
              <w:left w:val="nil"/>
              <w:bottom w:val="single" w:sz="4" w:space="0" w:color="auto"/>
              <w:right w:val="single" w:sz="4" w:space="0" w:color="auto"/>
            </w:tcBorders>
            <w:tcMar>
              <w:left w:w="0" w:type="dxa"/>
              <w:right w:w="58" w:type="dxa"/>
            </w:tcMar>
            <w:hideMark/>
          </w:tcPr>
          <w:p w14:paraId="602D408D" w14:textId="77777777" w:rsidR="00BD6CCF" w:rsidRPr="008D7AB4" w:rsidRDefault="00BD6CCF" w:rsidP="0013699E">
            <w:pPr>
              <w:jc w:val="right"/>
              <w:rPr>
                <w:b/>
                <w:bCs/>
                <w:color w:val="000000"/>
                <w:sz w:val="17"/>
                <w:szCs w:val="17"/>
              </w:rPr>
            </w:pPr>
            <w:r w:rsidRPr="008D7AB4">
              <w:rPr>
                <w:b/>
                <w:bCs/>
                <w:color w:val="000000"/>
                <w:sz w:val="17"/>
                <w:szCs w:val="17"/>
              </w:rPr>
              <w:t>122,372</w:t>
            </w:r>
          </w:p>
        </w:tc>
        <w:tc>
          <w:tcPr>
            <w:tcW w:w="320" w:type="pct"/>
            <w:tcBorders>
              <w:top w:val="nil"/>
              <w:left w:val="nil"/>
              <w:bottom w:val="single" w:sz="4" w:space="0" w:color="auto"/>
              <w:right w:val="single" w:sz="4" w:space="0" w:color="auto"/>
            </w:tcBorders>
            <w:tcMar>
              <w:left w:w="0" w:type="dxa"/>
              <w:right w:w="58" w:type="dxa"/>
            </w:tcMar>
            <w:hideMark/>
          </w:tcPr>
          <w:p w14:paraId="4312536A" w14:textId="77777777" w:rsidR="00BD6CCF" w:rsidRPr="008D7AB4" w:rsidRDefault="00BD6CCF" w:rsidP="0013699E">
            <w:pPr>
              <w:jc w:val="right"/>
              <w:rPr>
                <w:color w:val="000000"/>
                <w:sz w:val="17"/>
                <w:szCs w:val="17"/>
              </w:rPr>
            </w:pPr>
            <w:r w:rsidRPr="008D7AB4">
              <w:rPr>
                <w:color w:val="000000"/>
                <w:sz w:val="17"/>
                <w:szCs w:val="17"/>
              </w:rPr>
              <w:t>0</w:t>
            </w:r>
          </w:p>
        </w:tc>
        <w:tc>
          <w:tcPr>
            <w:tcW w:w="320" w:type="pct"/>
            <w:tcBorders>
              <w:top w:val="nil"/>
              <w:left w:val="nil"/>
              <w:bottom w:val="single" w:sz="4" w:space="0" w:color="auto"/>
              <w:right w:val="single" w:sz="4" w:space="0" w:color="auto"/>
            </w:tcBorders>
            <w:tcMar>
              <w:left w:w="0" w:type="dxa"/>
              <w:right w:w="58" w:type="dxa"/>
            </w:tcMar>
            <w:hideMark/>
          </w:tcPr>
          <w:p w14:paraId="3116DC74" w14:textId="77777777" w:rsidR="00BD6CCF" w:rsidRPr="008D7AB4" w:rsidRDefault="00BD6CCF" w:rsidP="0013699E">
            <w:pPr>
              <w:jc w:val="right"/>
              <w:rPr>
                <w:color w:val="000000"/>
                <w:sz w:val="17"/>
                <w:szCs w:val="17"/>
              </w:rPr>
            </w:pPr>
            <w:r w:rsidRPr="008D7AB4">
              <w:rPr>
                <w:color w:val="000000"/>
                <w:sz w:val="17"/>
                <w:szCs w:val="17"/>
              </w:rPr>
              <w:t>0</w:t>
            </w:r>
          </w:p>
        </w:tc>
        <w:tc>
          <w:tcPr>
            <w:tcW w:w="320" w:type="pct"/>
            <w:tcBorders>
              <w:top w:val="nil"/>
              <w:left w:val="nil"/>
              <w:bottom w:val="single" w:sz="4" w:space="0" w:color="auto"/>
              <w:right w:val="single" w:sz="4" w:space="0" w:color="auto"/>
            </w:tcBorders>
            <w:tcMar>
              <w:left w:w="0" w:type="dxa"/>
              <w:right w:w="58" w:type="dxa"/>
            </w:tcMar>
            <w:vAlign w:val="center"/>
            <w:hideMark/>
          </w:tcPr>
          <w:p w14:paraId="55142AE7" w14:textId="77777777" w:rsidR="00BD6CCF" w:rsidRPr="008D7AB4" w:rsidRDefault="00BD6CCF" w:rsidP="0013699E">
            <w:pPr>
              <w:jc w:val="right"/>
              <w:rPr>
                <w:color w:val="000000"/>
                <w:sz w:val="17"/>
                <w:szCs w:val="17"/>
              </w:rPr>
            </w:pPr>
            <w:r w:rsidRPr="008D7AB4">
              <w:rPr>
                <w:color w:val="000000"/>
                <w:sz w:val="17"/>
                <w:szCs w:val="17"/>
              </w:rPr>
              <w:t>133,207</w:t>
            </w:r>
          </w:p>
        </w:tc>
        <w:tc>
          <w:tcPr>
            <w:tcW w:w="320" w:type="pct"/>
            <w:tcBorders>
              <w:top w:val="nil"/>
              <w:left w:val="nil"/>
              <w:bottom w:val="single" w:sz="4" w:space="0" w:color="auto"/>
              <w:right w:val="single" w:sz="4" w:space="0" w:color="auto"/>
            </w:tcBorders>
            <w:tcMar>
              <w:left w:w="0" w:type="dxa"/>
              <w:right w:w="58" w:type="dxa"/>
            </w:tcMar>
            <w:hideMark/>
          </w:tcPr>
          <w:p w14:paraId="01BEB4D1" w14:textId="77777777" w:rsidR="00BD6CCF" w:rsidRPr="008D7AB4" w:rsidRDefault="00BD6CCF" w:rsidP="0013699E">
            <w:pPr>
              <w:jc w:val="right"/>
              <w:rPr>
                <w:color w:val="000000"/>
                <w:sz w:val="17"/>
                <w:szCs w:val="17"/>
              </w:rPr>
            </w:pPr>
            <w:r w:rsidRPr="008D7AB4">
              <w:rPr>
                <w:color w:val="000000"/>
                <w:sz w:val="17"/>
                <w:szCs w:val="17"/>
              </w:rPr>
              <w:t>0</w:t>
            </w:r>
          </w:p>
        </w:tc>
        <w:tc>
          <w:tcPr>
            <w:tcW w:w="320" w:type="pct"/>
            <w:tcBorders>
              <w:top w:val="nil"/>
              <w:left w:val="nil"/>
              <w:bottom w:val="single" w:sz="4" w:space="0" w:color="auto"/>
              <w:right w:val="single" w:sz="4" w:space="0" w:color="auto"/>
            </w:tcBorders>
            <w:tcMar>
              <w:left w:w="0" w:type="dxa"/>
              <w:right w:w="58" w:type="dxa"/>
            </w:tcMar>
            <w:vAlign w:val="center"/>
            <w:hideMark/>
          </w:tcPr>
          <w:p w14:paraId="0C2B61B0" w14:textId="77777777" w:rsidR="00BD6CCF" w:rsidRPr="008D7AB4" w:rsidRDefault="00BD6CCF" w:rsidP="0013699E">
            <w:pPr>
              <w:jc w:val="right"/>
              <w:rPr>
                <w:color w:val="000000"/>
                <w:sz w:val="17"/>
                <w:szCs w:val="17"/>
              </w:rPr>
            </w:pPr>
            <w:r w:rsidRPr="008D7AB4">
              <w:rPr>
                <w:color w:val="000000"/>
                <w:sz w:val="17"/>
                <w:szCs w:val="17"/>
              </w:rPr>
              <w:t>0</w:t>
            </w:r>
          </w:p>
        </w:tc>
        <w:tc>
          <w:tcPr>
            <w:tcW w:w="320" w:type="pct"/>
            <w:tcBorders>
              <w:top w:val="single" w:sz="4" w:space="0" w:color="auto"/>
              <w:left w:val="nil"/>
              <w:bottom w:val="single" w:sz="4" w:space="0" w:color="auto"/>
              <w:right w:val="single" w:sz="4" w:space="0" w:color="auto"/>
            </w:tcBorders>
            <w:tcMar>
              <w:left w:w="0" w:type="dxa"/>
              <w:right w:w="58" w:type="dxa"/>
            </w:tcMar>
            <w:vAlign w:val="center"/>
            <w:hideMark/>
          </w:tcPr>
          <w:p w14:paraId="774F5369" w14:textId="77777777" w:rsidR="00BD6CCF" w:rsidRPr="008D7AB4" w:rsidRDefault="00BD6CCF" w:rsidP="0013699E">
            <w:pPr>
              <w:jc w:val="right"/>
              <w:rPr>
                <w:bCs/>
                <w:color w:val="000000"/>
                <w:sz w:val="17"/>
                <w:szCs w:val="17"/>
              </w:rPr>
            </w:pPr>
            <w:r w:rsidRPr="008D7AB4">
              <w:rPr>
                <w:bCs/>
                <w:color w:val="000000"/>
                <w:sz w:val="17"/>
                <w:szCs w:val="17"/>
              </w:rPr>
              <w:t>8,120</w:t>
            </w:r>
          </w:p>
        </w:tc>
        <w:tc>
          <w:tcPr>
            <w:tcW w:w="320" w:type="pct"/>
            <w:tcBorders>
              <w:top w:val="single" w:sz="4" w:space="0" w:color="auto"/>
              <w:left w:val="single" w:sz="4" w:space="0" w:color="auto"/>
              <w:bottom w:val="single" w:sz="4" w:space="0" w:color="auto"/>
              <w:right w:val="single" w:sz="4" w:space="0" w:color="auto"/>
            </w:tcBorders>
            <w:tcMar>
              <w:left w:w="0" w:type="dxa"/>
              <w:right w:w="58" w:type="dxa"/>
            </w:tcMar>
            <w:vAlign w:val="center"/>
            <w:hideMark/>
          </w:tcPr>
          <w:p w14:paraId="393FD600" w14:textId="77777777" w:rsidR="00BD6CCF" w:rsidRPr="008D7AB4" w:rsidRDefault="00BD6CCF" w:rsidP="0013699E">
            <w:pPr>
              <w:jc w:val="right"/>
              <w:rPr>
                <w:color w:val="000000"/>
                <w:sz w:val="17"/>
                <w:szCs w:val="17"/>
              </w:rPr>
            </w:pPr>
            <w:r w:rsidRPr="008D7AB4">
              <w:rPr>
                <w:color w:val="000000"/>
                <w:sz w:val="17"/>
                <w:szCs w:val="17"/>
              </w:rPr>
              <w:t>0</w:t>
            </w:r>
          </w:p>
        </w:tc>
        <w:tc>
          <w:tcPr>
            <w:tcW w:w="321" w:type="pct"/>
            <w:tcBorders>
              <w:top w:val="single" w:sz="4" w:space="0" w:color="auto"/>
              <w:left w:val="single" w:sz="4" w:space="0" w:color="auto"/>
              <w:bottom w:val="single" w:sz="4" w:space="0" w:color="auto"/>
              <w:right w:val="single" w:sz="4" w:space="0" w:color="auto"/>
            </w:tcBorders>
            <w:vAlign w:val="center"/>
          </w:tcPr>
          <w:p w14:paraId="61019A16" w14:textId="77777777" w:rsidR="00BD6CCF" w:rsidRPr="008D7AB4" w:rsidRDefault="00BD6CCF" w:rsidP="0013699E">
            <w:pPr>
              <w:jc w:val="right"/>
              <w:rPr>
                <w:bCs/>
                <w:color w:val="000000"/>
                <w:sz w:val="17"/>
                <w:szCs w:val="17"/>
              </w:rPr>
            </w:pPr>
            <w:r w:rsidRPr="008D7AB4">
              <w:rPr>
                <w:bCs/>
                <w:color w:val="000000"/>
                <w:sz w:val="17"/>
                <w:szCs w:val="17"/>
              </w:rPr>
              <w:t>0</w:t>
            </w:r>
          </w:p>
        </w:tc>
        <w:tc>
          <w:tcPr>
            <w:tcW w:w="353" w:type="pct"/>
            <w:tcBorders>
              <w:top w:val="nil"/>
              <w:left w:val="single" w:sz="4" w:space="0" w:color="auto"/>
              <w:bottom w:val="single" w:sz="4" w:space="0" w:color="auto"/>
              <w:right w:val="single" w:sz="4" w:space="0" w:color="auto"/>
            </w:tcBorders>
            <w:noWrap/>
            <w:tcMar>
              <w:left w:w="0" w:type="dxa"/>
              <w:right w:w="58" w:type="dxa"/>
            </w:tcMar>
            <w:hideMark/>
          </w:tcPr>
          <w:p w14:paraId="158120E7" w14:textId="77777777" w:rsidR="00BD6CCF" w:rsidRPr="008D7AB4" w:rsidRDefault="00BD6CCF" w:rsidP="0013699E">
            <w:pPr>
              <w:jc w:val="right"/>
              <w:rPr>
                <w:color w:val="000000"/>
                <w:sz w:val="17"/>
                <w:szCs w:val="17"/>
              </w:rPr>
            </w:pPr>
            <w:r w:rsidRPr="008D7AB4">
              <w:rPr>
                <w:color w:val="000000"/>
                <w:sz w:val="17"/>
                <w:szCs w:val="17"/>
              </w:rPr>
              <w:t>0</w:t>
            </w:r>
          </w:p>
        </w:tc>
        <w:tc>
          <w:tcPr>
            <w:tcW w:w="361" w:type="pct"/>
            <w:tcBorders>
              <w:top w:val="nil"/>
              <w:left w:val="nil"/>
              <w:bottom w:val="single" w:sz="4" w:space="0" w:color="auto"/>
              <w:right w:val="single" w:sz="4" w:space="0" w:color="auto"/>
            </w:tcBorders>
            <w:hideMark/>
          </w:tcPr>
          <w:p w14:paraId="15D7E868" w14:textId="77777777" w:rsidR="00BD6CCF" w:rsidRPr="008D7AB4" w:rsidRDefault="00BD6CCF" w:rsidP="0013699E">
            <w:pPr>
              <w:jc w:val="right"/>
              <w:rPr>
                <w:b/>
                <w:bCs/>
                <w:color w:val="000000"/>
                <w:sz w:val="17"/>
                <w:szCs w:val="17"/>
              </w:rPr>
            </w:pPr>
            <w:r w:rsidRPr="008D7AB4">
              <w:rPr>
                <w:b/>
                <w:bCs/>
                <w:color w:val="000000"/>
                <w:sz w:val="17"/>
                <w:szCs w:val="17"/>
              </w:rPr>
              <w:t>263,699</w:t>
            </w:r>
          </w:p>
        </w:tc>
      </w:tr>
      <w:tr w:rsidR="00BD6CCF" w:rsidRPr="008D7AB4" w14:paraId="7F02738E" w14:textId="77777777" w:rsidTr="0013699E">
        <w:trPr>
          <w:trHeight w:val="57"/>
        </w:trPr>
        <w:tc>
          <w:tcPr>
            <w:tcW w:w="227" w:type="pct"/>
            <w:tcBorders>
              <w:top w:val="nil"/>
              <w:left w:val="single" w:sz="4" w:space="0" w:color="auto"/>
              <w:bottom w:val="single" w:sz="4" w:space="0" w:color="auto"/>
              <w:right w:val="single" w:sz="4" w:space="0" w:color="auto"/>
            </w:tcBorders>
            <w:hideMark/>
          </w:tcPr>
          <w:p w14:paraId="4BF2034B" w14:textId="77777777" w:rsidR="00BD6CCF" w:rsidRPr="008D7AB4" w:rsidRDefault="00BD6CCF" w:rsidP="0013699E">
            <w:pPr>
              <w:jc w:val="left"/>
              <w:rPr>
                <w:color w:val="000000"/>
                <w:sz w:val="17"/>
                <w:szCs w:val="17"/>
              </w:rPr>
            </w:pPr>
            <w:r w:rsidRPr="008D7AB4">
              <w:rPr>
                <w:color w:val="000000"/>
                <w:sz w:val="17"/>
                <w:szCs w:val="17"/>
              </w:rPr>
              <w:t>2.5</w:t>
            </w:r>
          </w:p>
        </w:tc>
        <w:tc>
          <w:tcPr>
            <w:tcW w:w="1179" w:type="pct"/>
            <w:tcBorders>
              <w:top w:val="nil"/>
              <w:left w:val="nil"/>
              <w:bottom w:val="single" w:sz="4" w:space="0" w:color="auto"/>
              <w:right w:val="single" w:sz="4" w:space="0" w:color="auto"/>
            </w:tcBorders>
            <w:hideMark/>
          </w:tcPr>
          <w:p w14:paraId="1E75423E" w14:textId="77777777" w:rsidR="00BD6CCF" w:rsidRPr="008D7AB4" w:rsidRDefault="00BD6CCF" w:rsidP="0013699E">
            <w:pPr>
              <w:jc w:val="left"/>
              <w:rPr>
                <w:color w:val="000000"/>
                <w:sz w:val="17"/>
                <w:szCs w:val="17"/>
              </w:rPr>
            </w:pPr>
            <w:r w:rsidRPr="008D7AB4">
              <w:rPr>
                <w:color w:val="000000"/>
                <w:sz w:val="17"/>
                <w:szCs w:val="17"/>
              </w:rPr>
              <w:t>Cooperating IA (Germany) agreed funding (US $)</w:t>
            </w:r>
          </w:p>
        </w:tc>
        <w:tc>
          <w:tcPr>
            <w:tcW w:w="319" w:type="pct"/>
            <w:tcBorders>
              <w:top w:val="nil"/>
              <w:left w:val="nil"/>
              <w:bottom w:val="single" w:sz="4" w:space="0" w:color="auto"/>
              <w:right w:val="single" w:sz="4" w:space="0" w:color="auto"/>
            </w:tcBorders>
            <w:tcMar>
              <w:left w:w="0" w:type="dxa"/>
              <w:right w:w="58" w:type="dxa"/>
            </w:tcMar>
            <w:hideMark/>
          </w:tcPr>
          <w:p w14:paraId="137B10E1" w14:textId="77777777" w:rsidR="00BD6CCF" w:rsidRPr="008D7AB4" w:rsidRDefault="00BD6CCF" w:rsidP="0013699E">
            <w:pPr>
              <w:jc w:val="right"/>
              <w:rPr>
                <w:color w:val="000000"/>
                <w:sz w:val="17"/>
                <w:szCs w:val="17"/>
              </w:rPr>
            </w:pPr>
            <w:r w:rsidRPr="008D7AB4">
              <w:rPr>
                <w:color w:val="000000"/>
                <w:sz w:val="17"/>
                <w:szCs w:val="17"/>
              </w:rPr>
              <w:t>1,299,386</w:t>
            </w:r>
          </w:p>
        </w:tc>
        <w:tc>
          <w:tcPr>
            <w:tcW w:w="320" w:type="pct"/>
            <w:tcBorders>
              <w:top w:val="nil"/>
              <w:left w:val="nil"/>
              <w:bottom w:val="single" w:sz="4" w:space="0" w:color="auto"/>
              <w:right w:val="single" w:sz="4" w:space="0" w:color="auto"/>
            </w:tcBorders>
            <w:tcMar>
              <w:left w:w="0" w:type="dxa"/>
              <w:right w:w="58" w:type="dxa"/>
            </w:tcMar>
            <w:hideMark/>
          </w:tcPr>
          <w:p w14:paraId="73433EBC" w14:textId="77777777" w:rsidR="00BD6CCF" w:rsidRPr="008D7AB4" w:rsidRDefault="00BD6CCF" w:rsidP="0013699E">
            <w:pPr>
              <w:jc w:val="right"/>
              <w:rPr>
                <w:color w:val="000000"/>
                <w:sz w:val="17"/>
                <w:szCs w:val="17"/>
              </w:rPr>
            </w:pPr>
            <w:r w:rsidRPr="008D7AB4">
              <w:rPr>
                <w:color w:val="000000"/>
                <w:sz w:val="17"/>
                <w:szCs w:val="17"/>
              </w:rPr>
              <w:t>0</w:t>
            </w:r>
          </w:p>
        </w:tc>
        <w:tc>
          <w:tcPr>
            <w:tcW w:w="320" w:type="pct"/>
            <w:tcBorders>
              <w:top w:val="nil"/>
              <w:left w:val="nil"/>
              <w:bottom w:val="single" w:sz="4" w:space="0" w:color="auto"/>
              <w:right w:val="single" w:sz="4" w:space="0" w:color="auto"/>
            </w:tcBorders>
            <w:tcMar>
              <w:left w:w="0" w:type="dxa"/>
              <w:right w:w="58" w:type="dxa"/>
            </w:tcMar>
            <w:hideMark/>
          </w:tcPr>
          <w:p w14:paraId="75CA9892" w14:textId="77777777" w:rsidR="00BD6CCF" w:rsidRPr="008D7AB4" w:rsidRDefault="00BD6CCF" w:rsidP="0013699E">
            <w:pPr>
              <w:jc w:val="right"/>
              <w:rPr>
                <w:color w:val="000000"/>
                <w:sz w:val="17"/>
                <w:szCs w:val="17"/>
              </w:rPr>
            </w:pPr>
            <w:r w:rsidRPr="008D7AB4">
              <w:rPr>
                <w:color w:val="000000"/>
                <w:sz w:val="17"/>
                <w:szCs w:val="17"/>
              </w:rPr>
              <w:t>686,978</w:t>
            </w:r>
          </w:p>
        </w:tc>
        <w:tc>
          <w:tcPr>
            <w:tcW w:w="320" w:type="pct"/>
            <w:tcBorders>
              <w:top w:val="nil"/>
              <w:left w:val="nil"/>
              <w:bottom w:val="single" w:sz="4" w:space="0" w:color="auto"/>
              <w:right w:val="single" w:sz="4" w:space="0" w:color="auto"/>
            </w:tcBorders>
            <w:tcMar>
              <w:left w:w="0" w:type="dxa"/>
              <w:right w:w="58" w:type="dxa"/>
            </w:tcMar>
            <w:vAlign w:val="center"/>
            <w:hideMark/>
          </w:tcPr>
          <w:p w14:paraId="784C16FE" w14:textId="77777777" w:rsidR="00BD6CCF" w:rsidRPr="008D7AB4" w:rsidRDefault="00BD6CCF" w:rsidP="0013699E">
            <w:pPr>
              <w:jc w:val="right"/>
              <w:rPr>
                <w:color w:val="000000"/>
                <w:sz w:val="17"/>
                <w:szCs w:val="17"/>
              </w:rPr>
            </w:pPr>
            <w:r w:rsidRPr="008D7AB4">
              <w:rPr>
                <w:color w:val="000000"/>
                <w:sz w:val="17"/>
                <w:szCs w:val="17"/>
              </w:rPr>
              <w:t>2,363,637</w:t>
            </w:r>
          </w:p>
        </w:tc>
        <w:tc>
          <w:tcPr>
            <w:tcW w:w="320" w:type="pct"/>
            <w:tcBorders>
              <w:top w:val="nil"/>
              <w:left w:val="nil"/>
              <w:bottom w:val="single" w:sz="4" w:space="0" w:color="auto"/>
              <w:right w:val="single" w:sz="4" w:space="0" w:color="auto"/>
            </w:tcBorders>
            <w:tcMar>
              <w:left w:w="0" w:type="dxa"/>
              <w:right w:w="58" w:type="dxa"/>
            </w:tcMar>
            <w:hideMark/>
          </w:tcPr>
          <w:p w14:paraId="1A1AF527" w14:textId="77777777" w:rsidR="00BD6CCF" w:rsidRPr="008D7AB4" w:rsidRDefault="00BD6CCF" w:rsidP="0013699E">
            <w:pPr>
              <w:jc w:val="right"/>
              <w:rPr>
                <w:color w:val="000000"/>
                <w:sz w:val="17"/>
                <w:szCs w:val="17"/>
              </w:rPr>
            </w:pPr>
            <w:r w:rsidRPr="008D7AB4">
              <w:rPr>
                <w:color w:val="000000"/>
                <w:sz w:val="17"/>
                <w:szCs w:val="17"/>
              </w:rPr>
              <w:t>0</w:t>
            </w:r>
          </w:p>
        </w:tc>
        <w:tc>
          <w:tcPr>
            <w:tcW w:w="320" w:type="pct"/>
            <w:tcBorders>
              <w:top w:val="nil"/>
              <w:left w:val="nil"/>
              <w:bottom w:val="single" w:sz="4" w:space="0" w:color="auto"/>
              <w:right w:val="single" w:sz="4" w:space="0" w:color="auto"/>
            </w:tcBorders>
            <w:tcMar>
              <w:left w:w="0" w:type="dxa"/>
              <w:right w:w="58" w:type="dxa"/>
            </w:tcMar>
            <w:vAlign w:val="center"/>
            <w:hideMark/>
          </w:tcPr>
          <w:p w14:paraId="173B9BC8" w14:textId="77777777" w:rsidR="00BD6CCF" w:rsidRPr="008D7AB4" w:rsidRDefault="00BD6CCF" w:rsidP="0013699E">
            <w:pPr>
              <w:jc w:val="right"/>
              <w:rPr>
                <w:color w:val="000000"/>
                <w:sz w:val="17"/>
                <w:szCs w:val="17"/>
              </w:rPr>
            </w:pPr>
            <w:r w:rsidRPr="008D7AB4">
              <w:rPr>
                <w:color w:val="000000"/>
                <w:sz w:val="17"/>
                <w:szCs w:val="17"/>
              </w:rPr>
              <w:t>1,004,545</w:t>
            </w:r>
          </w:p>
        </w:tc>
        <w:tc>
          <w:tcPr>
            <w:tcW w:w="320" w:type="pct"/>
            <w:tcBorders>
              <w:top w:val="single" w:sz="4" w:space="0" w:color="auto"/>
              <w:left w:val="nil"/>
              <w:bottom w:val="single" w:sz="4" w:space="0" w:color="auto"/>
              <w:right w:val="single" w:sz="4" w:space="0" w:color="auto"/>
            </w:tcBorders>
            <w:tcMar>
              <w:left w:w="0" w:type="dxa"/>
              <w:right w:w="58" w:type="dxa"/>
            </w:tcMar>
            <w:vAlign w:val="center"/>
            <w:hideMark/>
          </w:tcPr>
          <w:p w14:paraId="64D40D7D" w14:textId="77777777" w:rsidR="00BD6CCF" w:rsidRPr="008D7AB4" w:rsidRDefault="00BD6CCF" w:rsidP="0013699E">
            <w:pPr>
              <w:jc w:val="right"/>
              <w:rPr>
                <w:bCs/>
                <w:color w:val="000000"/>
                <w:sz w:val="17"/>
                <w:szCs w:val="17"/>
              </w:rPr>
            </w:pPr>
            <w:r w:rsidRPr="008D7AB4">
              <w:rPr>
                <w:bCs/>
                <w:color w:val="000000"/>
                <w:sz w:val="17"/>
                <w:szCs w:val="17"/>
              </w:rPr>
              <w:t>1,500,000</w:t>
            </w:r>
          </w:p>
        </w:tc>
        <w:tc>
          <w:tcPr>
            <w:tcW w:w="32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36165957" w14:textId="77777777" w:rsidR="00BD6CCF" w:rsidRPr="008D7AB4" w:rsidRDefault="00BD6CCF" w:rsidP="0013699E">
            <w:pPr>
              <w:jc w:val="right"/>
              <w:rPr>
                <w:color w:val="000000"/>
                <w:sz w:val="17"/>
                <w:szCs w:val="17"/>
              </w:rPr>
            </w:pPr>
            <w:r w:rsidRPr="008D7AB4">
              <w:rPr>
                <w:color w:val="000000"/>
                <w:sz w:val="17"/>
                <w:szCs w:val="17"/>
              </w:rPr>
              <w:t>0</w:t>
            </w:r>
          </w:p>
        </w:tc>
        <w:tc>
          <w:tcPr>
            <w:tcW w:w="321" w:type="pct"/>
            <w:tcBorders>
              <w:top w:val="single" w:sz="4" w:space="0" w:color="auto"/>
              <w:left w:val="single" w:sz="4" w:space="0" w:color="auto"/>
              <w:bottom w:val="single" w:sz="4" w:space="0" w:color="auto"/>
              <w:right w:val="single" w:sz="4" w:space="0" w:color="auto"/>
            </w:tcBorders>
          </w:tcPr>
          <w:p w14:paraId="126E2BC9" w14:textId="77777777" w:rsidR="00BD6CCF" w:rsidRPr="008D7AB4" w:rsidRDefault="00BD6CCF" w:rsidP="0013699E">
            <w:pPr>
              <w:jc w:val="right"/>
              <w:rPr>
                <w:b/>
                <w:color w:val="000000"/>
                <w:sz w:val="17"/>
                <w:szCs w:val="17"/>
              </w:rPr>
            </w:pPr>
            <w:r w:rsidRPr="008D7AB4">
              <w:rPr>
                <w:b/>
                <w:color w:val="000000"/>
                <w:sz w:val="17"/>
                <w:szCs w:val="17"/>
              </w:rPr>
              <w:t>0</w:t>
            </w:r>
          </w:p>
        </w:tc>
        <w:tc>
          <w:tcPr>
            <w:tcW w:w="353" w:type="pct"/>
            <w:tcBorders>
              <w:top w:val="nil"/>
              <w:left w:val="single" w:sz="4" w:space="0" w:color="auto"/>
              <w:bottom w:val="single" w:sz="4" w:space="0" w:color="auto"/>
              <w:right w:val="single" w:sz="4" w:space="0" w:color="auto"/>
            </w:tcBorders>
            <w:noWrap/>
            <w:tcMar>
              <w:left w:w="0" w:type="dxa"/>
              <w:right w:w="58" w:type="dxa"/>
            </w:tcMar>
            <w:hideMark/>
          </w:tcPr>
          <w:p w14:paraId="279274F2" w14:textId="77777777" w:rsidR="00BD6CCF" w:rsidRPr="008D7AB4" w:rsidRDefault="00BD6CCF" w:rsidP="0013699E">
            <w:pPr>
              <w:jc w:val="right"/>
              <w:rPr>
                <w:b/>
                <w:bCs/>
                <w:color w:val="000000"/>
                <w:sz w:val="17"/>
                <w:szCs w:val="17"/>
              </w:rPr>
            </w:pPr>
            <w:r w:rsidRPr="008D7AB4">
              <w:rPr>
                <w:b/>
                <w:bCs/>
                <w:color w:val="000000"/>
                <w:sz w:val="17"/>
                <w:szCs w:val="17"/>
              </w:rPr>
              <w:t>872,727</w:t>
            </w:r>
          </w:p>
        </w:tc>
        <w:tc>
          <w:tcPr>
            <w:tcW w:w="361" w:type="pct"/>
            <w:tcBorders>
              <w:top w:val="nil"/>
              <w:left w:val="nil"/>
              <w:bottom w:val="single" w:sz="4" w:space="0" w:color="auto"/>
              <w:right w:val="single" w:sz="4" w:space="0" w:color="auto"/>
            </w:tcBorders>
            <w:hideMark/>
          </w:tcPr>
          <w:p w14:paraId="389D20DC" w14:textId="77777777" w:rsidR="00BD6CCF" w:rsidRPr="008D7AB4" w:rsidRDefault="00BD6CCF" w:rsidP="0013699E">
            <w:pPr>
              <w:jc w:val="right"/>
              <w:rPr>
                <w:color w:val="000000"/>
                <w:sz w:val="17"/>
                <w:szCs w:val="17"/>
              </w:rPr>
            </w:pPr>
            <w:r w:rsidRPr="008D7AB4">
              <w:rPr>
                <w:color w:val="000000"/>
                <w:sz w:val="17"/>
                <w:szCs w:val="17"/>
              </w:rPr>
              <w:t>7,727,273</w:t>
            </w:r>
          </w:p>
        </w:tc>
      </w:tr>
      <w:tr w:rsidR="00BD6CCF" w:rsidRPr="008D7AB4" w14:paraId="6E4145BF" w14:textId="77777777" w:rsidTr="0013699E">
        <w:trPr>
          <w:trHeight w:val="57"/>
        </w:trPr>
        <w:tc>
          <w:tcPr>
            <w:tcW w:w="227" w:type="pct"/>
            <w:tcBorders>
              <w:top w:val="nil"/>
              <w:left w:val="single" w:sz="4" w:space="0" w:color="auto"/>
              <w:bottom w:val="single" w:sz="4" w:space="0" w:color="auto"/>
              <w:right w:val="single" w:sz="4" w:space="0" w:color="auto"/>
            </w:tcBorders>
            <w:hideMark/>
          </w:tcPr>
          <w:p w14:paraId="1C181469" w14:textId="77777777" w:rsidR="00BD6CCF" w:rsidRPr="008D7AB4" w:rsidRDefault="00BD6CCF" w:rsidP="0013699E">
            <w:pPr>
              <w:jc w:val="left"/>
              <w:rPr>
                <w:color w:val="000000"/>
                <w:sz w:val="17"/>
                <w:szCs w:val="17"/>
              </w:rPr>
            </w:pPr>
            <w:r w:rsidRPr="008D7AB4">
              <w:rPr>
                <w:color w:val="000000"/>
                <w:sz w:val="17"/>
                <w:szCs w:val="17"/>
              </w:rPr>
              <w:t>2.6</w:t>
            </w:r>
          </w:p>
        </w:tc>
        <w:tc>
          <w:tcPr>
            <w:tcW w:w="1179" w:type="pct"/>
            <w:tcBorders>
              <w:top w:val="nil"/>
              <w:left w:val="nil"/>
              <w:bottom w:val="single" w:sz="4" w:space="0" w:color="auto"/>
              <w:right w:val="single" w:sz="4" w:space="0" w:color="auto"/>
            </w:tcBorders>
            <w:hideMark/>
          </w:tcPr>
          <w:p w14:paraId="62D3C381" w14:textId="77777777" w:rsidR="00BD6CCF" w:rsidRPr="008D7AB4" w:rsidRDefault="00BD6CCF" w:rsidP="0013699E">
            <w:pPr>
              <w:jc w:val="left"/>
              <w:rPr>
                <w:color w:val="000000"/>
                <w:sz w:val="17"/>
                <w:szCs w:val="17"/>
              </w:rPr>
            </w:pPr>
            <w:r w:rsidRPr="008D7AB4">
              <w:rPr>
                <w:color w:val="000000"/>
                <w:sz w:val="17"/>
                <w:szCs w:val="17"/>
              </w:rPr>
              <w:t>Support costs for Cooperating IA (US $)</w:t>
            </w:r>
          </w:p>
        </w:tc>
        <w:tc>
          <w:tcPr>
            <w:tcW w:w="319" w:type="pct"/>
            <w:tcBorders>
              <w:top w:val="nil"/>
              <w:left w:val="nil"/>
              <w:bottom w:val="single" w:sz="4" w:space="0" w:color="auto"/>
              <w:right w:val="single" w:sz="4" w:space="0" w:color="auto"/>
            </w:tcBorders>
            <w:tcMar>
              <w:left w:w="0" w:type="dxa"/>
              <w:right w:w="58" w:type="dxa"/>
            </w:tcMar>
            <w:hideMark/>
          </w:tcPr>
          <w:p w14:paraId="71001104" w14:textId="77777777" w:rsidR="00BD6CCF" w:rsidRPr="008D7AB4" w:rsidRDefault="00BD6CCF" w:rsidP="0013699E">
            <w:pPr>
              <w:jc w:val="right"/>
              <w:rPr>
                <w:color w:val="000000"/>
                <w:sz w:val="17"/>
                <w:szCs w:val="17"/>
              </w:rPr>
            </w:pPr>
            <w:r w:rsidRPr="008D7AB4">
              <w:rPr>
                <w:color w:val="000000"/>
                <w:sz w:val="17"/>
                <w:szCs w:val="17"/>
              </w:rPr>
              <w:t>144,614</w:t>
            </w:r>
          </w:p>
        </w:tc>
        <w:tc>
          <w:tcPr>
            <w:tcW w:w="320" w:type="pct"/>
            <w:tcBorders>
              <w:top w:val="nil"/>
              <w:left w:val="nil"/>
              <w:bottom w:val="single" w:sz="4" w:space="0" w:color="auto"/>
              <w:right w:val="single" w:sz="4" w:space="0" w:color="auto"/>
            </w:tcBorders>
            <w:tcMar>
              <w:left w:w="0" w:type="dxa"/>
              <w:right w:w="58" w:type="dxa"/>
            </w:tcMar>
            <w:hideMark/>
          </w:tcPr>
          <w:p w14:paraId="2A99A889" w14:textId="77777777" w:rsidR="00BD6CCF" w:rsidRPr="008D7AB4" w:rsidRDefault="00BD6CCF" w:rsidP="0013699E">
            <w:pPr>
              <w:jc w:val="right"/>
              <w:rPr>
                <w:color w:val="000000"/>
                <w:sz w:val="17"/>
                <w:szCs w:val="17"/>
              </w:rPr>
            </w:pPr>
            <w:r w:rsidRPr="008D7AB4">
              <w:rPr>
                <w:color w:val="000000"/>
                <w:sz w:val="17"/>
                <w:szCs w:val="17"/>
              </w:rPr>
              <w:t>0</w:t>
            </w:r>
          </w:p>
        </w:tc>
        <w:tc>
          <w:tcPr>
            <w:tcW w:w="320" w:type="pct"/>
            <w:tcBorders>
              <w:top w:val="nil"/>
              <w:left w:val="nil"/>
              <w:bottom w:val="single" w:sz="4" w:space="0" w:color="auto"/>
              <w:right w:val="single" w:sz="4" w:space="0" w:color="auto"/>
            </w:tcBorders>
            <w:tcMar>
              <w:left w:w="0" w:type="dxa"/>
              <w:right w:w="58" w:type="dxa"/>
            </w:tcMar>
            <w:hideMark/>
          </w:tcPr>
          <w:p w14:paraId="63E360C4" w14:textId="77777777" w:rsidR="00BD6CCF" w:rsidRPr="008D7AB4" w:rsidRDefault="00BD6CCF" w:rsidP="0013699E">
            <w:pPr>
              <w:jc w:val="right"/>
              <w:rPr>
                <w:color w:val="000000"/>
                <w:sz w:val="17"/>
                <w:szCs w:val="17"/>
              </w:rPr>
            </w:pPr>
            <w:r w:rsidRPr="008D7AB4">
              <w:rPr>
                <w:color w:val="000000"/>
                <w:sz w:val="17"/>
                <w:szCs w:val="17"/>
              </w:rPr>
              <w:t>76,457</w:t>
            </w:r>
          </w:p>
        </w:tc>
        <w:tc>
          <w:tcPr>
            <w:tcW w:w="320" w:type="pct"/>
            <w:tcBorders>
              <w:top w:val="nil"/>
              <w:left w:val="nil"/>
              <w:bottom w:val="single" w:sz="4" w:space="0" w:color="auto"/>
              <w:right w:val="single" w:sz="4" w:space="0" w:color="auto"/>
            </w:tcBorders>
            <w:tcMar>
              <w:left w:w="0" w:type="dxa"/>
              <w:right w:w="58" w:type="dxa"/>
            </w:tcMar>
            <w:vAlign w:val="center"/>
            <w:hideMark/>
          </w:tcPr>
          <w:p w14:paraId="2504269B" w14:textId="77777777" w:rsidR="00BD6CCF" w:rsidRPr="008D7AB4" w:rsidRDefault="00BD6CCF" w:rsidP="0013699E">
            <w:pPr>
              <w:jc w:val="right"/>
              <w:rPr>
                <w:color w:val="000000"/>
                <w:sz w:val="17"/>
                <w:szCs w:val="17"/>
              </w:rPr>
            </w:pPr>
            <w:r w:rsidRPr="008D7AB4">
              <w:rPr>
                <w:color w:val="000000"/>
                <w:sz w:val="17"/>
                <w:szCs w:val="17"/>
              </w:rPr>
              <w:t>263,059</w:t>
            </w:r>
          </w:p>
        </w:tc>
        <w:tc>
          <w:tcPr>
            <w:tcW w:w="320" w:type="pct"/>
            <w:tcBorders>
              <w:top w:val="nil"/>
              <w:left w:val="nil"/>
              <w:bottom w:val="single" w:sz="4" w:space="0" w:color="auto"/>
              <w:right w:val="single" w:sz="4" w:space="0" w:color="auto"/>
            </w:tcBorders>
            <w:tcMar>
              <w:left w:w="0" w:type="dxa"/>
              <w:right w:w="58" w:type="dxa"/>
            </w:tcMar>
            <w:hideMark/>
          </w:tcPr>
          <w:p w14:paraId="2B49D543" w14:textId="77777777" w:rsidR="00BD6CCF" w:rsidRPr="008D7AB4" w:rsidRDefault="00BD6CCF" w:rsidP="0013699E">
            <w:pPr>
              <w:jc w:val="right"/>
              <w:rPr>
                <w:color w:val="000000"/>
                <w:sz w:val="17"/>
                <w:szCs w:val="17"/>
              </w:rPr>
            </w:pPr>
            <w:r w:rsidRPr="008D7AB4">
              <w:rPr>
                <w:color w:val="000000"/>
                <w:sz w:val="17"/>
                <w:szCs w:val="17"/>
              </w:rPr>
              <w:t>0</w:t>
            </w:r>
          </w:p>
        </w:tc>
        <w:tc>
          <w:tcPr>
            <w:tcW w:w="320" w:type="pct"/>
            <w:tcBorders>
              <w:top w:val="nil"/>
              <w:left w:val="nil"/>
              <w:bottom w:val="single" w:sz="4" w:space="0" w:color="auto"/>
              <w:right w:val="single" w:sz="4" w:space="0" w:color="auto"/>
            </w:tcBorders>
            <w:tcMar>
              <w:left w:w="0" w:type="dxa"/>
              <w:right w:w="58" w:type="dxa"/>
            </w:tcMar>
            <w:vAlign w:val="center"/>
            <w:hideMark/>
          </w:tcPr>
          <w:p w14:paraId="4A8733B8" w14:textId="77777777" w:rsidR="00BD6CCF" w:rsidRPr="008D7AB4" w:rsidRDefault="00BD6CCF" w:rsidP="0013699E">
            <w:pPr>
              <w:jc w:val="right"/>
              <w:rPr>
                <w:color w:val="000000"/>
                <w:sz w:val="17"/>
                <w:szCs w:val="17"/>
              </w:rPr>
            </w:pPr>
            <w:r w:rsidRPr="008D7AB4">
              <w:rPr>
                <w:color w:val="000000"/>
                <w:sz w:val="17"/>
                <w:szCs w:val="17"/>
              </w:rPr>
              <w:t>111,800</w:t>
            </w:r>
          </w:p>
        </w:tc>
        <w:tc>
          <w:tcPr>
            <w:tcW w:w="320" w:type="pct"/>
            <w:tcBorders>
              <w:top w:val="single" w:sz="4" w:space="0" w:color="auto"/>
              <w:left w:val="nil"/>
              <w:bottom w:val="single" w:sz="4" w:space="0" w:color="auto"/>
              <w:right w:val="single" w:sz="4" w:space="0" w:color="auto"/>
            </w:tcBorders>
            <w:tcMar>
              <w:left w:w="0" w:type="dxa"/>
              <w:right w:w="58" w:type="dxa"/>
            </w:tcMar>
            <w:vAlign w:val="center"/>
            <w:hideMark/>
          </w:tcPr>
          <w:p w14:paraId="3FD80584" w14:textId="77777777" w:rsidR="00BD6CCF" w:rsidRPr="008D7AB4" w:rsidRDefault="00BD6CCF" w:rsidP="0013699E">
            <w:pPr>
              <w:jc w:val="right"/>
              <w:rPr>
                <w:bCs/>
                <w:color w:val="000000"/>
                <w:sz w:val="17"/>
                <w:szCs w:val="17"/>
              </w:rPr>
            </w:pPr>
            <w:r w:rsidRPr="008D7AB4">
              <w:rPr>
                <w:bCs/>
                <w:color w:val="000000"/>
                <w:sz w:val="17"/>
                <w:szCs w:val="17"/>
              </w:rPr>
              <w:t>166,941</w:t>
            </w:r>
          </w:p>
        </w:tc>
        <w:tc>
          <w:tcPr>
            <w:tcW w:w="32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5D587377" w14:textId="77777777" w:rsidR="00BD6CCF" w:rsidRPr="008D7AB4" w:rsidRDefault="00BD6CCF" w:rsidP="0013699E">
            <w:pPr>
              <w:jc w:val="right"/>
              <w:rPr>
                <w:color w:val="000000"/>
                <w:sz w:val="17"/>
                <w:szCs w:val="17"/>
              </w:rPr>
            </w:pPr>
            <w:r w:rsidRPr="008D7AB4">
              <w:rPr>
                <w:color w:val="000000"/>
                <w:sz w:val="17"/>
                <w:szCs w:val="17"/>
              </w:rPr>
              <w:t>0</w:t>
            </w:r>
          </w:p>
        </w:tc>
        <w:tc>
          <w:tcPr>
            <w:tcW w:w="321" w:type="pct"/>
            <w:tcBorders>
              <w:top w:val="single" w:sz="4" w:space="0" w:color="auto"/>
              <w:left w:val="single" w:sz="4" w:space="0" w:color="auto"/>
              <w:bottom w:val="single" w:sz="4" w:space="0" w:color="auto"/>
              <w:right w:val="single" w:sz="4" w:space="0" w:color="auto"/>
            </w:tcBorders>
          </w:tcPr>
          <w:p w14:paraId="25528642" w14:textId="77777777" w:rsidR="00BD6CCF" w:rsidRPr="008D7AB4" w:rsidRDefault="00BD6CCF" w:rsidP="0013699E">
            <w:pPr>
              <w:jc w:val="right"/>
              <w:rPr>
                <w:b/>
                <w:color w:val="000000"/>
                <w:sz w:val="17"/>
                <w:szCs w:val="17"/>
              </w:rPr>
            </w:pPr>
            <w:r w:rsidRPr="008D7AB4">
              <w:rPr>
                <w:b/>
                <w:color w:val="000000"/>
                <w:sz w:val="17"/>
                <w:szCs w:val="17"/>
              </w:rPr>
              <w:t>0</w:t>
            </w:r>
          </w:p>
        </w:tc>
        <w:tc>
          <w:tcPr>
            <w:tcW w:w="353" w:type="pct"/>
            <w:tcBorders>
              <w:top w:val="nil"/>
              <w:left w:val="single" w:sz="4" w:space="0" w:color="auto"/>
              <w:bottom w:val="single" w:sz="4" w:space="0" w:color="auto"/>
              <w:right w:val="single" w:sz="4" w:space="0" w:color="auto"/>
            </w:tcBorders>
            <w:tcMar>
              <w:left w:w="0" w:type="dxa"/>
              <w:right w:w="58" w:type="dxa"/>
            </w:tcMar>
            <w:hideMark/>
          </w:tcPr>
          <w:p w14:paraId="69F54646" w14:textId="77777777" w:rsidR="00BD6CCF" w:rsidRPr="008D7AB4" w:rsidRDefault="00BD6CCF" w:rsidP="0013699E">
            <w:pPr>
              <w:jc w:val="right"/>
              <w:rPr>
                <w:b/>
                <w:bCs/>
                <w:color w:val="000000"/>
                <w:sz w:val="17"/>
                <w:szCs w:val="17"/>
              </w:rPr>
            </w:pPr>
            <w:r w:rsidRPr="008D7AB4">
              <w:rPr>
                <w:b/>
                <w:bCs/>
                <w:color w:val="000000"/>
                <w:sz w:val="17"/>
                <w:szCs w:val="17"/>
              </w:rPr>
              <w:t>97,129</w:t>
            </w:r>
          </w:p>
        </w:tc>
        <w:tc>
          <w:tcPr>
            <w:tcW w:w="361" w:type="pct"/>
            <w:tcBorders>
              <w:top w:val="nil"/>
              <w:left w:val="nil"/>
              <w:bottom w:val="single" w:sz="4" w:space="0" w:color="auto"/>
              <w:right w:val="single" w:sz="4" w:space="0" w:color="auto"/>
            </w:tcBorders>
            <w:hideMark/>
          </w:tcPr>
          <w:p w14:paraId="0195E365" w14:textId="77777777" w:rsidR="00BD6CCF" w:rsidRPr="008D7AB4" w:rsidRDefault="00BD6CCF" w:rsidP="0013699E">
            <w:pPr>
              <w:jc w:val="right"/>
              <w:rPr>
                <w:color w:val="000000"/>
                <w:sz w:val="17"/>
                <w:szCs w:val="17"/>
              </w:rPr>
            </w:pPr>
            <w:r w:rsidRPr="008D7AB4">
              <w:rPr>
                <w:color w:val="000000"/>
                <w:sz w:val="17"/>
                <w:szCs w:val="17"/>
              </w:rPr>
              <w:t>860,000</w:t>
            </w:r>
          </w:p>
        </w:tc>
      </w:tr>
      <w:tr w:rsidR="00BD6CCF" w:rsidRPr="008D7AB4" w14:paraId="36731246" w14:textId="77777777" w:rsidTr="0013699E">
        <w:trPr>
          <w:trHeight w:val="57"/>
        </w:trPr>
        <w:tc>
          <w:tcPr>
            <w:tcW w:w="227" w:type="pct"/>
            <w:tcBorders>
              <w:top w:val="nil"/>
              <w:left w:val="single" w:sz="4" w:space="0" w:color="auto"/>
              <w:bottom w:val="single" w:sz="4" w:space="0" w:color="auto"/>
              <w:right w:val="single" w:sz="4" w:space="0" w:color="auto"/>
            </w:tcBorders>
            <w:hideMark/>
          </w:tcPr>
          <w:p w14:paraId="591DA919" w14:textId="77777777" w:rsidR="00BD6CCF" w:rsidRPr="008D7AB4" w:rsidRDefault="00BD6CCF" w:rsidP="0013699E">
            <w:pPr>
              <w:jc w:val="left"/>
              <w:rPr>
                <w:color w:val="000000"/>
                <w:sz w:val="17"/>
                <w:szCs w:val="17"/>
              </w:rPr>
            </w:pPr>
            <w:r w:rsidRPr="008D7AB4">
              <w:rPr>
                <w:color w:val="000000"/>
                <w:sz w:val="17"/>
                <w:szCs w:val="17"/>
              </w:rPr>
              <w:t>2.7</w:t>
            </w:r>
          </w:p>
        </w:tc>
        <w:tc>
          <w:tcPr>
            <w:tcW w:w="1179" w:type="pct"/>
            <w:tcBorders>
              <w:top w:val="nil"/>
              <w:left w:val="nil"/>
              <w:bottom w:val="single" w:sz="4" w:space="0" w:color="auto"/>
              <w:right w:val="single" w:sz="4" w:space="0" w:color="auto"/>
            </w:tcBorders>
            <w:hideMark/>
          </w:tcPr>
          <w:p w14:paraId="61ECFB12" w14:textId="77777777" w:rsidR="00BD6CCF" w:rsidRPr="008D7AB4" w:rsidRDefault="00BD6CCF" w:rsidP="0013699E">
            <w:pPr>
              <w:jc w:val="left"/>
              <w:rPr>
                <w:color w:val="000000"/>
                <w:sz w:val="17"/>
                <w:szCs w:val="17"/>
              </w:rPr>
            </w:pPr>
            <w:r w:rsidRPr="008D7AB4">
              <w:rPr>
                <w:color w:val="000000"/>
                <w:sz w:val="17"/>
                <w:szCs w:val="17"/>
              </w:rPr>
              <w:t>Cooperating IA (Italy) agreed funding (US $)</w:t>
            </w:r>
          </w:p>
        </w:tc>
        <w:tc>
          <w:tcPr>
            <w:tcW w:w="319" w:type="pct"/>
            <w:tcBorders>
              <w:top w:val="nil"/>
              <w:left w:val="nil"/>
              <w:bottom w:val="single" w:sz="4" w:space="0" w:color="auto"/>
              <w:right w:val="single" w:sz="4" w:space="0" w:color="auto"/>
            </w:tcBorders>
            <w:tcMar>
              <w:left w:w="0" w:type="dxa"/>
              <w:right w:w="58" w:type="dxa"/>
            </w:tcMar>
            <w:hideMark/>
          </w:tcPr>
          <w:p w14:paraId="5B68DD52" w14:textId="77777777" w:rsidR="00BD6CCF" w:rsidRPr="008D7AB4" w:rsidRDefault="00BD6CCF" w:rsidP="0013699E">
            <w:pPr>
              <w:jc w:val="right"/>
              <w:rPr>
                <w:color w:val="000000"/>
                <w:sz w:val="17"/>
                <w:szCs w:val="17"/>
              </w:rPr>
            </w:pPr>
            <w:r w:rsidRPr="008D7AB4">
              <w:rPr>
                <w:color w:val="000000"/>
                <w:sz w:val="17"/>
                <w:szCs w:val="17"/>
              </w:rPr>
              <w:t>250,000</w:t>
            </w:r>
          </w:p>
        </w:tc>
        <w:tc>
          <w:tcPr>
            <w:tcW w:w="320" w:type="pct"/>
            <w:tcBorders>
              <w:top w:val="nil"/>
              <w:left w:val="nil"/>
              <w:bottom w:val="single" w:sz="4" w:space="0" w:color="auto"/>
              <w:right w:val="single" w:sz="4" w:space="0" w:color="auto"/>
            </w:tcBorders>
            <w:tcMar>
              <w:left w:w="0" w:type="dxa"/>
              <w:right w:w="58" w:type="dxa"/>
            </w:tcMar>
            <w:hideMark/>
          </w:tcPr>
          <w:p w14:paraId="60FF6F53" w14:textId="77777777" w:rsidR="00BD6CCF" w:rsidRPr="008D7AB4" w:rsidRDefault="00BD6CCF" w:rsidP="0013699E">
            <w:pPr>
              <w:jc w:val="right"/>
              <w:rPr>
                <w:color w:val="000000"/>
                <w:sz w:val="17"/>
                <w:szCs w:val="17"/>
              </w:rPr>
            </w:pPr>
            <w:r w:rsidRPr="008D7AB4">
              <w:rPr>
                <w:color w:val="000000"/>
                <w:sz w:val="17"/>
                <w:szCs w:val="17"/>
              </w:rPr>
              <w:t>0</w:t>
            </w:r>
          </w:p>
        </w:tc>
        <w:tc>
          <w:tcPr>
            <w:tcW w:w="320" w:type="pct"/>
            <w:tcBorders>
              <w:top w:val="nil"/>
              <w:left w:val="nil"/>
              <w:bottom w:val="single" w:sz="4" w:space="0" w:color="auto"/>
              <w:right w:val="single" w:sz="4" w:space="0" w:color="auto"/>
            </w:tcBorders>
            <w:tcMar>
              <w:left w:w="0" w:type="dxa"/>
              <w:right w:w="58" w:type="dxa"/>
            </w:tcMar>
            <w:hideMark/>
          </w:tcPr>
          <w:p w14:paraId="425EA981" w14:textId="77777777" w:rsidR="00BD6CCF" w:rsidRPr="008D7AB4" w:rsidRDefault="00BD6CCF" w:rsidP="0013699E">
            <w:pPr>
              <w:jc w:val="right"/>
              <w:rPr>
                <w:color w:val="000000"/>
                <w:sz w:val="17"/>
                <w:szCs w:val="17"/>
              </w:rPr>
            </w:pPr>
            <w:r w:rsidRPr="008D7AB4">
              <w:rPr>
                <w:color w:val="000000"/>
                <w:sz w:val="17"/>
                <w:szCs w:val="17"/>
              </w:rPr>
              <w:t>0</w:t>
            </w:r>
          </w:p>
        </w:tc>
        <w:tc>
          <w:tcPr>
            <w:tcW w:w="320" w:type="pct"/>
            <w:tcBorders>
              <w:top w:val="nil"/>
              <w:left w:val="nil"/>
              <w:bottom w:val="single" w:sz="4" w:space="0" w:color="auto"/>
              <w:right w:val="single" w:sz="4" w:space="0" w:color="auto"/>
            </w:tcBorders>
            <w:tcMar>
              <w:left w:w="0" w:type="dxa"/>
              <w:right w:w="58" w:type="dxa"/>
            </w:tcMar>
            <w:hideMark/>
          </w:tcPr>
          <w:p w14:paraId="44999859" w14:textId="77777777" w:rsidR="00BD6CCF" w:rsidRPr="008D7AB4" w:rsidRDefault="00BD6CCF" w:rsidP="0013699E">
            <w:pPr>
              <w:jc w:val="right"/>
              <w:rPr>
                <w:color w:val="000000"/>
                <w:sz w:val="17"/>
                <w:szCs w:val="17"/>
              </w:rPr>
            </w:pPr>
            <w:r w:rsidRPr="008D7AB4">
              <w:rPr>
                <w:color w:val="000000"/>
                <w:sz w:val="17"/>
                <w:szCs w:val="17"/>
              </w:rPr>
              <w:t>0</w:t>
            </w:r>
          </w:p>
        </w:tc>
        <w:tc>
          <w:tcPr>
            <w:tcW w:w="320" w:type="pct"/>
            <w:tcBorders>
              <w:top w:val="nil"/>
              <w:left w:val="nil"/>
              <w:bottom w:val="single" w:sz="4" w:space="0" w:color="auto"/>
              <w:right w:val="single" w:sz="4" w:space="0" w:color="auto"/>
            </w:tcBorders>
            <w:tcMar>
              <w:left w:w="0" w:type="dxa"/>
              <w:right w:w="58" w:type="dxa"/>
            </w:tcMar>
            <w:hideMark/>
          </w:tcPr>
          <w:p w14:paraId="53766A0B" w14:textId="77777777" w:rsidR="00BD6CCF" w:rsidRPr="008D7AB4" w:rsidRDefault="00BD6CCF" w:rsidP="0013699E">
            <w:pPr>
              <w:jc w:val="right"/>
              <w:rPr>
                <w:color w:val="000000"/>
                <w:sz w:val="17"/>
                <w:szCs w:val="17"/>
              </w:rPr>
            </w:pPr>
            <w:r w:rsidRPr="008D7AB4">
              <w:rPr>
                <w:color w:val="000000"/>
                <w:sz w:val="17"/>
                <w:szCs w:val="17"/>
              </w:rPr>
              <w:t>0</w:t>
            </w:r>
          </w:p>
        </w:tc>
        <w:tc>
          <w:tcPr>
            <w:tcW w:w="320" w:type="pct"/>
            <w:tcBorders>
              <w:top w:val="nil"/>
              <w:left w:val="nil"/>
              <w:bottom w:val="single" w:sz="4" w:space="0" w:color="auto"/>
              <w:right w:val="single" w:sz="4" w:space="0" w:color="auto"/>
            </w:tcBorders>
            <w:tcMar>
              <w:left w:w="0" w:type="dxa"/>
              <w:right w:w="58" w:type="dxa"/>
            </w:tcMar>
            <w:hideMark/>
          </w:tcPr>
          <w:p w14:paraId="00CF0E6D" w14:textId="77777777" w:rsidR="00BD6CCF" w:rsidRPr="008D7AB4" w:rsidRDefault="00BD6CCF" w:rsidP="0013699E">
            <w:pPr>
              <w:jc w:val="right"/>
              <w:rPr>
                <w:color w:val="000000"/>
                <w:sz w:val="17"/>
                <w:szCs w:val="17"/>
              </w:rPr>
            </w:pPr>
            <w:r w:rsidRPr="008D7AB4">
              <w:rPr>
                <w:color w:val="000000"/>
                <w:sz w:val="17"/>
                <w:szCs w:val="17"/>
              </w:rPr>
              <w:t>0</w:t>
            </w:r>
          </w:p>
        </w:tc>
        <w:tc>
          <w:tcPr>
            <w:tcW w:w="320" w:type="pct"/>
            <w:tcBorders>
              <w:top w:val="single" w:sz="4" w:space="0" w:color="auto"/>
              <w:left w:val="nil"/>
              <w:bottom w:val="single" w:sz="4" w:space="0" w:color="auto"/>
              <w:right w:val="single" w:sz="4" w:space="0" w:color="auto"/>
            </w:tcBorders>
            <w:tcMar>
              <w:left w:w="0" w:type="dxa"/>
              <w:right w:w="58" w:type="dxa"/>
            </w:tcMar>
            <w:hideMark/>
          </w:tcPr>
          <w:p w14:paraId="22692AB0" w14:textId="77777777" w:rsidR="00BD6CCF" w:rsidRPr="008D7AB4" w:rsidRDefault="00BD6CCF" w:rsidP="0013699E">
            <w:pPr>
              <w:jc w:val="right"/>
              <w:rPr>
                <w:bCs/>
                <w:color w:val="000000"/>
                <w:sz w:val="17"/>
                <w:szCs w:val="17"/>
              </w:rPr>
            </w:pPr>
            <w:r w:rsidRPr="008D7AB4">
              <w:rPr>
                <w:bCs/>
                <w:color w:val="000000"/>
                <w:sz w:val="17"/>
                <w:szCs w:val="17"/>
              </w:rPr>
              <w:t>0</w:t>
            </w:r>
          </w:p>
        </w:tc>
        <w:tc>
          <w:tcPr>
            <w:tcW w:w="32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37977988" w14:textId="77777777" w:rsidR="00BD6CCF" w:rsidRPr="008D7AB4" w:rsidRDefault="00BD6CCF" w:rsidP="0013699E">
            <w:pPr>
              <w:jc w:val="right"/>
              <w:rPr>
                <w:color w:val="000000"/>
                <w:sz w:val="17"/>
                <w:szCs w:val="17"/>
              </w:rPr>
            </w:pPr>
            <w:r w:rsidRPr="008D7AB4">
              <w:rPr>
                <w:color w:val="000000"/>
                <w:sz w:val="17"/>
                <w:szCs w:val="17"/>
              </w:rPr>
              <w:t>0</w:t>
            </w:r>
          </w:p>
        </w:tc>
        <w:tc>
          <w:tcPr>
            <w:tcW w:w="321" w:type="pct"/>
            <w:tcBorders>
              <w:top w:val="single" w:sz="4" w:space="0" w:color="auto"/>
              <w:left w:val="single" w:sz="4" w:space="0" w:color="auto"/>
              <w:bottom w:val="single" w:sz="4" w:space="0" w:color="auto"/>
              <w:right w:val="single" w:sz="4" w:space="0" w:color="auto"/>
            </w:tcBorders>
          </w:tcPr>
          <w:p w14:paraId="491E2259" w14:textId="77777777" w:rsidR="00BD6CCF" w:rsidRPr="008D7AB4" w:rsidRDefault="00BD6CCF" w:rsidP="0013699E">
            <w:pPr>
              <w:jc w:val="right"/>
              <w:rPr>
                <w:bCs/>
                <w:color w:val="000000"/>
                <w:sz w:val="17"/>
                <w:szCs w:val="17"/>
              </w:rPr>
            </w:pPr>
            <w:r w:rsidRPr="008D7AB4">
              <w:rPr>
                <w:bCs/>
                <w:color w:val="000000"/>
                <w:sz w:val="17"/>
                <w:szCs w:val="17"/>
              </w:rPr>
              <w:t>0</w:t>
            </w:r>
          </w:p>
        </w:tc>
        <w:tc>
          <w:tcPr>
            <w:tcW w:w="353" w:type="pct"/>
            <w:tcBorders>
              <w:top w:val="nil"/>
              <w:left w:val="single" w:sz="4" w:space="0" w:color="auto"/>
              <w:bottom w:val="single" w:sz="4" w:space="0" w:color="auto"/>
              <w:right w:val="single" w:sz="4" w:space="0" w:color="auto"/>
            </w:tcBorders>
            <w:noWrap/>
            <w:tcMar>
              <w:left w:w="0" w:type="dxa"/>
              <w:right w:w="58" w:type="dxa"/>
            </w:tcMar>
            <w:hideMark/>
          </w:tcPr>
          <w:p w14:paraId="24187A83" w14:textId="77777777" w:rsidR="00BD6CCF" w:rsidRPr="008D7AB4" w:rsidRDefault="00BD6CCF" w:rsidP="0013699E">
            <w:pPr>
              <w:jc w:val="right"/>
              <w:rPr>
                <w:color w:val="000000"/>
                <w:sz w:val="17"/>
                <w:szCs w:val="17"/>
              </w:rPr>
            </w:pPr>
            <w:r w:rsidRPr="008D7AB4">
              <w:rPr>
                <w:color w:val="000000"/>
                <w:sz w:val="17"/>
                <w:szCs w:val="17"/>
              </w:rPr>
              <w:t>0</w:t>
            </w:r>
          </w:p>
        </w:tc>
        <w:tc>
          <w:tcPr>
            <w:tcW w:w="361" w:type="pct"/>
            <w:tcBorders>
              <w:top w:val="nil"/>
              <w:left w:val="nil"/>
              <w:bottom w:val="single" w:sz="4" w:space="0" w:color="auto"/>
              <w:right w:val="single" w:sz="4" w:space="0" w:color="auto"/>
            </w:tcBorders>
            <w:hideMark/>
          </w:tcPr>
          <w:p w14:paraId="5A20C6AF" w14:textId="77777777" w:rsidR="00BD6CCF" w:rsidRPr="008D7AB4" w:rsidRDefault="00BD6CCF" w:rsidP="0013699E">
            <w:pPr>
              <w:jc w:val="right"/>
              <w:rPr>
                <w:color w:val="000000"/>
                <w:sz w:val="17"/>
                <w:szCs w:val="17"/>
              </w:rPr>
            </w:pPr>
            <w:r w:rsidRPr="008D7AB4">
              <w:rPr>
                <w:color w:val="000000"/>
                <w:sz w:val="17"/>
                <w:szCs w:val="17"/>
              </w:rPr>
              <w:t>250,000</w:t>
            </w:r>
          </w:p>
        </w:tc>
      </w:tr>
      <w:tr w:rsidR="00BD6CCF" w:rsidRPr="008D7AB4" w14:paraId="641B58F6" w14:textId="77777777" w:rsidTr="0013699E">
        <w:trPr>
          <w:trHeight w:val="89"/>
        </w:trPr>
        <w:tc>
          <w:tcPr>
            <w:tcW w:w="227" w:type="pct"/>
            <w:tcBorders>
              <w:top w:val="nil"/>
              <w:left w:val="single" w:sz="4" w:space="0" w:color="auto"/>
              <w:bottom w:val="single" w:sz="4" w:space="0" w:color="auto"/>
              <w:right w:val="single" w:sz="4" w:space="0" w:color="auto"/>
            </w:tcBorders>
            <w:hideMark/>
          </w:tcPr>
          <w:p w14:paraId="7790D414" w14:textId="77777777" w:rsidR="00BD6CCF" w:rsidRPr="008D7AB4" w:rsidRDefault="00BD6CCF" w:rsidP="0013699E">
            <w:pPr>
              <w:jc w:val="left"/>
              <w:rPr>
                <w:color w:val="000000"/>
                <w:sz w:val="17"/>
                <w:szCs w:val="17"/>
              </w:rPr>
            </w:pPr>
            <w:r w:rsidRPr="008D7AB4">
              <w:rPr>
                <w:color w:val="000000"/>
                <w:sz w:val="17"/>
                <w:szCs w:val="17"/>
              </w:rPr>
              <w:t>2.8</w:t>
            </w:r>
          </w:p>
        </w:tc>
        <w:tc>
          <w:tcPr>
            <w:tcW w:w="1179" w:type="pct"/>
            <w:tcBorders>
              <w:top w:val="nil"/>
              <w:left w:val="nil"/>
              <w:bottom w:val="single" w:sz="4" w:space="0" w:color="auto"/>
              <w:right w:val="single" w:sz="4" w:space="0" w:color="auto"/>
            </w:tcBorders>
            <w:hideMark/>
          </w:tcPr>
          <w:p w14:paraId="0A24FC81" w14:textId="77777777" w:rsidR="00BD6CCF" w:rsidRPr="008D7AB4" w:rsidRDefault="00BD6CCF" w:rsidP="0013699E">
            <w:pPr>
              <w:jc w:val="left"/>
              <w:rPr>
                <w:color w:val="000000"/>
                <w:sz w:val="17"/>
                <w:szCs w:val="17"/>
              </w:rPr>
            </w:pPr>
            <w:r w:rsidRPr="008D7AB4">
              <w:rPr>
                <w:color w:val="000000"/>
                <w:sz w:val="17"/>
                <w:szCs w:val="17"/>
              </w:rPr>
              <w:t>Support costs for Cooperating IA (US $)</w:t>
            </w:r>
          </w:p>
        </w:tc>
        <w:tc>
          <w:tcPr>
            <w:tcW w:w="319" w:type="pct"/>
            <w:tcBorders>
              <w:top w:val="nil"/>
              <w:left w:val="nil"/>
              <w:bottom w:val="single" w:sz="4" w:space="0" w:color="auto"/>
              <w:right w:val="single" w:sz="4" w:space="0" w:color="auto"/>
            </w:tcBorders>
            <w:tcMar>
              <w:left w:w="0" w:type="dxa"/>
              <w:right w:w="58" w:type="dxa"/>
            </w:tcMar>
            <w:hideMark/>
          </w:tcPr>
          <w:p w14:paraId="47F79071" w14:textId="77777777" w:rsidR="00BD6CCF" w:rsidRPr="008D7AB4" w:rsidRDefault="00BD6CCF" w:rsidP="0013699E">
            <w:pPr>
              <w:jc w:val="right"/>
              <w:rPr>
                <w:color w:val="000000"/>
                <w:sz w:val="17"/>
                <w:szCs w:val="17"/>
              </w:rPr>
            </w:pPr>
            <w:r w:rsidRPr="008D7AB4">
              <w:rPr>
                <w:color w:val="000000"/>
                <w:sz w:val="17"/>
                <w:szCs w:val="17"/>
              </w:rPr>
              <w:t>32,500</w:t>
            </w:r>
          </w:p>
        </w:tc>
        <w:tc>
          <w:tcPr>
            <w:tcW w:w="320" w:type="pct"/>
            <w:tcBorders>
              <w:top w:val="nil"/>
              <w:left w:val="nil"/>
              <w:bottom w:val="single" w:sz="4" w:space="0" w:color="auto"/>
              <w:right w:val="single" w:sz="4" w:space="0" w:color="auto"/>
            </w:tcBorders>
            <w:tcMar>
              <w:left w:w="0" w:type="dxa"/>
              <w:right w:w="58" w:type="dxa"/>
            </w:tcMar>
            <w:hideMark/>
          </w:tcPr>
          <w:p w14:paraId="7F6D2600" w14:textId="77777777" w:rsidR="00BD6CCF" w:rsidRPr="008D7AB4" w:rsidRDefault="00BD6CCF" w:rsidP="0013699E">
            <w:pPr>
              <w:jc w:val="right"/>
              <w:rPr>
                <w:color w:val="000000"/>
                <w:sz w:val="17"/>
                <w:szCs w:val="17"/>
              </w:rPr>
            </w:pPr>
            <w:r w:rsidRPr="008D7AB4">
              <w:rPr>
                <w:color w:val="000000"/>
                <w:sz w:val="17"/>
                <w:szCs w:val="17"/>
              </w:rPr>
              <w:t>0</w:t>
            </w:r>
          </w:p>
        </w:tc>
        <w:tc>
          <w:tcPr>
            <w:tcW w:w="320" w:type="pct"/>
            <w:tcBorders>
              <w:top w:val="nil"/>
              <w:left w:val="nil"/>
              <w:bottom w:val="single" w:sz="4" w:space="0" w:color="auto"/>
              <w:right w:val="single" w:sz="4" w:space="0" w:color="auto"/>
            </w:tcBorders>
            <w:tcMar>
              <w:left w:w="0" w:type="dxa"/>
              <w:right w:w="58" w:type="dxa"/>
            </w:tcMar>
            <w:hideMark/>
          </w:tcPr>
          <w:p w14:paraId="1957BDDF" w14:textId="77777777" w:rsidR="00BD6CCF" w:rsidRPr="008D7AB4" w:rsidRDefault="00BD6CCF" w:rsidP="0013699E">
            <w:pPr>
              <w:jc w:val="right"/>
              <w:rPr>
                <w:color w:val="000000"/>
                <w:sz w:val="17"/>
                <w:szCs w:val="17"/>
              </w:rPr>
            </w:pPr>
            <w:r w:rsidRPr="008D7AB4">
              <w:rPr>
                <w:color w:val="000000"/>
                <w:sz w:val="17"/>
                <w:szCs w:val="17"/>
              </w:rPr>
              <w:t>0</w:t>
            </w:r>
          </w:p>
        </w:tc>
        <w:tc>
          <w:tcPr>
            <w:tcW w:w="320" w:type="pct"/>
            <w:tcBorders>
              <w:top w:val="nil"/>
              <w:left w:val="nil"/>
              <w:bottom w:val="single" w:sz="4" w:space="0" w:color="auto"/>
              <w:right w:val="single" w:sz="4" w:space="0" w:color="auto"/>
            </w:tcBorders>
            <w:tcMar>
              <w:left w:w="0" w:type="dxa"/>
              <w:right w:w="58" w:type="dxa"/>
            </w:tcMar>
            <w:hideMark/>
          </w:tcPr>
          <w:p w14:paraId="561BCED4" w14:textId="77777777" w:rsidR="00BD6CCF" w:rsidRPr="008D7AB4" w:rsidRDefault="00BD6CCF" w:rsidP="0013699E">
            <w:pPr>
              <w:jc w:val="right"/>
              <w:rPr>
                <w:color w:val="000000"/>
                <w:sz w:val="17"/>
                <w:szCs w:val="17"/>
              </w:rPr>
            </w:pPr>
            <w:r w:rsidRPr="008D7AB4">
              <w:rPr>
                <w:color w:val="000000"/>
                <w:sz w:val="17"/>
                <w:szCs w:val="17"/>
              </w:rPr>
              <w:t>0</w:t>
            </w:r>
          </w:p>
        </w:tc>
        <w:tc>
          <w:tcPr>
            <w:tcW w:w="320" w:type="pct"/>
            <w:tcBorders>
              <w:top w:val="nil"/>
              <w:left w:val="nil"/>
              <w:bottom w:val="single" w:sz="4" w:space="0" w:color="auto"/>
              <w:right w:val="single" w:sz="4" w:space="0" w:color="auto"/>
            </w:tcBorders>
            <w:tcMar>
              <w:left w:w="0" w:type="dxa"/>
              <w:right w:w="58" w:type="dxa"/>
            </w:tcMar>
            <w:hideMark/>
          </w:tcPr>
          <w:p w14:paraId="03DA8B69" w14:textId="77777777" w:rsidR="00BD6CCF" w:rsidRPr="008D7AB4" w:rsidRDefault="00BD6CCF" w:rsidP="0013699E">
            <w:pPr>
              <w:jc w:val="right"/>
              <w:rPr>
                <w:color w:val="000000"/>
                <w:sz w:val="17"/>
                <w:szCs w:val="17"/>
              </w:rPr>
            </w:pPr>
            <w:r w:rsidRPr="008D7AB4">
              <w:rPr>
                <w:color w:val="000000"/>
                <w:sz w:val="17"/>
                <w:szCs w:val="17"/>
              </w:rPr>
              <w:t>0</w:t>
            </w:r>
          </w:p>
        </w:tc>
        <w:tc>
          <w:tcPr>
            <w:tcW w:w="320" w:type="pct"/>
            <w:tcBorders>
              <w:top w:val="nil"/>
              <w:left w:val="nil"/>
              <w:bottom w:val="single" w:sz="4" w:space="0" w:color="auto"/>
              <w:right w:val="single" w:sz="4" w:space="0" w:color="auto"/>
            </w:tcBorders>
            <w:tcMar>
              <w:left w:w="0" w:type="dxa"/>
              <w:right w:w="58" w:type="dxa"/>
            </w:tcMar>
            <w:hideMark/>
          </w:tcPr>
          <w:p w14:paraId="7223004D" w14:textId="77777777" w:rsidR="00BD6CCF" w:rsidRPr="008D7AB4" w:rsidRDefault="00BD6CCF" w:rsidP="0013699E">
            <w:pPr>
              <w:jc w:val="right"/>
              <w:rPr>
                <w:color w:val="000000"/>
                <w:sz w:val="17"/>
                <w:szCs w:val="17"/>
              </w:rPr>
            </w:pPr>
            <w:r w:rsidRPr="008D7AB4">
              <w:rPr>
                <w:color w:val="000000"/>
                <w:sz w:val="17"/>
                <w:szCs w:val="17"/>
              </w:rPr>
              <w:t>0</w:t>
            </w:r>
          </w:p>
        </w:tc>
        <w:tc>
          <w:tcPr>
            <w:tcW w:w="320" w:type="pct"/>
            <w:tcBorders>
              <w:top w:val="single" w:sz="4" w:space="0" w:color="auto"/>
              <w:left w:val="nil"/>
              <w:bottom w:val="single" w:sz="4" w:space="0" w:color="auto"/>
              <w:right w:val="single" w:sz="4" w:space="0" w:color="auto"/>
            </w:tcBorders>
            <w:tcMar>
              <w:left w:w="0" w:type="dxa"/>
              <w:right w:w="58" w:type="dxa"/>
            </w:tcMar>
            <w:hideMark/>
          </w:tcPr>
          <w:p w14:paraId="43CF7CEA" w14:textId="77777777" w:rsidR="00BD6CCF" w:rsidRPr="008D7AB4" w:rsidRDefault="00BD6CCF" w:rsidP="0013699E">
            <w:pPr>
              <w:jc w:val="right"/>
              <w:rPr>
                <w:bCs/>
                <w:color w:val="000000"/>
                <w:sz w:val="17"/>
                <w:szCs w:val="17"/>
              </w:rPr>
            </w:pPr>
            <w:r w:rsidRPr="008D7AB4">
              <w:rPr>
                <w:bCs/>
                <w:color w:val="000000"/>
                <w:sz w:val="17"/>
                <w:szCs w:val="17"/>
              </w:rPr>
              <w:t>0</w:t>
            </w:r>
          </w:p>
        </w:tc>
        <w:tc>
          <w:tcPr>
            <w:tcW w:w="32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09F7E910" w14:textId="77777777" w:rsidR="00BD6CCF" w:rsidRPr="008D7AB4" w:rsidRDefault="00BD6CCF" w:rsidP="0013699E">
            <w:pPr>
              <w:jc w:val="right"/>
              <w:rPr>
                <w:color w:val="000000"/>
                <w:sz w:val="17"/>
                <w:szCs w:val="17"/>
              </w:rPr>
            </w:pPr>
            <w:r w:rsidRPr="008D7AB4">
              <w:rPr>
                <w:color w:val="000000"/>
                <w:sz w:val="17"/>
                <w:szCs w:val="17"/>
              </w:rPr>
              <w:t>0</w:t>
            </w:r>
          </w:p>
        </w:tc>
        <w:tc>
          <w:tcPr>
            <w:tcW w:w="321" w:type="pct"/>
            <w:tcBorders>
              <w:top w:val="single" w:sz="4" w:space="0" w:color="auto"/>
              <w:left w:val="single" w:sz="4" w:space="0" w:color="auto"/>
              <w:bottom w:val="single" w:sz="4" w:space="0" w:color="auto"/>
              <w:right w:val="single" w:sz="4" w:space="0" w:color="auto"/>
            </w:tcBorders>
          </w:tcPr>
          <w:p w14:paraId="06B4CC4E" w14:textId="77777777" w:rsidR="00BD6CCF" w:rsidRPr="008D7AB4" w:rsidRDefault="00BD6CCF" w:rsidP="0013699E">
            <w:pPr>
              <w:jc w:val="right"/>
              <w:rPr>
                <w:bCs/>
                <w:color w:val="000000"/>
                <w:sz w:val="17"/>
                <w:szCs w:val="17"/>
              </w:rPr>
            </w:pPr>
            <w:r w:rsidRPr="008D7AB4">
              <w:rPr>
                <w:bCs/>
                <w:color w:val="000000"/>
                <w:sz w:val="17"/>
                <w:szCs w:val="17"/>
              </w:rPr>
              <w:t>0</w:t>
            </w:r>
          </w:p>
        </w:tc>
        <w:tc>
          <w:tcPr>
            <w:tcW w:w="353" w:type="pct"/>
            <w:tcBorders>
              <w:top w:val="nil"/>
              <w:left w:val="single" w:sz="4" w:space="0" w:color="auto"/>
              <w:bottom w:val="single" w:sz="4" w:space="0" w:color="auto"/>
              <w:right w:val="single" w:sz="4" w:space="0" w:color="auto"/>
            </w:tcBorders>
            <w:noWrap/>
            <w:tcMar>
              <w:left w:w="0" w:type="dxa"/>
              <w:right w:w="58" w:type="dxa"/>
            </w:tcMar>
            <w:hideMark/>
          </w:tcPr>
          <w:p w14:paraId="610E765E" w14:textId="77777777" w:rsidR="00BD6CCF" w:rsidRPr="008D7AB4" w:rsidRDefault="00BD6CCF" w:rsidP="0013699E">
            <w:pPr>
              <w:jc w:val="right"/>
              <w:rPr>
                <w:color w:val="000000"/>
                <w:sz w:val="17"/>
                <w:szCs w:val="17"/>
              </w:rPr>
            </w:pPr>
            <w:r w:rsidRPr="008D7AB4">
              <w:rPr>
                <w:color w:val="000000"/>
                <w:sz w:val="17"/>
                <w:szCs w:val="17"/>
              </w:rPr>
              <w:t>0</w:t>
            </w:r>
          </w:p>
        </w:tc>
        <w:tc>
          <w:tcPr>
            <w:tcW w:w="361" w:type="pct"/>
            <w:tcBorders>
              <w:top w:val="nil"/>
              <w:left w:val="nil"/>
              <w:bottom w:val="single" w:sz="4" w:space="0" w:color="auto"/>
              <w:right w:val="single" w:sz="4" w:space="0" w:color="auto"/>
            </w:tcBorders>
            <w:hideMark/>
          </w:tcPr>
          <w:p w14:paraId="02DFF089" w14:textId="77777777" w:rsidR="00BD6CCF" w:rsidRPr="008D7AB4" w:rsidRDefault="00BD6CCF" w:rsidP="0013699E">
            <w:pPr>
              <w:jc w:val="right"/>
              <w:rPr>
                <w:color w:val="000000"/>
                <w:sz w:val="17"/>
                <w:szCs w:val="17"/>
              </w:rPr>
            </w:pPr>
            <w:r w:rsidRPr="008D7AB4">
              <w:rPr>
                <w:color w:val="000000"/>
                <w:sz w:val="17"/>
                <w:szCs w:val="17"/>
              </w:rPr>
              <w:t>32,500</w:t>
            </w:r>
          </w:p>
        </w:tc>
      </w:tr>
      <w:tr w:rsidR="00BD6CCF" w:rsidRPr="008D7AB4" w14:paraId="6F4EDC59" w14:textId="77777777" w:rsidTr="0013699E">
        <w:trPr>
          <w:trHeight w:val="57"/>
        </w:trPr>
        <w:tc>
          <w:tcPr>
            <w:tcW w:w="227" w:type="pct"/>
            <w:tcBorders>
              <w:top w:val="nil"/>
              <w:left w:val="single" w:sz="4" w:space="0" w:color="auto"/>
              <w:bottom w:val="single" w:sz="4" w:space="0" w:color="auto"/>
              <w:right w:val="single" w:sz="4" w:space="0" w:color="auto"/>
            </w:tcBorders>
            <w:hideMark/>
          </w:tcPr>
          <w:p w14:paraId="0830C11F" w14:textId="77777777" w:rsidR="00BD6CCF" w:rsidRPr="008D7AB4" w:rsidRDefault="00BD6CCF" w:rsidP="0013699E">
            <w:pPr>
              <w:jc w:val="left"/>
              <w:rPr>
                <w:color w:val="000000"/>
                <w:sz w:val="17"/>
                <w:szCs w:val="17"/>
              </w:rPr>
            </w:pPr>
            <w:r w:rsidRPr="008D7AB4">
              <w:rPr>
                <w:color w:val="000000"/>
                <w:sz w:val="17"/>
                <w:szCs w:val="17"/>
              </w:rPr>
              <w:t>3.1</w:t>
            </w:r>
          </w:p>
        </w:tc>
        <w:tc>
          <w:tcPr>
            <w:tcW w:w="1179" w:type="pct"/>
            <w:tcBorders>
              <w:top w:val="nil"/>
              <w:left w:val="nil"/>
              <w:bottom w:val="single" w:sz="4" w:space="0" w:color="auto"/>
              <w:right w:val="single" w:sz="4" w:space="0" w:color="auto"/>
            </w:tcBorders>
            <w:hideMark/>
          </w:tcPr>
          <w:p w14:paraId="516D6E05" w14:textId="77777777" w:rsidR="00BD6CCF" w:rsidRPr="008D7AB4" w:rsidRDefault="00BD6CCF" w:rsidP="0013699E">
            <w:pPr>
              <w:jc w:val="left"/>
              <w:rPr>
                <w:color w:val="000000"/>
                <w:sz w:val="17"/>
                <w:szCs w:val="17"/>
              </w:rPr>
            </w:pPr>
            <w:r w:rsidRPr="008D7AB4">
              <w:rPr>
                <w:color w:val="000000"/>
                <w:sz w:val="17"/>
                <w:szCs w:val="17"/>
              </w:rPr>
              <w:t>Total agreed funding (US $)</w:t>
            </w:r>
          </w:p>
        </w:tc>
        <w:tc>
          <w:tcPr>
            <w:tcW w:w="319" w:type="pct"/>
            <w:tcBorders>
              <w:top w:val="nil"/>
              <w:left w:val="nil"/>
              <w:bottom w:val="single" w:sz="4" w:space="0" w:color="auto"/>
              <w:right w:val="single" w:sz="4" w:space="0" w:color="auto"/>
            </w:tcBorders>
            <w:tcMar>
              <w:left w:w="0" w:type="dxa"/>
              <w:right w:w="58" w:type="dxa"/>
            </w:tcMar>
            <w:hideMark/>
          </w:tcPr>
          <w:p w14:paraId="6E2292A6" w14:textId="77777777" w:rsidR="00BD6CCF" w:rsidRPr="008D7AB4" w:rsidRDefault="00BD6CCF" w:rsidP="0013699E">
            <w:pPr>
              <w:jc w:val="right"/>
              <w:rPr>
                <w:b/>
                <w:bCs/>
                <w:color w:val="000000"/>
                <w:sz w:val="17"/>
                <w:szCs w:val="17"/>
              </w:rPr>
            </w:pPr>
            <w:r w:rsidRPr="008D7AB4">
              <w:rPr>
                <w:b/>
                <w:bCs/>
                <w:color w:val="000000"/>
                <w:sz w:val="17"/>
                <w:szCs w:val="17"/>
              </w:rPr>
              <w:t>6,376,461</w:t>
            </w:r>
          </w:p>
        </w:tc>
        <w:tc>
          <w:tcPr>
            <w:tcW w:w="320" w:type="pct"/>
            <w:tcBorders>
              <w:top w:val="nil"/>
              <w:left w:val="nil"/>
              <w:bottom w:val="single" w:sz="4" w:space="0" w:color="auto"/>
              <w:right w:val="single" w:sz="4" w:space="0" w:color="auto"/>
            </w:tcBorders>
            <w:tcMar>
              <w:left w:w="0" w:type="dxa"/>
              <w:right w:w="58" w:type="dxa"/>
            </w:tcMar>
            <w:hideMark/>
          </w:tcPr>
          <w:p w14:paraId="3F60EC88" w14:textId="77777777" w:rsidR="00BD6CCF" w:rsidRPr="008D7AB4" w:rsidRDefault="00BD6CCF" w:rsidP="0013699E">
            <w:pPr>
              <w:jc w:val="right"/>
              <w:rPr>
                <w:color w:val="000000"/>
                <w:sz w:val="17"/>
                <w:szCs w:val="17"/>
              </w:rPr>
            </w:pPr>
            <w:r w:rsidRPr="008D7AB4">
              <w:rPr>
                <w:color w:val="000000"/>
                <w:sz w:val="17"/>
                <w:szCs w:val="17"/>
              </w:rPr>
              <w:t>0</w:t>
            </w:r>
          </w:p>
        </w:tc>
        <w:tc>
          <w:tcPr>
            <w:tcW w:w="320" w:type="pct"/>
            <w:tcBorders>
              <w:top w:val="nil"/>
              <w:left w:val="nil"/>
              <w:bottom w:val="single" w:sz="4" w:space="0" w:color="auto"/>
              <w:right w:val="single" w:sz="4" w:space="0" w:color="auto"/>
            </w:tcBorders>
            <w:tcMar>
              <w:left w:w="0" w:type="dxa"/>
              <w:right w:w="58" w:type="dxa"/>
            </w:tcMar>
            <w:vAlign w:val="center"/>
            <w:hideMark/>
          </w:tcPr>
          <w:p w14:paraId="045EEB8F" w14:textId="77777777" w:rsidR="00BD6CCF" w:rsidRPr="008D7AB4" w:rsidRDefault="00BD6CCF" w:rsidP="0013699E">
            <w:pPr>
              <w:jc w:val="right"/>
              <w:rPr>
                <w:color w:val="000000"/>
                <w:sz w:val="17"/>
                <w:szCs w:val="17"/>
              </w:rPr>
            </w:pPr>
            <w:r w:rsidRPr="008D7AB4">
              <w:rPr>
                <w:color w:val="000000"/>
                <w:sz w:val="17"/>
                <w:szCs w:val="17"/>
              </w:rPr>
              <w:t>3,314,682</w:t>
            </w:r>
          </w:p>
        </w:tc>
        <w:tc>
          <w:tcPr>
            <w:tcW w:w="320" w:type="pct"/>
            <w:tcBorders>
              <w:top w:val="nil"/>
              <w:left w:val="nil"/>
              <w:bottom w:val="single" w:sz="4" w:space="0" w:color="auto"/>
              <w:right w:val="single" w:sz="4" w:space="0" w:color="auto"/>
            </w:tcBorders>
            <w:tcMar>
              <w:left w:w="0" w:type="dxa"/>
              <w:right w:w="58" w:type="dxa"/>
            </w:tcMar>
            <w:vAlign w:val="center"/>
            <w:hideMark/>
          </w:tcPr>
          <w:p w14:paraId="487F91BC" w14:textId="77777777" w:rsidR="00BD6CCF" w:rsidRPr="008D7AB4" w:rsidRDefault="00BD6CCF" w:rsidP="0013699E">
            <w:pPr>
              <w:jc w:val="right"/>
              <w:rPr>
                <w:color w:val="000000"/>
                <w:sz w:val="17"/>
                <w:szCs w:val="17"/>
              </w:rPr>
            </w:pPr>
            <w:r w:rsidRPr="008D7AB4">
              <w:rPr>
                <w:color w:val="000000"/>
                <w:sz w:val="17"/>
                <w:szCs w:val="17"/>
              </w:rPr>
              <w:t>11,434,986</w:t>
            </w:r>
          </w:p>
        </w:tc>
        <w:tc>
          <w:tcPr>
            <w:tcW w:w="320" w:type="pct"/>
            <w:tcBorders>
              <w:top w:val="nil"/>
              <w:left w:val="nil"/>
              <w:bottom w:val="single" w:sz="4" w:space="0" w:color="auto"/>
              <w:right w:val="single" w:sz="4" w:space="0" w:color="auto"/>
            </w:tcBorders>
            <w:tcMar>
              <w:left w:w="0" w:type="dxa"/>
              <w:right w:w="58" w:type="dxa"/>
            </w:tcMar>
            <w:vAlign w:val="center"/>
          </w:tcPr>
          <w:p w14:paraId="6106A965" w14:textId="77777777" w:rsidR="00BD6CCF" w:rsidRPr="008D7AB4" w:rsidRDefault="00BD6CCF" w:rsidP="0013699E">
            <w:pPr>
              <w:jc w:val="right"/>
              <w:rPr>
                <w:color w:val="000000"/>
                <w:sz w:val="17"/>
                <w:szCs w:val="17"/>
              </w:rPr>
            </w:pPr>
          </w:p>
        </w:tc>
        <w:tc>
          <w:tcPr>
            <w:tcW w:w="320" w:type="pct"/>
            <w:tcBorders>
              <w:top w:val="nil"/>
              <w:left w:val="nil"/>
              <w:bottom w:val="single" w:sz="4" w:space="0" w:color="auto"/>
              <w:right w:val="single" w:sz="4" w:space="0" w:color="auto"/>
            </w:tcBorders>
            <w:tcMar>
              <w:left w:w="0" w:type="dxa"/>
              <w:right w:w="58" w:type="dxa"/>
            </w:tcMar>
            <w:vAlign w:val="center"/>
            <w:hideMark/>
          </w:tcPr>
          <w:p w14:paraId="579D6833" w14:textId="77777777" w:rsidR="00BD6CCF" w:rsidRPr="008D7AB4" w:rsidRDefault="00BD6CCF" w:rsidP="0013699E">
            <w:pPr>
              <w:jc w:val="right"/>
              <w:rPr>
                <w:color w:val="000000"/>
                <w:sz w:val="17"/>
                <w:szCs w:val="17"/>
              </w:rPr>
            </w:pPr>
            <w:r w:rsidRPr="008D7AB4">
              <w:rPr>
                <w:color w:val="000000"/>
                <w:sz w:val="17"/>
                <w:szCs w:val="17"/>
              </w:rPr>
              <w:t>1,004,545</w:t>
            </w:r>
          </w:p>
        </w:tc>
        <w:tc>
          <w:tcPr>
            <w:tcW w:w="320" w:type="pct"/>
            <w:tcBorders>
              <w:top w:val="single" w:sz="4" w:space="0" w:color="auto"/>
              <w:left w:val="nil"/>
              <w:bottom w:val="single" w:sz="4" w:space="0" w:color="auto"/>
              <w:right w:val="single" w:sz="4" w:space="0" w:color="auto"/>
            </w:tcBorders>
            <w:tcMar>
              <w:left w:w="0" w:type="dxa"/>
              <w:right w:w="58" w:type="dxa"/>
            </w:tcMar>
            <w:vAlign w:val="center"/>
            <w:hideMark/>
          </w:tcPr>
          <w:p w14:paraId="4CB34491" w14:textId="77777777" w:rsidR="00BD6CCF" w:rsidRPr="008D7AB4" w:rsidRDefault="00BD6CCF" w:rsidP="0013699E">
            <w:pPr>
              <w:jc w:val="right"/>
              <w:rPr>
                <w:bCs/>
                <w:color w:val="000000"/>
                <w:sz w:val="17"/>
                <w:szCs w:val="17"/>
              </w:rPr>
            </w:pPr>
            <w:r w:rsidRPr="008D7AB4">
              <w:rPr>
                <w:bCs/>
                <w:color w:val="000000"/>
                <w:sz w:val="17"/>
                <w:szCs w:val="17"/>
              </w:rPr>
              <w:t>3,016,000</w:t>
            </w:r>
          </w:p>
        </w:tc>
        <w:tc>
          <w:tcPr>
            <w:tcW w:w="32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145A58ED" w14:textId="77777777" w:rsidR="00BD6CCF" w:rsidRPr="008D7AB4" w:rsidRDefault="00BD6CCF" w:rsidP="0013699E">
            <w:pPr>
              <w:jc w:val="right"/>
              <w:rPr>
                <w:color w:val="000000"/>
                <w:sz w:val="17"/>
                <w:szCs w:val="17"/>
              </w:rPr>
            </w:pPr>
            <w:r w:rsidRPr="008D7AB4">
              <w:rPr>
                <w:b/>
                <w:color w:val="000000"/>
                <w:sz w:val="17"/>
                <w:szCs w:val="17"/>
              </w:rPr>
              <w:t>0</w:t>
            </w:r>
          </w:p>
        </w:tc>
        <w:tc>
          <w:tcPr>
            <w:tcW w:w="321" w:type="pct"/>
            <w:tcBorders>
              <w:top w:val="single" w:sz="4" w:space="0" w:color="auto"/>
              <w:left w:val="single" w:sz="4" w:space="0" w:color="auto"/>
              <w:bottom w:val="single" w:sz="4" w:space="0" w:color="auto"/>
              <w:right w:val="single" w:sz="4" w:space="0" w:color="auto"/>
            </w:tcBorders>
          </w:tcPr>
          <w:p w14:paraId="6912454D" w14:textId="77777777" w:rsidR="00BD6CCF" w:rsidRPr="008D7AB4" w:rsidRDefault="00BD6CCF" w:rsidP="0013699E">
            <w:pPr>
              <w:jc w:val="right"/>
              <w:rPr>
                <w:b/>
                <w:color w:val="000000"/>
                <w:sz w:val="17"/>
                <w:szCs w:val="17"/>
              </w:rPr>
            </w:pPr>
            <w:r w:rsidRPr="008D7AB4">
              <w:rPr>
                <w:b/>
                <w:color w:val="000000"/>
                <w:sz w:val="17"/>
                <w:szCs w:val="17"/>
              </w:rPr>
              <w:t>0</w:t>
            </w:r>
          </w:p>
        </w:tc>
        <w:tc>
          <w:tcPr>
            <w:tcW w:w="353" w:type="pct"/>
            <w:tcBorders>
              <w:top w:val="nil"/>
              <w:left w:val="single" w:sz="4" w:space="0" w:color="auto"/>
              <w:bottom w:val="single" w:sz="4" w:space="0" w:color="auto"/>
              <w:right w:val="single" w:sz="4" w:space="0" w:color="auto"/>
            </w:tcBorders>
            <w:tcMar>
              <w:left w:w="0" w:type="dxa"/>
              <w:right w:w="58" w:type="dxa"/>
            </w:tcMar>
            <w:vAlign w:val="center"/>
            <w:hideMark/>
          </w:tcPr>
          <w:p w14:paraId="7CF98691" w14:textId="77777777" w:rsidR="00BD6CCF" w:rsidRPr="008D7AB4" w:rsidRDefault="00BD6CCF" w:rsidP="0013699E">
            <w:pPr>
              <w:jc w:val="right"/>
              <w:rPr>
                <w:b/>
                <w:bCs/>
                <w:color w:val="000000"/>
                <w:sz w:val="17"/>
                <w:szCs w:val="17"/>
              </w:rPr>
            </w:pPr>
            <w:r w:rsidRPr="008D7AB4">
              <w:rPr>
                <w:b/>
                <w:bCs/>
                <w:color w:val="000000"/>
                <w:sz w:val="17"/>
                <w:szCs w:val="17"/>
              </w:rPr>
              <w:t>872,727</w:t>
            </w:r>
          </w:p>
        </w:tc>
        <w:tc>
          <w:tcPr>
            <w:tcW w:w="361" w:type="pct"/>
            <w:tcBorders>
              <w:top w:val="nil"/>
              <w:left w:val="nil"/>
              <w:bottom w:val="single" w:sz="4" w:space="0" w:color="auto"/>
              <w:right w:val="single" w:sz="4" w:space="0" w:color="auto"/>
            </w:tcBorders>
            <w:hideMark/>
          </w:tcPr>
          <w:p w14:paraId="0BAC6296" w14:textId="77777777" w:rsidR="00BD6CCF" w:rsidRPr="008D7AB4" w:rsidRDefault="00BD6CCF" w:rsidP="0013699E">
            <w:pPr>
              <w:jc w:val="right"/>
              <w:rPr>
                <w:b/>
                <w:bCs/>
                <w:color w:val="000000"/>
                <w:sz w:val="17"/>
                <w:szCs w:val="17"/>
              </w:rPr>
            </w:pPr>
            <w:r w:rsidRPr="008D7AB4">
              <w:rPr>
                <w:b/>
                <w:bCs/>
                <w:color w:val="000000"/>
                <w:sz w:val="17"/>
                <w:szCs w:val="17"/>
              </w:rPr>
              <w:t>26,019,401</w:t>
            </w:r>
          </w:p>
        </w:tc>
      </w:tr>
      <w:tr w:rsidR="00BD6CCF" w:rsidRPr="008D7AB4" w14:paraId="1D1897EF" w14:textId="77777777" w:rsidTr="0013699E">
        <w:trPr>
          <w:trHeight w:val="57"/>
        </w:trPr>
        <w:tc>
          <w:tcPr>
            <w:tcW w:w="227" w:type="pct"/>
            <w:tcBorders>
              <w:top w:val="nil"/>
              <w:left w:val="single" w:sz="4" w:space="0" w:color="auto"/>
              <w:bottom w:val="single" w:sz="4" w:space="0" w:color="auto"/>
              <w:right w:val="single" w:sz="4" w:space="0" w:color="auto"/>
            </w:tcBorders>
            <w:hideMark/>
          </w:tcPr>
          <w:p w14:paraId="3F682397" w14:textId="77777777" w:rsidR="00BD6CCF" w:rsidRPr="008D7AB4" w:rsidRDefault="00BD6CCF" w:rsidP="0013699E">
            <w:pPr>
              <w:jc w:val="left"/>
              <w:rPr>
                <w:color w:val="000000"/>
                <w:sz w:val="17"/>
                <w:szCs w:val="17"/>
              </w:rPr>
            </w:pPr>
            <w:r w:rsidRPr="008D7AB4">
              <w:rPr>
                <w:color w:val="000000"/>
                <w:sz w:val="17"/>
                <w:szCs w:val="17"/>
              </w:rPr>
              <w:t>3.2</w:t>
            </w:r>
          </w:p>
        </w:tc>
        <w:tc>
          <w:tcPr>
            <w:tcW w:w="1179" w:type="pct"/>
            <w:tcBorders>
              <w:top w:val="nil"/>
              <w:left w:val="nil"/>
              <w:bottom w:val="single" w:sz="4" w:space="0" w:color="auto"/>
              <w:right w:val="single" w:sz="4" w:space="0" w:color="auto"/>
            </w:tcBorders>
            <w:hideMark/>
          </w:tcPr>
          <w:p w14:paraId="192A2901" w14:textId="77777777" w:rsidR="00BD6CCF" w:rsidRPr="008D7AB4" w:rsidRDefault="00BD6CCF" w:rsidP="0013699E">
            <w:pPr>
              <w:jc w:val="left"/>
              <w:rPr>
                <w:color w:val="000000"/>
                <w:sz w:val="17"/>
                <w:szCs w:val="17"/>
              </w:rPr>
            </w:pPr>
            <w:r w:rsidRPr="008D7AB4">
              <w:rPr>
                <w:color w:val="000000"/>
                <w:sz w:val="17"/>
                <w:szCs w:val="17"/>
              </w:rPr>
              <w:t>Total support costs (US $)</w:t>
            </w:r>
          </w:p>
        </w:tc>
        <w:tc>
          <w:tcPr>
            <w:tcW w:w="319" w:type="pct"/>
            <w:tcBorders>
              <w:top w:val="nil"/>
              <w:left w:val="nil"/>
              <w:bottom w:val="single" w:sz="4" w:space="0" w:color="auto"/>
              <w:right w:val="single" w:sz="4" w:space="0" w:color="auto"/>
            </w:tcBorders>
            <w:tcMar>
              <w:left w:w="0" w:type="dxa"/>
              <w:right w:w="58" w:type="dxa"/>
            </w:tcMar>
            <w:hideMark/>
          </w:tcPr>
          <w:p w14:paraId="0173DA58" w14:textId="77777777" w:rsidR="00BD6CCF" w:rsidRPr="008D7AB4" w:rsidRDefault="00BD6CCF" w:rsidP="0013699E">
            <w:pPr>
              <w:jc w:val="right"/>
              <w:rPr>
                <w:b/>
                <w:bCs/>
                <w:color w:val="000000"/>
                <w:sz w:val="17"/>
                <w:szCs w:val="17"/>
              </w:rPr>
            </w:pPr>
            <w:r w:rsidRPr="008D7AB4">
              <w:rPr>
                <w:b/>
                <w:bCs/>
                <w:color w:val="000000"/>
                <w:sz w:val="17"/>
                <w:szCs w:val="17"/>
              </w:rPr>
              <w:t>515,009</w:t>
            </w:r>
          </w:p>
        </w:tc>
        <w:tc>
          <w:tcPr>
            <w:tcW w:w="320" w:type="pct"/>
            <w:tcBorders>
              <w:top w:val="nil"/>
              <w:left w:val="nil"/>
              <w:bottom w:val="single" w:sz="4" w:space="0" w:color="auto"/>
              <w:right w:val="single" w:sz="4" w:space="0" w:color="auto"/>
            </w:tcBorders>
            <w:tcMar>
              <w:left w:w="0" w:type="dxa"/>
              <w:right w:w="58" w:type="dxa"/>
            </w:tcMar>
            <w:hideMark/>
          </w:tcPr>
          <w:p w14:paraId="548C0050" w14:textId="77777777" w:rsidR="00BD6CCF" w:rsidRPr="008D7AB4" w:rsidRDefault="00BD6CCF" w:rsidP="0013699E">
            <w:pPr>
              <w:jc w:val="right"/>
              <w:rPr>
                <w:color w:val="000000"/>
                <w:sz w:val="17"/>
                <w:szCs w:val="17"/>
              </w:rPr>
            </w:pPr>
            <w:r w:rsidRPr="008D7AB4">
              <w:rPr>
                <w:color w:val="000000"/>
                <w:sz w:val="17"/>
                <w:szCs w:val="17"/>
              </w:rPr>
              <w:t>0</w:t>
            </w:r>
          </w:p>
        </w:tc>
        <w:tc>
          <w:tcPr>
            <w:tcW w:w="320" w:type="pct"/>
            <w:tcBorders>
              <w:top w:val="nil"/>
              <w:left w:val="nil"/>
              <w:bottom w:val="single" w:sz="4" w:space="0" w:color="auto"/>
              <w:right w:val="single" w:sz="4" w:space="0" w:color="auto"/>
            </w:tcBorders>
            <w:tcMar>
              <w:left w:w="0" w:type="dxa"/>
              <w:right w:w="58" w:type="dxa"/>
            </w:tcMar>
            <w:vAlign w:val="center"/>
            <w:hideMark/>
          </w:tcPr>
          <w:p w14:paraId="19F4EC8F" w14:textId="77777777" w:rsidR="00BD6CCF" w:rsidRPr="008D7AB4" w:rsidRDefault="00BD6CCF" w:rsidP="0013699E">
            <w:pPr>
              <w:jc w:val="right"/>
              <w:rPr>
                <w:color w:val="000000"/>
                <w:sz w:val="17"/>
                <w:szCs w:val="17"/>
              </w:rPr>
            </w:pPr>
            <w:r w:rsidRPr="008D7AB4">
              <w:rPr>
                <w:color w:val="000000"/>
                <w:sz w:val="17"/>
                <w:szCs w:val="17"/>
              </w:rPr>
              <w:t>260,396</w:t>
            </w:r>
          </w:p>
        </w:tc>
        <w:tc>
          <w:tcPr>
            <w:tcW w:w="320" w:type="pct"/>
            <w:tcBorders>
              <w:top w:val="nil"/>
              <w:left w:val="nil"/>
              <w:bottom w:val="single" w:sz="4" w:space="0" w:color="auto"/>
              <w:right w:val="single" w:sz="4" w:space="0" w:color="auto"/>
            </w:tcBorders>
            <w:tcMar>
              <w:left w:w="0" w:type="dxa"/>
              <w:right w:w="58" w:type="dxa"/>
            </w:tcMar>
            <w:vAlign w:val="center"/>
            <w:hideMark/>
          </w:tcPr>
          <w:p w14:paraId="6423F3AD" w14:textId="77777777" w:rsidR="00BD6CCF" w:rsidRPr="008D7AB4" w:rsidRDefault="00BD6CCF" w:rsidP="0013699E">
            <w:pPr>
              <w:jc w:val="right"/>
              <w:rPr>
                <w:color w:val="000000"/>
                <w:sz w:val="17"/>
                <w:szCs w:val="17"/>
              </w:rPr>
            </w:pPr>
            <w:r w:rsidRPr="008D7AB4">
              <w:rPr>
                <w:color w:val="000000"/>
                <w:sz w:val="17"/>
                <w:szCs w:val="17"/>
              </w:rPr>
              <w:t>898,053</w:t>
            </w:r>
          </w:p>
        </w:tc>
        <w:tc>
          <w:tcPr>
            <w:tcW w:w="320" w:type="pct"/>
            <w:tcBorders>
              <w:top w:val="nil"/>
              <w:left w:val="nil"/>
              <w:bottom w:val="single" w:sz="4" w:space="0" w:color="auto"/>
              <w:right w:val="single" w:sz="4" w:space="0" w:color="auto"/>
            </w:tcBorders>
            <w:tcMar>
              <w:left w:w="0" w:type="dxa"/>
              <w:right w:w="58" w:type="dxa"/>
            </w:tcMar>
            <w:vAlign w:val="center"/>
          </w:tcPr>
          <w:p w14:paraId="524829DC" w14:textId="77777777" w:rsidR="00BD6CCF" w:rsidRPr="008D7AB4" w:rsidRDefault="00BD6CCF" w:rsidP="0013699E">
            <w:pPr>
              <w:jc w:val="right"/>
              <w:rPr>
                <w:color w:val="000000"/>
                <w:sz w:val="17"/>
                <w:szCs w:val="17"/>
              </w:rPr>
            </w:pPr>
          </w:p>
        </w:tc>
        <w:tc>
          <w:tcPr>
            <w:tcW w:w="320" w:type="pct"/>
            <w:tcBorders>
              <w:top w:val="nil"/>
              <w:left w:val="nil"/>
              <w:bottom w:val="single" w:sz="4" w:space="0" w:color="auto"/>
              <w:right w:val="single" w:sz="4" w:space="0" w:color="auto"/>
            </w:tcBorders>
            <w:tcMar>
              <w:left w:w="0" w:type="dxa"/>
              <w:right w:w="58" w:type="dxa"/>
            </w:tcMar>
            <w:vAlign w:val="center"/>
            <w:hideMark/>
          </w:tcPr>
          <w:p w14:paraId="357AB9FC" w14:textId="77777777" w:rsidR="00BD6CCF" w:rsidRPr="008D7AB4" w:rsidRDefault="00BD6CCF" w:rsidP="0013699E">
            <w:pPr>
              <w:jc w:val="right"/>
              <w:rPr>
                <w:color w:val="000000"/>
                <w:sz w:val="17"/>
                <w:szCs w:val="17"/>
              </w:rPr>
            </w:pPr>
            <w:r w:rsidRPr="008D7AB4">
              <w:rPr>
                <w:color w:val="000000"/>
                <w:sz w:val="17"/>
                <w:szCs w:val="17"/>
              </w:rPr>
              <w:t>111,800</w:t>
            </w:r>
          </w:p>
        </w:tc>
        <w:tc>
          <w:tcPr>
            <w:tcW w:w="320" w:type="pct"/>
            <w:tcBorders>
              <w:top w:val="single" w:sz="4" w:space="0" w:color="auto"/>
              <w:left w:val="nil"/>
              <w:bottom w:val="single" w:sz="4" w:space="0" w:color="auto"/>
              <w:right w:val="single" w:sz="4" w:space="0" w:color="auto"/>
            </w:tcBorders>
            <w:tcMar>
              <w:left w:w="0" w:type="dxa"/>
              <w:right w:w="58" w:type="dxa"/>
            </w:tcMar>
            <w:vAlign w:val="center"/>
            <w:hideMark/>
          </w:tcPr>
          <w:p w14:paraId="403DC2F3" w14:textId="77777777" w:rsidR="00BD6CCF" w:rsidRPr="008D7AB4" w:rsidRDefault="00BD6CCF" w:rsidP="0013699E">
            <w:pPr>
              <w:jc w:val="right"/>
              <w:rPr>
                <w:bCs/>
                <w:color w:val="000000"/>
                <w:sz w:val="17"/>
                <w:szCs w:val="17"/>
              </w:rPr>
            </w:pPr>
            <w:r w:rsidRPr="008D7AB4">
              <w:rPr>
                <w:bCs/>
                <w:color w:val="000000"/>
                <w:sz w:val="17"/>
                <w:szCs w:val="17"/>
              </w:rPr>
              <w:t>273,061</w:t>
            </w:r>
          </w:p>
        </w:tc>
        <w:tc>
          <w:tcPr>
            <w:tcW w:w="320" w:type="pct"/>
            <w:tcBorders>
              <w:top w:val="single" w:sz="4" w:space="0" w:color="auto"/>
              <w:left w:val="single" w:sz="4" w:space="0" w:color="auto"/>
              <w:bottom w:val="single" w:sz="4" w:space="0" w:color="auto"/>
              <w:right w:val="single" w:sz="4" w:space="0" w:color="auto"/>
            </w:tcBorders>
            <w:tcMar>
              <w:left w:w="0" w:type="dxa"/>
              <w:right w:w="58" w:type="dxa"/>
            </w:tcMar>
            <w:hideMark/>
          </w:tcPr>
          <w:p w14:paraId="1C6CCC48" w14:textId="77777777" w:rsidR="00BD6CCF" w:rsidRPr="008D7AB4" w:rsidRDefault="00BD6CCF" w:rsidP="0013699E">
            <w:pPr>
              <w:jc w:val="right"/>
              <w:rPr>
                <w:b/>
                <w:color w:val="000000"/>
                <w:sz w:val="17"/>
                <w:szCs w:val="17"/>
              </w:rPr>
            </w:pPr>
            <w:r w:rsidRPr="008D7AB4">
              <w:rPr>
                <w:b/>
                <w:color w:val="000000"/>
                <w:sz w:val="17"/>
                <w:szCs w:val="17"/>
              </w:rPr>
              <w:t>0</w:t>
            </w:r>
          </w:p>
        </w:tc>
        <w:tc>
          <w:tcPr>
            <w:tcW w:w="321" w:type="pct"/>
            <w:tcBorders>
              <w:top w:val="single" w:sz="4" w:space="0" w:color="auto"/>
              <w:left w:val="single" w:sz="4" w:space="0" w:color="auto"/>
              <w:bottom w:val="single" w:sz="4" w:space="0" w:color="auto"/>
              <w:right w:val="single" w:sz="4" w:space="0" w:color="auto"/>
            </w:tcBorders>
          </w:tcPr>
          <w:p w14:paraId="14E59E21" w14:textId="77777777" w:rsidR="00BD6CCF" w:rsidRPr="008D7AB4" w:rsidRDefault="00BD6CCF" w:rsidP="0013699E">
            <w:pPr>
              <w:jc w:val="right"/>
              <w:rPr>
                <w:b/>
                <w:color w:val="000000"/>
                <w:sz w:val="17"/>
                <w:szCs w:val="17"/>
              </w:rPr>
            </w:pPr>
            <w:r w:rsidRPr="008D7AB4">
              <w:rPr>
                <w:b/>
                <w:color w:val="000000"/>
                <w:sz w:val="17"/>
                <w:szCs w:val="17"/>
              </w:rPr>
              <w:t>0</w:t>
            </w:r>
          </w:p>
        </w:tc>
        <w:tc>
          <w:tcPr>
            <w:tcW w:w="353" w:type="pct"/>
            <w:tcBorders>
              <w:top w:val="nil"/>
              <w:left w:val="single" w:sz="4" w:space="0" w:color="auto"/>
              <w:bottom w:val="single" w:sz="4" w:space="0" w:color="auto"/>
              <w:right w:val="single" w:sz="4" w:space="0" w:color="auto"/>
            </w:tcBorders>
            <w:tcMar>
              <w:left w:w="0" w:type="dxa"/>
              <w:right w:w="58" w:type="dxa"/>
            </w:tcMar>
            <w:vAlign w:val="center"/>
            <w:hideMark/>
          </w:tcPr>
          <w:p w14:paraId="47F025C4" w14:textId="77777777" w:rsidR="00BD6CCF" w:rsidRPr="008D7AB4" w:rsidRDefault="00BD6CCF" w:rsidP="0013699E">
            <w:pPr>
              <w:jc w:val="right"/>
              <w:rPr>
                <w:b/>
                <w:bCs/>
                <w:color w:val="000000"/>
                <w:sz w:val="17"/>
                <w:szCs w:val="17"/>
              </w:rPr>
            </w:pPr>
            <w:r w:rsidRPr="008D7AB4">
              <w:rPr>
                <w:b/>
                <w:bCs/>
                <w:color w:val="000000"/>
                <w:sz w:val="17"/>
                <w:szCs w:val="17"/>
              </w:rPr>
              <w:t>97,129</w:t>
            </w:r>
          </w:p>
        </w:tc>
        <w:tc>
          <w:tcPr>
            <w:tcW w:w="361" w:type="pct"/>
            <w:tcBorders>
              <w:top w:val="nil"/>
              <w:left w:val="nil"/>
              <w:bottom w:val="single" w:sz="4" w:space="0" w:color="auto"/>
              <w:right w:val="single" w:sz="4" w:space="0" w:color="auto"/>
            </w:tcBorders>
            <w:hideMark/>
          </w:tcPr>
          <w:p w14:paraId="62E59882" w14:textId="77777777" w:rsidR="00BD6CCF" w:rsidRPr="008D7AB4" w:rsidRDefault="00BD6CCF" w:rsidP="0013699E">
            <w:pPr>
              <w:jc w:val="right"/>
              <w:rPr>
                <w:b/>
                <w:bCs/>
                <w:color w:val="000000"/>
                <w:sz w:val="17"/>
                <w:szCs w:val="17"/>
              </w:rPr>
            </w:pPr>
            <w:r w:rsidRPr="008D7AB4">
              <w:rPr>
                <w:b/>
                <w:bCs/>
                <w:color w:val="000000"/>
                <w:sz w:val="17"/>
                <w:szCs w:val="17"/>
              </w:rPr>
              <w:t>2,155,449</w:t>
            </w:r>
          </w:p>
        </w:tc>
      </w:tr>
      <w:tr w:rsidR="00BD6CCF" w:rsidRPr="008D7AB4" w14:paraId="314668CD" w14:textId="77777777" w:rsidTr="0013699E">
        <w:trPr>
          <w:trHeight w:val="57"/>
        </w:trPr>
        <w:tc>
          <w:tcPr>
            <w:tcW w:w="227" w:type="pct"/>
            <w:tcBorders>
              <w:top w:val="nil"/>
              <w:left w:val="single" w:sz="4" w:space="0" w:color="auto"/>
              <w:bottom w:val="single" w:sz="4" w:space="0" w:color="auto"/>
              <w:right w:val="single" w:sz="4" w:space="0" w:color="auto"/>
            </w:tcBorders>
            <w:hideMark/>
          </w:tcPr>
          <w:p w14:paraId="53896418" w14:textId="77777777" w:rsidR="00BD6CCF" w:rsidRPr="008D7AB4" w:rsidRDefault="00BD6CCF" w:rsidP="0013699E">
            <w:pPr>
              <w:jc w:val="left"/>
              <w:rPr>
                <w:color w:val="000000"/>
                <w:sz w:val="17"/>
                <w:szCs w:val="17"/>
              </w:rPr>
            </w:pPr>
            <w:r w:rsidRPr="008D7AB4">
              <w:rPr>
                <w:color w:val="000000"/>
                <w:sz w:val="17"/>
                <w:szCs w:val="17"/>
              </w:rPr>
              <w:t>3.3</w:t>
            </w:r>
          </w:p>
        </w:tc>
        <w:tc>
          <w:tcPr>
            <w:tcW w:w="1179" w:type="pct"/>
            <w:tcBorders>
              <w:top w:val="nil"/>
              <w:left w:val="nil"/>
              <w:bottom w:val="single" w:sz="4" w:space="0" w:color="auto"/>
              <w:right w:val="single" w:sz="4" w:space="0" w:color="auto"/>
            </w:tcBorders>
            <w:hideMark/>
          </w:tcPr>
          <w:p w14:paraId="58D1D65E" w14:textId="77777777" w:rsidR="00BD6CCF" w:rsidRPr="008D7AB4" w:rsidRDefault="00BD6CCF" w:rsidP="0013699E">
            <w:pPr>
              <w:jc w:val="left"/>
              <w:rPr>
                <w:color w:val="000000"/>
                <w:sz w:val="17"/>
                <w:szCs w:val="17"/>
              </w:rPr>
            </w:pPr>
            <w:r w:rsidRPr="008D7AB4">
              <w:rPr>
                <w:color w:val="000000"/>
                <w:sz w:val="17"/>
                <w:szCs w:val="17"/>
              </w:rPr>
              <w:t>Total agreed costs (US $)</w:t>
            </w:r>
          </w:p>
        </w:tc>
        <w:tc>
          <w:tcPr>
            <w:tcW w:w="319" w:type="pct"/>
            <w:tcBorders>
              <w:top w:val="nil"/>
              <w:left w:val="nil"/>
              <w:bottom w:val="single" w:sz="4" w:space="0" w:color="auto"/>
              <w:right w:val="single" w:sz="4" w:space="0" w:color="auto"/>
            </w:tcBorders>
            <w:tcMar>
              <w:left w:w="0" w:type="dxa"/>
              <w:right w:w="58" w:type="dxa"/>
            </w:tcMar>
            <w:hideMark/>
          </w:tcPr>
          <w:p w14:paraId="0519B256" w14:textId="77777777" w:rsidR="00BD6CCF" w:rsidRPr="008D7AB4" w:rsidRDefault="00BD6CCF" w:rsidP="0013699E">
            <w:pPr>
              <w:jc w:val="right"/>
              <w:rPr>
                <w:b/>
                <w:bCs/>
                <w:color w:val="000000"/>
                <w:sz w:val="17"/>
                <w:szCs w:val="17"/>
              </w:rPr>
            </w:pPr>
            <w:r w:rsidRPr="008D7AB4">
              <w:rPr>
                <w:b/>
                <w:bCs/>
                <w:color w:val="000000"/>
                <w:sz w:val="17"/>
                <w:szCs w:val="17"/>
              </w:rPr>
              <w:t>6,891,470</w:t>
            </w:r>
          </w:p>
        </w:tc>
        <w:tc>
          <w:tcPr>
            <w:tcW w:w="320" w:type="pct"/>
            <w:tcBorders>
              <w:top w:val="nil"/>
              <w:left w:val="nil"/>
              <w:bottom w:val="single" w:sz="4" w:space="0" w:color="auto"/>
              <w:right w:val="single" w:sz="4" w:space="0" w:color="auto"/>
            </w:tcBorders>
            <w:tcMar>
              <w:left w:w="0" w:type="dxa"/>
              <w:right w:w="58" w:type="dxa"/>
            </w:tcMar>
            <w:hideMark/>
          </w:tcPr>
          <w:p w14:paraId="45DB4D15" w14:textId="77777777" w:rsidR="00BD6CCF" w:rsidRPr="008D7AB4" w:rsidRDefault="00BD6CCF" w:rsidP="0013699E">
            <w:pPr>
              <w:jc w:val="right"/>
              <w:rPr>
                <w:color w:val="000000"/>
                <w:sz w:val="17"/>
                <w:szCs w:val="17"/>
              </w:rPr>
            </w:pPr>
            <w:r w:rsidRPr="008D7AB4">
              <w:rPr>
                <w:color w:val="000000"/>
                <w:sz w:val="17"/>
                <w:szCs w:val="17"/>
              </w:rPr>
              <w:t>0</w:t>
            </w:r>
          </w:p>
        </w:tc>
        <w:tc>
          <w:tcPr>
            <w:tcW w:w="320" w:type="pct"/>
            <w:tcBorders>
              <w:top w:val="nil"/>
              <w:left w:val="nil"/>
              <w:bottom w:val="single" w:sz="4" w:space="0" w:color="auto"/>
              <w:right w:val="single" w:sz="4" w:space="0" w:color="auto"/>
            </w:tcBorders>
            <w:tcMar>
              <w:left w:w="0" w:type="dxa"/>
              <w:right w:w="58" w:type="dxa"/>
            </w:tcMar>
            <w:vAlign w:val="center"/>
            <w:hideMark/>
          </w:tcPr>
          <w:p w14:paraId="0928EF2E" w14:textId="77777777" w:rsidR="00BD6CCF" w:rsidRPr="008D7AB4" w:rsidRDefault="00BD6CCF" w:rsidP="0013699E">
            <w:pPr>
              <w:jc w:val="right"/>
              <w:rPr>
                <w:color w:val="000000"/>
                <w:sz w:val="17"/>
                <w:szCs w:val="17"/>
              </w:rPr>
            </w:pPr>
            <w:r w:rsidRPr="008D7AB4">
              <w:rPr>
                <w:color w:val="000000"/>
                <w:sz w:val="17"/>
                <w:szCs w:val="17"/>
              </w:rPr>
              <w:t>3,575,078</w:t>
            </w:r>
          </w:p>
        </w:tc>
        <w:tc>
          <w:tcPr>
            <w:tcW w:w="320" w:type="pct"/>
            <w:tcBorders>
              <w:top w:val="nil"/>
              <w:left w:val="nil"/>
              <w:bottom w:val="single" w:sz="4" w:space="0" w:color="auto"/>
              <w:right w:val="single" w:sz="4" w:space="0" w:color="auto"/>
            </w:tcBorders>
            <w:tcMar>
              <w:left w:w="0" w:type="dxa"/>
              <w:right w:w="58" w:type="dxa"/>
            </w:tcMar>
            <w:vAlign w:val="center"/>
            <w:hideMark/>
          </w:tcPr>
          <w:p w14:paraId="026C754E" w14:textId="77777777" w:rsidR="00BD6CCF" w:rsidRPr="008D7AB4" w:rsidRDefault="00BD6CCF" w:rsidP="0013699E">
            <w:pPr>
              <w:jc w:val="right"/>
              <w:rPr>
                <w:color w:val="000000"/>
                <w:sz w:val="17"/>
                <w:szCs w:val="17"/>
              </w:rPr>
            </w:pPr>
            <w:r w:rsidRPr="008D7AB4">
              <w:rPr>
                <w:color w:val="000000"/>
                <w:sz w:val="17"/>
                <w:szCs w:val="17"/>
              </w:rPr>
              <w:t>12,333,039</w:t>
            </w:r>
          </w:p>
        </w:tc>
        <w:tc>
          <w:tcPr>
            <w:tcW w:w="320" w:type="pct"/>
            <w:tcBorders>
              <w:top w:val="nil"/>
              <w:left w:val="nil"/>
              <w:bottom w:val="single" w:sz="4" w:space="0" w:color="auto"/>
              <w:right w:val="single" w:sz="4" w:space="0" w:color="auto"/>
            </w:tcBorders>
            <w:tcMar>
              <w:left w:w="0" w:type="dxa"/>
              <w:right w:w="58" w:type="dxa"/>
            </w:tcMar>
            <w:vAlign w:val="center"/>
          </w:tcPr>
          <w:p w14:paraId="15DCF0A7" w14:textId="77777777" w:rsidR="00BD6CCF" w:rsidRPr="008D7AB4" w:rsidRDefault="00BD6CCF" w:rsidP="0013699E">
            <w:pPr>
              <w:jc w:val="right"/>
              <w:rPr>
                <w:color w:val="000000"/>
                <w:sz w:val="17"/>
                <w:szCs w:val="17"/>
              </w:rPr>
            </w:pPr>
          </w:p>
        </w:tc>
        <w:tc>
          <w:tcPr>
            <w:tcW w:w="320" w:type="pct"/>
            <w:tcBorders>
              <w:top w:val="nil"/>
              <w:left w:val="nil"/>
              <w:bottom w:val="single" w:sz="4" w:space="0" w:color="auto"/>
              <w:right w:val="single" w:sz="4" w:space="0" w:color="auto"/>
            </w:tcBorders>
            <w:tcMar>
              <w:left w:w="0" w:type="dxa"/>
              <w:right w:w="58" w:type="dxa"/>
            </w:tcMar>
            <w:vAlign w:val="center"/>
            <w:hideMark/>
          </w:tcPr>
          <w:p w14:paraId="5808FCCD" w14:textId="77777777" w:rsidR="00BD6CCF" w:rsidRPr="008D7AB4" w:rsidRDefault="00BD6CCF" w:rsidP="0013699E">
            <w:pPr>
              <w:jc w:val="right"/>
              <w:rPr>
                <w:color w:val="000000"/>
                <w:sz w:val="17"/>
                <w:szCs w:val="17"/>
              </w:rPr>
            </w:pPr>
            <w:r w:rsidRPr="008D7AB4">
              <w:rPr>
                <w:color w:val="000000"/>
                <w:sz w:val="17"/>
                <w:szCs w:val="17"/>
              </w:rPr>
              <w:t>1,116,345</w:t>
            </w:r>
          </w:p>
        </w:tc>
        <w:tc>
          <w:tcPr>
            <w:tcW w:w="320" w:type="pct"/>
            <w:tcBorders>
              <w:top w:val="single" w:sz="4" w:space="0" w:color="auto"/>
              <w:left w:val="nil"/>
              <w:bottom w:val="single" w:sz="4" w:space="0" w:color="auto"/>
              <w:right w:val="single" w:sz="4" w:space="0" w:color="auto"/>
            </w:tcBorders>
            <w:tcMar>
              <w:left w:w="0" w:type="dxa"/>
              <w:right w:w="58" w:type="dxa"/>
            </w:tcMar>
            <w:vAlign w:val="center"/>
            <w:hideMark/>
          </w:tcPr>
          <w:p w14:paraId="6BD735E9" w14:textId="77777777" w:rsidR="00BD6CCF" w:rsidRPr="008D7AB4" w:rsidRDefault="00BD6CCF" w:rsidP="0013699E">
            <w:pPr>
              <w:jc w:val="right"/>
              <w:rPr>
                <w:bCs/>
                <w:color w:val="000000"/>
                <w:sz w:val="17"/>
                <w:szCs w:val="17"/>
              </w:rPr>
            </w:pPr>
            <w:r w:rsidRPr="008D7AB4">
              <w:rPr>
                <w:bCs/>
                <w:color w:val="000000"/>
                <w:sz w:val="17"/>
                <w:szCs w:val="17"/>
              </w:rPr>
              <w:t>3,289,061</w:t>
            </w:r>
          </w:p>
        </w:tc>
        <w:tc>
          <w:tcPr>
            <w:tcW w:w="320" w:type="pct"/>
            <w:tcBorders>
              <w:top w:val="single" w:sz="4" w:space="0" w:color="auto"/>
              <w:left w:val="single" w:sz="4" w:space="0" w:color="auto"/>
              <w:bottom w:val="single" w:sz="4" w:space="0" w:color="auto"/>
              <w:right w:val="single" w:sz="4" w:space="0" w:color="auto"/>
            </w:tcBorders>
            <w:tcMar>
              <w:left w:w="0" w:type="dxa"/>
              <w:right w:w="58" w:type="dxa"/>
            </w:tcMar>
            <w:vAlign w:val="center"/>
            <w:hideMark/>
          </w:tcPr>
          <w:p w14:paraId="3A3C2BFF" w14:textId="77777777" w:rsidR="00BD6CCF" w:rsidRPr="008D7AB4" w:rsidRDefault="00BD6CCF" w:rsidP="0013699E">
            <w:pPr>
              <w:jc w:val="right"/>
              <w:rPr>
                <w:b/>
                <w:color w:val="000000"/>
                <w:sz w:val="17"/>
                <w:szCs w:val="17"/>
              </w:rPr>
            </w:pPr>
            <w:r w:rsidRPr="008D7AB4">
              <w:rPr>
                <w:b/>
                <w:color w:val="000000"/>
                <w:sz w:val="17"/>
                <w:szCs w:val="17"/>
              </w:rPr>
              <w:t>0</w:t>
            </w:r>
          </w:p>
        </w:tc>
        <w:tc>
          <w:tcPr>
            <w:tcW w:w="321" w:type="pct"/>
            <w:tcBorders>
              <w:top w:val="single" w:sz="4" w:space="0" w:color="auto"/>
              <w:left w:val="single" w:sz="4" w:space="0" w:color="auto"/>
              <w:bottom w:val="single" w:sz="4" w:space="0" w:color="auto"/>
              <w:right w:val="single" w:sz="4" w:space="0" w:color="auto"/>
            </w:tcBorders>
            <w:vAlign w:val="center"/>
          </w:tcPr>
          <w:p w14:paraId="3170B552" w14:textId="77777777" w:rsidR="00BD6CCF" w:rsidRPr="008D7AB4" w:rsidRDefault="00BD6CCF" w:rsidP="0013699E">
            <w:pPr>
              <w:jc w:val="right"/>
              <w:rPr>
                <w:b/>
                <w:color w:val="000000"/>
                <w:sz w:val="17"/>
                <w:szCs w:val="17"/>
              </w:rPr>
            </w:pPr>
            <w:r w:rsidRPr="008D7AB4">
              <w:rPr>
                <w:b/>
                <w:color w:val="000000"/>
                <w:sz w:val="17"/>
                <w:szCs w:val="17"/>
              </w:rPr>
              <w:t>0</w:t>
            </w:r>
          </w:p>
        </w:tc>
        <w:tc>
          <w:tcPr>
            <w:tcW w:w="353" w:type="pct"/>
            <w:tcBorders>
              <w:top w:val="nil"/>
              <w:left w:val="single" w:sz="4" w:space="0" w:color="auto"/>
              <w:bottom w:val="single" w:sz="4" w:space="0" w:color="auto"/>
              <w:right w:val="single" w:sz="4" w:space="0" w:color="auto"/>
            </w:tcBorders>
            <w:tcMar>
              <w:left w:w="0" w:type="dxa"/>
              <w:right w:w="58" w:type="dxa"/>
            </w:tcMar>
            <w:vAlign w:val="center"/>
            <w:hideMark/>
          </w:tcPr>
          <w:p w14:paraId="4BE8E2E8" w14:textId="77777777" w:rsidR="00BD6CCF" w:rsidRPr="008D7AB4" w:rsidRDefault="00BD6CCF" w:rsidP="0013699E">
            <w:pPr>
              <w:jc w:val="right"/>
              <w:rPr>
                <w:b/>
                <w:bCs/>
                <w:color w:val="000000"/>
                <w:sz w:val="17"/>
                <w:szCs w:val="17"/>
              </w:rPr>
            </w:pPr>
            <w:r w:rsidRPr="008D7AB4">
              <w:rPr>
                <w:b/>
                <w:bCs/>
                <w:color w:val="000000"/>
                <w:sz w:val="17"/>
                <w:szCs w:val="17"/>
              </w:rPr>
              <w:t>969,856</w:t>
            </w:r>
          </w:p>
        </w:tc>
        <w:tc>
          <w:tcPr>
            <w:tcW w:w="361" w:type="pct"/>
            <w:tcBorders>
              <w:top w:val="nil"/>
              <w:left w:val="nil"/>
              <w:bottom w:val="single" w:sz="4" w:space="0" w:color="auto"/>
              <w:right w:val="single" w:sz="4" w:space="0" w:color="auto"/>
            </w:tcBorders>
            <w:hideMark/>
          </w:tcPr>
          <w:p w14:paraId="4055A923" w14:textId="77777777" w:rsidR="00BD6CCF" w:rsidRPr="008D7AB4" w:rsidRDefault="00BD6CCF" w:rsidP="0013699E">
            <w:pPr>
              <w:jc w:val="right"/>
              <w:rPr>
                <w:b/>
                <w:bCs/>
                <w:color w:val="000000"/>
                <w:sz w:val="17"/>
                <w:szCs w:val="17"/>
              </w:rPr>
            </w:pPr>
            <w:r w:rsidRPr="008D7AB4">
              <w:rPr>
                <w:b/>
                <w:bCs/>
                <w:color w:val="000000"/>
                <w:sz w:val="17"/>
                <w:szCs w:val="17"/>
              </w:rPr>
              <w:t>28,174,850</w:t>
            </w:r>
          </w:p>
        </w:tc>
      </w:tr>
      <w:tr w:rsidR="00BD6CCF" w:rsidRPr="008D7AB4" w14:paraId="541BE86A" w14:textId="77777777" w:rsidTr="0013699E">
        <w:trPr>
          <w:trHeight w:val="57"/>
        </w:trPr>
        <w:tc>
          <w:tcPr>
            <w:tcW w:w="227" w:type="pct"/>
            <w:tcBorders>
              <w:top w:val="nil"/>
              <w:left w:val="single" w:sz="4" w:space="0" w:color="auto"/>
              <w:bottom w:val="single" w:sz="4" w:space="0" w:color="auto"/>
              <w:right w:val="single" w:sz="4" w:space="0" w:color="auto"/>
            </w:tcBorders>
            <w:hideMark/>
          </w:tcPr>
          <w:p w14:paraId="752F4614" w14:textId="77777777" w:rsidR="00BD6CCF" w:rsidRPr="008D7AB4" w:rsidRDefault="00BD6CCF" w:rsidP="0013699E">
            <w:pPr>
              <w:jc w:val="left"/>
              <w:rPr>
                <w:color w:val="000000"/>
                <w:sz w:val="17"/>
                <w:szCs w:val="17"/>
              </w:rPr>
            </w:pPr>
            <w:r w:rsidRPr="008D7AB4">
              <w:rPr>
                <w:color w:val="000000"/>
                <w:sz w:val="17"/>
                <w:szCs w:val="17"/>
              </w:rPr>
              <w:t>4.1.1</w:t>
            </w:r>
          </w:p>
        </w:tc>
        <w:tc>
          <w:tcPr>
            <w:tcW w:w="4412" w:type="pct"/>
            <w:gridSpan w:val="11"/>
            <w:tcBorders>
              <w:top w:val="single" w:sz="4" w:space="0" w:color="auto"/>
              <w:left w:val="nil"/>
              <w:bottom w:val="single" w:sz="4" w:space="0" w:color="auto"/>
              <w:right w:val="single" w:sz="4" w:space="0" w:color="auto"/>
            </w:tcBorders>
          </w:tcPr>
          <w:p w14:paraId="31A063A7" w14:textId="77777777" w:rsidR="00BD6CCF" w:rsidRPr="008D7AB4" w:rsidRDefault="00BD6CCF" w:rsidP="0013699E">
            <w:pPr>
              <w:jc w:val="left"/>
              <w:rPr>
                <w:color w:val="000000"/>
                <w:sz w:val="17"/>
                <w:szCs w:val="17"/>
              </w:rPr>
            </w:pPr>
            <w:r w:rsidRPr="008D7AB4">
              <w:rPr>
                <w:color w:val="000000"/>
                <w:sz w:val="17"/>
                <w:szCs w:val="17"/>
              </w:rPr>
              <w:t>Total phase-out of HCFC-22 agreed to be achieved under this Agreement (ODP tonnes)</w:t>
            </w:r>
          </w:p>
        </w:tc>
        <w:tc>
          <w:tcPr>
            <w:tcW w:w="361" w:type="pct"/>
            <w:tcBorders>
              <w:top w:val="nil"/>
              <w:left w:val="single" w:sz="4" w:space="0" w:color="auto"/>
              <w:bottom w:val="single" w:sz="4" w:space="0" w:color="auto"/>
              <w:right w:val="single" w:sz="4" w:space="0" w:color="auto"/>
            </w:tcBorders>
            <w:shd w:val="clear" w:color="auto" w:fill="FFFFFF"/>
            <w:vAlign w:val="center"/>
            <w:hideMark/>
          </w:tcPr>
          <w:p w14:paraId="711BD734" w14:textId="77777777" w:rsidR="00BD6CCF" w:rsidRPr="008D7AB4" w:rsidRDefault="00BD6CCF" w:rsidP="0013699E">
            <w:pPr>
              <w:jc w:val="right"/>
              <w:rPr>
                <w:b/>
                <w:bCs/>
                <w:sz w:val="17"/>
                <w:szCs w:val="17"/>
              </w:rPr>
            </w:pPr>
            <w:r w:rsidRPr="008D7AB4">
              <w:rPr>
                <w:b/>
                <w:bCs/>
                <w:sz w:val="17"/>
                <w:szCs w:val="17"/>
              </w:rPr>
              <w:t>164.16</w:t>
            </w:r>
          </w:p>
        </w:tc>
      </w:tr>
      <w:tr w:rsidR="00BD6CCF" w:rsidRPr="008D7AB4" w14:paraId="67C18535" w14:textId="77777777" w:rsidTr="0013699E">
        <w:trPr>
          <w:trHeight w:val="57"/>
        </w:trPr>
        <w:tc>
          <w:tcPr>
            <w:tcW w:w="227" w:type="pct"/>
            <w:tcBorders>
              <w:top w:val="nil"/>
              <w:left w:val="single" w:sz="4" w:space="0" w:color="auto"/>
              <w:bottom w:val="single" w:sz="4" w:space="0" w:color="auto"/>
              <w:right w:val="single" w:sz="4" w:space="0" w:color="auto"/>
            </w:tcBorders>
            <w:hideMark/>
          </w:tcPr>
          <w:p w14:paraId="4DB01488" w14:textId="77777777" w:rsidR="00BD6CCF" w:rsidRPr="008D7AB4" w:rsidRDefault="00BD6CCF" w:rsidP="0013699E">
            <w:pPr>
              <w:jc w:val="left"/>
              <w:rPr>
                <w:color w:val="000000"/>
                <w:sz w:val="17"/>
                <w:szCs w:val="17"/>
              </w:rPr>
            </w:pPr>
            <w:r w:rsidRPr="008D7AB4">
              <w:rPr>
                <w:color w:val="000000"/>
                <w:sz w:val="17"/>
                <w:szCs w:val="17"/>
              </w:rPr>
              <w:t>4.1.2</w:t>
            </w:r>
          </w:p>
        </w:tc>
        <w:tc>
          <w:tcPr>
            <w:tcW w:w="4412" w:type="pct"/>
            <w:gridSpan w:val="11"/>
            <w:tcBorders>
              <w:top w:val="single" w:sz="4" w:space="0" w:color="auto"/>
              <w:left w:val="nil"/>
              <w:bottom w:val="single" w:sz="4" w:space="0" w:color="auto"/>
              <w:right w:val="single" w:sz="4" w:space="0" w:color="000000"/>
            </w:tcBorders>
          </w:tcPr>
          <w:p w14:paraId="77108011" w14:textId="77777777" w:rsidR="00BD6CCF" w:rsidRPr="008D7AB4" w:rsidRDefault="00BD6CCF" w:rsidP="0013699E">
            <w:pPr>
              <w:jc w:val="left"/>
              <w:rPr>
                <w:color w:val="000000"/>
                <w:sz w:val="17"/>
                <w:szCs w:val="17"/>
              </w:rPr>
            </w:pPr>
            <w:r w:rsidRPr="008D7AB4">
              <w:rPr>
                <w:color w:val="000000"/>
                <w:sz w:val="17"/>
                <w:szCs w:val="17"/>
              </w:rPr>
              <w:t>Phase-out of HCFC-22 to be achieved in previously approved projects (ODP tonnes)</w:t>
            </w:r>
          </w:p>
        </w:tc>
        <w:tc>
          <w:tcPr>
            <w:tcW w:w="361" w:type="pct"/>
            <w:tcBorders>
              <w:top w:val="nil"/>
              <w:left w:val="nil"/>
              <w:bottom w:val="single" w:sz="4" w:space="0" w:color="auto"/>
              <w:right w:val="single" w:sz="4" w:space="0" w:color="auto"/>
            </w:tcBorders>
            <w:shd w:val="clear" w:color="auto" w:fill="FFFFFF"/>
            <w:vAlign w:val="center"/>
            <w:hideMark/>
          </w:tcPr>
          <w:p w14:paraId="4F0E0423" w14:textId="77777777" w:rsidR="00BD6CCF" w:rsidRPr="008D7AB4" w:rsidRDefault="00BD6CCF" w:rsidP="0013699E">
            <w:pPr>
              <w:jc w:val="right"/>
              <w:rPr>
                <w:color w:val="000000"/>
                <w:sz w:val="17"/>
                <w:szCs w:val="17"/>
              </w:rPr>
            </w:pPr>
            <w:r w:rsidRPr="008D7AB4">
              <w:rPr>
                <w:color w:val="000000"/>
                <w:sz w:val="17"/>
                <w:szCs w:val="17"/>
              </w:rPr>
              <w:t>51.50</w:t>
            </w:r>
          </w:p>
        </w:tc>
      </w:tr>
      <w:tr w:rsidR="00BD6CCF" w:rsidRPr="008D7AB4" w14:paraId="5412BE77" w14:textId="77777777" w:rsidTr="0013699E">
        <w:trPr>
          <w:trHeight w:val="57"/>
        </w:trPr>
        <w:tc>
          <w:tcPr>
            <w:tcW w:w="227" w:type="pct"/>
            <w:tcBorders>
              <w:top w:val="nil"/>
              <w:left w:val="single" w:sz="4" w:space="0" w:color="auto"/>
              <w:bottom w:val="single" w:sz="4" w:space="0" w:color="auto"/>
              <w:right w:val="single" w:sz="4" w:space="0" w:color="auto"/>
            </w:tcBorders>
            <w:hideMark/>
          </w:tcPr>
          <w:p w14:paraId="062041F0" w14:textId="77777777" w:rsidR="00BD6CCF" w:rsidRPr="008D7AB4" w:rsidRDefault="00BD6CCF" w:rsidP="0013699E">
            <w:pPr>
              <w:jc w:val="left"/>
              <w:rPr>
                <w:color w:val="000000"/>
                <w:sz w:val="17"/>
                <w:szCs w:val="17"/>
              </w:rPr>
            </w:pPr>
            <w:r w:rsidRPr="008D7AB4">
              <w:rPr>
                <w:color w:val="000000"/>
                <w:sz w:val="17"/>
                <w:szCs w:val="17"/>
              </w:rPr>
              <w:t>4.1.3</w:t>
            </w:r>
          </w:p>
        </w:tc>
        <w:tc>
          <w:tcPr>
            <w:tcW w:w="4412" w:type="pct"/>
            <w:gridSpan w:val="11"/>
            <w:tcBorders>
              <w:top w:val="single" w:sz="4" w:space="0" w:color="auto"/>
              <w:left w:val="nil"/>
              <w:bottom w:val="single" w:sz="4" w:space="0" w:color="auto"/>
              <w:right w:val="single" w:sz="4" w:space="0" w:color="000000"/>
            </w:tcBorders>
          </w:tcPr>
          <w:p w14:paraId="1E8E3515" w14:textId="77777777" w:rsidR="00BD6CCF" w:rsidRPr="008D7AB4" w:rsidRDefault="00BD6CCF" w:rsidP="0013699E">
            <w:pPr>
              <w:jc w:val="left"/>
              <w:rPr>
                <w:color w:val="000000"/>
                <w:sz w:val="17"/>
                <w:szCs w:val="17"/>
              </w:rPr>
            </w:pPr>
            <w:r w:rsidRPr="008D7AB4">
              <w:rPr>
                <w:color w:val="000000"/>
                <w:sz w:val="17"/>
                <w:szCs w:val="17"/>
              </w:rPr>
              <w:t>Remaining eligible consumption for HCFC-22 (ODP tonnes)</w:t>
            </w:r>
          </w:p>
        </w:tc>
        <w:tc>
          <w:tcPr>
            <w:tcW w:w="361" w:type="pct"/>
            <w:tcBorders>
              <w:top w:val="nil"/>
              <w:left w:val="nil"/>
              <w:bottom w:val="single" w:sz="4" w:space="0" w:color="auto"/>
              <w:right w:val="single" w:sz="4" w:space="0" w:color="auto"/>
            </w:tcBorders>
            <w:shd w:val="clear" w:color="auto" w:fill="FFFFFF"/>
            <w:vAlign w:val="center"/>
            <w:hideMark/>
          </w:tcPr>
          <w:p w14:paraId="50973680" w14:textId="77777777" w:rsidR="00BD6CCF" w:rsidRPr="008D7AB4" w:rsidRDefault="00BD6CCF" w:rsidP="0013699E">
            <w:pPr>
              <w:jc w:val="right"/>
              <w:rPr>
                <w:b/>
                <w:bCs/>
                <w:color w:val="000000"/>
                <w:sz w:val="17"/>
                <w:szCs w:val="17"/>
              </w:rPr>
            </w:pPr>
            <w:r w:rsidRPr="008D7AB4">
              <w:rPr>
                <w:b/>
                <w:bCs/>
                <w:sz w:val="17"/>
                <w:szCs w:val="17"/>
              </w:rPr>
              <w:t>576.34</w:t>
            </w:r>
          </w:p>
        </w:tc>
      </w:tr>
      <w:tr w:rsidR="00BD6CCF" w:rsidRPr="008D7AB4" w14:paraId="392CE16A" w14:textId="77777777" w:rsidTr="0013699E">
        <w:trPr>
          <w:trHeight w:val="57"/>
        </w:trPr>
        <w:tc>
          <w:tcPr>
            <w:tcW w:w="227" w:type="pct"/>
            <w:tcBorders>
              <w:top w:val="nil"/>
              <w:left w:val="single" w:sz="4" w:space="0" w:color="auto"/>
              <w:bottom w:val="single" w:sz="4" w:space="0" w:color="auto"/>
              <w:right w:val="single" w:sz="4" w:space="0" w:color="auto"/>
            </w:tcBorders>
            <w:hideMark/>
          </w:tcPr>
          <w:p w14:paraId="6E21BFA2" w14:textId="77777777" w:rsidR="00BD6CCF" w:rsidRPr="008D7AB4" w:rsidRDefault="00BD6CCF" w:rsidP="0013699E">
            <w:pPr>
              <w:jc w:val="left"/>
              <w:rPr>
                <w:color w:val="000000"/>
                <w:sz w:val="17"/>
                <w:szCs w:val="17"/>
              </w:rPr>
            </w:pPr>
            <w:r w:rsidRPr="008D7AB4">
              <w:rPr>
                <w:color w:val="000000"/>
                <w:sz w:val="17"/>
                <w:szCs w:val="17"/>
              </w:rPr>
              <w:t>4.2.1</w:t>
            </w:r>
          </w:p>
        </w:tc>
        <w:tc>
          <w:tcPr>
            <w:tcW w:w="4412" w:type="pct"/>
            <w:gridSpan w:val="11"/>
            <w:tcBorders>
              <w:top w:val="single" w:sz="4" w:space="0" w:color="auto"/>
              <w:left w:val="nil"/>
              <w:bottom w:val="single" w:sz="4" w:space="0" w:color="auto"/>
              <w:right w:val="single" w:sz="4" w:space="0" w:color="000000"/>
            </w:tcBorders>
          </w:tcPr>
          <w:p w14:paraId="1FC192FA" w14:textId="77777777" w:rsidR="00BD6CCF" w:rsidRPr="008D7AB4" w:rsidRDefault="00BD6CCF" w:rsidP="0013699E">
            <w:pPr>
              <w:jc w:val="left"/>
              <w:rPr>
                <w:color w:val="000000"/>
                <w:sz w:val="17"/>
                <w:szCs w:val="17"/>
              </w:rPr>
            </w:pPr>
            <w:r w:rsidRPr="008D7AB4">
              <w:rPr>
                <w:color w:val="000000"/>
                <w:sz w:val="17"/>
                <w:szCs w:val="17"/>
              </w:rPr>
              <w:t>Total phase-out of HCFC-141b agreed to be achieved under this Agreement (ODP tonnes)</w:t>
            </w:r>
          </w:p>
        </w:tc>
        <w:tc>
          <w:tcPr>
            <w:tcW w:w="361" w:type="pct"/>
            <w:tcBorders>
              <w:top w:val="nil"/>
              <w:left w:val="nil"/>
              <w:bottom w:val="single" w:sz="4" w:space="0" w:color="auto"/>
              <w:right w:val="single" w:sz="4" w:space="0" w:color="auto"/>
            </w:tcBorders>
            <w:shd w:val="clear" w:color="auto" w:fill="FFFFFF"/>
            <w:vAlign w:val="center"/>
            <w:hideMark/>
          </w:tcPr>
          <w:p w14:paraId="603054AA" w14:textId="77777777" w:rsidR="00BD6CCF" w:rsidRPr="008D7AB4" w:rsidRDefault="00BD6CCF" w:rsidP="0013699E">
            <w:pPr>
              <w:jc w:val="right"/>
              <w:rPr>
                <w:color w:val="000000"/>
                <w:sz w:val="17"/>
                <w:szCs w:val="17"/>
              </w:rPr>
            </w:pPr>
            <w:r w:rsidRPr="008D7AB4">
              <w:rPr>
                <w:color w:val="000000"/>
                <w:sz w:val="17"/>
                <w:szCs w:val="17"/>
              </w:rPr>
              <w:t>300.90</w:t>
            </w:r>
          </w:p>
        </w:tc>
      </w:tr>
      <w:tr w:rsidR="00BD6CCF" w:rsidRPr="008D7AB4" w14:paraId="549D16F2" w14:textId="77777777" w:rsidTr="0013699E">
        <w:trPr>
          <w:trHeight w:val="57"/>
        </w:trPr>
        <w:tc>
          <w:tcPr>
            <w:tcW w:w="227" w:type="pct"/>
            <w:tcBorders>
              <w:top w:val="nil"/>
              <w:left w:val="single" w:sz="4" w:space="0" w:color="auto"/>
              <w:bottom w:val="single" w:sz="4" w:space="0" w:color="auto"/>
              <w:right w:val="single" w:sz="4" w:space="0" w:color="auto"/>
            </w:tcBorders>
            <w:hideMark/>
          </w:tcPr>
          <w:p w14:paraId="09D06951" w14:textId="77777777" w:rsidR="00BD6CCF" w:rsidRPr="008D7AB4" w:rsidRDefault="00BD6CCF" w:rsidP="0013699E">
            <w:pPr>
              <w:jc w:val="left"/>
              <w:rPr>
                <w:color w:val="000000"/>
                <w:sz w:val="17"/>
                <w:szCs w:val="17"/>
              </w:rPr>
            </w:pPr>
            <w:r w:rsidRPr="008D7AB4">
              <w:rPr>
                <w:color w:val="000000"/>
                <w:sz w:val="17"/>
                <w:szCs w:val="17"/>
              </w:rPr>
              <w:t>4.2.2</w:t>
            </w:r>
          </w:p>
        </w:tc>
        <w:tc>
          <w:tcPr>
            <w:tcW w:w="4412" w:type="pct"/>
            <w:gridSpan w:val="11"/>
            <w:tcBorders>
              <w:top w:val="single" w:sz="4" w:space="0" w:color="auto"/>
              <w:left w:val="nil"/>
              <w:bottom w:val="single" w:sz="4" w:space="0" w:color="auto"/>
              <w:right w:val="single" w:sz="4" w:space="0" w:color="000000"/>
            </w:tcBorders>
          </w:tcPr>
          <w:p w14:paraId="1B64F8AF" w14:textId="77777777" w:rsidR="00BD6CCF" w:rsidRPr="008D7AB4" w:rsidRDefault="00BD6CCF" w:rsidP="0013699E">
            <w:pPr>
              <w:jc w:val="left"/>
              <w:rPr>
                <w:color w:val="000000"/>
                <w:sz w:val="17"/>
                <w:szCs w:val="17"/>
              </w:rPr>
            </w:pPr>
            <w:r w:rsidRPr="008D7AB4">
              <w:rPr>
                <w:color w:val="000000"/>
                <w:sz w:val="17"/>
                <w:szCs w:val="17"/>
              </w:rPr>
              <w:t>Phase-out of HCFC-141b to be achieved in previously approved projects (ODP tonnes)</w:t>
            </w:r>
          </w:p>
        </w:tc>
        <w:tc>
          <w:tcPr>
            <w:tcW w:w="361" w:type="pct"/>
            <w:tcBorders>
              <w:top w:val="nil"/>
              <w:left w:val="nil"/>
              <w:bottom w:val="single" w:sz="4" w:space="0" w:color="auto"/>
              <w:right w:val="single" w:sz="4" w:space="0" w:color="auto"/>
            </w:tcBorders>
            <w:shd w:val="clear" w:color="auto" w:fill="FFFFFF"/>
            <w:vAlign w:val="center"/>
            <w:hideMark/>
          </w:tcPr>
          <w:p w14:paraId="0BA50428" w14:textId="77777777" w:rsidR="00BD6CCF" w:rsidRPr="008D7AB4" w:rsidRDefault="00BD6CCF" w:rsidP="0013699E">
            <w:pPr>
              <w:jc w:val="right"/>
              <w:rPr>
                <w:color w:val="000000"/>
                <w:sz w:val="17"/>
                <w:szCs w:val="17"/>
              </w:rPr>
            </w:pPr>
            <w:r w:rsidRPr="008D7AB4">
              <w:rPr>
                <w:color w:val="000000"/>
                <w:sz w:val="17"/>
                <w:szCs w:val="17"/>
              </w:rPr>
              <w:t>168.80</w:t>
            </w:r>
          </w:p>
        </w:tc>
      </w:tr>
      <w:tr w:rsidR="00BD6CCF" w:rsidRPr="008D7AB4" w14:paraId="2BE20B2A" w14:textId="77777777" w:rsidTr="0013699E">
        <w:trPr>
          <w:trHeight w:val="57"/>
        </w:trPr>
        <w:tc>
          <w:tcPr>
            <w:tcW w:w="227" w:type="pct"/>
            <w:tcBorders>
              <w:top w:val="nil"/>
              <w:left w:val="single" w:sz="4" w:space="0" w:color="auto"/>
              <w:bottom w:val="single" w:sz="4" w:space="0" w:color="auto"/>
              <w:right w:val="single" w:sz="4" w:space="0" w:color="auto"/>
            </w:tcBorders>
            <w:hideMark/>
          </w:tcPr>
          <w:p w14:paraId="29862665" w14:textId="77777777" w:rsidR="00BD6CCF" w:rsidRPr="008D7AB4" w:rsidRDefault="00BD6CCF" w:rsidP="0013699E">
            <w:pPr>
              <w:jc w:val="left"/>
              <w:rPr>
                <w:color w:val="000000"/>
                <w:sz w:val="17"/>
                <w:szCs w:val="17"/>
              </w:rPr>
            </w:pPr>
            <w:r w:rsidRPr="008D7AB4">
              <w:rPr>
                <w:color w:val="000000"/>
                <w:sz w:val="17"/>
                <w:szCs w:val="17"/>
              </w:rPr>
              <w:t>4.2.3</w:t>
            </w:r>
          </w:p>
        </w:tc>
        <w:tc>
          <w:tcPr>
            <w:tcW w:w="4412" w:type="pct"/>
            <w:gridSpan w:val="11"/>
            <w:tcBorders>
              <w:top w:val="single" w:sz="4" w:space="0" w:color="auto"/>
              <w:left w:val="nil"/>
              <w:bottom w:val="single" w:sz="4" w:space="0" w:color="auto"/>
              <w:right w:val="single" w:sz="4" w:space="0" w:color="000000"/>
            </w:tcBorders>
          </w:tcPr>
          <w:p w14:paraId="1A7BBA6C" w14:textId="77777777" w:rsidR="00BD6CCF" w:rsidRPr="008D7AB4" w:rsidRDefault="00BD6CCF" w:rsidP="0013699E">
            <w:pPr>
              <w:jc w:val="left"/>
              <w:rPr>
                <w:color w:val="000000"/>
                <w:sz w:val="17"/>
                <w:szCs w:val="17"/>
              </w:rPr>
            </w:pPr>
            <w:r w:rsidRPr="008D7AB4">
              <w:rPr>
                <w:color w:val="000000"/>
                <w:sz w:val="17"/>
                <w:szCs w:val="17"/>
              </w:rPr>
              <w:t>Remaining eligible consumption for HCFC-141b (ODP tonnes)</w:t>
            </w:r>
          </w:p>
        </w:tc>
        <w:tc>
          <w:tcPr>
            <w:tcW w:w="361" w:type="pct"/>
            <w:tcBorders>
              <w:top w:val="nil"/>
              <w:left w:val="nil"/>
              <w:bottom w:val="single" w:sz="4" w:space="0" w:color="auto"/>
              <w:right w:val="single" w:sz="4" w:space="0" w:color="auto"/>
            </w:tcBorders>
            <w:shd w:val="clear" w:color="auto" w:fill="FFFFFF"/>
            <w:vAlign w:val="center"/>
            <w:hideMark/>
          </w:tcPr>
          <w:p w14:paraId="17AB90E3" w14:textId="77777777" w:rsidR="00BD6CCF" w:rsidRPr="008D7AB4" w:rsidRDefault="00BD6CCF" w:rsidP="0013699E">
            <w:pPr>
              <w:jc w:val="right"/>
              <w:rPr>
                <w:color w:val="000000"/>
                <w:sz w:val="17"/>
                <w:szCs w:val="17"/>
              </w:rPr>
            </w:pPr>
            <w:r w:rsidRPr="008D7AB4">
              <w:rPr>
                <w:color w:val="000000"/>
                <w:sz w:val="17"/>
                <w:szCs w:val="17"/>
              </w:rPr>
              <w:t>52.00</w:t>
            </w:r>
          </w:p>
        </w:tc>
      </w:tr>
      <w:tr w:rsidR="00BD6CCF" w:rsidRPr="008D7AB4" w14:paraId="10B2EE52" w14:textId="77777777" w:rsidTr="0013699E">
        <w:trPr>
          <w:trHeight w:val="57"/>
        </w:trPr>
        <w:tc>
          <w:tcPr>
            <w:tcW w:w="227" w:type="pct"/>
            <w:tcBorders>
              <w:top w:val="nil"/>
              <w:left w:val="single" w:sz="4" w:space="0" w:color="auto"/>
              <w:bottom w:val="single" w:sz="4" w:space="0" w:color="auto"/>
              <w:right w:val="single" w:sz="4" w:space="0" w:color="auto"/>
            </w:tcBorders>
            <w:hideMark/>
          </w:tcPr>
          <w:p w14:paraId="19D314AA" w14:textId="77777777" w:rsidR="00BD6CCF" w:rsidRPr="008D7AB4" w:rsidRDefault="00BD6CCF" w:rsidP="0013699E">
            <w:pPr>
              <w:jc w:val="left"/>
              <w:rPr>
                <w:color w:val="000000"/>
                <w:sz w:val="17"/>
                <w:szCs w:val="17"/>
              </w:rPr>
            </w:pPr>
            <w:r w:rsidRPr="008D7AB4">
              <w:rPr>
                <w:color w:val="000000"/>
                <w:sz w:val="17"/>
                <w:szCs w:val="17"/>
              </w:rPr>
              <w:t>4.3.1</w:t>
            </w:r>
          </w:p>
        </w:tc>
        <w:tc>
          <w:tcPr>
            <w:tcW w:w="4412" w:type="pct"/>
            <w:gridSpan w:val="11"/>
            <w:tcBorders>
              <w:top w:val="single" w:sz="4" w:space="0" w:color="auto"/>
              <w:left w:val="nil"/>
              <w:bottom w:val="single" w:sz="4" w:space="0" w:color="auto"/>
              <w:right w:val="single" w:sz="4" w:space="0" w:color="000000"/>
            </w:tcBorders>
          </w:tcPr>
          <w:p w14:paraId="51CC7F65" w14:textId="77777777" w:rsidR="00BD6CCF" w:rsidRPr="008D7AB4" w:rsidRDefault="00BD6CCF" w:rsidP="0013699E">
            <w:pPr>
              <w:jc w:val="left"/>
              <w:rPr>
                <w:color w:val="000000"/>
                <w:sz w:val="17"/>
                <w:szCs w:val="17"/>
              </w:rPr>
            </w:pPr>
            <w:r w:rsidRPr="008D7AB4">
              <w:rPr>
                <w:color w:val="000000"/>
                <w:sz w:val="17"/>
                <w:szCs w:val="17"/>
              </w:rPr>
              <w:t>Total phase-out of HCFC-142b agreed to be achieved under this Agreement (ODP tonnes)</w:t>
            </w:r>
          </w:p>
        </w:tc>
        <w:tc>
          <w:tcPr>
            <w:tcW w:w="361" w:type="pct"/>
            <w:tcBorders>
              <w:top w:val="nil"/>
              <w:left w:val="nil"/>
              <w:bottom w:val="single" w:sz="4" w:space="0" w:color="auto"/>
              <w:right w:val="single" w:sz="4" w:space="0" w:color="auto"/>
            </w:tcBorders>
            <w:shd w:val="clear" w:color="auto" w:fill="FFFFFF"/>
            <w:vAlign w:val="center"/>
            <w:hideMark/>
          </w:tcPr>
          <w:p w14:paraId="2D402407" w14:textId="77777777" w:rsidR="00BD6CCF" w:rsidRPr="008D7AB4" w:rsidRDefault="00BD6CCF" w:rsidP="0013699E">
            <w:pPr>
              <w:jc w:val="right"/>
              <w:rPr>
                <w:color w:val="000000"/>
                <w:sz w:val="17"/>
                <w:szCs w:val="17"/>
              </w:rPr>
            </w:pPr>
            <w:r w:rsidRPr="008D7AB4">
              <w:rPr>
                <w:color w:val="000000"/>
                <w:sz w:val="17"/>
                <w:szCs w:val="17"/>
              </w:rPr>
              <w:t>0.00</w:t>
            </w:r>
          </w:p>
        </w:tc>
      </w:tr>
      <w:tr w:rsidR="00BD6CCF" w:rsidRPr="008D7AB4" w14:paraId="4748B45F" w14:textId="77777777" w:rsidTr="0013699E">
        <w:trPr>
          <w:trHeight w:val="57"/>
        </w:trPr>
        <w:tc>
          <w:tcPr>
            <w:tcW w:w="227" w:type="pct"/>
            <w:tcBorders>
              <w:top w:val="nil"/>
              <w:left w:val="single" w:sz="4" w:space="0" w:color="auto"/>
              <w:bottom w:val="single" w:sz="4" w:space="0" w:color="auto"/>
              <w:right w:val="single" w:sz="4" w:space="0" w:color="auto"/>
            </w:tcBorders>
            <w:hideMark/>
          </w:tcPr>
          <w:p w14:paraId="3B6D8818" w14:textId="77777777" w:rsidR="00BD6CCF" w:rsidRPr="008D7AB4" w:rsidRDefault="00BD6CCF" w:rsidP="0013699E">
            <w:pPr>
              <w:jc w:val="left"/>
              <w:rPr>
                <w:color w:val="000000"/>
                <w:sz w:val="17"/>
                <w:szCs w:val="17"/>
              </w:rPr>
            </w:pPr>
            <w:r w:rsidRPr="008D7AB4">
              <w:rPr>
                <w:color w:val="000000"/>
                <w:sz w:val="17"/>
                <w:szCs w:val="17"/>
              </w:rPr>
              <w:t>4.3.2</w:t>
            </w:r>
          </w:p>
        </w:tc>
        <w:tc>
          <w:tcPr>
            <w:tcW w:w="4412" w:type="pct"/>
            <w:gridSpan w:val="11"/>
            <w:tcBorders>
              <w:top w:val="single" w:sz="4" w:space="0" w:color="auto"/>
              <w:left w:val="nil"/>
              <w:bottom w:val="single" w:sz="4" w:space="0" w:color="auto"/>
              <w:right w:val="single" w:sz="4" w:space="0" w:color="000000"/>
            </w:tcBorders>
          </w:tcPr>
          <w:p w14:paraId="740AE56B" w14:textId="77777777" w:rsidR="00BD6CCF" w:rsidRPr="008D7AB4" w:rsidRDefault="00BD6CCF" w:rsidP="0013699E">
            <w:pPr>
              <w:jc w:val="left"/>
              <w:rPr>
                <w:color w:val="000000"/>
                <w:sz w:val="17"/>
                <w:szCs w:val="17"/>
              </w:rPr>
            </w:pPr>
            <w:r w:rsidRPr="008D7AB4">
              <w:rPr>
                <w:color w:val="000000"/>
                <w:sz w:val="17"/>
                <w:szCs w:val="17"/>
              </w:rPr>
              <w:t>Phase-out of HCFC-142b to be achieved in previously approved projects (ODP tonnes)</w:t>
            </w:r>
          </w:p>
        </w:tc>
        <w:tc>
          <w:tcPr>
            <w:tcW w:w="361" w:type="pct"/>
            <w:tcBorders>
              <w:top w:val="nil"/>
              <w:left w:val="nil"/>
              <w:bottom w:val="single" w:sz="4" w:space="0" w:color="auto"/>
              <w:right w:val="single" w:sz="4" w:space="0" w:color="auto"/>
            </w:tcBorders>
            <w:shd w:val="clear" w:color="auto" w:fill="FFFFFF"/>
            <w:vAlign w:val="center"/>
            <w:hideMark/>
          </w:tcPr>
          <w:p w14:paraId="61103EDE" w14:textId="77777777" w:rsidR="00BD6CCF" w:rsidRPr="008D7AB4" w:rsidRDefault="00BD6CCF" w:rsidP="0013699E">
            <w:pPr>
              <w:jc w:val="right"/>
              <w:rPr>
                <w:color w:val="000000"/>
                <w:sz w:val="17"/>
                <w:szCs w:val="17"/>
              </w:rPr>
            </w:pPr>
            <w:r w:rsidRPr="008D7AB4">
              <w:rPr>
                <w:color w:val="000000"/>
                <w:sz w:val="17"/>
                <w:szCs w:val="17"/>
              </w:rPr>
              <w:t>0.00</w:t>
            </w:r>
          </w:p>
        </w:tc>
      </w:tr>
      <w:tr w:rsidR="00BD6CCF" w:rsidRPr="008D7AB4" w14:paraId="10233DFB" w14:textId="77777777" w:rsidTr="0013699E">
        <w:trPr>
          <w:trHeight w:val="57"/>
        </w:trPr>
        <w:tc>
          <w:tcPr>
            <w:tcW w:w="227" w:type="pct"/>
            <w:tcBorders>
              <w:top w:val="nil"/>
              <w:left w:val="single" w:sz="4" w:space="0" w:color="auto"/>
              <w:bottom w:val="single" w:sz="4" w:space="0" w:color="auto"/>
              <w:right w:val="single" w:sz="4" w:space="0" w:color="auto"/>
            </w:tcBorders>
            <w:hideMark/>
          </w:tcPr>
          <w:p w14:paraId="4B3C85AA" w14:textId="77777777" w:rsidR="00BD6CCF" w:rsidRPr="008D7AB4" w:rsidRDefault="00BD6CCF" w:rsidP="0013699E">
            <w:pPr>
              <w:jc w:val="left"/>
              <w:rPr>
                <w:color w:val="000000"/>
                <w:sz w:val="17"/>
                <w:szCs w:val="17"/>
              </w:rPr>
            </w:pPr>
            <w:r w:rsidRPr="008D7AB4">
              <w:rPr>
                <w:color w:val="000000"/>
                <w:sz w:val="17"/>
                <w:szCs w:val="17"/>
              </w:rPr>
              <w:t>4.3.3</w:t>
            </w:r>
          </w:p>
        </w:tc>
        <w:tc>
          <w:tcPr>
            <w:tcW w:w="4412" w:type="pct"/>
            <w:gridSpan w:val="11"/>
            <w:tcBorders>
              <w:top w:val="single" w:sz="4" w:space="0" w:color="auto"/>
              <w:left w:val="nil"/>
              <w:bottom w:val="single" w:sz="4" w:space="0" w:color="auto"/>
              <w:right w:val="single" w:sz="4" w:space="0" w:color="000000"/>
            </w:tcBorders>
          </w:tcPr>
          <w:p w14:paraId="6BE0ACD6" w14:textId="77777777" w:rsidR="00BD6CCF" w:rsidRPr="008D7AB4" w:rsidRDefault="00BD6CCF" w:rsidP="0013699E">
            <w:pPr>
              <w:jc w:val="left"/>
              <w:rPr>
                <w:color w:val="000000"/>
                <w:sz w:val="17"/>
                <w:szCs w:val="17"/>
              </w:rPr>
            </w:pPr>
            <w:r w:rsidRPr="008D7AB4">
              <w:rPr>
                <w:color w:val="000000"/>
                <w:sz w:val="17"/>
                <w:szCs w:val="17"/>
              </w:rPr>
              <w:t>Remaining eligible consumption for HCFC-142b (ODP tonnes)</w:t>
            </w:r>
          </w:p>
        </w:tc>
        <w:tc>
          <w:tcPr>
            <w:tcW w:w="361" w:type="pct"/>
            <w:tcBorders>
              <w:top w:val="nil"/>
              <w:left w:val="nil"/>
              <w:bottom w:val="single" w:sz="4" w:space="0" w:color="auto"/>
              <w:right w:val="single" w:sz="4" w:space="0" w:color="auto"/>
            </w:tcBorders>
            <w:shd w:val="clear" w:color="auto" w:fill="FFFFFF"/>
            <w:vAlign w:val="center"/>
            <w:hideMark/>
          </w:tcPr>
          <w:p w14:paraId="25538508" w14:textId="77777777" w:rsidR="00BD6CCF" w:rsidRPr="008D7AB4" w:rsidRDefault="00BD6CCF" w:rsidP="0013699E">
            <w:pPr>
              <w:jc w:val="right"/>
              <w:rPr>
                <w:color w:val="000000"/>
                <w:sz w:val="17"/>
                <w:szCs w:val="17"/>
              </w:rPr>
            </w:pPr>
            <w:r w:rsidRPr="008D7AB4">
              <w:rPr>
                <w:color w:val="000000"/>
                <w:sz w:val="17"/>
                <w:szCs w:val="17"/>
              </w:rPr>
              <w:t>5.60</w:t>
            </w:r>
          </w:p>
        </w:tc>
      </w:tr>
      <w:tr w:rsidR="00BD6CCF" w:rsidRPr="008D7AB4" w14:paraId="0CE6FC2E" w14:textId="77777777" w:rsidTr="0013699E">
        <w:trPr>
          <w:trHeight w:val="57"/>
        </w:trPr>
        <w:tc>
          <w:tcPr>
            <w:tcW w:w="227" w:type="pct"/>
            <w:tcBorders>
              <w:top w:val="nil"/>
              <w:left w:val="single" w:sz="4" w:space="0" w:color="auto"/>
              <w:bottom w:val="single" w:sz="4" w:space="0" w:color="auto"/>
              <w:right w:val="single" w:sz="4" w:space="0" w:color="auto"/>
            </w:tcBorders>
            <w:hideMark/>
          </w:tcPr>
          <w:p w14:paraId="330D70E5" w14:textId="77777777" w:rsidR="00BD6CCF" w:rsidRPr="008D7AB4" w:rsidRDefault="00BD6CCF" w:rsidP="0013699E">
            <w:pPr>
              <w:jc w:val="left"/>
              <w:rPr>
                <w:color w:val="000000"/>
                <w:sz w:val="17"/>
                <w:szCs w:val="17"/>
              </w:rPr>
            </w:pPr>
            <w:r w:rsidRPr="008D7AB4">
              <w:rPr>
                <w:color w:val="000000"/>
                <w:sz w:val="17"/>
                <w:szCs w:val="17"/>
              </w:rPr>
              <w:t>4.4.1</w:t>
            </w:r>
          </w:p>
        </w:tc>
        <w:tc>
          <w:tcPr>
            <w:tcW w:w="4412" w:type="pct"/>
            <w:gridSpan w:val="11"/>
            <w:tcBorders>
              <w:top w:val="single" w:sz="4" w:space="0" w:color="auto"/>
              <w:left w:val="nil"/>
              <w:bottom w:val="single" w:sz="4" w:space="0" w:color="auto"/>
              <w:right w:val="single" w:sz="4" w:space="0" w:color="000000"/>
            </w:tcBorders>
          </w:tcPr>
          <w:p w14:paraId="25B0C933" w14:textId="77777777" w:rsidR="00BD6CCF" w:rsidRPr="008D7AB4" w:rsidRDefault="00BD6CCF" w:rsidP="0013699E">
            <w:pPr>
              <w:jc w:val="left"/>
              <w:rPr>
                <w:sz w:val="17"/>
                <w:szCs w:val="17"/>
              </w:rPr>
            </w:pPr>
            <w:r w:rsidRPr="008D7AB4">
              <w:rPr>
                <w:color w:val="000000"/>
                <w:sz w:val="17"/>
                <w:szCs w:val="17"/>
              </w:rPr>
              <w:t>Total phase-out of HCFC-123 agreed to be achieved under this Agreement (ODP tonnes)</w:t>
            </w:r>
          </w:p>
        </w:tc>
        <w:tc>
          <w:tcPr>
            <w:tcW w:w="361" w:type="pct"/>
            <w:tcBorders>
              <w:top w:val="nil"/>
              <w:left w:val="nil"/>
              <w:bottom w:val="single" w:sz="4" w:space="0" w:color="auto"/>
              <w:right w:val="single" w:sz="4" w:space="0" w:color="auto"/>
            </w:tcBorders>
            <w:shd w:val="clear" w:color="auto" w:fill="FFFFFF"/>
            <w:vAlign w:val="center"/>
            <w:hideMark/>
          </w:tcPr>
          <w:p w14:paraId="0A23725C" w14:textId="77777777" w:rsidR="00BD6CCF" w:rsidRPr="008D7AB4" w:rsidRDefault="00BD6CCF" w:rsidP="0013699E">
            <w:pPr>
              <w:jc w:val="right"/>
              <w:rPr>
                <w:color w:val="000000"/>
                <w:sz w:val="17"/>
                <w:szCs w:val="17"/>
              </w:rPr>
            </w:pPr>
            <w:r w:rsidRPr="008D7AB4">
              <w:rPr>
                <w:color w:val="000000"/>
                <w:sz w:val="17"/>
                <w:szCs w:val="17"/>
              </w:rPr>
              <w:t>0.00</w:t>
            </w:r>
          </w:p>
        </w:tc>
      </w:tr>
      <w:tr w:rsidR="00BD6CCF" w:rsidRPr="008D7AB4" w14:paraId="49EC4744" w14:textId="77777777" w:rsidTr="0013699E">
        <w:trPr>
          <w:trHeight w:val="57"/>
        </w:trPr>
        <w:tc>
          <w:tcPr>
            <w:tcW w:w="227" w:type="pct"/>
            <w:tcBorders>
              <w:top w:val="nil"/>
              <w:left w:val="single" w:sz="4" w:space="0" w:color="auto"/>
              <w:bottom w:val="single" w:sz="4" w:space="0" w:color="auto"/>
              <w:right w:val="single" w:sz="4" w:space="0" w:color="auto"/>
            </w:tcBorders>
            <w:hideMark/>
          </w:tcPr>
          <w:p w14:paraId="14653280" w14:textId="77777777" w:rsidR="00BD6CCF" w:rsidRPr="008D7AB4" w:rsidRDefault="00BD6CCF" w:rsidP="0013699E">
            <w:pPr>
              <w:jc w:val="left"/>
              <w:rPr>
                <w:color w:val="000000"/>
                <w:sz w:val="17"/>
                <w:szCs w:val="17"/>
              </w:rPr>
            </w:pPr>
            <w:r w:rsidRPr="008D7AB4">
              <w:rPr>
                <w:color w:val="000000"/>
                <w:sz w:val="17"/>
                <w:szCs w:val="17"/>
              </w:rPr>
              <w:t>4.4.2</w:t>
            </w:r>
          </w:p>
        </w:tc>
        <w:tc>
          <w:tcPr>
            <w:tcW w:w="4412" w:type="pct"/>
            <w:gridSpan w:val="11"/>
            <w:tcBorders>
              <w:top w:val="single" w:sz="4" w:space="0" w:color="auto"/>
              <w:left w:val="nil"/>
              <w:bottom w:val="single" w:sz="4" w:space="0" w:color="auto"/>
              <w:right w:val="single" w:sz="4" w:space="0" w:color="000000"/>
            </w:tcBorders>
          </w:tcPr>
          <w:p w14:paraId="094F1E69" w14:textId="77777777" w:rsidR="00BD6CCF" w:rsidRPr="008D7AB4" w:rsidRDefault="00BD6CCF" w:rsidP="0013699E">
            <w:pPr>
              <w:jc w:val="left"/>
              <w:rPr>
                <w:color w:val="000000"/>
                <w:sz w:val="17"/>
                <w:szCs w:val="17"/>
              </w:rPr>
            </w:pPr>
            <w:r w:rsidRPr="008D7AB4">
              <w:rPr>
                <w:color w:val="000000"/>
                <w:sz w:val="17"/>
                <w:szCs w:val="17"/>
              </w:rPr>
              <w:t>Phase-out of HCFC-123 to be achieved in previously approved projects (ODP tonnes)</w:t>
            </w:r>
          </w:p>
        </w:tc>
        <w:tc>
          <w:tcPr>
            <w:tcW w:w="361" w:type="pct"/>
            <w:tcBorders>
              <w:top w:val="nil"/>
              <w:left w:val="nil"/>
              <w:bottom w:val="single" w:sz="4" w:space="0" w:color="auto"/>
              <w:right w:val="single" w:sz="4" w:space="0" w:color="auto"/>
            </w:tcBorders>
            <w:shd w:val="clear" w:color="auto" w:fill="FFFFFF"/>
            <w:vAlign w:val="center"/>
            <w:hideMark/>
          </w:tcPr>
          <w:p w14:paraId="3B4E67AE" w14:textId="77777777" w:rsidR="00BD6CCF" w:rsidRPr="008D7AB4" w:rsidRDefault="00BD6CCF" w:rsidP="0013699E">
            <w:pPr>
              <w:jc w:val="right"/>
              <w:rPr>
                <w:color w:val="000000"/>
                <w:sz w:val="17"/>
                <w:szCs w:val="17"/>
              </w:rPr>
            </w:pPr>
            <w:r w:rsidRPr="008D7AB4">
              <w:rPr>
                <w:color w:val="000000"/>
                <w:sz w:val="17"/>
                <w:szCs w:val="17"/>
              </w:rPr>
              <w:t>0.00</w:t>
            </w:r>
          </w:p>
        </w:tc>
      </w:tr>
      <w:tr w:rsidR="00BD6CCF" w:rsidRPr="008D7AB4" w14:paraId="0518F9A9" w14:textId="77777777" w:rsidTr="0013699E">
        <w:trPr>
          <w:trHeight w:val="57"/>
        </w:trPr>
        <w:tc>
          <w:tcPr>
            <w:tcW w:w="227" w:type="pct"/>
            <w:tcBorders>
              <w:top w:val="single" w:sz="4" w:space="0" w:color="auto"/>
              <w:left w:val="single" w:sz="4" w:space="0" w:color="auto"/>
              <w:bottom w:val="single" w:sz="4" w:space="0" w:color="auto"/>
              <w:right w:val="single" w:sz="4" w:space="0" w:color="auto"/>
            </w:tcBorders>
            <w:hideMark/>
          </w:tcPr>
          <w:p w14:paraId="0876D95E" w14:textId="77777777" w:rsidR="00BD6CCF" w:rsidRPr="008D7AB4" w:rsidRDefault="00BD6CCF" w:rsidP="0013699E">
            <w:pPr>
              <w:jc w:val="left"/>
              <w:rPr>
                <w:color w:val="000000"/>
                <w:sz w:val="17"/>
                <w:szCs w:val="17"/>
              </w:rPr>
            </w:pPr>
            <w:r w:rsidRPr="008D7AB4">
              <w:rPr>
                <w:color w:val="000000"/>
                <w:sz w:val="17"/>
                <w:szCs w:val="17"/>
              </w:rPr>
              <w:t>4.4.3</w:t>
            </w:r>
          </w:p>
        </w:tc>
        <w:tc>
          <w:tcPr>
            <w:tcW w:w="4412" w:type="pct"/>
            <w:gridSpan w:val="11"/>
            <w:tcBorders>
              <w:top w:val="single" w:sz="4" w:space="0" w:color="auto"/>
              <w:left w:val="nil"/>
              <w:bottom w:val="single" w:sz="4" w:space="0" w:color="auto"/>
              <w:right w:val="single" w:sz="4" w:space="0" w:color="000000"/>
            </w:tcBorders>
          </w:tcPr>
          <w:p w14:paraId="527DA092" w14:textId="77777777" w:rsidR="00BD6CCF" w:rsidRPr="008D7AB4" w:rsidRDefault="00BD6CCF" w:rsidP="0013699E">
            <w:pPr>
              <w:jc w:val="left"/>
              <w:rPr>
                <w:color w:val="000000"/>
                <w:sz w:val="17"/>
                <w:szCs w:val="17"/>
              </w:rPr>
            </w:pPr>
            <w:r w:rsidRPr="008D7AB4">
              <w:rPr>
                <w:color w:val="000000"/>
                <w:sz w:val="17"/>
                <w:szCs w:val="17"/>
              </w:rPr>
              <w:t>Remaining eligible consumption for HCFC-123 (ODP tonnes)</w:t>
            </w:r>
          </w:p>
        </w:tc>
        <w:tc>
          <w:tcPr>
            <w:tcW w:w="361" w:type="pct"/>
            <w:tcBorders>
              <w:top w:val="single" w:sz="4" w:space="0" w:color="auto"/>
              <w:left w:val="nil"/>
              <w:bottom w:val="single" w:sz="4" w:space="0" w:color="auto"/>
              <w:right w:val="single" w:sz="4" w:space="0" w:color="auto"/>
            </w:tcBorders>
            <w:shd w:val="clear" w:color="auto" w:fill="FFFFFF"/>
            <w:vAlign w:val="center"/>
            <w:hideMark/>
          </w:tcPr>
          <w:p w14:paraId="3885EE6F" w14:textId="77777777" w:rsidR="00BD6CCF" w:rsidRPr="008D7AB4" w:rsidRDefault="00BD6CCF" w:rsidP="0013699E">
            <w:pPr>
              <w:jc w:val="right"/>
              <w:rPr>
                <w:color w:val="000000"/>
                <w:sz w:val="17"/>
                <w:szCs w:val="17"/>
              </w:rPr>
            </w:pPr>
            <w:r w:rsidRPr="008D7AB4">
              <w:rPr>
                <w:color w:val="000000"/>
                <w:sz w:val="17"/>
                <w:szCs w:val="17"/>
              </w:rPr>
              <w:t>0.30</w:t>
            </w:r>
          </w:p>
        </w:tc>
      </w:tr>
      <w:tr w:rsidR="00BD6CCF" w:rsidRPr="008D7AB4" w14:paraId="343509E3" w14:textId="77777777" w:rsidTr="0013699E">
        <w:trPr>
          <w:trHeight w:val="57"/>
        </w:trPr>
        <w:tc>
          <w:tcPr>
            <w:tcW w:w="227" w:type="pct"/>
            <w:tcBorders>
              <w:top w:val="single" w:sz="4" w:space="0" w:color="auto"/>
              <w:left w:val="single" w:sz="4" w:space="0" w:color="auto"/>
              <w:bottom w:val="single" w:sz="4" w:space="0" w:color="auto"/>
              <w:right w:val="single" w:sz="4" w:space="0" w:color="auto"/>
            </w:tcBorders>
            <w:hideMark/>
          </w:tcPr>
          <w:p w14:paraId="2A2E7A00" w14:textId="77777777" w:rsidR="00BD6CCF" w:rsidRPr="008D7AB4" w:rsidRDefault="00BD6CCF" w:rsidP="0013699E">
            <w:pPr>
              <w:jc w:val="left"/>
              <w:rPr>
                <w:color w:val="000000"/>
                <w:sz w:val="17"/>
                <w:szCs w:val="17"/>
              </w:rPr>
            </w:pPr>
            <w:r w:rsidRPr="008D7AB4">
              <w:rPr>
                <w:color w:val="000000"/>
                <w:sz w:val="17"/>
                <w:szCs w:val="17"/>
              </w:rPr>
              <w:t>4.5.1</w:t>
            </w:r>
          </w:p>
        </w:tc>
        <w:tc>
          <w:tcPr>
            <w:tcW w:w="4412" w:type="pct"/>
            <w:gridSpan w:val="11"/>
            <w:tcBorders>
              <w:top w:val="single" w:sz="4" w:space="0" w:color="auto"/>
              <w:left w:val="nil"/>
              <w:bottom w:val="single" w:sz="4" w:space="0" w:color="auto"/>
              <w:right w:val="single" w:sz="4" w:space="0" w:color="000000"/>
            </w:tcBorders>
          </w:tcPr>
          <w:p w14:paraId="540B0EEA" w14:textId="77777777" w:rsidR="00BD6CCF" w:rsidRPr="008D7AB4" w:rsidRDefault="00BD6CCF" w:rsidP="0013699E">
            <w:pPr>
              <w:jc w:val="left"/>
              <w:rPr>
                <w:color w:val="000000"/>
                <w:sz w:val="17"/>
                <w:szCs w:val="17"/>
              </w:rPr>
            </w:pPr>
            <w:r w:rsidRPr="008D7AB4">
              <w:rPr>
                <w:color w:val="000000"/>
                <w:sz w:val="17"/>
                <w:szCs w:val="17"/>
              </w:rPr>
              <w:t>Total phase-out of HCFC-124 agreed to be achieved under this Agreement (ODP tonnes)</w:t>
            </w:r>
          </w:p>
        </w:tc>
        <w:tc>
          <w:tcPr>
            <w:tcW w:w="361" w:type="pct"/>
            <w:tcBorders>
              <w:top w:val="single" w:sz="4" w:space="0" w:color="auto"/>
              <w:left w:val="nil"/>
              <w:bottom w:val="single" w:sz="4" w:space="0" w:color="auto"/>
              <w:right w:val="single" w:sz="4" w:space="0" w:color="auto"/>
            </w:tcBorders>
            <w:shd w:val="clear" w:color="auto" w:fill="FFFFFF"/>
            <w:vAlign w:val="center"/>
            <w:hideMark/>
          </w:tcPr>
          <w:p w14:paraId="47481AB2" w14:textId="77777777" w:rsidR="00BD6CCF" w:rsidRPr="008D7AB4" w:rsidRDefault="00BD6CCF" w:rsidP="0013699E">
            <w:pPr>
              <w:jc w:val="right"/>
              <w:rPr>
                <w:color w:val="000000"/>
                <w:sz w:val="17"/>
                <w:szCs w:val="17"/>
              </w:rPr>
            </w:pPr>
            <w:r w:rsidRPr="008D7AB4">
              <w:rPr>
                <w:color w:val="000000"/>
                <w:sz w:val="17"/>
                <w:szCs w:val="17"/>
              </w:rPr>
              <w:t>0.00</w:t>
            </w:r>
          </w:p>
        </w:tc>
      </w:tr>
      <w:tr w:rsidR="00BD6CCF" w:rsidRPr="008D7AB4" w14:paraId="79F5247D" w14:textId="77777777" w:rsidTr="0013699E">
        <w:trPr>
          <w:trHeight w:val="57"/>
        </w:trPr>
        <w:tc>
          <w:tcPr>
            <w:tcW w:w="227" w:type="pct"/>
            <w:tcBorders>
              <w:top w:val="single" w:sz="4" w:space="0" w:color="auto"/>
              <w:left w:val="single" w:sz="4" w:space="0" w:color="auto"/>
              <w:bottom w:val="single" w:sz="4" w:space="0" w:color="auto"/>
              <w:right w:val="single" w:sz="4" w:space="0" w:color="auto"/>
            </w:tcBorders>
            <w:hideMark/>
          </w:tcPr>
          <w:p w14:paraId="71C92087" w14:textId="77777777" w:rsidR="00BD6CCF" w:rsidRPr="008D7AB4" w:rsidRDefault="00BD6CCF" w:rsidP="0013699E">
            <w:pPr>
              <w:jc w:val="left"/>
              <w:rPr>
                <w:color w:val="000000"/>
                <w:sz w:val="17"/>
                <w:szCs w:val="17"/>
              </w:rPr>
            </w:pPr>
            <w:r w:rsidRPr="008D7AB4">
              <w:rPr>
                <w:color w:val="000000"/>
                <w:sz w:val="17"/>
                <w:szCs w:val="17"/>
              </w:rPr>
              <w:t>4.5.2</w:t>
            </w:r>
          </w:p>
        </w:tc>
        <w:tc>
          <w:tcPr>
            <w:tcW w:w="4412" w:type="pct"/>
            <w:gridSpan w:val="11"/>
            <w:tcBorders>
              <w:top w:val="single" w:sz="4" w:space="0" w:color="auto"/>
              <w:left w:val="nil"/>
              <w:bottom w:val="single" w:sz="4" w:space="0" w:color="auto"/>
              <w:right w:val="single" w:sz="4" w:space="0" w:color="000000"/>
            </w:tcBorders>
          </w:tcPr>
          <w:p w14:paraId="4BF1DDCB" w14:textId="77777777" w:rsidR="00BD6CCF" w:rsidRPr="008D7AB4" w:rsidRDefault="00BD6CCF" w:rsidP="0013699E">
            <w:pPr>
              <w:jc w:val="left"/>
              <w:rPr>
                <w:color w:val="000000"/>
                <w:sz w:val="17"/>
                <w:szCs w:val="17"/>
              </w:rPr>
            </w:pPr>
            <w:r w:rsidRPr="008D7AB4">
              <w:rPr>
                <w:color w:val="000000"/>
                <w:sz w:val="17"/>
                <w:szCs w:val="17"/>
              </w:rPr>
              <w:t>Phase-out of HCFC-124 to be achieved in previously approved projects (ODP tonnes)</w:t>
            </w:r>
          </w:p>
        </w:tc>
        <w:tc>
          <w:tcPr>
            <w:tcW w:w="361" w:type="pct"/>
            <w:tcBorders>
              <w:top w:val="single" w:sz="4" w:space="0" w:color="auto"/>
              <w:left w:val="nil"/>
              <w:bottom w:val="single" w:sz="4" w:space="0" w:color="auto"/>
              <w:right w:val="single" w:sz="4" w:space="0" w:color="auto"/>
            </w:tcBorders>
            <w:shd w:val="clear" w:color="auto" w:fill="FFFFFF"/>
            <w:vAlign w:val="center"/>
            <w:hideMark/>
          </w:tcPr>
          <w:p w14:paraId="18D68D3D" w14:textId="77777777" w:rsidR="00BD6CCF" w:rsidRPr="008D7AB4" w:rsidRDefault="00BD6CCF" w:rsidP="0013699E">
            <w:pPr>
              <w:jc w:val="right"/>
              <w:rPr>
                <w:color w:val="000000"/>
                <w:sz w:val="17"/>
                <w:szCs w:val="17"/>
              </w:rPr>
            </w:pPr>
            <w:r w:rsidRPr="008D7AB4">
              <w:rPr>
                <w:color w:val="000000"/>
                <w:sz w:val="17"/>
                <w:szCs w:val="17"/>
              </w:rPr>
              <w:t>0.00</w:t>
            </w:r>
          </w:p>
        </w:tc>
      </w:tr>
      <w:tr w:rsidR="00BD6CCF" w:rsidRPr="008D7AB4" w14:paraId="43BDD372" w14:textId="77777777" w:rsidTr="0013699E">
        <w:trPr>
          <w:trHeight w:val="57"/>
        </w:trPr>
        <w:tc>
          <w:tcPr>
            <w:tcW w:w="227" w:type="pct"/>
            <w:tcBorders>
              <w:top w:val="nil"/>
              <w:left w:val="single" w:sz="4" w:space="0" w:color="auto"/>
              <w:bottom w:val="single" w:sz="4" w:space="0" w:color="auto"/>
              <w:right w:val="single" w:sz="4" w:space="0" w:color="auto"/>
            </w:tcBorders>
            <w:hideMark/>
          </w:tcPr>
          <w:p w14:paraId="4C85CC9D" w14:textId="77777777" w:rsidR="00BD6CCF" w:rsidRPr="008D7AB4" w:rsidRDefault="00BD6CCF" w:rsidP="0013699E">
            <w:pPr>
              <w:jc w:val="left"/>
              <w:rPr>
                <w:color w:val="000000"/>
                <w:sz w:val="17"/>
                <w:szCs w:val="17"/>
              </w:rPr>
            </w:pPr>
            <w:r w:rsidRPr="008D7AB4">
              <w:rPr>
                <w:color w:val="000000"/>
                <w:sz w:val="17"/>
                <w:szCs w:val="17"/>
              </w:rPr>
              <w:t>4.5.3</w:t>
            </w:r>
          </w:p>
        </w:tc>
        <w:tc>
          <w:tcPr>
            <w:tcW w:w="4412" w:type="pct"/>
            <w:gridSpan w:val="11"/>
            <w:tcBorders>
              <w:top w:val="single" w:sz="4" w:space="0" w:color="auto"/>
              <w:left w:val="nil"/>
              <w:bottom w:val="single" w:sz="4" w:space="0" w:color="auto"/>
              <w:right w:val="single" w:sz="4" w:space="0" w:color="000000"/>
            </w:tcBorders>
          </w:tcPr>
          <w:p w14:paraId="440790F4" w14:textId="77777777" w:rsidR="00BD6CCF" w:rsidRPr="008D7AB4" w:rsidRDefault="00BD6CCF" w:rsidP="0013699E">
            <w:pPr>
              <w:jc w:val="left"/>
              <w:rPr>
                <w:color w:val="000000"/>
                <w:sz w:val="17"/>
                <w:szCs w:val="17"/>
              </w:rPr>
            </w:pPr>
            <w:r w:rsidRPr="008D7AB4">
              <w:rPr>
                <w:color w:val="000000"/>
                <w:sz w:val="17"/>
                <w:szCs w:val="17"/>
              </w:rPr>
              <w:t>Remaining eligible consumption for HCFC-124 (ODP tonnes)</w:t>
            </w:r>
          </w:p>
        </w:tc>
        <w:tc>
          <w:tcPr>
            <w:tcW w:w="361" w:type="pct"/>
            <w:tcBorders>
              <w:top w:val="nil"/>
              <w:left w:val="nil"/>
              <w:bottom w:val="single" w:sz="4" w:space="0" w:color="auto"/>
              <w:right w:val="single" w:sz="4" w:space="0" w:color="auto"/>
            </w:tcBorders>
            <w:shd w:val="clear" w:color="auto" w:fill="FFFFFF"/>
            <w:vAlign w:val="center"/>
            <w:hideMark/>
          </w:tcPr>
          <w:p w14:paraId="7150CC63" w14:textId="77777777" w:rsidR="00BD6CCF" w:rsidRPr="008D7AB4" w:rsidRDefault="00BD6CCF" w:rsidP="0013699E">
            <w:pPr>
              <w:jc w:val="right"/>
              <w:rPr>
                <w:color w:val="000000"/>
                <w:sz w:val="17"/>
                <w:szCs w:val="17"/>
              </w:rPr>
            </w:pPr>
            <w:r w:rsidRPr="008D7AB4">
              <w:rPr>
                <w:color w:val="000000"/>
                <w:sz w:val="17"/>
                <w:szCs w:val="17"/>
              </w:rPr>
              <w:t>7.70</w:t>
            </w:r>
          </w:p>
        </w:tc>
      </w:tr>
    </w:tbl>
    <w:p w14:paraId="6465A264" w14:textId="77777777" w:rsidR="00BD6CCF" w:rsidRPr="008D7AB4" w:rsidRDefault="00BD6CCF" w:rsidP="00BD6CCF">
      <w:pPr>
        <w:rPr>
          <w:b/>
          <w:bCs/>
          <w:highlight w:val="yellow"/>
        </w:rPr>
        <w:sectPr w:rsidR="00BD6CCF" w:rsidRPr="008D7AB4" w:rsidSect="008D7AB4">
          <w:headerReference w:type="even" r:id="rId23"/>
          <w:headerReference w:type="default" r:id="rId24"/>
          <w:footerReference w:type="even" r:id="rId25"/>
          <w:footerReference w:type="default" r:id="rId26"/>
          <w:pgSz w:w="15840" w:h="12240" w:orient="landscape" w:code="1"/>
          <w:pgMar w:top="1440" w:right="720" w:bottom="1440" w:left="864" w:header="720" w:footer="475" w:gutter="0"/>
          <w:pgNumType w:start="1"/>
          <w:cols w:space="720"/>
          <w:docGrid w:linePitch="299"/>
        </w:sectPr>
      </w:pPr>
    </w:p>
    <w:p w14:paraId="2A13B856" w14:textId="77777777" w:rsidR="00BD6CCF" w:rsidRPr="008D7AB4" w:rsidRDefault="00BD6CCF" w:rsidP="00BD6CCF">
      <w:pPr>
        <w:rPr>
          <w:b/>
          <w:bCs/>
        </w:rPr>
      </w:pPr>
    </w:p>
    <w:p w14:paraId="51938532" w14:textId="77777777" w:rsidR="00BD6CCF" w:rsidRPr="008D7AB4" w:rsidRDefault="00BD6CCF" w:rsidP="00BD6CCF">
      <w:pPr>
        <w:rPr>
          <w:b/>
          <w:bCs/>
        </w:rPr>
      </w:pPr>
      <w:r w:rsidRPr="008D7AB4">
        <w:rPr>
          <w:b/>
          <w:bCs/>
        </w:rPr>
        <w:t>APPENDIX 7-A: REDUCTIONS IN FUNDING FOR FAILURE TO COMPLY</w:t>
      </w:r>
    </w:p>
    <w:p w14:paraId="2369B3B8" w14:textId="77777777" w:rsidR="00BD6CCF" w:rsidRPr="008D7AB4" w:rsidRDefault="00BD6CCF" w:rsidP="00BD6CCF">
      <w:pPr>
        <w:rPr>
          <w:b/>
          <w:bCs/>
        </w:rPr>
      </w:pPr>
    </w:p>
    <w:p w14:paraId="29206A8B" w14:textId="77777777" w:rsidR="00BD6CCF" w:rsidRPr="008D7AB4" w:rsidRDefault="00BD6CCF" w:rsidP="00BD6CCF">
      <w:pPr>
        <w:pStyle w:val="Heading1"/>
        <w:numPr>
          <w:ilvl w:val="0"/>
          <w:numId w:val="36"/>
        </w:numPr>
      </w:pPr>
      <w:r w:rsidRPr="008D7AB4">
        <w:t xml:space="preserve">In accordance with paragraph 11 of the Agreement, the amount of funding provided may be reduced by </w:t>
      </w:r>
      <w:r w:rsidRPr="008D7AB4">
        <w:rPr>
          <w:b/>
          <w:bCs/>
        </w:rPr>
        <w:t>US $111.90</w:t>
      </w:r>
      <w:r w:rsidRPr="008D7AB4">
        <w:t xml:space="preserve"> per ODP kg of consumption beyond the level defined in row 1.2 of Appendix 2-A for each year in which the target specified in row 1.2 of Appendix 2-A has not been met. 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related to the non-compliance. If it is not possible to determine a sector, or both stages are addressing the same sector, the penalty level to be applied would be the largest.</w:t>
      </w:r>
    </w:p>
    <w:p w14:paraId="3A38DC09" w14:textId="325E0A5B" w:rsidR="007B3584" w:rsidRPr="008D7AB4" w:rsidRDefault="007B3584" w:rsidP="006621BF">
      <w:pPr>
        <w:rPr>
          <w:highlight w:val="yellow"/>
        </w:rPr>
      </w:pPr>
    </w:p>
    <w:p w14:paraId="5CC00AAA" w14:textId="77777777" w:rsidR="007B3584" w:rsidRPr="008D7AB4" w:rsidRDefault="007B3584" w:rsidP="006621BF">
      <w:pPr>
        <w:rPr>
          <w:highlight w:val="yellow"/>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8D7AB4" w14:paraId="14F9AAF6" w14:textId="77777777" w:rsidTr="00742568">
        <w:tc>
          <w:tcPr>
            <w:tcW w:w="1871" w:type="dxa"/>
          </w:tcPr>
          <w:p w14:paraId="4CE4EBBD" w14:textId="77777777" w:rsidR="00E85409" w:rsidRPr="008D7AB4" w:rsidRDefault="00E85409" w:rsidP="00FB077C"/>
        </w:tc>
        <w:tc>
          <w:tcPr>
            <w:tcW w:w="1872" w:type="dxa"/>
          </w:tcPr>
          <w:p w14:paraId="05349C83" w14:textId="77777777" w:rsidR="00E85409" w:rsidRPr="008D7AB4" w:rsidRDefault="00E85409" w:rsidP="00FB077C"/>
        </w:tc>
        <w:tc>
          <w:tcPr>
            <w:tcW w:w="1872" w:type="dxa"/>
            <w:tcBorders>
              <w:bottom w:val="single" w:sz="4" w:space="0" w:color="auto"/>
            </w:tcBorders>
          </w:tcPr>
          <w:p w14:paraId="4E6501D0" w14:textId="77777777" w:rsidR="00E85409" w:rsidRPr="008D7AB4" w:rsidRDefault="00E85409" w:rsidP="00FB077C"/>
        </w:tc>
        <w:tc>
          <w:tcPr>
            <w:tcW w:w="1872" w:type="dxa"/>
          </w:tcPr>
          <w:p w14:paraId="1403798F" w14:textId="77777777" w:rsidR="00E85409" w:rsidRPr="008D7AB4" w:rsidRDefault="00E85409" w:rsidP="00FB077C"/>
        </w:tc>
        <w:tc>
          <w:tcPr>
            <w:tcW w:w="1873" w:type="dxa"/>
          </w:tcPr>
          <w:p w14:paraId="645B1320" w14:textId="77777777" w:rsidR="00E85409" w:rsidRPr="008D7AB4" w:rsidRDefault="00E85409" w:rsidP="00FB077C"/>
        </w:tc>
      </w:tr>
    </w:tbl>
    <w:p w14:paraId="49206E44" w14:textId="77777777" w:rsidR="00E85409" w:rsidRPr="008D7AB4" w:rsidRDefault="00E85409" w:rsidP="004E7F9C"/>
    <w:sectPr w:rsidR="00E85409" w:rsidRPr="008D7AB4" w:rsidSect="008D7AB4">
      <w:headerReference w:type="even" r:id="rId27"/>
      <w:headerReference w:type="default" r:id="rId28"/>
      <w:footerReference w:type="default" r:id="rId29"/>
      <w:pgSz w:w="12240" w:h="15840" w:code="1"/>
      <w:pgMar w:top="720" w:right="1440" w:bottom="864" w:left="1440" w:header="720" w:footer="475" w:gutter="0"/>
      <w:pgNumType w:start="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5B5084" w14:textId="77777777" w:rsidR="00EA7258" w:rsidRDefault="00EA7258" w:rsidP="004A504B">
      <w:r>
        <w:separator/>
      </w:r>
    </w:p>
  </w:endnote>
  <w:endnote w:type="continuationSeparator" w:id="0">
    <w:p w14:paraId="13D396C8" w14:textId="77777777" w:rsidR="00EA7258" w:rsidRDefault="00EA725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9F07A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4075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42950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25AE55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D548C5" w14:textId="77777777" w:rsidR="00EE69D4" w:rsidRPr="0033525D" w:rsidRDefault="00EE69D4">
    <w:pPr>
      <w:jc w:val="center"/>
    </w:pPr>
    <w:r>
      <w:fldChar w:fldCharType="begin"/>
    </w:r>
    <w:r>
      <w:instrText xml:space="preserve"> PAGE </w:instrText>
    </w:r>
    <w:r>
      <w:fldChar w:fldCharType="separate"/>
    </w:r>
    <w:r>
      <w:rPr>
        <w:noProof/>
      </w:rPr>
      <w:t>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06D15C" w14:textId="77777777" w:rsidR="00BD6CCF" w:rsidRPr="0033525D" w:rsidRDefault="00BD6CCF">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ECFA6C" w14:textId="77777777" w:rsidR="00BD6CCF" w:rsidRPr="0033525D" w:rsidRDefault="00BD6CCF">
    <w:pPr>
      <w:jc w:val="center"/>
    </w:pPr>
    <w:r>
      <w:fldChar w:fldCharType="begin"/>
    </w:r>
    <w:r>
      <w:instrText xml:space="preserve"> PAGE </w:instrText>
    </w:r>
    <w:r>
      <w:fldChar w:fldCharType="separate"/>
    </w:r>
    <w:r>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256398" w14:textId="77777777" w:rsidR="007B3584" w:rsidRPr="0033525D" w:rsidRDefault="007B3584">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E38303" w14:textId="77777777" w:rsidR="00EA7258" w:rsidRDefault="00EA7258" w:rsidP="004A504B">
      <w:r>
        <w:separator/>
      </w:r>
    </w:p>
  </w:footnote>
  <w:footnote w:type="continuationSeparator" w:id="0">
    <w:p w14:paraId="2F99C5B0" w14:textId="77777777" w:rsidR="00EA7258" w:rsidRDefault="00EA7258" w:rsidP="004A504B">
      <w:r>
        <w:continuationSeparator/>
      </w:r>
    </w:p>
  </w:footnote>
  <w:footnote w:id="1">
    <w:p w14:paraId="4850BB8F" w14:textId="77777777" w:rsidR="00EC57AE" w:rsidRDefault="00EC57AE" w:rsidP="00EC57AE">
      <w:pPr>
        <w:pStyle w:val="FootnoteText"/>
        <w:spacing w:after="60"/>
      </w:pPr>
      <w:r>
        <w:rPr>
          <w:rStyle w:val="FootnoteReference"/>
        </w:rPr>
        <w:footnoteRef/>
      </w:r>
      <w:r>
        <w:t xml:space="preserve"> UNEP/OzL.Pro/ExCom/91/1</w:t>
      </w:r>
    </w:p>
  </w:footnote>
  <w:footnote w:id="2">
    <w:p w14:paraId="61A9AADF" w14:textId="77777777" w:rsidR="00B80950" w:rsidRPr="00B1376A" w:rsidRDefault="00B80950" w:rsidP="00B80950">
      <w:pPr>
        <w:pStyle w:val="FootnoteText"/>
        <w:rPr>
          <w:lang w:val="en-US"/>
        </w:rPr>
      </w:pPr>
      <w:r>
        <w:rPr>
          <w:rStyle w:val="FootnoteReference"/>
        </w:rPr>
        <w:footnoteRef/>
      </w:r>
      <w:r>
        <w:t xml:space="preserve"> Provision</w:t>
      </w:r>
      <w:r>
        <w:rPr>
          <w:lang w:val="en-US"/>
        </w:rPr>
        <w:t xml:space="preserve"> contained in Annex VII of document UNEP/OzL.Pro/ExCom/90/40.</w:t>
      </w:r>
    </w:p>
  </w:footnote>
  <w:footnote w:id="3">
    <w:p w14:paraId="1737652C" w14:textId="77777777" w:rsidR="00BC7AF0" w:rsidRPr="00D9665C" w:rsidRDefault="00BC7AF0" w:rsidP="00BC7AF0">
      <w:pPr>
        <w:pStyle w:val="FootnoteText"/>
      </w:pPr>
      <w:r w:rsidRPr="00794CDF">
        <w:rPr>
          <w:rStyle w:val="FootnoteReference"/>
        </w:rPr>
        <w:footnoteRef/>
      </w:r>
      <w:r w:rsidRPr="00D9665C">
        <w:t xml:space="preserve"> UNEP/OzL.Pro/ExCom/84/39</w:t>
      </w:r>
    </w:p>
  </w:footnote>
  <w:footnote w:id="4">
    <w:p w14:paraId="433104DA" w14:textId="77777777" w:rsidR="00BC7AF0" w:rsidRPr="00225084" w:rsidRDefault="00BC7AF0" w:rsidP="00BC7AF0">
      <w:pPr>
        <w:pStyle w:val="FootnoteText"/>
        <w:rPr>
          <w:lang w:val="en-US"/>
        </w:rPr>
      </w:pPr>
      <w:r>
        <w:rPr>
          <w:rStyle w:val="FootnoteReference"/>
        </w:rPr>
        <w:footnoteRef/>
      </w:r>
      <w:r>
        <w:t xml:space="preserve"> T</w:t>
      </w:r>
      <w:r>
        <w:rPr>
          <w:lang w:val="en-US"/>
        </w:rPr>
        <w:t>he Executive Committee noted the relevant progress reports submitted between the 85</w:t>
      </w:r>
      <w:r w:rsidRPr="00225084">
        <w:rPr>
          <w:vertAlign w:val="superscript"/>
          <w:lang w:val="en-US"/>
        </w:rPr>
        <w:t>th</w:t>
      </w:r>
      <w:r>
        <w:rPr>
          <w:lang w:val="en-US"/>
        </w:rPr>
        <w:t xml:space="preserve"> and 90</w:t>
      </w:r>
      <w:r w:rsidRPr="00225084">
        <w:rPr>
          <w:vertAlign w:val="superscript"/>
          <w:lang w:val="en-US"/>
        </w:rPr>
        <w:t>t</w:t>
      </w:r>
      <w:r>
        <w:rPr>
          <w:vertAlign w:val="superscript"/>
          <w:lang w:val="en-US"/>
        </w:rPr>
        <w:t xml:space="preserve">h </w:t>
      </w:r>
      <w:r>
        <w:rPr>
          <w:lang w:val="en-US"/>
        </w:rPr>
        <w:t xml:space="preserve">meeting in decisions 85/4, 86/22, 87/7, </w:t>
      </w:r>
      <w:r w:rsidRPr="00E5785C">
        <w:rPr>
          <w:lang w:val="en-US"/>
        </w:rPr>
        <w:t>88/17</w:t>
      </w:r>
      <w:r>
        <w:rPr>
          <w:lang w:val="en-US"/>
        </w:rPr>
        <w:t>, and 90/7</w:t>
      </w:r>
      <w:r w:rsidRPr="00E5785C">
        <w:rPr>
          <w:lang w:val="en-US"/>
        </w:rPr>
        <w:t>.</w:t>
      </w:r>
    </w:p>
  </w:footnote>
  <w:footnote w:id="5">
    <w:p w14:paraId="4A93FE0E" w14:textId="77777777" w:rsidR="00BC7AF0" w:rsidRPr="00157F0D" w:rsidRDefault="00BC7AF0" w:rsidP="00BC7AF0">
      <w:pPr>
        <w:pStyle w:val="FootnoteText"/>
        <w:rPr>
          <w:lang w:val="en-US"/>
        </w:rPr>
      </w:pPr>
      <w:r w:rsidRPr="00C41FB9">
        <w:rPr>
          <w:rStyle w:val="FootnoteReference"/>
        </w:rPr>
        <w:footnoteRef/>
      </w:r>
      <w:r w:rsidRPr="00C41FB9">
        <w:t xml:space="preserve"> </w:t>
      </w:r>
      <w:r>
        <w:t>F</w:t>
      </w:r>
      <w:r w:rsidRPr="00C41FB9">
        <w:t xml:space="preserve">unding approved for two enterprises in the XPS foam sector </w:t>
      </w:r>
      <w:r>
        <w:t xml:space="preserve">in the amount </w:t>
      </w:r>
      <w:r w:rsidRPr="00C41FB9">
        <w:t>of US $348,767 was lower than the estimated incremental cost</w:t>
      </w:r>
      <w:r>
        <w:t>s</w:t>
      </w:r>
      <w:r w:rsidRPr="00C41FB9">
        <w:t xml:space="preserve"> of US $439,200; it was agreed that the Government of Argentina would have flexibility in the allocation of funds between the two enterprises, on the understanding that both enterprises would convert to the selected technology on time (</w:t>
      </w:r>
      <w:r>
        <w:t>paragraph </w:t>
      </w:r>
      <w:r w:rsidRPr="00C41FB9">
        <w:t xml:space="preserve">76 of </w:t>
      </w:r>
      <w:r>
        <w:t>document </w:t>
      </w:r>
      <w:r w:rsidRPr="00C41FB9">
        <w:t>UNEP/OzL.Pro/ExCom/79/27).</w:t>
      </w:r>
    </w:p>
  </w:footnote>
  <w:footnote w:id="6">
    <w:p w14:paraId="2015C162" w14:textId="6B293C90" w:rsidR="00277B9B" w:rsidRPr="00B15F8F" w:rsidRDefault="00277B9B" w:rsidP="00277B9B">
      <w:pPr>
        <w:pStyle w:val="FootnoteText"/>
      </w:pPr>
      <w:r>
        <w:rPr>
          <w:rStyle w:val="FootnoteReference"/>
        </w:rPr>
        <w:footnoteRef/>
      </w:r>
      <w:r>
        <w:t xml:space="preserve"> </w:t>
      </w:r>
      <w:r w:rsidR="00B92759">
        <w:t>Decision </w:t>
      </w:r>
      <w:r>
        <w:t>81/30, document UNEP/OzL.Pro/ExCom/81/23</w:t>
      </w:r>
    </w:p>
  </w:footnote>
  <w:footnote w:id="7">
    <w:p w14:paraId="7DA8804C" w14:textId="700FA863" w:rsidR="00277B9B" w:rsidRPr="00AA6043" w:rsidRDefault="00277B9B" w:rsidP="00277B9B">
      <w:pPr>
        <w:pStyle w:val="FootnoteText"/>
        <w:rPr>
          <w:lang w:val="en-US"/>
        </w:rPr>
      </w:pPr>
      <w:r>
        <w:rPr>
          <w:rStyle w:val="FootnoteReference"/>
        </w:rPr>
        <w:footnoteRef/>
      </w:r>
      <w:r>
        <w:t xml:space="preserve"> </w:t>
      </w:r>
      <w:r w:rsidR="00B92759">
        <w:rPr>
          <w:lang w:val="en-US"/>
        </w:rPr>
        <w:t>Decision </w:t>
      </w:r>
      <w:r>
        <w:rPr>
          <w:lang w:val="en-US"/>
        </w:rPr>
        <w:t>90/44, Annex XIX of document UNEP/OzL.Pro/ExCom/90/40</w:t>
      </w:r>
    </w:p>
  </w:footnote>
  <w:footnote w:id="8">
    <w:p w14:paraId="2BF45F74" w14:textId="7658AB32" w:rsidR="007B3584" w:rsidRPr="00121947" w:rsidRDefault="007B3584" w:rsidP="007B3584">
      <w:pPr>
        <w:pStyle w:val="FootnoteText"/>
      </w:pPr>
      <w:r>
        <w:rPr>
          <w:rStyle w:val="FootnoteReference"/>
        </w:rPr>
        <w:footnoteRef/>
      </w:r>
      <w:r>
        <w:t xml:space="preserve"> </w:t>
      </w:r>
      <w:r w:rsidR="00B92759">
        <w:t>Decision </w:t>
      </w:r>
      <w:r>
        <w:t xml:space="preserve">86/65; Annex XXII of document </w:t>
      </w:r>
      <w:r w:rsidRPr="00121947">
        <w:t>UNEP/OzL.Pro/ExCom/86/</w:t>
      </w:r>
      <w:r>
        <w:t>100</w:t>
      </w:r>
    </w:p>
  </w:footnote>
  <w:footnote w:id="9">
    <w:p w14:paraId="58FEB444" w14:textId="77777777" w:rsidR="007B3584" w:rsidRPr="00121947" w:rsidRDefault="007B3584" w:rsidP="007B3584">
      <w:pPr>
        <w:pStyle w:val="FootnoteText"/>
      </w:pPr>
      <w:r>
        <w:rPr>
          <w:rStyle w:val="FootnoteReference"/>
        </w:rPr>
        <w:footnoteRef/>
      </w:r>
      <w:r>
        <w:t xml:space="preserve"> </w:t>
      </w:r>
      <w:r w:rsidRPr="00121947">
        <w:t>UNEP/OzL.Pro/ExCom/86/42</w:t>
      </w:r>
    </w:p>
  </w:footnote>
  <w:footnote w:id="10">
    <w:p w14:paraId="396B4BA6" w14:textId="77777777" w:rsidR="00F359E1" w:rsidRPr="00B1376A" w:rsidRDefault="00F359E1" w:rsidP="00F359E1">
      <w:pPr>
        <w:pStyle w:val="FootnoteText"/>
        <w:rPr>
          <w:lang w:val="en-US"/>
        </w:rPr>
      </w:pPr>
      <w:r>
        <w:rPr>
          <w:rStyle w:val="FootnoteReference"/>
        </w:rPr>
        <w:footnoteRef/>
      </w:r>
      <w:r>
        <w:t xml:space="preserve"> </w:t>
      </w:r>
      <w:r>
        <w:rPr>
          <w:lang w:val="en-US"/>
        </w:rPr>
        <w:t>Provision contained in Annex VIII of document UNEP/OzL.Pro/ExCom/90/40.</w:t>
      </w:r>
    </w:p>
  </w:footnote>
  <w:footnote w:id="11">
    <w:p w14:paraId="005995E2" w14:textId="6F9A3972" w:rsidR="00B80950" w:rsidRPr="0000799F" w:rsidRDefault="00B80950" w:rsidP="00B80950">
      <w:pPr>
        <w:pStyle w:val="FootnoteText"/>
      </w:pPr>
      <w:r>
        <w:rPr>
          <w:rStyle w:val="FootnoteReference"/>
        </w:rPr>
        <w:footnoteRef/>
      </w:r>
      <w:r>
        <w:t xml:space="preserve"> </w:t>
      </w:r>
      <w:r w:rsidR="00B92759">
        <w:t>Decision </w:t>
      </w:r>
      <w:r>
        <w:t xml:space="preserve">65/46, Annex XXXII of document </w:t>
      </w:r>
      <w:r w:rsidRPr="009931F4">
        <w:t>UNEP/OzL.Pro/</w:t>
      </w:r>
      <w:r w:rsidRPr="0000799F">
        <w:t>ExCom/65/</w:t>
      </w:r>
      <w:r>
        <w:t>60.</w:t>
      </w:r>
    </w:p>
  </w:footnote>
  <w:footnote w:id="12">
    <w:p w14:paraId="07D7A731" w14:textId="6F3682E6" w:rsidR="00B80950" w:rsidRPr="0000799F" w:rsidRDefault="00B80950" w:rsidP="00B80950">
      <w:pPr>
        <w:pStyle w:val="FootnoteText"/>
      </w:pPr>
      <w:r w:rsidRPr="0000799F">
        <w:rPr>
          <w:rStyle w:val="FootnoteReference"/>
        </w:rPr>
        <w:footnoteRef/>
      </w:r>
      <w:r w:rsidRPr="0000799F">
        <w:t xml:space="preserve"> </w:t>
      </w:r>
      <w:r w:rsidR="00B92759">
        <w:t>Decision </w:t>
      </w:r>
      <w:r>
        <w:t xml:space="preserve">77/55, document </w:t>
      </w:r>
      <w:r w:rsidRPr="0000799F">
        <w:t>UNEP/OzL.Pro/ExCom/77/61</w:t>
      </w:r>
      <w:r>
        <w:t>.</w:t>
      </w:r>
    </w:p>
  </w:footnote>
  <w:footnote w:id="13">
    <w:p w14:paraId="7735BD18" w14:textId="136561FC" w:rsidR="00B80950" w:rsidRPr="0070405E" w:rsidRDefault="00B80950" w:rsidP="00B80950">
      <w:pPr>
        <w:pStyle w:val="FootnoteText"/>
        <w:rPr>
          <w:lang w:val="en-US"/>
        </w:rPr>
      </w:pPr>
      <w:r>
        <w:rPr>
          <w:rStyle w:val="FootnoteReference"/>
        </w:rPr>
        <w:footnoteRef/>
      </w:r>
      <w:r>
        <w:t xml:space="preserve"> </w:t>
      </w:r>
      <w:r w:rsidR="00B92759">
        <w:rPr>
          <w:lang w:val="en-US"/>
        </w:rPr>
        <w:t>Decision </w:t>
      </w:r>
      <w:r>
        <w:rPr>
          <w:lang w:val="en-US"/>
        </w:rPr>
        <w:t>85/36(b) and (c), Annex XIII of document UNEP/OzL.Pro/ExCom/85/67.</w:t>
      </w:r>
    </w:p>
  </w:footnote>
  <w:footnote w:id="14">
    <w:p w14:paraId="63A43612" w14:textId="6D76AE03" w:rsidR="00B80950" w:rsidRPr="00D811F1" w:rsidRDefault="00B80950" w:rsidP="00B80950">
      <w:pPr>
        <w:pStyle w:val="FootnoteText"/>
        <w:rPr>
          <w:lang w:val="en-US"/>
        </w:rPr>
      </w:pPr>
      <w:r>
        <w:rPr>
          <w:rStyle w:val="FootnoteReference"/>
        </w:rPr>
        <w:footnoteRef/>
      </w:r>
      <w:r>
        <w:t xml:space="preserve"> </w:t>
      </w:r>
      <w:r w:rsidR="00B92759">
        <w:t>Decision </w:t>
      </w:r>
      <w:r>
        <w:t>88/55.</w:t>
      </w:r>
    </w:p>
  </w:footnote>
  <w:footnote w:id="15">
    <w:p w14:paraId="2DBB44E7" w14:textId="77777777" w:rsidR="00B80950" w:rsidRPr="00AC6DE1" w:rsidRDefault="00B80950" w:rsidP="00B80950">
      <w:pPr>
        <w:pStyle w:val="FootnoteText"/>
        <w:rPr>
          <w:lang w:val="en-US"/>
        </w:rPr>
      </w:pPr>
      <w:r>
        <w:rPr>
          <w:rStyle w:val="FootnoteReference"/>
        </w:rPr>
        <w:footnoteRef/>
      </w:r>
      <w:r>
        <w:t xml:space="preserve"> </w:t>
      </w:r>
      <w:r>
        <w:rPr>
          <w:lang w:val="en-US"/>
        </w:rPr>
        <w:t>Paragraph 10 of document UNEP/OzL.Pro/ExCom/88/62</w:t>
      </w:r>
    </w:p>
  </w:footnote>
  <w:footnote w:id="16">
    <w:p w14:paraId="044F2F22" w14:textId="44398710" w:rsidR="00B80950" w:rsidRPr="00F57B15" w:rsidRDefault="00B80950" w:rsidP="00B80950">
      <w:pPr>
        <w:pStyle w:val="FootnoteText"/>
        <w:rPr>
          <w:lang w:val="en-US"/>
        </w:rPr>
      </w:pPr>
      <w:r>
        <w:rPr>
          <w:rStyle w:val="FootnoteReference"/>
        </w:rPr>
        <w:footnoteRef/>
      </w:r>
      <w:r>
        <w:t xml:space="preserve"> US</w:t>
      </w:r>
      <w:r w:rsidR="00B92759">
        <w:t> </w:t>
      </w:r>
      <w:r>
        <w:t>$</w:t>
      </w:r>
      <w:r w:rsidRPr="00F57B15">
        <w:t xml:space="preserve">5,977 </w:t>
      </w:r>
      <w:r>
        <w:t>was returned by UNEP to the fund under the first tranche and that US $2,509 was returned to the 88</w:t>
      </w:r>
      <w:r w:rsidRPr="00F57B15">
        <w:rPr>
          <w:vertAlign w:val="superscript"/>
        </w:rPr>
        <w:t>th</w:t>
      </w:r>
      <w:r>
        <w:t> meeting.</w:t>
      </w:r>
    </w:p>
  </w:footnote>
  <w:footnote w:id="17">
    <w:p w14:paraId="6CCFDD54" w14:textId="77777777" w:rsidR="00B80950" w:rsidRPr="00382D3E" w:rsidRDefault="00B80950" w:rsidP="00B80950">
      <w:pPr>
        <w:pStyle w:val="FootnoteText"/>
        <w:rPr>
          <w:lang w:val="en-US"/>
        </w:rPr>
      </w:pPr>
      <w:r>
        <w:rPr>
          <w:rStyle w:val="FootnoteReference"/>
        </w:rPr>
        <w:footnoteRef/>
      </w:r>
      <w:r>
        <w:t xml:space="preserve"> </w:t>
      </w:r>
      <w:r w:rsidRPr="000A2874">
        <w:t>In line with decision</w:t>
      </w:r>
      <w:r>
        <w:t> </w:t>
      </w:r>
      <w:r w:rsidRPr="000A2874">
        <w:t>84/92(d), decision</w:t>
      </w:r>
      <w:r>
        <w:t> </w:t>
      </w:r>
      <w:r w:rsidRPr="000A2874">
        <w:t>90/48(c) encouraged bilateral and implementing agencies to continue ensuring that the operational gender mainstreaming policy was applied to all projects, taking into consideration the specific activities presented in table</w:t>
      </w:r>
      <w:r>
        <w:t> </w:t>
      </w:r>
      <w:r w:rsidRPr="000A2874">
        <w:t>2 of document</w:t>
      </w:r>
      <w:r>
        <w:t> </w:t>
      </w:r>
      <w:r w:rsidRPr="000A2874">
        <w:t>UNEP/OzL.Pro/ExCom/90/37.</w:t>
      </w:r>
    </w:p>
  </w:footnote>
  <w:footnote w:id="18">
    <w:p w14:paraId="44DB2827" w14:textId="77777777" w:rsidR="00DC695E" w:rsidRPr="00E10465" w:rsidRDefault="00DC695E" w:rsidP="00DC695E">
      <w:pPr>
        <w:pStyle w:val="FootnoteText"/>
        <w:rPr>
          <w:lang w:val="en-US"/>
        </w:rPr>
      </w:pPr>
      <w:r>
        <w:rPr>
          <w:rStyle w:val="FootnoteReference"/>
        </w:rPr>
        <w:footnoteRef/>
      </w:r>
      <w:r>
        <w:t xml:space="preserve"> Approval conditions contained in </w:t>
      </w:r>
      <w:r w:rsidRPr="00E10465">
        <w:t xml:space="preserve">Annex XV </w:t>
      </w:r>
      <w:r>
        <w:t>of</w:t>
      </w:r>
      <w:r w:rsidRPr="00E10465">
        <w:t xml:space="preserve"> document UNEP/OzL.Pro/ExCom/86/100</w:t>
      </w:r>
    </w:p>
  </w:footnote>
  <w:footnote w:id="19">
    <w:p w14:paraId="2D30223B" w14:textId="77777777" w:rsidR="00980BF0" w:rsidRPr="00EE5A82" w:rsidRDefault="00980BF0" w:rsidP="00980BF0">
      <w:pPr>
        <w:pStyle w:val="FootnoteText"/>
        <w:rPr>
          <w:lang w:val="en-US"/>
        </w:rPr>
      </w:pPr>
      <w:r>
        <w:rPr>
          <w:rStyle w:val="FootnoteReference"/>
        </w:rPr>
        <w:footnoteRef/>
      </w:r>
      <w:r>
        <w:t xml:space="preserve"> </w:t>
      </w:r>
      <w:r w:rsidRPr="00EE5A82">
        <w:rPr>
          <w:lang w:val="en-US"/>
        </w:rPr>
        <w:t xml:space="preserve">UNEP/OzL.Pro/ExCom/77/67 </w:t>
      </w:r>
      <w:r>
        <w:rPr>
          <w:lang w:val="en-US"/>
        </w:rPr>
        <w:t xml:space="preserve">and </w:t>
      </w:r>
      <w:r>
        <w:t>Annex XXIV of document UNEP/OzL.Pro/ExCom/77/76.</w:t>
      </w:r>
    </w:p>
  </w:footnote>
  <w:footnote w:id="20">
    <w:p w14:paraId="2A9E0940" w14:textId="77777777" w:rsidR="00980BF0" w:rsidRPr="00F5252E" w:rsidRDefault="00980BF0" w:rsidP="00980BF0">
      <w:pPr>
        <w:pStyle w:val="FootnoteText"/>
      </w:pPr>
      <w:r>
        <w:rPr>
          <w:rStyle w:val="FootnoteReference"/>
        </w:rPr>
        <w:footnoteRef/>
      </w:r>
      <w:r w:rsidRPr="00F5252E">
        <w:t xml:space="preserve"> UNEP/OzL.Pro/ExCom/82/61.</w:t>
      </w:r>
    </w:p>
  </w:footnote>
  <w:footnote w:id="21">
    <w:p w14:paraId="0BD5B199" w14:textId="77777777" w:rsidR="00980BF0" w:rsidRPr="00403365" w:rsidRDefault="00980BF0" w:rsidP="00980BF0">
      <w:pPr>
        <w:pStyle w:val="FootnoteText"/>
        <w:jc w:val="left"/>
        <w:rPr>
          <w:lang w:val="en-US"/>
        </w:rPr>
      </w:pPr>
      <w:r>
        <w:rPr>
          <w:rStyle w:val="FootnoteReference"/>
        </w:rPr>
        <w:footnoteRef/>
      </w:r>
      <w:r>
        <w:rPr>
          <w:lang w:val="en-US"/>
        </w:rPr>
        <w:t xml:space="preserve"> </w:t>
      </w:r>
      <w:r w:rsidRPr="00403365">
        <w:rPr>
          <w:lang w:val="en-US"/>
        </w:rPr>
        <w:t>Decision</w:t>
      </w:r>
      <w:r>
        <w:rPr>
          <w:lang w:val="en-US"/>
        </w:rPr>
        <w:t>s</w:t>
      </w:r>
      <w:r w:rsidRPr="00403365">
        <w:rPr>
          <w:lang w:val="en-US"/>
        </w:rPr>
        <w:t> 84/37(b)</w:t>
      </w:r>
      <w:r>
        <w:rPr>
          <w:lang w:val="en-US"/>
        </w:rPr>
        <w:t xml:space="preserve"> and</w:t>
      </w:r>
      <w:r>
        <w:t> </w:t>
      </w:r>
      <w:r w:rsidRPr="000B5296">
        <w:t>87/20</w:t>
      </w:r>
      <w:r>
        <w:t xml:space="preserve">(e). </w:t>
      </w:r>
    </w:p>
  </w:footnote>
  <w:footnote w:id="22">
    <w:p w14:paraId="200AE9CA" w14:textId="13B0F1E2" w:rsidR="00980BF0" w:rsidRPr="00E303A4" w:rsidRDefault="00980BF0" w:rsidP="00980BF0">
      <w:pPr>
        <w:pStyle w:val="FootnoteText"/>
        <w:rPr>
          <w:lang w:val="en-US"/>
        </w:rPr>
      </w:pPr>
      <w:r>
        <w:rPr>
          <w:rStyle w:val="FootnoteReference"/>
        </w:rPr>
        <w:footnoteRef/>
      </w:r>
      <w:r>
        <w:t xml:space="preserve"> At the 87</w:t>
      </w:r>
      <w:r w:rsidRPr="00E303A4">
        <w:rPr>
          <w:vertAlign w:val="superscript"/>
        </w:rPr>
        <w:t>th</w:t>
      </w:r>
      <w:r>
        <w:t xml:space="preserve"> meeting </w:t>
      </w:r>
      <w:r w:rsidRPr="000B5296">
        <w:rPr>
          <w:rFonts w:eastAsia="MS Mincho"/>
        </w:rPr>
        <w:t>UNDP reported that one enterprise (James) in the water heating sub</w:t>
      </w:r>
      <w:r>
        <w:rPr>
          <w:rFonts w:eastAsia="MS Mincho"/>
        </w:rPr>
        <w:t>-</w:t>
      </w:r>
      <w:r w:rsidRPr="000B5296">
        <w:rPr>
          <w:rFonts w:eastAsia="MS Mincho"/>
        </w:rPr>
        <w:t>sector had converted its production to cyclopentane, with an associated phase</w:t>
      </w:r>
      <w:r>
        <w:rPr>
          <w:rFonts w:eastAsia="MS Mincho"/>
        </w:rPr>
        <w:t>-</w:t>
      </w:r>
      <w:r w:rsidRPr="000B5296">
        <w:rPr>
          <w:rFonts w:eastAsia="MS Mincho"/>
        </w:rPr>
        <w:t>out of 1.02</w:t>
      </w:r>
      <w:r>
        <w:rPr>
          <w:rFonts w:eastAsia="MS Mincho"/>
        </w:rPr>
        <w:t> </w:t>
      </w:r>
      <w:r w:rsidRPr="000B5296">
        <w:rPr>
          <w:rFonts w:eastAsia="MS Mincho"/>
        </w:rPr>
        <w:t>ODP tonnes (9.3</w:t>
      </w:r>
      <w:r w:rsidR="00A04F54">
        <w:rPr>
          <w:rFonts w:eastAsia="MS Mincho"/>
        </w:rPr>
        <w:t> mt</w:t>
      </w:r>
      <w:r w:rsidRPr="000B5296">
        <w:rPr>
          <w:rFonts w:eastAsia="MS Mincho"/>
        </w:rPr>
        <w:t>) of HCFC-141b</w:t>
      </w:r>
      <w:r>
        <w:rPr>
          <w:rFonts w:eastAsia="MS Mincho"/>
        </w:rPr>
        <w:t>.</w:t>
      </w:r>
    </w:p>
  </w:footnote>
  <w:footnote w:id="23">
    <w:p w14:paraId="5DB7AE7E" w14:textId="5A1FED93" w:rsidR="00980BF0" w:rsidRPr="00F077C6" w:rsidRDefault="00980BF0" w:rsidP="00980BF0">
      <w:pPr>
        <w:pStyle w:val="FootnoteText"/>
        <w:rPr>
          <w:lang w:val="en-US"/>
        </w:rPr>
      </w:pPr>
      <w:r>
        <w:rPr>
          <w:rStyle w:val="FootnoteReference"/>
        </w:rPr>
        <w:footnoteRef/>
      </w:r>
      <w:r>
        <w:t xml:space="preserve"> </w:t>
      </w:r>
      <w:r w:rsidR="00B92759">
        <w:rPr>
          <w:lang w:val="en-US"/>
        </w:rPr>
        <w:t>Stage </w:t>
      </w:r>
      <w:r>
        <w:rPr>
          <w:lang w:val="en-US"/>
        </w:rPr>
        <w:t>II of the HPMP was extended to 31 December 2022 at the 87</w:t>
      </w:r>
      <w:r w:rsidRPr="00F077C6">
        <w:rPr>
          <w:vertAlign w:val="superscript"/>
          <w:lang w:val="en-US"/>
        </w:rPr>
        <w:t>th</w:t>
      </w:r>
      <w:r>
        <w:rPr>
          <w:lang w:val="en-US"/>
        </w:rPr>
        <w:t xml:space="preserve"> meeting (</w:t>
      </w:r>
      <w:r w:rsidR="00B92759">
        <w:rPr>
          <w:lang w:val="en-US"/>
        </w:rPr>
        <w:t>decision </w:t>
      </w:r>
      <w:r>
        <w:rPr>
          <w:lang w:val="en-US"/>
        </w:rPr>
        <w:t xml:space="preserve">87/20(b)). </w:t>
      </w:r>
    </w:p>
  </w:footnote>
  <w:footnote w:id="24">
    <w:p w14:paraId="6AADF5E2" w14:textId="77777777" w:rsidR="00980BF0" w:rsidRPr="00E655E2" w:rsidRDefault="00980BF0" w:rsidP="00980BF0">
      <w:pPr>
        <w:pStyle w:val="FootnoteText"/>
        <w:rPr>
          <w:lang w:val="en-US"/>
        </w:rPr>
      </w:pPr>
      <w:r>
        <w:rPr>
          <w:rStyle w:val="FootnoteReference"/>
        </w:rPr>
        <w:footnoteRef/>
      </w:r>
      <w:r>
        <w:t xml:space="preserve"> </w:t>
      </w:r>
      <w:r w:rsidRPr="00FE3307">
        <w:t xml:space="preserve">As per the letter of </w:t>
      </w:r>
      <w:r>
        <w:t>3 October 2022</w:t>
      </w:r>
      <w:r w:rsidRPr="00FE3307">
        <w:t xml:space="preserve"> from the Ministry of </w:t>
      </w:r>
      <w:r>
        <w:t>Environment</w:t>
      </w:r>
      <w:r w:rsidRPr="00FE3307">
        <w:t xml:space="preserve"> </w:t>
      </w:r>
      <w:r>
        <w:t xml:space="preserve">of Uruguay </w:t>
      </w:r>
      <w:r w:rsidRPr="00F362D2">
        <w:t xml:space="preserve">to </w:t>
      </w:r>
      <w:r>
        <w:t>UNDP</w:t>
      </w:r>
      <w:r w:rsidRPr="00FE3307">
        <w:t>.</w:t>
      </w:r>
    </w:p>
  </w:footnote>
  <w:footnote w:id="25">
    <w:p w14:paraId="5C832904" w14:textId="77777777" w:rsidR="006B1D75" w:rsidRPr="00091859" w:rsidRDefault="006B1D75" w:rsidP="006B1D75">
      <w:pPr>
        <w:pStyle w:val="FootnoteText"/>
      </w:pPr>
      <w:r>
        <w:rPr>
          <w:rStyle w:val="FootnoteReference"/>
        </w:rPr>
        <w:footnoteRef/>
      </w:r>
      <w:r>
        <w:t xml:space="preserve"> Paragraph 5 of document UNEP/OzL.Pro/ExCom/88/77. </w:t>
      </w:r>
    </w:p>
  </w:footnote>
  <w:footnote w:id="26">
    <w:p w14:paraId="2E5293AA" w14:textId="77777777" w:rsidR="00980BF0" w:rsidRPr="00FE3307" w:rsidRDefault="00980BF0" w:rsidP="00980BF0">
      <w:pPr>
        <w:pStyle w:val="FootnoteText"/>
      </w:pPr>
      <w:r w:rsidRPr="00FE3307">
        <w:rPr>
          <w:rStyle w:val="FootnoteReference"/>
        </w:rPr>
        <w:footnoteRef/>
      </w:r>
      <w:r w:rsidRPr="00FE3307">
        <w:t xml:space="preserve"> As per the </w:t>
      </w:r>
      <w:r w:rsidRPr="00755A89">
        <w:t xml:space="preserve">letter of </w:t>
      </w:r>
      <w:r>
        <w:t>29 August 2022</w:t>
      </w:r>
      <w:r w:rsidRPr="00FE3307">
        <w:t xml:space="preserve"> from the Ministry of </w:t>
      </w:r>
      <w:r>
        <w:t xml:space="preserve">the Environment </w:t>
      </w:r>
      <w:r w:rsidRPr="00755A89">
        <w:t>of Brazil</w:t>
      </w:r>
      <w:r w:rsidRPr="00FE3307">
        <w:t xml:space="preserve"> to </w:t>
      </w:r>
      <w:r>
        <w:t>UNDP</w:t>
      </w:r>
      <w:r w:rsidRPr="00FE3307">
        <w:t>.</w:t>
      </w:r>
    </w:p>
  </w:footnote>
  <w:footnote w:id="27">
    <w:p w14:paraId="30F7BB7F" w14:textId="658C3802" w:rsidR="00980BF0" w:rsidRPr="00D2316C" w:rsidRDefault="00980BF0" w:rsidP="00980BF0">
      <w:pPr>
        <w:pStyle w:val="FootnoteText"/>
      </w:pPr>
      <w:r>
        <w:rPr>
          <w:rStyle w:val="FootnoteReference"/>
        </w:rPr>
        <w:footnoteRef/>
      </w:r>
      <w:r>
        <w:t xml:space="preserve"> The project originally included 14 enterprises consuming 57.14 ODP tonnes of HCFCs, but funding for the enterprise Poliumetka (3.63 ODP tonnes) was removed from </w:t>
      </w:r>
      <w:r w:rsidR="00B92759">
        <w:t>stage </w:t>
      </w:r>
      <w:r>
        <w:t xml:space="preserve">II as the project had been completed under </w:t>
      </w:r>
      <w:r w:rsidR="00B92759">
        <w:t>stage </w:t>
      </w:r>
      <w:r>
        <w:t>I.</w:t>
      </w:r>
    </w:p>
  </w:footnote>
  <w:footnote w:id="28">
    <w:p w14:paraId="2AE0CFB4" w14:textId="77777777" w:rsidR="00980BF0" w:rsidRDefault="00980BF0" w:rsidP="00980BF0">
      <w:pPr>
        <w:pStyle w:val="FootnoteText"/>
      </w:pPr>
      <w:r>
        <w:rPr>
          <w:rStyle w:val="FootnoteReference"/>
        </w:rPr>
        <w:footnoteRef/>
      </w:r>
      <w:r>
        <w:t xml:space="preserve"> The blend being used in Brazil consists of 93 per cent HFC-365mfc and 7 per cent HFC-227ea.</w:t>
      </w:r>
    </w:p>
  </w:footnote>
  <w:footnote w:id="29">
    <w:p w14:paraId="0D8CFAB2" w14:textId="77777777" w:rsidR="00980BF0" w:rsidRPr="00215323" w:rsidRDefault="00980BF0" w:rsidP="00980BF0">
      <w:pPr>
        <w:pStyle w:val="FootnoteText"/>
        <w:rPr>
          <w:lang w:val="en-US"/>
        </w:rPr>
      </w:pPr>
      <w:r>
        <w:rPr>
          <w:rStyle w:val="FootnoteReference"/>
        </w:rPr>
        <w:footnoteRef/>
      </w:r>
      <w:r>
        <w:t xml:space="preserve"> Out of over 700 DSUs identified in the country, only </w:t>
      </w:r>
      <w:r w:rsidRPr="00200C92">
        <w:rPr>
          <w:lang w:val="en-US"/>
        </w:rPr>
        <w:t xml:space="preserve">445 </w:t>
      </w:r>
      <w:r>
        <w:rPr>
          <w:lang w:val="en-US"/>
        </w:rPr>
        <w:t>were included for funding under the Multilateral Fund.</w:t>
      </w:r>
    </w:p>
  </w:footnote>
  <w:footnote w:id="30">
    <w:p w14:paraId="747A2B05" w14:textId="77777777" w:rsidR="00980BF0" w:rsidRPr="00E53F97" w:rsidRDefault="00980BF0" w:rsidP="00980BF0">
      <w:pPr>
        <w:pStyle w:val="FootnoteText"/>
      </w:pPr>
      <w:r>
        <w:rPr>
          <w:rStyle w:val="FootnoteReference"/>
        </w:rPr>
        <w:footnoteRef/>
      </w:r>
      <w:r>
        <w:t xml:space="preserve"> </w:t>
      </w:r>
      <w:r w:rsidRPr="001818CC">
        <w:t>Of the 33 SMEs included in the project</w:t>
      </w:r>
      <w:r>
        <w:t xml:space="preserve"> as approved</w:t>
      </w:r>
      <w:r w:rsidRPr="001818CC">
        <w:t xml:space="preserve">, four </w:t>
      </w:r>
      <w:r>
        <w:t xml:space="preserve">SMEs that decided not to </w:t>
      </w:r>
      <w:r w:rsidRPr="001818CC">
        <w:t>participat</w:t>
      </w:r>
      <w:r>
        <w:t>e</w:t>
      </w:r>
      <w:r w:rsidRPr="001818CC">
        <w:t xml:space="preserve"> were replaced by four</w:t>
      </w:r>
      <w:r>
        <w:t> </w:t>
      </w:r>
      <w:r w:rsidRPr="001818CC">
        <w:t xml:space="preserve">other eligible </w:t>
      </w:r>
      <w:r>
        <w:t>SMEs; these changes were approved at the 82</w:t>
      </w:r>
      <w:r w:rsidRPr="00E53F97">
        <w:rPr>
          <w:vertAlign w:val="superscript"/>
        </w:rPr>
        <w:t>nd</w:t>
      </w:r>
      <w:r>
        <w:t xml:space="preserve"> and 84</w:t>
      </w:r>
      <w:r w:rsidRPr="001818CC">
        <w:rPr>
          <w:vertAlign w:val="superscript"/>
        </w:rPr>
        <w:t>th</w:t>
      </w:r>
      <w:r>
        <w:t xml:space="preserve"> meetings (decisions 82/62 and 84/33).</w:t>
      </w:r>
    </w:p>
  </w:footnote>
  <w:footnote w:id="31">
    <w:p w14:paraId="0DD14D0A" w14:textId="77777777" w:rsidR="00980BF0" w:rsidRPr="00AC6A48" w:rsidRDefault="00980BF0" w:rsidP="00980BF0">
      <w:pPr>
        <w:pStyle w:val="FootnoteText"/>
      </w:pPr>
      <w:r w:rsidRPr="00AC6A48">
        <w:rPr>
          <w:rStyle w:val="FootnoteReference"/>
        </w:rPr>
        <w:footnoteRef/>
      </w:r>
      <w:r w:rsidRPr="00AC6A48">
        <w:t xml:space="preserve"> </w:t>
      </w:r>
      <w:r>
        <w:t>US $</w:t>
      </w:r>
      <w:r w:rsidRPr="00AC6A48">
        <w:t xml:space="preserve">66,000 per enterprise, including a refrigerant handling package </w:t>
      </w:r>
      <w:r>
        <w:t>(US $</w:t>
      </w:r>
      <w:r w:rsidRPr="00AC6A48">
        <w:t>50,000</w:t>
      </w:r>
      <w:r>
        <w:t>),</w:t>
      </w:r>
      <w:r w:rsidRPr="00AC6A48">
        <w:t xml:space="preserve"> safety measures </w:t>
      </w:r>
      <w:r>
        <w:t>(US $</w:t>
      </w:r>
      <w:r w:rsidRPr="00AC6A48">
        <w:t>10,000</w:t>
      </w:r>
      <w:r>
        <w:t>)</w:t>
      </w:r>
      <w:r w:rsidRPr="00AC6A48">
        <w:t xml:space="preserve">, and contingencies </w:t>
      </w:r>
      <w:r>
        <w:t>(US $</w:t>
      </w:r>
      <w:r w:rsidRPr="00AC6A48">
        <w:t>6,000</w:t>
      </w:r>
      <w:r>
        <w:t>)</w:t>
      </w:r>
      <w:r w:rsidRPr="00AC6A48">
        <w:t>. No IOCs are included in the project.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71FC7C" w14:textId="7FAAC831" w:rsidR="00DC6A10" w:rsidRPr="0033525D" w:rsidRDefault="009B41B6">
    <w:r>
      <w:fldChar w:fldCharType="begin"/>
    </w:r>
    <w:r>
      <w:instrText xml:space="preserve"> DOCPROPERTY "Document number"  \* MERGEFORMAT </w:instrText>
    </w:r>
    <w:r>
      <w:fldChar w:fldCharType="separate"/>
    </w:r>
    <w:r w:rsidR="00A3306E">
      <w:t>UNEP/</w:t>
    </w:r>
    <w:proofErr w:type="spellStart"/>
    <w:r w:rsidR="00A3306E">
      <w:t>OzL.Pro</w:t>
    </w:r>
    <w:proofErr w:type="spellEnd"/>
    <w:r w:rsidR="00A3306E">
      <w:t>/ExCom/91/18</w:t>
    </w:r>
    <w:r>
      <w:fldChar w:fldCharType="end"/>
    </w:r>
  </w:p>
  <w:p w14:paraId="24F01975" w14:textId="77777777" w:rsidR="00DC6A10" w:rsidRPr="0033525D" w:rsidRDefault="00DC6A10"/>
  <w:p w14:paraId="2A0D7373"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DDB6A8" w14:textId="032E61DF" w:rsidR="00DC6A10" w:rsidRPr="0033525D" w:rsidRDefault="009B41B6" w:rsidP="008D7AB4">
    <w:pPr>
      <w:jc w:val="right"/>
    </w:pPr>
    <w:r>
      <w:fldChar w:fldCharType="begin"/>
    </w:r>
    <w:r>
      <w:instrText xml:space="preserve"> DOCPROPERTY "Document number"  \* MERGEFORMAT </w:instrText>
    </w:r>
    <w:r>
      <w:fldChar w:fldCharType="separate"/>
    </w:r>
    <w:r w:rsidR="00A3306E">
      <w:t>UNEP/</w:t>
    </w:r>
    <w:proofErr w:type="spellStart"/>
    <w:r w:rsidR="00A3306E">
      <w:t>OzL.Pro</w:t>
    </w:r>
    <w:proofErr w:type="spellEnd"/>
    <w:r w:rsidR="00A3306E">
      <w:t>/ExCom/91/18</w:t>
    </w:r>
    <w:r>
      <w:fldChar w:fldCharType="end"/>
    </w:r>
  </w:p>
  <w:p w14:paraId="7FB505C5" w14:textId="77777777" w:rsidR="00DC6A10" w:rsidRPr="0033525D" w:rsidRDefault="00DC6A10"/>
  <w:p w14:paraId="5EAB665A"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1F8EEE" w14:textId="6D985063" w:rsidR="006621BF" w:rsidRPr="0033525D" w:rsidRDefault="009B41B6">
    <w:r>
      <w:fldChar w:fldCharType="begin"/>
    </w:r>
    <w:r>
      <w:instrText xml:space="preserve"> DOCPROPERTY "Document number"  \* MERGEFORMAT </w:instrText>
    </w:r>
    <w:r>
      <w:fldChar w:fldCharType="separate"/>
    </w:r>
    <w:r w:rsidR="00A3306E">
      <w:t>UNEP/</w:t>
    </w:r>
    <w:proofErr w:type="spellStart"/>
    <w:r w:rsidR="00A3306E">
      <w:t>OzL.Pro</w:t>
    </w:r>
    <w:proofErr w:type="spellEnd"/>
    <w:r w:rsidR="00A3306E">
      <w:t>/ExCom/91/18</w:t>
    </w:r>
    <w:r>
      <w:fldChar w:fldCharType="end"/>
    </w:r>
  </w:p>
  <w:p w14:paraId="0DBB0878" w14:textId="4D8C6400" w:rsidR="006621BF" w:rsidRDefault="006621BF">
    <w:r>
      <w:t>Annex I</w:t>
    </w:r>
  </w:p>
  <w:p w14:paraId="1DE5223A" w14:textId="77777777" w:rsidR="006621BF" w:rsidRPr="0033525D" w:rsidRDefault="006621BF"/>
  <w:p w14:paraId="5B40AC6C" w14:textId="77777777" w:rsidR="006621BF" w:rsidRPr="0033525D" w:rsidRDefault="006621B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68A72E" w14:textId="4275F594" w:rsidR="006621BF" w:rsidRPr="0033525D" w:rsidRDefault="009B41B6">
    <w:pPr>
      <w:jc w:val="right"/>
    </w:pPr>
    <w:r>
      <w:fldChar w:fldCharType="begin"/>
    </w:r>
    <w:r>
      <w:instrText xml:space="preserve"> DOCPROPERTY "Document number"  \* MERGEFORMAT </w:instrText>
    </w:r>
    <w:r>
      <w:fldChar w:fldCharType="separate"/>
    </w:r>
    <w:r w:rsidR="00A3306E">
      <w:t>UNEP/</w:t>
    </w:r>
    <w:proofErr w:type="spellStart"/>
    <w:r w:rsidR="00A3306E">
      <w:t>OzL.Pro</w:t>
    </w:r>
    <w:proofErr w:type="spellEnd"/>
    <w:r w:rsidR="00A3306E">
      <w:t>/ExCom/91/18</w:t>
    </w:r>
    <w:r>
      <w:fldChar w:fldCharType="end"/>
    </w:r>
  </w:p>
  <w:p w14:paraId="7CE27336" w14:textId="12992426" w:rsidR="006621BF" w:rsidRDefault="006621BF" w:rsidP="006621BF">
    <w:pPr>
      <w:jc w:val="right"/>
    </w:pPr>
    <w:r>
      <w:t>Annex I</w:t>
    </w:r>
  </w:p>
  <w:p w14:paraId="180C6F2B" w14:textId="77777777" w:rsidR="006621BF" w:rsidRPr="0033525D" w:rsidRDefault="006621BF" w:rsidP="006621BF">
    <w:pPr>
      <w:jc w:val="right"/>
    </w:pPr>
  </w:p>
  <w:p w14:paraId="166AE737" w14:textId="77777777" w:rsidR="006621BF" w:rsidRPr="0033525D" w:rsidRDefault="006621B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A42206" w14:textId="77777777" w:rsidR="00BD6CCF" w:rsidRPr="0033525D" w:rsidRDefault="00BD6CCF"/>
  <w:p w14:paraId="42BA1D9E" w14:textId="77777777" w:rsidR="00BD6CCF" w:rsidRPr="0033525D" w:rsidRDefault="00BD6CCF"/>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17868D" w14:textId="587A2F65" w:rsidR="00BD6CCF" w:rsidRDefault="00BD6CCF" w:rsidP="006B59A4">
    <w:pPr>
      <w:pStyle w:val="Header"/>
      <w:jc w:val="right"/>
    </w:pPr>
    <w:r>
      <w:t>UNEP/OzL.Pro/ExCom/91/18</w:t>
    </w:r>
  </w:p>
  <w:p w14:paraId="627921A9" w14:textId="676463F9" w:rsidR="00BD6CCF" w:rsidRPr="0033525D" w:rsidRDefault="00BD6CCF" w:rsidP="006B59A4">
    <w:pPr>
      <w:pStyle w:val="Header"/>
      <w:jc w:val="right"/>
    </w:pPr>
    <w:r>
      <w:t>Annex II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FC9A6A" w14:textId="623F6F9C" w:rsidR="008D7AB4" w:rsidRDefault="008D7AB4">
    <w:r>
      <w:t>UNEP/OzL.Pro/ExCom/91/18</w:t>
    </w:r>
  </w:p>
  <w:p w14:paraId="36A9AAE2" w14:textId="55605000" w:rsidR="008D7AB4" w:rsidRDefault="008D7AB4">
    <w:r>
      <w:t>Annex II</w:t>
    </w:r>
  </w:p>
  <w:p w14:paraId="6AE9F8F9" w14:textId="77777777" w:rsidR="008D7AB4" w:rsidRPr="0033525D" w:rsidRDefault="008D7AB4"/>
  <w:p w14:paraId="77BCC25A" w14:textId="77777777" w:rsidR="008D7AB4" w:rsidRPr="0033525D" w:rsidRDefault="008D7AB4"/>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EAEFF9" w14:textId="3AD3038F" w:rsidR="007B3584" w:rsidRPr="0033525D" w:rsidRDefault="00FB6928" w:rsidP="008D7AB4">
    <w:pPr>
      <w:jc w:val="left"/>
    </w:pPr>
    <w:r>
      <w:fldChar w:fldCharType="begin"/>
    </w:r>
    <w:r>
      <w:instrText xml:space="preserve"> DOCPROPERTY "Document number"  \* MERGEFORMAT </w:instrText>
    </w:r>
    <w:r>
      <w:fldChar w:fldCharType="separate"/>
    </w:r>
    <w:r w:rsidR="00A3306E">
      <w:t>UNEP/OzL.Pro/ExCom/91/18</w:t>
    </w:r>
    <w:r>
      <w:fldChar w:fldCharType="end"/>
    </w:r>
  </w:p>
  <w:p w14:paraId="6B0514AC" w14:textId="2DD50D17" w:rsidR="007B3584" w:rsidRDefault="007B3584" w:rsidP="008D7AB4">
    <w:pPr>
      <w:jc w:val="left"/>
    </w:pPr>
    <w:r>
      <w:t>Annex II</w:t>
    </w:r>
  </w:p>
  <w:p w14:paraId="3CF6F5EF" w14:textId="77777777" w:rsidR="007B3584" w:rsidRPr="0033525D" w:rsidRDefault="007B3584" w:rsidP="008D7AB4">
    <w:pPr>
      <w:jc w:val="left"/>
    </w:pPr>
  </w:p>
  <w:p w14:paraId="69459795" w14:textId="77777777" w:rsidR="007B3584" w:rsidRPr="0033525D" w:rsidRDefault="007B35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7A8E907"/>
    <w:multiLevelType w:val="hybridMultilevel"/>
    <w:tmpl w:val="CF65102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D5C453D2"/>
    <w:lvl w:ilvl="0">
      <w:start w:val="1"/>
      <w:numFmt w:val="bullet"/>
      <w:pStyle w:val="StyleHeader4Para4Left0Firstline0"/>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B"/>
    <w:multiLevelType w:val="multilevel"/>
    <w:tmpl w:val="43E6300A"/>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2" w15:restartNumberingAfterBreak="0">
    <w:nsid w:val="10C758FF"/>
    <w:multiLevelType w:val="hybridMultilevel"/>
    <w:tmpl w:val="204452EA"/>
    <w:lvl w:ilvl="0" w:tplc="3C68AA7A">
      <w:start w:val="1"/>
      <w:numFmt w:val="upperLetter"/>
      <w:pStyle w:val="ListParagraph3"/>
      <w:lvlText w:val="%1."/>
      <w:lvlJc w:val="left"/>
      <w:pPr>
        <w:ind w:left="81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14220362"/>
    <w:multiLevelType w:val="hybridMultilevel"/>
    <w:tmpl w:val="A3C8B8F2"/>
    <w:lvl w:ilvl="0" w:tplc="BA5E3D8C">
      <w:start w:val="1"/>
      <w:numFmt w:val="upperLetter"/>
      <w:pStyle w:val="Style4"/>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54B727B"/>
    <w:multiLevelType w:val="hybridMultilevel"/>
    <w:tmpl w:val="54465DA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25816D12"/>
    <w:multiLevelType w:val="hybridMultilevel"/>
    <w:tmpl w:val="51D23C68"/>
    <w:lvl w:ilvl="0" w:tplc="E8EEAD8A">
      <w:start w:val="1"/>
      <w:numFmt w:val="upperRoman"/>
      <w:pStyle w:val="Style1"/>
      <w:lvlText w:val="%1."/>
      <w:lvlJc w:val="left"/>
      <w:pPr>
        <w:ind w:left="1146" w:hanging="720"/>
      </w:pPr>
      <w:rPr>
        <w:rFonts w:hint="default"/>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C1262D7"/>
    <w:multiLevelType w:val="hybridMultilevel"/>
    <w:tmpl w:val="5E52D4B4"/>
    <w:lvl w:ilvl="0" w:tplc="C76E842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A626ED7"/>
    <w:multiLevelType w:val="hybridMultilevel"/>
    <w:tmpl w:val="803C1A94"/>
    <w:lvl w:ilvl="0" w:tplc="11E02998">
      <w:start w:val="1"/>
      <w:numFmt w:val="upperLetter"/>
      <w:lvlText w:val="%1."/>
      <w:lvlJc w:val="left"/>
      <w:pPr>
        <w:ind w:left="72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7B4B4468"/>
    <w:multiLevelType w:val="hybridMultilevel"/>
    <w:tmpl w:val="803C1A94"/>
    <w:lvl w:ilvl="0" w:tplc="FFFFFFFF">
      <w:start w:val="1"/>
      <w:numFmt w:val="upperLetter"/>
      <w:lvlText w:val="%1."/>
      <w:lvlJc w:val="left"/>
      <w:pPr>
        <w:ind w:left="72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6" w15:restartNumberingAfterBreak="0">
    <w:nsid w:val="7F16558C"/>
    <w:multiLevelType w:val="hybridMultilevel"/>
    <w:tmpl w:val="266EA3E6"/>
    <w:lvl w:ilvl="0" w:tplc="9880F094">
      <w:start w:val="1"/>
      <w:numFmt w:val="lowerLetter"/>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842863112">
    <w:abstractNumId w:val="11"/>
  </w:num>
  <w:num w:numId="2" w16cid:durableId="1467314392">
    <w:abstractNumId w:val="11"/>
  </w:num>
  <w:num w:numId="3" w16cid:durableId="983697108">
    <w:abstractNumId w:val="11"/>
  </w:num>
  <w:num w:numId="4" w16cid:durableId="2023127001">
    <w:abstractNumId w:val="11"/>
  </w:num>
  <w:num w:numId="5" w16cid:durableId="462847601">
    <w:abstractNumId w:val="16"/>
  </w:num>
  <w:num w:numId="6" w16cid:durableId="299306927">
    <w:abstractNumId w:val="20"/>
  </w:num>
  <w:num w:numId="7" w16cid:durableId="559828470">
    <w:abstractNumId w:val="21"/>
  </w:num>
  <w:num w:numId="8" w16cid:durableId="1488010068">
    <w:abstractNumId w:val="25"/>
  </w:num>
  <w:num w:numId="9" w16cid:durableId="444007775">
    <w:abstractNumId w:val="18"/>
  </w:num>
  <w:num w:numId="10" w16cid:durableId="147017660">
    <w:abstractNumId w:val="15"/>
  </w:num>
  <w:num w:numId="11" w16cid:durableId="1413546956">
    <w:abstractNumId w:val="12"/>
  </w:num>
  <w:num w:numId="12" w16cid:durableId="838422011">
    <w:abstractNumId w:val="13"/>
  </w:num>
  <w:num w:numId="13" w16cid:durableId="1007296135">
    <w:abstractNumId w:val="23"/>
  </w:num>
  <w:num w:numId="14" w16cid:durableId="107622554">
    <w:abstractNumId w:val="24"/>
  </w:num>
  <w:num w:numId="15" w16cid:durableId="1326013988">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7029526">
    <w:abstractNumId w:val="11"/>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62933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11049866">
    <w:abstractNumId w:val="10"/>
  </w:num>
  <w:num w:numId="19" w16cid:durableId="614021264">
    <w:abstractNumId w:val="8"/>
  </w:num>
  <w:num w:numId="20" w16cid:durableId="435102672">
    <w:abstractNumId w:val="7"/>
  </w:num>
  <w:num w:numId="21" w16cid:durableId="142893279">
    <w:abstractNumId w:val="6"/>
  </w:num>
  <w:num w:numId="22" w16cid:durableId="691689036">
    <w:abstractNumId w:val="5"/>
  </w:num>
  <w:num w:numId="23" w16cid:durableId="1855415423">
    <w:abstractNumId w:val="9"/>
  </w:num>
  <w:num w:numId="24" w16cid:durableId="842933821">
    <w:abstractNumId w:val="4"/>
  </w:num>
  <w:num w:numId="25" w16cid:durableId="540824077">
    <w:abstractNumId w:val="3"/>
  </w:num>
  <w:num w:numId="26" w16cid:durableId="53431543">
    <w:abstractNumId w:val="2"/>
  </w:num>
  <w:num w:numId="27" w16cid:durableId="1574503838">
    <w:abstractNumId w:val="1"/>
  </w:num>
  <w:num w:numId="28" w16cid:durableId="1006128287">
    <w:abstractNumId w:val="19"/>
  </w:num>
  <w:num w:numId="29" w16cid:durableId="1156990396">
    <w:abstractNumId w:val="22"/>
  </w:num>
  <w:num w:numId="30" w16cid:durableId="1921408312">
    <w:abstractNumId w:val="0"/>
  </w:num>
  <w:num w:numId="31" w16cid:durableId="1733773123">
    <w:abstractNumId w:val="14"/>
  </w:num>
  <w:num w:numId="32" w16cid:durableId="720250524">
    <w:abstractNumId w:val="26"/>
  </w:num>
  <w:num w:numId="33" w16cid:durableId="1979988649">
    <w:abstractNumId w:val="11"/>
    <w:lvlOverride w:ilvl="0">
      <w:startOverride w:val="16"/>
    </w:lvlOverride>
  </w:num>
  <w:num w:numId="34" w16cid:durableId="897400974">
    <w:abstractNumId w:val="11"/>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17419170">
    <w:abstractNumId w:val="17"/>
  </w:num>
  <w:num w:numId="36" w16cid:durableId="20026575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E3BB9"/>
    <w:rsid w:val="00000FED"/>
    <w:rsid w:val="00001380"/>
    <w:rsid w:val="0000434E"/>
    <w:rsid w:val="000211A9"/>
    <w:rsid w:val="00021238"/>
    <w:rsid w:val="0002152C"/>
    <w:rsid w:val="00031260"/>
    <w:rsid w:val="0003681A"/>
    <w:rsid w:val="000372B7"/>
    <w:rsid w:val="00050F6E"/>
    <w:rsid w:val="00060E8B"/>
    <w:rsid w:val="00061EC2"/>
    <w:rsid w:val="00064955"/>
    <w:rsid w:val="00066CE8"/>
    <w:rsid w:val="00080ED0"/>
    <w:rsid w:val="00084E76"/>
    <w:rsid w:val="00085B8F"/>
    <w:rsid w:val="00090481"/>
    <w:rsid w:val="000A3826"/>
    <w:rsid w:val="000A6C26"/>
    <w:rsid w:val="000B54ED"/>
    <w:rsid w:val="000D52A4"/>
    <w:rsid w:val="000E07BC"/>
    <w:rsid w:val="000F1CD4"/>
    <w:rsid w:val="000F31F6"/>
    <w:rsid w:val="000F4103"/>
    <w:rsid w:val="000F70A7"/>
    <w:rsid w:val="000F7978"/>
    <w:rsid w:val="00113CCA"/>
    <w:rsid w:val="0011616C"/>
    <w:rsid w:val="00122F25"/>
    <w:rsid w:val="00135980"/>
    <w:rsid w:val="0013786F"/>
    <w:rsid w:val="00164719"/>
    <w:rsid w:val="00166FC4"/>
    <w:rsid w:val="001677AC"/>
    <w:rsid w:val="0017484C"/>
    <w:rsid w:val="001804EA"/>
    <w:rsid w:val="00186206"/>
    <w:rsid w:val="00190A61"/>
    <w:rsid w:val="001A2215"/>
    <w:rsid w:val="001A3342"/>
    <w:rsid w:val="001A3E3D"/>
    <w:rsid w:val="001A7049"/>
    <w:rsid w:val="001B1E40"/>
    <w:rsid w:val="001C764E"/>
    <w:rsid w:val="001E1052"/>
    <w:rsid w:val="001E21B1"/>
    <w:rsid w:val="001E2F93"/>
    <w:rsid w:val="001E3BB9"/>
    <w:rsid w:val="001E4554"/>
    <w:rsid w:val="001E61E5"/>
    <w:rsid w:val="001F2159"/>
    <w:rsid w:val="001F53FD"/>
    <w:rsid w:val="00205215"/>
    <w:rsid w:val="00210B8B"/>
    <w:rsid w:val="00214863"/>
    <w:rsid w:val="002156B4"/>
    <w:rsid w:val="00221F50"/>
    <w:rsid w:val="00224FCD"/>
    <w:rsid w:val="00225D1F"/>
    <w:rsid w:val="00231202"/>
    <w:rsid w:val="00233AE2"/>
    <w:rsid w:val="00253222"/>
    <w:rsid w:val="00261C13"/>
    <w:rsid w:val="00262847"/>
    <w:rsid w:val="00277B9B"/>
    <w:rsid w:val="00281BB2"/>
    <w:rsid w:val="002A03C3"/>
    <w:rsid w:val="002B254E"/>
    <w:rsid w:val="002B7148"/>
    <w:rsid w:val="002B72E9"/>
    <w:rsid w:val="002C16AF"/>
    <w:rsid w:val="002C7998"/>
    <w:rsid w:val="002E1E12"/>
    <w:rsid w:val="002F1E53"/>
    <w:rsid w:val="002F2CAA"/>
    <w:rsid w:val="0030052C"/>
    <w:rsid w:val="0030268C"/>
    <w:rsid w:val="003306E1"/>
    <w:rsid w:val="003320E4"/>
    <w:rsid w:val="0033525D"/>
    <w:rsid w:val="003414F3"/>
    <w:rsid w:val="003505C2"/>
    <w:rsid w:val="00355FFF"/>
    <w:rsid w:val="0035613E"/>
    <w:rsid w:val="00363EE9"/>
    <w:rsid w:val="00376128"/>
    <w:rsid w:val="0037742E"/>
    <w:rsid w:val="00377D56"/>
    <w:rsid w:val="0038245A"/>
    <w:rsid w:val="003840E6"/>
    <w:rsid w:val="00385CFC"/>
    <w:rsid w:val="0039337A"/>
    <w:rsid w:val="003A2442"/>
    <w:rsid w:val="003A3189"/>
    <w:rsid w:val="003A3CA7"/>
    <w:rsid w:val="003B1539"/>
    <w:rsid w:val="003B33BD"/>
    <w:rsid w:val="003B569D"/>
    <w:rsid w:val="003C3C0E"/>
    <w:rsid w:val="003D42A6"/>
    <w:rsid w:val="003D4F21"/>
    <w:rsid w:val="003D4FAC"/>
    <w:rsid w:val="003E3623"/>
    <w:rsid w:val="003E7906"/>
    <w:rsid w:val="003F000F"/>
    <w:rsid w:val="003F3C50"/>
    <w:rsid w:val="00406202"/>
    <w:rsid w:val="00406A6A"/>
    <w:rsid w:val="00406B22"/>
    <w:rsid w:val="00427B65"/>
    <w:rsid w:val="004328A7"/>
    <w:rsid w:val="00434C74"/>
    <w:rsid w:val="00456EB4"/>
    <w:rsid w:val="00457827"/>
    <w:rsid w:val="00464EF9"/>
    <w:rsid w:val="004718F3"/>
    <w:rsid w:val="00475040"/>
    <w:rsid w:val="00490C06"/>
    <w:rsid w:val="00493D40"/>
    <w:rsid w:val="00493EE3"/>
    <w:rsid w:val="004967B6"/>
    <w:rsid w:val="00497152"/>
    <w:rsid w:val="004A504B"/>
    <w:rsid w:val="004A6911"/>
    <w:rsid w:val="004A77A4"/>
    <w:rsid w:val="004B54E0"/>
    <w:rsid w:val="004B7384"/>
    <w:rsid w:val="004C4269"/>
    <w:rsid w:val="004D6236"/>
    <w:rsid w:val="004D7F90"/>
    <w:rsid w:val="004E4DBB"/>
    <w:rsid w:val="004E4E41"/>
    <w:rsid w:val="004E73DB"/>
    <w:rsid w:val="004E7F9C"/>
    <w:rsid w:val="004F226D"/>
    <w:rsid w:val="004F3493"/>
    <w:rsid w:val="004F5143"/>
    <w:rsid w:val="004F6CA4"/>
    <w:rsid w:val="00512B09"/>
    <w:rsid w:val="005220ED"/>
    <w:rsid w:val="0052399E"/>
    <w:rsid w:val="00533796"/>
    <w:rsid w:val="00533908"/>
    <w:rsid w:val="00535457"/>
    <w:rsid w:val="00537343"/>
    <w:rsid w:val="0055539C"/>
    <w:rsid w:val="00555D75"/>
    <w:rsid w:val="00560DF0"/>
    <w:rsid w:val="0056759C"/>
    <w:rsid w:val="0059513E"/>
    <w:rsid w:val="005A5716"/>
    <w:rsid w:val="005A6AA4"/>
    <w:rsid w:val="005A6D9F"/>
    <w:rsid w:val="005B48FF"/>
    <w:rsid w:val="005C1E32"/>
    <w:rsid w:val="005D363F"/>
    <w:rsid w:val="005E097C"/>
    <w:rsid w:val="005E5F6D"/>
    <w:rsid w:val="005F04A0"/>
    <w:rsid w:val="00604C15"/>
    <w:rsid w:val="006158D5"/>
    <w:rsid w:val="00625D83"/>
    <w:rsid w:val="00651984"/>
    <w:rsid w:val="006621BF"/>
    <w:rsid w:val="006623E7"/>
    <w:rsid w:val="00662B80"/>
    <w:rsid w:val="00670F6C"/>
    <w:rsid w:val="00676E58"/>
    <w:rsid w:val="006852C7"/>
    <w:rsid w:val="006852CE"/>
    <w:rsid w:val="00692D14"/>
    <w:rsid w:val="006B1D75"/>
    <w:rsid w:val="006B65C7"/>
    <w:rsid w:val="006C1727"/>
    <w:rsid w:val="006C32FD"/>
    <w:rsid w:val="006C39CE"/>
    <w:rsid w:val="006D0FCC"/>
    <w:rsid w:val="006D21F5"/>
    <w:rsid w:val="006D3089"/>
    <w:rsid w:val="006E126D"/>
    <w:rsid w:val="006E1FC3"/>
    <w:rsid w:val="006E63AE"/>
    <w:rsid w:val="00704CE9"/>
    <w:rsid w:val="0070616B"/>
    <w:rsid w:val="00706295"/>
    <w:rsid w:val="007066DF"/>
    <w:rsid w:val="00706FDA"/>
    <w:rsid w:val="00711F9A"/>
    <w:rsid w:val="00713810"/>
    <w:rsid w:val="007303A5"/>
    <w:rsid w:val="00730B3E"/>
    <w:rsid w:val="0073420B"/>
    <w:rsid w:val="00736367"/>
    <w:rsid w:val="00742568"/>
    <w:rsid w:val="0074760E"/>
    <w:rsid w:val="00750752"/>
    <w:rsid w:val="00753529"/>
    <w:rsid w:val="00754ABA"/>
    <w:rsid w:val="00782B0D"/>
    <w:rsid w:val="00785C4F"/>
    <w:rsid w:val="007A1546"/>
    <w:rsid w:val="007A228C"/>
    <w:rsid w:val="007A368E"/>
    <w:rsid w:val="007A5868"/>
    <w:rsid w:val="007B04CE"/>
    <w:rsid w:val="007B3584"/>
    <w:rsid w:val="007B6871"/>
    <w:rsid w:val="007B7A2F"/>
    <w:rsid w:val="007C3D33"/>
    <w:rsid w:val="007D294A"/>
    <w:rsid w:val="007D47D2"/>
    <w:rsid w:val="007D6EC0"/>
    <w:rsid w:val="007D7E1D"/>
    <w:rsid w:val="007F3476"/>
    <w:rsid w:val="007F7730"/>
    <w:rsid w:val="00811D2A"/>
    <w:rsid w:val="00831979"/>
    <w:rsid w:val="00851352"/>
    <w:rsid w:val="00857077"/>
    <w:rsid w:val="0086292D"/>
    <w:rsid w:val="00863230"/>
    <w:rsid w:val="00865BD0"/>
    <w:rsid w:val="008717D8"/>
    <w:rsid w:val="0087215C"/>
    <w:rsid w:val="00875D25"/>
    <w:rsid w:val="00880E35"/>
    <w:rsid w:val="008875FE"/>
    <w:rsid w:val="00887F8E"/>
    <w:rsid w:val="00896234"/>
    <w:rsid w:val="00897E43"/>
    <w:rsid w:val="008A15DD"/>
    <w:rsid w:val="008C222B"/>
    <w:rsid w:val="008C5738"/>
    <w:rsid w:val="008C7EAD"/>
    <w:rsid w:val="008D0CFE"/>
    <w:rsid w:val="008D6152"/>
    <w:rsid w:val="008D75DE"/>
    <w:rsid w:val="008D7AB4"/>
    <w:rsid w:val="008E3750"/>
    <w:rsid w:val="008E7BA9"/>
    <w:rsid w:val="008F0F81"/>
    <w:rsid w:val="008F27BF"/>
    <w:rsid w:val="009029DC"/>
    <w:rsid w:val="00905396"/>
    <w:rsid w:val="00911553"/>
    <w:rsid w:val="009142EC"/>
    <w:rsid w:val="009154C3"/>
    <w:rsid w:val="00923540"/>
    <w:rsid w:val="00926767"/>
    <w:rsid w:val="009361D5"/>
    <w:rsid w:val="009428A4"/>
    <w:rsid w:val="009441C5"/>
    <w:rsid w:val="009654CB"/>
    <w:rsid w:val="009659F4"/>
    <w:rsid w:val="00970D60"/>
    <w:rsid w:val="00975A0B"/>
    <w:rsid w:val="00980BF0"/>
    <w:rsid w:val="00986006"/>
    <w:rsid w:val="00990C3F"/>
    <w:rsid w:val="0099390E"/>
    <w:rsid w:val="00995F30"/>
    <w:rsid w:val="009960E5"/>
    <w:rsid w:val="009A7ADC"/>
    <w:rsid w:val="009B0D30"/>
    <w:rsid w:val="009B41B6"/>
    <w:rsid w:val="009C19B7"/>
    <w:rsid w:val="009C5ABB"/>
    <w:rsid w:val="009D7C51"/>
    <w:rsid w:val="009D7D25"/>
    <w:rsid w:val="009E196C"/>
    <w:rsid w:val="009F36BF"/>
    <w:rsid w:val="009F7186"/>
    <w:rsid w:val="00A04F54"/>
    <w:rsid w:val="00A111B6"/>
    <w:rsid w:val="00A26D27"/>
    <w:rsid w:val="00A27B1D"/>
    <w:rsid w:val="00A3306E"/>
    <w:rsid w:val="00A376EE"/>
    <w:rsid w:val="00A42A99"/>
    <w:rsid w:val="00A5151A"/>
    <w:rsid w:val="00A57E0A"/>
    <w:rsid w:val="00A62F35"/>
    <w:rsid w:val="00A823F6"/>
    <w:rsid w:val="00A8719E"/>
    <w:rsid w:val="00AA0A89"/>
    <w:rsid w:val="00AA0EF2"/>
    <w:rsid w:val="00AA5368"/>
    <w:rsid w:val="00AA6429"/>
    <w:rsid w:val="00AC01AA"/>
    <w:rsid w:val="00AC4F72"/>
    <w:rsid w:val="00AF741A"/>
    <w:rsid w:val="00B01ADB"/>
    <w:rsid w:val="00B04161"/>
    <w:rsid w:val="00B056F9"/>
    <w:rsid w:val="00B11E3D"/>
    <w:rsid w:val="00B14D2C"/>
    <w:rsid w:val="00B17E82"/>
    <w:rsid w:val="00B4575A"/>
    <w:rsid w:val="00B45C9C"/>
    <w:rsid w:val="00B575BA"/>
    <w:rsid w:val="00B71608"/>
    <w:rsid w:val="00B74FB8"/>
    <w:rsid w:val="00B76429"/>
    <w:rsid w:val="00B80950"/>
    <w:rsid w:val="00B85D05"/>
    <w:rsid w:val="00B86471"/>
    <w:rsid w:val="00B92759"/>
    <w:rsid w:val="00B956D4"/>
    <w:rsid w:val="00B97446"/>
    <w:rsid w:val="00BA7432"/>
    <w:rsid w:val="00BB2764"/>
    <w:rsid w:val="00BC1AA0"/>
    <w:rsid w:val="00BC2495"/>
    <w:rsid w:val="00BC314A"/>
    <w:rsid w:val="00BC7AF0"/>
    <w:rsid w:val="00BC7EB9"/>
    <w:rsid w:val="00BD2643"/>
    <w:rsid w:val="00BD56B1"/>
    <w:rsid w:val="00BD6558"/>
    <w:rsid w:val="00BD6CCF"/>
    <w:rsid w:val="00BF2AD7"/>
    <w:rsid w:val="00BF2F76"/>
    <w:rsid w:val="00BF3022"/>
    <w:rsid w:val="00BF3214"/>
    <w:rsid w:val="00BF5573"/>
    <w:rsid w:val="00C06DCC"/>
    <w:rsid w:val="00C110DF"/>
    <w:rsid w:val="00C15867"/>
    <w:rsid w:val="00C2296D"/>
    <w:rsid w:val="00C23155"/>
    <w:rsid w:val="00C40C41"/>
    <w:rsid w:val="00C45885"/>
    <w:rsid w:val="00C50F22"/>
    <w:rsid w:val="00C57971"/>
    <w:rsid w:val="00C620F7"/>
    <w:rsid w:val="00C65BD7"/>
    <w:rsid w:val="00C6668D"/>
    <w:rsid w:val="00C76BA4"/>
    <w:rsid w:val="00C83A48"/>
    <w:rsid w:val="00C85865"/>
    <w:rsid w:val="00C85E85"/>
    <w:rsid w:val="00CA2EAE"/>
    <w:rsid w:val="00CA4AC1"/>
    <w:rsid w:val="00CA59FB"/>
    <w:rsid w:val="00CB0316"/>
    <w:rsid w:val="00CB0B11"/>
    <w:rsid w:val="00CB426A"/>
    <w:rsid w:val="00CB4CCD"/>
    <w:rsid w:val="00CB5354"/>
    <w:rsid w:val="00CC3C9E"/>
    <w:rsid w:val="00CC6A14"/>
    <w:rsid w:val="00CC70A3"/>
    <w:rsid w:val="00CD4442"/>
    <w:rsid w:val="00CD53C3"/>
    <w:rsid w:val="00CD574E"/>
    <w:rsid w:val="00CD7B98"/>
    <w:rsid w:val="00CE4C22"/>
    <w:rsid w:val="00CE75FF"/>
    <w:rsid w:val="00CE76E5"/>
    <w:rsid w:val="00CF41EC"/>
    <w:rsid w:val="00CF5D04"/>
    <w:rsid w:val="00D04DE4"/>
    <w:rsid w:val="00D063F1"/>
    <w:rsid w:val="00D14F22"/>
    <w:rsid w:val="00D441D4"/>
    <w:rsid w:val="00D454AD"/>
    <w:rsid w:val="00D4741C"/>
    <w:rsid w:val="00D57918"/>
    <w:rsid w:val="00D73DC6"/>
    <w:rsid w:val="00D74C1A"/>
    <w:rsid w:val="00D754C1"/>
    <w:rsid w:val="00D77393"/>
    <w:rsid w:val="00D77A35"/>
    <w:rsid w:val="00D81B3E"/>
    <w:rsid w:val="00D90C70"/>
    <w:rsid w:val="00D90E49"/>
    <w:rsid w:val="00D96ADE"/>
    <w:rsid w:val="00DA0CE2"/>
    <w:rsid w:val="00DC4BFF"/>
    <w:rsid w:val="00DC4DD4"/>
    <w:rsid w:val="00DC5424"/>
    <w:rsid w:val="00DC695E"/>
    <w:rsid w:val="00DC6A10"/>
    <w:rsid w:val="00DE657E"/>
    <w:rsid w:val="00DF0FDA"/>
    <w:rsid w:val="00DF4704"/>
    <w:rsid w:val="00E010CD"/>
    <w:rsid w:val="00E024AA"/>
    <w:rsid w:val="00E13809"/>
    <w:rsid w:val="00E15C77"/>
    <w:rsid w:val="00E250F1"/>
    <w:rsid w:val="00E3550D"/>
    <w:rsid w:val="00E52838"/>
    <w:rsid w:val="00E560C6"/>
    <w:rsid w:val="00E614E0"/>
    <w:rsid w:val="00E73F7F"/>
    <w:rsid w:val="00E753E8"/>
    <w:rsid w:val="00E85409"/>
    <w:rsid w:val="00E96FD0"/>
    <w:rsid w:val="00EA429F"/>
    <w:rsid w:val="00EA4F9E"/>
    <w:rsid w:val="00EA63CA"/>
    <w:rsid w:val="00EA6D3B"/>
    <w:rsid w:val="00EA7258"/>
    <w:rsid w:val="00EB00AD"/>
    <w:rsid w:val="00EB136C"/>
    <w:rsid w:val="00EB480E"/>
    <w:rsid w:val="00EB5EC6"/>
    <w:rsid w:val="00EB7FC9"/>
    <w:rsid w:val="00EC57AE"/>
    <w:rsid w:val="00ED27E8"/>
    <w:rsid w:val="00ED7137"/>
    <w:rsid w:val="00EE69D4"/>
    <w:rsid w:val="00EF06EA"/>
    <w:rsid w:val="00F01715"/>
    <w:rsid w:val="00F03B10"/>
    <w:rsid w:val="00F06179"/>
    <w:rsid w:val="00F21088"/>
    <w:rsid w:val="00F327E7"/>
    <w:rsid w:val="00F35746"/>
    <w:rsid w:val="00F359E1"/>
    <w:rsid w:val="00F42757"/>
    <w:rsid w:val="00F447C7"/>
    <w:rsid w:val="00F459B4"/>
    <w:rsid w:val="00F5211B"/>
    <w:rsid w:val="00F554A9"/>
    <w:rsid w:val="00F631B2"/>
    <w:rsid w:val="00F66464"/>
    <w:rsid w:val="00F716FD"/>
    <w:rsid w:val="00F80355"/>
    <w:rsid w:val="00F818A5"/>
    <w:rsid w:val="00F87C43"/>
    <w:rsid w:val="00FA5722"/>
    <w:rsid w:val="00FB0C81"/>
    <w:rsid w:val="00FB6928"/>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2C8A967"/>
  <w15:docId w15:val="{DA8F6A27-725A-4E28-B4D4-AE0B1A0BB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F50"/>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1,heading 4,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ListParagraph2">
    <w:name w:val="List Paragraph 2"/>
    <w:autoRedefine/>
    <w:rsid w:val="00F03B10"/>
    <w:pPr>
      <w:tabs>
        <w:tab w:val="left" w:pos="851"/>
      </w:tabs>
      <w:spacing w:after="240"/>
      <w:ind w:firstLine="851"/>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character" w:customStyle="1" w:styleId="Style2">
    <w:name w:val="Style 2"/>
    <w:basedOn w:val="DefaultParagraphFont"/>
    <w:qFormat/>
    <w:rsid w:val="007F3476"/>
    <w:rPr>
      <w:rFonts w:ascii="Times New Roman" w:hAnsi="Times New Roman"/>
      <w:caps w:val="0"/>
      <w:smallCaps w:val="0"/>
      <w:strike w:val="0"/>
      <w:dstrike w:val="0"/>
      <w:vanish w:val="0"/>
      <w:sz w:val="22"/>
      <w:u w:val="single"/>
      <w:vertAlign w:val="baseline"/>
    </w:rPr>
  </w:style>
  <w:style w:type="character" w:customStyle="1" w:styleId="ListParagraph1">
    <w:name w:val="List Paragraph 1"/>
    <w:basedOn w:val="DefaultParagraphFont"/>
    <w:rsid w:val="00F03B10"/>
    <w:rPr>
      <w:b/>
      <w:bCs/>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ListParagraph3">
    <w:name w:val="List Paragraph 3"/>
    <w:basedOn w:val="Normal"/>
    <w:link w:val="ListParagraph3Char"/>
    <w:autoRedefine/>
    <w:rsid w:val="005E5F6D"/>
    <w:pPr>
      <w:numPr>
        <w:numId w:val="11"/>
      </w:numPr>
      <w:spacing w:after="240"/>
    </w:pPr>
    <w:rPr>
      <w: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ft,ft2,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ft Char,ft2 Char,f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
    <w:basedOn w:val="DefaultParagraphFont"/>
    <w:link w:val="BVIfnrChar"/>
    <w:uiPriority w:val="99"/>
    <w:unhideWhenUsed/>
    <w:qFormat/>
    <w:rsid w:val="006E126D"/>
    <w:rPr>
      <w:vertAlign w:val="superscript"/>
    </w:rPr>
  </w:style>
  <w:style w:type="paragraph" w:customStyle="1" w:styleId="Style2Bold">
    <w:name w:val="Style 2 Bold"/>
    <w:basedOn w:val="Normal"/>
    <w:link w:val="Style2BoldChar"/>
    <w:rsid w:val="00F42757"/>
    <w:pPr>
      <w:spacing w:after="240"/>
    </w:pPr>
    <w:rPr>
      <w:b/>
      <w:bCs/>
      <w:szCs w:val="20"/>
    </w:rPr>
  </w:style>
  <w:style w:type="paragraph" w:customStyle="1" w:styleId="Style3Bold">
    <w:name w:val="Style3 Bold"/>
    <w:aliases w:val="Underline"/>
    <w:basedOn w:val="Heading1"/>
    <w:autoRedefine/>
    <w:qFormat/>
    <w:rsid w:val="00742568"/>
    <w:pPr>
      <w:numPr>
        <w:numId w:val="0"/>
      </w:numPr>
      <w:ind w:firstLine="720"/>
    </w:pPr>
    <w:rPr>
      <w:bCs/>
      <w:u w:val="single"/>
    </w:rPr>
  </w:style>
  <w:style w:type="paragraph" w:customStyle="1" w:styleId="Style1">
    <w:name w:val="Style 1"/>
    <w:basedOn w:val="Normal"/>
    <w:link w:val="Style1Char"/>
    <w:autoRedefine/>
    <w:qFormat/>
    <w:rsid w:val="00E560C6"/>
    <w:pPr>
      <w:numPr>
        <w:numId w:val="10"/>
      </w:numPr>
      <w:tabs>
        <w:tab w:val="left" w:pos="0"/>
      </w:tabs>
      <w:spacing w:after="240"/>
      <w:ind w:left="567" w:hanging="567"/>
    </w:pPr>
    <w:rPr>
      <w:b/>
      <w:sz w:val="24"/>
    </w:rPr>
  </w:style>
  <w:style w:type="paragraph" w:customStyle="1" w:styleId="StyleBold">
    <w:name w:val="Style Bold"/>
    <w:basedOn w:val="Style2Bold"/>
    <w:link w:val="StyleBoldChar"/>
    <w:qFormat/>
    <w:rsid w:val="00990C3F"/>
  </w:style>
  <w:style w:type="character" w:customStyle="1" w:styleId="Style1Char">
    <w:name w:val="Style 1 Char"/>
    <w:basedOn w:val="DefaultParagraphFont"/>
    <w:link w:val="Style1"/>
    <w:rsid w:val="00E560C6"/>
    <w:rPr>
      <w:b/>
      <w:sz w:val="24"/>
      <w:szCs w:val="22"/>
      <w:lang w:val="en-CA"/>
    </w:rPr>
  </w:style>
  <w:style w:type="paragraph" w:customStyle="1" w:styleId="Style3">
    <w:name w:val="Style 3"/>
    <w:basedOn w:val="Normal"/>
    <w:link w:val="Style3Char"/>
    <w:autoRedefine/>
    <w:qFormat/>
    <w:rsid w:val="00E560C6"/>
    <w:pPr>
      <w:keepNext/>
      <w:spacing w:after="240"/>
    </w:pPr>
    <w:rPr>
      <w:b/>
      <w:sz w:val="24"/>
      <w:szCs w:val="24"/>
    </w:rPr>
  </w:style>
  <w:style w:type="character" w:customStyle="1" w:styleId="Style2BoldChar">
    <w:name w:val="Style 2 Bold Char"/>
    <w:basedOn w:val="DefaultParagraphFont"/>
    <w:link w:val="Style2Bold"/>
    <w:rsid w:val="00990C3F"/>
    <w:rPr>
      <w:b/>
      <w:bCs/>
      <w:sz w:val="22"/>
      <w:lang w:val="en-CA"/>
    </w:rPr>
  </w:style>
  <w:style w:type="character" w:customStyle="1" w:styleId="StyleBoldChar">
    <w:name w:val="Style Bold Char"/>
    <w:basedOn w:val="Style2BoldChar"/>
    <w:link w:val="StyleBold"/>
    <w:rsid w:val="00990C3F"/>
    <w:rPr>
      <w:b/>
      <w:bCs/>
      <w:sz w:val="22"/>
      <w:lang w:val="en-CA"/>
    </w:rPr>
  </w:style>
  <w:style w:type="paragraph" w:customStyle="1" w:styleId="Style4">
    <w:name w:val="Style 4"/>
    <w:basedOn w:val="ListParagraph3"/>
    <w:link w:val="Style4Char"/>
    <w:autoRedefine/>
    <w:qFormat/>
    <w:rsid w:val="0017484C"/>
    <w:pPr>
      <w:numPr>
        <w:numId w:val="12"/>
      </w:numPr>
    </w:pPr>
  </w:style>
  <w:style w:type="character" w:customStyle="1" w:styleId="Style3Char">
    <w:name w:val="Style 3 Char"/>
    <w:basedOn w:val="DefaultParagraphFont"/>
    <w:link w:val="Style3"/>
    <w:rsid w:val="00E560C6"/>
    <w:rPr>
      <w:b/>
      <w:sz w:val="24"/>
      <w:szCs w:val="24"/>
      <w:lang w:val="en-CA"/>
    </w:rPr>
  </w:style>
  <w:style w:type="character" w:customStyle="1" w:styleId="ListParagraph3Char">
    <w:name w:val="List Paragraph 3 Char"/>
    <w:basedOn w:val="DefaultParagraphFont"/>
    <w:link w:val="ListParagraph3"/>
    <w:rsid w:val="005E5F6D"/>
    <w:rPr>
      <w:b/>
      <w:sz w:val="22"/>
      <w:szCs w:val="22"/>
      <w:lang w:val="en-CA"/>
    </w:rPr>
  </w:style>
  <w:style w:type="character" w:customStyle="1" w:styleId="Style4Char">
    <w:name w:val="Style 4 Char"/>
    <w:basedOn w:val="ListParagraph3Char"/>
    <w:link w:val="Style4"/>
    <w:rsid w:val="0017484C"/>
    <w:rPr>
      <w:b/>
      <w:sz w:val="22"/>
      <w:szCs w:val="22"/>
      <w:lang w:val="en-CA"/>
    </w:rPr>
  </w:style>
  <w:style w:type="paragraph" w:styleId="ListParagraph">
    <w:name w:val="List Paragraph"/>
    <w:basedOn w:val="Normal"/>
    <w:uiPriority w:val="34"/>
    <w:qFormat/>
    <w:rsid w:val="00753529"/>
    <w:pPr>
      <w:ind w:left="720"/>
      <w:contextualSpacing/>
    </w:pPr>
  </w:style>
  <w:style w:type="paragraph" w:customStyle="1" w:styleId="BVIfnrChar">
    <w:name w:val="BVI fnr Char"/>
    <w:aliases w:val="BVI fnr Car Car Char,BVI fnr Car Char,BVI fnr Car Car Car Car Char,4_G Char Char"/>
    <w:basedOn w:val="Normal"/>
    <w:link w:val="FootnoteReference"/>
    <w:uiPriority w:val="99"/>
    <w:rsid w:val="00BC7AF0"/>
    <w:pPr>
      <w:spacing w:after="160" w:line="240" w:lineRule="exact"/>
      <w:jc w:val="lef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277B9B"/>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980BF0"/>
    <w:rPr>
      <w:sz w:val="22"/>
      <w:szCs w:val="22"/>
      <w:lang w:val="en-CA"/>
    </w:rPr>
  </w:style>
  <w:style w:type="paragraph" w:customStyle="1" w:styleId="sub-title">
    <w:name w:val="sub-title"/>
    <w:rsid w:val="00980BF0"/>
    <w:pPr>
      <w:jc w:val="both"/>
      <w:outlineLvl w:val="0"/>
    </w:pPr>
    <w:rPr>
      <w:b/>
      <w:noProof/>
      <w:sz w:val="22"/>
      <w:szCs w:val="22"/>
    </w:rPr>
  </w:style>
  <w:style w:type="paragraph" w:styleId="Subtitle">
    <w:name w:val="Subtitle"/>
    <w:basedOn w:val="Normal"/>
    <w:link w:val="SubtitleChar"/>
    <w:qFormat/>
    <w:rsid w:val="00980BF0"/>
    <w:pPr>
      <w:spacing w:after="60"/>
      <w:jc w:val="center"/>
      <w:outlineLvl w:val="1"/>
    </w:pPr>
    <w:rPr>
      <w:rFonts w:ascii="Arial" w:hAnsi="Arial" w:cs="Arial"/>
    </w:rPr>
  </w:style>
  <w:style w:type="character" w:customStyle="1" w:styleId="SubtitleChar">
    <w:name w:val="Subtitle Char"/>
    <w:basedOn w:val="DefaultParagraphFont"/>
    <w:link w:val="Subtitle"/>
    <w:rsid w:val="00980BF0"/>
    <w:rPr>
      <w:rFonts w:ascii="Arial" w:hAnsi="Arial" w:cs="Arial"/>
      <w:sz w:val="22"/>
      <w:szCs w:val="22"/>
      <w:lang w:val="en-CA"/>
    </w:rPr>
  </w:style>
  <w:style w:type="paragraph" w:styleId="Title">
    <w:name w:val="Title"/>
    <w:basedOn w:val="Normal"/>
    <w:link w:val="TitleChar"/>
    <w:qFormat/>
    <w:rsid w:val="00980BF0"/>
    <w:pPr>
      <w:spacing w:before="240" w:after="60"/>
      <w:jc w:val="center"/>
      <w:outlineLvl w:val="0"/>
    </w:pPr>
    <w:rPr>
      <w:rFonts w:ascii="Arial" w:hAnsi="Arial" w:cs="Arial"/>
      <w:b/>
      <w:bCs/>
      <w:kern w:val="28"/>
    </w:rPr>
  </w:style>
  <w:style w:type="character" w:customStyle="1" w:styleId="TitleChar">
    <w:name w:val="Title Char"/>
    <w:basedOn w:val="DefaultParagraphFont"/>
    <w:link w:val="Title"/>
    <w:rsid w:val="00980BF0"/>
    <w:rPr>
      <w:rFonts w:ascii="Arial" w:hAnsi="Arial" w:cs="Arial"/>
      <w:b/>
      <w:bCs/>
      <w:kern w:val="28"/>
      <w:sz w:val="22"/>
      <w:szCs w:val="22"/>
      <w:lang w:val="en-CA"/>
    </w:rPr>
  </w:style>
  <w:style w:type="paragraph" w:customStyle="1" w:styleId="StyleHeader4Para4Left0Firstline0">
    <w:name w:val="Style Header4Para 4 + Left:  0&quot; First line:  0&quot;"/>
    <w:basedOn w:val="Header4"/>
    <w:rsid w:val="00980BF0"/>
    <w:pPr>
      <w:numPr>
        <w:numId w:val="19"/>
      </w:numPr>
      <w:ind w:left="0" w:firstLine="0"/>
    </w:pPr>
    <w:rPr>
      <w:sz w:val="20"/>
    </w:rPr>
  </w:style>
  <w:style w:type="paragraph" w:styleId="Revision">
    <w:name w:val="Revision"/>
    <w:hidden/>
    <w:uiPriority w:val="99"/>
    <w:semiHidden/>
    <w:rsid w:val="00980BF0"/>
    <w:rPr>
      <w:sz w:val="22"/>
      <w:szCs w:val="22"/>
      <w:lang w:val="en-GB"/>
    </w:rPr>
  </w:style>
  <w:style w:type="paragraph" w:customStyle="1" w:styleId="Default">
    <w:name w:val="Default"/>
    <w:rsid w:val="00980BF0"/>
    <w:pPr>
      <w:autoSpaceDE w:val="0"/>
      <w:autoSpaceDN w:val="0"/>
      <w:adjustRightInd w:val="0"/>
    </w:pPr>
    <w:rPr>
      <w:color w:val="000000"/>
      <w:sz w:val="24"/>
      <w:szCs w:val="24"/>
    </w:rPr>
  </w:style>
  <w:style w:type="table" w:customStyle="1" w:styleId="TableGrid10">
    <w:name w:val="Table Grid1"/>
    <w:basedOn w:val="TableNormal"/>
    <w:next w:val="TableGrid"/>
    <w:rsid w:val="00980BF0"/>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980BF0"/>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980BF0"/>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980BF0"/>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980BF0"/>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80BF0"/>
    <w:rPr>
      <w:color w:val="0000FF" w:themeColor="hyperlink"/>
      <w:u w:val="single"/>
    </w:rPr>
  </w:style>
  <w:style w:type="character" w:styleId="FollowedHyperlink">
    <w:name w:val="FollowedHyperlink"/>
    <w:basedOn w:val="DefaultParagraphFont"/>
    <w:uiPriority w:val="99"/>
    <w:semiHidden/>
    <w:unhideWhenUsed/>
    <w:rsid w:val="00980BF0"/>
    <w:rPr>
      <w:color w:val="800080" w:themeColor="followedHyperlink"/>
      <w:u w:val="single"/>
    </w:rPr>
  </w:style>
  <w:style w:type="character" w:customStyle="1" w:styleId="FooterChar">
    <w:name w:val="Footer Char"/>
    <w:basedOn w:val="DefaultParagraphFont"/>
    <w:link w:val="Footer"/>
    <w:uiPriority w:val="99"/>
    <w:rsid w:val="00980BF0"/>
    <w:rPr>
      <w:sz w:val="22"/>
      <w:szCs w:val="22"/>
      <w:lang w:val="en-CA"/>
    </w:rPr>
  </w:style>
  <w:style w:type="character" w:customStyle="1" w:styleId="HeaderChar">
    <w:name w:val="Header Char"/>
    <w:basedOn w:val="DefaultParagraphFont"/>
    <w:link w:val="Header"/>
    <w:uiPriority w:val="99"/>
    <w:rsid w:val="00980BF0"/>
    <w:rPr>
      <w:sz w:val="22"/>
      <w:szCs w:val="22"/>
      <w:lang w:val="en-CA"/>
    </w:rPr>
  </w:style>
  <w:style w:type="paragraph" w:styleId="EndnoteText">
    <w:name w:val="endnote text"/>
    <w:basedOn w:val="Normal"/>
    <w:link w:val="EndnoteTextChar"/>
    <w:uiPriority w:val="99"/>
    <w:semiHidden/>
    <w:unhideWhenUsed/>
    <w:rsid w:val="00980BF0"/>
    <w:rPr>
      <w:sz w:val="20"/>
      <w:szCs w:val="20"/>
    </w:rPr>
  </w:style>
  <w:style w:type="character" w:customStyle="1" w:styleId="EndnoteTextChar">
    <w:name w:val="Endnote Text Char"/>
    <w:basedOn w:val="DefaultParagraphFont"/>
    <w:link w:val="EndnoteText"/>
    <w:uiPriority w:val="99"/>
    <w:semiHidden/>
    <w:rsid w:val="00980BF0"/>
    <w:rPr>
      <w:lang w:val="en-CA"/>
    </w:rPr>
  </w:style>
  <w:style w:type="character" w:styleId="EndnoteReference">
    <w:name w:val="endnote reference"/>
    <w:basedOn w:val="DefaultParagraphFont"/>
    <w:uiPriority w:val="99"/>
    <w:semiHidden/>
    <w:unhideWhenUsed/>
    <w:rsid w:val="00980B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E4CEB1E-8C0F-44D6-92C1-B9637672D4EE}">
  <we:reference id="a3b40b4f-8edf-490e-9df1-7e66f93912bf" version="1.1.0.0" store="EXCatalog" storeType="EXCatalog"/>
  <we:alternateReferences>
    <we:reference id="WA104380526" version="1.1.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18397190-7137-4056-BC96-45741CAE57E8}">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C543D1BD-E2DD-4C49-B315-0E94DA144675}">
  <ds:schemaRefs>
    <ds:schemaRef ds:uri="http://schemas.microsoft.com/sharepoint/v3/contenttype/forms"/>
  </ds:schemaRefs>
</ds:datastoreItem>
</file>

<file path=customXml/itemProps4.xml><?xml version="1.0" encoding="utf-8"?>
<ds:datastoreItem xmlns:ds="http://schemas.openxmlformats.org/officeDocument/2006/customXml" ds:itemID="{D5B4BD70-A19F-4C7A-9630-05E4145693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14019</Words>
  <Characters>79912</Characters>
  <Application>Microsoft Office Word</Application>
  <DocSecurity>0</DocSecurity>
  <Lines>665</Lines>
  <Paragraphs>187</Paragraphs>
  <ScaleCrop>false</ScaleCrop>
  <HeadingPairs>
    <vt:vector size="2" baseType="variant">
      <vt:variant>
        <vt:lpstr>Title</vt:lpstr>
      </vt:variant>
      <vt:variant>
        <vt:i4>1</vt:i4>
      </vt:variant>
    </vt:vector>
  </HeadingPairs>
  <TitlesOfParts>
    <vt:vector size="1" baseType="lpstr">
      <vt:lpstr>Reports on projects with specific reporting requirements</vt:lpstr>
    </vt:vector>
  </TitlesOfParts>
  <Company>UNMFS</Company>
  <LinksUpToDate>false</LinksUpToDate>
  <CharactersWithSpaces>93744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Reports on projects with specific reporting requirements</dc:title>
  <dc:subject>91st</dc:subject>
  <dc:creator>Nanette Guerin</dc:creator>
  <dc:description>RS</dc:description>
  <cp:lastModifiedBy>Kata Koppel</cp:lastModifiedBy>
  <cp:revision>2</cp:revision>
  <cp:lastPrinted>2022-11-11T21:06:00Z</cp:lastPrinted>
  <dcterms:created xsi:type="dcterms:W3CDTF">2024-09-26T20:49:00Z</dcterms:created>
  <dcterms:modified xsi:type="dcterms:W3CDTF">2024-09-26T20:49:00Z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UNEP/OzL.Pro/ExCom/91/18</vt:lpwstr>
  </property>
  <property fmtid="{D5CDD505-2E9C-101B-9397-08002B2CF9AE}" pid="3" name="Revision date">
    <vt:lpwstr>11/14/2022</vt:lpwstr>
  </property>
  <property fmtid="{D5CDD505-2E9C-101B-9397-08002B2CF9AE}" pid="4" name="ContentTypeId">
    <vt:lpwstr>0x010100C5F60F8E60516143877F7AC30EFBB2F3</vt:lpwstr>
  </property>
  <property fmtid="{D5CDD505-2E9C-101B-9397-08002B2CF9AE}" pid="5" name="Order">
    <vt:r8>18114000</vt:r8>
  </property>
  <property fmtid="{D5CDD505-2E9C-101B-9397-08002B2CF9AE}" pid="6" name="MediaServiceImageTags">
    <vt:lpwstr/>
  </property>
</Properties>
</file>