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8939EE" w:rsidRPr="00D119F5" w14:paraId="48D8D9D1" w14:textId="77777777" w:rsidTr="00E044E3">
        <w:trPr>
          <w:trHeight w:val="720"/>
        </w:trPr>
        <w:tc>
          <w:tcPr>
            <w:tcW w:w="6552" w:type="dxa"/>
            <w:gridSpan w:val="2"/>
            <w:tcBorders>
              <w:bottom w:val="single" w:sz="18" w:space="0" w:color="auto"/>
            </w:tcBorders>
          </w:tcPr>
          <w:p w14:paraId="0029F103" w14:textId="77777777" w:rsidR="008939EE" w:rsidRPr="003C5FB7" w:rsidRDefault="008939EE" w:rsidP="00E044E3">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640FAFD1" w14:textId="77777777" w:rsidR="008939EE" w:rsidRPr="003C5FB7" w:rsidRDefault="008939EE" w:rsidP="00E044E3">
            <w:pPr>
              <w:jc w:val="right"/>
              <w:rPr>
                <w:rFonts w:ascii="Univers" w:hAnsi="Univers" w:cstheme="majorBidi"/>
                <w:sz w:val="52"/>
                <w:szCs w:val="52"/>
              </w:rPr>
            </w:pPr>
            <w:r w:rsidRPr="003C5FB7">
              <w:rPr>
                <w:rFonts w:ascii="Univers" w:hAnsi="Univers" w:cstheme="majorBidi"/>
                <w:b/>
                <w:sz w:val="72"/>
              </w:rPr>
              <w:t>EP</w:t>
            </w:r>
          </w:p>
        </w:tc>
      </w:tr>
      <w:tr w:rsidR="008939EE" w:rsidRPr="00354B87" w14:paraId="7C95F219" w14:textId="77777777" w:rsidTr="00E044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4228F693" w14:textId="59BBFC09" w:rsidR="008939EE" w:rsidRPr="00354B87" w:rsidRDefault="00152CEB" w:rsidP="00E044E3">
            <w:pPr>
              <w:spacing w:before="120"/>
            </w:pPr>
            <w:r>
              <w:rPr>
                <w:noProof/>
                <w:lang w:val="en-US" w:eastAsia="zh-CN"/>
              </w:rPr>
              <mc:AlternateContent>
                <mc:Choice Requires="wpg">
                  <w:drawing>
                    <wp:anchor distT="0" distB="0" distL="114300" distR="114300" simplePos="0" relativeHeight="251658240" behindDoc="0" locked="0" layoutInCell="1" allowOverlap="1" wp14:anchorId="5047425E" wp14:editId="6964C3E4">
                      <wp:simplePos x="0" y="0"/>
                      <wp:positionH relativeFrom="column">
                        <wp:posOffset>-635</wp:posOffset>
                      </wp:positionH>
                      <wp:positionV relativeFrom="paragraph">
                        <wp:posOffset>38735</wp:posOffset>
                      </wp:positionV>
                      <wp:extent cx="825500" cy="1520190"/>
                      <wp:effectExtent l="0" t="0" r="0" b="0"/>
                      <wp:wrapNone/>
                      <wp:docPr id="8645187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73B2525" id="Group 2"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482" w:type="dxa"/>
            <w:tcBorders>
              <w:top w:val="nil"/>
              <w:left w:val="nil"/>
              <w:bottom w:val="single" w:sz="36" w:space="0" w:color="auto"/>
              <w:right w:val="nil"/>
            </w:tcBorders>
          </w:tcPr>
          <w:p w14:paraId="38884277" w14:textId="77777777" w:rsidR="008939EE" w:rsidRPr="008939EE" w:rsidRDefault="008939EE" w:rsidP="00E044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E6A99A2" w14:textId="77777777" w:rsidR="008939EE" w:rsidRPr="008939EE" w:rsidRDefault="008939EE" w:rsidP="00E044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939EE">
              <w:rPr>
                <w:rFonts w:ascii="Univers" w:hAnsi="Univers"/>
                <w:b/>
                <w:sz w:val="32"/>
              </w:rPr>
              <w:t>Programa de las</w:t>
            </w:r>
          </w:p>
          <w:p w14:paraId="3A94C3DA" w14:textId="77777777" w:rsidR="008939EE" w:rsidRPr="008939EE" w:rsidRDefault="008939EE" w:rsidP="00E044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939EE">
              <w:rPr>
                <w:rFonts w:ascii="Univers" w:hAnsi="Univers"/>
                <w:b/>
                <w:sz w:val="32"/>
              </w:rPr>
              <w:t>Naciones Unidas</w:t>
            </w:r>
          </w:p>
          <w:p w14:paraId="782A6087" w14:textId="77777777" w:rsidR="008939EE" w:rsidRPr="008939EE" w:rsidRDefault="008939EE" w:rsidP="00E044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8939EE">
              <w:rPr>
                <w:rFonts w:ascii="Univers" w:hAnsi="Univers"/>
                <w:b/>
                <w:sz w:val="32"/>
              </w:rPr>
              <w:t>para el Medio Ambiente</w:t>
            </w:r>
          </w:p>
          <w:p w14:paraId="0CC60F2F" w14:textId="77777777" w:rsidR="008939EE" w:rsidRPr="008939EE" w:rsidRDefault="008939EE" w:rsidP="00E044E3">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25414688" w14:textId="77777777" w:rsidR="008939EE" w:rsidRPr="008939EE" w:rsidRDefault="008939EE" w:rsidP="00E044E3">
            <w:pPr>
              <w:rPr>
                <w:rFonts w:asciiTheme="majorBidi" w:hAnsiTheme="majorBidi" w:cstheme="majorBidi"/>
              </w:rPr>
            </w:pPr>
          </w:p>
          <w:p w14:paraId="543B9BAF" w14:textId="77777777" w:rsidR="008939EE" w:rsidRPr="00864961" w:rsidRDefault="008939EE" w:rsidP="00E044E3">
            <w:pPr>
              <w:rPr>
                <w:rFonts w:asciiTheme="majorBidi" w:hAnsiTheme="majorBidi" w:cstheme="majorBidi"/>
              </w:rPr>
            </w:pPr>
            <w:r w:rsidRPr="00864961">
              <w:rPr>
                <w:rFonts w:asciiTheme="majorBidi" w:hAnsiTheme="majorBidi" w:cstheme="majorBidi"/>
              </w:rPr>
              <w:t>Distr.</w:t>
            </w:r>
          </w:p>
          <w:p w14:paraId="0DD05EF8" w14:textId="77777777" w:rsidR="008939EE" w:rsidRPr="00864961" w:rsidRDefault="008939EE" w:rsidP="00E044E3">
            <w:pPr>
              <w:rPr>
                <w:rFonts w:asciiTheme="majorBidi" w:hAnsiTheme="majorBidi" w:cstheme="majorBidi"/>
              </w:rPr>
            </w:pPr>
            <w:r w:rsidRPr="00864961">
              <w:rPr>
                <w:rFonts w:asciiTheme="majorBidi" w:hAnsiTheme="majorBidi" w:cstheme="majorBidi"/>
              </w:rPr>
              <w:t>GENERAL</w:t>
            </w:r>
          </w:p>
          <w:p w14:paraId="0DD81422" w14:textId="77777777" w:rsidR="008939EE" w:rsidRPr="00864961" w:rsidRDefault="008939EE" w:rsidP="00E044E3">
            <w:pPr>
              <w:rPr>
                <w:rFonts w:asciiTheme="majorBidi" w:hAnsiTheme="majorBidi" w:cstheme="majorBidi"/>
              </w:rPr>
            </w:pPr>
          </w:p>
          <w:p w14:paraId="35890D21" w14:textId="61EBDF14" w:rsidR="008939EE" w:rsidRPr="004E3B01" w:rsidRDefault="00D739B2" w:rsidP="008939EE">
            <w:fldSimple w:instr="DOCPROPERTY &quot;Document number&quot;  \* MERGEFORMAT">
              <w:r>
                <w:t>UNEP/OzL.Pro/ExCom/97/85</w:t>
              </w:r>
            </w:fldSimple>
            <w:r w:rsidR="002D1A47">
              <w:t>*</w:t>
            </w:r>
          </w:p>
          <w:p w14:paraId="65C98E57" w14:textId="77777777" w:rsidR="008939EE" w:rsidRPr="004E3B01" w:rsidRDefault="007A7C75" w:rsidP="008939EE">
            <w:pPr>
              <w:rPr>
                <w:rFonts w:asciiTheme="majorBidi" w:hAnsiTheme="majorBidi" w:cstheme="majorBidi"/>
              </w:rPr>
            </w:pPr>
            <w:r>
              <w:fldChar w:fldCharType="begin"/>
            </w:r>
            <w:r w:rsidRPr="004E3B01">
              <w:instrText xml:space="preserve"> DOCPROPERTY "Revision date" \@ "d MMMM YYYY"  \* MERGEFORMAT </w:instrText>
            </w:r>
            <w:r>
              <w:fldChar w:fldCharType="separate"/>
            </w:r>
            <w:r w:rsidR="008939EE" w:rsidRPr="004E3B01">
              <w:t>13 de noviembre de 2025</w:t>
            </w:r>
            <w:r>
              <w:fldChar w:fldCharType="end"/>
            </w:r>
          </w:p>
          <w:p w14:paraId="00669A44" w14:textId="77777777" w:rsidR="008939EE" w:rsidRPr="004E3B01" w:rsidRDefault="008939EE" w:rsidP="00E044E3">
            <w:pPr>
              <w:rPr>
                <w:rFonts w:asciiTheme="majorBidi" w:hAnsiTheme="majorBidi" w:cstheme="majorBidi"/>
                <w:caps/>
              </w:rPr>
            </w:pPr>
          </w:p>
          <w:p w14:paraId="7B38E370" w14:textId="77777777" w:rsidR="008939EE" w:rsidRPr="00652894" w:rsidRDefault="008939EE" w:rsidP="00E044E3">
            <w:pPr>
              <w:rPr>
                <w:rFonts w:asciiTheme="majorBidi" w:hAnsiTheme="majorBidi" w:cstheme="majorBidi"/>
                <w:caps/>
              </w:rPr>
            </w:pPr>
            <w:r>
              <w:rPr>
                <w:rFonts w:asciiTheme="majorBidi" w:hAnsiTheme="majorBidi" w:cstheme="majorBidi"/>
                <w:caps/>
              </w:rPr>
              <w:t>ESPAÑOL</w:t>
            </w:r>
          </w:p>
          <w:p w14:paraId="507A3D7E" w14:textId="77777777" w:rsidR="008939EE" w:rsidRPr="00652894" w:rsidRDefault="008939EE" w:rsidP="00E044E3">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1F75956E" w14:textId="77777777" w:rsidR="008939EE" w:rsidRPr="009E2B8C" w:rsidRDefault="008939EE" w:rsidP="008939EE">
      <w:pPr>
        <w:jc w:val="left"/>
        <w:rPr>
          <w:lang w:val="fr-CA"/>
        </w:rPr>
      </w:pPr>
      <w:r w:rsidRPr="008939EE">
        <w:t>COMITÉ EJECUTIVO DEL</w:t>
      </w:r>
      <w:r w:rsidRPr="008939EE">
        <w:br/>
        <w:t>FONDO MULTILATERAL PARA LA</w:t>
      </w:r>
      <w:r w:rsidRPr="008939EE">
        <w:br/>
        <w:t>APLICACIÓN DEL PROTOCOLO DE MONTREAL</w:t>
      </w:r>
      <w:r>
        <w:rPr>
          <w:lang w:val="es-ES_tradnl"/>
        </w:rPr>
        <w:br/>
      </w:r>
      <w:r w:rsidRPr="009E2B8C">
        <w:rPr>
          <w:lang w:val="fr-CA"/>
        </w:rPr>
        <w:t xml:space="preserve">Nonagésima séptima reunión </w:t>
      </w:r>
    </w:p>
    <w:p w14:paraId="7CF2699C" w14:textId="77777777" w:rsidR="008939EE" w:rsidRDefault="008939EE" w:rsidP="008939EE">
      <w:pPr>
        <w:jc w:val="left"/>
        <w:rPr>
          <w:lang w:val="fr-CA"/>
        </w:rPr>
      </w:pPr>
      <w:r w:rsidRPr="009E2B8C">
        <w:rPr>
          <w:lang w:val="fr-CA"/>
        </w:rPr>
        <w:t>Montreal, 1-5 de diciembre de 2025</w:t>
      </w:r>
    </w:p>
    <w:p w14:paraId="7ACA7EE7" w14:textId="77777777" w:rsidR="00D05563" w:rsidRPr="008939EE" w:rsidRDefault="008939EE" w:rsidP="008939EE">
      <w:pPr>
        <w:jc w:val="left"/>
      </w:pPr>
      <w:r w:rsidRPr="008939EE">
        <w:t xml:space="preserve">Punto </w:t>
      </w:r>
      <w:r>
        <w:t>10</w:t>
      </w:r>
      <w:r w:rsidRPr="00BB2FBD">
        <w:rPr>
          <w:lang w:val="fr-CA"/>
        </w:rPr>
        <w:t xml:space="preserve"> del orden del día provisional</w:t>
      </w:r>
      <w:r w:rsidR="00D05563" w:rsidRPr="00512BEF">
        <w:rPr>
          <w:rStyle w:val="FootnoteReference"/>
        </w:rPr>
        <w:footnoteReference w:id="1"/>
      </w:r>
    </w:p>
    <w:p w14:paraId="45736039" w14:textId="77777777" w:rsidR="00A25033" w:rsidRDefault="00A25033" w:rsidP="00A25033">
      <w:pPr>
        <w:spacing w:after="240"/>
        <w:jc w:val="left"/>
        <w:outlineLvl w:val="0"/>
        <w:rPr>
          <w:b/>
          <w:caps/>
        </w:rPr>
      </w:pPr>
    </w:p>
    <w:p w14:paraId="7FBF35EA" w14:textId="77777777" w:rsidR="00381BEA" w:rsidRPr="008939EE" w:rsidRDefault="00381BEA" w:rsidP="00A25033">
      <w:pPr>
        <w:spacing w:after="240"/>
        <w:jc w:val="left"/>
        <w:outlineLvl w:val="0"/>
        <w:rPr>
          <w:b/>
          <w:caps/>
        </w:rPr>
      </w:pPr>
    </w:p>
    <w:p w14:paraId="762F69C4" w14:textId="4C05E5E2" w:rsidR="000A2AA9" w:rsidRPr="00993307" w:rsidRDefault="002D1A47" w:rsidP="00A53321">
      <w:pPr>
        <w:spacing w:after="360"/>
        <w:jc w:val="center"/>
        <w:outlineLvl w:val="0"/>
        <w:rPr>
          <w:b/>
          <w:caps/>
        </w:rPr>
      </w:pPr>
      <w:r w:rsidRPr="00993307">
        <w:rPr>
          <w:b/>
        </w:rPr>
        <w:t>ACTUALIZACIÓN SOBRE LA ENTRADA EN OPERACIONES DE CENTROS DE EXCELENCIA PARA LA REFRIGERACIÓN SOSTENIBLE (DECISI</w:t>
      </w:r>
      <w:r>
        <w:rPr>
          <w:b/>
        </w:rPr>
        <w:t>Ó</w:t>
      </w:r>
      <w:r w:rsidRPr="00993307">
        <w:rPr>
          <w:b/>
        </w:rPr>
        <w:t>N 95/87</w:t>
      </w:r>
      <w:r>
        <w:rPr>
          <w:b/>
        </w:rPr>
        <w:t xml:space="preserve"> </w:t>
      </w:r>
      <w:r w:rsidRPr="00993307">
        <w:rPr>
          <w:b/>
        </w:rPr>
        <w:t>E))</w:t>
      </w:r>
    </w:p>
    <w:p w14:paraId="13F987B5" w14:textId="77777777" w:rsidR="000A2AA9" w:rsidRPr="000A2AA9" w:rsidRDefault="000A2AA9" w:rsidP="00DA2D91">
      <w:pPr>
        <w:keepNext/>
        <w:spacing w:after="240"/>
        <w:rPr>
          <w:b/>
        </w:rPr>
      </w:pPr>
      <w:r w:rsidRPr="000A2AA9">
        <w:rPr>
          <w:b/>
        </w:rPr>
        <w:t>Introduc</w:t>
      </w:r>
      <w:r w:rsidR="00993307">
        <w:rPr>
          <w:b/>
        </w:rPr>
        <w:t>ción</w:t>
      </w:r>
    </w:p>
    <w:p w14:paraId="66D7D5D6" w14:textId="77777777" w:rsidR="000A2AA9" w:rsidRPr="00523E8A" w:rsidRDefault="008939EE" w:rsidP="009D6709">
      <w:pPr>
        <w:pStyle w:val="Heading1"/>
      </w:pPr>
      <w:r w:rsidRPr="008939EE">
        <w:t>En su 95ª reunión, el Comité Ejecutivo, en relación con el punto del orden del día que profundiza en el marco operacional para la eficiencia energética durante la reducción de los HFC</w:t>
      </w:r>
      <w:r w:rsidR="000A2AA9" w:rsidRPr="000A2AA9">
        <w:rPr>
          <w:vertAlign w:val="superscript"/>
        </w:rPr>
        <w:footnoteReference w:id="2"/>
      </w:r>
      <w:r w:rsidRPr="008939EE">
        <w:t xml:space="preserve">, solicitó a la Secretaría que preparara, para su </w:t>
      </w:r>
      <w:r>
        <w:t xml:space="preserve">consideración </w:t>
      </w:r>
      <w:r w:rsidRPr="008939EE">
        <w:t>en la 97ª reunión, un documento actualizado en el que: i) se detallaran las funciones específicas tanto de los centros de excelencia para la refrigeración sostenible como de los centros de</w:t>
      </w:r>
      <w:r w:rsidR="00523E8A" w:rsidRPr="00523E8A">
        <w:t xml:space="preserve"> prueba de la eficiencia energética</w:t>
      </w:r>
      <w:r w:rsidRPr="008939EE">
        <w:t xml:space="preserve">; ii) evaluara los modelos de negocio sostenibles para los centros regionales; iii) evaluara la posible duplicación con las actividades financiadas en el marco de los planes </w:t>
      </w:r>
      <w:r w:rsidR="00523E8A" w:rsidRPr="00523E8A">
        <w:t xml:space="preserve">de gestión para la eliminación de HCFC </w:t>
      </w:r>
      <w:r w:rsidRPr="008939EE">
        <w:t xml:space="preserve">y/o los planes de </w:t>
      </w:r>
      <w:r w:rsidR="00523E8A" w:rsidRPr="00523E8A">
        <w:t>aplicación de la Enmienda de Kigali relativa a los HFC</w:t>
      </w:r>
      <w:r w:rsidRPr="008939EE">
        <w:t xml:space="preserve"> (</w:t>
      </w:r>
      <w:r w:rsidR="00523E8A">
        <w:t>PAK</w:t>
      </w:r>
      <w:r w:rsidRPr="008939EE">
        <w:t xml:space="preserve">), así como con los centros existentes; </w:t>
      </w:r>
      <w:r w:rsidR="00523E8A">
        <w:t>e</w:t>
      </w:r>
      <w:r w:rsidRPr="008939EE">
        <w:t xml:space="preserve"> iv) identificara las posibles oportunidades de utilizar los centros y mecanismos existentes ya establecidos para probar la eficiencia energética de los equipos (decisión 95/87</w:t>
      </w:r>
      <w:r w:rsidR="00523E8A">
        <w:t xml:space="preserve"> </w:t>
      </w:r>
      <w:r w:rsidRPr="008939EE">
        <w:t>e)). El presente documento se ha elaborado en respuesta a la decisión y abarca los diferentes aspectos relacionados con los centros de excelencia para la refrigeración sostenible. Los diferentes aspectos rela</w:t>
      </w:r>
      <w:r w:rsidR="00523E8A">
        <w:t>tivos a</w:t>
      </w:r>
      <w:r w:rsidRPr="008939EE">
        <w:t xml:space="preserve"> los centros de </w:t>
      </w:r>
      <w:r w:rsidR="00523E8A">
        <w:t xml:space="preserve">prueba </w:t>
      </w:r>
      <w:r w:rsidRPr="008939EE">
        <w:t>de la eficiencia energética se tratan en el doc</w:t>
      </w:r>
      <w:r w:rsidR="00523E8A">
        <w:t>umento UNEP/OzL.Pro/ExCom/97/86</w:t>
      </w:r>
      <w:r w:rsidR="00441E82" w:rsidRPr="00523E8A">
        <w:t>.</w:t>
      </w:r>
    </w:p>
    <w:p w14:paraId="34E2DB2F" w14:textId="77777777" w:rsidR="002D1A47" w:rsidRDefault="00767695" w:rsidP="009D6709">
      <w:pPr>
        <w:pStyle w:val="Heading1"/>
      </w:pPr>
      <w:r w:rsidRPr="00767695">
        <w:t>Al preparar e</w:t>
      </w:r>
      <w:r>
        <w:t>l presente</w:t>
      </w:r>
      <w:r w:rsidRPr="00767695">
        <w:t xml:space="preserve"> documento, la Secretaría tomó nota de lo </w:t>
      </w:r>
      <w:r>
        <w:t xml:space="preserve">que se había </w:t>
      </w:r>
      <w:r w:rsidRPr="00767695">
        <w:t>presentado y debatido anteriormente en las reuniones 93ª a 95</w:t>
      </w:r>
      <w:r>
        <w:t>ª</w:t>
      </w:r>
      <w:r w:rsidR="000A2AA9" w:rsidRPr="000A2AA9">
        <w:rPr>
          <w:vertAlign w:val="superscript"/>
        </w:rPr>
        <w:footnoteReference w:id="3"/>
      </w:r>
      <w:r>
        <w:t>,</w:t>
      </w:r>
      <w:r w:rsidR="00C6148C" w:rsidRPr="00767695">
        <w:t xml:space="preserve"> </w:t>
      </w:r>
      <w:r w:rsidRPr="00767695">
        <w:t xml:space="preserve">en particular el documento de la Secretaría sobre cómo las actividades de eliminación de HCFC y </w:t>
      </w:r>
      <w:r>
        <w:t xml:space="preserve">de </w:t>
      </w:r>
      <w:r w:rsidRPr="00767695">
        <w:t xml:space="preserve">reducción de HFC podrían contribuir </w:t>
      </w:r>
      <w:r>
        <w:t>a la refrigeración sostenible</w:t>
      </w:r>
      <w:r w:rsidR="000A2AA9" w:rsidRPr="000A2AA9">
        <w:rPr>
          <w:rFonts w:asciiTheme="majorBidi" w:hAnsiTheme="majorBidi" w:cstheme="majorBidi"/>
          <w:vertAlign w:val="superscript"/>
        </w:rPr>
        <w:footnoteReference w:id="4"/>
      </w:r>
      <w:r>
        <w:t xml:space="preserve">. </w:t>
      </w:r>
    </w:p>
    <w:p w14:paraId="43CFB223" w14:textId="77777777" w:rsidR="00381BEA" w:rsidRDefault="00381BEA" w:rsidP="002D1A47">
      <w:pPr>
        <w:pStyle w:val="Heading1"/>
        <w:numPr>
          <w:ilvl w:val="0"/>
          <w:numId w:val="0"/>
        </w:numPr>
        <w:rPr>
          <w:sz w:val="20"/>
          <w:szCs w:val="20"/>
        </w:rPr>
      </w:pPr>
    </w:p>
    <w:p w14:paraId="30C4BDBF" w14:textId="1EF1F84F" w:rsidR="002D1A47" w:rsidRPr="002D1A47" w:rsidRDefault="002D1A47" w:rsidP="002D1A47">
      <w:pPr>
        <w:pStyle w:val="Heading1"/>
        <w:numPr>
          <w:ilvl w:val="0"/>
          <w:numId w:val="0"/>
        </w:numPr>
        <w:rPr>
          <w:sz w:val="20"/>
          <w:szCs w:val="20"/>
        </w:rPr>
      </w:pPr>
      <w:r w:rsidRPr="002D1A47">
        <w:rPr>
          <w:sz w:val="20"/>
          <w:szCs w:val="20"/>
        </w:rPr>
        <w:t>* Reemitido por razones técnicas el 19 de noviembre de 2025.</w:t>
      </w:r>
    </w:p>
    <w:p w14:paraId="01335D98" w14:textId="0CEE65D1" w:rsidR="000A2AA9" w:rsidRPr="00767695" w:rsidRDefault="00767695" w:rsidP="002D1A47">
      <w:pPr>
        <w:pStyle w:val="Heading1"/>
        <w:numPr>
          <w:ilvl w:val="0"/>
          <w:numId w:val="0"/>
        </w:numPr>
      </w:pPr>
      <w:r w:rsidRPr="00767695">
        <w:lastRenderedPageBreak/>
        <w:t>El trabajo preparatorio también incluyó consulta</w:t>
      </w:r>
      <w:r>
        <w:t>s con expertos internacionale</w:t>
      </w:r>
      <w:r w:rsidR="000A2AA9" w:rsidRPr="00767695">
        <w:t>s</w:t>
      </w:r>
      <w:r w:rsidR="000A2AA9" w:rsidRPr="000A2AA9">
        <w:rPr>
          <w:vertAlign w:val="superscript"/>
        </w:rPr>
        <w:footnoteReference w:id="5"/>
      </w:r>
      <w:r w:rsidR="000A2AA9" w:rsidRPr="00767695">
        <w:t xml:space="preserve"> </w:t>
      </w:r>
      <w:r w:rsidRPr="00767695">
        <w:t>que participan en programas de refrigeración sostenible sobre el alcance, las operaciones y el modelo de negocio de los centros o programas existentes.</w:t>
      </w:r>
    </w:p>
    <w:p w14:paraId="2A9A4472" w14:textId="77777777" w:rsidR="00BB2F09" w:rsidRPr="004B4083" w:rsidRDefault="004B4083" w:rsidP="00C03398">
      <w:pPr>
        <w:spacing w:after="240"/>
        <w:outlineLvl w:val="0"/>
        <w:rPr>
          <w:b/>
          <w:bCs/>
        </w:rPr>
      </w:pPr>
      <w:r w:rsidRPr="004B4083">
        <w:rPr>
          <w:b/>
          <w:bCs/>
        </w:rPr>
        <w:t xml:space="preserve">Alcance de los centros regionales de excelencia en refrigeración sostenible </w:t>
      </w:r>
    </w:p>
    <w:p w14:paraId="7B40940A" w14:textId="4FC73A1F" w:rsidR="00C6311C" w:rsidRPr="004270C9" w:rsidRDefault="004B4083" w:rsidP="009D6709">
      <w:pPr>
        <w:pStyle w:val="Heading1"/>
      </w:pPr>
      <w:r w:rsidRPr="004B4083">
        <w:t>Si bien los centros de excelencia son comunes en las actividades financieras y tecnológicas (por</w:t>
      </w:r>
      <w:r w:rsidR="00152CEB">
        <w:t> </w:t>
      </w:r>
      <w:r w:rsidRPr="004B4083">
        <w:t xml:space="preserve">ejemplo, ingeniería, fabricación, tecnología de la información y otras), no existe una definición universal del término «centro de excelencia». </w:t>
      </w:r>
      <w:r w:rsidRPr="004270C9">
        <w:t>Sin embargo, pu</w:t>
      </w:r>
      <w:r w:rsidR="004270C9" w:rsidRPr="004270C9">
        <w:t>ede definirse</w:t>
      </w:r>
      <w:r w:rsidR="000A2AA9" w:rsidRPr="00845D28">
        <w:rPr>
          <w:vertAlign w:val="superscript"/>
        </w:rPr>
        <w:footnoteReference w:id="6"/>
      </w:r>
      <w:r w:rsidR="000A2AA9" w:rsidRPr="004270C9">
        <w:t xml:space="preserve"> </w:t>
      </w:r>
      <w:r w:rsidR="004270C9" w:rsidRPr="004B4083">
        <w:t xml:space="preserve">como un modelo institucional que proporciona un liderazgo de alta calidad en el desarrollo y el intercambio de conocimientos, innovación y mejores prácticas del sector mediante la evaluación del mercado, la impartición de </w:t>
      </w:r>
      <w:r w:rsidR="004270C9">
        <w:t>capacita</w:t>
      </w:r>
      <w:r w:rsidR="004270C9" w:rsidRPr="004B4083">
        <w:t>ción, el fo</w:t>
      </w:r>
      <w:r w:rsidR="004270C9">
        <w:t xml:space="preserve">rtalecimiento de </w:t>
      </w:r>
      <w:r w:rsidR="004270C9" w:rsidRPr="004B4083">
        <w:t>capacidad</w:t>
      </w:r>
      <w:r w:rsidR="004270C9">
        <w:t>es</w:t>
      </w:r>
      <w:r w:rsidR="004270C9" w:rsidRPr="004B4083">
        <w:t xml:space="preserve"> y el apoyo en áreas específicas en las que los países lo necesitan.</w:t>
      </w:r>
    </w:p>
    <w:p w14:paraId="777C4C09" w14:textId="77777777" w:rsidR="00913072" w:rsidRPr="00AE3C54" w:rsidRDefault="004270C9" w:rsidP="009D6709">
      <w:pPr>
        <w:pStyle w:val="Heading1"/>
      </w:pPr>
      <w:r w:rsidRPr="00AE3C54">
        <w:t xml:space="preserve">En el contexto de la refrigeración sostenible, y a la luz de los compromisos </w:t>
      </w:r>
      <w:r w:rsidR="00AE3C54" w:rsidRPr="00AE3C54">
        <w:t xml:space="preserve">contraídos por </w:t>
      </w:r>
      <w:r w:rsidRPr="00AE3C54">
        <w:t xml:space="preserve">los países del artículo 5 en virtud de la Enmienda de Kigali de reducir los HFC manteniendo o mejorando la eficiencia energética, los centros de excelencia pueden desempeñar un papel importante más allá de los servicios que ya prestan los centros de </w:t>
      </w:r>
      <w:r w:rsidR="00AE3C54" w:rsidRPr="00AE3C54">
        <w:t>capacita</w:t>
      </w:r>
      <w:r w:rsidRPr="00AE3C54">
        <w:t>ción tradicionales existentes, para ayudar a los fabricantes</w:t>
      </w:r>
      <w:r w:rsidR="00AE3C54" w:rsidRPr="00AE3C54">
        <w:t xml:space="preserve"> de equipos de refrigeración y climatización</w:t>
      </w:r>
      <w:r w:rsidRPr="00AE3C54">
        <w:t xml:space="preserve">, instaladores, técnicos, instituciones de formación y autoridades nacionales a gestionar la transición hacia tecnologías </w:t>
      </w:r>
      <w:r w:rsidR="00AE3C54" w:rsidRPr="00AE3C54">
        <w:t>de bajo potencial de calentamiento atmosférico</w:t>
      </w:r>
      <w:r w:rsidRPr="00AE3C54">
        <w:t xml:space="preserve"> (</w:t>
      </w:r>
      <w:r w:rsidR="00AE3C54" w:rsidRPr="00AE3C54">
        <w:t>PCA</w:t>
      </w:r>
      <w:r w:rsidRPr="00AE3C54">
        <w:t xml:space="preserve">), incluso en áreas especializadas en las que se necesitan conocimientos </w:t>
      </w:r>
      <w:r w:rsidR="00AE3C54" w:rsidRPr="00AE3C54">
        <w:t xml:space="preserve">especializados </w:t>
      </w:r>
      <w:r w:rsidRPr="00AE3C54">
        <w:t>adicionales. Esto implica prestar apoyo en el establecimiento de normas y mejores prácticas para ayudar a los países a abordar los aspectos técnicos, de eficiencia energética, de seguridad y normativos relacionados con las tecnologías emergentes. En el anexo I se ofrece una breve descripción de los centros o mecanismos pertinentes existentes que apoyan la refrigeración sostenibl</w:t>
      </w:r>
      <w:r w:rsidR="00AE3C54" w:rsidRPr="00AE3C54">
        <w:t>e y otras iniciativas similares</w:t>
      </w:r>
      <w:r w:rsidR="00913072" w:rsidRPr="00AE3C54">
        <w:t>.</w:t>
      </w:r>
    </w:p>
    <w:p w14:paraId="767DFC5D" w14:textId="77777777" w:rsidR="00BB2F09" w:rsidRPr="00AD7019" w:rsidRDefault="00AD7019" w:rsidP="009D6709">
      <w:pPr>
        <w:pStyle w:val="Heading1"/>
      </w:pPr>
      <w:r w:rsidRPr="00AD7019">
        <w:t xml:space="preserve">La Secretaría profundizó en el concepto de centro regional de excelencia para la refrigeración sostenible, que podría proporcionar: a) servicios de vanguardia para facilitar el avance </w:t>
      </w:r>
      <w:r>
        <w:t>de la refrigeración sostenible</w:t>
      </w:r>
      <w:r w:rsidR="000A2AA9" w:rsidRPr="00845D28">
        <w:rPr>
          <w:vertAlign w:val="superscript"/>
        </w:rPr>
        <w:footnoteReference w:id="7"/>
      </w:r>
      <w:r w:rsidR="000A2AA9" w:rsidRPr="00AD7019">
        <w:t xml:space="preserve"> </w:t>
      </w:r>
      <w:r w:rsidRPr="00AD7019">
        <w:t>en múltiples países de una región; y b) cofinancia</w:t>
      </w:r>
      <w:r>
        <w:t xml:space="preserve">miento </w:t>
      </w:r>
      <w:r w:rsidRPr="00AD7019">
        <w:t>dirigid</w:t>
      </w:r>
      <w:r>
        <w:t>o</w:t>
      </w:r>
      <w:r w:rsidRPr="00AD7019">
        <w:t xml:space="preserve"> a sectores específicos para adoptar tecnologías de refrigeración sostenible en la región. La Secretaría propone sustituir el concepto de centros de excelencia para la refrigeración sostenible por el concepto más claro y funcional de </w:t>
      </w:r>
      <w:r w:rsidRPr="00AD7019">
        <w:rPr>
          <w:b/>
        </w:rPr>
        <w:t>«centro regional temático»</w:t>
      </w:r>
      <w:r w:rsidRPr="00AD7019">
        <w:t xml:space="preserve"> para la refrigeración sostenible.</w:t>
      </w:r>
    </w:p>
    <w:p w14:paraId="5A4768CE" w14:textId="77777777" w:rsidR="000A2AA9" w:rsidRPr="00925E90" w:rsidRDefault="00AD7019" w:rsidP="009D6709">
      <w:pPr>
        <w:pStyle w:val="Heading1"/>
      </w:pPr>
      <w:r w:rsidRPr="00AD7019">
        <w:t xml:space="preserve">Para que un centro regional temático logre credibilidad, ofrezca servicios de vanguardia y movilice recursos fuera del Fondo Multilateral, debe centrarse temáticamente en ofrecer servicios de alta calidad de manera rentable en el sector pertinente de la refrigeración, </w:t>
      </w:r>
      <w:r w:rsidR="00F72AE1">
        <w:t xml:space="preserve">climatización </w:t>
      </w:r>
      <w:r w:rsidRPr="00AD7019">
        <w:t xml:space="preserve">y </w:t>
      </w:r>
      <w:r w:rsidR="00F72AE1">
        <w:t>bombas de calor</w:t>
      </w:r>
      <w:r w:rsidRPr="00AD7019">
        <w:t xml:space="preserve">. Algunos ejemplos de sectores emergentes o sectores en los que muchos países en desarrollo carecen de los conocimientos técnicos locales suficientes para abordar la reducción de </w:t>
      </w:r>
      <w:r w:rsidR="00F72AE1">
        <w:t xml:space="preserve">los </w:t>
      </w:r>
      <w:r w:rsidRPr="00AD7019">
        <w:t xml:space="preserve">HFC y podrían beneficiarse de un enfoque regional son los sectores marítimo y pesquero, los centros de datos, la cadena de frío, las tecnologías </w:t>
      </w:r>
      <w:r w:rsidR="00F72AE1">
        <w:t>sustitutivas</w:t>
      </w:r>
      <w:r w:rsidRPr="00AD7019">
        <w:t xml:space="preserve"> u otras áreas que pueden identificarse como necesidades prioritarias para complementar las actividades destinadas a alcanzar los objetivos de la Enmienda de Kigali y apoyar el logro de una refrigeración sostenible en una región concreta. Esos centros regionales temáticos serán pertinentes </w:t>
      </w:r>
      <w:r w:rsidRPr="00AD7019">
        <w:lastRenderedPageBreak/>
        <w:t>tanto para los países con bajo volumen de consumo (</w:t>
      </w:r>
      <w:r w:rsidR="00925E90" w:rsidRPr="00925E90">
        <w:t>BVC</w:t>
      </w:r>
      <w:r w:rsidRPr="00AD7019">
        <w:t xml:space="preserve">) como para los países que no lo son. El tema de los centros regionales se determinará mediante una evaluación de las necesidades de la región. Dicha evaluación se basará en el mercado de la tecnología </w:t>
      </w:r>
      <w:r w:rsidR="00925E90">
        <w:t xml:space="preserve">de </w:t>
      </w:r>
      <w:r w:rsidR="00925E90" w:rsidRPr="00925E90">
        <w:t>refrigeración, climatización y bomba</w:t>
      </w:r>
      <w:r w:rsidR="00925E90">
        <w:t>s</w:t>
      </w:r>
      <w:r w:rsidR="00925E90" w:rsidRPr="00925E90">
        <w:t xml:space="preserve"> de calor </w:t>
      </w:r>
      <w:r w:rsidRPr="00AD7019">
        <w:t xml:space="preserve">en la región respectiva y en las tendencias previstas </w:t>
      </w:r>
      <w:r w:rsidR="00925E90">
        <w:t>relacionadas</w:t>
      </w:r>
      <w:r w:rsidRPr="00AD7019">
        <w:t xml:space="preserve"> con la adopción de tecnolog</w:t>
      </w:r>
      <w:r>
        <w:t>ías de refrigeración sostenible</w:t>
      </w:r>
      <w:r w:rsidR="005848EB" w:rsidRPr="00925E90">
        <w:t>.</w:t>
      </w:r>
    </w:p>
    <w:p w14:paraId="008C8BC5" w14:textId="77777777" w:rsidR="00705C61" w:rsidRPr="009D6709" w:rsidRDefault="0003249E" w:rsidP="009D6709">
      <w:pPr>
        <w:pStyle w:val="Heading1"/>
      </w:pPr>
      <w:r w:rsidRPr="009D6709">
        <w:t>El centro regional temático puede aportar asesoramiento técnico y sobre políticas que no solo aborde el cumplimiento del Protocolo de Montreal, sino que también pueda abordar los retos asociados a un sector específico. Un centro que aproveche recursos distintos de los del Fondo Multilateral podría acelerar el diseño y la demostración de tecnologías de refrigeración sostenibles innovadoras emergentes más allá del marco habitual de diseño y ejecución de proyectos del Protocolo de Montreal. Así</w:t>
      </w:r>
      <w:r w:rsidR="009D6709" w:rsidRPr="009D6709">
        <w:t xml:space="preserve"> pues</w:t>
      </w:r>
      <w:r w:rsidRPr="009D6709">
        <w:t>, con el marco de cumplimiento del Protocolo de Montreal y con las actividades de eficiencia energética que van más allá del cumplimiento como base, estos centros regionales temáticos pueden acelerar la adopción de tecnologías de refrigeración sostenibles.</w:t>
      </w:r>
    </w:p>
    <w:p w14:paraId="2ADAAB62" w14:textId="77777777" w:rsidR="00441E82" w:rsidRPr="009D6709" w:rsidRDefault="009D6709" w:rsidP="00C03398">
      <w:pPr>
        <w:spacing w:after="240"/>
        <w:outlineLvl w:val="0"/>
        <w:rPr>
          <w:b/>
          <w:bCs/>
        </w:rPr>
      </w:pPr>
      <w:r w:rsidRPr="009D6709">
        <w:rPr>
          <w:b/>
          <w:bCs/>
        </w:rPr>
        <w:t xml:space="preserve">Fundamentos y ventajas de los centros regionales temáticos para la refrigeración sostenible </w:t>
      </w:r>
    </w:p>
    <w:p w14:paraId="21ED8587" w14:textId="77777777" w:rsidR="00FF7302" w:rsidRPr="009D6709" w:rsidRDefault="009D6709" w:rsidP="009D6709">
      <w:pPr>
        <w:pStyle w:val="Heading1"/>
      </w:pPr>
      <w:r w:rsidRPr="009D6709">
        <w:t>La necesidad de un centro regional temático para la refrigeración sostenible viene determinada por la complejidad y los retos que caracterizan al sector de la refrigeración, cl</w:t>
      </w:r>
      <w:r>
        <w:t xml:space="preserve">imatización </w:t>
      </w:r>
      <w:r w:rsidRPr="009D6709">
        <w:t>y bombas de calor en la mayoría de los países en desarrollo. Si bien los países disponen de recursos po</w:t>
      </w:r>
      <w:r>
        <w:t xml:space="preserve">r conducto </w:t>
      </w:r>
      <w:r w:rsidRPr="009D6709">
        <w:t>del Fondo Multilateral para ejecutar proyectos, la principal necesidad del centro regional temático es pr</w:t>
      </w:r>
      <w:r>
        <w:t>estar</w:t>
      </w:r>
      <w:r w:rsidRPr="009D6709">
        <w:t xml:space="preserve"> un apoyo continuo, complementario, de alta calidad y rentable para lograr una refrigeración sostenible. Los principales </w:t>
      </w:r>
      <w:r>
        <w:t>factores que impulsan el establecimiento de</w:t>
      </w:r>
      <w:r w:rsidRPr="009D6709">
        <w:t xml:space="preserve"> centros regionales temáticos son los siguientes:</w:t>
      </w:r>
    </w:p>
    <w:p w14:paraId="3028507E" w14:textId="77777777" w:rsidR="00FF7302" w:rsidRPr="009D6709" w:rsidRDefault="009D6709" w:rsidP="009D6709">
      <w:pPr>
        <w:pStyle w:val="Heading2"/>
      </w:pPr>
      <w:r w:rsidRPr="009D6709">
        <w:t xml:space="preserve">Capacidad y experiencia limitadas a nivel nacional para realizar evaluaciones exhaustivas del mercado sobre las tendencias de adopción de tecnologías de refrigeración sostenible y utilizar herramientas de gestión de datos y modelización; apoyo </w:t>
      </w:r>
      <w:r>
        <w:t>a la hora de</w:t>
      </w:r>
      <w:r w:rsidRPr="009D6709">
        <w:t xml:space="preserve"> determinar las necesidades de las diferentes </w:t>
      </w:r>
      <w:r w:rsidR="00D82A46">
        <w:t>contra</w:t>
      </w:r>
      <w:r w:rsidRPr="009D6709">
        <w:t xml:space="preserve">partes y </w:t>
      </w:r>
      <w:r w:rsidR="00D82A46">
        <w:t xml:space="preserve">el modo en que </w:t>
      </w:r>
      <w:r w:rsidRPr="009D6709">
        <w:t>esas necesidades se incorporan a las prio</w:t>
      </w:r>
      <w:r w:rsidR="00D82A46">
        <w:t>ridades nacionales y regionales</w:t>
      </w:r>
      <w:r w:rsidR="00EB147D" w:rsidRPr="009D6709">
        <w:t>;</w:t>
      </w:r>
    </w:p>
    <w:p w14:paraId="15A4B5B3" w14:textId="77777777" w:rsidR="00FF7302" w:rsidRPr="00D82A46" w:rsidRDefault="00D82A46" w:rsidP="00A53321">
      <w:pPr>
        <w:pStyle w:val="Heading2"/>
      </w:pPr>
      <w:r w:rsidRPr="00D82A46">
        <w:t xml:space="preserve">Capacidad limitada de las pequeñas y medianas empresas (pymes) y </w:t>
      </w:r>
      <w:r>
        <w:t xml:space="preserve">de </w:t>
      </w:r>
      <w:r w:rsidRPr="00D82A46">
        <w:t>los usuarios finales para adoptar tecnologías e</w:t>
      </w:r>
      <w:r>
        <w:t>coe</w:t>
      </w:r>
      <w:r w:rsidRPr="00D82A46">
        <w:t>nergética</w:t>
      </w:r>
      <w:r>
        <w:t>s de</w:t>
      </w:r>
      <w:r w:rsidRPr="00D82A46">
        <w:t xml:space="preserve"> bajo </w:t>
      </w:r>
      <w:r>
        <w:t>PCA</w:t>
      </w:r>
      <w:r w:rsidRPr="00D82A46">
        <w:t xml:space="preserve"> en diferentes aplicaciones en la fabricación, la instalación y el montaje </w:t>
      </w:r>
      <w:r w:rsidRPr="00D82A46">
        <w:rPr>
          <w:i/>
        </w:rPr>
        <w:t>in situ</w:t>
      </w:r>
      <w:r w:rsidRPr="00D82A46">
        <w:t xml:space="preserve">, y el mantenimiento; </w:t>
      </w:r>
      <w:r>
        <w:t>falta</w:t>
      </w:r>
      <w:r w:rsidRPr="00D82A46">
        <w:t xml:space="preserve"> de apoyo local fácilmente accesible para abordar adecuadamente la adopción de tecnologías; y</w:t>
      </w:r>
    </w:p>
    <w:p w14:paraId="6ADB4D88" w14:textId="77777777" w:rsidR="00FF7302" w:rsidRPr="00936D5B" w:rsidRDefault="00936D5B" w:rsidP="00A53321">
      <w:pPr>
        <w:pStyle w:val="Heading2"/>
      </w:pPr>
      <w:r w:rsidRPr="00936D5B">
        <w:t>Capacidades técnicas locales limitadas por parte de l</w:t>
      </w:r>
      <w:r>
        <w:t>as contrapartes</w:t>
      </w:r>
      <w:r w:rsidRPr="00936D5B">
        <w:t xml:space="preserve"> nacionales para realizar análisis en profundidad sobre cuestiones tecnológicas y la dinámica del mercado, lo que contribuiría al éxito de la ejecución de las actividades relacionadas con los </w:t>
      </w:r>
      <w:r>
        <w:t>PAK</w:t>
      </w:r>
      <w:r w:rsidRPr="00936D5B">
        <w:t xml:space="preserve"> y otras actividades </w:t>
      </w:r>
      <w:r w:rsidR="00562F1C">
        <w:t>apoyadas</w:t>
      </w:r>
      <w:r w:rsidRPr="00936D5B">
        <w:t xml:space="preserve"> por el Fondo Multilateral.</w:t>
      </w:r>
    </w:p>
    <w:p w14:paraId="7A3A571F" w14:textId="77777777" w:rsidR="00DA2356" w:rsidRPr="00E044E3" w:rsidRDefault="00E044E3" w:rsidP="009D6709">
      <w:pPr>
        <w:pStyle w:val="Heading1"/>
      </w:pPr>
      <w:r w:rsidRPr="00E044E3">
        <w:t xml:space="preserve">Aunque los retos mencionados anteriormente se abordan a nivel nacional durante la </w:t>
      </w:r>
      <w:r>
        <w:t xml:space="preserve">ejecución </w:t>
      </w:r>
      <w:r w:rsidRPr="00E044E3">
        <w:t xml:space="preserve">de los </w:t>
      </w:r>
      <w:r>
        <w:t>PAK</w:t>
      </w:r>
      <w:r w:rsidRPr="00E044E3">
        <w:t xml:space="preserve">, estos retos son de </w:t>
      </w:r>
      <w:r>
        <w:t xml:space="preserve">carácter </w:t>
      </w:r>
      <w:r w:rsidRPr="00E044E3">
        <w:t>transfronteriz</w:t>
      </w:r>
      <w:r>
        <w:t>o</w:t>
      </w:r>
      <w:r w:rsidRPr="00E044E3">
        <w:t xml:space="preserve">, especialmente en regiones o subregiones donde los mercados están liderados por los mismos proveedores de tecnología para diferentes categorías de aplicaciones (por ejemplo, pesca, cadena de frío, centros de datos). Además, hay áreas emergentes, como las soluciones de refrigeración en centros de datos, que están evolucionando. El suministro de equipos </w:t>
      </w:r>
      <w:r>
        <w:t xml:space="preserve">de </w:t>
      </w:r>
      <w:r w:rsidRPr="00E044E3">
        <w:t>refrigeración, climatización y bomba</w:t>
      </w:r>
      <w:r>
        <w:t>s</w:t>
      </w:r>
      <w:r w:rsidRPr="00E044E3">
        <w:t xml:space="preserve"> de calor de los países más grandes a los países medianos y pequeños de la misma región, así como el movimiento de mano de obra y expertos, impulsan la necesidad de un enfoque regional para </w:t>
      </w:r>
      <w:r>
        <w:t xml:space="preserve">hacer frente a </w:t>
      </w:r>
      <w:r w:rsidRPr="00E044E3">
        <w:t xml:space="preserve">los retos comunes. Por lo tanto, en el </w:t>
      </w:r>
      <w:r>
        <w:t xml:space="preserve">marco </w:t>
      </w:r>
      <w:r w:rsidRPr="00E044E3">
        <w:t>de la aplicación de la Enmienda de Kigali, incluida la ejecución de proyectos, un enfoque regional centrado en cuestiones temáticas regionales puede dar lugar</w:t>
      </w:r>
      <w:r>
        <w:t xml:space="preserve"> a un apoyo eficaz a los países</w:t>
      </w:r>
      <w:r w:rsidR="00B847F5" w:rsidRPr="00E044E3">
        <w:t>.</w:t>
      </w:r>
    </w:p>
    <w:p w14:paraId="2B2D3A79" w14:textId="77777777" w:rsidR="00B847F5" w:rsidRPr="00A470CB" w:rsidRDefault="00E044E3" w:rsidP="009D6709">
      <w:pPr>
        <w:pStyle w:val="Heading1"/>
      </w:pPr>
      <w:r w:rsidRPr="00E044E3">
        <w:t xml:space="preserve">Estos centros regionales temáticos pueden formar una red mundial mediante la transferencia de conocimientos y el intercambio de </w:t>
      </w:r>
      <w:r w:rsidR="00A470CB">
        <w:t>experiencias adquiridas</w:t>
      </w:r>
      <w:r w:rsidRPr="00E044E3">
        <w:t xml:space="preserve">, y poner sus servicios a disposición de países de </w:t>
      </w:r>
      <w:r w:rsidRPr="00E044E3">
        <w:lastRenderedPageBreak/>
        <w:t>diferentes partes del mundo (por ejemplo, se pueden compartir con otras regiones los conocimientos especializados en materia de pesca u otras cadenas de frío alimentarias, o las tecnologías de centros de datos de una región sobre cuestiones técnicas y normativas). Estos centros pueden obtener fuentes de financia</w:t>
      </w:r>
      <w:r w:rsidR="00A470CB">
        <w:t>miento</w:t>
      </w:r>
      <w:r w:rsidRPr="00E044E3">
        <w:t xml:space="preserve"> ajenas al Fondo Multilateral que podrían complementar </w:t>
      </w:r>
      <w:r w:rsidR="00A470CB">
        <w:t>el financiamiento</w:t>
      </w:r>
      <w:r w:rsidRPr="00E044E3">
        <w:t xml:space="preserve"> de este y ejecutar proyectos o programas que contribuyan a las tecnologías de refrigeración sostenibles. La estructuración de las opciones de cofinancia</w:t>
      </w:r>
      <w:r w:rsidR="00A470CB">
        <w:t>miento</w:t>
      </w:r>
      <w:r w:rsidRPr="00E044E3">
        <w:t xml:space="preserve"> (por ejemplo, fuentes, mecanismos de gobernanza</w:t>
      </w:r>
      <w:r w:rsidR="00A470CB">
        <w:t xml:space="preserve"> y</w:t>
      </w:r>
      <w:r w:rsidRPr="00E044E3">
        <w:t xml:space="preserve"> plazos) dependería del plan </w:t>
      </w:r>
      <w:r w:rsidR="00A470CB">
        <w:t>administrativo</w:t>
      </w:r>
      <w:r w:rsidRPr="00E044E3">
        <w:t xml:space="preserve"> que pondría en marcha el centro regional temático. Con el tiempo y con un enfoque temático en evolución basado en las cuestiones más relevantes, los centros regionales temáticos podrían apoyar sin problemas la ejecución de actividades de proyectos relacionados con la refrigeración sostenible, más allá de la duración de los proyectos financ</w:t>
      </w:r>
      <w:r w:rsidR="00A470CB">
        <w:t>iados por el Fondo Multilateral</w:t>
      </w:r>
      <w:r w:rsidR="000E0DC9" w:rsidRPr="00A470CB">
        <w:t>.</w:t>
      </w:r>
    </w:p>
    <w:p w14:paraId="0128F154" w14:textId="77777777" w:rsidR="00C3387D" w:rsidRPr="0037582B" w:rsidRDefault="0037582B" w:rsidP="00A53321">
      <w:pPr>
        <w:keepNext/>
        <w:spacing w:after="240"/>
        <w:rPr>
          <w:b/>
        </w:rPr>
      </w:pPr>
      <w:r w:rsidRPr="0037582B">
        <w:rPr>
          <w:b/>
        </w:rPr>
        <w:t>Funciones específicas de un centro regional temático</w:t>
      </w:r>
    </w:p>
    <w:p w14:paraId="1ABECDED" w14:textId="6135D8E1" w:rsidR="00C3387D" w:rsidRPr="00871DB1" w:rsidRDefault="0037582B" w:rsidP="009D6709">
      <w:pPr>
        <w:pStyle w:val="Heading1"/>
      </w:pPr>
      <w:r w:rsidRPr="0037582B">
        <w:t xml:space="preserve">Hay </w:t>
      </w:r>
      <w:r w:rsidR="002D1A47">
        <w:t>tres</w:t>
      </w:r>
      <w:r w:rsidRPr="0037582B">
        <w:t xml:space="preserve"> grandes categorías de servicios en el sector de refrigeración, climatización y bomba</w:t>
      </w:r>
      <w:r>
        <w:t>s</w:t>
      </w:r>
      <w:r w:rsidRPr="0037582B">
        <w:t xml:space="preserve"> de calor que podría prestar un centro regional temático</w:t>
      </w:r>
      <w:r w:rsidR="00C3387D" w:rsidRPr="00871DB1">
        <w:t>:</w:t>
      </w:r>
    </w:p>
    <w:p w14:paraId="24EECF99" w14:textId="77777777" w:rsidR="00C3387D" w:rsidRPr="00260936" w:rsidRDefault="00260936" w:rsidP="00152CEB">
      <w:pPr>
        <w:pStyle w:val="Heading2"/>
        <w:numPr>
          <w:ilvl w:val="1"/>
          <w:numId w:val="2"/>
        </w:numPr>
        <w:spacing w:after="120"/>
      </w:pPr>
      <w:r w:rsidRPr="00260936">
        <w:rPr>
          <w:i/>
          <w:iCs/>
        </w:rPr>
        <w:t xml:space="preserve">Evaluación técnica, gestión de datos y políticas orientadas al mercado: </w:t>
      </w:r>
      <w:r>
        <w:t>e</w:t>
      </w:r>
      <w:r w:rsidRPr="00260936">
        <w:t xml:space="preserve">stas funciones podrían incluir áreas como el análisis de datos sectoriales </w:t>
      </w:r>
      <w:r>
        <w:t>con respecto a</w:t>
      </w:r>
      <w:r w:rsidRPr="00260936">
        <w:t xml:space="preserve"> diferentes sectores económicos; la elaboración de perfiles tecnológicos para di</w:t>
      </w:r>
      <w:r>
        <w:t>stintas</w:t>
      </w:r>
      <w:r w:rsidRPr="00260936">
        <w:t xml:space="preserve"> aplicaciones; herramientas de gestión de datos y modelización de vanguardia; estudios sobre el acceso a la refrigeración en diferentes grupos comunitarios, por ejemplo, grupos rurales, urbanos y de ingresos altos, medios y bajos; la armonización de las normas regionales de eficiencia energética, el etiquetado y/o los sistemas de conformidad; el desarrollo de marcos de contratación pública ecológica inteligente; el diseño de programas de vigilancia del mercado; metodologías para la evaluación y gestión de riesgos al adoptar tecnologías de bajo PCA; políticas </w:t>
      </w:r>
      <w:r w:rsidR="0081210D">
        <w:t>de transición a</w:t>
      </w:r>
      <w:r w:rsidRPr="00260936">
        <w:t xml:space="preserve">plicadas a nivel nacional para </w:t>
      </w:r>
      <w:r w:rsidR="0081210D">
        <w:t>aplicar</w:t>
      </w:r>
      <w:r w:rsidRPr="00260936">
        <w:t xml:space="preserve"> la Enmienda de Kigali con otras cuestiones nacionales/regionales pertinentes, como los edificios, la seguridad alimentaria, la salud, el turismo o los planes de acción nacionales </w:t>
      </w:r>
      <w:r w:rsidR="0081210D">
        <w:t xml:space="preserve">en materia de </w:t>
      </w:r>
      <w:r w:rsidRPr="00260936">
        <w:t>refrigeración</w:t>
      </w:r>
      <w:r w:rsidR="00DA2D91" w:rsidRPr="00260936">
        <w:t>;</w:t>
      </w:r>
    </w:p>
    <w:p w14:paraId="789EDF08" w14:textId="77777777" w:rsidR="00C3387D" w:rsidRPr="0081210D" w:rsidRDefault="0081210D" w:rsidP="00152CEB">
      <w:pPr>
        <w:pStyle w:val="Heading2"/>
        <w:spacing w:after="120"/>
      </w:pPr>
      <w:r w:rsidRPr="0081210D">
        <w:rPr>
          <w:i/>
          <w:iCs/>
        </w:rPr>
        <w:t xml:space="preserve">Aceptación en el mercado e intervenciones para acelerar la adopción de tecnologías </w:t>
      </w:r>
      <w:r>
        <w:rPr>
          <w:i/>
          <w:iCs/>
        </w:rPr>
        <w:t>de</w:t>
      </w:r>
      <w:r w:rsidRPr="0081210D">
        <w:rPr>
          <w:i/>
          <w:iCs/>
        </w:rPr>
        <w:t xml:space="preserve"> bajo PCA: </w:t>
      </w:r>
      <w:r>
        <w:t>entre esas</w:t>
      </w:r>
      <w:r w:rsidRPr="0081210D">
        <w:t xml:space="preserve"> funciones </w:t>
      </w:r>
      <w:r>
        <w:t xml:space="preserve">se </w:t>
      </w:r>
      <w:r w:rsidRPr="0081210D">
        <w:t xml:space="preserve">podrían incluir la aplicación y el uso de estudios de evaluación de riesgos; planes de transformación </w:t>
      </w:r>
      <w:r>
        <w:t>de</w:t>
      </w:r>
      <w:r w:rsidRPr="0081210D">
        <w:t xml:space="preserve"> bajo PCA para segmentos económicos específicos, por ejemplo, la industria hotelera, la sa</w:t>
      </w:r>
      <w:r>
        <w:t>nidad</w:t>
      </w:r>
      <w:r w:rsidRPr="0081210D">
        <w:t xml:space="preserve">, el comercio minorista, los centros de datos, etc.; el desarrollo de las capacidades técnicas de las pymes y del subsector local de montaje e instalación; programas de certificación de técnicos para el reconocimiento regional de la mano de obra de </w:t>
      </w:r>
      <w:r w:rsidR="00E31AEA">
        <w:t>servicio técnico</w:t>
      </w:r>
      <w:r w:rsidRPr="0081210D">
        <w:t>; incentivos para los usuarios finales y/o planes de jubilación anticipada, incluidos productos financieros innovadores para diferentes usuarios finales; programas e instrumentos de protección del consumidor; y la digitalización de la enseñanza y la capacitación</w:t>
      </w:r>
      <w:r>
        <w:t xml:space="preserve"> técnica y profesional en </w:t>
      </w:r>
      <w:r w:rsidRPr="0081210D">
        <w:t>refrigeración, climatización y bomba</w:t>
      </w:r>
      <w:r>
        <w:t>s</w:t>
      </w:r>
      <w:r w:rsidRPr="0081210D">
        <w:t xml:space="preserve"> de calor</w:t>
      </w:r>
      <w:r>
        <w:t>;</w:t>
      </w:r>
      <w:r w:rsidR="00E31AEA">
        <w:rPr>
          <w:iCs/>
        </w:rPr>
        <w:t xml:space="preserve"> y</w:t>
      </w:r>
    </w:p>
    <w:p w14:paraId="01DF322E" w14:textId="77777777" w:rsidR="001D2898" w:rsidRPr="00E06F59" w:rsidRDefault="00960B37" w:rsidP="00152CEB">
      <w:pPr>
        <w:pStyle w:val="Heading2"/>
        <w:spacing w:after="120"/>
      </w:pPr>
      <w:r w:rsidRPr="00960B37">
        <w:rPr>
          <w:i/>
          <w:iCs/>
        </w:rPr>
        <w:t xml:space="preserve">Atraer y movilizar </w:t>
      </w:r>
      <w:r>
        <w:rPr>
          <w:i/>
          <w:iCs/>
        </w:rPr>
        <w:t>el cofinanciamiento</w:t>
      </w:r>
      <w:r w:rsidRPr="00960B37">
        <w:rPr>
          <w:i/>
          <w:iCs/>
        </w:rPr>
        <w:t xml:space="preserve"> para la refrigeración sostenible: </w:t>
      </w:r>
      <w:r>
        <w:rPr>
          <w:iCs/>
        </w:rPr>
        <w:t>e</w:t>
      </w:r>
      <w:r w:rsidRPr="00960B37">
        <w:rPr>
          <w:iCs/>
        </w:rPr>
        <w:t>stos centros regionales temáticos podrían pr</w:t>
      </w:r>
      <w:r>
        <w:rPr>
          <w:iCs/>
        </w:rPr>
        <w:t>estar</w:t>
      </w:r>
      <w:r w:rsidRPr="00960B37">
        <w:rPr>
          <w:iCs/>
        </w:rPr>
        <w:t xml:space="preserve"> asistencia técnica a los países para recaudar fondos y ser el lugar al que </w:t>
      </w:r>
      <w:r>
        <w:rPr>
          <w:iCs/>
        </w:rPr>
        <w:t xml:space="preserve">recurran </w:t>
      </w:r>
      <w:r w:rsidRPr="00960B37">
        <w:rPr>
          <w:iCs/>
        </w:rPr>
        <w:t xml:space="preserve">las instituciones </w:t>
      </w:r>
      <w:r>
        <w:rPr>
          <w:iCs/>
        </w:rPr>
        <w:t xml:space="preserve">de financiamiento </w:t>
      </w:r>
      <w:r w:rsidRPr="00960B37">
        <w:rPr>
          <w:iCs/>
        </w:rPr>
        <w:t xml:space="preserve">cuando </w:t>
      </w:r>
      <w:r>
        <w:rPr>
          <w:iCs/>
        </w:rPr>
        <w:t>quieran</w:t>
      </w:r>
      <w:r w:rsidRPr="00960B37">
        <w:rPr>
          <w:iCs/>
        </w:rPr>
        <w:t xml:space="preserve"> financiar actividades relacionadas con la refrigeración sostenible.  Los centros podrían ayudar a las </w:t>
      </w:r>
      <w:r>
        <w:rPr>
          <w:iCs/>
        </w:rPr>
        <w:t>oficinas</w:t>
      </w:r>
      <w:r w:rsidRPr="00960B37">
        <w:rPr>
          <w:iCs/>
        </w:rPr>
        <w:t xml:space="preserve"> nacionales del ozono (</w:t>
      </w:r>
      <w:r>
        <w:rPr>
          <w:iCs/>
        </w:rPr>
        <w:t>O</w:t>
      </w:r>
      <w:r w:rsidRPr="00960B37">
        <w:rPr>
          <w:iCs/>
        </w:rPr>
        <w:t>NO) a solicitar financia</w:t>
      </w:r>
      <w:r w:rsidR="00E06F59">
        <w:rPr>
          <w:iCs/>
        </w:rPr>
        <w:t>miento</w:t>
      </w:r>
      <w:r w:rsidRPr="00960B37">
        <w:rPr>
          <w:iCs/>
        </w:rPr>
        <w:t xml:space="preserve"> a bancos o instituciones </w:t>
      </w:r>
      <w:r w:rsidR="00E06F59">
        <w:rPr>
          <w:iCs/>
        </w:rPr>
        <w:t xml:space="preserve">regionales </w:t>
      </w:r>
      <w:r w:rsidRPr="00960B37">
        <w:rPr>
          <w:iCs/>
        </w:rPr>
        <w:t xml:space="preserve">de desarrollo y a organizaciones filantrópicas. Además, también podrían ayudar a los gobiernos y a los usuarios finales a crear modelos financieros viables y/o modelos de colaboración público-privada para apoyar </w:t>
      </w:r>
      <w:r w:rsidR="00E06F59">
        <w:rPr>
          <w:iCs/>
        </w:rPr>
        <w:t>el financiamiento</w:t>
      </w:r>
      <w:r w:rsidRPr="00960B37">
        <w:rPr>
          <w:iCs/>
        </w:rPr>
        <w:t xml:space="preserve"> de la refrigeración sostenible a través de bancos o instituciones financieras locales, regionales o internacionales, utilizando préstamos tradicionales, </w:t>
      </w:r>
      <w:r w:rsidR="00415F5A" w:rsidRPr="00960B37">
        <w:rPr>
          <w:iCs/>
        </w:rPr>
        <w:t>modalidades de préstamos</w:t>
      </w:r>
      <w:r w:rsidRPr="00960B37">
        <w:rPr>
          <w:iCs/>
        </w:rPr>
        <w:t xml:space="preserve"> en condiciones favorables o</w:t>
      </w:r>
      <w:r w:rsidR="00415F5A">
        <w:rPr>
          <w:iCs/>
        </w:rPr>
        <w:t xml:space="preserve"> </w:t>
      </w:r>
      <w:r w:rsidRPr="00960B37">
        <w:rPr>
          <w:iCs/>
        </w:rPr>
        <w:t>fondos rotatorios</w:t>
      </w:r>
      <w:r>
        <w:rPr>
          <w:iCs/>
        </w:rPr>
        <w:t>.</w:t>
      </w:r>
    </w:p>
    <w:p w14:paraId="6A94B8BE" w14:textId="77777777" w:rsidR="00C3387D" w:rsidRPr="00E41CAD" w:rsidRDefault="00E41CAD" w:rsidP="009D6709">
      <w:pPr>
        <w:pStyle w:val="Heading1"/>
      </w:pPr>
      <w:r w:rsidRPr="00E41CAD">
        <w:lastRenderedPageBreak/>
        <w:t>La lista anterior de funciones específicas es indicativa. Se podrían sugerir servicios adicionales siempre que se haya demostrado que son una prioridad regional y no dupliquen actividades ya ej</w:t>
      </w:r>
      <w:r>
        <w:t xml:space="preserve">ecutadas </w:t>
      </w:r>
      <w:r w:rsidRPr="00E41CAD">
        <w:t>con financia</w:t>
      </w:r>
      <w:r>
        <w:t xml:space="preserve">miento en el marco </w:t>
      </w:r>
      <w:r w:rsidRPr="00E41CAD">
        <w:t xml:space="preserve">de los </w:t>
      </w:r>
      <w:r>
        <w:t>PAK</w:t>
      </w:r>
      <w:r w:rsidRPr="00E41CAD">
        <w:t xml:space="preserve"> o cualquier otra ventana de financia</w:t>
      </w:r>
      <w:r>
        <w:t>miento</w:t>
      </w:r>
      <w:r w:rsidRPr="00E41CAD">
        <w:t xml:space="preserve"> establecida por el Fondo Multilateral. Con el tiempo, su enfoque temático, su visibilidad e integración en la región, los mayores niveles de coordinación con los actores industriales pertinentes y la creación de redes interregionales a nivel mundial (conectividad nacional, regional y mundial) permitirían a los centros regionales temáticos aprovechar sus capacidades técnicas y normativas y su red para ofrecer servicios de refrigeración sostenible a los países.</w:t>
      </w:r>
    </w:p>
    <w:p w14:paraId="66804D68" w14:textId="77777777" w:rsidR="000A2AA9" w:rsidRPr="00E41CAD" w:rsidRDefault="00E41CAD" w:rsidP="00A53321">
      <w:pPr>
        <w:keepNext/>
        <w:spacing w:after="240"/>
        <w:rPr>
          <w:b/>
        </w:rPr>
      </w:pPr>
      <w:r w:rsidRPr="00E41CAD">
        <w:rPr>
          <w:b/>
        </w:rPr>
        <w:t>Directrices para el desarrollo de centros regionales temáticos para la refrigeración sostenible</w:t>
      </w:r>
    </w:p>
    <w:p w14:paraId="63266D57" w14:textId="77777777" w:rsidR="007E4E5A" w:rsidRPr="00E41CAD" w:rsidRDefault="00E41CAD" w:rsidP="009D6709">
      <w:pPr>
        <w:pStyle w:val="Heading1"/>
      </w:pPr>
      <w:r w:rsidRPr="00E41CAD">
        <w:t xml:space="preserve">Para garantizar un modelo de </w:t>
      </w:r>
      <w:r>
        <w:t>gestión</w:t>
      </w:r>
      <w:r w:rsidRPr="00E41CAD">
        <w:t xml:space="preserve"> sostenible para un centro regional temático dedicado a la refrigeración sostenible, deben diseñarse y elaborarse adecuadamente</w:t>
      </w:r>
      <w:r>
        <w:t xml:space="preserve"> los siguientes elementos clave</w:t>
      </w:r>
      <w:r w:rsidR="007E4E5A" w:rsidRPr="00E41CAD">
        <w:t>.</w:t>
      </w:r>
    </w:p>
    <w:p w14:paraId="543D8549" w14:textId="77777777" w:rsidR="007E4E5A" w:rsidRPr="00DB4A31" w:rsidRDefault="00DB4A31" w:rsidP="00A768D4">
      <w:pPr>
        <w:keepNext/>
        <w:spacing w:after="240"/>
        <w:outlineLvl w:val="0"/>
        <w:rPr>
          <w:u w:val="single"/>
        </w:rPr>
      </w:pPr>
      <w:r w:rsidRPr="00DB4A31">
        <w:rPr>
          <w:u w:val="single"/>
        </w:rPr>
        <w:t>Ubicación conjunta con uno o varios centros existentes</w:t>
      </w:r>
    </w:p>
    <w:p w14:paraId="572F23D3" w14:textId="77777777" w:rsidR="00212108" w:rsidRPr="00DB4A31" w:rsidRDefault="00DB4A31" w:rsidP="009D6709">
      <w:pPr>
        <w:pStyle w:val="Heading1"/>
      </w:pPr>
      <w:r w:rsidRPr="00DB4A31">
        <w:t xml:space="preserve">Prestar apoyo para establecer y poner en funcionamiento un centro de servicios relacionados con la refrigeración sostenible en uno o varios centros existentes probablemente acelerará el reconocimiento y la puesta en marcha de dichos centros. Este enfoque también puede ayudar al centro a aprovechar los conocimientos y la experiencia pertinentes de un centro existente, así como a </w:t>
      </w:r>
      <w:r>
        <w:t xml:space="preserve">obtener </w:t>
      </w:r>
      <w:r w:rsidRPr="00DB4A31">
        <w:t xml:space="preserve">la aceptación de los países de la región. Un ejemplo de ubicación </w:t>
      </w:r>
      <w:r>
        <w:t xml:space="preserve">conjunta </w:t>
      </w:r>
      <w:r w:rsidRPr="00DB4A31">
        <w:t>es el Laboratorio Naci</w:t>
      </w:r>
      <w:r>
        <w:t>onal Lawrence Berkeley (LBNL)</w:t>
      </w:r>
      <w:r w:rsidR="006F5B08">
        <w:rPr>
          <w:rStyle w:val="FootnoteReference"/>
        </w:rPr>
        <w:footnoteReference w:id="8"/>
      </w:r>
      <w:r>
        <w:t xml:space="preserve">. </w:t>
      </w:r>
      <w:r w:rsidRPr="00DB4A31">
        <w:t xml:space="preserve">En la fase de planificación, es fundamental identificar los centros o instituciones regionales existentes que podrían </w:t>
      </w:r>
      <w:r>
        <w:t xml:space="preserve">albergar </w:t>
      </w:r>
      <w:r w:rsidRPr="00DB4A31">
        <w:t>el centro regional temático.</w:t>
      </w:r>
    </w:p>
    <w:p w14:paraId="467E3B7B" w14:textId="77777777" w:rsidR="000A2AA9" w:rsidRPr="00C03398" w:rsidRDefault="00DB4A31" w:rsidP="00C03398">
      <w:pPr>
        <w:pStyle w:val="Heading2"/>
        <w:numPr>
          <w:ilvl w:val="0"/>
          <w:numId w:val="0"/>
        </w:numPr>
        <w:rPr>
          <w:u w:val="single"/>
        </w:rPr>
      </w:pPr>
      <w:r w:rsidRPr="00DB4A31">
        <w:rPr>
          <w:u w:val="single"/>
        </w:rPr>
        <w:t>Planificación y prioridades</w:t>
      </w:r>
    </w:p>
    <w:p w14:paraId="73BCB1C0" w14:textId="77777777" w:rsidR="000A2AA9" w:rsidRPr="00E76A96" w:rsidRDefault="00DB4A31" w:rsidP="009D6709">
      <w:pPr>
        <w:pStyle w:val="Heading1"/>
      </w:pPr>
      <w:r w:rsidRPr="00DB4A31">
        <w:t xml:space="preserve">La planificación se basará en las necesidades de la región, que </w:t>
      </w:r>
      <w:r>
        <w:t>determinar</w:t>
      </w:r>
      <w:r w:rsidRPr="00DB4A31">
        <w:t xml:space="preserve">án la prioridad temática del centro. </w:t>
      </w:r>
      <w:r w:rsidRPr="00E76A96">
        <w:t>Los conocimientos y la experiencia, incluida la colaboración con la industria, sobre cómo abordar los diferentes retos evolucionarán con el tiempo</w:t>
      </w:r>
      <w:r w:rsidR="00E76A96" w:rsidRPr="00E76A96">
        <w:t xml:space="preserve"> y</w:t>
      </w:r>
      <w:r w:rsidR="00E76A96">
        <w:t xml:space="preserve"> </w:t>
      </w:r>
      <w:r w:rsidRPr="00E76A96">
        <w:t xml:space="preserve">se espera que refuerce las fortalezas de los centros regionales temáticos para ofrecer servicios de manera más eficaz a largo plazo. </w:t>
      </w:r>
      <w:r w:rsidRPr="00DB4A31">
        <w:t xml:space="preserve">Por lo tanto, es necesario llevar a cabo una consulta regional exhaustiva entre las </w:t>
      </w:r>
      <w:r w:rsidR="00E76A96">
        <w:t>ONO</w:t>
      </w:r>
      <w:r w:rsidRPr="00DB4A31">
        <w:t xml:space="preserve">, otros socios o grupos regionales pertinentes, incluidas las instituciones financieras, para garantizar </w:t>
      </w:r>
      <w:r w:rsidR="00E76A96">
        <w:t xml:space="preserve">la creación de un </w:t>
      </w:r>
      <w:r w:rsidRPr="00DB4A31">
        <w:t>consenso sobre las necesidades regiona</w:t>
      </w:r>
      <w:r w:rsidR="00E76A96">
        <w:t>les y las prioridades temáticas</w:t>
      </w:r>
      <w:r w:rsidR="002E4FCD" w:rsidRPr="00E76A96">
        <w:t>.</w:t>
      </w:r>
    </w:p>
    <w:p w14:paraId="28FC0B50" w14:textId="77777777" w:rsidR="00355CC2" w:rsidRPr="00E76A96" w:rsidRDefault="00E76A96" w:rsidP="00C03398">
      <w:pPr>
        <w:spacing w:after="240"/>
        <w:outlineLvl w:val="0"/>
        <w:rPr>
          <w:u w:val="single"/>
        </w:rPr>
      </w:pPr>
      <w:r w:rsidRPr="00E76A96">
        <w:rPr>
          <w:u w:val="single"/>
        </w:rPr>
        <w:t>Gobernanza y funcionamiento</w:t>
      </w:r>
    </w:p>
    <w:p w14:paraId="684AB994" w14:textId="77777777" w:rsidR="002E4FCD" w:rsidRPr="00E76A96" w:rsidRDefault="00E76A96" w:rsidP="009D6709">
      <w:pPr>
        <w:pStyle w:val="Heading1"/>
      </w:pPr>
      <w:r w:rsidRPr="00E76A96">
        <w:t>Hay dos formas de crear un centro regional temático, a sa</w:t>
      </w:r>
      <w:r>
        <w:t>ber</w:t>
      </w:r>
      <w:r w:rsidR="002E4FCD" w:rsidRPr="00E76A96">
        <w:t>:</w:t>
      </w:r>
    </w:p>
    <w:p w14:paraId="15BE417A" w14:textId="77777777" w:rsidR="002E4FCD" w:rsidRPr="00E76A96" w:rsidRDefault="00E76A96" w:rsidP="002E4FCD">
      <w:pPr>
        <w:pStyle w:val="Heading2"/>
      </w:pPr>
      <w:r w:rsidRPr="00E76A96">
        <w:t>Puede compartir ubicación con otro centro establecido mediante un proceso intergubernamental. Este enfoque puede generar un</w:t>
      </w:r>
      <w:r>
        <w:t>a</w:t>
      </w:r>
      <w:r w:rsidRPr="00E76A96">
        <w:t xml:space="preserve"> fuerte </w:t>
      </w:r>
      <w:r>
        <w:t xml:space="preserve">implicación </w:t>
      </w:r>
      <w:r w:rsidRPr="00E76A96">
        <w:t>de los países de la región y el compromiso de utilizar los servicios del centro regional temático según corresponda. Esto implica una estructura de gobernanza regional similar al enfoque del centro de energía, respaldada por una plataforma mundial, auspiciada por la ONUDI (véase también el anexo I del presente documento); y</w:t>
      </w:r>
    </w:p>
    <w:p w14:paraId="3EE2AF93" w14:textId="77777777" w:rsidR="00136F01" w:rsidRPr="003C281C" w:rsidRDefault="003C281C" w:rsidP="00190383">
      <w:pPr>
        <w:pStyle w:val="Heading2"/>
        <w:keepLines/>
      </w:pPr>
      <w:r w:rsidRPr="003C281C">
        <w:t xml:space="preserve">Puede ubicarse junto a un centro ya existente que funcione como centro neurálgico y preste servicios no solo al país anfitrión, sino también a otros países de la región, como es el caso del Centro </w:t>
      </w:r>
      <w:r>
        <w:t xml:space="preserve">Africano de </w:t>
      </w:r>
      <w:r w:rsidRPr="004E3B01">
        <w:t>Excelencia</w:t>
      </w:r>
      <w:r>
        <w:t xml:space="preserve"> para el Enfriamiento y Cadena de Frío Sostenibles</w:t>
      </w:r>
      <w:r w:rsidRPr="004E3B01">
        <w:t xml:space="preserve"> (ACES)</w:t>
      </w:r>
      <w:r w:rsidR="00CF7615" w:rsidRPr="003C281C">
        <w:t>.</w:t>
      </w:r>
    </w:p>
    <w:p w14:paraId="19767478" w14:textId="77777777" w:rsidR="001F0E33" w:rsidRPr="004059F0" w:rsidRDefault="00B17CF0" w:rsidP="009D6709">
      <w:pPr>
        <w:pStyle w:val="Heading1"/>
      </w:pPr>
      <w:r w:rsidRPr="00B17CF0">
        <w:lastRenderedPageBreak/>
        <w:t xml:space="preserve">En ambos casos, y para garantizar un funcionamiento sólido y sostenido y la colaboración con las </w:t>
      </w:r>
      <w:r>
        <w:t>contra</w:t>
      </w:r>
      <w:r w:rsidRPr="00B17CF0">
        <w:t xml:space="preserve">partes regionales, el centro debería </w:t>
      </w:r>
      <w:r>
        <w:t xml:space="preserve">tener </w:t>
      </w:r>
      <w:r w:rsidRPr="00B17CF0">
        <w:t xml:space="preserve">una estructura organizativa que </w:t>
      </w:r>
      <w:r>
        <w:t>facilite</w:t>
      </w:r>
      <w:r w:rsidRPr="00B17CF0">
        <w:t xml:space="preserve"> los procesos de toma de decisiones, ejecución y presentación de informes. La estructura organizativa básica y el modelo operativo incluirían un órgano rector que se encargaría de la supervisión estratégica y </w:t>
      </w:r>
      <w:r w:rsidR="004059F0">
        <w:t>velaría por</w:t>
      </w:r>
      <w:r w:rsidRPr="00B17CF0">
        <w:t xml:space="preserve"> la coherencia con la misión y el ámbito de trabajo del centro, lo que también aseguraría la complementariedad de las actividades con otras iniciativas en mate</w:t>
      </w:r>
      <w:r w:rsidR="004059F0">
        <w:t>ria de refrigeración sostenible</w:t>
      </w:r>
      <w:r w:rsidR="00CA7A7E" w:rsidRPr="004059F0">
        <w:t>.</w:t>
      </w:r>
    </w:p>
    <w:p w14:paraId="705EDFCE" w14:textId="77777777" w:rsidR="00C56672" w:rsidRPr="003C4B56" w:rsidRDefault="003C4B56" w:rsidP="00A53321">
      <w:pPr>
        <w:pStyle w:val="Heading1"/>
      </w:pPr>
      <w:r w:rsidRPr="003C4B56">
        <w:t xml:space="preserve">Se necesitará un equipo para gestionar las operaciones cotidianas, la participación de las </w:t>
      </w:r>
      <w:r>
        <w:t>contra</w:t>
      </w:r>
      <w:r w:rsidRPr="003C4B56">
        <w:t xml:space="preserve">partes, la representación, el diseño de proyectos, la realización de actividades, la divulgación y los eventos, y el apoyo operativo. Los socios afiliados pueden </w:t>
      </w:r>
      <w:r>
        <w:t>aportar</w:t>
      </w:r>
      <w:r w:rsidRPr="003C4B56">
        <w:t xml:space="preserve"> conocimientos especializados, vínculos con servicios de vanguardia existentes y un acceso rápido a las </w:t>
      </w:r>
      <w:r>
        <w:t>contra</w:t>
      </w:r>
      <w:r w:rsidRPr="003C4B56">
        <w:t xml:space="preserve">partes regionales. Los expertos técnicos podrían ofrecer orientación técnica sobre cuestiones emergentes, iniciativas y proyectos dirigidos </w:t>
      </w:r>
      <w:r>
        <w:t>por el centro</w:t>
      </w:r>
      <w:r w:rsidR="00C56672" w:rsidRPr="003C4B56">
        <w:t>.</w:t>
      </w:r>
    </w:p>
    <w:p w14:paraId="02BCD53B" w14:textId="77777777" w:rsidR="00796406" w:rsidRPr="003C4B56" w:rsidRDefault="003C4B56" w:rsidP="00A53321">
      <w:pPr>
        <w:pStyle w:val="Heading1"/>
      </w:pPr>
      <w:r w:rsidRPr="003C4B56">
        <w:t>El funcionamiento del centro regional temático debe diseñarse teniendo en cuenta los costos de capital y operativos, incluyendo, como mínimo, los siguientes elementos: un costo único que incluy</w:t>
      </w:r>
      <w:r>
        <w:t>a</w:t>
      </w:r>
      <w:r w:rsidRPr="003C4B56">
        <w:t xml:space="preserve"> la ubicación conjunta del centro, los procesos de aceptación intergubernamental y de los socios, los servicios contractuales y jurídicos necesarios, los costos de personal y programáticos, y los cost</w:t>
      </w:r>
      <w:r>
        <w:t>os operativos y administrativos</w:t>
      </w:r>
      <w:r w:rsidR="00796406" w:rsidRPr="003C4B56">
        <w:t>.</w:t>
      </w:r>
    </w:p>
    <w:p w14:paraId="214CE16C" w14:textId="77777777" w:rsidR="00C56672" w:rsidRPr="003C4B56" w:rsidRDefault="003C4B56" w:rsidP="00C03398">
      <w:pPr>
        <w:pStyle w:val="Heading1"/>
        <w:numPr>
          <w:ilvl w:val="0"/>
          <w:numId w:val="0"/>
        </w:numPr>
        <w:rPr>
          <w:u w:val="single"/>
        </w:rPr>
      </w:pPr>
      <w:r w:rsidRPr="003C4B56">
        <w:rPr>
          <w:u w:val="single"/>
        </w:rPr>
        <w:t>Estimación de cost</w:t>
      </w:r>
      <w:r>
        <w:rPr>
          <w:u w:val="single"/>
        </w:rPr>
        <w:t>o</w:t>
      </w:r>
      <w:r w:rsidRPr="003C4B56">
        <w:rPr>
          <w:u w:val="single"/>
        </w:rPr>
        <w:t>s, cofinancia</w:t>
      </w:r>
      <w:r>
        <w:rPr>
          <w:u w:val="single"/>
        </w:rPr>
        <w:t>miento</w:t>
      </w:r>
      <w:r w:rsidRPr="003C4B56">
        <w:rPr>
          <w:u w:val="single"/>
        </w:rPr>
        <w:t xml:space="preserve">, modelo de </w:t>
      </w:r>
      <w:r>
        <w:rPr>
          <w:u w:val="single"/>
        </w:rPr>
        <w:t>gestión</w:t>
      </w:r>
      <w:r w:rsidRPr="003C4B56">
        <w:rPr>
          <w:u w:val="single"/>
        </w:rPr>
        <w:t xml:space="preserve"> y sostenibilidad</w:t>
      </w:r>
    </w:p>
    <w:p w14:paraId="1D70AD6D" w14:textId="77777777" w:rsidR="00796406" w:rsidRPr="00C56FED" w:rsidRDefault="003C4B56" w:rsidP="00C03398">
      <w:pPr>
        <w:pStyle w:val="Heading1"/>
      </w:pPr>
      <w:r w:rsidRPr="00C56FED">
        <w:t xml:space="preserve">Se recomienda un mínimo de cinco años de apoyo </w:t>
      </w:r>
      <w:r w:rsidR="00C56FED" w:rsidRPr="00C56FED">
        <w:t>en</w:t>
      </w:r>
      <w:r w:rsidR="00C56FED">
        <w:t xml:space="preserve"> la puesta en marcha </w:t>
      </w:r>
      <w:r w:rsidRPr="00C56FED">
        <w:t>de dichos centros para establecer la credibilidad necesaria y generar confianza en los servicios que ofrece el centro dentro de la región. Se debe considerar un período adicional de un año, previa aprobación del proyecto, para facilitar los preparativos iniciales y la contratación de personal antes de que el centro o programa comience a funcionar y a ofrecer los servicios técnicos y programáticos necesarios.</w:t>
      </w:r>
    </w:p>
    <w:p w14:paraId="06B9FA21" w14:textId="77777777" w:rsidR="002B78A7" w:rsidRPr="00C56FED" w:rsidRDefault="00C56FED" w:rsidP="00A53321">
      <w:pPr>
        <w:pStyle w:val="Heading1"/>
      </w:pPr>
      <w:r w:rsidRPr="00C56FED">
        <w:t>El plan ad</w:t>
      </w:r>
      <w:r>
        <w:t>ministrativo</w:t>
      </w:r>
      <w:r w:rsidRPr="00C56FED">
        <w:t xml:space="preserve"> debe demostrar la viabilidad operativa del centro. El plan debe identificar las fuentes de ingresos (por ejemplo, apoyo técnico consultivo para servicios, servicios relacionados con la ca</w:t>
      </w:r>
      <w:r>
        <w:t>pacita</w:t>
      </w:r>
      <w:r w:rsidRPr="00C56FED">
        <w:t>ción de</w:t>
      </w:r>
      <w:r>
        <w:t>l</w:t>
      </w:r>
      <w:r w:rsidRPr="00C56FED">
        <w:t xml:space="preserve"> personal técnico, análisis de</w:t>
      </w:r>
      <w:r>
        <w:t>l</w:t>
      </w:r>
      <w:r w:rsidRPr="00C56FED">
        <w:t xml:space="preserve"> mercado y evaluaciones del marco normativo, servicios relacionados con la adopción de tecnología), </w:t>
      </w:r>
      <w:r>
        <w:t>el número de clientes atendidos</w:t>
      </w:r>
      <w:r w:rsidR="002B78A7" w:rsidRPr="00BD58C5">
        <w:rPr>
          <w:rStyle w:val="FootnoteReference"/>
        </w:rPr>
        <w:footnoteReference w:id="9"/>
      </w:r>
      <w:r>
        <w:t xml:space="preserve"> </w:t>
      </w:r>
      <w:r w:rsidRPr="00C56FED">
        <w:t>y los cost</w:t>
      </w:r>
      <w:r>
        <w:t>o</w:t>
      </w:r>
      <w:r w:rsidRPr="00C56FED">
        <w:t xml:space="preserve">s de </w:t>
      </w:r>
      <w:r>
        <w:t>explotación d</w:t>
      </w:r>
      <w:r w:rsidRPr="00C56FED">
        <w:t xml:space="preserve">e dichos servicios. El modelo de </w:t>
      </w:r>
      <w:r>
        <w:t>gestión</w:t>
      </w:r>
      <w:r w:rsidRPr="00C56FED">
        <w:t xml:space="preserve"> debe demostrar su viabilidad con recursos generados internamente a </w:t>
      </w:r>
      <w:r>
        <w:t>partir del final del quinto año</w:t>
      </w:r>
      <w:r w:rsidR="002B78A7" w:rsidRPr="00C56FED">
        <w:t>.</w:t>
      </w:r>
    </w:p>
    <w:p w14:paraId="27BD7B10" w14:textId="77777777" w:rsidR="00796406" w:rsidRPr="00C84967" w:rsidRDefault="00C56FED" w:rsidP="00C03398">
      <w:pPr>
        <w:pStyle w:val="Heading1"/>
      </w:pPr>
      <w:r w:rsidRPr="00C56FED">
        <w:t>Una estimación indicativa del nivel de financiami</w:t>
      </w:r>
      <w:r>
        <w:t>ento</w:t>
      </w:r>
      <w:r w:rsidRPr="00C56FED">
        <w:t xml:space="preserve"> que podría ser necesario para </w:t>
      </w:r>
      <w:r w:rsidR="00C84967">
        <w:t>crear</w:t>
      </w:r>
      <w:r w:rsidRPr="00C56FED">
        <w:t xml:space="preserve"> un centro regional temático que también pudiera aprovechar otros recursos y modalidades de financia</w:t>
      </w:r>
      <w:r w:rsidR="00C84967">
        <w:t>miento</w:t>
      </w:r>
      <w:r w:rsidRPr="00C56FED">
        <w:t xml:space="preserve">, que prestara servicios a una región compuesta por entre ocho y diez países, y que cubriera la puesta en marcha y el funcionamiento durante los primeros cinco años, oscilaría entre </w:t>
      </w:r>
      <w:r w:rsidR="00C84967">
        <w:t xml:space="preserve">USD </w:t>
      </w:r>
      <w:r w:rsidRPr="00C56FED">
        <w:t>1,8 y 2 millones</w:t>
      </w:r>
      <w:r w:rsidR="00C84967">
        <w:t xml:space="preserve"> al año</w:t>
      </w:r>
      <w:r w:rsidR="00CF7615" w:rsidRPr="00BD58C5">
        <w:rPr>
          <w:rStyle w:val="FootnoteReference"/>
        </w:rPr>
        <w:footnoteReference w:id="10"/>
      </w:r>
      <w:r w:rsidR="00C84967">
        <w:t>.</w:t>
      </w:r>
    </w:p>
    <w:p w14:paraId="2B26DBB2" w14:textId="77777777" w:rsidR="00796406" w:rsidRPr="00C84967" w:rsidRDefault="00C84967" w:rsidP="00C03398">
      <w:pPr>
        <w:pStyle w:val="Heading1"/>
      </w:pPr>
      <w:r w:rsidRPr="00C84967">
        <w:t>Antes de considerar la posibilidad de apoyar la creación de un centro regional temático, se deberá garantizar la disponibilidad de cofinanciami</w:t>
      </w:r>
      <w:r>
        <w:t>ento</w:t>
      </w:r>
      <w:r w:rsidRPr="00C84967">
        <w:t xml:space="preserve"> por parte del gobierno o la entidad anfitriona, u otros países de la región y otras </w:t>
      </w:r>
      <w:r>
        <w:t>contra</w:t>
      </w:r>
      <w:r w:rsidRPr="00C84967">
        <w:t>partes</w:t>
      </w:r>
      <w:r>
        <w:t>, y dicho cofinanciamiento</w:t>
      </w:r>
      <w:r w:rsidRPr="00C84967">
        <w:t xml:space="preserve"> deberá tener un componente sólido. Se recomienda que el Fondo Multilateral contribuya has</w:t>
      </w:r>
      <w:r>
        <w:t xml:space="preserve">ta </w:t>
      </w:r>
      <w:r w:rsidRPr="00C84967">
        <w:t xml:space="preserve">un máximo del 30 % de los costos indicados en el párrafo 22 durante los tres primeros años y, posteriormente, </w:t>
      </w:r>
      <w:r>
        <w:t>hasta</w:t>
      </w:r>
      <w:r w:rsidRPr="00C84967">
        <w:t xml:space="preserve"> un máximo del 15 % durante el cuarto y quinto año. Tras este período, el centro regional temático debería ser autosufici</w:t>
      </w:r>
      <w:r>
        <w:t>ente y financiarse por sí mismo</w:t>
      </w:r>
      <w:r w:rsidR="00796406" w:rsidRPr="00C84967">
        <w:t>.</w:t>
      </w:r>
    </w:p>
    <w:p w14:paraId="0CC70F10" w14:textId="77777777" w:rsidR="00C56672" w:rsidRPr="00C03398" w:rsidRDefault="006328B7" w:rsidP="00190383">
      <w:pPr>
        <w:pStyle w:val="Heading1"/>
        <w:keepNext/>
        <w:keepLines/>
        <w:widowControl w:val="0"/>
        <w:numPr>
          <w:ilvl w:val="0"/>
          <w:numId w:val="0"/>
        </w:numPr>
        <w:rPr>
          <w:u w:val="single"/>
        </w:rPr>
      </w:pPr>
      <w:r>
        <w:rPr>
          <w:u w:val="single"/>
        </w:rPr>
        <w:lastRenderedPageBreak/>
        <w:t>Una opción a</w:t>
      </w:r>
      <w:r w:rsidR="00DA2356" w:rsidRPr="00C03398">
        <w:rPr>
          <w:u w:val="single"/>
        </w:rPr>
        <w:t>lternativ</w:t>
      </w:r>
      <w:r>
        <w:rPr>
          <w:u w:val="single"/>
        </w:rPr>
        <w:t>a</w:t>
      </w:r>
    </w:p>
    <w:p w14:paraId="4B9992A8" w14:textId="77777777" w:rsidR="00DA2356" w:rsidRPr="006328B7" w:rsidRDefault="006328B7" w:rsidP="00190383">
      <w:pPr>
        <w:pStyle w:val="Heading1"/>
        <w:keepNext/>
        <w:keepLines/>
        <w:widowControl w:val="0"/>
      </w:pPr>
      <w:r w:rsidRPr="006328B7">
        <w:t>Un programa regional temático, que podría ser acogido por una estructura regional establecida como alternativa al centro regional temático. Este modelo podría garantizar un inicio rápido y minimizar los costos de capital y operativos al aprovechar la estructura de gobierno existente y el funcionamiento establecido. El riesgo de este enfoque es garantizar que el proceso de toma de decisiones del programa no se vea afectado por los procesos del centro anfitrión y que los recursos del Fondo Multilateral se utilicen únicamente para los fines y actividades del programa regional temático. Los riesgos podrían minimizarse significativamente si la entidad anfitriona o de apoyo opera a través de un programa o actividad existente vinculad</w:t>
      </w:r>
      <w:r>
        <w:t>a al Protocolo de Montreal</w:t>
      </w:r>
      <w:r w:rsidR="00DA2356" w:rsidRPr="006328B7">
        <w:t>.</w:t>
      </w:r>
    </w:p>
    <w:p w14:paraId="5D9C198F" w14:textId="77777777" w:rsidR="0007159E" w:rsidRPr="006328B7" w:rsidRDefault="006328B7" w:rsidP="00A53321">
      <w:pPr>
        <w:rPr>
          <w:b/>
          <w:bCs/>
        </w:rPr>
      </w:pPr>
      <w:r w:rsidRPr="006328B7">
        <w:rPr>
          <w:b/>
          <w:bCs/>
        </w:rPr>
        <w:t xml:space="preserve">Evaluación de la posible duplicación de actividades financiadas en el marco de los </w:t>
      </w:r>
      <w:r>
        <w:rPr>
          <w:b/>
          <w:bCs/>
        </w:rPr>
        <w:t>PGEH</w:t>
      </w:r>
      <w:r w:rsidRPr="006328B7">
        <w:rPr>
          <w:b/>
          <w:bCs/>
        </w:rPr>
        <w:t xml:space="preserve"> y los </w:t>
      </w:r>
      <w:r>
        <w:rPr>
          <w:b/>
          <w:bCs/>
        </w:rPr>
        <w:t>PAK</w:t>
      </w:r>
      <w:r w:rsidRPr="006328B7">
        <w:rPr>
          <w:b/>
          <w:bCs/>
        </w:rPr>
        <w:t>, así como de las activi</w:t>
      </w:r>
      <w:r>
        <w:rPr>
          <w:b/>
          <w:bCs/>
        </w:rPr>
        <w:t xml:space="preserve">dades de los centros existentes </w:t>
      </w:r>
    </w:p>
    <w:p w14:paraId="488D7DAE" w14:textId="77777777" w:rsidR="0007159E" w:rsidRPr="006328B7" w:rsidRDefault="0007159E" w:rsidP="00A53321"/>
    <w:p w14:paraId="771B6A47" w14:textId="77777777" w:rsidR="0007159E" w:rsidRPr="00465051" w:rsidRDefault="006328B7" w:rsidP="009D6709">
      <w:pPr>
        <w:pStyle w:val="Heading1"/>
      </w:pPr>
      <w:r w:rsidRPr="006328B7">
        <w:t>Las actividades del proyecto que se llevarán a cabo en los centros regionales temáticos respaldarán las actividades de los PA</w:t>
      </w:r>
      <w:r>
        <w:t>K</w:t>
      </w:r>
      <w:r w:rsidRPr="006328B7">
        <w:t xml:space="preserve"> en curso y, por lo tanto, serán complementarias a dichas actividades. Por ejemplo, los centros, gracias a su </w:t>
      </w:r>
      <w:r w:rsidR="00465051">
        <w:t>especialización</w:t>
      </w:r>
      <w:r w:rsidRPr="006328B7">
        <w:t xml:space="preserve">, podrían prestar servicios relacionados </w:t>
      </w:r>
      <w:r w:rsidR="00465051" w:rsidRPr="00465051">
        <w:t xml:space="preserve">con la evaluación de la tecnología y la preparación del mercado </w:t>
      </w:r>
      <w:r w:rsidRPr="006328B7">
        <w:t xml:space="preserve">de sectores en rápido crecimiento, como los centros de datos, o elaborar un estudio y proponer un modelo de programa regional de certificación o reconocimiento de certificados para técnicos que refuerce la movilidad de la mano de obra </w:t>
      </w:r>
      <w:r w:rsidR="00465051">
        <w:t>capacitada</w:t>
      </w:r>
      <w:r w:rsidRPr="006328B7">
        <w:t xml:space="preserve"> y </w:t>
      </w:r>
      <w:r w:rsidR="00AD1106">
        <w:t>acredita</w:t>
      </w:r>
      <w:r w:rsidRPr="006328B7">
        <w:t xml:space="preserve">da en el ámbito de </w:t>
      </w:r>
      <w:r w:rsidR="00465051" w:rsidRPr="00465051">
        <w:t>refrigeración, climatización y bomba</w:t>
      </w:r>
      <w:r w:rsidR="00465051">
        <w:t>s</w:t>
      </w:r>
      <w:r w:rsidR="00465051" w:rsidRPr="00465051">
        <w:t xml:space="preserve"> de calor</w:t>
      </w:r>
      <w:r w:rsidRPr="006328B7">
        <w:t>.</w:t>
      </w:r>
    </w:p>
    <w:p w14:paraId="71C91F79" w14:textId="77777777" w:rsidR="005E7D37" w:rsidRPr="00DB161D" w:rsidRDefault="00AD1106" w:rsidP="009D6709">
      <w:pPr>
        <w:pStyle w:val="Heading1"/>
      </w:pPr>
      <w:r w:rsidRPr="00AD1106">
        <w:t>En el caso de los centros de excelencia existentes en el marco de los planes de gestión para la eliminación de HCFC (PGEH) y los PA</w:t>
      </w:r>
      <w:r>
        <w:t>K</w:t>
      </w:r>
      <w:r w:rsidRPr="00AD1106">
        <w:t xml:space="preserve">, los servicios que se ofrecen </w:t>
      </w:r>
      <w:r>
        <w:t xml:space="preserve">están relacionados </w:t>
      </w:r>
      <w:r w:rsidRPr="00AD1106">
        <w:t xml:space="preserve">principalmente </w:t>
      </w:r>
      <w:r>
        <w:t xml:space="preserve">con la capacitación </w:t>
      </w:r>
      <w:r w:rsidRPr="00AD1106">
        <w:t xml:space="preserve">y el </w:t>
      </w:r>
      <w:r>
        <w:t>fortalecimiento</w:t>
      </w:r>
      <w:r w:rsidRPr="00AD1106">
        <w:t xml:space="preserve"> de capacidades en el sector de </w:t>
      </w:r>
      <w:r>
        <w:t>servicio técnico</w:t>
      </w:r>
      <w:r w:rsidRPr="00AD1106">
        <w:t xml:space="preserve"> a nivel nacional (por ejemplo, </w:t>
      </w:r>
      <w:r>
        <w:t>capacitación</w:t>
      </w:r>
      <w:r w:rsidRPr="00AD1106">
        <w:t xml:space="preserve"> sobre equipos de refrigeración que utilizan refrigerantes inflamables, </w:t>
      </w:r>
      <w:r>
        <w:t xml:space="preserve">capacitación </w:t>
      </w:r>
      <w:r w:rsidRPr="00AD1106">
        <w:t xml:space="preserve">sobre recuperación y regeneración). </w:t>
      </w:r>
      <w:r w:rsidRPr="00DB161D">
        <w:t xml:space="preserve">Los centros regionales temáticos pueden proporcionar, según sea necesario, aportaciones técnicas sobre tecnologías emergentes, fortalecer la colaboración con la industria y prestar otros servicios relacionados con la capacitación (por ejemplo, actualización de materiales de capacitación, </w:t>
      </w:r>
      <w:r w:rsidR="00DB161D" w:rsidRPr="00DB161D">
        <w:t>ca</w:t>
      </w:r>
      <w:r w:rsidR="00DB161D">
        <w:t>pacitación de instructores</w:t>
      </w:r>
      <w:r w:rsidRPr="00DB161D">
        <w:t xml:space="preserve">, desarrollo de </w:t>
      </w:r>
      <w:r w:rsidR="00DB161D">
        <w:t xml:space="preserve">PAK </w:t>
      </w:r>
      <w:r w:rsidRPr="00DB161D">
        <w:t xml:space="preserve">para etapas futuras) a los centros establecidos en el marco de los </w:t>
      </w:r>
      <w:r w:rsidR="00DB161D">
        <w:t>PGEH</w:t>
      </w:r>
      <w:r w:rsidRPr="00DB161D">
        <w:t xml:space="preserve"> y los </w:t>
      </w:r>
      <w:r w:rsidR="00DB161D">
        <w:t>PAK</w:t>
      </w:r>
      <w:r w:rsidRPr="00DB161D">
        <w:t xml:space="preserve">. Estos centros regionales temáticos tendrían conocimientos y experiencia sobre los </w:t>
      </w:r>
      <w:r w:rsidR="00DB161D">
        <w:t>problemas</w:t>
      </w:r>
      <w:r w:rsidRPr="00DB161D">
        <w:t xml:space="preserve"> locales y establecerían vínculos y redes con las principales </w:t>
      </w:r>
      <w:r w:rsidR="00DB161D" w:rsidRPr="00DB161D">
        <w:t>co</w:t>
      </w:r>
      <w:r w:rsidR="00DB161D">
        <w:t>ntra</w:t>
      </w:r>
      <w:r w:rsidRPr="00DB161D">
        <w:t xml:space="preserve">partes nacionales. Podrían proporcionar una forma rápida y eficaz de ofrecer diferentes servicios de forma continua para diferentes actividades, incluida la </w:t>
      </w:r>
      <w:r w:rsidR="00DB161D" w:rsidRPr="00DB161D">
        <w:t>ej</w:t>
      </w:r>
      <w:r w:rsidR="00DB161D">
        <w:t>ecución de</w:t>
      </w:r>
      <w:r w:rsidRPr="00DB161D">
        <w:t xml:space="preserve"> los </w:t>
      </w:r>
      <w:r w:rsidR="00DB161D">
        <w:t>PAK</w:t>
      </w:r>
      <w:r w:rsidRPr="00DB161D">
        <w:t>. Esto daría lugar a un apoyo rentable y ayudaría a movilizar recurs</w:t>
      </w:r>
      <w:r w:rsidR="00DB161D">
        <w:t>os fuera del Fondo Multilateral</w:t>
      </w:r>
      <w:r w:rsidR="00EE1207" w:rsidRPr="00DB161D">
        <w:t>.</w:t>
      </w:r>
    </w:p>
    <w:p w14:paraId="4BC9648F" w14:textId="77777777" w:rsidR="0007159E" w:rsidRPr="00F10BF9" w:rsidRDefault="00F10BF9" w:rsidP="00A53321">
      <w:pPr>
        <w:rPr>
          <w:b/>
          <w:bCs/>
        </w:rPr>
      </w:pPr>
      <w:r w:rsidRPr="00F10BF9">
        <w:rPr>
          <w:b/>
        </w:rPr>
        <w:t xml:space="preserve">Apoyo preparatorio </w:t>
      </w:r>
      <w:r>
        <w:rPr>
          <w:b/>
        </w:rPr>
        <w:t>a</w:t>
      </w:r>
      <w:r w:rsidRPr="00F10BF9">
        <w:rPr>
          <w:b/>
        </w:rPr>
        <w:t xml:space="preserve"> los centros regionales temáticos </w:t>
      </w:r>
      <w:r>
        <w:rPr>
          <w:b/>
        </w:rPr>
        <w:t>para la</w:t>
      </w:r>
      <w:r w:rsidRPr="00F10BF9">
        <w:rPr>
          <w:b/>
        </w:rPr>
        <w:t xml:space="preserve"> refrigeración sostenible</w:t>
      </w:r>
      <w:r>
        <w:rPr>
          <w:b/>
        </w:rPr>
        <w:t xml:space="preserve"> </w:t>
      </w:r>
    </w:p>
    <w:p w14:paraId="0823A8AE" w14:textId="77777777" w:rsidR="005E7D37" w:rsidRPr="00F10BF9" w:rsidRDefault="005E7D37" w:rsidP="00A53321"/>
    <w:p w14:paraId="5B0ACFCF" w14:textId="77777777" w:rsidR="00D032DD" w:rsidRPr="00F10BF9" w:rsidRDefault="00F10BF9" w:rsidP="009D6709">
      <w:pPr>
        <w:pStyle w:val="Heading1"/>
      </w:pPr>
      <w:r w:rsidRPr="00F10BF9">
        <w:t>Las propuestas detalladas de proyectos para la creación de centros o programas regionales temáticos deberán prepararse teniendo en cuenta las funciones específicas de los centros que se indican en los párrafos 11 y 12 y las directrices que se presentan en los párrafos 13 a 24.</w:t>
      </w:r>
    </w:p>
    <w:p w14:paraId="48D325AB" w14:textId="77777777" w:rsidR="002313A2" w:rsidRPr="00F10BF9" w:rsidRDefault="00F10BF9" w:rsidP="009D6709">
      <w:pPr>
        <w:pStyle w:val="Heading1"/>
      </w:pPr>
      <w:r w:rsidRPr="00F10BF9">
        <w:t>La Secretaría recomienda financiar un número limitado de solicitudes para la preparación de proyectos a fin de que los organismos puedan elaborar propuestas que aborden todas las cuestiones planteadas en los párrafos 11 a 24, incluida la información sobre el enfoque temático del centro regional propuesto, el modelo de cofinanciami</w:t>
      </w:r>
      <w:r>
        <w:t>ento</w:t>
      </w:r>
      <w:r w:rsidRPr="00F10BF9">
        <w:t xml:space="preserve"> que generará fondos para abordar la refrigeración sostenible en el marco del enfoque temático, y todos los elementos relativos al alcance de los servicios, el modelo operativo, la estructura de gobernanza, el nivel de financia</w:t>
      </w:r>
      <w:r>
        <w:t>miento</w:t>
      </w:r>
      <w:r w:rsidRPr="00F10BF9">
        <w:t xml:space="preserve"> necesario y la viabilidad de las oportunidades de cofinancia</w:t>
      </w:r>
      <w:r>
        <w:t>miento</w:t>
      </w:r>
      <w:r w:rsidRPr="00F10BF9">
        <w:t>. El Comité Ejecutivo podría considerar un</w:t>
      </w:r>
      <w:r>
        <w:t xml:space="preserve"> financiamiento</w:t>
      </w:r>
      <w:r w:rsidRPr="00F10BF9">
        <w:t xml:space="preserve"> preparatori</w:t>
      </w:r>
      <w:r>
        <w:t>o</w:t>
      </w:r>
      <w:r w:rsidRPr="00F10BF9">
        <w:t xml:space="preserve"> de US</w:t>
      </w:r>
      <w:r>
        <w:t xml:space="preserve">D </w:t>
      </w:r>
      <w:r w:rsidRPr="00F10BF9">
        <w:t>50</w:t>
      </w:r>
      <w:r>
        <w:t>.</w:t>
      </w:r>
      <w:r w:rsidRPr="00F10BF9">
        <w:t xml:space="preserve">000 para cada solicitud de </w:t>
      </w:r>
      <w:r>
        <w:t>preparación de proyectos</w:t>
      </w:r>
      <w:r w:rsidRPr="00F10BF9">
        <w:t>. Los</w:t>
      </w:r>
      <w:r>
        <w:t xml:space="preserve"> fondos podrían proporcionarse con arreglo a</w:t>
      </w:r>
      <w:r w:rsidRPr="00F10BF9">
        <w:t xml:space="preserve"> la ventana de financia</w:t>
      </w:r>
      <w:r>
        <w:t>miento</w:t>
      </w:r>
      <w:r w:rsidRPr="00F10BF9">
        <w:t xml:space="preserve"> existente de la decisión 91/65.</w:t>
      </w:r>
    </w:p>
    <w:p w14:paraId="6758F96B" w14:textId="77777777" w:rsidR="000A2AA9" w:rsidRPr="000A2AA9" w:rsidRDefault="000A2AA9" w:rsidP="002D1A47">
      <w:pPr>
        <w:keepNext/>
        <w:keepLines/>
        <w:widowControl w:val="0"/>
        <w:spacing w:after="240"/>
        <w:jc w:val="left"/>
        <w:rPr>
          <w:rFonts w:asciiTheme="majorBidi" w:hAnsiTheme="majorBidi" w:cstheme="majorBidi"/>
          <w:b/>
          <w:bCs/>
          <w:lang w:eastAsia="en-CA" w:bidi="th-TH"/>
        </w:rPr>
      </w:pPr>
      <w:r w:rsidRPr="000A2AA9">
        <w:rPr>
          <w:rFonts w:asciiTheme="majorBidi" w:hAnsiTheme="majorBidi" w:cstheme="majorBidi"/>
          <w:b/>
          <w:bCs/>
          <w:lang w:eastAsia="en-CA" w:bidi="th-TH"/>
        </w:rPr>
        <w:lastRenderedPageBreak/>
        <w:t>Recomenda</w:t>
      </w:r>
      <w:r w:rsidR="00F10BF9">
        <w:rPr>
          <w:rFonts w:asciiTheme="majorBidi" w:hAnsiTheme="majorBidi" w:cstheme="majorBidi"/>
          <w:b/>
          <w:bCs/>
          <w:lang w:eastAsia="en-CA" w:bidi="th-TH"/>
        </w:rPr>
        <w:t>ción</w:t>
      </w:r>
    </w:p>
    <w:p w14:paraId="5B657814" w14:textId="77777777" w:rsidR="000A2AA9" w:rsidRPr="003B5645" w:rsidRDefault="003B5645" w:rsidP="002D1A47">
      <w:pPr>
        <w:pStyle w:val="Heading1"/>
        <w:keepNext/>
        <w:keepLines/>
        <w:widowControl w:val="0"/>
      </w:pPr>
      <w:r w:rsidRPr="003B5645">
        <w:t>El Comité Ejecutivo podrá estimar oportuno</w:t>
      </w:r>
      <w:r w:rsidR="000A2AA9" w:rsidRPr="003B5645">
        <w:t>:</w:t>
      </w:r>
    </w:p>
    <w:p w14:paraId="5EBC7AEB" w14:textId="77777777" w:rsidR="000A2AA9" w:rsidRPr="003B5645" w:rsidRDefault="002F5DE6" w:rsidP="00A53321">
      <w:pPr>
        <w:pStyle w:val="Heading2"/>
      </w:pPr>
      <w:r w:rsidRPr="003B5645">
        <w:t>Tom</w:t>
      </w:r>
      <w:r>
        <w:t>ar</w:t>
      </w:r>
      <w:r w:rsidR="003B5645" w:rsidRPr="003B5645">
        <w:t xml:space="preserve"> nota de la información proporcionada en el documento UNEP/OzL.Pro/ExCom/97/85 relativa a la actualización sobre la </w:t>
      </w:r>
      <w:r w:rsidR="003B5645">
        <w:t xml:space="preserve">entrada en operaciones de centros </w:t>
      </w:r>
      <w:r w:rsidR="003B5645" w:rsidRPr="003B5645">
        <w:t>de excelencia para la refrigeración sostenible (decisión 95/87</w:t>
      </w:r>
      <w:r w:rsidR="003B5645">
        <w:t xml:space="preserve"> </w:t>
      </w:r>
      <w:r w:rsidR="003B5645" w:rsidRPr="003B5645">
        <w:t>e));</w:t>
      </w:r>
    </w:p>
    <w:p w14:paraId="7FC47989" w14:textId="77777777" w:rsidR="000A2AA9" w:rsidRPr="003B5645" w:rsidRDefault="003B5645" w:rsidP="00B37482">
      <w:pPr>
        <w:pStyle w:val="Heading2"/>
        <w:keepLines/>
      </w:pPr>
      <w:r w:rsidRPr="003B5645">
        <w:t xml:space="preserve">Considerar la posibilidad de proporcionar financiación para la preparación de [3] propuestas de proyectos para el desarrollo de centros o programas regionales temáticos, por un </w:t>
      </w:r>
      <w:r>
        <w:t>monto</w:t>
      </w:r>
      <w:r w:rsidRPr="003B5645">
        <w:t xml:space="preserve"> de </w:t>
      </w:r>
      <w:r>
        <w:t xml:space="preserve">USD </w:t>
      </w:r>
      <w:r w:rsidRPr="003B5645">
        <w:t>[50.000] cada una, de conformidad con las funciones y directrices que figuran en los párrafos 11 a 24 del documento UNEP/OzL.Pro/ExCom/97/85, en el entendimiento de que las solicitudes de financiación preparatoria se presentarían a más tardar en la 99ª reunión y que las propuestas completas se presentarían antes de la 101ª reunión del Comité Ejecutivo, momento en el que el Comité Ejecutivo consideraría si cofinanciar o no cualquiera de las propuestas presentadas, tal como se describe en el párrafo 23 del documento UNEP/OzL.Pro/ExCom/97/85; y</w:t>
      </w:r>
      <w:r>
        <w:t xml:space="preserve"> </w:t>
      </w:r>
      <w:r w:rsidRPr="003B5645">
        <w:t xml:space="preserve"> </w:t>
      </w:r>
    </w:p>
    <w:p w14:paraId="2F7779C0" w14:textId="77777777" w:rsidR="00B37482" w:rsidRDefault="003B5645" w:rsidP="00E044E3">
      <w:pPr>
        <w:pStyle w:val="Heading2"/>
      </w:pPr>
      <w:r w:rsidRPr="003B5645">
        <w:t xml:space="preserve">Solicitar al Programa de Asistencia </w:t>
      </w:r>
      <w:r w:rsidR="00201E28">
        <w:t>a</w:t>
      </w:r>
      <w:r w:rsidRPr="003B5645">
        <w:t xml:space="preserve">l Cumplimiento del PNUMA, a través de sus redes de </w:t>
      </w:r>
      <w:r w:rsidR="00201E28">
        <w:t>oficinas</w:t>
      </w:r>
      <w:r w:rsidRPr="003B5645">
        <w:t xml:space="preserve"> nacionales del ozono y el proyecto de </w:t>
      </w:r>
      <w:r w:rsidR="00201E28">
        <w:t>articulación</w:t>
      </w:r>
      <w:r w:rsidRPr="003B5645">
        <w:t xml:space="preserve"> en materia de eficiencia energética, que facilite a todos los organismos, si fuera necesario, el proceso de consulta regional o subregional durante la preparación de los proyectos.</w:t>
      </w:r>
    </w:p>
    <w:p w14:paraId="158693B1" w14:textId="77777777" w:rsidR="003C4FD9" w:rsidRPr="003C4FD9" w:rsidRDefault="003C4FD9" w:rsidP="003C4FD9">
      <w:pPr>
        <w:sectPr w:rsidR="003C4FD9" w:rsidRPr="003C4FD9" w:rsidSect="00B37482">
          <w:headerReference w:type="even" r:id="rId16"/>
          <w:headerReference w:type="default" r:id="rId17"/>
          <w:footerReference w:type="even" r:id="rId18"/>
          <w:footerReference w:type="default" r:id="rId19"/>
          <w:footerReference w:type="first" r:id="rId20"/>
          <w:footnotePr>
            <w:numRestart w:val="eachSect"/>
          </w:footnotePr>
          <w:type w:val="continuous"/>
          <w:pgSz w:w="12240" w:h="15840" w:code="1"/>
          <w:pgMar w:top="720" w:right="1350" w:bottom="864" w:left="1440" w:header="720" w:footer="475" w:gutter="0"/>
          <w:pgNumType w:start="1"/>
          <w:cols w:space="720"/>
          <w:titlePg/>
        </w:sectPr>
      </w:pPr>
    </w:p>
    <w:p w14:paraId="66DCB814" w14:textId="77777777" w:rsidR="00933E4D" w:rsidRPr="003C4FD9" w:rsidRDefault="005848EB" w:rsidP="004C0D04">
      <w:pPr>
        <w:keepNext/>
        <w:spacing w:after="240"/>
        <w:jc w:val="center"/>
        <w:rPr>
          <w:b/>
        </w:rPr>
      </w:pPr>
      <w:r w:rsidRPr="003C4FD9">
        <w:rPr>
          <w:b/>
        </w:rPr>
        <w:lastRenderedPageBreak/>
        <w:t>An</w:t>
      </w:r>
      <w:r w:rsidR="003C4FD9" w:rsidRPr="003C4FD9">
        <w:rPr>
          <w:b/>
        </w:rPr>
        <w:t>exo</w:t>
      </w:r>
      <w:r w:rsidRPr="003C4FD9">
        <w:rPr>
          <w:b/>
        </w:rPr>
        <w:t xml:space="preserve"> I</w:t>
      </w:r>
    </w:p>
    <w:p w14:paraId="3C8EBBBF" w14:textId="77777777" w:rsidR="005848EB" w:rsidRPr="003C4FD9" w:rsidRDefault="003C4FD9" w:rsidP="00190383">
      <w:pPr>
        <w:keepNext/>
        <w:spacing w:after="240"/>
        <w:jc w:val="center"/>
        <w:rPr>
          <w:b/>
        </w:rPr>
      </w:pPr>
      <w:r w:rsidRPr="003C4FD9">
        <w:rPr>
          <w:b/>
        </w:rPr>
        <w:t xml:space="preserve">CENTROS O MECANISMOS EXISTENTES RELEVANTES QUE APOYAN LA REFRIGERACIÓN SOSTENIBLE </w:t>
      </w:r>
    </w:p>
    <w:p w14:paraId="4AC5581E" w14:textId="77777777" w:rsidR="005848EB" w:rsidRPr="003C4FD9" w:rsidRDefault="003C4FD9" w:rsidP="00B37482">
      <w:pPr>
        <w:pStyle w:val="Heading1"/>
        <w:numPr>
          <w:ilvl w:val="0"/>
          <w:numId w:val="38"/>
        </w:numPr>
      </w:pPr>
      <w:r w:rsidRPr="003C4FD9">
        <w:t xml:space="preserve">Existen numerosas iniciativas y programas que apoyan directa o indirectamente la refrigeración sostenible. Estos programas varían en cuanto a su gobernanza, estructura institucional, tipo de servicio, cobertura sectorial o </w:t>
      </w:r>
      <w:r>
        <w:t>regional y modelos operativos</w:t>
      </w:r>
      <w:r w:rsidR="00B37482">
        <w:rPr>
          <w:rStyle w:val="FootnoteReference"/>
        </w:rPr>
        <w:footnoteReference w:id="11"/>
      </w:r>
      <w:r>
        <w:t xml:space="preserve">. </w:t>
      </w:r>
      <w:r w:rsidRPr="003C4FD9">
        <w:t xml:space="preserve">Los centros pueden estar centrados </w:t>
      </w:r>
      <w:r>
        <w:t>en la refrigeración o no</w:t>
      </w:r>
      <w:r w:rsidR="005848EB" w:rsidRPr="003C4FD9">
        <w:t>.</w:t>
      </w:r>
    </w:p>
    <w:p w14:paraId="0FD2468D" w14:textId="77777777" w:rsidR="005848EB" w:rsidRPr="003C4FD9" w:rsidRDefault="003C4FD9" w:rsidP="00A53321">
      <w:pPr>
        <w:keepNext/>
        <w:keepLines/>
        <w:widowControl w:val="0"/>
        <w:spacing w:after="240"/>
        <w:jc w:val="left"/>
        <w:rPr>
          <w:rFonts w:asciiTheme="majorBidi" w:hAnsiTheme="majorBidi" w:cstheme="majorBidi"/>
          <w:u w:val="single"/>
          <w:lang w:eastAsia="en-CA" w:bidi="th-TH"/>
        </w:rPr>
      </w:pPr>
      <w:r w:rsidRPr="003C4FD9">
        <w:rPr>
          <w:rFonts w:asciiTheme="majorBidi" w:hAnsiTheme="majorBidi" w:cstheme="majorBidi"/>
          <w:u w:val="single"/>
          <w:lang w:eastAsia="en-CA" w:bidi="th-TH"/>
        </w:rPr>
        <w:t>Centros o mecanismos centrados en la refrigeración</w:t>
      </w:r>
    </w:p>
    <w:p w14:paraId="10E945EC" w14:textId="77777777" w:rsidR="005848EB" w:rsidRPr="003C4FD9" w:rsidRDefault="003C4FD9" w:rsidP="00A53321">
      <w:pPr>
        <w:pStyle w:val="Heading1"/>
      </w:pPr>
      <w:r w:rsidRPr="003C4FD9">
        <w:t xml:space="preserve">Esta categoría incluye centros, programas o iniciativas creados con un mandato y un alcance específicos para apoyar a uno o varios segmentos del sector de la refrigeración, ya sea mediante intervenciones políticas o técnicas. Un ejemplo de centro de excelencia independiente es el </w:t>
      </w:r>
      <w:r w:rsidRPr="003C281C">
        <w:t xml:space="preserve">Centro </w:t>
      </w:r>
      <w:r>
        <w:t xml:space="preserve">Africano de </w:t>
      </w:r>
      <w:r w:rsidRPr="004E3B01">
        <w:t>Excelencia</w:t>
      </w:r>
      <w:r>
        <w:t xml:space="preserve"> para el Enfriamiento y Cadena de Frío Sostenibles</w:t>
      </w:r>
      <w:r w:rsidRPr="004E3B01">
        <w:t xml:space="preserve"> (ACES</w:t>
      </w:r>
      <w:r w:rsidRPr="003C4FD9">
        <w:t>), cuyo mandato se centra en soluciones sostenibles para la cadena de frío y ofrece una amplia g</w:t>
      </w:r>
      <w:r>
        <w:t>ama de servicios y programas de fortalecimiento</w:t>
      </w:r>
      <w:r w:rsidRPr="003C4FD9">
        <w:t xml:space="preserve"> de capacidades.</w:t>
      </w:r>
    </w:p>
    <w:p w14:paraId="602C3923" w14:textId="77777777" w:rsidR="00B7541F" w:rsidRPr="00493A32" w:rsidRDefault="00493A32" w:rsidP="00A53321">
      <w:pPr>
        <w:pStyle w:val="Heading1"/>
      </w:pPr>
      <w:r w:rsidRPr="00E76A96">
        <w:t xml:space="preserve">El </w:t>
      </w:r>
      <w:r>
        <w:t xml:space="preserve">Laboratorio Nacional </w:t>
      </w:r>
      <w:r w:rsidRPr="00493A32">
        <w:t xml:space="preserve">Lawrence Berkeley </w:t>
      </w:r>
      <w:r>
        <w:t>(</w:t>
      </w:r>
      <w:r w:rsidRPr="00E76A96">
        <w:t>LBNL</w:t>
      </w:r>
      <w:r>
        <w:t>)</w:t>
      </w:r>
      <w:r w:rsidRPr="00E76A96">
        <w:t xml:space="preserve"> es reconocido como un centro de excelencia líder en la mejora de la eficiencia energética, incluyendo la investigación y el desarrollo en tecnologías de refrigeración y </w:t>
      </w:r>
      <w:r>
        <w:t xml:space="preserve">climatización </w:t>
      </w:r>
      <w:r w:rsidRPr="00493A32">
        <w:t xml:space="preserve">y la realización de pruebas de rendimiento de equipos de refrigeración y </w:t>
      </w:r>
      <w:r>
        <w:t>climatización</w:t>
      </w:r>
      <w:r w:rsidRPr="00493A32">
        <w:t xml:space="preserve">. El LBNL goza de una sólida reputación por promover soluciones energéticas sostenibles e innovación en estos campos, respaldadas por su amplia experiencia y colaboraciones con la industria y </w:t>
      </w:r>
      <w:r>
        <w:t>organismos</w:t>
      </w:r>
      <w:r w:rsidRPr="00493A32">
        <w:t xml:space="preserve"> gubernamentales</w:t>
      </w:r>
      <w:r w:rsidR="00EA300B" w:rsidRPr="00493A32">
        <w:t>.</w:t>
      </w:r>
    </w:p>
    <w:p w14:paraId="1B98DBB8" w14:textId="77777777" w:rsidR="005848EB" w:rsidRPr="002F5DE6" w:rsidRDefault="00493A32" w:rsidP="00A53321">
      <w:pPr>
        <w:pStyle w:val="Heading1"/>
      </w:pPr>
      <w:r w:rsidRPr="002F5DE6">
        <w:t xml:space="preserve">Otros programas dedicados a la refrigeración que no son centros varían en cuanto a su estructura de gobernanza, misión y tipo de servicios. Abarcan diversas funciones, como la promoción y el asesoramiento en materia de políticas, la transferencia de tecnología, el fortalecimiento de capacidades, los modelos financieros y empresariales, las aplicaciones ecoenergéticas, la recopilación de datos, los estudios de mercado y los programas de divulgación. Entre los ejemplos de este grupo se incluyen Cool Coalition (CC), Green Cooling Initiative (GIZ), Clean Cooling Collaborative (CCC) y </w:t>
      </w:r>
      <w:r w:rsidR="00532885" w:rsidRPr="002F5DE6">
        <w:t xml:space="preserve">el Consejo Mundial de la Cadena de Frío Alimentaria </w:t>
      </w:r>
      <w:r w:rsidRPr="002F5DE6">
        <w:t>(GFCCC), entre otros</w:t>
      </w:r>
      <w:r w:rsidR="005848EB" w:rsidRPr="002F5DE6">
        <w:t>.</w:t>
      </w:r>
    </w:p>
    <w:p w14:paraId="5231D9D0" w14:textId="77777777" w:rsidR="005848EB" w:rsidRPr="00493A32" w:rsidRDefault="00493A32" w:rsidP="00A53321">
      <w:pPr>
        <w:spacing w:after="240"/>
        <w:jc w:val="left"/>
        <w:rPr>
          <w:rFonts w:asciiTheme="majorBidi" w:hAnsiTheme="majorBidi" w:cstheme="majorBidi"/>
          <w:u w:val="single"/>
          <w:lang w:eastAsia="en-CA" w:bidi="th-TH"/>
        </w:rPr>
      </w:pPr>
      <w:r w:rsidRPr="00493A32">
        <w:rPr>
          <w:rFonts w:asciiTheme="majorBidi" w:hAnsiTheme="majorBidi" w:cstheme="majorBidi"/>
          <w:u w:val="single"/>
          <w:lang w:eastAsia="en-CA" w:bidi="th-TH"/>
        </w:rPr>
        <w:t>Centros o mecanismos no centrados en la refrigeración, pero relacionados con ella</w:t>
      </w:r>
    </w:p>
    <w:p w14:paraId="5D7DF4B3" w14:textId="77777777" w:rsidR="005848EB" w:rsidRPr="00532885" w:rsidRDefault="00493A32" w:rsidP="00A53321">
      <w:pPr>
        <w:pStyle w:val="Heading1"/>
      </w:pPr>
      <w:r w:rsidRPr="00493A32">
        <w:t>Esta categoría incluye centros o programas creados para apoyar mandatos diferentes o más amplios, como la energía o los edificios en general, pero que también pueden ofrecer servicios centrados en la refrigeración sostenible como parte de su misión. Los centros regionales de energía sostenible son el modelo más reconocido. Se establecen como centros bajo los auspicios de un organismo intergubernamental regional y con el apoyo de los consejos ministeriales regionales de energía de las comunidades económicas regionales. Actualmente hay 11 centros de este tipo en funcionamiento en África, Asia y el Pacífico, y América Latina. Estos centros cuentan con el apoyo de una plataforma mundial, auspiciada por la ONUDI, y forman parte de la Red Mundial de Centros Regionales de Energía Sostenible (GN-SEC).</w:t>
      </w:r>
    </w:p>
    <w:p w14:paraId="442165B2" w14:textId="77777777" w:rsidR="005848EB" w:rsidRDefault="00532885" w:rsidP="00A53321">
      <w:pPr>
        <w:pStyle w:val="Heading1"/>
      </w:pPr>
      <w:r w:rsidRPr="00532885">
        <w:t xml:space="preserve">Otros programas o iniciativas con un alcance más amplio, pero que prestan servicios que contribuyen a la refrigeración sostenible y/o están vinculados al Protocolo de Montreal y sus </w:t>
      </w:r>
      <w:r>
        <w:t>metas</w:t>
      </w:r>
      <w:r w:rsidRPr="00532885">
        <w:t xml:space="preserve"> de la Enmienda de Kigali, incluyen grupos como Energía Sostenible para Todos (SEforALL), Unidos </w:t>
      </w:r>
      <w:r>
        <w:t>por la Eficiencia (U4E) y otros</w:t>
      </w:r>
      <w:r w:rsidR="005848EB" w:rsidRPr="0053288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1851"/>
        <w:gridCol w:w="1851"/>
        <w:gridCol w:w="1851"/>
        <w:gridCol w:w="1852"/>
      </w:tblGrid>
      <w:tr w:rsidR="00435DBC" w14:paraId="0A53FBF2" w14:textId="77777777" w:rsidTr="00021526">
        <w:trPr>
          <w:trHeight w:val="94"/>
        </w:trPr>
        <w:tc>
          <w:tcPr>
            <w:tcW w:w="1850" w:type="dxa"/>
          </w:tcPr>
          <w:p w14:paraId="1E82A657" w14:textId="77777777" w:rsidR="00435DBC" w:rsidRPr="002D1A47" w:rsidRDefault="00435DBC" w:rsidP="00B9705A">
            <w:pPr>
              <w:rPr>
                <w:lang w:val="fr-FR"/>
              </w:rPr>
            </w:pPr>
          </w:p>
        </w:tc>
        <w:tc>
          <w:tcPr>
            <w:tcW w:w="1851" w:type="dxa"/>
          </w:tcPr>
          <w:p w14:paraId="153425E9" w14:textId="77777777" w:rsidR="00435DBC" w:rsidRPr="002D1A47" w:rsidRDefault="00435DBC" w:rsidP="00B9705A">
            <w:pPr>
              <w:rPr>
                <w:lang w:val="fr-FR"/>
              </w:rPr>
            </w:pPr>
          </w:p>
        </w:tc>
        <w:tc>
          <w:tcPr>
            <w:tcW w:w="1851" w:type="dxa"/>
            <w:tcBorders>
              <w:bottom w:val="single" w:sz="4" w:space="0" w:color="auto"/>
            </w:tcBorders>
          </w:tcPr>
          <w:p w14:paraId="0C9F0801" w14:textId="77777777" w:rsidR="00435DBC" w:rsidRPr="002D1A47" w:rsidRDefault="00435DBC" w:rsidP="00B9705A">
            <w:pPr>
              <w:rPr>
                <w:b/>
                <w:bCs/>
                <w:lang w:val="fr-FR"/>
              </w:rPr>
            </w:pPr>
          </w:p>
        </w:tc>
        <w:tc>
          <w:tcPr>
            <w:tcW w:w="1851" w:type="dxa"/>
          </w:tcPr>
          <w:p w14:paraId="4C02D638" w14:textId="77777777" w:rsidR="00435DBC" w:rsidRPr="002D1A47" w:rsidRDefault="00435DBC" w:rsidP="00B9705A">
            <w:pPr>
              <w:rPr>
                <w:lang w:val="fr-FR"/>
              </w:rPr>
            </w:pPr>
          </w:p>
        </w:tc>
        <w:tc>
          <w:tcPr>
            <w:tcW w:w="1852" w:type="dxa"/>
          </w:tcPr>
          <w:p w14:paraId="23E1039A" w14:textId="77777777" w:rsidR="00435DBC" w:rsidRPr="002D1A47" w:rsidRDefault="00435DBC" w:rsidP="00B9705A">
            <w:pPr>
              <w:rPr>
                <w:lang w:val="fr-FR"/>
              </w:rPr>
            </w:pPr>
          </w:p>
        </w:tc>
      </w:tr>
    </w:tbl>
    <w:p w14:paraId="0F67DC7F" w14:textId="77777777" w:rsidR="00435DBC" w:rsidRPr="00435DBC" w:rsidRDefault="00435DBC" w:rsidP="00021526"/>
    <w:sectPr w:rsidR="00435DBC" w:rsidRPr="00435DBC" w:rsidSect="00543246">
      <w:headerReference w:type="first" r:id="rId21"/>
      <w:footerReference w:type="first" r:id="rId22"/>
      <w:footnotePr>
        <w:numRestart w:val="eachSect"/>
      </w:footnotePr>
      <w:pgSz w:w="12240" w:h="15840" w:code="1"/>
      <w:pgMar w:top="720" w:right="1354" w:bottom="432"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NEWMACROS.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1A3E" w14:textId="77777777" w:rsidR="004B0E1D" w:rsidRDefault="004B0E1D" w:rsidP="004A504B">
      <w:r>
        <w:separator/>
      </w:r>
    </w:p>
  </w:endnote>
  <w:endnote w:type="continuationSeparator" w:id="0">
    <w:p w14:paraId="39266CFB" w14:textId="77777777" w:rsidR="004B0E1D" w:rsidRDefault="004B0E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FFDAF" w14:textId="77777777" w:rsidR="006328B7" w:rsidRPr="0033525D" w:rsidRDefault="00A47C6F">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E1FE" w14:textId="77777777" w:rsidR="006328B7" w:rsidRPr="0033525D" w:rsidRDefault="00A47C6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33CA" w14:textId="4A605FA7" w:rsidR="006328B7" w:rsidRPr="00767695" w:rsidRDefault="006328B7" w:rsidP="00190383">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767695">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920483"/>
      <w:docPartObj>
        <w:docPartGallery w:val="Page Numbers (Bottom of Page)"/>
        <w:docPartUnique/>
      </w:docPartObj>
    </w:sdtPr>
    <w:sdtEndPr>
      <w:rPr>
        <w:noProof/>
      </w:rPr>
    </w:sdtEndPr>
    <w:sdtContent>
      <w:p w14:paraId="15DF57F8" w14:textId="77777777" w:rsidR="006328B7" w:rsidRDefault="002F5D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A584E" w14:textId="77777777" w:rsidR="004B0E1D" w:rsidRDefault="004B0E1D" w:rsidP="004A504B">
      <w:r>
        <w:separator/>
      </w:r>
    </w:p>
  </w:footnote>
  <w:footnote w:type="continuationSeparator" w:id="0">
    <w:p w14:paraId="5B878284" w14:textId="77777777" w:rsidR="004B0E1D" w:rsidRDefault="004B0E1D" w:rsidP="004A504B">
      <w:r>
        <w:continuationSeparator/>
      </w:r>
    </w:p>
  </w:footnote>
  <w:footnote w:id="1">
    <w:p w14:paraId="03FDFFA3" w14:textId="77777777" w:rsidR="006328B7" w:rsidRPr="001E1147" w:rsidRDefault="006328B7" w:rsidP="00DA2D91">
      <w:pPr>
        <w:pStyle w:val="FootnoteText"/>
        <w:rPr>
          <w:lang w:val="en-US"/>
        </w:rPr>
      </w:pPr>
      <w:r w:rsidRPr="001A24C6">
        <w:rPr>
          <w:rStyle w:val="FootnoteReference"/>
        </w:rPr>
        <w:footnoteRef/>
      </w:r>
      <w:r w:rsidRPr="001E1147">
        <w:rPr>
          <w:lang w:val="en-US"/>
        </w:rPr>
        <w:t>UNEP/OzL.Pro/ExCom/9</w:t>
      </w:r>
      <w:r>
        <w:rPr>
          <w:lang w:val="en-US"/>
        </w:rPr>
        <w:t>7</w:t>
      </w:r>
      <w:r w:rsidRPr="001E1147">
        <w:rPr>
          <w:lang w:val="en-US"/>
        </w:rPr>
        <w:t>/1</w:t>
      </w:r>
    </w:p>
  </w:footnote>
  <w:footnote w:id="2">
    <w:p w14:paraId="4244B9F3" w14:textId="77777777" w:rsidR="006328B7" w:rsidRPr="00C703F2" w:rsidRDefault="006328B7" w:rsidP="00DA2D91">
      <w:pPr>
        <w:pStyle w:val="FootnoteText"/>
      </w:pPr>
      <w:r w:rsidRPr="00C703F2">
        <w:rPr>
          <w:rStyle w:val="FootnoteReference"/>
        </w:rPr>
        <w:footnoteRef/>
      </w:r>
      <w:r w:rsidRPr="00C703F2">
        <w:t xml:space="preserve"> UNEP/OzL.Pro/ExCom/95/87</w:t>
      </w:r>
    </w:p>
  </w:footnote>
  <w:footnote w:id="3">
    <w:p w14:paraId="619E7FC9" w14:textId="77777777" w:rsidR="006328B7" w:rsidRPr="00C6148C" w:rsidRDefault="006328B7" w:rsidP="00DA2D91">
      <w:pPr>
        <w:rPr>
          <w:sz w:val="20"/>
          <w:szCs w:val="20"/>
        </w:rPr>
      </w:pPr>
      <w:r w:rsidRPr="00C703F2">
        <w:rPr>
          <w:rStyle w:val="FootnoteReference"/>
          <w:sz w:val="20"/>
          <w:szCs w:val="20"/>
        </w:rPr>
        <w:footnoteRef/>
      </w:r>
      <w:fldSimple w:instr=" DOCPROPERTY &quot;Document number&quot;  \* MERGEFORMAT ">
        <w:r w:rsidRPr="00C6148C">
          <w:rPr>
            <w:sz w:val="20"/>
            <w:szCs w:val="20"/>
          </w:rPr>
          <w:t>UNEP/OzL.Pro/ExCom/93/98</w:t>
        </w:r>
      </w:fldSimple>
      <w:r w:rsidRPr="00C6148C">
        <w:rPr>
          <w:sz w:val="20"/>
          <w:szCs w:val="20"/>
        </w:rPr>
        <w:t xml:space="preserve"> y </w:t>
      </w:r>
      <w:fldSimple w:instr=" DOCPROPERTY &quot;Document number&quot;  \* MERGEFORMAT ">
        <w:r w:rsidRPr="00C6148C">
          <w:rPr>
            <w:sz w:val="20"/>
            <w:szCs w:val="20"/>
          </w:rPr>
          <w:t>UNEP/OzL.Pro/ExCom/95/8</w:t>
        </w:r>
      </w:fldSimple>
      <w:r w:rsidRPr="00C6148C">
        <w:rPr>
          <w:sz w:val="20"/>
          <w:szCs w:val="20"/>
        </w:rPr>
        <w:t>7</w:t>
      </w:r>
    </w:p>
  </w:footnote>
  <w:footnote w:id="4">
    <w:p w14:paraId="18991A10" w14:textId="330F771A" w:rsidR="006328B7" w:rsidRPr="00170177" w:rsidRDefault="006328B7" w:rsidP="007E32A9">
      <w:pPr>
        <w:rPr>
          <w:sz w:val="20"/>
          <w:szCs w:val="20"/>
        </w:rPr>
      </w:pPr>
      <w:r w:rsidRPr="00C703F2">
        <w:rPr>
          <w:rStyle w:val="FootnoteReference"/>
          <w:sz w:val="20"/>
          <w:szCs w:val="20"/>
        </w:rPr>
        <w:footnoteRef/>
      </w:r>
      <w:fldSimple w:instr=" DOCPROPERTY &quot;Document number&quot;  \* MERGEFORMAT ">
        <w:r w:rsidRPr="00C703F2">
          <w:rPr>
            <w:sz w:val="20"/>
            <w:szCs w:val="20"/>
          </w:rPr>
          <w:t>UNEP/OzL.Pro/ExCom/94/63</w:t>
        </w:r>
      </w:fldSimple>
    </w:p>
  </w:footnote>
  <w:footnote w:id="5">
    <w:p w14:paraId="44899BB3" w14:textId="77777777" w:rsidR="006328B7" w:rsidRPr="00362785" w:rsidRDefault="006328B7" w:rsidP="007E32A9">
      <w:pPr>
        <w:pStyle w:val="FootnoteText"/>
      </w:pPr>
      <w:r w:rsidRPr="00211A3A">
        <w:rPr>
          <w:rStyle w:val="FootnoteReference"/>
          <w:sz w:val="18"/>
          <w:szCs w:val="18"/>
        </w:rPr>
        <w:footnoteRef/>
      </w:r>
      <w:r w:rsidRPr="004E3B01">
        <w:t xml:space="preserve">La Secretaría desea </w:t>
      </w:r>
      <w:r>
        <w:t xml:space="preserve">reconocer </w:t>
      </w:r>
      <w:r w:rsidRPr="004E3B01">
        <w:t>la valiosa contribución ofrecida por la Red Mundial de Centros Regionales de Energía Sostenible (GNSEC</w:t>
      </w:r>
      <w:r>
        <w:t>)</w:t>
      </w:r>
      <w:r w:rsidRPr="004E3B01">
        <w:t>, el Consejo para la Defensa de los Recursos Naturales (NRDC), el Centro Africano de Excelencia</w:t>
      </w:r>
      <w:r>
        <w:t xml:space="preserve"> para el Enfriamiento y Cadena de Frío Sostenibles</w:t>
      </w:r>
      <w:r w:rsidRPr="004E3B01">
        <w:t xml:space="preserve"> (ACES), Energía Sostenible para Todos (SEforALL), Unidos por la Eficiencia (U4E), la Coalición Clima y Aire Limpio (CCAC), </w:t>
      </w:r>
      <w:r>
        <w:t xml:space="preserve">la </w:t>
      </w:r>
      <w:r w:rsidRPr="00FD186D">
        <w:t>Clean Cooling Collaborative (CCC)</w:t>
      </w:r>
      <w:r w:rsidRPr="004E3B01">
        <w:t xml:space="preserve">, la </w:t>
      </w:r>
      <w:r w:rsidRPr="00362785">
        <w:t xml:space="preserve">Cool Coalition </w:t>
      </w:r>
      <w:r w:rsidRPr="004E3B01">
        <w:t xml:space="preserve">(CC), GIZ, OzonAction del PNUMA, el Instituto Internacional del Frío (IIR), el Consejo Mundial de la Cadena de Frío Alimentaria (GFCCC) y varios expertos </w:t>
      </w:r>
      <w:r>
        <w:t xml:space="preserve">en </w:t>
      </w:r>
      <w:r w:rsidRPr="00362785">
        <w:t>refrigeración, climatización y bomba</w:t>
      </w:r>
      <w:r>
        <w:t>s</w:t>
      </w:r>
      <w:r w:rsidRPr="00362785">
        <w:t xml:space="preserve"> de calor</w:t>
      </w:r>
      <w:r w:rsidRPr="004E3B01">
        <w:t>.</w:t>
      </w:r>
    </w:p>
  </w:footnote>
  <w:footnote w:id="6">
    <w:p w14:paraId="6E26EB3B" w14:textId="77777777" w:rsidR="006328B7" w:rsidRPr="00AD7019" w:rsidRDefault="006328B7" w:rsidP="000A2AA9">
      <w:pPr>
        <w:pStyle w:val="FootnoteText"/>
      </w:pPr>
      <w:r w:rsidRPr="00C703F2">
        <w:rPr>
          <w:rStyle w:val="FootnoteReference"/>
        </w:rPr>
        <w:footnoteRef/>
      </w:r>
      <w:r w:rsidRPr="00AD7019">
        <w:t xml:space="preserve"> </w:t>
      </w:r>
      <w:r w:rsidRPr="00152CEB">
        <w:rPr>
          <w:lang w:val="fr-FR"/>
        </w:rPr>
        <w:t>Referencias utilizadas por diferentes organizaciones de las Naciones Unidas, como la UNESCO, la OIT, la OMS y otras.</w:t>
      </w:r>
    </w:p>
  </w:footnote>
  <w:footnote w:id="7">
    <w:p w14:paraId="661B2207" w14:textId="77777777" w:rsidR="006328B7" w:rsidRPr="00AD7019" w:rsidRDefault="006328B7" w:rsidP="000A2AA9">
      <w:pPr>
        <w:pStyle w:val="FootnoteText"/>
        <w:rPr>
          <w:sz w:val="18"/>
          <w:szCs w:val="18"/>
        </w:rPr>
      </w:pPr>
      <w:r w:rsidRPr="00C703F2">
        <w:rPr>
          <w:rStyle w:val="FootnoteReference"/>
        </w:rPr>
        <w:footnoteRef/>
      </w:r>
      <w:r w:rsidRPr="00AD7019">
        <w:t xml:space="preserve"> Según el informe </w:t>
      </w:r>
      <w:r>
        <w:t xml:space="preserve">Vigilancia Mundial de la Refrigeración 2023 de la </w:t>
      </w:r>
      <w:r w:rsidRPr="00AD7019">
        <w:t xml:space="preserve">Cool Coalition del PNUMA, la refrigeración sostenible se define como aquellas tecnologías y enfoques de refrigeración que son accesibles, asequibles y escalables, pero que minimizan </w:t>
      </w:r>
      <w:r>
        <w:t>los</w:t>
      </w:r>
      <w:r w:rsidRPr="00AD7019">
        <w:t xml:space="preserve"> impacto</w:t>
      </w:r>
      <w:r>
        <w:t>s</w:t>
      </w:r>
      <w:r w:rsidRPr="00AD7019">
        <w:t xml:space="preserve"> sobre las personas y el planeta, entre otras cosas mediante una reducción considerable de las emisiones de gases de efecto invernadero</w:t>
      </w:r>
      <w:r>
        <w:t xml:space="preserve"> (GEI)</w:t>
      </w:r>
      <w:r w:rsidRPr="00AD7019">
        <w:t>.</w:t>
      </w:r>
    </w:p>
  </w:footnote>
  <w:footnote w:id="8">
    <w:p w14:paraId="39F56074" w14:textId="77777777" w:rsidR="006328B7" w:rsidRPr="00E76A96" w:rsidRDefault="006328B7">
      <w:pPr>
        <w:pStyle w:val="FootnoteText"/>
      </w:pPr>
      <w:r>
        <w:rPr>
          <w:rStyle w:val="FootnoteReference"/>
        </w:rPr>
        <w:footnoteRef/>
      </w:r>
      <w:r w:rsidRPr="00E76A96">
        <w:t xml:space="preserve"> El LBNL es reconocido como un centro de excelencia líder en la mejora de la eficiencia energética, incluyendo la investigación y el desarrollo en tecnologías de refrigeración y </w:t>
      </w:r>
      <w:r>
        <w:t>climatización</w:t>
      </w:r>
      <w:r w:rsidRPr="00E76A96">
        <w:t>, respaldado por su amplia experiencia y colaboraciones con la industria y organismos gubernamentales.</w:t>
      </w:r>
    </w:p>
  </w:footnote>
  <w:footnote w:id="9">
    <w:p w14:paraId="158209ED" w14:textId="77777777" w:rsidR="006328B7" w:rsidRPr="00C84967" w:rsidRDefault="006328B7">
      <w:pPr>
        <w:pStyle w:val="FootnoteText"/>
      </w:pPr>
      <w:r>
        <w:rPr>
          <w:rStyle w:val="FootnoteReference"/>
        </w:rPr>
        <w:footnoteRef/>
      </w:r>
      <w:r w:rsidRPr="00C84967">
        <w:t xml:space="preserve"> Los clientes podrían incluir empresas privadas, asociaciones que llevan a cabo actividades específicas, </w:t>
      </w:r>
      <w:r>
        <w:t xml:space="preserve">Oficinas Nacionales del Ozono </w:t>
      </w:r>
      <w:r w:rsidRPr="00C84967">
        <w:t>(</w:t>
      </w:r>
      <w:r>
        <w:t>ONO</w:t>
      </w:r>
      <w:r w:rsidRPr="00C84967">
        <w:t xml:space="preserve">) y otras </w:t>
      </w:r>
      <w:r>
        <w:t>contra</w:t>
      </w:r>
      <w:r w:rsidRPr="00C84967">
        <w:t>partes pertinentes.</w:t>
      </w:r>
    </w:p>
  </w:footnote>
  <w:footnote w:id="10">
    <w:p w14:paraId="38C37D06" w14:textId="77777777" w:rsidR="006328B7" w:rsidRPr="00C84967" w:rsidRDefault="006328B7">
      <w:pPr>
        <w:pStyle w:val="FootnoteText"/>
      </w:pPr>
      <w:r>
        <w:rPr>
          <w:rStyle w:val="FootnoteReference"/>
        </w:rPr>
        <w:footnoteRef/>
      </w:r>
      <w:r w:rsidRPr="00C84967">
        <w:t xml:space="preserve"> </w:t>
      </w:r>
      <w:r>
        <w:t xml:space="preserve">Sobre la base de </w:t>
      </w:r>
      <w:r w:rsidRPr="00C84967">
        <w:t xml:space="preserve">la mejor estimación de los </w:t>
      </w:r>
      <w:r>
        <w:t>costos</w:t>
      </w:r>
      <w:r w:rsidRPr="00C84967">
        <w:t xml:space="preserve"> operativos y administrativos, suponiendo que el centro se ubique junto a un centro ya existente o que su ubicación sea ofrecida </w:t>
      </w:r>
      <w:r>
        <w:t>por el país o entidad anfitrión</w:t>
      </w:r>
      <w:r w:rsidRPr="00C84967">
        <w:t>.</w:t>
      </w:r>
    </w:p>
  </w:footnote>
  <w:footnote w:id="11">
    <w:p w14:paraId="3EA0244C" w14:textId="77777777" w:rsidR="006328B7" w:rsidRPr="00532885" w:rsidRDefault="006328B7">
      <w:pPr>
        <w:pStyle w:val="FootnoteText"/>
      </w:pPr>
      <w:r>
        <w:rPr>
          <w:rStyle w:val="FootnoteReference"/>
        </w:rPr>
        <w:footnoteRef/>
      </w:r>
      <w:r w:rsidRPr="00532885">
        <w:t xml:space="preserve"> </w:t>
      </w:r>
      <w:r w:rsidR="00532885" w:rsidRPr="00532885">
        <w:t>Esta lista no es exhaustiva; hay nuevas iniciativas que evolucionan con el tiempo</w:t>
      </w:r>
      <w:r w:rsidRPr="0053288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8C0B" w14:textId="7A52BDC2" w:rsidR="006328B7" w:rsidRPr="0033525D" w:rsidRDefault="00152CEB">
    <w:fldSimple w:instr=" DOCPROPERTY &quot;Document number&quot;  \* MERGEFORMAT ">
      <w:r>
        <w:t>UNEP/OzL.Pro/ExCom/97/85</w:t>
      </w:r>
    </w:fldSimple>
  </w:p>
  <w:p w14:paraId="13DF59BD" w14:textId="77777777" w:rsidR="006328B7" w:rsidRPr="0033525D" w:rsidRDefault="006328B7"/>
  <w:p w14:paraId="7A827608" w14:textId="77777777" w:rsidR="006328B7" w:rsidRPr="0033525D" w:rsidRDefault="006328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712E" w14:textId="4B796B37" w:rsidR="006328B7" w:rsidRPr="0033525D" w:rsidRDefault="00152CEB">
    <w:pPr>
      <w:jc w:val="right"/>
    </w:pPr>
    <w:fldSimple w:instr=" DOCPROPERTY &quot;Document number&quot;  \* MERGEFORMAT ">
      <w:r>
        <w:t>UNEP/OzL.Pro/ExCom/97/85</w:t>
      </w:r>
    </w:fldSimple>
  </w:p>
  <w:p w14:paraId="73CCB405" w14:textId="77777777" w:rsidR="006328B7" w:rsidRPr="0033525D" w:rsidRDefault="006328B7"/>
  <w:p w14:paraId="0F231A82" w14:textId="77777777" w:rsidR="006328B7" w:rsidRPr="0033525D" w:rsidRDefault="00632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CB5A6" w14:textId="6E3298E8" w:rsidR="006328B7" w:rsidRPr="004C0D04" w:rsidRDefault="00152CEB" w:rsidP="004C0D04">
    <w:pPr>
      <w:jc w:val="right"/>
      <w:rPr>
        <w:lang w:val="pt-PT"/>
      </w:rPr>
    </w:pPr>
    <w:fldSimple w:instr=" DOCPROPERTY &quot;Document number&quot;  \* MERGEFORMAT ">
      <w:r w:rsidRPr="00152CEB">
        <w:rPr>
          <w:lang w:val="pt-PT"/>
        </w:rPr>
        <w:t>UNEP/OzL.Pro/ExCom/97/85</w:t>
      </w:r>
    </w:fldSimple>
  </w:p>
  <w:p w14:paraId="5B99ACB4" w14:textId="34B405C5" w:rsidR="006328B7" w:rsidRDefault="006328B7" w:rsidP="00021526">
    <w:pPr>
      <w:jc w:val="right"/>
      <w:rPr>
        <w:lang w:val="pt-PT"/>
      </w:rPr>
    </w:pPr>
    <w:r w:rsidRPr="004C0D04">
      <w:rPr>
        <w:lang w:val="pt-PT"/>
      </w:rPr>
      <w:t>A</w:t>
    </w:r>
    <w:r>
      <w:rPr>
        <w:lang w:val="pt-PT"/>
      </w:rPr>
      <w:t>nex</w:t>
    </w:r>
    <w:r w:rsidR="00152CEB">
      <w:rPr>
        <w:lang w:val="pt-PT"/>
      </w:rPr>
      <w:t>o</w:t>
    </w:r>
    <w:r>
      <w:rPr>
        <w:lang w:val="pt-PT"/>
      </w:rPr>
      <w:t xml:space="preserve"> I</w:t>
    </w:r>
  </w:p>
  <w:p w14:paraId="53C5EC82" w14:textId="77777777" w:rsidR="00543246" w:rsidRPr="004C0D04" w:rsidRDefault="00543246" w:rsidP="00021526">
    <w:pP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5FA1AD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bullet"/>
      <w:lvlText w:val=""/>
      <w:lvlJc w:val="left"/>
      <w:pPr>
        <w:ind w:left="2430" w:hanging="360"/>
      </w:pPr>
      <w:rPr>
        <w:rFonts w:ascii="Symbol" w:hAnsi="Symbol" w:hint="default"/>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C0CEB"/>
    <w:multiLevelType w:val="hybridMultilevel"/>
    <w:tmpl w:val="12A80B80"/>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020404D4"/>
    <w:multiLevelType w:val="hybridMultilevel"/>
    <w:tmpl w:val="D1C62D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0FE44972"/>
    <w:multiLevelType w:val="multilevel"/>
    <w:tmpl w:val="43C676F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4329008">
    <w:abstractNumId w:val="10"/>
  </w:num>
  <w:num w:numId="2" w16cid:durableId="1580358602">
    <w:abstractNumId w:val="10"/>
  </w:num>
  <w:num w:numId="3" w16cid:durableId="1429696095">
    <w:abstractNumId w:val="10"/>
  </w:num>
  <w:num w:numId="4" w16cid:durableId="1120104538">
    <w:abstractNumId w:val="10"/>
  </w:num>
  <w:num w:numId="5" w16cid:durableId="106581817">
    <w:abstractNumId w:val="10"/>
  </w:num>
  <w:num w:numId="6" w16cid:durableId="302463979">
    <w:abstractNumId w:val="9"/>
  </w:num>
  <w:num w:numId="7" w16cid:durableId="1871645683">
    <w:abstractNumId w:val="7"/>
  </w:num>
  <w:num w:numId="8" w16cid:durableId="399443607">
    <w:abstractNumId w:val="6"/>
  </w:num>
  <w:num w:numId="9" w16cid:durableId="95905883">
    <w:abstractNumId w:val="5"/>
  </w:num>
  <w:num w:numId="10" w16cid:durableId="959338798">
    <w:abstractNumId w:val="4"/>
  </w:num>
  <w:num w:numId="11" w16cid:durableId="688795258">
    <w:abstractNumId w:val="8"/>
  </w:num>
  <w:num w:numId="12" w16cid:durableId="113062046">
    <w:abstractNumId w:val="3"/>
  </w:num>
  <w:num w:numId="13" w16cid:durableId="1149713270">
    <w:abstractNumId w:val="2"/>
  </w:num>
  <w:num w:numId="14" w16cid:durableId="825245164">
    <w:abstractNumId w:val="1"/>
  </w:num>
  <w:num w:numId="15" w16cid:durableId="1237939892">
    <w:abstractNumId w:val="0"/>
  </w:num>
  <w:num w:numId="16" w16cid:durableId="476917950">
    <w:abstractNumId w:val="15"/>
  </w:num>
  <w:num w:numId="17" w16cid:durableId="2018073099">
    <w:abstractNumId w:val="17"/>
  </w:num>
  <w:num w:numId="18" w16cid:durableId="2029912601">
    <w:abstractNumId w:val="18"/>
  </w:num>
  <w:num w:numId="19" w16cid:durableId="1110130383">
    <w:abstractNumId w:val="19"/>
  </w:num>
  <w:num w:numId="20" w16cid:durableId="918245698">
    <w:abstractNumId w:val="16"/>
  </w:num>
  <w:num w:numId="21" w16cid:durableId="2144274385">
    <w:abstractNumId w:val="12"/>
  </w:num>
  <w:num w:numId="22" w16cid:durableId="67389174">
    <w:abstractNumId w:val="11"/>
  </w:num>
  <w:num w:numId="23" w16cid:durableId="208226777">
    <w:abstractNumId w:val="13"/>
  </w:num>
  <w:num w:numId="24" w16cid:durableId="240875028">
    <w:abstractNumId w:val="14"/>
  </w:num>
  <w:num w:numId="25" w16cid:durableId="922297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365524">
    <w:abstractNumId w:val="10"/>
  </w:num>
  <w:num w:numId="27" w16cid:durableId="438525860">
    <w:abstractNumId w:val="10"/>
  </w:num>
  <w:num w:numId="28" w16cid:durableId="340157199">
    <w:abstractNumId w:val="10"/>
  </w:num>
  <w:num w:numId="29" w16cid:durableId="883098016">
    <w:abstractNumId w:val="10"/>
  </w:num>
  <w:num w:numId="30" w16cid:durableId="509367663">
    <w:abstractNumId w:val="10"/>
  </w:num>
  <w:num w:numId="31" w16cid:durableId="1442337652">
    <w:abstractNumId w:val="10"/>
  </w:num>
  <w:num w:numId="32" w16cid:durableId="416438930">
    <w:abstractNumId w:val="10"/>
  </w:num>
  <w:num w:numId="33" w16cid:durableId="1393237073">
    <w:abstractNumId w:val="10"/>
  </w:num>
  <w:num w:numId="34" w16cid:durableId="238173020">
    <w:abstractNumId w:val="10"/>
  </w:num>
  <w:num w:numId="35" w16cid:durableId="296882944">
    <w:abstractNumId w:val="10"/>
  </w:num>
  <w:num w:numId="36" w16cid:durableId="2135320702">
    <w:abstractNumId w:val="10"/>
  </w:num>
  <w:num w:numId="37" w16cid:durableId="823619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32500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CA2EAE"/>
    <w:rsid w:val="00000BD1"/>
    <w:rsid w:val="00000FED"/>
    <w:rsid w:val="00001DF8"/>
    <w:rsid w:val="0000336E"/>
    <w:rsid w:val="0000434E"/>
    <w:rsid w:val="0000506D"/>
    <w:rsid w:val="0001116F"/>
    <w:rsid w:val="000114F6"/>
    <w:rsid w:val="00013236"/>
    <w:rsid w:val="0001738E"/>
    <w:rsid w:val="00021526"/>
    <w:rsid w:val="00027178"/>
    <w:rsid w:val="00031260"/>
    <w:rsid w:val="0003249E"/>
    <w:rsid w:val="00033D1B"/>
    <w:rsid w:val="0003681A"/>
    <w:rsid w:val="00036C28"/>
    <w:rsid w:val="00041832"/>
    <w:rsid w:val="00041A40"/>
    <w:rsid w:val="00050182"/>
    <w:rsid w:val="00050FA1"/>
    <w:rsid w:val="0005231D"/>
    <w:rsid w:val="000554FD"/>
    <w:rsid w:val="00055A2B"/>
    <w:rsid w:val="000565EB"/>
    <w:rsid w:val="00057F38"/>
    <w:rsid w:val="000600D1"/>
    <w:rsid w:val="00060F26"/>
    <w:rsid w:val="00062FEB"/>
    <w:rsid w:val="00063047"/>
    <w:rsid w:val="00063304"/>
    <w:rsid w:val="00065548"/>
    <w:rsid w:val="00065B74"/>
    <w:rsid w:val="00065D34"/>
    <w:rsid w:val="0007159E"/>
    <w:rsid w:val="00072B13"/>
    <w:rsid w:val="00076108"/>
    <w:rsid w:val="00076220"/>
    <w:rsid w:val="00080ED0"/>
    <w:rsid w:val="0008416C"/>
    <w:rsid w:val="00085B8F"/>
    <w:rsid w:val="00085E96"/>
    <w:rsid w:val="00087AFC"/>
    <w:rsid w:val="00087FAC"/>
    <w:rsid w:val="00090481"/>
    <w:rsid w:val="00091A22"/>
    <w:rsid w:val="000943E0"/>
    <w:rsid w:val="00096E5A"/>
    <w:rsid w:val="000A03A0"/>
    <w:rsid w:val="000A0EFE"/>
    <w:rsid w:val="000A1917"/>
    <w:rsid w:val="000A2AA9"/>
    <w:rsid w:val="000A49B5"/>
    <w:rsid w:val="000A7DD0"/>
    <w:rsid w:val="000B05B1"/>
    <w:rsid w:val="000B3ABA"/>
    <w:rsid w:val="000B4E8C"/>
    <w:rsid w:val="000B6D4D"/>
    <w:rsid w:val="000D2D56"/>
    <w:rsid w:val="000D4047"/>
    <w:rsid w:val="000E07BC"/>
    <w:rsid w:val="000E0DC9"/>
    <w:rsid w:val="000E2FC7"/>
    <w:rsid w:val="000E4491"/>
    <w:rsid w:val="000E44DE"/>
    <w:rsid w:val="000F0442"/>
    <w:rsid w:val="000F1CD4"/>
    <w:rsid w:val="000F4103"/>
    <w:rsid w:val="000F4FD3"/>
    <w:rsid w:val="000F70A7"/>
    <w:rsid w:val="001025B1"/>
    <w:rsid w:val="00103660"/>
    <w:rsid w:val="001049B8"/>
    <w:rsid w:val="0011069A"/>
    <w:rsid w:val="00116FCA"/>
    <w:rsid w:val="001176DA"/>
    <w:rsid w:val="00117766"/>
    <w:rsid w:val="00121BE4"/>
    <w:rsid w:val="00122F20"/>
    <w:rsid w:val="00123EA2"/>
    <w:rsid w:val="001260F6"/>
    <w:rsid w:val="00135980"/>
    <w:rsid w:val="00136F01"/>
    <w:rsid w:val="00147C9F"/>
    <w:rsid w:val="00152CEB"/>
    <w:rsid w:val="00154357"/>
    <w:rsid w:val="00156FAC"/>
    <w:rsid w:val="00157EE6"/>
    <w:rsid w:val="001604F7"/>
    <w:rsid w:val="00164719"/>
    <w:rsid w:val="00166FC4"/>
    <w:rsid w:val="001677AC"/>
    <w:rsid w:val="00167FE2"/>
    <w:rsid w:val="001810CA"/>
    <w:rsid w:val="0018513E"/>
    <w:rsid w:val="00190383"/>
    <w:rsid w:val="00190A61"/>
    <w:rsid w:val="001A113A"/>
    <w:rsid w:val="001A3342"/>
    <w:rsid w:val="001A3E3D"/>
    <w:rsid w:val="001A453D"/>
    <w:rsid w:val="001A5761"/>
    <w:rsid w:val="001A58E4"/>
    <w:rsid w:val="001B1E40"/>
    <w:rsid w:val="001B6508"/>
    <w:rsid w:val="001C764E"/>
    <w:rsid w:val="001D2898"/>
    <w:rsid w:val="001D2A23"/>
    <w:rsid w:val="001D42A5"/>
    <w:rsid w:val="001D6242"/>
    <w:rsid w:val="001E0EBE"/>
    <w:rsid w:val="001E1052"/>
    <w:rsid w:val="001E1759"/>
    <w:rsid w:val="001E19A0"/>
    <w:rsid w:val="001E21B1"/>
    <w:rsid w:val="001E2CEB"/>
    <w:rsid w:val="001E2F93"/>
    <w:rsid w:val="001E5B58"/>
    <w:rsid w:val="001E5EC3"/>
    <w:rsid w:val="001E61E5"/>
    <w:rsid w:val="001E7F54"/>
    <w:rsid w:val="001F0E33"/>
    <w:rsid w:val="001F2159"/>
    <w:rsid w:val="001F3645"/>
    <w:rsid w:val="002011E1"/>
    <w:rsid w:val="00201BEE"/>
    <w:rsid w:val="00201E28"/>
    <w:rsid w:val="00203226"/>
    <w:rsid w:val="00203CA8"/>
    <w:rsid w:val="002045DC"/>
    <w:rsid w:val="00212108"/>
    <w:rsid w:val="0021210B"/>
    <w:rsid w:val="00213BEA"/>
    <w:rsid w:val="00214CF2"/>
    <w:rsid w:val="00214F58"/>
    <w:rsid w:val="00220339"/>
    <w:rsid w:val="00223DCD"/>
    <w:rsid w:val="00227F4F"/>
    <w:rsid w:val="00230DC5"/>
    <w:rsid w:val="002313A2"/>
    <w:rsid w:val="002356A6"/>
    <w:rsid w:val="0023577B"/>
    <w:rsid w:val="0024191C"/>
    <w:rsid w:val="00243625"/>
    <w:rsid w:val="002444A9"/>
    <w:rsid w:val="002465FF"/>
    <w:rsid w:val="00250B00"/>
    <w:rsid w:val="00253222"/>
    <w:rsid w:val="002569F9"/>
    <w:rsid w:val="00260936"/>
    <w:rsid w:val="00262E06"/>
    <w:rsid w:val="00264065"/>
    <w:rsid w:val="002722B2"/>
    <w:rsid w:val="002736E9"/>
    <w:rsid w:val="00273ADB"/>
    <w:rsid w:val="002748AB"/>
    <w:rsid w:val="002754EE"/>
    <w:rsid w:val="00281E39"/>
    <w:rsid w:val="002822FD"/>
    <w:rsid w:val="00284527"/>
    <w:rsid w:val="00286FB4"/>
    <w:rsid w:val="00287CA9"/>
    <w:rsid w:val="002905D8"/>
    <w:rsid w:val="00291880"/>
    <w:rsid w:val="00295B56"/>
    <w:rsid w:val="002B0B08"/>
    <w:rsid w:val="002B4632"/>
    <w:rsid w:val="002B72E9"/>
    <w:rsid w:val="002B7732"/>
    <w:rsid w:val="002B78A7"/>
    <w:rsid w:val="002C2FD6"/>
    <w:rsid w:val="002C7B1E"/>
    <w:rsid w:val="002D1A47"/>
    <w:rsid w:val="002D3DB8"/>
    <w:rsid w:val="002D428D"/>
    <w:rsid w:val="002D5A75"/>
    <w:rsid w:val="002D649A"/>
    <w:rsid w:val="002E1D44"/>
    <w:rsid w:val="002E4FCD"/>
    <w:rsid w:val="002E7CFE"/>
    <w:rsid w:val="002E7EF5"/>
    <w:rsid w:val="002F0E9C"/>
    <w:rsid w:val="002F5DE6"/>
    <w:rsid w:val="002F6E3D"/>
    <w:rsid w:val="0030065C"/>
    <w:rsid w:val="00300D9D"/>
    <w:rsid w:val="003028D7"/>
    <w:rsid w:val="00303ABF"/>
    <w:rsid w:val="0030465A"/>
    <w:rsid w:val="00304F90"/>
    <w:rsid w:val="00307D3F"/>
    <w:rsid w:val="00307E9E"/>
    <w:rsid w:val="00310FFB"/>
    <w:rsid w:val="00311465"/>
    <w:rsid w:val="00311844"/>
    <w:rsid w:val="00313468"/>
    <w:rsid w:val="0031385E"/>
    <w:rsid w:val="0031693B"/>
    <w:rsid w:val="00321E80"/>
    <w:rsid w:val="003246ED"/>
    <w:rsid w:val="003306E1"/>
    <w:rsid w:val="003320E4"/>
    <w:rsid w:val="0033525D"/>
    <w:rsid w:val="003414F3"/>
    <w:rsid w:val="00342DB2"/>
    <w:rsid w:val="00345282"/>
    <w:rsid w:val="00351912"/>
    <w:rsid w:val="00355CC2"/>
    <w:rsid w:val="0035613E"/>
    <w:rsid w:val="00361FCA"/>
    <w:rsid w:val="00362785"/>
    <w:rsid w:val="00363EE9"/>
    <w:rsid w:val="003711A2"/>
    <w:rsid w:val="0037582B"/>
    <w:rsid w:val="00376128"/>
    <w:rsid w:val="0037632F"/>
    <w:rsid w:val="00376F81"/>
    <w:rsid w:val="0037742E"/>
    <w:rsid w:val="00381BEA"/>
    <w:rsid w:val="0038245A"/>
    <w:rsid w:val="00385300"/>
    <w:rsid w:val="00390034"/>
    <w:rsid w:val="00390D28"/>
    <w:rsid w:val="003926FB"/>
    <w:rsid w:val="00392C36"/>
    <w:rsid w:val="0039337A"/>
    <w:rsid w:val="00394A08"/>
    <w:rsid w:val="00396605"/>
    <w:rsid w:val="0039764E"/>
    <w:rsid w:val="003A3189"/>
    <w:rsid w:val="003B3973"/>
    <w:rsid w:val="003B3AB8"/>
    <w:rsid w:val="003B5645"/>
    <w:rsid w:val="003B569D"/>
    <w:rsid w:val="003C281C"/>
    <w:rsid w:val="003C357E"/>
    <w:rsid w:val="003C3C0E"/>
    <w:rsid w:val="003C4B56"/>
    <w:rsid w:val="003C4FD9"/>
    <w:rsid w:val="003C5794"/>
    <w:rsid w:val="003D344B"/>
    <w:rsid w:val="003D4FAC"/>
    <w:rsid w:val="003D6B62"/>
    <w:rsid w:val="003D6F6F"/>
    <w:rsid w:val="003D7D49"/>
    <w:rsid w:val="003E7906"/>
    <w:rsid w:val="003F3C50"/>
    <w:rsid w:val="003F595B"/>
    <w:rsid w:val="0040042A"/>
    <w:rsid w:val="004028FE"/>
    <w:rsid w:val="004059F0"/>
    <w:rsid w:val="00406A6A"/>
    <w:rsid w:val="00406B22"/>
    <w:rsid w:val="00414DF8"/>
    <w:rsid w:val="00415AEC"/>
    <w:rsid w:val="00415F5A"/>
    <w:rsid w:val="00420CAF"/>
    <w:rsid w:val="00422C3F"/>
    <w:rsid w:val="00426BE9"/>
    <w:rsid w:val="004270C9"/>
    <w:rsid w:val="00432279"/>
    <w:rsid w:val="004328A7"/>
    <w:rsid w:val="00434C74"/>
    <w:rsid w:val="00435DBC"/>
    <w:rsid w:val="00436FF9"/>
    <w:rsid w:val="0044037E"/>
    <w:rsid w:val="00441E82"/>
    <w:rsid w:val="00442DB3"/>
    <w:rsid w:val="004436BD"/>
    <w:rsid w:val="00450AA6"/>
    <w:rsid w:val="00451D88"/>
    <w:rsid w:val="00456EB4"/>
    <w:rsid w:val="0046164A"/>
    <w:rsid w:val="00465051"/>
    <w:rsid w:val="00466C34"/>
    <w:rsid w:val="00470584"/>
    <w:rsid w:val="004718F3"/>
    <w:rsid w:val="00472538"/>
    <w:rsid w:val="00475040"/>
    <w:rsid w:val="0048436C"/>
    <w:rsid w:val="00493A32"/>
    <w:rsid w:val="00493D40"/>
    <w:rsid w:val="00495370"/>
    <w:rsid w:val="004A0935"/>
    <w:rsid w:val="004A43B3"/>
    <w:rsid w:val="004A504B"/>
    <w:rsid w:val="004A576C"/>
    <w:rsid w:val="004A6911"/>
    <w:rsid w:val="004B0E1D"/>
    <w:rsid w:val="004B1C33"/>
    <w:rsid w:val="004B2E6B"/>
    <w:rsid w:val="004B36FB"/>
    <w:rsid w:val="004B3C9F"/>
    <w:rsid w:val="004B4083"/>
    <w:rsid w:val="004B54E0"/>
    <w:rsid w:val="004B7384"/>
    <w:rsid w:val="004C086F"/>
    <w:rsid w:val="004C0D04"/>
    <w:rsid w:val="004C4269"/>
    <w:rsid w:val="004D2089"/>
    <w:rsid w:val="004D2D5F"/>
    <w:rsid w:val="004D2DDD"/>
    <w:rsid w:val="004D60C4"/>
    <w:rsid w:val="004D6236"/>
    <w:rsid w:val="004D7C74"/>
    <w:rsid w:val="004E2F62"/>
    <w:rsid w:val="004E3B01"/>
    <w:rsid w:val="004E4C07"/>
    <w:rsid w:val="004E4DBB"/>
    <w:rsid w:val="004E7F9C"/>
    <w:rsid w:val="004F3493"/>
    <w:rsid w:val="004F38E1"/>
    <w:rsid w:val="004F73E8"/>
    <w:rsid w:val="00502D2A"/>
    <w:rsid w:val="00507E4C"/>
    <w:rsid w:val="0051119B"/>
    <w:rsid w:val="00512B09"/>
    <w:rsid w:val="00513FD5"/>
    <w:rsid w:val="00517A19"/>
    <w:rsid w:val="00523E8A"/>
    <w:rsid w:val="00527154"/>
    <w:rsid w:val="00532682"/>
    <w:rsid w:val="00532885"/>
    <w:rsid w:val="005349C0"/>
    <w:rsid w:val="005418BF"/>
    <w:rsid w:val="00543246"/>
    <w:rsid w:val="00545277"/>
    <w:rsid w:val="00545937"/>
    <w:rsid w:val="005468EF"/>
    <w:rsid w:val="00547F8D"/>
    <w:rsid w:val="0055118C"/>
    <w:rsid w:val="0055311C"/>
    <w:rsid w:val="00555D75"/>
    <w:rsid w:val="00560534"/>
    <w:rsid w:val="00560D3A"/>
    <w:rsid w:val="00560DF0"/>
    <w:rsid w:val="00562F1C"/>
    <w:rsid w:val="00574BD9"/>
    <w:rsid w:val="00574E4F"/>
    <w:rsid w:val="005756ED"/>
    <w:rsid w:val="00580A99"/>
    <w:rsid w:val="005814EB"/>
    <w:rsid w:val="005830D3"/>
    <w:rsid w:val="005848EB"/>
    <w:rsid w:val="005930D0"/>
    <w:rsid w:val="00594888"/>
    <w:rsid w:val="005A2B8B"/>
    <w:rsid w:val="005A4F99"/>
    <w:rsid w:val="005A68C5"/>
    <w:rsid w:val="005B175C"/>
    <w:rsid w:val="005B48FF"/>
    <w:rsid w:val="005B4A22"/>
    <w:rsid w:val="005B6636"/>
    <w:rsid w:val="005C01C5"/>
    <w:rsid w:val="005C08F2"/>
    <w:rsid w:val="005C4301"/>
    <w:rsid w:val="005C4486"/>
    <w:rsid w:val="005C501F"/>
    <w:rsid w:val="005C7A40"/>
    <w:rsid w:val="005D465C"/>
    <w:rsid w:val="005E0E25"/>
    <w:rsid w:val="005E37F8"/>
    <w:rsid w:val="005E5B01"/>
    <w:rsid w:val="005E7D37"/>
    <w:rsid w:val="005F2A38"/>
    <w:rsid w:val="005F4C70"/>
    <w:rsid w:val="00600185"/>
    <w:rsid w:val="00600A67"/>
    <w:rsid w:val="00601141"/>
    <w:rsid w:val="006012A7"/>
    <w:rsid w:val="00603B8B"/>
    <w:rsid w:val="00606CEB"/>
    <w:rsid w:val="006102A7"/>
    <w:rsid w:val="006141C1"/>
    <w:rsid w:val="006158D5"/>
    <w:rsid w:val="006167EA"/>
    <w:rsid w:val="006218B8"/>
    <w:rsid w:val="00623CCF"/>
    <w:rsid w:val="00625D83"/>
    <w:rsid w:val="00632009"/>
    <w:rsid w:val="006328B7"/>
    <w:rsid w:val="00637AAF"/>
    <w:rsid w:val="00643292"/>
    <w:rsid w:val="00651280"/>
    <w:rsid w:val="00656E56"/>
    <w:rsid w:val="006623E4"/>
    <w:rsid w:val="006623E7"/>
    <w:rsid w:val="00662B80"/>
    <w:rsid w:val="0066328F"/>
    <w:rsid w:val="00682EFA"/>
    <w:rsid w:val="00683F3A"/>
    <w:rsid w:val="006852C7"/>
    <w:rsid w:val="0068651B"/>
    <w:rsid w:val="00687328"/>
    <w:rsid w:val="00687E1C"/>
    <w:rsid w:val="00692B7E"/>
    <w:rsid w:val="006965D5"/>
    <w:rsid w:val="00696A65"/>
    <w:rsid w:val="006A25A9"/>
    <w:rsid w:val="006A377B"/>
    <w:rsid w:val="006A38A6"/>
    <w:rsid w:val="006A6D38"/>
    <w:rsid w:val="006A7948"/>
    <w:rsid w:val="006B1840"/>
    <w:rsid w:val="006C0556"/>
    <w:rsid w:val="006C1727"/>
    <w:rsid w:val="006C32FD"/>
    <w:rsid w:val="006C5707"/>
    <w:rsid w:val="006D0E4B"/>
    <w:rsid w:val="006D0FCC"/>
    <w:rsid w:val="006D1132"/>
    <w:rsid w:val="006D5E81"/>
    <w:rsid w:val="006D649A"/>
    <w:rsid w:val="006E0D57"/>
    <w:rsid w:val="006E133D"/>
    <w:rsid w:val="006E1DB2"/>
    <w:rsid w:val="006E71AE"/>
    <w:rsid w:val="006F1718"/>
    <w:rsid w:val="006F229E"/>
    <w:rsid w:val="006F2C4D"/>
    <w:rsid w:val="006F5B08"/>
    <w:rsid w:val="006F6061"/>
    <w:rsid w:val="006F7E21"/>
    <w:rsid w:val="007021DE"/>
    <w:rsid w:val="007029AB"/>
    <w:rsid w:val="00705C61"/>
    <w:rsid w:val="00705E92"/>
    <w:rsid w:val="0070616B"/>
    <w:rsid w:val="00706FDA"/>
    <w:rsid w:val="00711591"/>
    <w:rsid w:val="00711A1C"/>
    <w:rsid w:val="00711F9A"/>
    <w:rsid w:val="00713810"/>
    <w:rsid w:val="0071428A"/>
    <w:rsid w:val="007159D3"/>
    <w:rsid w:val="0072230F"/>
    <w:rsid w:val="00724B07"/>
    <w:rsid w:val="00725665"/>
    <w:rsid w:val="00730138"/>
    <w:rsid w:val="007303A5"/>
    <w:rsid w:val="00730B3E"/>
    <w:rsid w:val="00733610"/>
    <w:rsid w:val="0073420B"/>
    <w:rsid w:val="007357BE"/>
    <w:rsid w:val="007432AB"/>
    <w:rsid w:val="0074396E"/>
    <w:rsid w:val="0074760E"/>
    <w:rsid w:val="00751ADD"/>
    <w:rsid w:val="00751F71"/>
    <w:rsid w:val="00754ABA"/>
    <w:rsid w:val="0075762A"/>
    <w:rsid w:val="00760F9F"/>
    <w:rsid w:val="00762120"/>
    <w:rsid w:val="007674D9"/>
    <w:rsid w:val="00767695"/>
    <w:rsid w:val="007715DA"/>
    <w:rsid w:val="00772373"/>
    <w:rsid w:val="0077661F"/>
    <w:rsid w:val="00783433"/>
    <w:rsid w:val="007839EF"/>
    <w:rsid w:val="00783CF1"/>
    <w:rsid w:val="00784B8D"/>
    <w:rsid w:val="00786BFB"/>
    <w:rsid w:val="007954FC"/>
    <w:rsid w:val="0079612A"/>
    <w:rsid w:val="00796406"/>
    <w:rsid w:val="007A0FD4"/>
    <w:rsid w:val="007A1546"/>
    <w:rsid w:val="007A228C"/>
    <w:rsid w:val="007A2B59"/>
    <w:rsid w:val="007A368E"/>
    <w:rsid w:val="007A56B8"/>
    <w:rsid w:val="007A5868"/>
    <w:rsid w:val="007A731E"/>
    <w:rsid w:val="007A7C75"/>
    <w:rsid w:val="007B04CE"/>
    <w:rsid w:val="007B3D87"/>
    <w:rsid w:val="007B51C4"/>
    <w:rsid w:val="007B598C"/>
    <w:rsid w:val="007B5DFD"/>
    <w:rsid w:val="007B67B2"/>
    <w:rsid w:val="007B6871"/>
    <w:rsid w:val="007C07BC"/>
    <w:rsid w:val="007C1C13"/>
    <w:rsid w:val="007C3D33"/>
    <w:rsid w:val="007C4332"/>
    <w:rsid w:val="007C5618"/>
    <w:rsid w:val="007D1AC6"/>
    <w:rsid w:val="007D294A"/>
    <w:rsid w:val="007D3492"/>
    <w:rsid w:val="007D47D2"/>
    <w:rsid w:val="007D4951"/>
    <w:rsid w:val="007D4F6D"/>
    <w:rsid w:val="007D64F6"/>
    <w:rsid w:val="007D69F8"/>
    <w:rsid w:val="007D6EC0"/>
    <w:rsid w:val="007D7E1D"/>
    <w:rsid w:val="007E0FE2"/>
    <w:rsid w:val="007E32A9"/>
    <w:rsid w:val="007E4E5A"/>
    <w:rsid w:val="007E560C"/>
    <w:rsid w:val="007F47B6"/>
    <w:rsid w:val="007F6106"/>
    <w:rsid w:val="007F616E"/>
    <w:rsid w:val="007F73B0"/>
    <w:rsid w:val="00803244"/>
    <w:rsid w:val="008063BA"/>
    <w:rsid w:val="00806B5F"/>
    <w:rsid w:val="00810748"/>
    <w:rsid w:val="00811241"/>
    <w:rsid w:val="0081133E"/>
    <w:rsid w:val="00811C92"/>
    <w:rsid w:val="0081210D"/>
    <w:rsid w:val="0081345A"/>
    <w:rsid w:val="00813B1D"/>
    <w:rsid w:val="00813D60"/>
    <w:rsid w:val="00815681"/>
    <w:rsid w:val="0081710C"/>
    <w:rsid w:val="00823E2B"/>
    <w:rsid w:val="00833271"/>
    <w:rsid w:val="0084454D"/>
    <w:rsid w:val="00845D28"/>
    <w:rsid w:val="00850928"/>
    <w:rsid w:val="00863230"/>
    <w:rsid w:val="00870343"/>
    <w:rsid w:val="008717D8"/>
    <w:rsid w:val="00871DB1"/>
    <w:rsid w:val="0087215C"/>
    <w:rsid w:val="00872F55"/>
    <w:rsid w:val="008817AC"/>
    <w:rsid w:val="00881968"/>
    <w:rsid w:val="00884566"/>
    <w:rsid w:val="0088599D"/>
    <w:rsid w:val="008875FE"/>
    <w:rsid w:val="00887F8E"/>
    <w:rsid w:val="0089151C"/>
    <w:rsid w:val="00892283"/>
    <w:rsid w:val="008939EE"/>
    <w:rsid w:val="00896234"/>
    <w:rsid w:val="00897E43"/>
    <w:rsid w:val="008A1E44"/>
    <w:rsid w:val="008B493C"/>
    <w:rsid w:val="008B7D1F"/>
    <w:rsid w:val="008C0448"/>
    <w:rsid w:val="008C4731"/>
    <w:rsid w:val="008C4CAA"/>
    <w:rsid w:val="008C559E"/>
    <w:rsid w:val="008C5738"/>
    <w:rsid w:val="008C5D6F"/>
    <w:rsid w:val="008C736A"/>
    <w:rsid w:val="008C7EAD"/>
    <w:rsid w:val="008D24FA"/>
    <w:rsid w:val="008D2A54"/>
    <w:rsid w:val="008D2A6F"/>
    <w:rsid w:val="008D2BCE"/>
    <w:rsid w:val="008D490F"/>
    <w:rsid w:val="008D5126"/>
    <w:rsid w:val="008D57C3"/>
    <w:rsid w:val="008D6152"/>
    <w:rsid w:val="008E08B5"/>
    <w:rsid w:val="008E363D"/>
    <w:rsid w:val="008E50C6"/>
    <w:rsid w:val="008E554F"/>
    <w:rsid w:val="008F0F81"/>
    <w:rsid w:val="008F2474"/>
    <w:rsid w:val="008F2533"/>
    <w:rsid w:val="008F429B"/>
    <w:rsid w:val="008F5567"/>
    <w:rsid w:val="008F602E"/>
    <w:rsid w:val="00903092"/>
    <w:rsid w:val="00904577"/>
    <w:rsid w:val="009060B8"/>
    <w:rsid w:val="00910EF0"/>
    <w:rsid w:val="00913072"/>
    <w:rsid w:val="00914B71"/>
    <w:rsid w:val="0091550E"/>
    <w:rsid w:val="00921064"/>
    <w:rsid w:val="00923540"/>
    <w:rsid w:val="00923669"/>
    <w:rsid w:val="00924571"/>
    <w:rsid w:val="00924B26"/>
    <w:rsid w:val="00924E98"/>
    <w:rsid w:val="00925E90"/>
    <w:rsid w:val="00926767"/>
    <w:rsid w:val="00927701"/>
    <w:rsid w:val="00931D86"/>
    <w:rsid w:val="00933E4D"/>
    <w:rsid w:val="009361D5"/>
    <w:rsid w:val="00936D5B"/>
    <w:rsid w:val="009374A6"/>
    <w:rsid w:val="00940B47"/>
    <w:rsid w:val="00943014"/>
    <w:rsid w:val="0094377F"/>
    <w:rsid w:val="0094556D"/>
    <w:rsid w:val="00947435"/>
    <w:rsid w:val="009513CB"/>
    <w:rsid w:val="009529A4"/>
    <w:rsid w:val="00952A41"/>
    <w:rsid w:val="0095464F"/>
    <w:rsid w:val="00954908"/>
    <w:rsid w:val="009575F9"/>
    <w:rsid w:val="00960B37"/>
    <w:rsid w:val="0096514C"/>
    <w:rsid w:val="009659F4"/>
    <w:rsid w:val="00970D60"/>
    <w:rsid w:val="009712E4"/>
    <w:rsid w:val="00972D66"/>
    <w:rsid w:val="00976765"/>
    <w:rsid w:val="009768BB"/>
    <w:rsid w:val="009805E1"/>
    <w:rsid w:val="009807E0"/>
    <w:rsid w:val="0098608C"/>
    <w:rsid w:val="00991B6A"/>
    <w:rsid w:val="00993307"/>
    <w:rsid w:val="00994837"/>
    <w:rsid w:val="009A0D95"/>
    <w:rsid w:val="009A1FBA"/>
    <w:rsid w:val="009A3DD8"/>
    <w:rsid w:val="009A7743"/>
    <w:rsid w:val="009A7ADC"/>
    <w:rsid w:val="009B1CB9"/>
    <w:rsid w:val="009B3932"/>
    <w:rsid w:val="009B4FE4"/>
    <w:rsid w:val="009B533C"/>
    <w:rsid w:val="009B5E22"/>
    <w:rsid w:val="009C19B7"/>
    <w:rsid w:val="009C2FA0"/>
    <w:rsid w:val="009C401F"/>
    <w:rsid w:val="009D1366"/>
    <w:rsid w:val="009D22FA"/>
    <w:rsid w:val="009D6709"/>
    <w:rsid w:val="009D7715"/>
    <w:rsid w:val="009D792E"/>
    <w:rsid w:val="009D7C51"/>
    <w:rsid w:val="009E74EF"/>
    <w:rsid w:val="009F00DB"/>
    <w:rsid w:val="009F36BF"/>
    <w:rsid w:val="009F5B27"/>
    <w:rsid w:val="009F61F8"/>
    <w:rsid w:val="009F6706"/>
    <w:rsid w:val="00A01BF8"/>
    <w:rsid w:val="00A02F51"/>
    <w:rsid w:val="00A051F0"/>
    <w:rsid w:val="00A06D5A"/>
    <w:rsid w:val="00A07AD5"/>
    <w:rsid w:val="00A111B6"/>
    <w:rsid w:val="00A12577"/>
    <w:rsid w:val="00A14F2B"/>
    <w:rsid w:val="00A178B0"/>
    <w:rsid w:val="00A22065"/>
    <w:rsid w:val="00A2370D"/>
    <w:rsid w:val="00A23FF8"/>
    <w:rsid w:val="00A25033"/>
    <w:rsid w:val="00A27237"/>
    <w:rsid w:val="00A30AF1"/>
    <w:rsid w:val="00A31CD1"/>
    <w:rsid w:val="00A359BC"/>
    <w:rsid w:val="00A35B5E"/>
    <w:rsid w:val="00A41838"/>
    <w:rsid w:val="00A42A99"/>
    <w:rsid w:val="00A437F4"/>
    <w:rsid w:val="00A451ED"/>
    <w:rsid w:val="00A46316"/>
    <w:rsid w:val="00A470CB"/>
    <w:rsid w:val="00A47274"/>
    <w:rsid w:val="00A47530"/>
    <w:rsid w:val="00A47C6F"/>
    <w:rsid w:val="00A5116D"/>
    <w:rsid w:val="00A5151A"/>
    <w:rsid w:val="00A53321"/>
    <w:rsid w:val="00A53CAB"/>
    <w:rsid w:val="00A53FAC"/>
    <w:rsid w:val="00A55A46"/>
    <w:rsid w:val="00A7134C"/>
    <w:rsid w:val="00A72063"/>
    <w:rsid w:val="00A7290A"/>
    <w:rsid w:val="00A72D4F"/>
    <w:rsid w:val="00A7595F"/>
    <w:rsid w:val="00A768D4"/>
    <w:rsid w:val="00A80DF0"/>
    <w:rsid w:val="00A823F6"/>
    <w:rsid w:val="00A8472C"/>
    <w:rsid w:val="00A84CA3"/>
    <w:rsid w:val="00A852F9"/>
    <w:rsid w:val="00A924D8"/>
    <w:rsid w:val="00A925C0"/>
    <w:rsid w:val="00A92663"/>
    <w:rsid w:val="00A926CB"/>
    <w:rsid w:val="00A92743"/>
    <w:rsid w:val="00A9421F"/>
    <w:rsid w:val="00A9509D"/>
    <w:rsid w:val="00AA0A89"/>
    <w:rsid w:val="00AA3A16"/>
    <w:rsid w:val="00AA4C4E"/>
    <w:rsid w:val="00AA7DC4"/>
    <w:rsid w:val="00AB2D36"/>
    <w:rsid w:val="00AB30A8"/>
    <w:rsid w:val="00AB70B6"/>
    <w:rsid w:val="00AB7364"/>
    <w:rsid w:val="00AC01AA"/>
    <w:rsid w:val="00AC088B"/>
    <w:rsid w:val="00AC3935"/>
    <w:rsid w:val="00AC4F72"/>
    <w:rsid w:val="00AD1106"/>
    <w:rsid w:val="00AD21F3"/>
    <w:rsid w:val="00AD50AA"/>
    <w:rsid w:val="00AD7019"/>
    <w:rsid w:val="00AD7D36"/>
    <w:rsid w:val="00AE3928"/>
    <w:rsid w:val="00AE3C54"/>
    <w:rsid w:val="00AE5744"/>
    <w:rsid w:val="00AE743D"/>
    <w:rsid w:val="00AF19FD"/>
    <w:rsid w:val="00AF3DC6"/>
    <w:rsid w:val="00AF53CD"/>
    <w:rsid w:val="00AF5D68"/>
    <w:rsid w:val="00AF741A"/>
    <w:rsid w:val="00B03027"/>
    <w:rsid w:val="00B04161"/>
    <w:rsid w:val="00B042BC"/>
    <w:rsid w:val="00B056F9"/>
    <w:rsid w:val="00B05B4D"/>
    <w:rsid w:val="00B10BA2"/>
    <w:rsid w:val="00B11E3D"/>
    <w:rsid w:val="00B13355"/>
    <w:rsid w:val="00B17CF0"/>
    <w:rsid w:val="00B17E82"/>
    <w:rsid w:val="00B2780D"/>
    <w:rsid w:val="00B30A0B"/>
    <w:rsid w:val="00B32C91"/>
    <w:rsid w:val="00B32E7D"/>
    <w:rsid w:val="00B3597E"/>
    <w:rsid w:val="00B37482"/>
    <w:rsid w:val="00B4610E"/>
    <w:rsid w:val="00B50241"/>
    <w:rsid w:val="00B50DBB"/>
    <w:rsid w:val="00B55263"/>
    <w:rsid w:val="00B575BA"/>
    <w:rsid w:val="00B67711"/>
    <w:rsid w:val="00B67A22"/>
    <w:rsid w:val="00B67F64"/>
    <w:rsid w:val="00B74FA8"/>
    <w:rsid w:val="00B7541F"/>
    <w:rsid w:val="00B76257"/>
    <w:rsid w:val="00B76429"/>
    <w:rsid w:val="00B77B0E"/>
    <w:rsid w:val="00B81734"/>
    <w:rsid w:val="00B82BF8"/>
    <w:rsid w:val="00B82C50"/>
    <w:rsid w:val="00B847F5"/>
    <w:rsid w:val="00B84E8E"/>
    <w:rsid w:val="00B85260"/>
    <w:rsid w:val="00B86702"/>
    <w:rsid w:val="00B87E0C"/>
    <w:rsid w:val="00B87FD8"/>
    <w:rsid w:val="00B905C9"/>
    <w:rsid w:val="00B943BA"/>
    <w:rsid w:val="00B94C8E"/>
    <w:rsid w:val="00B956D4"/>
    <w:rsid w:val="00BA0787"/>
    <w:rsid w:val="00BA0D38"/>
    <w:rsid w:val="00BA7432"/>
    <w:rsid w:val="00BA7BEF"/>
    <w:rsid w:val="00BB1B76"/>
    <w:rsid w:val="00BB264B"/>
    <w:rsid w:val="00BB2F09"/>
    <w:rsid w:val="00BB4243"/>
    <w:rsid w:val="00BC1AA0"/>
    <w:rsid w:val="00BC2554"/>
    <w:rsid w:val="00BC4057"/>
    <w:rsid w:val="00BC49CD"/>
    <w:rsid w:val="00BC674F"/>
    <w:rsid w:val="00BC7534"/>
    <w:rsid w:val="00BC7EB9"/>
    <w:rsid w:val="00BD2643"/>
    <w:rsid w:val="00BD42C2"/>
    <w:rsid w:val="00BD4F1F"/>
    <w:rsid w:val="00BD58C5"/>
    <w:rsid w:val="00BD5C00"/>
    <w:rsid w:val="00BD6558"/>
    <w:rsid w:val="00BD693E"/>
    <w:rsid w:val="00BE08BF"/>
    <w:rsid w:val="00BE0C37"/>
    <w:rsid w:val="00BE2B37"/>
    <w:rsid w:val="00BE2D0D"/>
    <w:rsid w:val="00BF3056"/>
    <w:rsid w:val="00BF3214"/>
    <w:rsid w:val="00C03398"/>
    <w:rsid w:val="00C038C9"/>
    <w:rsid w:val="00C07B3E"/>
    <w:rsid w:val="00C07C3D"/>
    <w:rsid w:val="00C15867"/>
    <w:rsid w:val="00C17E61"/>
    <w:rsid w:val="00C17E66"/>
    <w:rsid w:val="00C2296D"/>
    <w:rsid w:val="00C23155"/>
    <w:rsid w:val="00C2546F"/>
    <w:rsid w:val="00C324FA"/>
    <w:rsid w:val="00C3387D"/>
    <w:rsid w:val="00C3435E"/>
    <w:rsid w:val="00C368FF"/>
    <w:rsid w:val="00C376A7"/>
    <w:rsid w:val="00C40A87"/>
    <w:rsid w:val="00C40C41"/>
    <w:rsid w:val="00C41086"/>
    <w:rsid w:val="00C43175"/>
    <w:rsid w:val="00C44856"/>
    <w:rsid w:val="00C45885"/>
    <w:rsid w:val="00C50F22"/>
    <w:rsid w:val="00C523CB"/>
    <w:rsid w:val="00C56672"/>
    <w:rsid w:val="00C56FED"/>
    <w:rsid w:val="00C576A0"/>
    <w:rsid w:val="00C57971"/>
    <w:rsid w:val="00C6148C"/>
    <w:rsid w:val="00C6311C"/>
    <w:rsid w:val="00C64271"/>
    <w:rsid w:val="00C64978"/>
    <w:rsid w:val="00C712ED"/>
    <w:rsid w:val="00C76BA4"/>
    <w:rsid w:val="00C80538"/>
    <w:rsid w:val="00C830E7"/>
    <w:rsid w:val="00C83A48"/>
    <w:rsid w:val="00C84967"/>
    <w:rsid w:val="00C855B5"/>
    <w:rsid w:val="00C85865"/>
    <w:rsid w:val="00C85E85"/>
    <w:rsid w:val="00C94849"/>
    <w:rsid w:val="00C963C9"/>
    <w:rsid w:val="00CA1AF9"/>
    <w:rsid w:val="00CA2EAE"/>
    <w:rsid w:val="00CA4AC1"/>
    <w:rsid w:val="00CA7A7E"/>
    <w:rsid w:val="00CB0316"/>
    <w:rsid w:val="00CB0B11"/>
    <w:rsid w:val="00CB104E"/>
    <w:rsid w:val="00CB12FE"/>
    <w:rsid w:val="00CB5354"/>
    <w:rsid w:val="00CB7CE4"/>
    <w:rsid w:val="00CC2F4A"/>
    <w:rsid w:val="00CC6987"/>
    <w:rsid w:val="00CC6A14"/>
    <w:rsid w:val="00CC6E10"/>
    <w:rsid w:val="00CC70A3"/>
    <w:rsid w:val="00CD519A"/>
    <w:rsid w:val="00CD53C3"/>
    <w:rsid w:val="00CD574E"/>
    <w:rsid w:val="00CE178F"/>
    <w:rsid w:val="00CE4C22"/>
    <w:rsid w:val="00CE5229"/>
    <w:rsid w:val="00CE53D1"/>
    <w:rsid w:val="00CF41EC"/>
    <w:rsid w:val="00CF5D04"/>
    <w:rsid w:val="00CF6727"/>
    <w:rsid w:val="00CF6E89"/>
    <w:rsid w:val="00CF7615"/>
    <w:rsid w:val="00D003EA"/>
    <w:rsid w:val="00D032DD"/>
    <w:rsid w:val="00D039B1"/>
    <w:rsid w:val="00D03EB6"/>
    <w:rsid w:val="00D04DE4"/>
    <w:rsid w:val="00D05563"/>
    <w:rsid w:val="00D063F1"/>
    <w:rsid w:val="00D11B17"/>
    <w:rsid w:val="00D11E50"/>
    <w:rsid w:val="00D1279C"/>
    <w:rsid w:val="00D14F22"/>
    <w:rsid w:val="00D15C7C"/>
    <w:rsid w:val="00D166E4"/>
    <w:rsid w:val="00D20311"/>
    <w:rsid w:val="00D204ED"/>
    <w:rsid w:val="00D24723"/>
    <w:rsid w:val="00D2598D"/>
    <w:rsid w:val="00D26218"/>
    <w:rsid w:val="00D323CC"/>
    <w:rsid w:val="00D3403F"/>
    <w:rsid w:val="00D42237"/>
    <w:rsid w:val="00D468ED"/>
    <w:rsid w:val="00D4718A"/>
    <w:rsid w:val="00D50D20"/>
    <w:rsid w:val="00D542B0"/>
    <w:rsid w:val="00D5499A"/>
    <w:rsid w:val="00D56C44"/>
    <w:rsid w:val="00D57918"/>
    <w:rsid w:val="00D620FF"/>
    <w:rsid w:val="00D62CDF"/>
    <w:rsid w:val="00D62D23"/>
    <w:rsid w:val="00D64809"/>
    <w:rsid w:val="00D666B3"/>
    <w:rsid w:val="00D71DDE"/>
    <w:rsid w:val="00D731B5"/>
    <w:rsid w:val="00D7342E"/>
    <w:rsid w:val="00D739B2"/>
    <w:rsid w:val="00D73DC6"/>
    <w:rsid w:val="00D746BE"/>
    <w:rsid w:val="00D74C1A"/>
    <w:rsid w:val="00D75205"/>
    <w:rsid w:val="00D754C1"/>
    <w:rsid w:val="00D77A35"/>
    <w:rsid w:val="00D80D31"/>
    <w:rsid w:val="00D81B3E"/>
    <w:rsid w:val="00D81C82"/>
    <w:rsid w:val="00D8216D"/>
    <w:rsid w:val="00D82A46"/>
    <w:rsid w:val="00D90C70"/>
    <w:rsid w:val="00D90E49"/>
    <w:rsid w:val="00D90F56"/>
    <w:rsid w:val="00D93AAA"/>
    <w:rsid w:val="00DA166F"/>
    <w:rsid w:val="00DA1D7C"/>
    <w:rsid w:val="00DA2356"/>
    <w:rsid w:val="00DA2D91"/>
    <w:rsid w:val="00DA39C2"/>
    <w:rsid w:val="00DA4FB3"/>
    <w:rsid w:val="00DB0B15"/>
    <w:rsid w:val="00DB161D"/>
    <w:rsid w:val="00DB2280"/>
    <w:rsid w:val="00DB276A"/>
    <w:rsid w:val="00DB4A31"/>
    <w:rsid w:val="00DB6218"/>
    <w:rsid w:val="00DC50CA"/>
    <w:rsid w:val="00DC628D"/>
    <w:rsid w:val="00DC6A10"/>
    <w:rsid w:val="00DC6AC3"/>
    <w:rsid w:val="00DD3BD8"/>
    <w:rsid w:val="00DD4497"/>
    <w:rsid w:val="00DE13F5"/>
    <w:rsid w:val="00DE1D5E"/>
    <w:rsid w:val="00DE3F39"/>
    <w:rsid w:val="00DE47BA"/>
    <w:rsid w:val="00DE5070"/>
    <w:rsid w:val="00DE657E"/>
    <w:rsid w:val="00DF45DE"/>
    <w:rsid w:val="00DF4704"/>
    <w:rsid w:val="00DF4D84"/>
    <w:rsid w:val="00DF6C77"/>
    <w:rsid w:val="00DF7B78"/>
    <w:rsid w:val="00E024AA"/>
    <w:rsid w:val="00E044E3"/>
    <w:rsid w:val="00E06673"/>
    <w:rsid w:val="00E06F59"/>
    <w:rsid w:val="00E125FB"/>
    <w:rsid w:val="00E14175"/>
    <w:rsid w:val="00E1693E"/>
    <w:rsid w:val="00E16D12"/>
    <w:rsid w:val="00E2267B"/>
    <w:rsid w:val="00E250F1"/>
    <w:rsid w:val="00E273F2"/>
    <w:rsid w:val="00E31866"/>
    <w:rsid w:val="00E31AEA"/>
    <w:rsid w:val="00E3550D"/>
    <w:rsid w:val="00E41CAD"/>
    <w:rsid w:val="00E50035"/>
    <w:rsid w:val="00E51816"/>
    <w:rsid w:val="00E614E0"/>
    <w:rsid w:val="00E6309F"/>
    <w:rsid w:val="00E72900"/>
    <w:rsid w:val="00E73F7F"/>
    <w:rsid w:val="00E76170"/>
    <w:rsid w:val="00E76A96"/>
    <w:rsid w:val="00E77EE5"/>
    <w:rsid w:val="00E84C73"/>
    <w:rsid w:val="00E87270"/>
    <w:rsid w:val="00E9548D"/>
    <w:rsid w:val="00E96560"/>
    <w:rsid w:val="00EA2887"/>
    <w:rsid w:val="00EA2F98"/>
    <w:rsid w:val="00EA300B"/>
    <w:rsid w:val="00EA429F"/>
    <w:rsid w:val="00EA4F9E"/>
    <w:rsid w:val="00EA6D3B"/>
    <w:rsid w:val="00EB00AD"/>
    <w:rsid w:val="00EB03E7"/>
    <w:rsid w:val="00EB136C"/>
    <w:rsid w:val="00EB147D"/>
    <w:rsid w:val="00EB480E"/>
    <w:rsid w:val="00EB5EC6"/>
    <w:rsid w:val="00EB6E5D"/>
    <w:rsid w:val="00EB7FC9"/>
    <w:rsid w:val="00EC3333"/>
    <w:rsid w:val="00EC504D"/>
    <w:rsid w:val="00EC5128"/>
    <w:rsid w:val="00EC5B34"/>
    <w:rsid w:val="00ED4585"/>
    <w:rsid w:val="00ED6040"/>
    <w:rsid w:val="00ED6AA0"/>
    <w:rsid w:val="00ED7137"/>
    <w:rsid w:val="00EE1207"/>
    <w:rsid w:val="00EE293E"/>
    <w:rsid w:val="00EE441D"/>
    <w:rsid w:val="00EE45DF"/>
    <w:rsid w:val="00EE54EA"/>
    <w:rsid w:val="00EE702D"/>
    <w:rsid w:val="00EF65CE"/>
    <w:rsid w:val="00EF6B85"/>
    <w:rsid w:val="00F01812"/>
    <w:rsid w:val="00F036EB"/>
    <w:rsid w:val="00F04EEC"/>
    <w:rsid w:val="00F10BAF"/>
    <w:rsid w:val="00F10BF9"/>
    <w:rsid w:val="00F1248E"/>
    <w:rsid w:val="00F2081C"/>
    <w:rsid w:val="00F20E16"/>
    <w:rsid w:val="00F21088"/>
    <w:rsid w:val="00F218E7"/>
    <w:rsid w:val="00F22AE3"/>
    <w:rsid w:val="00F2351E"/>
    <w:rsid w:val="00F327E7"/>
    <w:rsid w:val="00F32A5F"/>
    <w:rsid w:val="00F35746"/>
    <w:rsid w:val="00F36371"/>
    <w:rsid w:val="00F42B57"/>
    <w:rsid w:val="00F4378A"/>
    <w:rsid w:val="00F440A4"/>
    <w:rsid w:val="00F447C7"/>
    <w:rsid w:val="00F46E3D"/>
    <w:rsid w:val="00F50153"/>
    <w:rsid w:val="00F52618"/>
    <w:rsid w:val="00F52E97"/>
    <w:rsid w:val="00F554A9"/>
    <w:rsid w:val="00F57734"/>
    <w:rsid w:val="00F611CE"/>
    <w:rsid w:val="00F62010"/>
    <w:rsid w:val="00F62F5E"/>
    <w:rsid w:val="00F666C6"/>
    <w:rsid w:val="00F6706C"/>
    <w:rsid w:val="00F6759F"/>
    <w:rsid w:val="00F716FD"/>
    <w:rsid w:val="00F721B6"/>
    <w:rsid w:val="00F72AE1"/>
    <w:rsid w:val="00F73ACF"/>
    <w:rsid w:val="00F7702E"/>
    <w:rsid w:val="00F80355"/>
    <w:rsid w:val="00F8112B"/>
    <w:rsid w:val="00F87A4B"/>
    <w:rsid w:val="00F91BFE"/>
    <w:rsid w:val="00F93C4B"/>
    <w:rsid w:val="00F9452C"/>
    <w:rsid w:val="00F9581F"/>
    <w:rsid w:val="00FA31C1"/>
    <w:rsid w:val="00FA719C"/>
    <w:rsid w:val="00FB0C81"/>
    <w:rsid w:val="00FB765F"/>
    <w:rsid w:val="00FC11D7"/>
    <w:rsid w:val="00FC2200"/>
    <w:rsid w:val="00FC2540"/>
    <w:rsid w:val="00FD186D"/>
    <w:rsid w:val="00FE3139"/>
    <w:rsid w:val="00FE3364"/>
    <w:rsid w:val="00FE4373"/>
    <w:rsid w:val="00FE5938"/>
    <w:rsid w:val="00FE5B8C"/>
    <w:rsid w:val="00FE7B89"/>
    <w:rsid w:val="00FF0204"/>
    <w:rsid w:val="00FF0B73"/>
    <w:rsid w:val="00FF1B8E"/>
    <w:rsid w:val="00FF3AED"/>
    <w:rsid w:val="00FF3B2C"/>
    <w:rsid w:val="00FF7302"/>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133EC"/>
  <w15:docId w15:val="{6B6107C4-9BAC-493B-A982-20AE2F57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FooterChar">
    <w:name w:val="Footer Char"/>
    <w:basedOn w:val="DefaultParagraphFont"/>
    <w:link w:val="Footer"/>
    <w:uiPriority w:val="99"/>
    <w:rsid w:val="000A2AA9"/>
    <w:rPr>
      <w:sz w:val="22"/>
      <w:szCs w:val="22"/>
      <w:lang w:val="en-CA"/>
    </w:rPr>
  </w:style>
  <w:style w:type="paragraph" w:styleId="ListParagraph">
    <w:name w:val="List Paragraph"/>
    <w:basedOn w:val="Normal"/>
    <w:link w:val="ListParagraphChar"/>
    <w:uiPriority w:val="34"/>
    <w:qFormat/>
    <w:rsid w:val="00087FAC"/>
    <w:pPr>
      <w:ind w:left="720"/>
      <w:contextualSpacing/>
    </w:pPr>
  </w:style>
  <w:style w:type="character" w:customStyle="1" w:styleId="ListParagraphChar">
    <w:name w:val="List Paragraph Char"/>
    <w:link w:val="ListParagraph"/>
    <w:uiPriority w:val="34"/>
    <w:locked/>
    <w:rsid w:val="00C4485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086"/>
    <w:rPr>
      <w:sz w:val="22"/>
      <w:szCs w:val="22"/>
      <w:lang w:val="en-CA"/>
    </w:rPr>
  </w:style>
  <w:style w:type="paragraph" w:styleId="Revision">
    <w:name w:val="Revision"/>
    <w:hidden/>
    <w:uiPriority w:val="99"/>
    <w:semiHidden/>
    <w:rsid w:val="00FF730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96406"/>
    <w:rPr>
      <w:sz w:val="22"/>
      <w:szCs w:val="22"/>
      <w:lang w:val="en-CA"/>
    </w:rPr>
  </w:style>
  <w:style w:type="paragraph" w:styleId="EndnoteText">
    <w:name w:val="endnote text"/>
    <w:basedOn w:val="Normal"/>
    <w:link w:val="EndnoteTextChar"/>
    <w:uiPriority w:val="99"/>
    <w:semiHidden/>
    <w:unhideWhenUsed/>
    <w:rsid w:val="002B78A7"/>
    <w:rPr>
      <w:sz w:val="20"/>
      <w:szCs w:val="20"/>
    </w:rPr>
  </w:style>
  <w:style w:type="character" w:customStyle="1" w:styleId="EndnoteTextChar">
    <w:name w:val="Endnote Text Char"/>
    <w:basedOn w:val="DefaultParagraphFont"/>
    <w:link w:val="EndnoteText"/>
    <w:uiPriority w:val="99"/>
    <w:semiHidden/>
    <w:rsid w:val="002B78A7"/>
    <w:rPr>
      <w:lang w:val="en-CA"/>
    </w:rPr>
  </w:style>
  <w:style w:type="character" w:styleId="EndnoteReference">
    <w:name w:val="endnote reference"/>
    <w:basedOn w:val="DefaultParagraphFont"/>
    <w:uiPriority w:val="99"/>
    <w:semiHidden/>
    <w:unhideWhenUsed/>
    <w:rsid w:val="002B78A7"/>
    <w:rPr>
      <w:vertAlign w:val="superscript"/>
    </w:rPr>
  </w:style>
  <w:style w:type="character" w:customStyle="1" w:styleId="cf01">
    <w:name w:val="cf01"/>
    <w:basedOn w:val="DefaultParagraphFont"/>
    <w:rsid w:val="00B74FA8"/>
    <w:rPr>
      <w:rFonts w:ascii="Segoe UI" w:hAnsi="Segoe UI" w:cs="Segoe UI" w:hint="default"/>
      <w:sz w:val="18"/>
      <w:szCs w:val="18"/>
    </w:rPr>
  </w:style>
  <w:style w:type="character" w:styleId="Emphasis">
    <w:name w:val="Emphasis"/>
    <w:basedOn w:val="DefaultParagraphFont"/>
    <w:uiPriority w:val="20"/>
    <w:qFormat/>
    <w:rsid w:val="009F5B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http://schemas.microsoft.com/office/2006/documentManagement/types"/>
    <ds:schemaRef ds:uri="http://schemas.microsoft.com/sharepoint/v3"/>
    <ds:schemaRef ds:uri="http://purl.org/dc/terms/"/>
    <ds:schemaRef ds:uri="eb6c2e4c-3f1c-4103-a37b-37c984dbe58f"/>
    <ds:schemaRef ds:uri="b93c647f-d63b-431a-95c8-8e00048cff23"/>
    <ds:schemaRef ds:uri="http://schemas.microsoft.com/office/2006/metadata/properties"/>
    <ds:schemaRef ds:uri="http://purl.org/dc/dcmitype/"/>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DE53C80-FA30-4737-B22B-153187BB1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4.xml><?xml version="1.0" encoding="utf-8"?>
<ds:datastoreItem xmlns:ds="http://schemas.openxmlformats.org/officeDocument/2006/customXml" ds:itemID="{94DC9001-DB76-3842-99FE-BD055BF92F6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4465</Words>
  <Characters>25614</Characters>
  <Application>Microsoft Office Word</Application>
  <DocSecurity>0</DocSecurity>
  <Lines>213</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Actualización sobre la entrada en operaciones de centros de excelencia para la refrigeración sostenible (decisión 95/87 e))</vt:lpstr>
      <vt:lpstr>UPDATE ON THE OPERATIONALIZATION OF CENTRES OF EXCELLENCE FOR SUSTAINABLE COOLING (Decision 95/87(e))</vt:lpstr>
    </vt:vector>
  </TitlesOfParts>
  <Company>UNMFS</Company>
  <LinksUpToDate>false</LinksUpToDate>
  <CharactersWithSpaces>30019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la entrada en operaciones de centros de excelencia para la refrigeración sostenible (decisión 95/87 e))</dc:title>
  <dc:creator>Ayman Eltalouny</dc:creator>
  <cp:lastModifiedBy>Angela Xue He Yan</cp:lastModifiedBy>
  <cp:revision>4</cp:revision>
  <cp:lastPrinted>2001-05-26T16:40:00Z</cp:lastPrinted>
  <dcterms:created xsi:type="dcterms:W3CDTF">2025-11-19T20:32:00Z</dcterms:created>
  <dcterms:modified xsi:type="dcterms:W3CDTF">2025-11-19T22:24:00Z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UNEP/OzL.Pro/ExCom/97/85</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Title">
    <vt:lpwstr>Actualización sobre la entrada en operaciones de centros de excelencia para la refrigeración sostenible (decisión 95/87 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