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17424B">
        <w:trPr>
          <w:trHeight w:val="720"/>
        </w:trPr>
        <w:tc>
          <w:tcPr>
            <w:tcW w:w="5490" w:type="dxa"/>
            <w:gridSpan w:val="2"/>
            <w:tcBorders>
              <w:bottom w:val="single" w:sz="18" w:space="0" w:color="auto"/>
            </w:tcBorders>
          </w:tcPr>
          <w:p w:rsidR="00C15867" w:rsidRPr="0000434E" w:rsidRDefault="00C15867" w:rsidP="001742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17424B">
            <w:pPr>
              <w:jc w:val="right"/>
              <w:rPr>
                <w:sz w:val="52"/>
                <w:szCs w:val="52"/>
              </w:rPr>
            </w:pPr>
            <w:r>
              <w:rPr>
                <w:rFonts w:ascii="Univers Bold" w:hAnsi="Univers Bold"/>
                <w:b/>
                <w:sz w:val="72"/>
              </w:rPr>
              <w:t>EP</w:t>
            </w:r>
          </w:p>
        </w:tc>
      </w:tr>
      <w:tr w:rsidR="00C15867" w:rsidTr="00174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17424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1742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1742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1742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17424B">
            <w:pPr>
              <w:spacing w:before="720"/>
              <w:ind w:left="158"/>
            </w:pPr>
          </w:p>
        </w:tc>
        <w:tc>
          <w:tcPr>
            <w:tcW w:w="4590" w:type="dxa"/>
            <w:tcBorders>
              <w:top w:val="nil"/>
              <w:left w:val="nil"/>
              <w:bottom w:val="single" w:sz="36" w:space="0" w:color="auto"/>
              <w:right w:val="nil"/>
            </w:tcBorders>
          </w:tcPr>
          <w:p w:rsidR="00C15867" w:rsidRPr="0033525D" w:rsidRDefault="00C15867" w:rsidP="0017424B">
            <w:r w:rsidRPr="0033525D">
              <w:t>Distr.</w:t>
            </w:r>
          </w:p>
          <w:p w:rsidR="00923540" w:rsidRPr="0033525D" w:rsidRDefault="00923540" w:rsidP="00923540">
            <w:r w:rsidRPr="0033525D">
              <w:t>GENERAL</w:t>
            </w:r>
          </w:p>
          <w:p w:rsidR="00C15867" w:rsidRPr="0033525D" w:rsidRDefault="00C15867" w:rsidP="0017424B"/>
          <w:p w:rsidR="00C15867" w:rsidRPr="003F73BA" w:rsidRDefault="00C15867" w:rsidP="0017424B"/>
          <w:p w:rsidR="00C15867" w:rsidRPr="003F73BA" w:rsidRDefault="001804EA" w:rsidP="0017424B">
            <w:r>
              <w:fldChar w:fldCharType="begin"/>
            </w:r>
            <w:r>
              <w:instrText xml:space="preserve"> DOCPROPERTY "Document number"  \* MERGEFORMAT </w:instrText>
            </w:r>
            <w:r>
              <w:fldChar w:fldCharType="separate"/>
            </w:r>
            <w:r w:rsidR="00555A2A">
              <w:t>UNEP/</w:t>
            </w:r>
            <w:proofErr w:type="spellStart"/>
            <w:r w:rsidR="00555A2A">
              <w:t>OzL.Pro</w:t>
            </w:r>
            <w:proofErr w:type="spellEnd"/>
            <w:r w:rsidR="00555A2A">
              <w:t>/ExCom/78/4</w:t>
            </w:r>
            <w:r>
              <w:fldChar w:fldCharType="end"/>
            </w:r>
          </w:p>
          <w:p w:rsidR="00C15867" w:rsidRPr="003F73BA" w:rsidRDefault="00BC2495" w:rsidP="0017424B">
            <w:r>
              <w:fldChar w:fldCharType="begin"/>
            </w:r>
            <w:r w:rsidR="00851352">
              <w:instrText xml:space="preserve"> DOCPROPERTY "Revision date" \@ "d MMMM YYYY"  \* MERGEFORMAT </w:instrText>
            </w:r>
            <w:r>
              <w:fldChar w:fldCharType="separate"/>
            </w:r>
            <w:r w:rsidR="00F86110">
              <w:t>6 March 2017</w:t>
            </w:r>
            <w:r>
              <w:fldChar w:fldCharType="end"/>
            </w:r>
          </w:p>
          <w:p w:rsidR="00C15867" w:rsidRPr="00000FED" w:rsidRDefault="00C15867" w:rsidP="0017424B">
            <w:pPr>
              <w:rPr>
                <w:caps/>
              </w:rPr>
            </w:pPr>
          </w:p>
          <w:p w:rsidR="00C15867" w:rsidRDefault="00C15867" w:rsidP="0017424B">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831979" w:rsidRPr="00831979">
        <w:rPr>
          <w:lang w:val="en-CA"/>
        </w:rPr>
        <w:t xml:space="preserve"> </w:t>
      </w:r>
      <w:r w:rsidR="00831979">
        <w:rPr>
          <w:lang w:val="en-CA"/>
        </w:rPr>
        <w:t xml:space="preserve">eighth </w:t>
      </w:r>
      <w:r w:rsidR="00BF3022">
        <w:t>Meeting</w:t>
      </w:r>
    </w:p>
    <w:p w:rsidR="009960E5" w:rsidRPr="006C39CE" w:rsidRDefault="00BF3022" w:rsidP="00BF3022">
      <w:pPr>
        <w:jc w:val="left"/>
        <w:rPr>
          <w:lang w:val="en-CA"/>
        </w:rPr>
      </w:pPr>
      <w:r w:rsidRPr="00042E3E">
        <w:rPr>
          <w:lang w:val="en-CA"/>
        </w:rPr>
        <w:t>Montreal, 4-7 April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17424B" w:rsidRPr="0017424B" w:rsidRDefault="0017424B" w:rsidP="0017424B">
      <w:pPr>
        <w:tabs>
          <w:tab w:val="left" w:pos="720"/>
          <w:tab w:val="left" w:pos="1440"/>
          <w:tab w:val="left" w:pos="2160"/>
        </w:tabs>
        <w:autoSpaceDE w:val="0"/>
        <w:autoSpaceDN w:val="0"/>
        <w:adjustRightInd w:val="0"/>
        <w:jc w:val="center"/>
        <w:rPr>
          <w:b/>
          <w:caps/>
        </w:rPr>
      </w:pPr>
      <w:r w:rsidRPr="0017424B">
        <w:rPr>
          <w:b/>
          <w:caps/>
        </w:rPr>
        <w:t xml:space="preserve">AVAILABLE INFORMATION ON HFC CONSUMPTION AND PRODUCTION </w:t>
      </w:r>
    </w:p>
    <w:p w:rsidR="0017424B" w:rsidRPr="0017424B" w:rsidRDefault="0017424B" w:rsidP="0017424B">
      <w:pPr>
        <w:tabs>
          <w:tab w:val="left" w:pos="720"/>
          <w:tab w:val="left" w:pos="1440"/>
          <w:tab w:val="left" w:pos="2160"/>
        </w:tabs>
        <w:autoSpaceDE w:val="0"/>
        <w:autoSpaceDN w:val="0"/>
        <w:adjustRightInd w:val="0"/>
        <w:jc w:val="center"/>
        <w:rPr>
          <w:b/>
          <w:caps/>
        </w:rPr>
      </w:pPr>
      <w:r w:rsidRPr="0017424B">
        <w:rPr>
          <w:b/>
          <w:caps/>
        </w:rPr>
        <w:t>IN ARTICLE 5 COUNTRIES</w:t>
      </w:r>
    </w:p>
    <w:p w:rsidR="0017424B" w:rsidRPr="0017424B" w:rsidRDefault="0017424B" w:rsidP="0017424B">
      <w:pPr>
        <w:tabs>
          <w:tab w:val="left" w:pos="720"/>
          <w:tab w:val="left" w:pos="1440"/>
          <w:tab w:val="left" w:pos="2160"/>
        </w:tabs>
        <w:autoSpaceDE w:val="0"/>
        <w:autoSpaceDN w:val="0"/>
        <w:adjustRightInd w:val="0"/>
        <w:jc w:val="center"/>
        <w:rPr>
          <w:b/>
          <w:caps/>
        </w:rPr>
      </w:pPr>
    </w:p>
    <w:p w:rsidR="0017424B" w:rsidRPr="0017424B" w:rsidRDefault="0017424B" w:rsidP="0017424B">
      <w:pPr>
        <w:keepNext/>
        <w:rPr>
          <w:b/>
          <w:lang w:val="en-CA"/>
        </w:rPr>
      </w:pPr>
      <w:r w:rsidRPr="0017424B">
        <w:rPr>
          <w:b/>
          <w:lang w:val="en-CA"/>
        </w:rPr>
        <w:t>Background</w:t>
      </w:r>
    </w:p>
    <w:p w:rsidR="0017424B" w:rsidRPr="0017424B" w:rsidRDefault="0017424B" w:rsidP="0017424B">
      <w:pPr>
        <w:keepNext/>
        <w:rPr>
          <w:lang w:val="en-CA"/>
        </w:rPr>
      </w:pPr>
    </w:p>
    <w:p w:rsidR="0017424B" w:rsidRPr="0017424B" w:rsidRDefault="0017424B" w:rsidP="0017424B">
      <w:pPr>
        <w:numPr>
          <w:ilvl w:val="0"/>
          <w:numId w:val="1"/>
        </w:numPr>
        <w:tabs>
          <w:tab w:val="clear" w:pos="0"/>
        </w:tabs>
        <w:spacing w:after="240"/>
        <w:outlineLvl w:val="0"/>
        <w:rPr>
          <w:lang w:val="en-CA"/>
        </w:rPr>
      </w:pPr>
      <w:r w:rsidRPr="0017424B">
        <w:t>In the context of agenda item 10 on Issues relevant to the Executive Committee arising from the Twenty-eighth Meeting of the Parties to the Montreal Protocol of the 77</w:t>
      </w:r>
      <w:r w:rsidRPr="0017424B">
        <w:rPr>
          <w:vertAlign w:val="superscript"/>
        </w:rPr>
        <w:t>th</w:t>
      </w:r>
      <w:r w:rsidRPr="0017424B">
        <w:t xml:space="preserve"> meeting</w:t>
      </w:r>
      <w:r w:rsidR="008E7FED">
        <w:t>,</w:t>
      </w:r>
      <w:r w:rsidRPr="0017424B">
        <w:rPr>
          <w:vertAlign w:val="superscript"/>
        </w:rPr>
        <w:footnoteReference w:id="1"/>
      </w:r>
      <w:r w:rsidRPr="0017424B">
        <w:t xml:space="preserve"> the </w:t>
      </w:r>
      <w:r w:rsidRPr="0017424B">
        <w:rPr>
          <w:lang w:val="en-CA"/>
        </w:rPr>
        <w:t>Executive Committee requested the Secretariat to prepare a document containing preliminary information in response to the elements in decision XXVIII/2 addressing, among others, available information on HFC consumption and production, as well as on HFC-23 by-product, including from surveys of ODS alternatives funded by the Multilateral Fund and other sources (decision 77/59(b)(</w:t>
      </w:r>
      <w:proofErr w:type="spellStart"/>
      <w:r w:rsidRPr="0017424B">
        <w:rPr>
          <w:lang w:val="en-CA"/>
        </w:rPr>
        <w:t>i</w:t>
      </w:r>
      <w:proofErr w:type="spellEnd"/>
      <w:r w:rsidRPr="0017424B">
        <w:rPr>
          <w:lang w:val="en-CA"/>
        </w:rPr>
        <w:t>)).</w:t>
      </w:r>
    </w:p>
    <w:p w:rsidR="0017424B" w:rsidRPr="0017424B" w:rsidRDefault="0017424B" w:rsidP="0017424B">
      <w:pPr>
        <w:numPr>
          <w:ilvl w:val="0"/>
          <w:numId w:val="1"/>
        </w:numPr>
        <w:tabs>
          <w:tab w:val="clear" w:pos="0"/>
        </w:tabs>
        <w:spacing w:after="240"/>
        <w:outlineLvl w:val="0"/>
        <w:rPr>
          <w:lang w:val="en-CA"/>
        </w:rPr>
      </w:pPr>
      <w:r w:rsidRPr="0017424B">
        <w:rPr>
          <w:lang w:val="en-CA"/>
        </w:rPr>
        <w:t xml:space="preserve">This document consists of the following sections: </w:t>
      </w:r>
    </w:p>
    <w:p w:rsidR="0017424B" w:rsidRPr="0017424B" w:rsidRDefault="0017424B" w:rsidP="0017424B">
      <w:pPr>
        <w:ind w:left="2160" w:hanging="1440"/>
        <w:rPr>
          <w:lang w:val="en-CA"/>
        </w:rPr>
      </w:pPr>
      <w:r w:rsidRPr="0017424B">
        <w:rPr>
          <w:lang w:val="en-CA"/>
        </w:rPr>
        <w:t>Section I</w:t>
      </w:r>
      <w:r w:rsidRPr="0017424B">
        <w:rPr>
          <w:lang w:val="en-CA"/>
        </w:rPr>
        <w:tab/>
        <w:t>HFC production and consumption analysis based on Technology and Economic Assessment Panel (TEAP) Task Force reports under decisions XXV/5 and XXVI/9</w:t>
      </w:r>
    </w:p>
    <w:p w:rsidR="0017424B" w:rsidRPr="0017424B" w:rsidRDefault="0017424B" w:rsidP="0017424B">
      <w:pPr>
        <w:rPr>
          <w:lang w:val="en-CA"/>
        </w:rPr>
      </w:pPr>
    </w:p>
    <w:p w:rsidR="0017424B" w:rsidRPr="0017424B" w:rsidRDefault="0017424B" w:rsidP="0017424B">
      <w:pPr>
        <w:ind w:left="2160" w:hanging="1440"/>
        <w:rPr>
          <w:lang w:val="en-CA"/>
        </w:rPr>
      </w:pPr>
      <w:r w:rsidRPr="0017424B">
        <w:rPr>
          <w:lang w:val="en-CA"/>
        </w:rPr>
        <w:t>Section II</w:t>
      </w:r>
      <w:r w:rsidRPr="0017424B">
        <w:rPr>
          <w:lang w:val="en-CA"/>
        </w:rPr>
        <w:tab/>
        <w:t>Preliminary information on HFC consumption from the ODS alternatives surveys</w:t>
      </w:r>
      <w:r w:rsidRPr="0017424B">
        <w:rPr>
          <w:vertAlign w:val="superscript"/>
          <w:lang w:val="en-CA"/>
        </w:rPr>
        <w:footnoteReference w:id="2"/>
      </w:r>
      <w:r w:rsidRPr="0017424B">
        <w:rPr>
          <w:lang w:val="en-CA"/>
        </w:rPr>
        <w:t xml:space="preserve"> and other sources</w:t>
      </w:r>
    </w:p>
    <w:p w:rsidR="0017424B" w:rsidRPr="0017424B" w:rsidRDefault="0017424B" w:rsidP="0017424B">
      <w:pPr>
        <w:ind w:left="2160" w:hanging="1440"/>
        <w:rPr>
          <w:lang w:val="en-CA"/>
        </w:rPr>
      </w:pPr>
    </w:p>
    <w:p w:rsidR="0017424B" w:rsidRPr="0017424B" w:rsidRDefault="0017424B" w:rsidP="0017424B">
      <w:pPr>
        <w:numPr>
          <w:ilvl w:val="0"/>
          <w:numId w:val="1"/>
        </w:numPr>
        <w:spacing w:after="240"/>
        <w:outlineLvl w:val="0"/>
        <w:rPr>
          <w:lang w:val="en-CA"/>
        </w:rPr>
      </w:pPr>
      <w:r w:rsidRPr="0017424B">
        <w:rPr>
          <w:lang w:val="en-CA"/>
        </w:rPr>
        <w:t>The document also contains the following Annexes:</w:t>
      </w:r>
    </w:p>
    <w:p w:rsidR="0017424B" w:rsidRPr="0017424B" w:rsidRDefault="0017424B" w:rsidP="0017424B">
      <w:pPr>
        <w:ind w:left="2160" w:hanging="1440"/>
        <w:rPr>
          <w:lang w:val="en-CA"/>
        </w:rPr>
      </w:pPr>
      <w:r w:rsidRPr="0017424B">
        <w:rPr>
          <w:lang w:val="en-CA"/>
        </w:rPr>
        <w:t>Annex I</w:t>
      </w:r>
      <w:r w:rsidRPr="0017424B">
        <w:rPr>
          <w:lang w:val="en-CA"/>
        </w:rPr>
        <w:tab/>
        <w:t>HFC production and consumption data contained on the TEAP Task Force reports under decisions XXV/5 and XXVI/9</w:t>
      </w:r>
    </w:p>
    <w:p w:rsidR="0017424B" w:rsidRPr="0017424B" w:rsidRDefault="0017424B" w:rsidP="0017424B">
      <w:pPr>
        <w:ind w:left="2160" w:hanging="1440"/>
        <w:rPr>
          <w:lang w:val="en-CA"/>
        </w:rPr>
      </w:pPr>
    </w:p>
    <w:p w:rsidR="0017424B" w:rsidRPr="0017424B" w:rsidRDefault="0017424B" w:rsidP="0017424B">
      <w:pPr>
        <w:ind w:left="2160" w:hanging="1440"/>
        <w:rPr>
          <w:lang w:val="en-CA"/>
        </w:rPr>
      </w:pPr>
      <w:r w:rsidRPr="0017424B">
        <w:rPr>
          <w:lang w:val="en-CA"/>
        </w:rPr>
        <w:lastRenderedPageBreak/>
        <w:t>Annex II</w:t>
      </w:r>
      <w:r w:rsidRPr="0017424B">
        <w:rPr>
          <w:lang w:val="en-CA"/>
        </w:rPr>
        <w:tab/>
        <w:t>Information on HFC consumption from ODS alternatives survey reports from 30 Article 5 countries</w:t>
      </w:r>
    </w:p>
    <w:p w:rsidR="0017424B" w:rsidRPr="0017424B" w:rsidRDefault="0017424B" w:rsidP="0017424B">
      <w:pPr>
        <w:rPr>
          <w:lang w:val="en-CA"/>
        </w:rPr>
      </w:pPr>
    </w:p>
    <w:p w:rsidR="0017424B" w:rsidRPr="0017424B" w:rsidRDefault="0017424B" w:rsidP="0017424B">
      <w:pPr>
        <w:keepNext/>
        <w:rPr>
          <w:b/>
          <w:lang w:val="en-CA"/>
        </w:rPr>
      </w:pPr>
      <w:r w:rsidRPr="0017424B">
        <w:rPr>
          <w:b/>
          <w:lang w:val="en-CA"/>
        </w:rPr>
        <w:t>Section I:</w:t>
      </w:r>
      <w:r w:rsidRPr="0017424B">
        <w:rPr>
          <w:b/>
          <w:lang w:val="en-CA"/>
        </w:rPr>
        <w:tab/>
        <w:t>HFC production and consumption analysis based on TEAP Task Force reports</w:t>
      </w:r>
    </w:p>
    <w:p w:rsidR="0017424B" w:rsidRPr="0017424B" w:rsidRDefault="0017424B" w:rsidP="0017424B">
      <w:pPr>
        <w:keepNext/>
        <w:rPr>
          <w:lang w:val="en-CA"/>
        </w:rPr>
      </w:pPr>
    </w:p>
    <w:p w:rsidR="0017424B" w:rsidRPr="0017424B" w:rsidRDefault="0017424B" w:rsidP="0017424B">
      <w:pPr>
        <w:numPr>
          <w:ilvl w:val="0"/>
          <w:numId w:val="1"/>
        </w:numPr>
        <w:tabs>
          <w:tab w:val="clear" w:pos="0"/>
        </w:tabs>
        <w:spacing w:after="240"/>
        <w:outlineLvl w:val="0"/>
        <w:rPr>
          <w:lang w:val="en-CA"/>
        </w:rPr>
      </w:pPr>
      <w:r w:rsidRPr="0017424B">
        <w:rPr>
          <w:lang w:val="en-CA"/>
        </w:rPr>
        <w:t xml:space="preserve">Aggregate production and consumption of HFCs in Article 5 countries has been made available to the Parties to the Montreal Protocol through the reports prepared by the TEAP Task Forces under decisions XXV/5 and XXVI/9. </w:t>
      </w:r>
    </w:p>
    <w:p w:rsidR="0017424B" w:rsidRPr="0017424B" w:rsidRDefault="0017424B" w:rsidP="0017424B">
      <w:pPr>
        <w:spacing w:after="240"/>
        <w:outlineLvl w:val="0"/>
        <w:rPr>
          <w:u w:val="single"/>
          <w:lang w:val="en-CA"/>
        </w:rPr>
      </w:pPr>
      <w:r w:rsidRPr="0017424B">
        <w:rPr>
          <w:u w:val="single"/>
          <w:lang w:val="en-CA"/>
        </w:rPr>
        <w:t>Production sector</w:t>
      </w:r>
    </w:p>
    <w:p w:rsidR="0017424B" w:rsidRPr="0017424B" w:rsidRDefault="0017424B" w:rsidP="0017424B">
      <w:pPr>
        <w:numPr>
          <w:ilvl w:val="0"/>
          <w:numId w:val="1"/>
        </w:numPr>
        <w:spacing w:after="240"/>
        <w:outlineLvl w:val="0"/>
        <w:rPr>
          <w:lang w:val="en-CA"/>
        </w:rPr>
      </w:pPr>
      <w:r w:rsidRPr="0017424B">
        <w:rPr>
          <w:lang w:val="en-CA"/>
        </w:rPr>
        <w:t>Based on these reports, the aggregated global production of HFCs in 2015 was estimated at 314,515 metric tonnes (mt) of HFCs, consisting of 98,500 mt of HFC-125; 71,000 mt of HFC-32; 17,000</w:t>
      </w:r>
      <w:r w:rsidR="00D976CA">
        <w:rPr>
          <w:lang w:val="en-CA"/>
        </w:rPr>
        <w:t> </w:t>
      </w:r>
      <w:r w:rsidRPr="0017424B">
        <w:rPr>
          <w:lang w:val="en-CA"/>
        </w:rPr>
        <w:t>mt of HFC</w:t>
      </w:r>
      <w:r w:rsidRPr="0017424B">
        <w:rPr>
          <w:lang w:val="en-CA"/>
        </w:rPr>
        <w:noBreakHyphen/>
        <w:t>143a and 126,000 mt of HFC-134a</w:t>
      </w:r>
      <w:r w:rsidR="008E7FED">
        <w:rPr>
          <w:lang w:val="en-CA"/>
        </w:rPr>
        <w:t>.</w:t>
      </w:r>
      <w:r w:rsidRPr="0017424B">
        <w:rPr>
          <w:vertAlign w:val="superscript"/>
          <w:lang w:val="en-CA"/>
        </w:rPr>
        <w:footnoteReference w:id="3"/>
      </w:r>
      <w:r w:rsidR="008E7FED">
        <w:rPr>
          <w:lang w:val="en-CA"/>
        </w:rPr>
        <w:t xml:space="preserve"> </w:t>
      </w:r>
      <w:r w:rsidRPr="0017424B">
        <w:rPr>
          <w:lang w:val="en-CA"/>
        </w:rPr>
        <w:t>As a reference, the HCFC baseline for production in Article 5 countries amounted to 501,266 mt (with the production of one country amounting to 430,962</w:t>
      </w:r>
      <w:r w:rsidR="00607AED">
        <w:rPr>
          <w:lang w:val="en-CA"/>
        </w:rPr>
        <w:t> </w:t>
      </w:r>
      <w:r w:rsidRPr="0017424B">
        <w:rPr>
          <w:lang w:val="en-CA"/>
        </w:rPr>
        <w:t>mt). A substantial proportion of HFC-32 and HFC 125 was used for the production of HFC</w:t>
      </w:r>
      <w:r w:rsidR="00607AED">
        <w:rPr>
          <w:lang w:val="en-CA"/>
        </w:rPr>
        <w:t xml:space="preserve"> </w:t>
      </w:r>
      <w:r w:rsidRPr="0017424B">
        <w:rPr>
          <w:lang w:val="en-CA"/>
        </w:rPr>
        <w:t>blends mainly R</w:t>
      </w:r>
      <w:r w:rsidRPr="0017424B">
        <w:rPr>
          <w:lang w:val="en-CA"/>
        </w:rPr>
        <w:noBreakHyphen/>
        <w:t>410A</w:t>
      </w:r>
      <w:r w:rsidR="008E7FED">
        <w:rPr>
          <w:lang w:val="en-CA"/>
        </w:rPr>
        <w:t>,</w:t>
      </w:r>
      <w:r w:rsidRPr="0017424B">
        <w:rPr>
          <w:vertAlign w:val="superscript"/>
          <w:lang w:val="en-CA"/>
        </w:rPr>
        <w:footnoteReference w:id="4"/>
      </w:r>
      <w:r w:rsidRPr="0017424B">
        <w:rPr>
          <w:lang w:val="en-CA"/>
        </w:rPr>
        <w:t xml:space="preserve"> R</w:t>
      </w:r>
      <w:r w:rsidRPr="0017424B">
        <w:rPr>
          <w:lang w:val="en-CA"/>
        </w:rPr>
        <w:noBreakHyphen/>
        <w:t>407C</w:t>
      </w:r>
      <w:r w:rsidR="008E7FED">
        <w:rPr>
          <w:lang w:val="en-CA"/>
        </w:rPr>
        <w:t>,</w:t>
      </w:r>
      <w:r w:rsidRPr="0017424B">
        <w:rPr>
          <w:vertAlign w:val="superscript"/>
          <w:lang w:val="en-CA"/>
        </w:rPr>
        <w:footnoteReference w:id="5"/>
      </w:r>
      <w:r w:rsidR="008E7FED">
        <w:rPr>
          <w:lang w:val="en-CA"/>
        </w:rPr>
        <w:t xml:space="preserve"> </w:t>
      </w:r>
      <w:r w:rsidRPr="0017424B">
        <w:rPr>
          <w:lang w:val="en-CA"/>
        </w:rPr>
        <w:t>R-404A</w:t>
      </w:r>
      <w:r w:rsidR="008E7FED">
        <w:rPr>
          <w:lang w:val="en-CA"/>
        </w:rPr>
        <w:t>,</w:t>
      </w:r>
      <w:r w:rsidRPr="0017424B">
        <w:rPr>
          <w:vertAlign w:val="superscript"/>
          <w:lang w:val="en-CA"/>
        </w:rPr>
        <w:footnoteReference w:id="6"/>
      </w:r>
      <w:r w:rsidR="008E7FED">
        <w:rPr>
          <w:lang w:val="en-CA"/>
        </w:rPr>
        <w:t xml:space="preserve"> </w:t>
      </w:r>
      <w:r w:rsidRPr="0017424B">
        <w:rPr>
          <w:lang w:val="en-CA"/>
        </w:rPr>
        <w:t>R-407F</w:t>
      </w:r>
      <w:r w:rsidRPr="0017424B">
        <w:rPr>
          <w:vertAlign w:val="superscript"/>
          <w:lang w:val="en-CA"/>
        </w:rPr>
        <w:footnoteReference w:id="7"/>
      </w:r>
      <w:r w:rsidRPr="0017424B">
        <w:rPr>
          <w:lang w:val="en-CA"/>
        </w:rPr>
        <w:t xml:space="preserve"> and R</w:t>
      </w:r>
      <w:r w:rsidRPr="0017424B">
        <w:rPr>
          <w:lang w:val="en-CA"/>
        </w:rPr>
        <w:noBreakHyphen/>
        <w:t>507</w:t>
      </w:r>
      <w:r w:rsidR="008E7FED">
        <w:rPr>
          <w:lang w:val="en-CA"/>
        </w:rPr>
        <w:t>,</w:t>
      </w:r>
      <w:r w:rsidRPr="0017424B">
        <w:rPr>
          <w:vertAlign w:val="superscript"/>
          <w:lang w:val="en-CA"/>
        </w:rPr>
        <w:footnoteReference w:id="8"/>
      </w:r>
      <w:r w:rsidR="008E7FED">
        <w:rPr>
          <w:lang w:val="en-CA"/>
        </w:rPr>
        <w:t xml:space="preserve"> </w:t>
      </w:r>
      <w:r w:rsidRPr="0017424B">
        <w:rPr>
          <w:lang w:val="en-CA"/>
        </w:rPr>
        <w:t>with the former three constituting a significant proportion of the total HFC blends currently used.</w:t>
      </w:r>
    </w:p>
    <w:p w:rsidR="0017424B" w:rsidRPr="0017424B" w:rsidRDefault="0017424B" w:rsidP="0017424B">
      <w:pPr>
        <w:numPr>
          <w:ilvl w:val="0"/>
          <w:numId w:val="1"/>
        </w:numPr>
        <w:spacing w:after="240"/>
        <w:outlineLvl w:val="0"/>
        <w:rPr>
          <w:lang w:val="en-CA"/>
        </w:rPr>
      </w:pPr>
      <w:r w:rsidRPr="0017424B">
        <w:rPr>
          <w:lang w:val="en-CA"/>
        </w:rPr>
        <w:t xml:space="preserve">HFC-23 generated in the production of HCFC-22 in Article 5 countries has been emitted or destroyed, except for a small amount that was consumed in refrigeration, fire suppression, </w:t>
      </w:r>
      <w:proofErr w:type="gramStart"/>
      <w:r w:rsidRPr="0017424B">
        <w:rPr>
          <w:lang w:val="en-CA"/>
        </w:rPr>
        <w:t>plasma</w:t>
      </w:r>
      <w:proofErr w:type="gramEnd"/>
      <w:r w:rsidRPr="0017424B">
        <w:rPr>
          <w:lang w:val="en-CA"/>
        </w:rPr>
        <w:t xml:space="preserve">-etching processes in semiconductor manufacturing or as a feedstock for producing other chemicals. HFC-23 emission data is difficult to obtain as most HFC-23 has been emitted as a waste gas. Based on the Article 7 data reporting, in 2015, the HFC-23 by-product from ODS production in six Article 5 countries (Argentina, China, Democratic People’s Republic of Korea, India, Mexico and Bolivarian Republic of Venezuela) was estimated at 7,357 mt; and additional HFC-23 generated from HCFC-22 feedstock production in China, India and Mexico was 8,142 </w:t>
      </w:r>
      <w:proofErr w:type="spellStart"/>
      <w:r w:rsidRPr="0017424B">
        <w:rPr>
          <w:lang w:val="en-CA"/>
        </w:rPr>
        <w:t>mt</w:t>
      </w:r>
      <w:r w:rsidR="008E7FED">
        <w:rPr>
          <w:lang w:val="en-CA"/>
        </w:rPr>
        <w:t>.</w:t>
      </w:r>
      <w:proofErr w:type="spellEnd"/>
      <w:r w:rsidRPr="0017424B">
        <w:rPr>
          <w:vertAlign w:val="superscript"/>
          <w:lang w:val="en-CA"/>
        </w:rPr>
        <w:footnoteReference w:id="9"/>
      </w:r>
    </w:p>
    <w:p w:rsidR="0017424B" w:rsidRPr="0017424B" w:rsidRDefault="0017424B" w:rsidP="0017424B">
      <w:pPr>
        <w:rPr>
          <w:u w:val="single"/>
          <w:lang w:val="en-CA"/>
        </w:rPr>
      </w:pPr>
      <w:r w:rsidRPr="0017424B">
        <w:rPr>
          <w:u w:val="single"/>
          <w:lang w:val="en-CA"/>
        </w:rPr>
        <w:t>Consumption sector</w:t>
      </w:r>
    </w:p>
    <w:p w:rsidR="0017424B" w:rsidRPr="0017424B" w:rsidRDefault="0017424B" w:rsidP="0017424B">
      <w:pPr>
        <w:rPr>
          <w:lang w:val="en-CA"/>
        </w:rPr>
      </w:pPr>
    </w:p>
    <w:p w:rsidR="0017424B" w:rsidRPr="0017424B" w:rsidRDefault="0017424B" w:rsidP="0017424B">
      <w:pPr>
        <w:numPr>
          <w:ilvl w:val="0"/>
          <w:numId w:val="1"/>
        </w:numPr>
        <w:tabs>
          <w:tab w:val="clear" w:pos="0"/>
        </w:tabs>
        <w:spacing w:after="240"/>
        <w:outlineLvl w:val="0"/>
        <w:rPr>
          <w:lang w:val="en-CA"/>
        </w:rPr>
      </w:pPr>
      <w:r w:rsidRPr="0017424B">
        <w:rPr>
          <w:lang w:val="en-CA"/>
        </w:rPr>
        <w:t>HFC consumption in Article 5 countries is estimated to increase from 284,326 mt in 2015 to 1,021,216 mt in 2030 under a business-as-usual scenario</w:t>
      </w:r>
      <w:r w:rsidR="008E7FED">
        <w:rPr>
          <w:lang w:val="en-CA"/>
        </w:rPr>
        <w:t>,</w:t>
      </w:r>
      <w:r w:rsidRPr="0017424B">
        <w:rPr>
          <w:vertAlign w:val="superscript"/>
          <w:lang w:val="en-CA"/>
        </w:rPr>
        <w:footnoteReference w:id="10"/>
      </w:r>
      <w:r w:rsidRPr="0017424B">
        <w:rPr>
          <w:lang w:val="en-CA"/>
        </w:rPr>
        <w:t xml:space="preserve"> with over 95 per cent of the consumption in the refrigeration and air-conditioning sector. As a reference, the HCFC baseline for consumption in Article 5 countries amounted to 538,749 mt, with one country consuming 292,656 mt (i.e., over 54</w:t>
      </w:r>
      <w:r w:rsidR="00D976CA">
        <w:rPr>
          <w:lang w:val="en-CA"/>
        </w:rPr>
        <w:t> </w:t>
      </w:r>
      <w:r w:rsidRPr="0017424B">
        <w:rPr>
          <w:lang w:val="en-CA"/>
        </w:rPr>
        <w:t>per</w:t>
      </w:r>
      <w:r w:rsidR="00D976CA">
        <w:rPr>
          <w:lang w:val="en-CA"/>
        </w:rPr>
        <w:t> </w:t>
      </w:r>
      <w:r w:rsidRPr="0017424B">
        <w:rPr>
          <w:lang w:val="en-CA"/>
        </w:rPr>
        <w:t>cent of the aggregated consumption). Over 99 per cent of the HCFC consumption was by three HCFCs: HCFC</w:t>
      </w:r>
      <w:r w:rsidRPr="0017424B">
        <w:rPr>
          <w:lang w:val="en-CA"/>
        </w:rPr>
        <w:noBreakHyphen/>
        <w:t>22, representing the only HCFC used by all Article 5 countries (395,413 mt); HCFC-141b (107,971 mt); and HCFC-142b (31,580 mt).</w:t>
      </w:r>
    </w:p>
    <w:p w:rsidR="0017424B" w:rsidRPr="0017424B" w:rsidRDefault="0017424B" w:rsidP="0017424B">
      <w:pPr>
        <w:numPr>
          <w:ilvl w:val="0"/>
          <w:numId w:val="1"/>
        </w:numPr>
        <w:tabs>
          <w:tab w:val="clear" w:pos="0"/>
        </w:tabs>
        <w:spacing w:after="240"/>
        <w:outlineLvl w:val="0"/>
        <w:rPr>
          <w:lang w:val="en-CA"/>
        </w:rPr>
      </w:pPr>
      <w:r w:rsidRPr="0017424B">
        <w:rPr>
          <w:lang w:val="en-CA"/>
        </w:rPr>
        <w:t>The Secretariat noted the following from the consumption trends projected in the TEAP reports</w:t>
      </w:r>
      <w:r w:rsidR="008E7FED">
        <w:rPr>
          <w:lang w:val="en-CA"/>
        </w:rPr>
        <w:t>:</w:t>
      </w:r>
      <w:r w:rsidRPr="0017424B">
        <w:rPr>
          <w:vertAlign w:val="superscript"/>
          <w:lang w:val="en-CA"/>
        </w:rPr>
        <w:footnoteReference w:id="11"/>
      </w:r>
      <w:r w:rsidRPr="0017424B">
        <w:rPr>
          <w:lang w:val="en-CA"/>
        </w:rPr>
        <w:t xml:space="preserve"> </w:t>
      </w:r>
    </w:p>
    <w:p w:rsidR="0017424B" w:rsidRPr="0017424B" w:rsidRDefault="0017424B" w:rsidP="0017424B">
      <w:pPr>
        <w:numPr>
          <w:ilvl w:val="0"/>
          <w:numId w:val="24"/>
        </w:numPr>
        <w:spacing w:after="240"/>
        <w:ind w:left="1418" w:hanging="698"/>
        <w:outlineLvl w:val="0"/>
      </w:pPr>
      <w:r w:rsidRPr="0017424B">
        <w:t>As of 2010, HFC-134a constituted the highest proportion of HFC consumption in mt followed by R-410A and R-407C. However, by 2030, the estimated consumption of R</w:t>
      </w:r>
      <w:r w:rsidR="00D976CA">
        <w:noBreakHyphen/>
      </w:r>
      <w:r w:rsidRPr="0017424B">
        <w:t xml:space="preserve">410A will constitute the highest proportion of HFC consumption followed by R-407C </w:t>
      </w:r>
      <w:r w:rsidRPr="0017424B">
        <w:lastRenderedPageBreak/>
        <w:t>and HFC-134a. This is due to the high growth rate of R-410A and R-407C in the air</w:t>
      </w:r>
      <w:r w:rsidR="00D976CA">
        <w:noBreakHyphen/>
      </w:r>
      <w:r w:rsidRPr="0017424B">
        <w:t>conditioning sector on account of HCFC phase-out;</w:t>
      </w:r>
    </w:p>
    <w:p w:rsidR="0017424B" w:rsidRPr="0017424B" w:rsidRDefault="0017424B" w:rsidP="0017424B">
      <w:pPr>
        <w:numPr>
          <w:ilvl w:val="0"/>
          <w:numId w:val="24"/>
        </w:numPr>
        <w:spacing w:after="240"/>
        <w:ind w:left="1418" w:hanging="698"/>
        <w:outlineLvl w:val="0"/>
      </w:pPr>
      <w:r w:rsidRPr="0017424B">
        <w:t>HFC-134a consumption, in mt, is expected to grow in the next 20 years at a rate of 6 per cent in the refrigeration and air-conditioning (RAC) sector, followed by metered dose inhalers (MDI) applications and the foam sector. RAC applications including mobile air-conditioning (MAC) is expected to account for more than 90 per cent of the total HFC-134a consumption;</w:t>
      </w:r>
    </w:p>
    <w:p w:rsidR="0017424B" w:rsidRPr="0017424B" w:rsidRDefault="0017424B" w:rsidP="0017424B">
      <w:pPr>
        <w:numPr>
          <w:ilvl w:val="0"/>
          <w:numId w:val="24"/>
        </w:numPr>
        <w:spacing w:after="240"/>
        <w:ind w:left="1418" w:hanging="698"/>
        <w:outlineLvl w:val="0"/>
      </w:pPr>
      <w:r w:rsidRPr="0017424B">
        <w:t>The growth in consumption of R-410A, R-407C, R-404A, R-507, HFC-152a, HFC-245fa, and HFC-365mfc/HFC-227ea, in mt, over the next 20 years is estimated to be more than 10 per cent, mainly due to the conversion from HCFCs to HFC-based technologies in refrigeration, air-conditioning and foam applications. Consumption of HFC-152a, HFC</w:t>
      </w:r>
      <w:r w:rsidRPr="0017424B">
        <w:noBreakHyphen/>
        <w:t>245fa, and HFC-365mfc/HFC-227ea is less than 2 per cent in mt even as of 2030; and</w:t>
      </w:r>
    </w:p>
    <w:p w:rsidR="0017424B" w:rsidRPr="0017424B" w:rsidRDefault="0017424B" w:rsidP="0017424B">
      <w:pPr>
        <w:numPr>
          <w:ilvl w:val="0"/>
          <w:numId w:val="24"/>
        </w:numPr>
        <w:spacing w:after="240"/>
        <w:ind w:left="1418" w:hanging="698"/>
        <w:outlineLvl w:val="0"/>
      </w:pPr>
      <w:r w:rsidRPr="0017424B">
        <w:t>Based on its global warming potential (GWP), in CO2 equivalent terms, in year 2010, R</w:t>
      </w:r>
      <w:r w:rsidR="00D976CA">
        <w:noBreakHyphen/>
      </w:r>
      <w:r w:rsidRPr="0017424B">
        <w:t>410A accounted for the highest proportion of HFC consumption closely followed by HFC-134a. Consumption of R-407C, R-404A and R</w:t>
      </w:r>
      <w:r w:rsidRPr="0017424B">
        <w:noBreakHyphen/>
        <w:t>507 were in the range of 10-12</w:t>
      </w:r>
      <w:r w:rsidR="00607AED">
        <w:t xml:space="preserve"> </w:t>
      </w:r>
      <w:r w:rsidRPr="0017424B">
        <w:t>per</w:t>
      </w:r>
      <w:r w:rsidR="00607AED">
        <w:t> </w:t>
      </w:r>
      <w:r w:rsidRPr="0017424B">
        <w:t>cent of the total consumption. By 2030, R</w:t>
      </w:r>
      <w:r w:rsidRPr="0017424B">
        <w:noBreakHyphen/>
        <w:t>410A is estimated to constitute the highest proportion of the consumption followed by R</w:t>
      </w:r>
      <w:r w:rsidRPr="0017424B">
        <w:noBreakHyphen/>
        <w:t>407C, R-507, R-404A and HFC</w:t>
      </w:r>
      <w:r w:rsidRPr="0017424B">
        <w:noBreakHyphen/>
        <w:t xml:space="preserve">134a. </w:t>
      </w:r>
    </w:p>
    <w:p w:rsidR="0017424B" w:rsidRPr="0017424B" w:rsidRDefault="0017424B" w:rsidP="0017424B">
      <w:pPr>
        <w:numPr>
          <w:ilvl w:val="0"/>
          <w:numId w:val="1"/>
        </w:numPr>
        <w:spacing w:after="240"/>
        <w:outlineLvl w:val="0"/>
      </w:pPr>
      <w:r w:rsidRPr="0017424B">
        <w:t>There is an increase in alternative technologies that are becoming commercially available in local markets in Article 5 countries (i.e., HFC</w:t>
      </w:r>
      <w:r w:rsidRPr="0017424B">
        <w:noBreakHyphen/>
        <w:t>32, CO</w:t>
      </w:r>
      <w:r w:rsidRPr="0017424B">
        <w:rPr>
          <w:vertAlign w:val="subscript"/>
        </w:rPr>
        <w:t>2</w:t>
      </w:r>
      <w:r w:rsidRPr="0017424B">
        <w:t>, NH</w:t>
      </w:r>
      <w:r w:rsidRPr="0017424B">
        <w:rPr>
          <w:vertAlign w:val="subscript"/>
        </w:rPr>
        <w:t>3</w:t>
      </w:r>
      <w:r w:rsidRPr="0017424B">
        <w:t>, and HFOs mainly as refrigerant and as foam blowing agents), where further optimization and commercialization could impact the future demand for HFCs. Furthermore, estimates show that HFC consumption in blends (e.g., R-410A, R</w:t>
      </w:r>
      <w:r w:rsidRPr="0017424B">
        <w:noBreakHyphen/>
        <w:t>407C) is higher than HFC consumption as a pure substance (e.g., HFC-134a). A number of HFC blends are being researched and are likely to be adopted in different end-user applications. These blends may contain one or more of the HFCs listed in Annex F to the Kigali amendment.</w:t>
      </w:r>
    </w:p>
    <w:p w:rsidR="0017424B" w:rsidRPr="0017424B" w:rsidRDefault="0017424B" w:rsidP="0017424B">
      <w:pPr>
        <w:ind w:left="1440" w:hanging="1440"/>
        <w:outlineLvl w:val="0"/>
        <w:rPr>
          <w:b/>
          <w:lang w:val="en-CA"/>
        </w:rPr>
      </w:pPr>
      <w:r w:rsidRPr="0017424B">
        <w:rPr>
          <w:b/>
          <w:lang w:val="en-CA"/>
        </w:rPr>
        <w:t>Section II:</w:t>
      </w:r>
      <w:r w:rsidRPr="0017424B">
        <w:rPr>
          <w:b/>
          <w:lang w:val="en-CA"/>
        </w:rPr>
        <w:tab/>
        <w:t>Preliminary information on HFC consumption available from ODS alternatives survey and other sources</w:t>
      </w:r>
    </w:p>
    <w:p w:rsidR="0017424B" w:rsidRPr="0017424B" w:rsidRDefault="0017424B" w:rsidP="0017424B">
      <w:pPr>
        <w:rPr>
          <w:lang w:val="en-CA"/>
        </w:rPr>
      </w:pPr>
    </w:p>
    <w:p w:rsidR="0017424B" w:rsidRPr="0017424B" w:rsidRDefault="0017424B" w:rsidP="0017424B">
      <w:pPr>
        <w:numPr>
          <w:ilvl w:val="0"/>
          <w:numId w:val="1"/>
        </w:numPr>
        <w:spacing w:after="240"/>
        <w:outlineLvl w:val="0"/>
        <w:rPr>
          <w:lang w:val="en-CA"/>
        </w:rPr>
      </w:pPr>
      <w:r w:rsidRPr="0017424B">
        <w:rPr>
          <w:lang w:val="en-CA"/>
        </w:rPr>
        <w:t>At its 74</w:t>
      </w:r>
      <w:r w:rsidRPr="0017424B">
        <w:rPr>
          <w:vertAlign w:val="superscript"/>
          <w:lang w:val="en-CA"/>
        </w:rPr>
        <w:t>th</w:t>
      </w:r>
      <w:r w:rsidRPr="0017424B">
        <w:rPr>
          <w:lang w:val="en-CA"/>
        </w:rPr>
        <w:t xml:space="preserve"> and 75</w:t>
      </w:r>
      <w:r w:rsidRPr="0017424B">
        <w:rPr>
          <w:vertAlign w:val="superscript"/>
          <w:lang w:val="en-CA"/>
        </w:rPr>
        <w:t>th</w:t>
      </w:r>
      <w:r w:rsidRPr="0017424B">
        <w:rPr>
          <w:lang w:val="en-CA"/>
        </w:rPr>
        <w:t xml:space="preserve"> meetings, the Executive Committee approved the preparation of national surveys for ODS alternatives for 127 countries, 31 of which had been received as at </w:t>
      </w:r>
      <w:r w:rsidR="00031E71">
        <w:rPr>
          <w:lang w:val="en-CA"/>
        </w:rPr>
        <w:t>2</w:t>
      </w:r>
      <w:r w:rsidR="00D976CA">
        <w:rPr>
          <w:lang w:val="en-CA"/>
        </w:rPr>
        <w:t>7</w:t>
      </w:r>
      <w:r w:rsidRPr="0017424B">
        <w:rPr>
          <w:lang w:val="en-CA"/>
        </w:rPr>
        <w:t> February 2017</w:t>
      </w:r>
      <w:r w:rsidR="008E7FED">
        <w:rPr>
          <w:lang w:val="en-CA"/>
        </w:rPr>
        <w:t>.</w:t>
      </w:r>
      <w:r w:rsidRPr="0017424B">
        <w:rPr>
          <w:vertAlign w:val="superscript"/>
          <w:lang w:val="en-CA"/>
        </w:rPr>
        <w:footnoteReference w:id="12"/>
      </w:r>
      <w:r w:rsidRPr="0017424B">
        <w:rPr>
          <w:lang w:val="en-CA"/>
        </w:rPr>
        <w:t xml:space="preserve"> Eleven reports were from non-low volume consuming (LVC) countries and 20 from LVC countries (i.e., two from West Asia, eight from Africa, six from Europe and Central Asia, and 15 from Latin America). Annex II to the present document presents summary tables on aggregated HFC consumption from the 30 reports that were submitted. A comprehensive report with potentially all the 127 surveys funded under the Multilateral Fund will be submitted to the 79</w:t>
      </w:r>
      <w:r w:rsidRPr="0017424B">
        <w:rPr>
          <w:vertAlign w:val="superscript"/>
          <w:lang w:val="en-CA"/>
        </w:rPr>
        <w:t>th</w:t>
      </w:r>
      <w:r w:rsidRPr="0017424B">
        <w:rPr>
          <w:lang w:val="en-CA"/>
        </w:rPr>
        <w:t xml:space="preserve"> meeting. </w:t>
      </w:r>
    </w:p>
    <w:p w:rsidR="0017424B" w:rsidRPr="0017424B" w:rsidRDefault="0017424B" w:rsidP="0017424B">
      <w:pPr>
        <w:numPr>
          <w:ilvl w:val="0"/>
          <w:numId w:val="1"/>
        </w:numPr>
        <w:spacing w:after="240"/>
        <w:outlineLvl w:val="0"/>
        <w:rPr>
          <w:lang w:val="en-CA"/>
        </w:rPr>
      </w:pPr>
      <w:r w:rsidRPr="0017424B">
        <w:rPr>
          <w:lang w:val="en-CA"/>
        </w:rPr>
        <w:t>Based on the ODS surveys from the 30 Article 5 countries a total of 16 HFCs (pure) and 30 HFC blends, with GWPs ranging from 124 to 14,800, are currently used. For most of the countries, consumption was mainly HFC</w:t>
      </w:r>
      <w:r w:rsidRPr="0017424B">
        <w:rPr>
          <w:lang w:val="en-CA"/>
        </w:rPr>
        <w:noBreakHyphen/>
        <w:t>134a, R</w:t>
      </w:r>
      <w:r w:rsidRPr="0017424B">
        <w:rPr>
          <w:lang w:val="en-CA"/>
        </w:rPr>
        <w:noBreakHyphen/>
        <w:t>410A, R-404A, R-407C, and R-507A, and mainly used in refrigeration and air-conditioning applications. For LVCs, the consumption was mainly used in servicing and/or installation/charging of refrigeration and air-conditioning equipment. The consumption of pure HFCs except for HFC-134a was reported to be quite low, while the HFCs contained in blends appeared to be higher (i.e., share of HFC-32, HFC-125, HFC-134a, and HFC-143a contained in R-410A,</w:t>
      </w:r>
      <w:r w:rsidRPr="0017424B">
        <w:t xml:space="preserve"> </w:t>
      </w:r>
      <w:r w:rsidRPr="0017424B">
        <w:rPr>
          <w:lang w:val="en-CA"/>
        </w:rPr>
        <w:t>R-404A, R</w:t>
      </w:r>
      <w:r w:rsidR="00031E71">
        <w:rPr>
          <w:lang w:val="en-CA"/>
        </w:rPr>
        <w:noBreakHyphen/>
      </w:r>
      <w:r w:rsidRPr="0017424B">
        <w:rPr>
          <w:lang w:val="en-CA"/>
        </w:rPr>
        <w:t>407C);</w:t>
      </w:r>
    </w:p>
    <w:p w:rsidR="0017424B" w:rsidRPr="0017424B" w:rsidRDefault="0017424B" w:rsidP="0017424B">
      <w:pPr>
        <w:numPr>
          <w:ilvl w:val="0"/>
          <w:numId w:val="1"/>
        </w:numPr>
        <w:spacing w:after="240"/>
        <w:outlineLvl w:val="0"/>
        <w:rPr>
          <w:lang w:val="en-CA"/>
        </w:rPr>
      </w:pPr>
      <w:r w:rsidRPr="0017424B">
        <w:rPr>
          <w:lang w:val="en-CA"/>
        </w:rPr>
        <w:t>In 2015, total HFC consumption (pure and blends) for the 30 countries was reported to be 42,077</w:t>
      </w:r>
      <w:r w:rsidR="00031E71">
        <w:rPr>
          <w:lang w:val="en-CA"/>
        </w:rPr>
        <w:t> </w:t>
      </w:r>
      <w:proofErr w:type="spellStart"/>
      <w:r w:rsidRPr="0017424B">
        <w:rPr>
          <w:lang w:val="en-CA"/>
        </w:rPr>
        <w:t>mt.</w:t>
      </w:r>
      <w:proofErr w:type="spellEnd"/>
      <w:r w:rsidRPr="0017424B">
        <w:rPr>
          <w:lang w:val="en-CA"/>
        </w:rPr>
        <w:t xml:space="preserve"> All countries reported consumption of HFC-134a, R-410A, R</w:t>
      </w:r>
      <w:r w:rsidRPr="0017424B">
        <w:rPr>
          <w:lang w:val="en-CA"/>
        </w:rPr>
        <w:noBreakHyphen/>
        <w:t>404A; 28 countries reported consumption of R-407C, 23 reported consumption of R</w:t>
      </w:r>
      <w:r w:rsidRPr="0017424B">
        <w:rPr>
          <w:lang w:val="en-CA"/>
        </w:rPr>
        <w:noBreakHyphen/>
        <w:t>507A; 11 countries reported consumption of HFC-152a; and only three countries reported consumption of (pure) HFC-32 for refrigeration servicing. In addition, 18 countries reported the consumption of other blends (two reporting more than 12 blends). The main HFCs and HFC-blends in these countries are summarized in Table 1.</w:t>
      </w:r>
    </w:p>
    <w:p w:rsidR="0017424B" w:rsidRPr="00031E71" w:rsidRDefault="0017424B" w:rsidP="0017424B">
      <w:pPr>
        <w:rPr>
          <w:b/>
          <w:lang w:val="en-CA"/>
        </w:rPr>
      </w:pPr>
      <w:proofErr w:type="gramStart"/>
      <w:r w:rsidRPr="00031E71">
        <w:rPr>
          <w:b/>
          <w:lang w:val="en-CA"/>
        </w:rPr>
        <w:t>Table 1.</w:t>
      </w:r>
      <w:proofErr w:type="gramEnd"/>
      <w:r w:rsidRPr="00031E71">
        <w:rPr>
          <w:b/>
          <w:lang w:val="en-CA"/>
        </w:rPr>
        <w:t xml:space="preserve"> Main HFCs and HFC-blends consumed in 30 Article 5 countries</w:t>
      </w:r>
    </w:p>
    <w:tbl>
      <w:tblPr>
        <w:tblStyle w:val="TableGrid"/>
        <w:tblW w:w="5000" w:type="pct"/>
        <w:tblLook w:val="04A0" w:firstRow="1" w:lastRow="0" w:firstColumn="1" w:lastColumn="0" w:noHBand="0" w:noVBand="1"/>
      </w:tblPr>
      <w:tblGrid>
        <w:gridCol w:w="1450"/>
        <w:gridCol w:w="1312"/>
        <w:gridCol w:w="1381"/>
        <w:gridCol w:w="5433"/>
      </w:tblGrid>
      <w:tr w:rsidR="0017424B" w:rsidRPr="00031E71" w:rsidTr="00D976CA">
        <w:trPr>
          <w:tblHeader/>
        </w:trPr>
        <w:tc>
          <w:tcPr>
            <w:tcW w:w="757" w:type="pct"/>
          </w:tcPr>
          <w:p w:rsidR="0017424B" w:rsidRPr="00031E71" w:rsidRDefault="0017424B" w:rsidP="0017424B">
            <w:pPr>
              <w:rPr>
                <w:b/>
                <w:sz w:val="20"/>
                <w:szCs w:val="20"/>
                <w:lang w:val="en-CA"/>
              </w:rPr>
            </w:pPr>
            <w:r w:rsidRPr="00031E71">
              <w:rPr>
                <w:b/>
                <w:sz w:val="20"/>
                <w:szCs w:val="20"/>
                <w:lang w:val="en-CA"/>
              </w:rPr>
              <w:t>HFC</w:t>
            </w:r>
          </w:p>
        </w:tc>
        <w:tc>
          <w:tcPr>
            <w:tcW w:w="685" w:type="pct"/>
          </w:tcPr>
          <w:p w:rsidR="0017424B" w:rsidRPr="00031E71" w:rsidRDefault="0017424B" w:rsidP="0017424B">
            <w:pPr>
              <w:jc w:val="center"/>
              <w:rPr>
                <w:b/>
                <w:sz w:val="20"/>
                <w:szCs w:val="20"/>
                <w:lang w:val="en-CA"/>
              </w:rPr>
            </w:pPr>
            <w:r w:rsidRPr="00031E71">
              <w:rPr>
                <w:b/>
                <w:sz w:val="20"/>
                <w:szCs w:val="20"/>
                <w:lang w:val="en-CA"/>
              </w:rPr>
              <w:t>% of total</w:t>
            </w:r>
          </w:p>
        </w:tc>
        <w:tc>
          <w:tcPr>
            <w:tcW w:w="721" w:type="pct"/>
            <w:tcMar>
              <w:left w:w="0" w:type="dxa"/>
              <w:right w:w="0" w:type="dxa"/>
            </w:tcMar>
          </w:tcPr>
          <w:p w:rsidR="0017424B" w:rsidRPr="00031E71" w:rsidRDefault="00031E71" w:rsidP="003B782A">
            <w:pPr>
              <w:jc w:val="center"/>
              <w:rPr>
                <w:b/>
                <w:sz w:val="20"/>
                <w:szCs w:val="20"/>
                <w:lang w:val="en-CA"/>
              </w:rPr>
            </w:pPr>
            <w:r>
              <w:rPr>
                <w:b/>
                <w:sz w:val="20"/>
                <w:szCs w:val="20"/>
                <w:lang w:val="en-CA"/>
              </w:rPr>
              <w:t>Annual growth rate</w:t>
            </w:r>
            <w:r w:rsidR="003B782A">
              <w:rPr>
                <w:b/>
                <w:sz w:val="20"/>
                <w:szCs w:val="20"/>
                <w:lang w:val="en-CA"/>
              </w:rPr>
              <w:t>*</w:t>
            </w:r>
          </w:p>
        </w:tc>
        <w:tc>
          <w:tcPr>
            <w:tcW w:w="2837" w:type="pct"/>
          </w:tcPr>
          <w:p w:rsidR="0017424B" w:rsidRPr="00031E71" w:rsidRDefault="0017424B" w:rsidP="0017424B">
            <w:pPr>
              <w:jc w:val="center"/>
              <w:rPr>
                <w:b/>
                <w:sz w:val="20"/>
                <w:szCs w:val="20"/>
                <w:lang w:val="en-CA"/>
              </w:rPr>
            </w:pPr>
            <w:r w:rsidRPr="00031E71">
              <w:rPr>
                <w:b/>
                <w:sz w:val="20"/>
                <w:szCs w:val="20"/>
                <w:lang w:val="en-CA"/>
              </w:rPr>
              <w:t>Uses</w:t>
            </w:r>
          </w:p>
        </w:tc>
      </w:tr>
      <w:tr w:rsidR="0017424B" w:rsidRPr="00031E71" w:rsidTr="00D976CA">
        <w:tc>
          <w:tcPr>
            <w:tcW w:w="757" w:type="pct"/>
          </w:tcPr>
          <w:p w:rsidR="0017424B" w:rsidRPr="00031E71" w:rsidRDefault="0017424B" w:rsidP="0017424B">
            <w:pPr>
              <w:rPr>
                <w:sz w:val="20"/>
                <w:szCs w:val="20"/>
                <w:lang w:val="en-CA"/>
              </w:rPr>
            </w:pPr>
            <w:r w:rsidRPr="00031E71">
              <w:rPr>
                <w:sz w:val="20"/>
                <w:szCs w:val="20"/>
                <w:lang w:val="en-CA"/>
              </w:rPr>
              <w:t>HFC-134a</w:t>
            </w:r>
          </w:p>
        </w:tc>
        <w:tc>
          <w:tcPr>
            <w:tcW w:w="685" w:type="pct"/>
            <w:tcMar>
              <w:right w:w="576" w:type="dxa"/>
            </w:tcMar>
          </w:tcPr>
          <w:p w:rsidR="0017424B" w:rsidRPr="00031E71" w:rsidRDefault="0017424B" w:rsidP="0017424B">
            <w:pPr>
              <w:jc w:val="right"/>
              <w:rPr>
                <w:sz w:val="20"/>
                <w:szCs w:val="20"/>
                <w:lang w:val="en-CA"/>
              </w:rPr>
            </w:pPr>
            <w:r w:rsidRPr="00031E71">
              <w:rPr>
                <w:sz w:val="20"/>
                <w:szCs w:val="20"/>
                <w:lang w:val="en-CA"/>
              </w:rPr>
              <w:t>40</w:t>
            </w:r>
          </w:p>
        </w:tc>
        <w:tc>
          <w:tcPr>
            <w:tcW w:w="721" w:type="pct"/>
            <w:tcMar>
              <w:right w:w="576" w:type="dxa"/>
            </w:tcMar>
          </w:tcPr>
          <w:p w:rsidR="0017424B" w:rsidRPr="00031E71" w:rsidRDefault="0017424B" w:rsidP="0017424B">
            <w:pPr>
              <w:jc w:val="right"/>
              <w:rPr>
                <w:sz w:val="20"/>
                <w:szCs w:val="20"/>
                <w:lang w:val="en-CA"/>
              </w:rPr>
            </w:pPr>
            <w:r w:rsidRPr="00031E71">
              <w:rPr>
                <w:sz w:val="20"/>
                <w:szCs w:val="20"/>
                <w:lang w:val="en-CA"/>
              </w:rPr>
              <w:t>7</w:t>
            </w:r>
          </w:p>
        </w:tc>
        <w:tc>
          <w:tcPr>
            <w:tcW w:w="2837" w:type="pct"/>
          </w:tcPr>
          <w:p w:rsidR="0017424B" w:rsidRPr="00031E71" w:rsidRDefault="0017424B" w:rsidP="0017424B">
            <w:pPr>
              <w:rPr>
                <w:sz w:val="20"/>
                <w:szCs w:val="20"/>
                <w:lang w:val="en-CA"/>
              </w:rPr>
            </w:pPr>
            <w:r w:rsidRPr="00031E71">
              <w:rPr>
                <w:sz w:val="20"/>
                <w:szCs w:val="20"/>
                <w:lang w:val="en-CA"/>
              </w:rPr>
              <w:t>Domestic and commercial refrigeration and MAC; with small uses in other RAC applications, foam and MDIs</w:t>
            </w:r>
          </w:p>
        </w:tc>
      </w:tr>
      <w:tr w:rsidR="0017424B" w:rsidRPr="00031E71" w:rsidTr="00D976CA">
        <w:tc>
          <w:tcPr>
            <w:tcW w:w="757" w:type="pct"/>
          </w:tcPr>
          <w:p w:rsidR="0017424B" w:rsidRPr="00031E71" w:rsidRDefault="0017424B" w:rsidP="0017424B">
            <w:pPr>
              <w:rPr>
                <w:sz w:val="20"/>
                <w:szCs w:val="20"/>
                <w:lang w:val="en-CA"/>
              </w:rPr>
            </w:pPr>
            <w:r w:rsidRPr="00031E71">
              <w:rPr>
                <w:sz w:val="20"/>
                <w:szCs w:val="20"/>
                <w:lang w:val="en-CA"/>
              </w:rPr>
              <w:t>HFC-410A</w:t>
            </w:r>
          </w:p>
        </w:tc>
        <w:tc>
          <w:tcPr>
            <w:tcW w:w="685"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26</w:t>
            </w:r>
          </w:p>
        </w:tc>
        <w:tc>
          <w:tcPr>
            <w:tcW w:w="721"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23</w:t>
            </w:r>
          </w:p>
        </w:tc>
        <w:tc>
          <w:tcPr>
            <w:tcW w:w="2837" w:type="pct"/>
          </w:tcPr>
          <w:p w:rsidR="0017424B" w:rsidRPr="00031E71" w:rsidRDefault="0017424B" w:rsidP="0017424B">
            <w:pPr>
              <w:rPr>
                <w:sz w:val="20"/>
                <w:szCs w:val="20"/>
                <w:lang w:val="en-CA"/>
              </w:rPr>
            </w:pPr>
            <w:r w:rsidRPr="00031E71">
              <w:rPr>
                <w:sz w:val="20"/>
                <w:szCs w:val="20"/>
                <w:lang w:val="en-CA"/>
              </w:rPr>
              <w:t>Air</w:t>
            </w:r>
            <w:r w:rsidRPr="00031E71">
              <w:rPr>
                <w:sz w:val="20"/>
                <w:szCs w:val="20"/>
                <w:lang w:val="en-CA"/>
              </w:rPr>
              <w:noBreakHyphen/>
              <w:t>conditioning applications</w:t>
            </w:r>
          </w:p>
        </w:tc>
      </w:tr>
      <w:tr w:rsidR="0017424B" w:rsidRPr="00031E71" w:rsidTr="00D976CA">
        <w:tc>
          <w:tcPr>
            <w:tcW w:w="757" w:type="pct"/>
          </w:tcPr>
          <w:p w:rsidR="0017424B" w:rsidRPr="00031E71" w:rsidRDefault="0017424B" w:rsidP="0017424B">
            <w:pPr>
              <w:rPr>
                <w:sz w:val="20"/>
                <w:szCs w:val="20"/>
                <w:lang w:val="en-CA"/>
              </w:rPr>
            </w:pPr>
            <w:r w:rsidRPr="00031E71">
              <w:rPr>
                <w:sz w:val="20"/>
                <w:szCs w:val="20"/>
                <w:lang w:val="en-CA"/>
              </w:rPr>
              <w:t>R-404A</w:t>
            </w:r>
          </w:p>
        </w:tc>
        <w:tc>
          <w:tcPr>
            <w:tcW w:w="685"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7</w:t>
            </w:r>
          </w:p>
        </w:tc>
        <w:tc>
          <w:tcPr>
            <w:tcW w:w="721"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5</w:t>
            </w:r>
          </w:p>
        </w:tc>
        <w:tc>
          <w:tcPr>
            <w:tcW w:w="2837" w:type="pct"/>
          </w:tcPr>
          <w:p w:rsidR="0017424B" w:rsidRPr="00031E71" w:rsidRDefault="0017424B" w:rsidP="0017424B">
            <w:pPr>
              <w:rPr>
                <w:sz w:val="20"/>
                <w:szCs w:val="20"/>
                <w:lang w:val="en-CA"/>
              </w:rPr>
            </w:pPr>
            <w:r w:rsidRPr="00031E71">
              <w:rPr>
                <w:sz w:val="20"/>
                <w:szCs w:val="20"/>
                <w:lang w:val="en-CA"/>
              </w:rPr>
              <w:t>Low temperature refrigeration applications</w:t>
            </w:r>
          </w:p>
        </w:tc>
      </w:tr>
      <w:tr w:rsidR="0017424B" w:rsidRPr="00031E71" w:rsidTr="00D976CA">
        <w:tc>
          <w:tcPr>
            <w:tcW w:w="757" w:type="pct"/>
          </w:tcPr>
          <w:p w:rsidR="0017424B" w:rsidRPr="00031E71" w:rsidRDefault="0017424B" w:rsidP="0017424B">
            <w:pPr>
              <w:rPr>
                <w:sz w:val="20"/>
                <w:szCs w:val="20"/>
                <w:lang w:val="en-CA"/>
              </w:rPr>
            </w:pPr>
            <w:r w:rsidRPr="00031E71">
              <w:rPr>
                <w:sz w:val="20"/>
                <w:szCs w:val="20"/>
                <w:lang w:val="en-CA"/>
              </w:rPr>
              <w:t>R-507A</w:t>
            </w:r>
          </w:p>
        </w:tc>
        <w:tc>
          <w:tcPr>
            <w:tcW w:w="685"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2</w:t>
            </w:r>
          </w:p>
        </w:tc>
        <w:tc>
          <w:tcPr>
            <w:tcW w:w="721"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23</w:t>
            </w:r>
          </w:p>
        </w:tc>
        <w:tc>
          <w:tcPr>
            <w:tcW w:w="2837" w:type="pct"/>
          </w:tcPr>
          <w:p w:rsidR="0017424B" w:rsidRPr="00031E71" w:rsidRDefault="0017424B" w:rsidP="0017424B">
            <w:pPr>
              <w:rPr>
                <w:sz w:val="20"/>
                <w:szCs w:val="20"/>
                <w:lang w:val="en-CA"/>
              </w:rPr>
            </w:pPr>
            <w:r w:rsidRPr="00031E71">
              <w:rPr>
                <w:sz w:val="20"/>
                <w:szCs w:val="20"/>
                <w:lang w:val="en-CA"/>
              </w:rPr>
              <w:t>RAC sector</w:t>
            </w:r>
          </w:p>
        </w:tc>
      </w:tr>
      <w:tr w:rsidR="0017424B" w:rsidRPr="00031E71" w:rsidTr="00D976CA">
        <w:tc>
          <w:tcPr>
            <w:tcW w:w="757" w:type="pct"/>
          </w:tcPr>
          <w:p w:rsidR="0017424B" w:rsidRPr="00031E71" w:rsidRDefault="0017424B" w:rsidP="0017424B">
            <w:pPr>
              <w:rPr>
                <w:sz w:val="20"/>
                <w:szCs w:val="20"/>
                <w:lang w:val="en-CA"/>
              </w:rPr>
            </w:pPr>
            <w:r w:rsidRPr="00031E71">
              <w:rPr>
                <w:sz w:val="20"/>
                <w:szCs w:val="20"/>
                <w:lang w:val="en-CA"/>
              </w:rPr>
              <w:t>R-407C</w:t>
            </w:r>
          </w:p>
        </w:tc>
        <w:tc>
          <w:tcPr>
            <w:tcW w:w="685"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1</w:t>
            </w:r>
          </w:p>
        </w:tc>
        <w:tc>
          <w:tcPr>
            <w:tcW w:w="721"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11</w:t>
            </w:r>
          </w:p>
        </w:tc>
        <w:tc>
          <w:tcPr>
            <w:tcW w:w="2837" w:type="pct"/>
          </w:tcPr>
          <w:p w:rsidR="0017424B" w:rsidRPr="00031E71" w:rsidRDefault="0017424B" w:rsidP="0017424B">
            <w:pPr>
              <w:rPr>
                <w:sz w:val="20"/>
                <w:szCs w:val="20"/>
                <w:lang w:val="en-CA"/>
              </w:rPr>
            </w:pPr>
            <w:r w:rsidRPr="00031E71">
              <w:rPr>
                <w:sz w:val="20"/>
                <w:szCs w:val="20"/>
                <w:lang w:val="en-CA"/>
              </w:rPr>
              <w:t>Air</w:t>
            </w:r>
            <w:r w:rsidRPr="00031E71">
              <w:rPr>
                <w:sz w:val="20"/>
                <w:szCs w:val="20"/>
                <w:lang w:val="en-CA"/>
              </w:rPr>
              <w:noBreakHyphen/>
              <w:t>conditioning applications</w:t>
            </w:r>
          </w:p>
        </w:tc>
      </w:tr>
      <w:tr w:rsidR="0017424B" w:rsidRPr="00031E71" w:rsidTr="00D976CA">
        <w:tc>
          <w:tcPr>
            <w:tcW w:w="757" w:type="pct"/>
          </w:tcPr>
          <w:p w:rsidR="0017424B" w:rsidRPr="00031E71" w:rsidRDefault="0017424B" w:rsidP="0017424B">
            <w:pPr>
              <w:rPr>
                <w:sz w:val="20"/>
                <w:szCs w:val="20"/>
                <w:lang w:val="en-CA"/>
              </w:rPr>
            </w:pPr>
            <w:r w:rsidRPr="00031E71">
              <w:rPr>
                <w:sz w:val="20"/>
                <w:szCs w:val="20"/>
                <w:lang w:val="en-CA"/>
              </w:rPr>
              <w:t>HFC-152a**</w:t>
            </w:r>
          </w:p>
        </w:tc>
        <w:tc>
          <w:tcPr>
            <w:tcW w:w="685"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8</w:t>
            </w:r>
          </w:p>
        </w:tc>
        <w:tc>
          <w:tcPr>
            <w:tcW w:w="721"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33</w:t>
            </w:r>
          </w:p>
        </w:tc>
        <w:tc>
          <w:tcPr>
            <w:tcW w:w="2837" w:type="pct"/>
          </w:tcPr>
          <w:p w:rsidR="0017424B" w:rsidRPr="00031E71" w:rsidRDefault="0017424B" w:rsidP="0017424B">
            <w:pPr>
              <w:rPr>
                <w:sz w:val="20"/>
                <w:szCs w:val="20"/>
                <w:lang w:val="en-CA"/>
              </w:rPr>
            </w:pPr>
            <w:r w:rsidRPr="00031E71">
              <w:rPr>
                <w:sz w:val="20"/>
                <w:szCs w:val="20"/>
                <w:lang w:val="en-CA"/>
              </w:rPr>
              <w:t>Industrial aerosol sector and extruded polystyrene foam</w:t>
            </w:r>
          </w:p>
        </w:tc>
      </w:tr>
      <w:tr w:rsidR="0017424B" w:rsidRPr="00031E71" w:rsidTr="00D976CA">
        <w:tc>
          <w:tcPr>
            <w:tcW w:w="757" w:type="pct"/>
          </w:tcPr>
          <w:p w:rsidR="0017424B" w:rsidRPr="00031E71" w:rsidRDefault="0017424B" w:rsidP="0017424B">
            <w:pPr>
              <w:rPr>
                <w:sz w:val="20"/>
                <w:szCs w:val="20"/>
                <w:lang w:val="en-CA"/>
              </w:rPr>
            </w:pPr>
            <w:r w:rsidRPr="00031E71">
              <w:rPr>
                <w:sz w:val="20"/>
                <w:szCs w:val="20"/>
                <w:lang w:val="en-CA"/>
              </w:rPr>
              <w:t>HFC-245fa***</w:t>
            </w:r>
          </w:p>
        </w:tc>
        <w:tc>
          <w:tcPr>
            <w:tcW w:w="685"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9</w:t>
            </w:r>
          </w:p>
        </w:tc>
        <w:tc>
          <w:tcPr>
            <w:tcW w:w="721"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9</w:t>
            </w:r>
          </w:p>
        </w:tc>
        <w:tc>
          <w:tcPr>
            <w:tcW w:w="2837" w:type="pct"/>
          </w:tcPr>
          <w:p w:rsidR="0017424B" w:rsidRPr="00031E71" w:rsidRDefault="0017424B" w:rsidP="0017424B">
            <w:pPr>
              <w:rPr>
                <w:sz w:val="20"/>
                <w:szCs w:val="20"/>
                <w:lang w:val="en-CA"/>
              </w:rPr>
            </w:pPr>
            <w:r w:rsidRPr="00031E71">
              <w:rPr>
                <w:sz w:val="20"/>
                <w:szCs w:val="20"/>
                <w:lang w:val="en-CA"/>
              </w:rPr>
              <w:t>PU foam</w:t>
            </w:r>
          </w:p>
        </w:tc>
      </w:tr>
      <w:tr w:rsidR="0017424B" w:rsidRPr="00031E71" w:rsidTr="00D976CA">
        <w:tc>
          <w:tcPr>
            <w:tcW w:w="757" w:type="pct"/>
          </w:tcPr>
          <w:p w:rsidR="0017424B" w:rsidRPr="00031E71" w:rsidRDefault="0017424B" w:rsidP="0017424B">
            <w:pPr>
              <w:rPr>
                <w:sz w:val="20"/>
                <w:szCs w:val="20"/>
                <w:lang w:val="en-CA"/>
              </w:rPr>
            </w:pPr>
            <w:r w:rsidRPr="00031E71">
              <w:rPr>
                <w:sz w:val="20"/>
                <w:szCs w:val="20"/>
                <w:lang w:val="en-CA"/>
              </w:rPr>
              <w:t>Others</w:t>
            </w:r>
          </w:p>
        </w:tc>
        <w:tc>
          <w:tcPr>
            <w:tcW w:w="685"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6</w:t>
            </w:r>
          </w:p>
        </w:tc>
        <w:tc>
          <w:tcPr>
            <w:tcW w:w="721"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35</w:t>
            </w:r>
          </w:p>
        </w:tc>
        <w:tc>
          <w:tcPr>
            <w:tcW w:w="2837" w:type="pct"/>
          </w:tcPr>
          <w:p w:rsidR="0017424B" w:rsidRPr="00031E71" w:rsidRDefault="0017424B" w:rsidP="0017424B">
            <w:pPr>
              <w:rPr>
                <w:sz w:val="20"/>
                <w:szCs w:val="20"/>
                <w:lang w:val="en-CA"/>
              </w:rPr>
            </w:pPr>
            <w:r w:rsidRPr="00031E71">
              <w:rPr>
                <w:sz w:val="20"/>
                <w:szCs w:val="20"/>
                <w:lang w:val="en-CA"/>
              </w:rPr>
              <w:t>Small uses in all applications</w:t>
            </w:r>
          </w:p>
        </w:tc>
      </w:tr>
      <w:tr w:rsidR="0017424B" w:rsidRPr="00031E71" w:rsidTr="00D976CA">
        <w:tc>
          <w:tcPr>
            <w:tcW w:w="757" w:type="pct"/>
          </w:tcPr>
          <w:p w:rsidR="0017424B" w:rsidRPr="00D976CA" w:rsidRDefault="0017424B" w:rsidP="0017424B">
            <w:pPr>
              <w:rPr>
                <w:sz w:val="20"/>
                <w:szCs w:val="20"/>
                <w:lang w:val="en-CA"/>
              </w:rPr>
            </w:pPr>
            <w:r w:rsidRPr="00D976CA">
              <w:rPr>
                <w:sz w:val="20"/>
                <w:szCs w:val="20"/>
                <w:lang w:val="en-CA"/>
              </w:rPr>
              <w:t>Total</w:t>
            </w:r>
          </w:p>
        </w:tc>
        <w:tc>
          <w:tcPr>
            <w:tcW w:w="685" w:type="pct"/>
            <w:tcMar>
              <w:left w:w="115" w:type="dxa"/>
              <w:right w:w="576" w:type="dxa"/>
            </w:tcMar>
          </w:tcPr>
          <w:p w:rsidR="0017424B" w:rsidRPr="00031E71" w:rsidRDefault="0017424B" w:rsidP="0017424B">
            <w:pPr>
              <w:jc w:val="right"/>
              <w:rPr>
                <w:sz w:val="20"/>
                <w:szCs w:val="20"/>
                <w:lang w:val="en-CA"/>
              </w:rPr>
            </w:pPr>
            <w:r w:rsidRPr="00031E71">
              <w:rPr>
                <w:sz w:val="20"/>
                <w:szCs w:val="20"/>
                <w:lang w:val="en-CA"/>
              </w:rPr>
              <w:t>100</w:t>
            </w:r>
          </w:p>
        </w:tc>
        <w:tc>
          <w:tcPr>
            <w:tcW w:w="721" w:type="pct"/>
          </w:tcPr>
          <w:p w:rsidR="0017424B" w:rsidRPr="00031E71" w:rsidRDefault="0017424B" w:rsidP="0017424B">
            <w:pPr>
              <w:jc w:val="center"/>
              <w:rPr>
                <w:sz w:val="20"/>
                <w:szCs w:val="20"/>
                <w:lang w:val="en-CA"/>
              </w:rPr>
            </w:pPr>
            <w:r w:rsidRPr="00031E71">
              <w:rPr>
                <w:sz w:val="20"/>
                <w:szCs w:val="20"/>
                <w:lang w:val="en-CA"/>
              </w:rPr>
              <w:t>13</w:t>
            </w:r>
          </w:p>
        </w:tc>
        <w:tc>
          <w:tcPr>
            <w:tcW w:w="2837" w:type="pct"/>
          </w:tcPr>
          <w:p w:rsidR="0017424B" w:rsidRPr="00031E71" w:rsidRDefault="0017424B" w:rsidP="0017424B">
            <w:pPr>
              <w:rPr>
                <w:sz w:val="20"/>
                <w:szCs w:val="20"/>
                <w:lang w:val="en-CA"/>
              </w:rPr>
            </w:pPr>
          </w:p>
        </w:tc>
      </w:tr>
    </w:tbl>
    <w:p w:rsidR="0017424B" w:rsidRPr="00031E71" w:rsidRDefault="0017424B" w:rsidP="0017424B">
      <w:pPr>
        <w:rPr>
          <w:sz w:val="18"/>
          <w:szCs w:val="18"/>
          <w:lang w:val="en-CA"/>
        </w:rPr>
      </w:pPr>
      <w:r w:rsidRPr="00031E71">
        <w:rPr>
          <w:sz w:val="18"/>
          <w:szCs w:val="18"/>
          <w:lang w:val="en-CA"/>
        </w:rPr>
        <w:t xml:space="preserve">(*) </w:t>
      </w:r>
      <w:r w:rsidR="00541834">
        <w:rPr>
          <w:sz w:val="18"/>
          <w:szCs w:val="18"/>
          <w:lang w:val="en-CA"/>
        </w:rPr>
        <w:t>Calculated as c</w:t>
      </w:r>
      <w:r w:rsidRPr="00031E71">
        <w:rPr>
          <w:sz w:val="18"/>
          <w:szCs w:val="18"/>
          <w:lang w:val="en-CA"/>
        </w:rPr>
        <w:t>ompounded annual growth</w:t>
      </w:r>
      <w:r w:rsidR="00D976CA">
        <w:rPr>
          <w:sz w:val="18"/>
          <w:szCs w:val="18"/>
          <w:lang w:val="en-CA"/>
        </w:rPr>
        <w:t xml:space="preserve"> rate</w:t>
      </w:r>
      <w:r w:rsidRPr="00031E71">
        <w:rPr>
          <w:sz w:val="18"/>
          <w:szCs w:val="18"/>
          <w:lang w:val="en-CA"/>
        </w:rPr>
        <w:t xml:space="preserve"> (CAG</w:t>
      </w:r>
      <w:r w:rsidR="00D976CA">
        <w:rPr>
          <w:sz w:val="18"/>
          <w:szCs w:val="18"/>
          <w:lang w:val="en-CA"/>
        </w:rPr>
        <w:t>R</w:t>
      </w:r>
      <w:r w:rsidR="00541834">
        <w:rPr>
          <w:sz w:val="18"/>
          <w:szCs w:val="18"/>
          <w:lang w:val="en-CA"/>
        </w:rPr>
        <w:t>) between 2012 and 2015, referred to in the document as “annual growth rate.”</w:t>
      </w:r>
    </w:p>
    <w:p w:rsidR="0017424B" w:rsidRPr="00031E71" w:rsidRDefault="0017424B" w:rsidP="0017424B">
      <w:pPr>
        <w:rPr>
          <w:sz w:val="18"/>
          <w:szCs w:val="18"/>
          <w:lang w:val="en-CA"/>
        </w:rPr>
      </w:pPr>
      <w:r w:rsidRPr="00031E71">
        <w:rPr>
          <w:sz w:val="18"/>
          <w:szCs w:val="18"/>
          <w:lang w:val="en-CA"/>
        </w:rPr>
        <w:t>(**) Over 90 per cent of this consumption was reported for only one country.</w:t>
      </w:r>
    </w:p>
    <w:p w:rsidR="0017424B" w:rsidRPr="00031E71" w:rsidRDefault="0017424B" w:rsidP="0017424B">
      <w:pPr>
        <w:rPr>
          <w:sz w:val="18"/>
          <w:szCs w:val="18"/>
          <w:lang w:val="en-CA"/>
        </w:rPr>
      </w:pPr>
      <w:r w:rsidRPr="00031E71">
        <w:rPr>
          <w:sz w:val="18"/>
          <w:szCs w:val="18"/>
          <w:lang w:val="en-CA"/>
        </w:rPr>
        <w:t>(***) One country reported a high use of HFC-245fa for the PU foam sector (i.e., around 15 per cent of its total HFC consumption</w:t>
      </w:r>
    </w:p>
    <w:p w:rsidR="0017424B" w:rsidRPr="0017424B" w:rsidRDefault="0017424B" w:rsidP="0017424B">
      <w:pPr>
        <w:rPr>
          <w:lang w:val="en-CA"/>
        </w:rPr>
      </w:pPr>
    </w:p>
    <w:p w:rsidR="0017424B" w:rsidRPr="0017424B" w:rsidRDefault="0017424B" w:rsidP="0017424B">
      <w:pPr>
        <w:numPr>
          <w:ilvl w:val="0"/>
          <w:numId w:val="1"/>
        </w:numPr>
        <w:spacing w:after="240"/>
        <w:outlineLvl w:val="0"/>
      </w:pPr>
      <w:r w:rsidRPr="0017424B">
        <w:rPr>
          <w:lang w:val="en-CA"/>
        </w:rPr>
        <w:t xml:space="preserve">HFC consumption in foam sector constituted around 10 per cent of the total HFC consumption, increasing </w:t>
      </w:r>
      <w:r w:rsidRPr="0017424B">
        <w:t xml:space="preserve">from 2,883 mt in 2012 to 3,983 mt in 2015, with </w:t>
      </w:r>
      <w:r w:rsidR="00036A89">
        <w:t xml:space="preserve">an </w:t>
      </w:r>
      <w:r w:rsidRPr="0017424B">
        <w:t>annual growth</w:t>
      </w:r>
      <w:r w:rsidR="00D976CA">
        <w:t xml:space="preserve"> rate</w:t>
      </w:r>
      <w:r w:rsidRPr="0017424B">
        <w:t xml:space="preserve"> of 11 per cent.</w:t>
      </w:r>
      <w:r w:rsidRPr="0017424B">
        <w:rPr>
          <w:lang w:val="en-CA"/>
        </w:rPr>
        <w:t xml:space="preserve">The main HFCs </w:t>
      </w:r>
      <w:r w:rsidRPr="0017424B">
        <w:t>consumed in the production of polyurethane (PU) foam included HFC-134, HFC-134a, HFC</w:t>
      </w:r>
      <w:r w:rsidR="00950288">
        <w:noBreakHyphen/>
      </w:r>
      <w:r w:rsidRPr="0017424B">
        <w:t>152a, HFC-245fa, HFC-365mfc alone, and HFC</w:t>
      </w:r>
      <w:r w:rsidRPr="0017424B">
        <w:noBreakHyphen/>
        <w:t>227ea/HFC</w:t>
      </w:r>
      <w:r w:rsidRPr="0017424B">
        <w:noBreakHyphen/>
        <w:t>365mfc, with HFC-245fa constituting more than 95 per cent of consumption in mt (in one country, consumption o</w:t>
      </w:r>
      <w:r w:rsidRPr="0017424B">
        <w:rPr>
          <w:lang w:val="en-CA"/>
        </w:rPr>
        <w:t xml:space="preserve">f HFC-245fa represented 15 per cent of its total HFC consumption). </w:t>
      </w:r>
      <w:r w:rsidRPr="0017424B">
        <w:t>HFC-134a and HFC</w:t>
      </w:r>
      <w:r w:rsidRPr="0017424B">
        <w:noBreakHyphen/>
        <w:t xml:space="preserve">152a were also consumed for the production of extruded polystyrene (XPS) foam, with the consumption increasing from 268 mt in 2012 to 289 mt in 2015, with </w:t>
      </w:r>
      <w:r w:rsidR="00950288">
        <w:t xml:space="preserve">an </w:t>
      </w:r>
      <w:r w:rsidR="00D976CA">
        <w:t>annual growth rate</w:t>
      </w:r>
      <w:r w:rsidRPr="0017424B">
        <w:t xml:space="preserve"> of only 3 per cent. </w:t>
      </w:r>
    </w:p>
    <w:p w:rsidR="0017424B" w:rsidRPr="0017424B" w:rsidRDefault="0017424B" w:rsidP="0017424B">
      <w:pPr>
        <w:numPr>
          <w:ilvl w:val="0"/>
          <w:numId w:val="1"/>
        </w:numPr>
        <w:spacing w:after="240"/>
        <w:outlineLvl w:val="0"/>
        <w:rPr>
          <w:lang w:val="en-CA"/>
        </w:rPr>
      </w:pPr>
      <w:r w:rsidRPr="0017424B">
        <w:rPr>
          <w:lang w:val="en-CA"/>
        </w:rPr>
        <w:t xml:space="preserve">HFC consumption was reported in aerosol, fire-fighting and solvents applications representing </w:t>
      </w:r>
      <w:r w:rsidR="00950288">
        <w:rPr>
          <w:lang w:val="en-CA"/>
        </w:rPr>
        <w:t>about 11</w:t>
      </w:r>
      <w:r w:rsidRPr="0017424B">
        <w:rPr>
          <w:lang w:val="en-CA"/>
        </w:rPr>
        <w:t xml:space="preserve"> per cent of the total consumption</w:t>
      </w:r>
      <w:r w:rsidR="00950288">
        <w:rPr>
          <w:lang w:val="en-CA"/>
        </w:rPr>
        <w:t xml:space="preserve"> in 2015</w:t>
      </w:r>
      <w:r w:rsidRPr="0017424B">
        <w:rPr>
          <w:lang w:val="en-CA"/>
        </w:rPr>
        <w:t>. A brief overview of HFC consumption in these applications is given below, noting that a large number of HFC free alternatives were also used in this sector:</w:t>
      </w:r>
    </w:p>
    <w:p w:rsidR="0017424B" w:rsidRPr="0017424B" w:rsidRDefault="0017424B" w:rsidP="00607AED">
      <w:pPr>
        <w:pStyle w:val="Heading2"/>
        <w:rPr>
          <w:lang w:val="en-CA"/>
        </w:rPr>
      </w:pPr>
      <w:r w:rsidRPr="0017424B">
        <w:rPr>
          <w:lang w:val="en-CA"/>
        </w:rPr>
        <w:t>HFCs consumed in aerosol applications included HFC-134a, HFC-152a, HFC</w:t>
      </w:r>
      <w:r w:rsidRPr="0017424B">
        <w:rPr>
          <w:lang w:val="en-CA"/>
        </w:rPr>
        <w:noBreakHyphen/>
        <w:t>227ea and HFC</w:t>
      </w:r>
      <w:r w:rsidR="00FF13E1">
        <w:rPr>
          <w:lang w:val="en-CA"/>
        </w:rPr>
        <w:noBreakHyphen/>
      </w:r>
      <w:r w:rsidRPr="0017424B">
        <w:rPr>
          <w:lang w:val="en-CA"/>
        </w:rPr>
        <w:t>365mfc/227ea, used in industrial aerosols (90 per cent) and MDIs (10 per cent consuming HFC-134a and HFC-227ea) applications. The consumption grew from 1,855</w:t>
      </w:r>
      <w:r w:rsidR="00607AED">
        <w:rPr>
          <w:lang w:val="en-CA"/>
        </w:rPr>
        <w:t> </w:t>
      </w:r>
      <w:r w:rsidRPr="0017424B">
        <w:rPr>
          <w:lang w:val="en-CA"/>
        </w:rPr>
        <w:t>mt in 2012 to 4,116</w:t>
      </w:r>
      <w:r w:rsidR="00FF13E1">
        <w:rPr>
          <w:lang w:val="en-CA"/>
        </w:rPr>
        <w:t> </w:t>
      </w:r>
      <w:r w:rsidRPr="0017424B">
        <w:rPr>
          <w:lang w:val="en-CA"/>
        </w:rPr>
        <w:t>mt, with an annual growth rate of 30 per cent;</w:t>
      </w:r>
    </w:p>
    <w:p w:rsidR="0017424B" w:rsidRPr="0017424B" w:rsidRDefault="0017424B" w:rsidP="00607AED">
      <w:pPr>
        <w:pStyle w:val="Heading2"/>
        <w:rPr>
          <w:lang w:val="en-CA"/>
        </w:rPr>
      </w:pPr>
      <w:r w:rsidRPr="0017424B">
        <w:rPr>
          <w:lang w:val="en-CA"/>
        </w:rPr>
        <w:t>HFCs consumed in solvents included HFC-125, HFC-134a, HFC-152a, HFC</w:t>
      </w:r>
      <w:r w:rsidRPr="0017424B">
        <w:rPr>
          <w:lang w:val="en-CA"/>
        </w:rPr>
        <w:noBreakHyphen/>
        <w:t>218, HFC</w:t>
      </w:r>
      <w:r w:rsidR="00607AED">
        <w:rPr>
          <w:lang w:val="en-CA"/>
        </w:rPr>
        <w:noBreakHyphen/>
      </w:r>
      <w:r w:rsidRPr="0017424B">
        <w:rPr>
          <w:lang w:val="en-CA"/>
        </w:rPr>
        <w:t>227ea, and HFC</w:t>
      </w:r>
      <w:r w:rsidRPr="0017424B">
        <w:rPr>
          <w:lang w:val="en-CA"/>
        </w:rPr>
        <w:noBreakHyphen/>
        <w:t>43-10mee. The consumption grew from 20.7 mt in 2012 to 29.7 mt in 2015, with an annual growth rate of 13 per cent; and</w:t>
      </w:r>
    </w:p>
    <w:p w:rsidR="0017424B" w:rsidRPr="0017424B" w:rsidRDefault="0017424B" w:rsidP="00607AED">
      <w:pPr>
        <w:pStyle w:val="Heading2"/>
        <w:keepNext/>
        <w:widowControl/>
        <w:rPr>
          <w:lang w:val="en-CA"/>
        </w:rPr>
      </w:pPr>
      <w:r w:rsidRPr="0017424B">
        <w:rPr>
          <w:lang w:val="en-CA"/>
        </w:rPr>
        <w:t>HFCs consumed in fire-fighting included HFC-125, HFC-365mfc, HFC</w:t>
      </w:r>
      <w:r w:rsidRPr="0017424B">
        <w:rPr>
          <w:lang w:val="en-CA"/>
        </w:rPr>
        <w:noBreakHyphen/>
        <w:t>227ea, HFC</w:t>
      </w:r>
      <w:r w:rsidRPr="0017424B">
        <w:rPr>
          <w:lang w:val="en-CA"/>
        </w:rPr>
        <w:noBreakHyphen/>
        <w:t>227ea/HFC</w:t>
      </w:r>
      <w:r w:rsidR="00FF13E1">
        <w:rPr>
          <w:lang w:val="en-CA"/>
        </w:rPr>
        <w:noBreakHyphen/>
      </w:r>
      <w:r w:rsidRPr="0017424B">
        <w:rPr>
          <w:lang w:val="en-CA"/>
        </w:rPr>
        <w:t>365mfc, HFC-23 and HFC-236fa, with consumption of HFC</w:t>
      </w:r>
      <w:r w:rsidRPr="0017424B">
        <w:rPr>
          <w:lang w:val="en-CA"/>
        </w:rPr>
        <w:noBreakHyphen/>
        <w:t xml:space="preserve">125, HFC-227ea, and HFC-365mfc constituting more than 98 per cent of the total consumption. The consumption grew from 152 mt in 2012 to 352 mt in 2015, with an annual growth rate of 32 per cent. </w:t>
      </w:r>
    </w:p>
    <w:p w:rsidR="0017424B" w:rsidRPr="0017424B" w:rsidRDefault="0017424B" w:rsidP="003B782A">
      <w:pPr>
        <w:keepNext/>
        <w:rPr>
          <w:b/>
          <w:lang w:val="en-CA"/>
        </w:rPr>
      </w:pPr>
      <w:r w:rsidRPr="0017424B">
        <w:rPr>
          <w:b/>
          <w:lang w:val="en-CA"/>
        </w:rPr>
        <w:t>Observations from the review of surveys on ODS alternatives</w:t>
      </w:r>
    </w:p>
    <w:p w:rsidR="0017424B" w:rsidRPr="0017424B" w:rsidRDefault="0017424B" w:rsidP="003B782A">
      <w:pPr>
        <w:keepNext/>
        <w:rPr>
          <w:lang w:val="en-CA"/>
        </w:rPr>
      </w:pPr>
    </w:p>
    <w:p w:rsidR="0017424B" w:rsidRPr="0017424B" w:rsidRDefault="0017424B" w:rsidP="003B782A">
      <w:pPr>
        <w:keepNext/>
        <w:numPr>
          <w:ilvl w:val="0"/>
          <w:numId w:val="1"/>
        </w:numPr>
        <w:spacing w:after="240"/>
        <w:outlineLvl w:val="0"/>
        <w:rPr>
          <w:lang w:val="en-CA"/>
        </w:rPr>
      </w:pPr>
      <w:r w:rsidRPr="0017424B">
        <w:rPr>
          <w:lang w:val="en-CA"/>
        </w:rPr>
        <w:t>In reviewing the HFC data provided in the surveys on ODS alternatives</w:t>
      </w:r>
      <w:r w:rsidR="008E7FED">
        <w:rPr>
          <w:lang w:val="en-CA"/>
        </w:rPr>
        <w:t>,</w:t>
      </w:r>
      <w:r w:rsidRPr="0017424B">
        <w:rPr>
          <w:vertAlign w:val="superscript"/>
          <w:lang w:val="en-CA"/>
        </w:rPr>
        <w:footnoteReference w:id="13"/>
      </w:r>
      <w:r w:rsidRPr="0017424B">
        <w:rPr>
          <w:lang w:val="en-CA"/>
        </w:rPr>
        <w:t xml:space="preserve"> the Secretariat had the following broad observations:</w:t>
      </w:r>
    </w:p>
    <w:p w:rsidR="0017424B" w:rsidRPr="0017424B" w:rsidRDefault="0017424B" w:rsidP="0017424B">
      <w:pPr>
        <w:widowControl w:val="0"/>
        <w:numPr>
          <w:ilvl w:val="1"/>
          <w:numId w:val="1"/>
        </w:numPr>
        <w:spacing w:after="240"/>
        <w:outlineLvl w:val="1"/>
        <w:rPr>
          <w:lang w:val="en-CA"/>
        </w:rPr>
      </w:pPr>
      <w:r w:rsidRPr="0017424B">
        <w:rPr>
          <w:lang w:val="en-CA"/>
        </w:rPr>
        <w:t>Some reports provided consumption data without specifying the sub-sector for which the HFC substance was used particularly in the refrigeration in servicing sector (e.g., MAC or domestic refrigeration);</w:t>
      </w:r>
    </w:p>
    <w:p w:rsidR="0017424B" w:rsidRPr="0017424B" w:rsidRDefault="0017424B" w:rsidP="0017424B">
      <w:pPr>
        <w:widowControl w:val="0"/>
        <w:numPr>
          <w:ilvl w:val="1"/>
          <w:numId w:val="1"/>
        </w:numPr>
        <w:spacing w:after="240"/>
        <w:outlineLvl w:val="1"/>
        <w:rPr>
          <w:lang w:val="en-CA"/>
        </w:rPr>
      </w:pPr>
      <w:r w:rsidRPr="0017424B">
        <w:rPr>
          <w:lang w:val="en-CA"/>
        </w:rPr>
        <w:t>Several of the reports did not provide breakdown of the specific sub-sector uses for each HFC and, therefore, a more detailed analysis of the distribution of HFC consumption per sector and sub</w:t>
      </w:r>
      <w:r w:rsidRPr="0017424B">
        <w:rPr>
          <w:lang w:val="en-CA"/>
        </w:rPr>
        <w:noBreakHyphen/>
        <w:t>sector could not be done;</w:t>
      </w:r>
    </w:p>
    <w:p w:rsidR="0017424B" w:rsidRPr="0017424B" w:rsidRDefault="0017424B" w:rsidP="0017424B">
      <w:pPr>
        <w:widowControl w:val="0"/>
        <w:numPr>
          <w:ilvl w:val="1"/>
          <w:numId w:val="1"/>
        </w:numPr>
        <w:spacing w:after="240"/>
        <w:outlineLvl w:val="1"/>
        <w:rPr>
          <w:lang w:val="en-CA"/>
        </w:rPr>
      </w:pPr>
      <w:r w:rsidRPr="0017424B">
        <w:rPr>
          <w:lang w:val="en-CA"/>
        </w:rPr>
        <w:t>Several of the reports submitted included only the tables with HFC consumption data, which did not allow for an analysis of the methodology used, the forecast and trends in consumption. Complete reports will be finalized and submitted prior to the 79</w:t>
      </w:r>
      <w:r w:rsidRPr="0017424B">
        <w:rPr>
          <w:vertAlign w:val="superscript"/>
          <w:lang w:val="en-CA"/>
        </w:rPr>
        <w:t>th</w:t>
      </w:r>
      <w:r w:rsidRPr="0017424B">
        <w:rPr>
          <w:lang w:val="en-CA"/>
        </w:rPr>
        <w:t xml:space="preserve"> meeting;</w:t>
      </w:r>
    </w:p>
    <w:p w:rsidR="0017424B" w:rsidRPr="0017424B" w:rsidRDefault="0017424B" w:rsidP="0017424B">
      <w:pPr>
        <w:widowControl w:val="0"/>
        <w:numPr>
          <w:ilvl w:val="1"/>
          <w:numId w:val="1"/>
        </w:numPr>
        <w:spacing w:after="240"/>
        <w:outlineLvl w:val="1"/>
        <w:rPr>
          <w:lang w:val="en-CA"/>
        </w:rPr>
      </w:pPr>
      <w:r w:rsidRPr="0017424B">
        <w:rPr>
          <w:lang w:val="en-CA"/>
        </w:rPr>
        <w:t>As the current licensing systems in all countries except for one do not include controls for the import/export of HFCs, countries provided only best estimates of HFC consumption; therefore, cross-checking was difficult; and</w:t>
      </w:r>
    </w:p>
    <w:p w:rsidR="0017424B" w:rsidRPr="00036A89" w:rsidRDefault="0017424B" w:rsidP="0017424B">
      <w:pPr>
        <w:widowControl w:val="0"/>
        <w:numPr>
          <w:ilvl w:val="1"/>
          <w:numId w:val="1"/>
        </w:numPr>
        <w:spacing w:after="240"/>
        <w:outlineLvl w:val="1"/>
        <w:rPr>
          <w:lang w:val="en-CA"/>
        </w:rPr>
      </w:pPr>
      <w:r w:rsidRPr="00036A89">
        <w:rPr>
          <w:lang w:val="en-CA"/>
        </w:rPr>
        <w:t>While some countries provided a forecast of HFC consumption, an overall projection was not possible due to limited number of data available (only four years from 2012 to 2015), major fluctuations in consumption, the consumption of new HFCs and/or HFC-blends during the reporting period. On this basis, forecasting HFC consumption for base years would need to consider other factors (such as the forecast of HCFCs, analysis on the trend of new technologies based on controlled substances being introduced, population growth rate and rate of population with access to refrigeration and air-conditioning equipment including automobiles).</w:t>
      </w:r>
    </w:p>
    <w:p w:rsidR="0017424B" w:rsidRPr="0017424B" w:rsidRDefault="00C45268" w:rsidP="0017424B">
      <w:pPr>
        <w:rPr>
          <w:b/>
          <w:lang w:val="en-CA"/>
        </w:rPr>
      </w:pPr>
      <w:r w:rsidRPr="0017424B">
        <w:rPr>
          <w:b/>
          <w:lang w:val="en-CA"/>
        </w:rPr>
        <w:t>Recommendation</w:t>
      </w:r>
    </w:p>
    <w:p w:rsidR="0017424B" w:rsidRPr="0017424B" w:rsidRDefault="0017424B" w:rsidP="0017424B">
      <w:pPr>
        <w:rPr>
          <w:b/>
          <w:lang w:val="en-CA"/>
        </w:rPr>
      </w:pPr>
    </w:p>
    <w:p w:rsidR="000A05C8" w:rsidRDefault="0017424B" w:rsidP="00036A89">
      <w:pPr>
        <w:pStyle w:val="Heading1"/>
        <w:rPr>
          <w:lang w:val="en-CA"/>
        </w:rPr>
      </w:pPr>
      <w:r w:rsidRPr="0017424B">
        <w:rPr>
          <w:lang w:val="en-CA"/>
        </w:rPr>
        <w:t xml:space="preserve">The Executive Committee may wish to note </w:t>
      </w:r>
      <w:r w:rsidR="003B782A">
        <w:rPr>
          <w:lang w:val="en-CA"/>
        </w:rPr>
        <w:t>the</w:t>
      </w:r>
      <w:r w:rsidRPr="0017424B">
        <w:rPr>
          <w:lang w:val="en-CA"/>
        </w:rPr>
        <w:t xml:space="preserve"> document </w:t>
      </w:r>
      <w:r w:rsidR="00036A89" w:rsidRPr="00036A89">
        <w:rPr>
          <w:lang w:val="en-CA"/>
        </w:rPr>
        <w:t>UNEP/</w:t>
      </w:r>
      <w:proofErr w:type="spellStart"/>
      <w:r w:rsidR="00036A89" w:rsidRPr="00036A89">
        <w:rPr>
          <w:lang w:val="en-CA"/>
        </w:rPr>
        <w:t>OzL.Pro</w:t>
      </w:r>
      <w:proofErr w:type="spellEnd"/>
      <w:r w:rsidR="00036A89" w:rsidRPr="00036A89">
        <w:rPr>
          <w:lang w:val="en-CA"/>
        </w:rPr>
        <w:t>/ExCom/78/4</w:t>
      </w:r>
      <w:r w:rsidR="00036A89">
        <w:rPr>
          <w:lang w:val="en-CA"/>
        </w:rPr>
        <w:t xml:space="preserve"> </w:t>
      </w:r>
      <w:r w:rsidRPr="0017424B">
        <w:rPr>
          <w:lang w:val="en-CA"/>
        </w:rPr>
        <w:t>on Available information on HFC consumption and production in Article 5 countries.</w:t>
      </w:r>
    </w:p>
    <w:p w:rsidR="00F47469" w:rsidRPr="00F47469" w:rsidRDefault="00F47469" w:rsidP="00F47469">
      <w:pPr>
        <w:rPr>
          <w:lang w:val="en-CA"/>
        </w:rPr>
        <w:sectPr w:rsidR="00F47469" w:rsidRPr="00F47469" w:rsidSect="00896234">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cols w:space="720"/>
          <w:titlePg/>
        </w:sectPr>
      </w:pPr>
    </w:p>
    <w:p w:rsidR="0017424B" w:rsidRPr="0017424B" w:rsidRDefault="0017424B" w:rsidP="0017424B">
      <w:pPr>
        <w:jc w:val="left"/>
        <w:rPr>
          <w:b/>
          <w:lang w:val="en-CA"/>
        </w:rPr>
      </w:pPr>
    </w:p>
    <w:p w:rsidR="0017424B" w:rsidRPr="0017424B" w:rsidRDefault="0017424B" w:rsidP="0017424B">
      <w:pPr>
        <w:jc w:val="center"/>
        <w:rPr>
          <w:b/>
          <w:sz w:val="21"/>
          <w:szCs w:val="21"/>
          <w:lang w:val="en-CA"/>
        </w:rPr>
      </w:pPr>
      <w:r w:rsidRPr="0017424B">
        <w:rPr>
          <w:b/>
          <w:sz w:val="21"/>
          <w:szCs w:val="21"/>
          <w:lang w:val="en-CA"/>
        </w:rPr>
        <w:t>Annex I</w:t>
      </w:r>
    </w:p>
    <w:p w:rsidR="0017424B" w:rsidRPr="0017424B" w:rsidRDefault="0017424B" w:rsidP="0017424B">
      <w:pPr>
        <w:jc w:val="center"/>
        <w:rPr>
          <w:b/>
          <w:sz w:val="21"/>
          <w:szCs w:val="21"/>
          <w:lang w:val="en-CA"/>
        </w:rPr>
      </w:pPr>
    </w:p>
    <w:p w:rsidR="0017424B" w:rsidRPr="0017424B" w:rsidRDefault="0017424B" w:rsidP="0017424B">
      <w:pPr>
        <w:jc w:val="center"/>
        <w:rPr>
          <w:b/>
          <w:sz w:val="21"/>
          <w:szCs w:val="21"/>
          <w:lang w:val="en-CA"/>
        </w:rPr>
      </w:pPr>
      <w:r w:rsidRPr="0017424B">
        <w:rPr>
          <w:b/>
          <w:sz w:val="21"/>
          <w:szCs w:val="21"/>
          <w:lang w:val="en-CA"/>
        </w:rPr>
        <w:t>INFORMATION ON THE CONSUMPTION OF HFCs (TEAP TASK FORCES REPORTS)</w:t>
      </w:r>
    </w:p>
    <w:p w:rsidR="0017424B" w:rsidRPr="0017424B" w:rsidRDefault="0017424B" w:rsidP="0017424B">
      <w:pPr>
        <w:rPr>
          <w:b/>
          <w:sz w:val="21"/>
          <w:szCs w:val="21"/>
          <w:lang w:val="en-CA"/>
        </w:rPr>
      </w:pPr>
    </w:p>
    <w:p w:rsidR="0017424B" w:rsidRPr="0017424B" w:rsidRDefault="0017424B" w:rsidP="0017424B">
      <w:pPr>
        <w:jc w:val="center"/>
        <w:rPr>
          <w:b/>
          <w:sz w:val="21"/>
          <w:szCs w:val="21"/>
          <w:lang w:val="en-CA"/>
        </w:rPr>
      </w:pPr>
      <w:r w:rsidRPr="0017424B">
        <w:rPr>
          <w:b/>
          <w:sz w:val="21"/>
          <w:szCs w:val="21"/>
          <w:lang w:val="en-CA"/>
        </w:rPr>
        <w:t>HFC consumption in Article 5 countries by substance and sector</w:t>
      </w:r>
    </w:p>
    <w:p w:rsidR="0017424B" w:rsidRPr="0017424B" w:rsidRDefault="0017424B" w:rsidP="0017424B">
      <w:pPr>
        <w:rPr>
          <w:b/>
          <w:sz w:val="21"/>
          <w:szCs w:val="21"/>
          <w:lang w:val="en-CA"/>
        </w:rPr>
      </w:pPr>
    </w:p>
    <w:tbl>
      <w:tblPr>
        <w:tblW w:w="10632" w:type="dxa"/>
        <w:tblInd w:w="-318" w:type="dxa"/>
        <w:tblLook w:val="04A0" w:firstRow="1" w:lastRow="0" w:firstColumn="1" w:lastColumn="0" w:noHBand="0" w:noVBand="1"/>
      </w:tblPr>
      <w:tblGrid>
        <w:gridCol w:w="1947"/>
        <w:gridCol w:w="823"/>
        <w:gridCol w:w="823"/>
        <w:gridCol w:w="823"/>
        <w:gridCol w:w="823"/>
        <w:gridCol w:w="962"/>
        <w:gridCol w:w="887"/>
        <w:gridCol w:w="886"/>
        <w:gridCol w:w="886"/>
        <w:gridCol w:w="886"/>
        <w:gridCol w:w="886"/>
      </w:tblGrid>
      <w:tr w:rsidR="0017424B" w:rsidRPr="00036A89" w:rsidTr="00036A89">
        <w:trPr>
          <w:trHeight w:val="227"/>
        </w:trPr>
        <w:tc>
          <w:tcPr>
            <w:tcW w:w="189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Particulars</w:t>
            </w:r>
          </w:p>
        </w:tc>
        <w:tc>
          <w:tcPr>
            <w:tcW w:w="0" w:type="auto"/>
            <w:gridSpan w:val="5"/>
            <w:tcBorders>
              <w:top w:val="single" w:sz="8" w:space="0" w:color="auto"/>
              <w:left w:val="nil"/>
              <w:bottom w:val="single" w:sz="8" w:space="0" w:color="auto"/>
              <w:right w:val="single" w:sz="8" w:space="0" w:color="000000"/>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HFC consumption (mt)</w:t>
            </w:r>
          </w:p>
        </w:tc>
        <w:tc>
          <w:tcPr>
            <w:tcW w:w="4311" w:type="dxa"/>
            <w:gridSpan w:val="5"/>
            <w:tcBorders>
              <w:top w:val="single" w:sz="8" w:space="0" w:color="auto"/>
              <w:left w:val="nil"/>
              <w:bottom w:val="single" w:sz="8" w:space="0" w:color="auto"/>
              <w:right w:val="single" w:sz="8" w:space="0" w:color="000000"/>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Per cent of total</w:t>
            </w:r>
          </w:p>
        </w:tc>
      </w:tr>
      <w:tr w:rsidR="00036A89" w:rsidRPr="00036A89" w:rsidTr="00036A89">
        <w:trPr>
          <w:trHeight w:val="227"/>
        </w:trPr>
        <w:tc>
          <w:tcPr>
            <w:tcW w:w="1895" w:type="dxa"/>
            <w:vMerge/>
            <w:tcBorders>
              <w:top w:val="single" w:sz="8" w:space="0" w:color="auto"/>
              <w:left w:val="single" w:sz="8" w:space="0" w:color="auto"/>
              <w:bottom w:val="single" w:sz="8" w:space="0" w:color="000000"/>
              <w:right w:val="single" w:sz="8" w:space="0" w:color="auto"/>
            </w:tcBorders>
            <w:vAlign w:val="center"/>
            <w:hideMark/>
          </w:tcPr>
          <w:p w:rsidR="0017424B" w:rsidRPr="00036A89" w:rsidRDefault="0017424B" w:rsidP="0017424B">
            <w:pPr>
              <w:jc w:val="left"/>
              <w:rPr>
                <w:b/>
                <w:bCs/>
                <w:color w:val="000000"/>
                <w:sz w:val="18"/>
                <w:szCs w:val="18"/>
                <w:lang w:val="en-CA" w:eastAsia="en-CA"/>
              </w:rPr>
            </w:pP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2010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2015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2020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2025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2030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2010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2015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2020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2025</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center"/>
              <w:rPr>
                <w:b/>
                <w:bCs/>
                <w:color w:val="000000"/>
                <w:sz w:val="18"/>
                <w:szCs w:val="18"/>
                <w:lang w:val="en-CA" w:eastAsia="en-CA"/>
              </w:rPr>
            </w:pPr>
            <w:r w:rsidRPr="00036A89">
              <w:rPr>
                <w:b/>
                <w:bCs/>
                <w:color w:val="000000"/>
                <w:sz w:val="18"/>
                <w:szCs w:val="18"/>
                <w:lang w:val="en-CA" w:eastAsia="en-CA"/>
              </w:rPr>
              <w:t>2030</w:t>
            </w:r>
          </w:p>
        </w:tc>
      </w:tr>
      <w:tr w:rsidR="0017424B" w:rsidRPr="00036A89" w:rsidTr="00036A89">
        <w:trPr>
          <w:trHeight w:val="227"/>
        </w:trPr>
        <w:tc>
          <w:tcPr>
            <w:tcW w:w="10632" w:type="dxa"/>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RAC</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HFC-134a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54,393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74,524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100,162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127,267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161,107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43.5%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27.3%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21.9%</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18.2%</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16.5%</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R-410A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40,975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106,661</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192,770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284,682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364,845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32.8%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39.1%</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42.1%</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40.8%</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37.3%</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R-407C</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16,543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55,278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101,216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174,433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285,500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13.2%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20.3%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22.1%</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25.0%</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29.2%</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R-404A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6,543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18,202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31,982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55,964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83,845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7.0%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8.0%</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8.6%</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R-507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6,543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18,202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31,982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55,964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83,845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7.0%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8.0%</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8.6%</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Total RAC</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124,997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272,867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458,112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698,310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979,142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r>
      <w:tr w:rsidR="0017424B" w:rsidRPr="00036A89" w:rsidTr="00036A89">
        <w:trPr>
          <w:trHeight w:val="227"/>
        </w:trPr>
        <w:tc>
          <w:tcPr>
            <w:tcW w:w="10632" w:type="dxa"/>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Foam</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HFC-134a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478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3,364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5,669</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11,280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15,225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3B782A">
            <w:pPr>
              <w:jc w:val="right"/>
              <w:rPr>
                <w:color w:val="000000"/>
                <w:sz w:val="18"/>
                <w:szCs w:val="18"/>
                <w:lang w:val="en-CA" w:eastAsia="en-CA"/>
              </w:rPr>
            </w:pPr>
            <w:r w:rsidRPr="00036A89">
              <w:rPr>
                <w:color w:val="000000"/>
                <w:sz w:val="18"/>
                <w:szCs w:val="18"/>
                <w:lang w:val="en-CA" w:eastAsia="en-CA"/>
              </w:rPr>
              <w:t>3</w:t>
            </w:r>
            <w:r w:rsidR="003B782A">
              <w:rPr>
                <w:color w:val="000000"/>
                <w:sz w:val="18"/>
                <w:szCs w:val="18"/>
                <w:lang w:val="en-CA" w:eastAsia="en-CA"/>
              </w:rPr>
              <w:t>6</w:t>
            </w:r>
            <w:r w:rsidRPr="00036A89">
              <w:rPr>
                <w:color w:val="000000"/>
                <w:sz w:val="18"/>
                <w:szCs w:val="18"/>
                <w:lang w:val="en-CA" w:eastAsia="en-CA"/>
              </w:rPr>
              <w:t>.</w:t>
            </w:r>
            <w:r w:rsidR="003B782A">
              <w:rPr>
                <w:color w:val="000000"/>
                <w:sz w:val="18"/>
                <w:szCs w:val="18"/>
                <w:lang w:val="en-CA" w:eastAsia="en-CA"/>
              </w:rPr>
              <w:t>5</w:t>
            </w:r>
            <w:r w:rsidRPr="00036A89">
              <w:rPr>
                <w:color w:val="000000"/>
                <w:sz w:val="18"/>
                <w:szCs w:val="18"/>
                <w:lang w:val="en-CA" w:eastAsia="en-CA"/>
              </w:rPr>
              <w:t>%</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31.6%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30.5%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35.1%</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37.2%</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HFC-152a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478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3,364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5,669</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11,280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15,225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3B782A">
            <w:pPr>
              <w:jc w:val="right"/>
              <w:rPr>
                <w:color w:val="000000"/>
                <w:sz w:val="18"/>
                <w:szCs w:val="18"/>
                <w:lang w:val="en-CA" w:eastAsia="en-CA"/>
              </w:rPr>
            </w:pPr>
            <w:r w:rsidRPr="00036A89">
              <w:rPr>
                <w:color w:val="000000"/>
                <w:sz w:val="18"/>
                <w:szCs w:val="18"/>
                <w:lang w:val="en-CA" w:eastAsia="en-CA"/>
              </w:rPr>
              <w:t>3</w:t>
            </w:r>
            <w:r w:rsidR="003B782A">
              <w:rPr>
                <w:color w:val="000000"/>
                <w:sz w:val="18"/>
                <w:szCs w:val="18"/>
                <w:lang w:val="en-CA" w:eastAsia="en-CA"/>
              </w:rPr>
              <w:t>6</w:t>
            </w:r>
            <w:r w:rsidRPr="00036A89">
              <w:rPr>
                <w:color w:val="000000"/>
                <w:sz w:val="18"/>
                <w:szCs w:val="18"/>
                <w:lang w:val="en-CA" w:eastAsia="en-CA"/>
              </w:rPr>
              <w:t>.</w:t>
            </w:r>
            <w:r w:rsidR="003B782A">
              <w:rPr>
                <w:color w:val="000000"/>
                <w:sz w:val="18"/>
                <w:szCs w:val="18"/>
                <w:lang w:val="en-CA" w:eastAsia="en-CA"/>
              </w:rPr>
              <w:t>5</w:t>
            </w:r>
            <w:r w:rsidRPr="00036A89">
              <w:rPr>
                <w:color w:val="000000"/>
                <w:sz w:val="18"/>
                <w:szCs w:val="18"/>
                <w:lang w:val="en-CA" w:eastAsia="en-CA"/>
              </w:rPr>
              <w:t>%</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31.6%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30.5%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35.1%</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37.2%</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HFC-245fa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354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2,172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3,840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4,986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5,504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5D56CA">
            <w:pPr>
              <w:jc w:val="right"/>
              <w:rPr>
                <w:color w:val="000000"/>
                <w:sz w:val="18"/>
                <w:szCs w:val="18"/>
                <w:lang w:val="en-CA" w:eastAsia="en-CA"/>
              </w:rPr>
            </w:pPr>
            <w:r w:rsidRPr="00036A89">
              <w:rPr>
                <w:color w:val="000000"/>
                <w:sz w:val="18"/>
                <w:szCs w:val="18"/>
                <w:lang w:val="en-CA" w:eastAsia="en-CA"/>
              </w:rPr>
              <w:t>2</w:t>
            </w:r>
            <w:r w:rsidR="005D56CA">
              <w:rPr>
                <w:color w:val="000000"/>
                <w:sz w:val="18"/>
                <w:szCs w:val="18"/>
                <w:lang w:val="en-CA" w:eastAsia="en-CA"/>
              </w:rPr>
              <w:t>7.0</w:t>
            </w:r>
            <w:r w:rsidRPr="00036A89">
              <w:rPr>
                <w:color w:val="000000"/>
                <w:sz w:val="18"/>
                <w:szCs w:val="18"/>
                <w:lang w:val="en-CA" w:eastAsia="en-CA"/>
              </w:rPr>
              <w:t>%</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20.4%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20.6%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15.5%</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13.4%</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HFC-365mfc/ HFC-227ea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BF6311" w:rsidP="0017424B">
            <w:pPr>
              <w:jc w:val="right"/>
              <w:rPr>
                <w:color w:val="000000"/>
                <w:sz w:val="18"/>
                <w:szCs w:val="18"/>
                <w:lang w:val="en-CA" w:eastAsia="en-CA"/>
              </w:rPr>
            </w:pPr>
            <w:r>
              <w:rPr>
                <w:color w:val="000000"/>
                <w:sz w:val="18"/>
                <w:szCs w:val="18"/>
                <w:lang w:val="en-CA" w:eastAsia="en-CA"/>
              </w:rPr>
              <w:t>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1,758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3,428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4,546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5,020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3B782A" w:rsidP="0017424B">
            <w:pPr>
              <w:jc w:val="right"/>
              <w:rPr>
                <w:color w:val="000000"/>
                <w:sz w:val="18"/>
                <w:szCs w:val="18"/>
                <w:lang w:val="en-CA" w:eastAsia="en-CA"/>
              </w:rPr>
            </w:pPr>
            <w:r>
              <w:rPr>
                <w:color w:val="000000"/>
                <w:sz w:val="18"/>
                <w:szCs w:val="18"/>
                <w:lang w:val="en-CA" w:eastAsia="en-CA"/>
              </w:rPr>
              <w:t>0</w:t>
            </w:r>
            <w:r w:rsidR="0017424B" w:rsidRPr="00036A89">
              <w:rPr>
                <w:color w:val="000000"/>
                <w:sz w:val="18"/>
                <w:szCs w:val="18"/>
                <w:lang w:val="en-CA" w:eastAsia="en-CA"/>
              </w:rPr>
              <w:t>.0%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16.5%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18.4%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14.2%</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12.3%</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Total foam</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BF6311">
            <w:pPr>
              <w:jc w:val="right"/>
              <w:rPr>
                <w:b/>
                <w:bCs/>
                <w:color w:val="000000"/>
                <w:sz w:val="18"/>
                <w:szCs w:val="18"/>
                <w:lang w:val="en-CA" w:eastAsia="en-CA"/>
              </w:rPr>
            </w:pPr>
            <w:r w:rsidRPr="00036A89">
              <w:rPr>
                <w:b/>
                <w:bCs/>
                <w:color w:val="000000"/>
                <w:sz w:val="18"/>
                <w:szCs w:val="18"/>
                <w:lang w:val="en-CA" w:eastAsia="en-CA"/>
              </w:rPr>
              <w:t>1,3</w:t>
            </w:r>
            <w:r w:rsidR="00BF6311">
              <w:rPr>
                <w:b/>
                <w:bCs/>
                <w:color w:val="000000"/>
                <w:sz w:val="18"/>
                <w:szCs w:val="18"/>
                <w:lang w:val="en-CA" w:eastAsia="en-CA"/>
              </w:rPr>
              <w:t>10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10,658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18,606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32,092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40,974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r>
      <w:tr w:rsidR="0017424B" w:rsidRPr="00036A89" w:rsidTr="00036A89">
        <w:trPr>
          <w:trHeight w:val="227"/>
        </w:trPr>
        <w:tc>
          <w:tcPr>
            <w:tcW w:w="10632" w:type="dxa"/>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MDI</w:t>
            </w:r>
            <w:r w:rsidRPr="00036A89">
              <w:rPr>
                <w:color w:val="000000"/>
                <w:sz w:val="18"/>
                <w:szCs w:val="18"/>
                <w:lang w:val="en-CA" w:eastAsia="en-CA"/>
              </w:rPr>
              <w:t> </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HFC-134a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700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900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1,100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100.00%</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100.00%</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Total MDI</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700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800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900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1,100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r>
      <w:tr w:rsidR="0017424B" w:rsidRPr="00036A89" w:rsidTr="00036A89">
        <w:trPr>
          <w:trHeight w:val="227"/>
        </w:trPr>
        <w:tc>
          <w:tcPr>
            <w:tcW w:w="10632" w:type="dxa"/>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Total by HFC</w:t>
            </w:r>
            <w:r w:rsidRPr="00036A89">
              <w:rPr>
                <w:color w:val="000000"/>
                <w:sz w:val="18"/>
                <w:szCs w:val="18"/>
                <w:lang w:val="en-CA" w:eastAsia="en-CA"/>
              </w:rPr>
              <w:t> </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HFC-134a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55,571</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78,688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106,731</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139,547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177,432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BF6311" w:rsidP="0017424B">
            <w:pPr>
              <w:jc w:val="right"/>
              <w:rPr>
                <w:color w:val="000000"/>
                <w:sz w:val="18"/>
                <w:szCs w:val="18"/>
                <w:lang w:val="en-CA" w:eastAsia="en-CA"/>
              </w:rPr>
            </w:pPr>
            <w:r>
              <w:rPr>
                <w:color w:val="000000"/>
                <w:sz w:val="18"/>
                <w:szCs w:val="18"/>
                <w:lang w:val="en-CA" w:eastAsia="en-CA"/>
              </w:rPr>
              <w:t>43.8</w:t>
            </w:r>
            <w:r w:rsidR="0017424B" w:rsidRPr="00036A89">
              <w:rPr>
                <w:color w:val="000000"/>
                <w:sz w:val="18"/>
                <w:szCs w:val="18"/>
                <w:lang w:val="en-CA" w:eastAsia="en-CA"/>
              </w:rPr>
              <w:t>%</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27.7%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22.3%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19.1%</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17.4%</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R-410A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40,975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106,661</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192,770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284,682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364,845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BF6311">
            <w:pPr>
              <w:jc w:val="right"/>
              <w:rPr>
                <w:color w:val="000000"/>
                <w:sz w:val="18"/>
                <w:szCs w:val="18"/>
                <w:lang w:val="en-CA" w:eastAsia="en-CA"/>
              </w:rPr>
            </w:pPr>
            <w:r w:rsidRPr="00036A89">
              <w:rPr>
                <w:color w:val="000000"/>
                <w:sz w:val="18"/>
                <w:szCs w:val="18"/>
                <w:lang w:val="en-CA" w:eastAsia="en-CA"/>
              </w:rPr>
              <w:t>32.</w:t>
            </w:r>
            <w:r w:rsidR="00BF6311">
              <w:rPr>
                <w:color w:val="000000"/>
                <w:sz w:val="18"/>
                <w:szCs w:val="18"/>
                <w:lang w:val="en-CA" w:eastAsia="en-CA"/>
              </w:rPr>
              <w:t>3</w:t>
            </w:r>
            <w:r w:rsidRPr="00036A89">
              <w:rPr>
                <w:color w:val="000000"/>
                <w:sz w:val="18"/>
                <w:szCs w:val="18"/>
                <w:lang w:val="en-CA" w:eastAsia="en-CA"/>
              </w:rPr>
              <w:t>%</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37.5%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40.4%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38.9%</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35.7%</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R-407C</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16,543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55,278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101,216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174,433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285,500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13.0%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19.4%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21.2%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23.8%</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28.0%</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R-404A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6,543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18,202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31,982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55,964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83,845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BF6311">
            <w:pPr>
              <w:jc w:val="right"/>
              <w:rPr>
                <w:color w:val="000000"/>
                <w:sz w:val="18"/>
                <w:szCs w:val="18"/>
                <w:lang w:val="en-CA" w:eastAsia="en-CA"/>
              </w:rPr>
            </w:pPr>
            <w:r w:rsidRPr="00036A89">
              <w:rPr>
                <w:color w:val="000000"/>
                <w:sz w:val="18"/>
                <w:szCs w:val="18"/>
                <w:lang w:val="en-CA" w:eastAsia="en-CA"/>
              </w:rPr>
              <w:t>5.</w:t>
            </w:r>
            <w:r w:rsidR="00BF6311">
              <w:rPr>
                <w:color w:val="000000"/>
                <w:sz w:val="18"/>
                <w:szCs w:val="18"/>
                <w:lang w:val="en-CA" w:eastAsia="en-CA"/>
              </w:rPr>
              <w:t>2</w:t>
            </w:r>
            <w:r w:rsidRPr="00036A89">
              <w:rPr>
                <w:color w:val="000000"/>
                <w:sz w:val="18"/>
                <w:szCs w:val="18"/>
                <w:lang w:val="en-CA" w:eastAsia="en-CA"/>
              </w:rPr>
              <w:t>%</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7.7%</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8.2%</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R-507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6,543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18,202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31,982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55,964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83,845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BF6311">
            <w:pPr>
              <w:jc w:val="right"/>
              <w:rPr>
                <w:color w:val="000000"/>
                <w:sz w:val="18"/>
                <w:szCs w:val="18"/>
                <w:lang w:val="en-CA" w:eastAsia="en-CA"/>
              </w:rPr>
            </w:pPr>
            <w:r w:rsidRPr="00036A89">
              <w:rPr>
                <w:color w:val="000000"/>
                <w:sz w:val="18"/>
                <w:szCs w:val="18"/>
                <w:lang w:val="en-CA" w:eastAsia="en-CA"/>
              </w:rPr>
              <w:t>5.</w:t>
            </w:r>
            <w:r w:rsidR="00BF6311">
              <w:rPr>
                <w:color w:val="000000"/>
                <w:sz w:val="18"/>
                <w:szCs w:val="18"/>
                <w:lang w:val="en-CA" w:eastAsia="en-CA"/>
              </w:rPr>
              <w:t>2</w:t>
            </w:r>
            <w:r w:rsidRPr="00036A89">
              <w:rPr>
                <w:color w:val="000000"/>
                <w:sz w:val="18"/>
                <w:szCs w:val="18"/>
                <w:lang w:val="en-CA" w:eastAsia="en-CA"/>
              </w:rPr>
              <w:t>%</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7.7%</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8.2%</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HFC-152a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478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3364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5669</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11280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15225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1.5%</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1.5%</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HFC-245fa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354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2172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3840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4986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5504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0.7%</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0.5%</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HFC-365mfc/ HFC-227ea</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1758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3428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4546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5020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0.6%</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0.5%</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b/>
                <w:bCs/>
                <w:color w:val="000000"/>
                <w:sz w:val="18"/>
                <w:szCs w:val="18"/>
                <w:lang w:val="en-CA" w:eastAsia="en-CA"/>
              </w:rPr>
            </w:pPr>
            <w:r w:rsidRPr="00036A89">
              <w:rPr>
                <w:b/>
                <w:bCs/>
                <w:color w:val="000000"/>
                <w:sz w:val="18"/>
                <w:szCs w:val="18"/>
                <w:lang w:val="en-CA" w:eastAsia="en-CA"/>
              </w:rPr>
              <w:t>Grand total</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BF6311">
            <w:pPr>
              <w:jc w:val="right"/>
              <w:rPr>
                <w:b/>
                <w:bCs/>
                <w:color w:val="000000"/>
                <w:sz w:val="18"/>
                <w:szCs w:val="18"/>
                <w:lang w:val="en-CA" w:eastAsia="en-CA"/>
              </w:rPr>
            </w:pPr>
            <w:r w:rsidRPr="00036A89">
              <w:rPr>
                <w:b/>
                <w:bCs/>
                <w:color w:val="000000"/>
                <w:sz w:val="18"/>
                <w:szCs w:val="18"/>
                <w:lang w:val="en-CA" w:eastAsia="en-CA"/>
              </w:rPr>
              <w:t>127,0</w:t>
            </w:r>
            <w:r w:rsidR="00BF6311">
              <w:rPr>
                <w:b/>
                <w:bCs/>
                <w:color w:val="000000"/>
                <w:sz w:val="18"/>
                <w:szCs w:val="18"/>
                <w:lang w:val="en-CA" w:eastAsia="en-CA"/>
              </w:rPr>
              <w:t>07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284,325</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477,618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731,402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1,021,216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b/>
                <w:bCs/>
                <w:color w:val="000000"/>
                <w:sz w:val="18"/>
                <w:szCs w:val="18"/>
                <w:lang w:val="en-CA" w:eastAsia="en-CA"/>
              </w:rPr>
            </w:pPr>
            <w:r w:rsidRPr="00036A89">
              <w:rPr>
                <w:b/>
                <w:bCs/>
                <w:color w:val="000000"/>
                <w:sz w:val="18"/>
                <w:szCs w:val="18"/>
                <w:lang w:val="en-CA" w:eastAsia="en-CA"/>
              </w:rPr>
              <w:t>100.0%</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Total RAC</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124,997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272,867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458,112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698,310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979,142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98.4%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96.0%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95.9%</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95.5%</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95.9%</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Total foam</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BF6311">
            <w:pPr>
              <w:jc w:val="right"/>
              <w:rPr>
                <w:color w:val="000000"/>
                <w:sz w:val="18"/>
                <w:szCs w:val="18"/>
                <w:lang w:val="en-CA" w:eastAsia="en-CA"/>
              </w:rPr>
            </w:pPr>
            <w:r w:rsidRPr="00036A89">
              <w:rPr>
                <w:color w:val="000000"/>
                <w:sz w:val="18"/>
                <w:szCs w:val="18"/>
                <w:lang w:val="en-CA" w:eastAsia="en-CA"/>
              </w:rPr>
              <w:t>1,3</w:t>
            </w:r>
            <w:r w:rsidR="00BF6311">
              <w:rPr>
                <w:color w:val="000000"/>
                <w:sz w:val="18"/>
                <w:szCs w:val="18"/>
                <w:lang w:val="en-CA" w:eastAsia="en-CA"/>
              </w:rPr>
              <w:t>10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10,658</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18,606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32,092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40,974</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BF6311">
            <w:pPr>
              <w:jc w:val="right"/>
              <w:rPr>
                <w:color w:val="000000"/>
                <w:sz w:val="18"/>
                <w:szCs w:val="18"/>
                <w:lang w:val="en-CA" w:eastAsia="en-CA"/>
              </w:rPr>
            </w:pPr>
            <w:r w:rsidRPr="00036A89">
              <w:rPr>
                <w:color w:val="000000"/>
                <w:sz w:val="18"/>
                <w:szCs w:val="18"/>
                <w:lang w:val="en-CA" w:eastAsia="en-CA"/>
              </w:rPr>
              <w:t>1.</w:t>
            </w:r>
            <w:r w:rsidR="00BF6311">
              <w:rPr>
                <w:color w:val="000000"/>
                <w:sz w:val="18"/>
                <w:szCs w:val="18"/>
                <w:lang w:val="en-CA" w:eastAsia="en-CA"/>
              </w:rPr>
              <w:t>0</w:t>
            </w:r>
            <w:r w:rsidRPr="00036A89">
              <w:rPr>
                <w:color w:val="000000"/>
                <w:sz w:val="18"/>
                <w:szCs w:val="18"/>
                <w:lang w:val="en-CA" w:eastAsia="en-CA"/>
              </w:rPr>
              <w:t>%</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3.7%</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3.9%</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4.4%</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4.0%</w:t>
            </w:r>
          </w:p>
        </w:tc>
      </w:tr>
      <w:tr w:rsidR="00036A89" w:rsidRPr="00036A89" w:rsidTr="00036A89">
        <w:trPr>
          <w:trHeight w:val="227"/>
        </w:trPr>
        <w:tc>
          <w:tcPr>
            <w:tcW w:w="1895" w:type="dxa"/>
            <w:tcBorders>
              <w:top w:val="nil"/>
              <w:left w:val="single" w:sz="8" w:space="0" w:color="auto"/>
              <w:bottom w:val="single" w:sz="8" w:space="0" w:color="auto"/>
              <w:right w:val="single" w:sz="8" w:space="0" w:color="auto"/>
            </w:tcBorders>
            <w:shd w:val="clear" w:color="auto" w:fill="auto"/>
            <w:noWrap/>
            <w:vAlign w:val="center"/>
            <w:hideMark/>
          </w:tcPr>
          <w:p w:rsidR="0017424B" w:rsidRPr="00036A89" w:rsidRDefault="0017424B" w:rsidP="0017424B">
            <w:pPr>
              <w:jc w:val="left"/>
              <w:rPr>
                <w:color w:val="000000"/>
                <w:sz w:val="18"/>
                <w:szCs w:val="18"/>
                <w:lang w:val="en-CA" w:eastAsia="en-CA"/>
              </w:rPr>
            </w:pPr>
            <w:r w:rsidRPr="00036A89">
              <w:rPr>
                <w:color w:val="000000"/>
                <w:sz w:val="18"/>
                <w:szCs w:val="18"/>
                <w:lang w:val="en-CA" w:eastAsia="en-CA"/>
              </w:rPr>
              <w:t>Total MDI</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700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800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900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1000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1100</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0.6%</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0.3%</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0.2%</w:t>
            </w:r>
          </w:p>
        </w:tc>
        <w:tc>
          <w:tcPr>
            <w:tcW w:w="0" w:type="auto"/>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0.1%</w:t>
            </w:r>
          </w:p>
        </w:tc>
        <w:tc>
          <w:tcPr>
            <w:tcW w:w="849" w:type="dxa"/>
            <w:tcBorders>
              <w:top w:val="nil"/>
              <w:left w:val="nil"/>
              <w:bottom w:val="single" w:sz="8" w:space="0" w:color="auto"/>
              <w:right w:val="single" w:sz="8" w:space="0" w:color="auto"/>
            </w:tcBorders>
            <w:shd w:val="clear" w:color="auto" w:fill="auto"/>
            <w:noWrap/>
            <w:vAlign w:val="center"/>
            <w:hideMark/>
          </w:tcPr>
          <w:p w:rsidR="0017424B" w:rsidRPr="00036A89" w:rsidRDefault="0017424B" w:rsidP="0017424B">
            <w:pPr>
              <w:jc w:val="right"/>
              <w:rPr>
                <w:color w:val="000000"/>
                <w:sz w:val="18"/>
                <w:szCs w:val="18"/>
                <w:lang w:val="en-CA" w:eastAsia="en-CA"/>
              </w:rPr>
            </w:pPr>
            <w:r w:rsidRPr="00036A89">
              <w:rPr>
                <w:color w:val="000000"/>
                <w:sz w:val="18"/>
                <w:szCs w:val="18"/>
                <w:lang w:val="en-CA" w:eastAsia="en-CA"/>
              </w:rPr>
              <w:t>0.1%</w:t>
            </w:r>
          </w:p>
        </w:tc>
      </w:tr>
    </w:tbl>
    <w:p w:rsidR="0017424B" w:rsidRPr="00036A89" w:rsidRDefault="0017424B" w:rsidP="0017424B">
      <w:pPr>
        <w:jc w:val="left"/>
        <w:rPr>
          <w:b/>
          <w:sz w:val="21"/>
          <w:szCs w:val="21"/>
          <w:lang w:val="en-CA"/>
        </w:rPr>
      </w:pPr>
      <w:r w:rsidRPr="00036A89">
        <w:rPr>
          <w:sz w:val="18"/>
          <w:szCs w:val="18"/>
          <w:lang w:val="en-CA"/>
        </w:rPr>
        <w:t>Note: There may be minor differences due to round-off of numbers.</w:t>
      </w:r>
      <w:r w:rsidRPr="00036A89">
        <w:rPr>
          <w:b/>
          <w:sz w:val="21"/>
          <w:szCs w:val="21"/>
          <w:lang w:val="en-CA"/>
        </w:rPr>
        <w:br w:type="page"/>
      </w:r>
    </w:p>
    <w:p w:rsidR="0017424B" w:rsidRPr="0017424B" w:rsidRDefault="0017424B" w:rsidP="0017424B">
      <w:pPr>
        <w:jc w:val="center"/>
        <w:rPr>
          <w:b/>
          <w:sz w:val="21"/>
          <w:szCs w:val="21"/>
          <w:lang w:val="en-CA"/>
        </w:rPr>
      </w:pPr>
      <w:r w:rsidRPr="0017424B">
        <w:rPr>
          <w:b/>
          <w:sz w:val="21"/>
          <w:szCs w:val="21"/>
          <w:lang w:val="en-CA"/>
        </w:rPr>
        <w:t>Distribution of HFC consumption in Article 5 countries by sector and subsector</w:t>
      </w:r>
    </w:p>
    <w:p w:rsidR="0017424B" w:rsidRPr="0017424B" w:rsidRDefault="0017424B" w:rsidP="0017424B">
      <w:pPr>
        <w:rPr>
          <w:b/>
          <w:sz w:val="21"/>
          <w:szCs w:val="21"/>
          <w:lang w:val="en-CA"/>
        </w:rPr>
      </w:pPr>
    </w:p>
    <w:p w:rsidR="0017424B" w:rsidRPr="0017424B" w:rsidRDefault="0017424B" w:rsidP="0017424B">
      <w:pPr>
        <w:rPr>
          <w:lang w:val="en-CA"/>
        </w:rPr>
      </w:pPr>
    </w:p>
    <w:tbl>
      <w:tblPr>
        <w:tblW w:w="9390" w:type="dxa"/>
        <w:tblInd w:w="93" w:type="dxa"/>
        <w:tblLook w:val="04A0" w:firstRow="1" w:lastRow="0" w:firstColumn="1" w:lastColumn="0" w:noHBand="0" w:noVBand="1"/>
      </w:tblPr>
      <w:tblGrid>
        <w:gridCol w:w="2372"/>
        <w:gridCol w:w="2059"/>
        <w:gridCol w:w="950"/>
        <w:gridCol w:w="950"/>
        <w:gridCol w:w="950"/>
        <w:gridCol w:w="950"/>
        <w:gridCol w:w="1159"/>
      </w:tblGrid>
      <w:tr w:rsidR="0017424B" w:rsidRPr="0017424B" w:rsidTr="000A05C8">
        <w:trPr>
          <w:trHeight w:val="300"/>
          <w:tblHeader/>
        </w:trPr>
        <w:tc>
          <w:tcPr>
            <w:tcW w:w="237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7424B" w:rsidRPr="0017424B" w:rsidRDefault="0017424B" w:rsidP="0017424B">
            <w:pPr>
              <w:jc w:val="left"/>
              <w:rPr>
                <w:b/>
                <w:bCs/>
                <w:color w:val="000000"/>
                <w:sz w:val="20"/>
                <w:szCs w:val="20"/>
                <w:lang w:val="en-CA" w:eastAsia="en-CA"/>
              </w:rPr>
            </w:pPr>
            <w:r w:rsidRPr="0017424B">
              <w:rPr>
                <w:b/>
                <w:highlight w:val="cyan"/>
                <w:lang w:val="en-CA"/>
              </w:rPr>
              <w:br w:type="page"/>
            </w:r>
            <w:r w:rsidRPr="0017424B">
              <w:rPr>
                <w:b/>
                <w:bCs/>
                <w:color w:val="000000"/>
                <w:sz w:val="20"/>
                <w:szCs w:val="20"/>
                <w:lang w:val="en-CA" w:eastAsia="en-CA"/>
              </w:rPr>
              <w:t>Sectors</w:t>
            </w:r>
          </w:p>
        </w:tc>
        <w:tc>
          <w:tcPr>
            <w:tcW w:w="20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7424B" w:rsidRPr="0017424B" w:rsidRDefault="0017424B" w:rsidP="0017424B">
            <w:pPr>
              <w:jc w:val="left"/>
              <w:rPr>
                <w:b/>
                <w:bCs/>
                <w:color w:val="000000"/>
                <w:sz w:val="20"/>
                <w:szCs w:val="20"/>
                <w:lang w:val="en-CA" w:eastAsia="en-CA"/>
              </w:rPr>
            </w:pPr>
            <w:r w:rsidRPr="0017424B">
              <w:rPr>
                <w:b/>
                <w:bCs/>
                <w:color w:val="000000"/>
                <w:sz w:val="20"/>
                <w:szCs w:val="20"/>
                <w:lang w:val="en-CA" w:eastAsia="en-CA"/>
              </w:rPr>
              <w:t>Substance</w:t>
            </w:r>
          </w:p>
        </w:tc>
        <w:tc>
          <w:tcPr>
            <w:tcW w:w="4959" w:type="dxa"/>
            <w:gridSpan w:val="5"/>
            <w:tcBorders>
              <w:top w:val="single" w:sz="8" w:space="0" w:color="auto"/>
              <w:left w:val="nil"/>
              <w:bottom w:val="single" w:sz="8" w:space="0" w:color="auto"/>
              <w:right w:val="single" w:sz="8" w:space="0" w:color="000000"/>
            </w:tcBorders>
            <w:shd w:val="clear" w:color="auto" w:fill="auto"/>
            <w:noWrap/>
            <w:vAlign w:val="center"/>
            <w:hideMark/>
          </w:tcPr>
          <w:p w:rsidR="0017424B" w:rsidRPr="0017424B" w:rsidRDefault="0017424B" w:rsidP="0017424B">
            <w:pPr>
              <w:jc w:val="center"/>
              <w:rPr>
                <w:b/>
                <w:bCs/>
                <w:color w:val="000000"/>
                <w:sz w:val="20"/>
                <w:szCs w:val="20"/>
                <w:lang w:val="en-CA" w:eastAsia="en-CA"/>
              </w:rPr>
            </w:pPr>
            <w:r w:rsidRPr="0017424B">
              <w:rPr>
                <w:b/>
                <w:bCs/>
                <w:color w:val="000000"/>
                <w:sz w:val="20"/>
                <w:szCs w:val="20"/>
                <w:lang w:val="en-CA" w:eastAsia="en-CA"/>
              </w:rPr>
              <w:t>HFC consumption (mt)</w:t>
            </w:r>
          </w:p>
        </w:tc>
      </w:tr>
      <w:tr w:rsidR="0017424B" w:rsidRPr="0017424B" w:rsidTr="000A05C8">
        <w:trPr>
          <w:trHeight w:val="300"/>
          <w:tblHeader/>
        </w:trPr>
        <w:tc>
          <w:tcPr>
            <w:tcW w:w="2372" w:type="dxa"/>
            <w:vMerge/>
            <w:tcBorders>
              <w:top w:val="single" w:sz="8" w:space="0" w:color="auto"/>
              <w:left w:val="single" w:sz="8" w:space="0" w:color="auto"/>
              <w:bottom w:val="single" w:sz="8" w:space="0" w:color="000000"/>
              <w:right w:val="single" w:sz="8" w:space="0" w:color="auto"/>
            </w:tcBorders>
            <w:vAlign w:val="center"/>
            <w:hideMark/>
          </w:tcPr>
          <w:p w:rsidR="0017424B" w:rsidRPr="0017424B" w:rsidRDefault="0017424B" w:rsidP="0017424B">
            <w:pPr>
              <w:jc w:val="left"/>
              <w:rPr>
                <w:b/>
                <w:bCs/>
                <w:color w:val="000000"/>
                <w:sz w:val="20"/>
                <w:szCs w:val="20"/>
                <w:lang w:val="en-CA" w:eastAsia="en-CA"/>
              </w:rPr>
            </w:pPr>
          </w:p>
        </w:tc>
        <w:tc>
          <w:tcPr>
            <w:tcW w:w="2059" w:type="dxa"/>
            <w:vMerge/>
            <w:tcBorders>
              <w:top w:val="single" w:sz="8" w:space="0" w:color="auto"/>
              <w:left w:val="single" w:sz="8" w:space="0" w:color="auto"/>
              <w:bottom w:val="single" w:sz="8" w:space="0" w:color="000000"/>
              <w:right w:val="single" w:sz="8" w:space="0" w:color="auto"/>
            </w:tcBorders>
            <w:vAlign w:val="center"/>
            <w:hideMark/>
          </w:tcPr>
          <w:p w:rsidR="0017424B" w:rsidRPr="0017424B" w:rsidRDefault="0017424B" w:rsidP="0017424B">
            <w:pPr>
              <w:jc w:val="left"/>
              <w:rPr>
                <w:b/>
                <w:bCs/>
                <w:color w:val="000000"/>
                <w:sz w:val="20"/>
                <w:szCs w:val="20"/>
                <w:lang w:val="en-CA" w:eastAsia="en-CA"/>
              </w:rPr>
            </w:pP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center"/>
              <w:rPr>
                <w:b/>
                <w:bCs/>
                <w:color w:val="000000"/>
                <w:sz w:val="20"/>
                <w:szCs w:val="20"/>
                <w:lang w:val="en-CA" w:eastAsia="en-CA"/>
              </w:rPr>
            </w:pPr>
            <w:r w:rsidRPr="0017424B">
              <w:rPr>
                <w:b/>
                <w:bCs/>
                <w:color w:val="000000"/>
                <w:sz w:val="20"/>
                <w:szCs w:val="20"/>
                <w:lang w:val="en-CA" w:eastAsia="en-CA"/>
              </w:rPr>
              <w:t>2010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center"/>
              <w:rPr>
                <w:b/>
                <w:bCs/>
                <w:color w:val="000000"/>
                <w:sz w:val="20"/>
                <w:szCs w:val="20"/>
                <w:lang w:val="en-CA" w:eastAsia="en-CA"/>
              </w:rPr>
            </w:pPr>
            <w:r w:rsidRPr="0017424B">
              <w:rPr>
                <w:b/>
                <w:bCs/>
                <w:color w:val="000000"/>
                <w:sz w:val="20"/>
                <w:szCs w:val="20"/>
                <w:lang w:val="en-CA" w:eastAsia="en-CA"/>
              </w:rPr>
              <w:t>2015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center"/>
              <w:rPr>
                <w:b/>
                <w:bCs/>
                <w:color w:val="000000"/>
                <w:sz w:val="20"/>
                <w:szCs w:val="20"/>
                <w:lang w:val="en-CA" w:eastAsia="en-CA"/>
              </w:rPr>
            </w:pPr>
            <w:r w:rsidRPr="0017424B">
              <w:rPr>
                <w:b/>
                <w:bCs/>
                <w:color w:val="000000"/>
                <w:sz w:val="20"/>
                <w:szCs w:val="20"/>
                <w:lang w:val="en-CA" w:eastAsia="en-CA"/>
              </w:rPr>
              <w:t>2020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center"/>
              <w:rPr>
                <w:b/>
                <w:bCs/>
                <w:color w:val="000000"/>
                <w:sz w:val="20"/>
                <w:szCs w:val="20"/>
                <w:lang w:val="en-CA" w:eastAsia="en-CA"/>
              </w:rPr>
            </w:pPr>
            <w:r w:rsidRPr="0017424B">
              <w:rPr>
                <w:b/>
                <w:bCs/>
                <w:color w:val="000000"/>
                <w:sz w:val="20"/>
                <w:szCs w:val="20"/>
                <w:lang w:val="en-CA" w:eastAsia="en-CA"/>
              </w:rPr>
              <w:t>2025</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center"/>
              <w:rPr>
                <w:b/>
                <w:bCs/>
                <w:color w:val="000000"/>
                <w:sz w:val="20"/>
                <w:szCs w:val="20"/>
                <w:lang w:val="en-CA" w:eastAsia="en-CA"/>
              </w:rPr>
            </w:pPr>
            <w:r w:rsidRPr="0017424B">
              <w:rPr>
                <w:b/>
                <w:bCs/>
                <w:color w:val="000000"/>
                <w:sz w:val="20"/>
                <w:szCs w:val="20"/>
                <w:lang w:val="en-CA" w:eastAsia="en-CA"/>
              </w:rPr>
              <w:t>2030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Domestic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12,941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13,329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15,333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18,242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21,634</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2,743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5,089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9,356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11,910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15,018</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5,672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15,696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27,753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48,912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74,142</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5,672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15,696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27,753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48,912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74,142</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720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1,320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2,255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3,730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6,074</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1,567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3,133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5,485</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7,607</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1,567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3,133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5,485</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7,607</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544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1,075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1,982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2,608</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3,104</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572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941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1,096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1,568</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2,098</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572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941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1,096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1,568</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2,098</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SAC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1,091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2,315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4,556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5,849</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7,087</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SAC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R-410A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40,975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106,661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192,770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284,682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364,845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SAC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R-407C</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16,543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55,278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101,216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174,433</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285,500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MAC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36,354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51,396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66,680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84,928</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108,190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478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3,364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5,669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11,280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15,225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HFC-152a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478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3,364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5,669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11,280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15,225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HFC-245fa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354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2,172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3,840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4,986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5,504</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HFC-365mfc/ HFC-227ea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C9263B" w:rsidP="0017424B">
            <w:pPr>
              <w:jc w:val="right"/>
              <w:rPr>
                <w:color w:val="000000"/>
                <w:sz w:val="20"/>
                <w:szCs w:val="20"/>
                <w:lang w:val="en-CA" w:eastAsia="en-CA"/>
              </w:rPr>
            </w:pPr>
            <w:r>
              <w:rPr>
                <w:color w:val="000000"/>
                <w:sz w:val="20"/>
                <w:szCs w:val="20"/>
                <w:lang w:val="en-CA" w:eastAsia="en-CA"/>
              </w:rPr>
              <w:t>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1,758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3,428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4,546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5,020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MDI</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1,000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1,100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Total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C9263B">
            <w:pPr>
              <w:jc w:val="right"/>
              <w:rPr>
                <w:color w:val="000000"/>
                <w:sz w:val="20"/>
                <w:szCs w:val="20"/>
                <w:lang w:val="en-CA" w:eastAsia="en-CA"/>
              </w:rPr>
            </w:pPr>
            <w:r w:rsidRPr="0017424B">
              <w:rPr>
                <w:color w:val="000000"/>
                <w:sz w:val="20"/>
                <w:szCs w:val="20"/>
                <w:lang w:val="en-CA" w:eastAsia="en-CA"/>
              </w:rPr>
              <w:t>127,0</w:t>
            </w:r>
            <w:r w:rsidR="00C9263B">
              <w:rPr>
                <w:color w:val="000000"/>
                <w:sz w:val="20"/>
                <w:szCs w:val="20"/>
                <w:lang w:val="en-CA" w:eastAsia="en-CA"/>
              </w:rPr>
              <w:t>09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284,329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477,618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731,404</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1,021,220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b/>
                <w:bCs/>
                <w:color w:val="000000"/>
                <w:sz w:val="20"/>
                <w:szCs w:val="20"/>
                <w:lang w:val="en-CA" w:eastAsia="en-CA"/>
              </w:rPr>
            </w:pPr>
            <w:r w:rsidRPr="0017424B">
              <w:rPr>
                <w:b/>
                <w:bCs/>
                <w:color w:val="000000"/>
                <w:sz w:val="20"/>
                <w:szCs w:val="20"/>
                <w:lang w:val="en-CA" w:eastAsia="en-CA"/>
              </w:rPr>
              <w:t>Manufacturing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Domestic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11,234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12,812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14,610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17,323</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20,540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2,617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4,779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8,726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10,874</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13,551</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4,608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10,402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15,515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26,206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38,395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4,608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10,402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15,515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26,206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38,395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406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650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1,040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1,663</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2,661</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1,266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1,986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2,218</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1,266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1,986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2,218</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321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551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948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964</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981</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439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621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579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830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1,145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439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621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579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830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1,145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Air conditioning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862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1,587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2,923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3,072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3,229</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Air conditioning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R-410A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34,583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82,577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134,702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178,540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206,625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Air conditioning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R-407C</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6,107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26,645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43,128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69,810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112,998</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MAC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25,061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32,577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40,822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52,100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66,495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478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3,364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5,669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11,280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15,225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HFC-152a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478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3,364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5,669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11,280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15,225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HFC-245fa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354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2,172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3,840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4,986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5,504</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HFC-365mfc/ HFC-227ea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C9263B" w:rsidP="0017424B">
            <w:pPr>
              <w:jc w:val="right"/>
              <w:rPr>
                <w:color w:val="000000"/>
                <w:sz w:val="20"/>
                <w:szCs w:val="20"/>
                <w:lang w:val="en-CA" w:eastAsia="en-CA"/>
              </w:rPr>
            </w:pPr>
            <w:r>
              <w:rPr>
                <w:color w:val="000000"/>
                <w:sz w:val="20"/>
                <w:szCs w:val="20"/>
                <w:lang w:val="en-CA" w:eastAsia="en-CA"/>
              </w:rPr>
              <w:t>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1,758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3,428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4,546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5,020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MDI</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1,000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1,100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Total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C9263B">
            <w:pPr>
              <w:jc w:val="right"/>
              <w:rPr>
                <w:color w:val="000000"/>
                <w:sz w:val="20"/>
                <w:szCs w:val="20"/>
                <w:lang w:val="en-CA" w:eastAsia="en-CA"/>
              </w:rPr>
            </w:pPr>
            <w:r w:rsidRPr="0017424B">
              <w:rPr>
                <w:color w:val="000000"/>
                <w:sz w:val="20"/>
                <w:szCs w:val="20"/>
                <w:lang w:val="en-CA" w:eastAsia="en-CA"/>
              </w:rPr>
              <w:t>93,5</w:t>
            </w:r>
            <w:r w:rsidR="00C9263B">
              <w:rPr>
                <w:color w:val="000000"/>
                <w:sz w:val="20"/>
                <w:szCs w:val="20"/>
                <w:lang w:val="en-CA" w:eastAsia="en-CA"/>
              </w:rPr>
              <w:t>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197,296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301,125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425,482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552,670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b/>
                <w:bCs/>
                <w:color w:val="000000"/>
                <w:sz w:val="20"/>
                <w:szCs w:val="20"/>
                <w:lang w:val="en-CA" w:eastAsia="en-CA"/>
              </w:rPr>
            </w:pPr>
            <w:r w:rsidRPr="0017424B">
              <w:rPr>
                <w:b/>
                <w:bCs/>
                <w:color w:val="000000"/>
                <w:sz w:val="20"/>
                <w:szCs w:val="20"/>
                <w:lang w:val="en-CA" w:eastAsia="en-CA"/>
              </w:rPr>
              <w:t>Servicing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Domestic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517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723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919</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1,094</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310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630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1,036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1,467</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1,064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5,294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12,238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22,706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35,747</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Commercial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1,064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5,294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12,238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22,706</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35,747</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314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670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1,215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2,067</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3,413</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760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1,867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3,499</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5,389</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Industrial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760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1,867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3,499</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5,389</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223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524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1,034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1,644</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2,123</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320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517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738</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953</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Transport</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R-507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320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517</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738</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953</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Air conditioning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229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728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1,633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2,777</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3,858</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Air conditioning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R-410A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6,392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24,084</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58,068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106,142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158,220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Air conditioning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R-407C</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10,436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28,633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58,088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104,623</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172,502</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MAC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HFC-134a</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11,293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18,819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25,858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32,828</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41,695</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Total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33,476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87,033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176,493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305,922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468,550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b/>
                <w:bCs/>
                <w:color w:val="000000"/>
                <w:sz w:val="20"/>
                <w:szCs w:val="20"/>
                <w:lang w:val="en-CA" w:eastAsia="en-CA"/>
              </w:rPr>
            </w:pPr>
            <w:r w:rsidRPr="0017424B">
              <w:rPr>
                <w:b/>
                <w:bCs/>
                <w:color w:val="000000"/>
                <w:sz w:val="20"/>
                <w:szCs w:val="20"/>
                <w:lang w:val="en-CA" w:eastAsia="en-CA"/>
              </w:rPr>
              <w:t>Grand total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124,999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272,871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458,112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698,312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979,146</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C9263B">
            <w:pPr>
              <w:jc w:val="right"/>
              <w:rPr>
                <w:color w:val="000000"/>
                <w:sz w:val="20"/>
                <w:szCs w:val="20"/>
                <w:lang w:val="en-CA" w:eastAsia="en-CA"/>
              </w:rPr>
            </w:pPr>
            <w:r w:rsidRPr="0017424B">
              <w:rPr>
                <w:color w:val="000000"/>
                <w:sz w:val="20"/>
                <w:szCs w:val="20"/>
                <w:lang w:val="en-CA" w:eastAsia="en-CA"/>
              </w:rPr>
              <w:t>1,3</w:t>
            </w:r>
            <w:r w:rsidR="00C9263B">
              <w:rPr>
                <w:color w:val="000000"/>
                <w:sz w:val="20"/>
                <w:szCs w:val="20"/>
                <w:lang w:val="en-CA" w:eastAsia="en-CA"/>
              </w:rPr>
              <w:t>10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10,658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18,606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32,092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40,974</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MDI</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1,000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1,100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Total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C9263B">
            <w:pPr>
              <w:jc w:val="right"/>
              <w:rPr>
                <w:color w:val="000000"/>
                <w:sz w:val="20"/>
                <w:szCs w:val="20"/>
                <w:lang w:val="en-CA" w:eastAsia="en-CA"/>
              </w:rPr>
            </w:pPr>
            <w:r w:rsidRPr="0017424B">
              <w:rPr>
                <w:color w:val="000000"/>
                <w:sz w:val="20"/>
                <w:szCs w:val="20"/>
                <w:lang w:val="en-CA" w:eastAsia="en-CA"/>
              </w:rPr>
              <w:t>127,0</w:t>
            </w:r>
            <w:r w:rsidR="00C9263B">
              <w:rPr>
                <w:color w:val="000000"/>
                <w:sz w:val="20"/>
                <w:szCs w:val="20"/>
                <w:lang w:val="en-CA" w:eastAsia="en-CA"/>
              </w:rPr>
              <w:t>09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284,329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477,618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731,404</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1,021,220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b/>
                <w:bCs/>
                <w:color w:val="000000"/>
                <w:sz w:val="20"/>
                <w:szCs w:val="20"/>
                <w:lang w:val="en-CA" w:eastAsia="en-CA"/>
              </w:rPr>
            </w:pPr>
            <w:r w:rsidRPr="0017424B">
              <w:rPr>
                <w:b/>
                <w:bCs/>
                <w:color w:val="000000"/>
                <w:sz w:val="20"/>
                <w:szCs w:val="20"/>
                <w:lang w:val="en-CA" w:eastAsia="en-CA"/>
              </w:rPr>
              <w:t>Manufacturing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91,523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185,838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281,619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392,390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510,596</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Foam</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C9263B">
            <w:pPr>
              <w:jc w:val="right"/>
              <w:rPr>
                <w:color w:val="000000"/>
                <w:sz w:val="20"/>
                <w:szCs w:val="20"/>
                <w:lang w:val="en-CA" w:eastAsia="en-CA"/>
              </w:rPr>
            </w:pPr>
            <w:r w:rsidRPr="0017424B">
              <w:rPr>
                <w:color w:val="000000"/>
                <w:sz w:val="20"/>
                <w:szCs w:val="20"/>
                <w:lang w:val="en-CA" w:eastAsia="en-CA"/>
              </w:rPr>
              <w:t>1,3</w:t>
            </w:r>
            <w:r w:rsidR="00C9263B">
              <w:rPr>
                <w:color w:val="000000"/>
                <w:sz w:val="20"/>
                <w:szCs w:val="20"/>
                <w:lang w:val="en-CA" w:eastAsia="en-CA"/>
              </w:rPr>
              <w:t>10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10,658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18,606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32,092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40,974</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MDI</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700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900</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1000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1100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Total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C9263B">
            <w:pPr>
              <w:jc w:val="right"/>
              <w:rPr>
                <w:color w:val="000000"/>
                <w:sz w:val="20"/>
                <w:szCs w:val="20"/>
                <w:lang w:val="en-CA" w:eastAsia="en-CA"/>
              </w:rPr>
            </w:pPr>
            <w:r w:rsidRPr="0017424B">
              <w:rPr>
                <w:color w:val="000000"/>
                <w:sz w:val="20"/>
                <w:szCs w:val="20"/>
                <w:lang w:val="en-CA" w:eastAsia="en-CA"/>
              </w:rPr>
              <w:t>93,5</w:t>
            </w:r>
            <w:r w:rsidR="00C9263B">
              <w:rPr>
                <w:color w:val="000000"/>
                <w:sz w:val="20"/>
                <w:szCs w:val="20"/>
                <w:lang w:val="en-CA" w:eastAsia="en-CA"/>
              </w:rPr>
              <w:t>23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197,296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301,125</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425,482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552,670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b/>
                <w:bCs/>
                <w:color w:val="000000"/>
                <w:sz w:val="20"/>
                <w:szCs w:val="20"/>
                <w:lang w:val="en-CA" w:eastAsia="en-CA"/>
              </w:rPr>
            </w:pPr>
            <w:r w:rsidRPr="0017424B">
              <w:rPr>
                <w:b/>
                <w:bCs/>
                <w:color w:val="000000"/>
                <w:sz w:val="20"/>
                <w:szCs w:val="20"/>
                <w:lang w:val="en-CA" w:eastAsia="en-CA"/>
              </w:rPr>
              <w:t>Servicing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RAC</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33,476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87,033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176,493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305,922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468,550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Total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33,476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87,033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176,493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305,922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468,550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RAC manufacturing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91,523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185,838</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281,619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392,390</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510,596</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Refrigeration servicing</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33,476</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87,033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176,493</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305,922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468,550</w:t>
            </w:r>
          </w:p>
        </w:tc>
      </w:tr>
      <w:tr w:rsidR="0017424B" w:rsidRPr="0017424B" w:rsidTr="00AE5E1D">
        <w:trPr>
          <w:trHeight w:val="227"/>
        </w:trPr>
        <w:tc>
          <w:tcPr>
            <w:tcW w:w="2372" w:type="dxa"/>
            <w:tcBorders>
              <w:top w:val="nil"/>
              <w:left w:val="single" w:sz="8" w:space="0" w:color="auto"/>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RAC total</w:t>
            </w:r>
          </w:p>
        </w:tc>
        <w:tc>
          <w:tcPr>
            <w:tcW w:w="20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left"/>
              <w:rPr>
                <w:color w:val="000000"/>
                <w:sz w:val="20"/>
                <w:szCs w:val="20"/>
                <w:lang w:val="en-CA" w:eastAsia="en-CA"/>
              </w:rPr>
            </w:pPr>
            <w:r w:rsidRPr="0017424B">
              <w:rPr>
                <w:color w:val="000000"/>
                <w:sz w:val="20"/>
                <w:szCs w:val="20"/>
                <w:lang w:val="en-CA" w:eastAsia="en-CA"/>
              </w:rPr>
              <w:t> </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124,999</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272,871</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458,112</w:t>
            </w:r>
          </w:p>
        </w:tc>
        <w:tc>
          <w:tcPr>
            <w:tcW w:w="950"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698,312</w:t>
            </w:r>
          </w:p>
        </w:tc>
        <w:tc>
          <w:tcPr>
            <w:tcW w:w="1159" w:type="dxa"/>
            <w:tcBorders>
              <w:top w:val="nil"/>
              <w:left w:val="nil"/>
              <w:bottom w:val="single" w:sz="8" w:space="0" w:color="auto"/>
              <w:right w:val="single" w:sz="8" w:space="0" w:color="auto"/>
            </w:tcBorders>
            <w:shd w:val="clear" w:color="auto" w:fill="auto"/>
            <w:noWrap/>
            <w:vAlign w:val="center"/>
            <w:hideMark/>
          </w:tcPr>
          <w:p w:rsidR="0017424B" w:rsidRPr="0017424B" w:rsidRDefault="0017424B" w:rsidP="0017424B">
            <w:pPr>
              <w:jc w:val="right"/>
              <w:rPr>
                <w:color w:val="000000"/>
                <w:sz w:val="20"/>
                <w:szCs w:val="20"/>
                <w:lang w:val="en-CA" w:eastAsia="en-CA"/>
              </w:rPr>
            </w:pPr>
            <w:r w:rsidRPr="0017424B">
              <w:rPr>
                <w:color w:val="000000"/>
                <w:sz w:val="20"/>
                <w:szCs w:val="20"/>
                <w:lang w:val="en-CA" w:eastAsia="en-CA"/>
              </w:rPr>
              <w:t>979,146</w:t>
            </w:r>
          </w:p>
        </w:tc>
      </w:tr>
    </w:tbl>
    <w:p w:rsidR="00031E71" w:rsidRDefault="0017424B" w:rsidP="0017424B">
      <w:pPr>
        <w:jc w:val="left"/>
        <w:rPr>
          <w:sz w:val="20"/>
          <w:szCs w:val="20"/>
          <w:lang w:val="en-CA"/>
        </w:rPr>
      </w:pPr>
      <w:r w:rsidRPr="0017424B">
        <w:rPr>
          <w:sz w:val="20"/>
          <w:szCs w:val="20"/>
          <w:lang w:val="en-CA"/>
        </w:rPr>
        <w:t>Note: There may be minor differences due to round-off of numbers.</w:t>
      </w:r>
    </w:p>
    <w:p w:rsidR="0017424B" w:rsidRPr="0017424B" w:rsidRDefault="0017424B" w:rsidP="0017424B">
      <w:pPr>
        <w:jc w:val="left"/>
        <w:rPr>
          <w:b/>
          <w:sz w:val="21"/>
          <w:szCs w:val="21"/>
          <w:lang w:val="en-CA"/>
        </w:rPr>
      </w:pPr>
      <w:r w:rsidRPr="0017424B">
        <w:rPr>
          <w:b/>
          <w:sz w:val="21"/>
          <w:szCs w:val="21"/>
          <w:lang w:val="en-CA"/>
        </w:rPr>
        <w:br w:type="page"/>
      </w:r>
    </w:p>
    <w:p w:rsidR="0017424B" w:rsidRPr="0017424B" w:rsidRDefault="0017424B" w:rsidP="0017424B">
      <w:pPr>
        <w:jc w:val="center"/>
        <w:rPr>
          <w:b/>
          <w:sz w:val="21"/>
          <w:szCs w:val="21"/>
          <w:lang w:val="en-CA"/>
        </w:rPr>
      </w:pPr>
      <w:r w:rsidRPr="0017424B">
        <w:rPr>
          <w:b/>
          <w:sz w:val="21"/>
          <w:szCs w:val="21"/>
          <w:lang w:val="en-CA"/>
        </w:rPr>
        <w:t>Estimates of distribution of HFC consumption in Article 5 countries by substance in CLP</w:t>
      </w:r>
      <w:r w:rsidRPr="0017424B">
        <w:rPr>
          <w:b/>
          <w:sz w:val="21"/>
          <w:szCs w:val="21"/>
          <w:vertAlign w:val="superscript"/>
          <w:lang w:val="en-CA"/>
        </w:rPr>
        <w:footnoteReference w:id="14"/>
      </w:r>
    </w:p>
    <w:p w:rsidR="0017424B" w:rsidRPr="0017424B" w:rsidRDefault="0017424B" w:rsidP="0017424B">
      <w:pPr>
        <w:rPr>
          <w:lang w:val="en-CA"/>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52"/>
        <w:gridCol w:w="2067"/>
        <w:gridCol w:w="822"/>
        <w:gridCol w:w="839"/>
        <w:gridCol w:w="858"/>
        <w:gridCol w:w="946"/>
        <w:gridCol w:w="946"/>
        <w:gridCol w:w="946"/>
      </w:tblGrid>
      <w:tr w:rsidR="0017424B" w:rsidRPr="0017424B" w:rsidTr="000A05C8">
        <w:trPr>
          <w:trHeight w:val="300"/>
          <w:tblHeader/>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Sectors</w:t>
            </w:r>
          </w:p>
        </w:tc>
        <w:tc>
          <w:tcPr>
            <w:tcW w:w="1079"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Substance</w:t>
            </w:r>
          </w:p>
        </w:tc>
        <w:tc>
          <w:tcPr>
            <w:tcW w:w="429" w:type="pct"/>
            <w:shd w:val="clear" w:color="auto" w:fill="auto"/>
            <w:noWrap/>
            <w:hideMark/>
          </w:tcPr>
          <w:p w:rsidR="0017424B" w:rsidRPr="0017424B" w:rsidRDefault="0017424B" w:rsidP="0017424B">
            <w:pPr>
              <w:jc w:val="center"/>
              <w:rPr>
                <w:b/>
                <w:bCs/>
                <w:color w:val="000000"/>
                <w:sz w:val="18"/>
                <w:szCs w:val="18"/>
                <w:lang w:val="en-CA" w:eastAsia="en-CA"/>
              </w:rPr>
            </w:pPr>
            <w:r w:rsidRPr="0017424B">
              <w:rPr>
                <w:b/>
                <w:bCs/>
                <w:color w:val="000000"/>
                <w:sz w:val="18"/>
                <w:szCs w:val="18"/>
                <w:lang w:val="en-CA" w:eastAsia="en-CA"/>
              </w:rPr>
              <w:t>CLP</w:t>
            </w:r>
          </w:p>
        </w:tc>
        <w:tc>
          <w:tcPr>
            <w:tcW w:w="438" w:type="pct"/>
            <w:shd w:val="clear" w:color="auto" w:fill="auto"/>
            <w:noWrap/>
            <w:hideMark/>
          </w:tcPr>
          <w:p w:rsidR="0017424B" w:rsidRPr="0017424B" w:rsidRDefault="0017424B" w:rsidP="0017424B">
            <w:pPr>
              <w:jc w:val="center"/>
              <w:rPr>
                <w:b/>
                <w:bCs/>
                <w:color w:val="000000"/>
                <w:sz w:val="18"/>
                <w:szCs w:val="18"/>
                <w:lang w:val="en-CA" w:eastAsia="en-CA"/>
              </w:rPr>
            </w:pPr>
            <w:r w:rsidRPr="0017424B">
              <w:rPr>
                <w:b/>
                <w:bCs/>
                <w:color w:val="000000"/>
                <w:sz w:val="18"/>
                <w:szCs w:val="18"/>
                <w:lang w:val="en-CA" w:eastAsia="en-CA"/>
              </w:rPr>
              <w:t>2010</w:t>
            </w:r>
          </w:p>
        </w:tc>
        <w:tc>
          <w:tcPr>
            <w:tcW w:w="448" w:type="pct"/>
            <w:shd w:val="clear" w:color="auto" w:fill="auto"/>
            <w:noWrap/>
            <w:hideMark/>
          </w:tcPr>
          <w:p w:rsidR="0017424B" w:rsidRPr="0017424B" w:rsidRDefault="0017424B" w:rsidP="0017424B">
            <w:pPr>
              <w:jc w:val="center"/>
              <w:rPr>
                <w:b/>
                <w:bCs/>
                <w:color w:val="000000"/>
                <w:sz w:val="18"/>
                <w:szCs w:val="18"/>
                <w:lang w:val="en-CA" w:eastAsia="en-CA"/>
              </w:rPr>
            </w:pPr>
            <w:r w:rsidRPr="0017424B">
              <w:rPr>
                <w:b/>
                <w:bCs/>
                <w:color w:val="000000"/>
                <w:sz w:val="18"/>
                <w:szCs w:val="18"/>
                <w:lang w:val="en-CA" w:eastAsia="en-CA"/>
              </w:rPr>
              <w:t>2015</w:t>
            </w:r>
          </w:p>
        </w:tc>
        <w:tc>
          <w:tcPr>
            <w:tcW w:w="494" w:type="pct"/>
            <w:shd w:val="clear" w:color="auto" w:fill="auto"/>
            <w:noWrap/>
            <w:hideMark/>
          </w:tcPr>
          <w:p w:rsidR="0017424B" w:rsidRPr="0017424B" w:rsidRDefault="0017424B" w:rsidP="0017424B">
            <w:pPr>
              <w:jc w:val="center"/>
              <w:rPr>
                <w:b/>
                <w:bCs/>
                <w:color w:val="000000"/>
                <w:sz w:val="18"/>
                <w:szCs w:val="18"/>
                <w:lang w:val="en-CA" w:eastAsia="en-CA"/>
              </w:rPr>
            </w:pPr>
            <w:r w:rsidRPr="0017424B">
              <w:rPr>
                <w:b/>
                <w:bCs/>
                <w:color w:val="000000"/>
                <w:sz w:val="18"/>
                <w:szCs w:val="18"/>
                <w:lang w:val="en-CA" w:eastAsia="en-CA"/>
              </w:rPr>
              <w:t>2020</w:t>
            </w:r>
          </w:p>
        </w:tc>
        <w:tc>
          <w:tcPr>
            <w:tcW w:w="494" w:type="pct"/>
            <w:shd w:val="clear" w:color="auto" w:fill="auto"/>
            <w:noWrap/>
            <w:hideMark/>
          </w:tcPr>
          <w:p w:rsidR="0017424B" w:rsidRPr="0017424B" w:rsidRDefault="0017424B" w:rsidP="0017424B">
            <w:pPr>
              <w:jc w:val="center"/>
              <w:rPr>
                <w:b/>
                <w:bCs/>
                <w:color w:val="000000"/>
                <w:sz w:val="18"/>
                <w:szCs w:val="18"/>
                <w:lang w:val="en-CA" w:eastAsia="en-CA"/>
              </w:rPr>
            </w:pPr>
            <w:r w:rsidRPr="0017424B">
              <w:rPr>
                <w:b/>
                <w:bCs/>
                <w:color w:val="000000"/>
                <w:sz w:val="18"/>
                <w:szCs w:val="18"/>
                <w:lang w:val="en-CA" w:eastAsia="en-CA"/>
              </w:rPr>
              <w:t>2025</w:t>
            </w:r>
          </w:p>
        </w:tc>
        <w:tc>
          <w:tcPr>
            <w:tcW w:w="494" w:type="pct"/>
            <w:shd w:val="clear" w:color="auto" w:fill="auto"/>
            <w:noWrap/>
            <w:hideMark/>
          </w:tcPr>
          <w:p w:rsidR="0017424B" w:rsidRPr="0017424B" w:rsidRDefault="0017424B" w:rsidP="0017424B">
            <w:pPr>
              <w:jc w:val="center"/>
              <w:rPr>
                <w:b/>
                <w:bCs/>
                <w:color w:val="000000"/>
                <w:sz w:val="18"/>
                <w:szCs w:val="18"/>
                <w:lang w:val="en-CA" w:eastAsia="en-CA"/>
              </w:rPr>
            </w:pPr>
            <w:r w:rsidRPr="0017424B">
              <w:rPr>
                <w:b/>
                <w:bCs/>
                <w:color w:val="000000"/>
                <w:sz w:val="18"/>
                <w:szCs w:val="18"/>
                <w:lang w:val="en-CA" w:eastAsia="en-CA"/>
              </w:rPr>
              <w:t>2030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Domestic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12,941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13,329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15,333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18,242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21,634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2,743</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5,089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9,356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11,910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15,018</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15,558</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43,054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76,126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134,166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203,372</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15,802</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43,729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77,320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136,269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206,560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720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1,320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2,255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3,730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6,074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823</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4,298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8,594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15,045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20,866</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836</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4,366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8,729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15,281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21,193</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544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1,075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1,982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2,608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3,104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1,569</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2,581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3,006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4,301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5,755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1,594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2,622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3,053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4,368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5,845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1,091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2,315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4,556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5,849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7,087</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R-410A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1.460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59,824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155,725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281,444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415,636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532,674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R-407C</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1.241</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20,530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68,600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125,609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216,471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354,306</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36,354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51,396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66,680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84,928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108,190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478</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3,364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5,669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11,280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15,225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HFC-152a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0.087</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42</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293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493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981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1,325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HFC-245fa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0.720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255</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1,564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2,765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3,590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3,963</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HFC-365mfc/HFC-227ea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AB58AF" w:rsidP="0017424B">
            <w:pPr>
              <w:jc w:val="right"/>
              <w:rPr>
                <w:color w:val="000000"/>
                <w:sz w:val="18"/>
                <w:szCs w:val="18"/>
                <w:lang w:val="en-CA" w:eastAsia="en-CA"/>
              </w:rPr>
            </w:pPr>
            <w:r>
              <w:rPr>
                <w:color w:val="000000"/>
                <w:sz w:val="18"/>
                <w:szCs w:val="18"/>
                <w:lang w:val="en-CA" w:eastAsia="en-CA"/>
              </w:rPr>
              <w:t>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1,758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3,428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4,546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5,020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MDI</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700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1,100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Total</w:t>
            </w:r>
          </w:p>
        </w:tc>
        <w:tc>
          <w:tcPr>
            <w:tcW w:w="1079" w:type="pct"/>
            <w:shd w:val="clear" w:color="auto" w:fill="auto"/>
            <w:noWrap/>
            <w:hideMark/>
          </w:tcPr>
          <w:p w:rsidR="0017424B" w:rsidRPr="0017424B" w:rsidRDefault="0017424B" w:rsidP="0017424B">
            <w:pPr>
              <w:jc w:val="left"/>
              <w:rPr>
                <w:b/>
                <w:bCs/>
                <w:color w:val="000000"/>
                <w:sz w:val="18"/>
                <w:szCs w:val="18"/>
                <w:lang w:val="en-CA" w:eastAsia="en-CA"/>
              </w:rPr>
            </w:pPr>
          </w:p>
        </w:tc>
        <w:tc>
          <w:tcPr>
            <w:tcW w:w="429" w:type="pct"/>
            <w:shd w:val="clear" w:color="auto" w:fill="auto"/>
            <w:noWrap/>
            <w:hideMark/>
          </w:tcPr>
          <w:p w:rsidR="0017424B" w:rsidRPr="0017424B" w:rsidRDefault="0017424B" w:rsidP="0017424B">
            <w:pPr>
              <w:jc w:val="center"/>
              <w:rPr>
                <w:b/>
                <w:bCs/>
                <w:color w:val="000000"/>
                <w:sz w:val="18"/>
                <w:szCs w:val="18"/>
                <w:lang w:val="en-CA" w:eastAsia="en-CA"/>
              </w:rPr>
            </w:pPr>
          </w:p>
        </w:tc>
        <w:tc>
          <w:tcPr>
            <w:tcW w:w="438" w:type="pct"/>
            <w:shd w:val="clear" w:color="auto" w:fill="auto"/>
            <w:noWrap/>
            <w:hideMark/>
          </w:tcPr>
          <w:p w:rsidR="0017424B" w:rsidRPr="0017424B" w:rsidRDefault="0017424B" w:rsidP="00AB58AF">
            <w:pPr>
              <w:jc w:val="right"/>
              <w:rPr>
                <w:b/>
                <w:bCs/>
                <w:color w:val="000000"/>
                <w:sz w:val="18"/>
                <w:szCs w:val="18"/>
                <w:lang w:val="en-CA" w:eastAsia="en-CA"/>
              </w:rPr>
            </w:pPr>
            <w:r w:rsidRPr="0017424B">
              <w:rPr>
                <w:b/>
                <w:bCs/>
                <w:color w:val="000000"/>
                <w:sz w:val="18"/>
                <w:szCs w:val="18"/>
                <w:lang w:val="en-CA" w:eastAsia="en-CA"/>
              </w:rPr>
              <w:t>172,4</w:t>
            </w:r>
            <w:r w:rsidR="00AB58AF">
              <w:rPr>
                <w:b/>
                <w:bCs/>
                <w:color w:val="000000"/>
                <w:sz w:val="18"/>
                <w:szCs w:val="18"/>
                <w:lang w:val="en-CA" w:eastAsia="en-CA"/>
              </w:rPr>
              <w:t>03</w:t>
            </w:r>
          </w:p>
        </w:tc>
        <w:tc>
          <w:tcPr>
            <w:tcW w:w="448"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407,277</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697,299</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1,090,202</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1,538,309</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55,571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78,688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106,731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139,547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177,432</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R-410A</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59,824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155,725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281,444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415,636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532,674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R-407C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20,530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68,600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125,609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216,471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354,306</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17,950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49,934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87,727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153,512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229,992</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18,232</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50,716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89,102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155,918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233,598</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Others</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351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3,615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6,686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9,117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10,307</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Manufacturing</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p>
        </w:tc>
        <w:tc>
          <w:tcPr>
            <w:tcW w:w="448"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Domestic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11,234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12,812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14,610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17,323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20,540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2,617</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4,779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8,726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10,874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13,551</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12,640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28,533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42,558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71,883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105,317</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12,838</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28,980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43,225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73,010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106,968</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406</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650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1,040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1,663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2,661</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326</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2,214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3,473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5,448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6,084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332</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2,248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3,527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5,533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6,179</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321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551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948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964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981</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1,204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1,703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1,588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2,277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3,141</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1,223</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1,730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1,613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2,312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3,190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862</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1,587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2,923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3,072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3,229</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R-410A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1.460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50,491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120,562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196,665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260,668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301,673</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R-407C</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1.241</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7,579</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33,066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53,522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86,634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140,231</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25,061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32,577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40,822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52,100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66,495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478</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3,364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5,669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11,280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15,225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HFC-152a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0.087</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42</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293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493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981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1,325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HFC-245fa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0.720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255</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1,564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2,765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3,590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3,963</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HFC-365mfc/HFC-227ea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AB58AF" w:rsidP="0017424B">
            <w:pPr>
              <w:jc w:val="right"/>
              <w:rPr>
                <w:color w:val="000000"/>
                <w:sz w:val="18"/>
                <w:szCs w:val="18"/>
                <w:lang w:val="en-CA" w:eastAsia="en-CA"/>
              </w:rPr>
            </w:pPr>
            <w:r>
              <w:rPr>
                <w:color w:val="000000"/>
                <w:sz w:val="18"/>
                <w:szCs w:val="18"/>
                <w:lang w:val="en-CA" w:eastAsia="en-CA"/>
              </w:rPr>
              <w:t>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1,758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3,428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4,546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5,020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MDI</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700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1,100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Total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AB58AF">
            <w:pPr>
              <w:jc w:val="right"/>
              <w:rPr>
                <w:color w:val="000000"/>
                <w:sz w:val="18"/>
                <w:szCs w:val="18"/>
                <w:lang w:val="en-CA" w:eastAsia="en-CA"/>
              </w:rPr>
            </w:pPr>
            <w:r w:rsidRPr="0017424B">
              <w:rPr>
                <w:color w:val="000000"/>
                <w:sz w:val="18"/>
                <w:szCs w:val="18"/>
                <w:lang w:val="en-CA" w:eastAsia="en-CA"/>
              </w:rPr>
              <w:t>128,6</w:t>
            </w:r>
            <w:r w:rsidR="00AB58AF">
              <w:rPr>
                <w:color w:val="000000"/>
                <w:sz w:val="18"/>
                <w:szCs w:val="18"/>
                <w:lang w:val="en-CA" w:eastAsia="en-CA"/>
              </w:rPr>
              <w:t>08</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279,771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428,494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615,159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806,872</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Servicing</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p>
        </w:tc>
        <w:tc>
          <w:tcPr>
            <w:tcW w:w="448"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Domestic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1,707</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517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723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919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1,094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126</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310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630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1,036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1,467</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2,919</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14,521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33,569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62,283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98,054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Commercial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2,964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14,749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34,095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63,259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99,591</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314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670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1,215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2,067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3,413</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496</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2,085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5,121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9,598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14,782</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Industrial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504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2,117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5,201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9,748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15,014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223</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524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1,034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1,644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2,123</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2.743</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365</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878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1,418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2,024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2,614</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Transport</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R-507</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2.786</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371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892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1,440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2,056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2,655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229</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728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1,633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2,777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3,858</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R-410A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1.460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9,332</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35,163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84,779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154,967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231,001</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SAC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R-407C</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1.241</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12,951</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35,534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72,087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129,837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214,075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11,293</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18,819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25,858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32,828</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41,695</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HFC-152a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0.087</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HFC-245fa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0.720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HFC-365mfc/HFC-227ea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MDI</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HFC-134a</w:t>
            </w:r>
          </w:p>
        </w:tc>
        <w:tc>
          <w:tcPr>
            <w:tcW w:w="429" w:type="pct"/>
            <w:shd w:val="clear" w:color="auto" w:fill="auto"/>
            <w:noWrap/>
            <w:hideMark/>
          </w:tcPr>
          <w:p w:rsidR="0017424B" w:rsidRPr="0017424B" w:rsidRDefault="0017424B" w:rsidP="0017424B">
            <w:pPr>
              <w:jc w:val="center"/>
              <w:rPr>
                <w:color w:val="000000"/>
                <w:sz w:val="18"/>
                <w:szCs w:val="18"/>
                <w:lang w:val="en-CA" w:eastAsia="en-CA"/>
              </w:rPr>
            </w:pPr>
            <w:r w:rsidRPr="0017424B">
              <w:rPr>
                <w:color w:val="000000"/>
                <w:sz w:val="18"/>
                <w:szCs w:val="18"/>
                <w:lang w:val="en-CA" w:eastAsia="en-CA"/>
              </w:rPr>
              <w:t>1.000</w:t>
            </w: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Total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43,794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127,506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268,805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475,043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731,436</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Grand total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p>
        </w:tc>
        <w:tc>
          <w:tcPr>
            <w:tcW w:w="448"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170,928</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399,499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684,044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1,068,805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1,511,676</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AB58AF" w:rsidP="0017424B">
            <w:pPr>
              <w:jc w:val="right"/>
              <w:rPr>
                <w:color w:val="000000"/>
                <w:sz w:val="18"/>
                <w:szCs w:val="18"/>
                <w:lang w:val="en-CA" w:eastAsia="en-CA"/>
              </w:rPr>
            </w:pPr>
            <w:r>
              <w:rPr>
                <w:color w:val="000000"/>
                <w:sz w:val="18"/>
                <w:szCs w:val="18"/>
                <w:lang w:val="en-CA" w:eastAsia="en-CA"/>
              </w:rPr>
              <w:t>774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6,979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12,355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20,397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25,532</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MDI</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700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1,100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Total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AB58AF">
            <w:pPr>
              <w:jc w:val="right"/>
              <w:rPr>
                <w:color w:val="000000"/>
                <w:sz w:val="18"/>
                <w:szCs w:val="18"/>
                <w:lang w:val="en-CA" w:eastAsia="en-CA"/>
              </w:rPr>
            </w:pPr>
            <w:r w:rsidRPr="0017424B">
              <w:rPr>
                <w:color w:val="000000"/>
                <w:sz w:val="18"/>
                <w:szCs w:val="18"/>
                <w:lang w:val="en-CA" w:eastAsia="en-CA"/>
              </w:rPr>
              <w:t>172,4</w:t>
            </w:r>
            <w:r w:rsidR="00AB58AF">
              <w:rPr>
                <w:color w:val="000000"/>
                <w:sz w:val="18"/>
                <w:szCs w:val="18"/>
                <w:lang w:val="en-CA" w:eastAsia="en-CA"/>
              </w:rPr>
              <w:t>03</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407,277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697,299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1,090,202</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1,538,309</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Manufacturing</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p>
        </w:tc>
        <w:tc>
          <w:tcPr>
            <w:tcW w:w="448"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127,134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271,993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415,239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593,761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780,240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AB58AF" w:rsidP="0017424B">
            <w:pPr>
              <w:jc w:val="right"/>
              <w:rPr>
                <w:color w:val="000000"/>
                <w:sz w:val="18"/>
                <w:szCs w:val="18"/>
                <w:lang w:val="en-CA" w:eastAsia="en-CA"/>
              </w:rPr>
            </w:pPr>
            <w:r>
              <w:rPr>
                <w:color w:val="000000"/>
                <w:sz w:val="18"/>
                <w:szCs w:val="18"/>
                <w:lang w:val="en-CA" w:eastAsia="en-CA"/>
              </w:rPr>
              <w:t>774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6,979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12,355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20,397</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25,532</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MDI</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700</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900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1,000</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1,100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Total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AB58AF">
            <w:pPr>
              <w:jc w:val="right"/>
              <w:rPr>
                <w:color w:val="000000"/>
                <w:sz w:val="18"/>
                <w:szCs w:val="18"/>
                <w:lang w:val="en-CA" w:eastAsia="en-CA"/>
              </w:rPr>
            </w:pPr>
            <w:r w:rsidRPr="0017424B">
              <w:rPr>
                <w:color w:val="000000"/>
                <w:sz w:val="18"/>
                <w:szCs w:val="18"/>
                <w:lang w:val="en-CA" w:eastAsia="en-CA"/>
              </w:rPr>
              <w:t>128,6</w:t>
            </w:r>
            <w:r w:rsidR="00AB58AF">
              <w:rPr>
                <w:color w:val="000000"/>
                <w:sz w:val="18"/>
                <w:szCs w:val="18"/>
                <w:lang w:val="en-CA" w:eastAsia="en-CA"/>
              </w:rPr>
              <w:t>08</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279,771</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428,494</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615,159</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806,872</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Servicing</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p>
        </w:tc>
        <w:tc>
          <w:tcPr>
            <w:tcW w:w="448"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c>
          <w:tcPr>
            <w:tcW w:w="494" w:type="pct"/>
            <w:shd w:val="clear" w:color="auto" w:fill="auto"/>
            <w:noWrap/>
            <w:hideMark/>
          </w:tcPr>
          <w:p w:rsidR="0017424B" w:rsidRPr="0017424B" w:rsidRDefault="0017424B" w:rsidP="0017424B">
            <w:pPr>
              <w:jc w:val="right"/>
              <w:rPr>
                <w:color w:val="000000"/>
                <w:sz w:val="18"/>
                <w:szCs w:val="18"/>
                <w:lang w:val="en-CA" w:eastAsia="en-CA"/>
              </w:rPr>
            </w:pP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RAC</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43,794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127,506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268,805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475,043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731,436</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Foam</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MDI</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color w:val="000000"/>
                <w:sz w:val="18"/>
                <w:szCs w:val="18"/>
                <w:lang w:val="en-CA" w:eastAsia="en-CA"/>
              </w:rPr>
            </w:pPr>
            <w:r w:rsidRPr="0017424B">
              <w:rPr>
                <w:color w:val="000000"/>
                <w:sz w:val="18"/>
                <w:szCs w:val="18"/>
                <w:lang w:val="en-CA" w:eastAsia="en-CA"/>
              </w:rPr>
              <w:t>Total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43,794</w:t>
            </w:r>
          </w:p>
        </w:tc>
        <w:tc>
          <w:tcPr>
            <w:tcW w:w="448"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127,506</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268,805</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475,043</w:t>
            </w:r>
          </w:p>
        </w:tc>
        <w:tc>
          <w:tcPr>
            <w:tcW w:w="494" w:type="pct"/>
            <w:shd w:val="clear" w:color="auto" w:fill="auto"/>
            <w:noWrap/>
            <w:hideMark/>
          </w:tcPr>
          <w:p w:rsidR="0017424B" w:rsidRPr="0017424B" w:rsidRDefault="0017424B" w:rsidP="0017424B">
            <w:pPr>
              <w:jc w:val="right"/>
              <w:rPr>
                <w:color w:val="000000"/>
                <w:sz w:val="18"/>
                <w:szCs w:val="18"/>
                <w:lang w:val="en-CA" w:eastAsia="en-CA"/>
              </w:rPr>
            </w:pPr>
            <w:r w:rsidRPr="0017424B">
              <w:rPr>
                <w:color w:val="000000"/>
                <w:sz w:val="18"/>
                <w:szCs w:val="18"/>
                <w:lang w:val="en-CA" w:eastAsia="en-CA"/>
              </w:rPr>
              <w:t>731,436</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RAC manufacturing</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127,134</w:t>
            </w:r>
          </w:p>
        </w:tc>
        <w:tc>
          <w:tcPr>
            <w:tcW w:w="448"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271,993</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415,239</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593,761</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780,240</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Refrigeration servicing</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43,794</w:t>
            </w:r>
          </w:p>
        </w:tc>
        <w:tc>
          <w:tcPr>
            <w:tcW w:w="448"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127,506</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268,805</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475,043</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731,436</w:t>
            </w:r>
          </w:p>
        </w:tc>
      </w:tr>
      <w:tr w:rsidR="0017424B" w:rsidRPr="0017424B" w:rsidTr="000A05C8">
        <w:trPr>
          <w:trHeight w:val="300"/>
        </w:trPr>
        <w:tc>
          <w:tcPr>
            <w:tcW w:w="1124" w:type="pct"/>
            <w:shd w:val="clear" w:color="auto" w:fill="auto"/>
            <w:noWrap/>
            <w:hideMark/>
          </w:tcPr>
          <w:p w:rsidR="0017424B" w:rsidRPr="0017424B" w:rsidRDefault="0017424B" w:rsidP="0017424B">
            <w:pPr>
              <w:jc w:val="left"/>
              <w:rPr>
                <w:b/>
                <w:bCs/>
                <w:color w:val="000000"/>
                <w:sz w:val="18"/>
                <w:szCs w:val="18"/>
                <w:lang w:val="en-CA" w:eastAsia="en-CA"/>
              </w:rPr>
            </w:pPr>
            <w:r w:rsidRPr="0017424B">
              <w:rPr>
                <w:b/>
                <w:bCs/>
                <w:color w:val="000000"/>
                <w:sz w:val="18"/>
                <w:szCs w:val="18"/>
                <w:lang w:val="en-CA" w:eastAsia="en-CA"/>
              </w:rPr>
              <w:t>RAC total</w:t>
            </w:r>
          </w:p>
        </w:tc>
        <w:tc>
          <w:tcPr>
            <w:tcW w:w="1079" w:type="pct"/>
            <w:shd w:val="clear" w:color="auto" w:fill="auto"/>
            <w:noWrap/>
            <w:hideMark/>
          </w:tcPr>
          <w:p w:rsidR="0017424B" w:rsidRPr="0017424B" w:rsidRDefault="0017424B" w:rsidP="0017424B">
            <w:pPr>
              <w:jc w:val="left"/>
              <w:rPr>
                <w:color w:val="000000"/>
                <w:sz w:val="18"/>
                <w:szCs w:val="18"/>
                <w:lang w:val="en-CA" w:eastAsia="en-CA"/>
              </w:rPr>
            </w:pPr>
          </w:p>
        </w:tc>
        <w:tc>
          <w:tcPr>
            <w:tcW w:w="429" w:type="pct"/>
            <w:shd w:val="clear" w:color="auto" w:fill="auto"/>
            <w:noWrap/>
            <w:hideMark/>
          </w:tcPr>
          <w:p w:rsidR="0017424B" w:rsidRPr="0017424B" w:rsidRDefault="0017424B" w:rsidP="0017424B">
            <w:pPr>
              <w:jc w:val="center"/>
              <w:rPr>
                <w:color w:val="000000"/>
                <w:sz w:val="18"/>
                <w:szCs w:val="18"/>
                <w:lang w:val="en-CA" w:eastAsia="en-CA"/>
              </w:rPr>
            </w:pPr>
          </w:p>
        </w:tc>
        <w:tc>
          <w:tcPr>
            <w:tcW w:w="438"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170,928</w:t>
            </w:r>
          </w:p>
        </w:tc>
        <w:tc>
          <w:tcPr>
            <w:tcW w:w="448"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399,499</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684,044</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1,068,805</w:t>
            </w:r>
          </w:p>
        </w:tc>
        <w:tc>
          <w:tcPr>
            <w:tcW w:w="494" w:type="pct"/>
            <w:shd w:val="clear" w:color="auto" w:fill="auto"/>
            <w:noWrap/>
            <w:hideMark/>
          </w:tcPr>
          <w:p w:rsidR="0017424B" w:rsidRPr="0017424B" w:rsidRDefault="0017424B" w:rsidP="0017424B">
            <w:pPr>
              <w:jc w:val="right"/>
              <w:rPr>
                <w:b/>
                <w:bCs/>
                <w:color w:val="000000"/>
                <w:sz w:val="18"/>
                <w:szCs w:val="18"/>
                <w:lang w:val="en-CA" w:eastAsia="en-CA"/>
              </w:rPr>
            </w:pPr>
            <w:r w:rsidRPr="0017424B">
              <w:rPr>
                <w:b/>
                <w:bCs/>
                <w:color w:val="000000"/>
                <w:sz w:val="18"/>
                <w:szCs w:val="18"/>
                <w:lang w:val="en-CA" w:eastAsia="en-CA"/>
              </w:rPr>
              <w:t>1,511,676</w:t>
            </w:r>
          </w:p>
        </w:tc>
      </w:tr>
    </w:tbl>
    <w:p w:rsidR="0017424B" w:rsidRPr="0017424B" w:rsidRDefault="0017424B" w:rsidP="0017424B">
      <w:pPr>
        <w:rPr>
          <w:lang w:val="en-CA"/>
        </w:rPr>
      </w:pPr>
    </w:p>
    <w:p w:rsidR="0017424B" w:rsidRPr="0017424B" w:rsidRDefault="0017424B" w:rsidP="0017424B">
      <w:pPr>
        <w:rPr>
          <w:lang w:val="en-CA"/>
        </w:rPr>
      </w:pPr>
    </w:p>
    <w:p w:rsidR="000A05C8" w:rsidRDefault="000A05C8" w:rsidP="0017424B">
      <w:pPr>
        <w:jc w:val="center"/>
        <w:rPr>
          <w:b/>
          <w:lang w:val="en-CA"/>
        </w:rPr>
        <w:sectPr w:rsidR="000A05C8" w:rsidSect="00F47469">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17424B" w:rsidRPr="0017424B" w:rsidRDefault="0017424B" w:rsidP="0017424B">
      <w:pPr>
        <w:jc w:val="center"/>
        <w:rPr>
          <w:b/>
          <w:lang w:val="en-CA"/>
        </w:rPr>
      </w:pPr>
      <w:r w:rsidRPr="0017424B">
        <w:rPr>
          <w:b/>
          <w:lang w:val="en-CA"/>
        </w:rPr>
        <w:t>Annex II</w:t>
      </w:r>
    </w:p>
    <w:p w:rsidR="0017424B" w:rsidRPr="0017424B" w:rsidRDefault="0017424B" w:rsidP="0017424B">
      <w:pPr>
        <w:jc w:val="center"/>
        <w:rPr>
          <w:b/>
          <w:lang w:val="en-CA"/>
        </w:rPr>
      </w:pPr>
    </w:p>
    <w:p w:rsidR="0017424B" w:rsidRPr="0017424B" w:rsidRDefault="0017424B" w:rsidP="0017424B">
      <w:pPr>
        <w:jc w:val="center"/>
        <w:rPr>
          <w:b/>
          <w:lang w:val="en-CA"/>
        </w:rPr>
      </w:pPr>
      <w:r w:rsidRPr="0017424B">
        <w:rPr>
          <w:b/>
          <w:lang w:val="en-CA"/>
        </w:rPr>
        <w:t>INFORMATION ON THE CONSUMPTION OF HFCs (ODS ALTERNATIVES SURVEY)</w:t>
      </w:r>
    </w:p>
    <w:p w:rsidR="0017424B" w:rsidRPr="0017424B" w:rsidRDefault="0017424B" w:rsidP="0017424B">
      <w:pPr>
        <w:jc w:val="center"/>
        <w:rPr>
          <w:b/>
          <w:lang w:val="en-CA"/>
        </w:rPr>
      </w:pPr>
      <w:r w:rsidRPr="0017424B">
        <w:rPr>
          <w:b/>
          <w:lang w:val="en-CA"/>
        </w:rPr>
        <w:t>HFC consumption from 30 Article 5 countries by substance and sector</w:t>
      </w:r>
    </w:p>
    <w:p w:rsidR="0017424B" w:rsidRPr="0017424B" w:rsidRDefault="0017424B" w:rsidP="0017424B">
      <w:pPr>
        <w:jc w:val="right"/>
        <w:rPr>
          <w:b/>
          <w:lang w:val="en-CA"/>
        </w:rPr>
      </w:pPr>
    </w:p>
    <w:tbl>
      <w:tblPr>
        <w:tblW w:w="9864" w:type="dxa"/>
        <w:tblInd w:w="93" w:type="dxa"/>
        <w:tblLook w:val="04A0" w:firstRow="1" w:lastRow="0" w:firstColumn="1" w:lastColumn="0" w:noHBand="0" w:noVBand="1"/>
      </w:tblPr>
      <w:tblGrid>
        <w:gridCol w:w="1960"/>
        <w:gridCol w:w="940"/>
        <w:gridCol w:w="940"/>
        <w:gridCol w:w="940"/>
        <w:gridCol w:w="940"/>
        <w:gridCol w:w="816"/>
        <w:gridCol w:w="816"/>
        <w:gridCol w:w="816"/>
        <w:gridCol w:w="816"/>
        <w:gridCol w:w="880"/>
      </w:tblGrid>
      <w:tr w:rsidR="00F86110" w:rsidRPr="00031E71" w:rsidTr="00F86110">
        <w:trPr>
          <w:trHeight w:val="227"/>
          <w:tblHeader/>
        </w:trPr>
        <w:tc>
          <w:tcPr>
            <w:tcW w:w="1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6110" w:rsidRPr="00031E71" w:rsidRDefault="00F86110" w:rsidP="00F86110">
            <w:pPr>
              <w:jc w:val="center"/>
              <w:rPr>
                <w:b/>
                <w:bCs/>
                <w:color w:val="000000"/>
                <w:sz w:val="16"/>
                <w:szCs w:val="16"/>
                <w:lang w:val="en-CA" w:eastAsia="en-CA"/>
              </w:rPr>
            </w:pPr>
            <w:r w:rsidRPr="00031E71">
              <w:rPr>
                <w:b/>
                <w:bCs/>
                <w:color w:val="000000"/>
                <w:sz w:val="16"/>
                <w:szCs w:val="16"/>
                <w:lang w:val="en-CA" w:eastAsia="en-CA"/>
              </w:rPr>
              <w:t>Substance</w:t>
            </w:r>
          </w:p>
        </w:tc>
        <w:tc>
          <w:tcPr>
            <w:tcW w:w="3760" w:type="dxa"/>
            <w:gridSpan w:val="4"/>
            <w:tcBorders>
              <w:top w:val="single" w:sz="4" w:space="0" w:color="auto"/>
              <w:left w:val="nil"/>
              <w:bottom w:val="single" w:sz="4" w:space="0" w:color="auto"/>
              <w:right w:val="single" w:sz="4" w:space="0" w:color="auto"/>
            </w:tcBorders>
            <w:shd w:val="clear" w:color="auto" w:fill="auto"/>
            <w:noWrap/>
            <w:vAlign w:val="center"/>
            <w:hideMark/>
          </w:tcPr>
          <w:p w:rsidR="00F86110" w:rsidRPr="00031E71" w:rsidRDefault="00F86110" w:rsidP="00F86110">
            <w:pPr>
              <w:jc w:val="center"/>
              <w:rPr>
                <w:b/>
                <w:bCs/>
                <w:color w:val="000000"/>
                <w:sz w:val="16"/>
                <w:szCs w:val="16"/>
                <w:lang w:val="en-CA" w:eastAsia="en-CA"/>
              </w:rPr>
            </w:pPr>
            <w:r w:rsidRPr="00031E71">
              <w:rPr>
                <w:b/>
                <w:bCs/>
                <w:color w:val="000000"/>
                <w:sz w:val="16"/>
                <w:szCs w:val="16"/>
                <w:lang w:val="en-CA" w:eastAsia="en-CA"/>
              </w:rPr>
              <w:t>HFC consumption (mt)</w:t>
            </w:r>
          </w:p>
        </w:tc>
        <w:tc>
          <w:tcPr>
            <w:tcW w:w="3264" w:type="dxa"/>
            <w:gridSpan w:val="4"/>
            <w:tcBorders>
              <w:top w:val="single" w:sz="4" w:space="0" w:color="auto"/>
              <w:left w:val="nil"/>
              <w:bottom w:val="single" w:sz="4" w:space="0" w:color="auto"/>
              <w:right w:val="single" w:sz="4" w:space="0" w:color="auto"/>
            </w:tcBorders>
            <w:shd w:val="clear" w:color="auto" w:fill="auto"/>
            <w:noWrap/>
            <w:vAlign w:val="center"/>
            <w:hideMark/>
          </w:tcPr>
          <w:p w:rsidR="00F86110" w:rsidRPr="00031E71" w:rsidRDefault="00F86110" w:rsidP="00F86110">
            <w:pPr>
              <w:jc w:val="center"/>
              <w:rPr>
                <w:b/>
                <w:bCs/>
                <w:color w:val="000000"/>
                <w:sz w:val="16"/>
                <w:szCs w:val="16"/>
                <w:lang w:val="en-CA" w:eastAsia="en-CA"/>
              </w:rPr>
            </w:pPr>
            <w:r w:rsidRPr="00031E71">
              <w:rPr>
                <w:b/>
                <w:bCs/>
                <w:color w:val="000000"/>
                <w:sz w:val="16"/>
                <w:szCs w:val="16"/>
                <w:lang w:val="en-CA" w:eastAsia="en-CA"/>
              </w:rPr>
              <w:t>Per cent of total</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F86110" w:rsidRPr="00031E71" w:rsidRDefault="00F86110" w:rsidP="00F86110">
            <w:pPr>
              <w:jc w:val="center"/>
              <w:rPr>
                <w:b/>
                <w:bCs/>
                <w:color w:val="000000"/>
                <w:sz w:val="16"/>
                <w:szCs w:val="16"/>
                <w:lang w:val="en-CA" w:eastAsia="en-CA"/>
              </w:rPr>
            </w:pPr>
            <w:r w:rsidRPr="00031E71">
              <w:rPr>
                <w:b/>
                <w:bCs/>
                <w:color w:val="000000"/>
                <w:sz w:val="16"/>
                <w:szCs w:val="16"/>
                <w:lang w:val="en-CA" w:eastAsia="en-CA"/>
              </w:rPr>
              <w:t>Annual growth rate</w:t>
            </w:r>
          </w:p>
        </w:tc>
      </w:tr>
      <w:tr w:rsidR="00F86110" w:rsidRPr="00031E71" w:rsidTr="00F86110">
        <w:trPr>
          <w:trHeight w:val="227"/>
          <w:tblHeader/>
        </w:trPr>
        <w:tc>
          <w:tcPr>
            <w:tcW w:w="1960" w:type="dxa"/>
            <w:vMerge/>
            <w:tcBorders>
              <w:top w:val="single" w:sz="4" w:space="0" w:color="auto"/>
              <w:left w:val="single" w:sz="4" w:space="0" w:color="auto"/>
              <w:bottom w:val="single" w:sz="4" w:space="0" w:color="auto"/>
              <w:right w:val="single" w:sz="4" w:space="0" w:color="auto"/>
            </w:tcBorders>
            <w:vAlign w:val="center"/>
            <w:hideMark/>
          </w:tcPr>
          <w:p w:rsidR="00F86110" w:rsidRPr="00031E71" w:rsidRDefault="00F86110" w:rsidP="00F86110">
            <w:pPr>
              <w:jc w:val="left"/>
              <w:rPr>
                <w:b/>
                <w:bCs/>
                <w:color w:val="000000"/>
                <w:sz w:val="16"/>
                <w:szCs w:val="16"/>
                <w:lang w:val="en-CA" w:eastAsia="en-CA"/>
              </w:rPr>
            </w:pP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2012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2013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center"/>
              <w:rPr>
                <w:b/>
                <w:bCs/>
                <w:color w:val="000000"/>
                <w:sz w:val="16"/>
                <w:szCs w:val="16"/>
                <w:lang w:val="en-CA" w:eastAsia="en-CA"/>
              </w:rPr>
            </w:pPr>
            <w:r w:rsidRPr="00031E71">
              <w:rPr>
                <w:b/>
                <w:bCs/>
                <w:color w:val="000000"/>
                <w:sz w:val="16"/>
                <w:szCs w:val="16"/>
                <w:lang w:val="en-CA" w:eastAsia="en-CA"/>
              </w:rPr>
              <w:t>2014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2015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center"/>
              <w:rPr>
                <w:b/>
                <w:bCs/>
                <w:color w:val="000000"/>
                <w:sz w:val="16"/>
                <w:szCs w:val="16"/>
                <w:lang w:val="en-CA" w:eastAsia="en-CA"/>
              </w:rPr>
            </w:pPr>
            <w:r w:rsidRPr="00031E71">
              <w:rPr>
                <w:b/>
                <w:bCs/>
                <w:color w:val="000000"/>
                <w:sz w:val="16"/>
                <w:szCs w:val="16"/>
                <w:lang w:val="en-CA" w:eastAsia="en-CA"/>
              </w:rPr>
              <w:t>2012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center"/>
              <w:rPr>
                <w:b/>
                <w:bCs/>
                <w:color w:val="000000"/>
                <w:sz w:val="16"/>
                <w:szCs w:val="16"/>
                <w:lang w:val="en-CA" w:eastAsia="en-CA"/>
              </w:rPr>
            </w:pPr>
            <w:r w:rsidRPr="00031E71">
              <w:rPr>
                <w:b/>
                <w:bCs/>
                <w:color w:val="000000"/>
                <w:sz w:val="16"/>
                <w:szCs w:val="16"/>
                <w:lang w:val="en-CA" w:eastAsia="en-CA"/>
              </w:rPr>
              <w:t>2013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2014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2015</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tcPr>
          <w:p w:rsidR="00F86110" w:rsidRPr="00031E71" w:rsidRDefault="00F86110" w:rsidP="00F86110">
            <w:pPr>
              <w:jc w:val="left"/>
              <w:rPr>
                <w:b/>
                <w:color w:val="000000"/>
                <w:sz w:val="16"/>
                <w:szCs w:val="16"/>
                <w:lang w:val="en-CA" w:eastAsia="en-CA"/>
              </w:rPr>
            </w:pPr>
            <w:r w:rsidRPr="00031E71">
              <w:rPr>
                <w:b/>
                <w:color w:val="000000"/>
                <w:sz w:val="16"/>
                <w:szCs w:val="16"/>
                <w:lang w:val="en-CA" w:eastAsia="en-CA"/>
              </w:rPr>
              <w:t>RAC</w:t>
            </w:r>
          </w:p>
        </w:tc>
        <w:tc>
          <w:tcPr>
            <w:tcW w:w="940" w:type="dxa"/>
            <w:tcBorders>
              <w:top w:val="single" w:sz="4" w:space="0" w:color="auto"/>
              <w:left w:val="nil"/>
              <w:bottom w:val="single" w:sz="4" w:space="0" w:color="auto"/>
            </w:tcBorders>
            <w:shd w:val="clear" w:color="auto" w:fill="auto"/>
            <w:noWrap/>
            <w:vAlign w:val="center"/>
          </w:tcPr>
          <w:p w:rsidR="00F86110" w:rsidRPr="00031E71" w:rsidRDefault="00F86110" w:rsidP="00F86110">
            <w:pPr>
              <w:jc w:val="left"/>
              <w:rPr>
                <w:color w:val="000000"/>
                <w:sz w:val="16"/>
                <w:szCs w:val="16"/>
                <w:lang w:val="en-CA" w:eastAsia="en-CA"/>
              </w:rPr>
            </w:pPr>
          </w:p>
        </w:tc>
        <w:tc>
          <w:tcPr>
            <w:tcW w:w="940" w:type="dxa"/>
            <w:tcBorders>
              <w:top w:val="single" w:sz="4" w:space="0" w:color="auto"/>
              <w:bottom w:val="single" w:sz="4" w:space="0" w:color="auto"/>
            </w:tcBorders>
            <w:shd w:val="clear" w:color="auto" w:fill="auto"/>
            <w:noWrap/>
            <w:vAlign w:val="center"/>
          </w:tcPr>
          <w:p w:rsidR="00F86110" w:rsidRPr="00031E71" w:rsidRDefault="00F86110" w:rsidP="00F86110">
            <w:pPr>
              <w:jc w:val="left"/>
              <w:rPr>
                <w:color w:val="000000"/>
                <w:sz w:val="16"/>
                <w:szCs w:val="16"/>
                <w:lang w:val="en-CA" w:eastAsia="en-CA"/>
              </w:rPr>
            </w:pPr>
          </w:p>
        </w:tc>
        <w:tc>
          <w:tcPr>
            <w:tcW w:w="940" w:type="dxa"/>
            <w:tcBorders>
              <w:top w:val="single" w:sz="4" w:space="0" w:color="auto"/>
              <w:bottom w:val="single" w:sz="4" w:space="0" w:color="auto"/>
            </w:tcBorders>
            <w:shd w:val="clear" w:color="auto" w:fill="auto"/>
            <w:noWrap/>
            <w:vAlign w:val="center"/>
          </w:tcPr>
          <w:p w:rsidR="00F86110" w:rsidRPr="00031E71" w:rsidRDefault="00F86110" w:rsidP="00F86110">
            <w:pPr>
              <w:jc w:val="right"/>
              <w:rPr>
                <w:color w:val="000000"/>
                <w:sz w:val="16"/>
                <w:szCs w:val="16"/>
                <w:lang w:val="en-CA" w:eastAsia="en-CA"/>
              </w:rPr>
            </w:pPr>
          </w:p>
        </w:tc>
        <w:tc>
          <w:tcPr>
            <w:tcW w:w="940" w:type="dxa"/>
            <w:tcBorders>
              <w:top w:val="single" w:sz="4" w:space="0" w:color="auto"/>
              <w:bottom w:val="single" w:sz="4" w:space="0" w:color="auto"/>
            </w:tcBorders>
            <w:shd w:val="clear" w:color="auto" w:fill="auto"/>
            <w:noWrap/>
            <w:vAlign w:val="center"/>
          </w:tcPr>
          <w:p w:rsidR="00F86110" w:rsidRPr="00031E71" w:rsidRDefault="00F86110" w:rsidP="00F86110">
            <w:pPr>
              <w:jc w:val="left"/>
              <w:rPr>
                <w:color w:val="000000"/>
                <w:sz w:val="16"/>
                <w:szCs w:val="16"/>
                <w:lang w:val="en-CA" w:eastAsia="en-CA"/>
              </w:rPr>
            </w:pPr>
          </w:p>
        </w:tc>
        <w:tc>
          <w:tcPr>
            <w:tcW w:w="816" w:type="dxa"/>
            <w:tcBorders>
              <w:top w:val="single" w:sz="4" w:space="0" w:color="auto"/>
              <w:bottom w:val="single" w:sz="4" w:space="0" w:color="auto"/>
            </w:tcBorders>
            <w:shd w:val="clear" w:color="auto" w:fill="auto"/>
            <w:noWrap/>
            <w:vAlign w:val="center"/>
          </w:tcPr>
          <w:p w:rsidR="00F86110" w:rsidRPr="00031E71" w:rsidRDefault="00F86110" w:rsidP="00F86110">
            <w:pPr>
              <w:jc w:val="right"/>
              <w:rPr>
                <w:color w:val="000000"/>
                <w:sz w:val="16"/>
                <w:szCs w:val="16"/>
                <w:lang w:val="en-CA" w:eastAsia="en-CA"/>
              </w:rPr>
            </w:pPr>
          </w:p>
        </w:tc>
        <w:tc>
          <w:tcPr>
            <w:tcW w:w="816" w:type="dxa"/>
            <w:tcBorders>
              <w:top w:val="single" w:sz="4" w:space="0" w:color="auto"/>
              <w:bottom w:val="single" w:sz="4" w:space="0" w:color="auto"/>
            </w:tcBorders>
            <w:shd w:val="clear" w:color="auto" w:fill="auto"/>
            <w:noWrap/>
            <w:vAlign w:val="center"/>
          </w:tcPr>
          <w:p w:rsidR="00F86110" w:rsidRPr="00031E71" w:rsidRDefault="00F86110" w:rsidP="00F86110">
            <w:pPr>
              <w:jc w:val="right"/>
              <w:rPr>
                <w:color w:val="000000"/>
                <w:sz w:val="16"/>
                <w:szCs w:val="16"/>
                <w:lang w:val="en-CA" w:eastAsia="en-CA"/>
              </w:rPr>
            </w:pPr>
          </w:p>
        </w:tc>
        <w:tc>
          <w:tcPr>
            <w:tcW w:w="816" w:type="dxa"/>
            <w:tcBorders>
              <w:top w:val="single" w:sz="4" w:space="0" w:color="auto"/>
              <w:bottom w:val="single" w:sz="4" w:space="0" w:color="auto"/>
            </w:tcBorders>
            <w:shd w:val="clear" w:color="auto" w:fill="auto"/>
            <w:noWrap/>
            <w:vAlign w:val="center"/>
          </w:tcPr>
          <w:p w:rsidR="00F86110" w:rsidRPr="00031E71" w:rsidRDefault="00F86110" w:rsidP="00F86110">
            <w:pPr>
              <w:jc w:val="right"/>
              <w:rPr>
                <w:color w:val="000000"/>
                <w:sz w:val="16"/>
                <w:szCs w:val="16"/>
                <w:lang w:val="en-CA" w:eastAsia="en-CA"/>
              </w:rPr>
            </w:pPr>
          </w:p>
        </w:tc>
        <w:tc>
          <w:tcPr>
            <w:tcW w:w="816" w:type="dxa"/>
            <w:tcBorders>
              <w:top w:val="single" w:sz="4" w:space="0" w:color="auto"/>
              <w:bottom w:val="single" w:sz="4" w:space="0" w:color="auto"/>
            </w:tcBorders>
            <w:shd w:val="clear" w:color="auto" w:fill="auto"/>
            <w:noWrap/>
            <w:vAlign w:val="center"/>
          </w:tcPr>
          <w:p w:rsidR="00F86110" w:rsidRPr="00031E71" w:rsidRDefault="00F86110" w:rsidP="00F86110">
            <w:pPr>
              <w:jc w:val="right"/>
              <w:rPr>
                <w:color w:val="000000"/>
                <w:sz w:val="16"/>
                <w:szCs w:val="16"/>
                <w:lang w:val="en-CA" w:eastAsia="en-CA"/>
              </w:rPr>
            </w:pPr>
          </w:p>
        </w:tc>
        <w:tc>
          <w:tcPr>
            <w:tcW w:w="880" w:type="dxa"/>
            <w:tcBorders>
              <w:top w:val="single" w:sz="4" w:space="0" w:color="auto"/>
              <w:bottom w:val="single" w:sz="4" w:space="0" w:color="auto"/>
              <w:right w:val="single" w:sz="4" w:space="0" w:color="auto"/>
            </w:tcBorders>
            <w:shd w:val="clear" w:color="auto" w:fill="auto"/>
            <w:noWrap/>
            <w:vAlign w:val="center"/>
          </w:tcPr>
          <w:p w:rsidR="00F86110" w:rsidRPr="00031E71" w:rsidRDefault="00F86110" w:rsidP="00F86110">
            <w:pPr>
              <w:jc w:val="right"/>
              <w:rPr>
                <w:color w:val="000000"/>
                <w:sz w:val="16"/>
                <w:szCs w:val="16"/>
                <w:lang w:val="en-CA" w:eastAsia="en-CA"/>
              </w:rPr>
            </w:pP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HFC-32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2.13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5.55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0.51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3.97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23.1%</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HFC-134a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9,588.56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9,206.71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11,307.53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10,744.29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48.6%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39.4%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37.7%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38.4%</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3.9%</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HFC-152a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1.03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0.47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2.37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2.07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26.2%</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HFC-227ea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7.00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HFC-143a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4.26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3.44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3.24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0.75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-44.0%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0.82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0.80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0.24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2.09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36.6%</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Other pure HFCs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9.01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14.49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R-404A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2,458.23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2,654.29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3,340.21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2,882.66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11.4%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11.2%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10.3%</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5.5%</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R-407C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386.84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426.12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541.71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524.01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1.9%</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10.6%</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R-410A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6,010.26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9,581.86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12,344.18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11,244.73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30.5%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41.0%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41.2%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40.2%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23.2%</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R-507A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510.76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621.99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1,486.72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956.73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3.4%</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23.3%</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Other blends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754.89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858.94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929.84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1,627.13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5.8%</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29.2%</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Total RAC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19,733.79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23,374.66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29,956.55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27,988.43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12.4%</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MAC</w:t>
            </w:r>
          </w:p>
        </w:tc>
        <w:tc>
          <w:tcPr>
            <w:tcW w:w="940" w:type="dxa"/>
            <w:tcBorders>
              <w:top w:val="single" w:sz="4" w:space="0" w:color="auto"/>
              <w:left w:val="nil"/>
              <w:bottom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c>
          <w:tcPr>
            <w:tcW w:w="880" w:type="dxa"/>
            <w:tcBorders>
              <w:top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HFC-134a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4,038.02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4,590.96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4,886.96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5,228.42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100.00%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9.0%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Total MAC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4,038.02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4,590.96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4,886.96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5,228.42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9.0%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Foam</w:t>
            </w:r>
          </w:p>
        </w:tc>
        <w:tc>
          <w:tcPr>
            <w:tcW w:w="940" w:type="dxa"/>
            <w:tcBorders>
              <w:top w:val="single" w:sz="4" w:space="0" w:color="auto"/>
              <w:left w:val="nil"/>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80" w:type="dxa"/>
            <w:tcBorders>
              <w:top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HFC-134a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161.61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148.24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154.55</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166.6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3.9%</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3.9%</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HFC-152a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165.80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169.2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215.6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199.1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4.6%</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6.3%</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HFC-245fa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2,816.99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3,406.32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3,397.52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3,609.73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89.4%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89.6%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87.8%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83.7%</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8.6%</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HFC-365mfc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7.10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27.1</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133.28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3.1%</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165.8%</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Other pure HFCs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51.14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89.4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183.17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Other blends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0.8</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5.1</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19.9</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0.5%</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Total Foam</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3,151.50</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3,802.80</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3,870.47</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4,311.78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11.0%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Solvents</w:t>
            </w:r>
          </w:p>
        </w:tc>
        <w:tc>
          <w:tcPr>
            <w:tcW w:w="940" w:type="dxa"/>
            <w:tcBorders>
              <w:top w:val="single" w:sz="4" w:space="0" w:color="auto"/>
              <w:left w:val="nil"/>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80" w:type="dxa"/>
            <w:tcBorders>
              <w:top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HFC-134a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3.48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4.51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4.59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5.53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16.8%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14.9%</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42.3%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18.7%</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16.7%</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HFC-152a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0.20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1.75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3.24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16.1%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10.9%</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HFC-227ea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2.51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2.85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2.93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4.10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9.4%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27.0%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13.8%</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17.8%</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Other pure HFCs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14.69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22.65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1.57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16.78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71.0%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75.0%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14.5%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56.6%</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4.5%</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Total Solvents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20.68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30.21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10.84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29.65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12.8%</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Firefighting</w:t>
            </w:r>
          </w:p>
        </w:tc>
        <w:tc>
          <w:tcPr>
            <w:tcW w:w="940" w:type="dxa"/>
            <w:tcBorders>
              <w:top w:val="single" w:sz="4" w:space="0" w:color="auto"/>
              <w:left w:val="nil"/>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c>
          <w:tcPr>
            <w:tcW w:w="880" w:type="dxa"/>
            <w:tcBorders>
              <w:top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HFC-227ea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106.38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74.23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75.94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116.93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46.3%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53.7%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33.2%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3.2%</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HFC-365mfc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4.80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14.40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4.80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20.00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9.0%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5.7%</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60.9%</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HFC-125</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21.15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17.54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34.25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139.24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13.9%</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11.0%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24.2%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39.6%</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87.4%</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0.10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HFC-236fa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19.04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53.14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23.57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73.24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33.2%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16.7%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20.8%</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56.7%</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w:t>
            </w:r>
            <w:r w:rsidRPr="00031E71">
              <w:rPr>
                <w:color w:val="000000"/>
                <w:sz w:val="16"/>
                <w:szCs w:val="16"/>
                <w:lang w:val="en-CA" w:eastAsia="en-CA"/>
              </w:rPr>
              <w:noBreakHyphen/>
              <w:t>227ea/HFC</w:t>
            </w:r>
            <w:r w:rsidRPr="00031E71">
              <w:rPr>
                <w:color w:val="000000"/>
                <w:sz w:val="16"/>
                <w:szCs w:val="16"/>
                <w:lang w:val="en-CA" w:eastAsia="en-CA"/>
              </w:rPr>
              <w:noBreakHyphen/>
              <w:t>365mfc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0.60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 xml:space="preserve">           0.85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2.93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2.48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0.7%</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60.5%</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Total Firefighting</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151.97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160.16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141.49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 xml:space="preserve">       351.99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32.3%</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Aerosol</w:t>
            </w:r>
          </w:p>
        </w:tc>
        <w:tc>
          <w:tcPr>
            <w:tcW w:w="940" w:type="dxa"/>
            <w:tcBorders>
              <w:top w:val="single" w:sz="4" w:space="0" w:color="auto"/>
              <w:left w:val="nil"/>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80" w:type="dxa"/>
            <w:tcBorders>
              <w:top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HFC-134a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596.42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662.84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768.14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879.93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32.2%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25.3%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22.5%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21.4%</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13.8%</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HFC-152a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1,257.66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1,954.65</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2,634.03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3,214.07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67.8%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74.5%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77.1%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78.1%</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36.7%</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HFC-227ea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0.82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5.04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13.09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14.98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0.4%</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163.4%</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Other pure HFCs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7.20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 xml:space="preserve">Total Aerosol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1,854.90</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2,622.53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3,415.26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4,116.18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30.4%</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Other applications</w:t>
            </w:r>
          </w:p>
        </w:tc>
        <w:tc>
          <w:tcPr>
            <w:tcW w:w="940" w:type="dxa"/>
            <w:tcBorders>
              <w:top w:val="single" w:sz="4" w:space="0" w:color="auto"/>
              <w:left w:val="nil"/>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80" w:type="dxa"/>
            <w:tcBorders>
              <w:top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HFC-134a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9.45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0.07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2.56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9.04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-1.5%</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HFC-152a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53.60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67.05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22.60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39.78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2.9%</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2.6%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1.0%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-9.5%</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0.02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0.06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R-507A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1.64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Total Other applications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63.05</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67.14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25.16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50.52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3.4%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0.7%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-7.1%</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Total by HFC</w:t>
            </w:r>
          </w:p>
        </w:tc>
        <w:tc>
          <w:tcPr>
            <w:tcW w:w="940" w:type="dxa"/>
            <w:tcBorders>
              <w:top w:val="single" w:sz="4" w:space="0" w:color="auto"/>
              <w:left w:val="nil"/>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940"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16" w:type="dxa"/>
            <w:tcBorders>
              <w:top w:val="single" w:sz="4" w:space="0" w:color="auto"/>
              <w:bottom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c>
          <w:tcPr>
            <w:tcW w:w="880" w:type="dxa"/>
            <w:tcBorders>
              <w:top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b/>
                <w:bCs/>
                <w:color w:val="000000"/>
                <w:sz w:val="16"/>
                <w:szCs w:val="16"/>
                <w:lang w:val="en-CA" w:eastAsia="en-CA"/>
              </w:rPr>
            </w:pPr>
            <w:r w:rsidRPr="00031E71">
              <w:rPr>
                <w:b/>
                <w:bCs/>
                <w:color w:val="000000"/>
                <w:sz w:val="16"/>
                <w:szCs w:val="16"/>
                <w:lang w:val="en-CA" w:eastAsia="en-CA"/>
              </w:rPr>
              <w:t> </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HFC-23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0.82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0.82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0.24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2.25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40.0%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HFC-32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2.13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5.55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0.51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left"/>
              <w:rPr>
                <w:color w:val="000000"/>
                <w:sz w:val="16"/>
                <w:szCs w:val="16"/>
                <w:lang w:val="en-CA" w:eastAsia="en-CA"/>
              </w:rPr>
            </w:pPr>
            <w:r w:rsidRPr="00031E71">
              <w:rPr>
                <w:color w:val="000000"/>
                <w:sz w:val="16"/>
                <w:szCs w:val="16"/>
                <w:lang w:val="en-CA" w:eastAsia="en-CA"/>
              </w:rPr>
              <w:t xml:space="preserve">           3.97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keepNext/>
              <w:jc w:val="right"/>
              <w:rPr>
                <w:color w:val="000000"/>
                <w:sz w:val="16"/>
                <w:szCs w:val="16"/>
                <w:lang w:val="en-CA" w:eastAsia="en-CA"/>
              </w:rPr>
            </w:pPr>
            <w:r w:rsidRPr="00031E71">
              <w:rPr>
                <w:color w:val="000000"/>
                <w:sz w:val="16"/>
                <w:szCs w:val="16"/>
                <w:lang w:val="en-CA" w:eastAsia="en-CA"/>
              </w:rPr>
              <w:t>23.1%</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HFC-125</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21.15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17.54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34.25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139.24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0.3%</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87.4%</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HFC-134a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14,397.54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14,613.33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17,124.33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17,033.81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49.6%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42.2%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40.5%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40.5%</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5.8%</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HFC-143a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4.26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3.44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3.24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0.75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-44.0%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HFC-152a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1,478.09</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2,191.57</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2,876.35</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3,458.26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32.8%</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HFC-227ea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116.71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82.12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91.96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136.01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0.3%</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5.2%</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HFC-236fa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19.04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53.14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23.57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73.24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56.7%</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HFC-245fa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2,816.99</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3,406.32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3,397.52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3,609.73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9.7%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9.8%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8.6%</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8.6%</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HFC-365mfc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11.90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41.50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13.10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153.28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0.4%</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134.4%</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HFC</w:t>
            </w:r>
            <w:r w:rsidRPr="00031E71">
              <w:rPr>
                <w:color w:val="000000"/>
                <w:sz w:val="16"/>
                <w:szCs w:val="16"/>
                <w:lang w:val="en-CA" w:eastAsia="en-CA"/>
              </w:rPr>
              <w:noBreakHyphen/>
              <w:t>227ea/HFC</w:t>
            </w:r>
            <w:r w:rsidRPr="00031E71">
              <w:rPr>
                <w:color w:val="000000"/>
                <w:sz w:val="16"/>
                <w:szCs w:val="16"/>
                <w:lang w:val="en-CA" w:eastAsia="en-CA"/>
              </w:rPr>
              <w:noBreakHyphen/>
              <w:t>365mfc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0.60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0.85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2.93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2.48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60.5%</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Other pure HFCs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23.70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88.28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90.97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207.15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0.5%</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106.0%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R-404A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2,458.23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2,654.29</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3,340.21</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2,882.66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7.9%</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6.9%</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5.5%</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R-407C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386.84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426.12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541.71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524.01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10.6%</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R-410A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6,010.26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9,581.86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12,344.18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11,244.73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20.7%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27.7%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29.2%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26.7%</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23.2%</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R-507A</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510.76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621.99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1,486.72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958.37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2.3%</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23.3%</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Others blends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754.89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859.74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934.94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1,647.03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3.9%</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29.7%</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b/>
                <w:bCs/>
                <w:color w:val="000000"/>
                <w:sz w:val="16"/>
                <w:szCs w:val="16"/>
                <w:lang w:val="en-CA" w:eastAsia="en-CA"/>
              </w:rPr>
            </w:pPr>
            <w:r w:rsidRPr="00031E71">
              <w:rPr>
                <w:b/>
                <w:bCs/>
                <w:color w:val="000000"/>
                <w:sz w:val="16"/>
                <w:szCs w:val="16"/>
                <w:lang w:val="en-CA" w:eastAsia="en-CA"/>
              </w:rPr>
              <w:t>GRAND TOTAL</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29,013.91</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34,648.46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42,306.73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42,076.97</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100.0%</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b/>
                <w:bCs/>
                <w:color w:val="000000"/>
                <w:sz w:val="16"/>
                <w:szCs w:val="16"/>
                <w:lang w:val="en-CA" w:eastAsia="en-CA"/>
              </w:rPr>
            </w:pPr>
            <w:r w:rsidRPr="00031E71">
              <w:rPr>
                <w:b/>
                <w:bCs/>
                <w:color w:val="000000"/>
                <w:sz w:val="16"/>
                <w:szCs w:val="16"/>
                <w:lang w:val="en-CA" w:eastAsia="en-CA"/>
              </w:rPr>
              <w:t>13.2%</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Total RAC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19,733.79</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23,374.66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29,956.55</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27,988.43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68.0%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67.5%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70.8%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66.5%</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12.4%</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Total MAC</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4,038.02</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4,590.96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4,886.96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5,228.42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13.9%</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13.3%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11.6%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12.4%</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9.0%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Total Foam</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3,151.50</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3,802.80</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3,870.47</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4,311.78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10.9%</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11.0%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9.1%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10.2%</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11.0%</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Total Solvents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20.68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30.21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10.84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29.65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0.0%</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12.8%</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Total Firefighting</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151.97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160.16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141.49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       351.99 </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0.5%</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0.3%</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0.8%</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32.3%</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 xml:space="preserve">Total Aerosol </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1,854.90</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2,622.53</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3,415.26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4,116.18</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6.4%</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7.6%</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8.1%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9.8%</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30.4%</w:t>
            </w:r>
          </w:p>
        </w:tc>
      </w:tr>
      <w:tr w:rsidR="00F86110" w:rsidRPr="00031E71" w:rsidTr="00F86110">
        <w:trPr>
          <w:trHeight w:val="227"/>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F86110" w:rsidRPr="00031E71" w:rsidRDefault="00F86110" w:rsidP="00F86110">
            <w:pPr>
              <w:jc w:val="left"/>
              <w:rPr>
                <w:color w:val="000000"/>
                <w:sz w:val="16"/>
                <w:szCs w:val="16"/>
                <w:lang w:val="en-CA" w:eastAsia="en-CA"/>
              </w:rPr>
            </w:pPr>
            <w:r w:rsidRPr="00031E71">
              <w:rPr>
                <w:color w:val="000000"/>
                <w:sz w:val="16"/>
                <w:szCs w:val="16"/>
                <w:lang w:val="en-CA" w:eastAsia="en-CA"/>
              </w:rPr>
              <w:t>Total Other applications</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63.05</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67.14</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25.16</w:t>
            </w:r>
          </w:p>
        </w:tc>
        <w:tc>
          <w:tcPr>
            <w:tcW w:w="94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50.52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0.2%</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16"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0.1%</w:t>
            </w:r>
          </w:p>
        </w:tc>
        <w:tc>
          <w:tcPr>
            <w:tcW w:w="880" w:type="dxa"/>
            <w:tcBorders>
              <w:top w:val="nil"/>
              <w:left w:val="nil"/>
              <w:bottom w:val="single" w:sz="4" w:space="0" w:color="auto"/>
              <w:right w:val="single" w:sz="4" w:space="0" w:color="auto"/>
            </w:tcBorders>
            <w:shd w:val="clear" w:color="auto" w:fill="auto"/>
            <w:noWrap/>
            <w:vAlign w:val="center"/>
            <w:hideMark/>
          </w:tcPr>
          <w:p w:rsidR="00F86110" w:rsidRPr="00031E71" w:rsidRDefault="00F86110" w:rsidP="00F86110">
            <w:pPr>
              <w:jc w:val="right"/>
              <w:rPr>
                <w:color w:val="000000"/>
                <w:sz w:val="16"/>
                <w:szCs w:val="16"/>
                <w:lang w:val="en-CA" w:eastAsia="en-CA"/>
              </w:rPr>
            </w:pPr>
            <w:r w:rsidRPr="00031E71">
              <w:rPr>
                <w:color w:val="000000"/>
                <w:sz w:val="16"/>
                <w:szCs w:val="16"/>
                <w:lang w:val="en-CA" w:eastAsia="en-CA"/>
              </w:rPr>
              <w:t>-7.1%</w:t>
            </w:r>
          </w:p>
        </w:tc>
      </w:tr>
    </w:tbl>
    <w:p w:rsidR="0017424B" w:rsidRPr="0017424B" w:rsidRDefault="0017424B" w:rsidP="0017424B">
      <w:pPr>
        <w:rPr>
          <w:b/>
          <w:lang w:val="en-CA"/>
        </w:rPr>
      </w:pPr>
    </w:p>
    <w:p w:rsidR="0017424B" w:rsidRPr="0017424B" w:rsidRDefault="0017424B" w:rsidP="0017424B">
      <w:pPr>
        <w:rPr>
          <w:b/>
          <w:lang w:val="en-CA"/>
        </w:rPr>
      </w:pPr>
    </w:p>
    <w:p w:rsidR="0017424B" w:rsidRPr="0017424B" w:rsidRDefault="0017424B" w:rsidP="0017424B">
      <w:pPr>
        <w:rPr>
          <w:b/>
          <w:lang w:val="en-CA"/>
        </w:rPr>
      </w:pPr>
    </w:p>
    <w:p w:rsidR="0017424B" w:rsidRPr="0017424B" w:rsidRDefault="0017424B" w:rsidP="0017424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7424B" w:rsidRPr="0017424B" w:rsidTr="0017424B">
        <w:tc>
          <w:tcPr>
            <w:tcW w:w="1915" w:type="dxa"/>
          </w:tcPr>
          <w:p w:rsidR="0017424B" w:rsidRPr="0017424B" w:rsidRDefault="0017424B" w:rsidP="0017424B">
            <w:pPr>
              <w:jc w:val="center"/>
              <w:rPr>
                <w:b/>
                <w:lang w:val="en-CA"/>
              </w:rPr>
            </w:pPr>
          </w:p>
        </w:tc>
        <w:tc>
          <w:tcPr>
            <w:tcW w:w="1915" w:type="dxa"/>
          </w:tcPr>
          <w:p w:rsidR="0017424B" w:rsidRPr="0017424B" w:rsidRDefault="0017424B" w:rsidP="0017424B">
            <w:pPr>
              <w:jc w:val="center"/>
              <w:rPr>
                <w:b/>
                <w:lang w:val="en-CA"/>
              </w:rPr>
            </w:pPr>
          </w:p>
        </w:tc>
        <w:tc>
          <w:tcPr>
            <w:tcW w:w="1915" w:type="dxa"/>
            <w:tcBorders>
              <w:bottom w:val="single" w:sz="4" w:space="0" w:color="auto"/>
            </w:tcBorders>
          </w:tcPr>
          <w:p w:rsidR="0017424B" w:rsidRPr="0017424B" w:rsidRDefault="0017424B" w:rsidP="0017424B">
            <w:pPr>
              <w:jc w:val="center"/>
              <w:rPr>
                <w:b/>
                <w:lang w:val="en-CA"/>
              </w:rPr>
            </w:pPr>
          </w:p>
        </w:tc>
        <w:tc>
          <w:tcPr>
            <w:tcW w:w="1915" w:type="dxa"/>
          </w:tcPr>
          <w:p w:rsidR="0017424B" w:rsidRPr="0017424B" w:rsidRDefault="0017424B" w:rsidP="0017424B">
            <w:pPr>
              <w:jc w:val="center"/>
              <w:rPr>
                <w:b/>
                <w:lang w:val="en-CA"/>
              </w:rPr>
            </w:pPr>
          </w:p>
        </w:tc>
        <w:tc>
          <w:tcPr>
            <w:tcW w:w="1916" w:type="dxa"/>
          </w:tcPr>
          <w:p w:rsidR="0017424B" w:rsidRPr="0017424B" w:rsidRDefault="0017424B" w:rsidP="0017424B">
            <w:pPr>
              <w:jc w:val="center"/>
              <w:rPr>
                <w:b/>
                <w:lang w:val="en-CA"/>
              </w:rPr>
            </w:pPr>
          </w:p>
        </w:tc>
      </w:tr>
    </w:tbl>
    <w:p w:rsidR="0017424B" w:rsidRPr="0017424B" w:rsidRDefault="0017424B" w:rsidP="0017424B">
      <w:pPr>
        <w:rPr>
          <w:lang w:val="en-CA"/>
        </w:rPr>
      </w:pPr>
    </w:p>
    <w:p w:rsidR="004E7F9C" w:rsidRDefault="004E7F9C" w:rsidP="004E7F9C">
      <w:pPr>
        <w:pStyle w:val="Title1"/>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Pr="00B04161" w:rsidRDefault="00E85409" w:rsidP="004E7F9C">
      <w:pPr>
        <w:rPr>
          <w:lang w:val="en-CA"/>
        </w:rPr>
      </w:pPr>
    </w:p>
    <w:sectPr w:rsidR="00E85409" w:rsidRPr="00B04161" w:rsidSect="000A05C8">
      <w:headerReference w:type="even"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CAB" w:rsidRDefault="00972CAB" w:rsidP="004A504B">
      <w:r>
        <w:separator/>
      </w:r>
    </w:p>
  </w:endnote>
  <w:endnote w:type="continuationSeparator" w:id="0">
    <w:p w:rsidR="00972CAB" w:rsidRDefault="00972C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Pr="0033525D" w:rsidRDefault="00972CAB">
    <w:pPr>
      <w:jc w:val="center"/>
    </w:pPr>
    <w:r>
      <w:fldChar w:fldCharType="begin"/>
    </w:r>
    <w:r>
      <w:instrText xml:space="preserve"> PAGE </w:instrText>
    </w:r>
    <w:r>
      <w:fldChar w:fldCharType="separate"/>
    </w:r>
    <w:r w:rsidR="0014524F">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Pr="0033525D" w:rsidRDefault="00972CAB">
    <w:pPr>
      <w:jc w:val="center"/>
    </w:pPr>
    <w:r>
      <w:fldChar w:fldCharType="begin"/>
    </w:r>
    <w:r>
      <w:instrText xml:space="preserve"> PAGE </w:instrText>
    </w:r>
    <w:r>
      <w:fldChar w:fldCharType="separate"/>
    </w:r>
    <w:r w:rsidR="0014524F">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72CAB" w:rsidRDefault="00972CA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778924"/>
      <w:docPartObj>
        <w:docPartGallery w:val="Page Numbers (Bottom of Page)"/>
        <w:docPartUnique/>
      </w:docPartObj>
    </w:sdtPr>
    <w:sdtEndPr>
      <w:rPr>
        <w:noProof/>
      </w:rPr>
    </w:sdtEndPr>
    <w:sdtContent>
      <w:p w:rsidR="00972CAB" w:rsidRDefault="00972CAB">
        <w:pPr>
          <w:pStyle w:val="Footer"/>
          <w:jc w:val="center"/>
        </w:pPr>
        <w:r>
          <w:fldChar w:fldCharType="begin"/>
        </w:r>
        <w:r>
          <w:instrText xml:space="preserve"> PAGE   \* MERGEFORMAT </w:instrText>
        </w:r>
        <w:r>
          <w:fldChar w:fldCharType="separate"/>
        </w:r>
        <w:r w:rsidR="0014524F">
          <w:rPr>
            <w:noProof/>
          </w:rPr>
          <w:t>1</w:t>
        </w:r>
        <w:r>
          <w:rPr>
            <w:noProof/>
          </w:rPr>
          <w:fldChar w:fldCharType="end"/>
        </w:r>
      </w:p>
    </w:sdtContent>
  </w:sdt>
  <w:p w:rsidR="00972CAB" w:rsidRPr="00F47469" w:rsidRDefault="00972CAB" w:rsidP="00F4746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770812"/>
      <w:docPartObj>
        <w:docPartGallery w:val="Page Numbers (Bottom of Page)"/>
        <w:docPartUnique/>
      </w:docPartObj>
    </w:sdtPr>
    <w:sdtEndPr>
      <w:rPr>
        <w:noProof/>
      </w:rPr>
    </w:sdtEndPr>
    <w:sdtContent>
      <w:p w:rsidR="00972CAB" w:rsidRDefault="00972CAB">
        <w:pPr>
          <w:pStyle w:val="Footer"/>
          <w:jc w:val="center"/>
        </w:pPr>
        <w:r>
          <w:fldChar w:fldCharType="begin"/>
        </w:r>
        <w:r>
          <w:instrText xml:space="preserve"> PAGE   \* MERGEFORMAT </w:instrText>
        </w:r>
        <w:r>
          <w:fldChar w:fldCharType="separate"/>
        </w:r>
        <w:r w:rsidR="0014524F">
          <w:rPr>
            <w:noProof/>
          </w:rPr>
          <w:t>1</w:t>
        </w:r>
        <w:r>
          <w:rPr>
            <w:noProof/>
          </w:rPr>
          <w:fldChar w:fldCharType="end"/>
        </w:r>
      </w:p>
    </w:sdtContent>
  </w:sdt>
  <w:p w:rsidR="00972CAB" w:rsidRPr="000A05C8" w:rsidRDefault="00972CAB" w:rsidP="000A05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CAB" w:rsidRDefault="00972CAB" w:rsidP="004A504B">
      <w:r>
        <w:separator/>
      </w:r>
    </w:p>
  </w:footnote>
  <w:footnote w:type="continuationSeparator" w:id="0">
    <w:p w:rsidR="00972CAB" w:rsidRDefault="00972CAB" w:rsidP="004A504B">
      <w:r>
        <w:continuationSeparator/>
      </w:r>
    </w:p>
  </w:footnote>
  <w:footnote w:id="1">
    <w:p w:rsidR="00972CAB" w:rsidRPr="007B4D2A" w:rsidRDefault="00972CAB" w:rsidP="0017424B">
      <w:pPr>
        <w:pStyle w:val="FootnoteText"/>
      </w:pPr>
      <w:r>
        <w:rPr>
          <w:rStyle w:val="FootnoteReference"/>
        </w:rPr>
        <w:footnoteRef/>
      </w:r>
      <w:r>
        <w:t xml:space="preserve"> </w:t>
      </w:r>
      <w:r w:rsidRPr="007B4D2A">
        <w:t xml:space="preserve">Montreal, </w:t>
      </w:r>
      <w:r>
        <w:t xml:space="preserve">Canada, </w:t>
      </w:r>
      <w:r w:rsidRPr="007B4D2A">
        <w:t>28 November – 2 December 2016</w:t>
      </w:r>
      <w:r>
        <w:t>.</w:t>
      </w:r>
    </w:p>
  </w:footnote>
  <w:footnote w:id="2">
    <w:p w:rsidR="00972CAB" w:rsidRPr="00B46219" w:rsidRDefault="00972CAB" w:rsidP="0017424B">
      <w:pPr>
        <w:pStyle w:val="FootnoteText"/>
      </w:pPr>
      <w:r>
        <w:rPr>
          <w:rStyle w:val="FootnoteReference"/>
        </w:rPr>
        <w:footnoteRef/>
      </w:r>
      <w:r>
        <w:t xml:space="preserve"> Includes surveys </w:t>
      </w:r>
      <w:r w:rsidRPr="00B46219">
        <w:t xml:space="preserve">submitted </w:t>
      </w:r>
      <w:r>
        <w:t>by 27</w:t>
      </w:r>
      <w:r w:rsidRPr="00B46219">
        <w:t xml:space="preserve"> February 2017</w:t>
      </w:r>
      <w:r>
        <w:t xml:space="preserve"> </w:t>
      </w:r>
      <w:r w:rsidRPr="0058337C">
        <w:t>by the following 30 Article 5 countries: Albania</w:t>
      </w:r>
      <w:r>
        <w:t xml:space="preserve">, Argentina, Bolivia </w:t>
      </w:r>
      <w:r w:rsidRPr="00933883">
        <w:t>(Plurinational State of)</w:t>
      </w:r>
      <w:r>
        <w:t xml:space="preserve">, Bosnia </w:t>
      </w:r>
      <w:r w:rsidR="00A17798">
        <w:t>and</w:t>
      </w:r>
      <w:r>
        <w:t xml:space="preserve"> Herzegovina, Chile, Col</w:t>
      </w:r>
      <w:r w:rsidR="00A17798">
        <w:t>o</w:t>
      </w:r>
      <w:r>
        <w:t xml:space="preserve">mbia, Costa Rica, Dominican Republic, Ecuador, El Salvador, Guatemala, Honduras, Kenya, Lebanon, Madagascar, Mexico, Montenegro, Nicaragua, Oman, Panama, Paraguay, Republic of Moldova, Senegal, Serbia, South Sudan, Swaziland, </w:t>
      </w:r>
      <w:r w:rsidR="00A17798" w:rsidRPr="00933883">
        <w:t>The Former Yugoslav Republic of Macedonia</w:t>
      </w:r>
      <w:bookmarkStart w:id="0" w:name="_GoBack"/>
      <w:bookmarkEnd w:id="0"/>
      <w:r w:rsidR="00A17798">
        <w:t xml:space="preserve">, </w:t>
      </w:r>
      <w:r>
        <w:t>Uganda, Uruguay and Zimbabwe.</w:t>
      </w:r>
    </w:p>
  </w:footnote>
  <w:footnote w:id="3">
    <w:p w:rsidR="00972CAB" w:rsidRPr="00E606D9" w:rsidRDefault="00972CAB" w:rsidP="0017424B">
      <w:pPr>
        <w:pStyle w:val="FootnoteText"/>
        <w:rPr>
          <w:szCs w:val="20"/>
          <w:lang w:val="en-CA"/>
        </w:rPr>
      </w:pPr>
      <w:r w:rsidRPr="002103D0">
        <w:rPr>
          <w:rStyle w:val="FootnoteReference"/>
          <w:szCs w:val="20"/>
        </w:rPr>
        <w:footnoteRef/>
      </w:r>
      <w:r w:rsidRPr="002103D0">
        <w:rPr>
          <w:szCs w:val="20"/>
        </w:rPr>
        <w:t xml:space="preserve"> </w:t>
      </w:r>
      <w:r w:rsidRPr="00E606D9">
        <w:rPr>
          <w:szCs w:val="20"/>
        </w:rPr>
        <w:t>TEAP Task Force Report on Decision XXVI-9 Additional Information on Alternatives to ODS.</w:t>
      </w:r>
    </w:p>
  </w:footnote>
  <w:footnote w:id="4">
    <w:p w:rsidR="00972CAB" w:rsidRPr="00E606D9" w:rsidRDefault="00972CAB" w:rsidP="0017424B">
      <w:pPr>
        <w:rPr>
          <w:sz w:val="20"/>
          <w:szCs w:val="20"/>
        </w:rPr>
      </w:pPr>
      <w:r w:rsidRPr="00E606D9">
        <w:rPr>
          <w:rStyle w:val="FootnoteReference"/>
          <w:sz w:val="20"/>
          <w:szCs w:val="20"/>
        </w:rPr>
        <w:footnoteRef/>
      </w:r>
      <w:r w:rsidRPr="00E606D9">
        <w:rPr>
          <w:sz w:val="20"/>
          <w:szCs w:val="20"/>
        </w:rPr>
        <w:t xml:space="preserve"> </w:t>
      </w:r>
      <w:proofErr w:type="gramStart"/>
      <w:r w:rsidRPr="00E606D9">
        <w:rPr>
          <w:sz w:val="20"/>
          <w:szCs w:val="20"/>
        </w:rPr>
        <w:t>HFC-32 (50 per cent), HFC-125 (50 per cent).</w:t>
      </w:r>
      <w:proofErr w:type="gramEnd"/>
    </w:p>
  </w:footnote>
  <w:footnote w:id="5">
    <w:p w:rsidR="00972CAB" w:rsidRPr="00E606D9" w:rsidRDefault="00972CAB" w:rsidP="0017424B">
      <w:pPr>
        <w:pStyle w:val="FootnoteText"/>
        <w:rPr>
          <w:szCs w:val="20"/>
        </w:rPr>
      </w:pPr>
      <w:r w:rsidRPr="00E606D9">
        <w:rPr>
          <w:rStyle w:val="FootnoteReference"/>
          <w:szCs w:val="20"/>
        </w:rPr>
        <w:footnoteRef/>
      </w:r>
      <w:r w:rsidRPr="00E606D9">
        <w:rPr>
          <w:szCs w:val="20"/>
        </w:rPr>
        <w:t xml:space="preserve"> </w:t>
      </w:r>
      <w:proofErr w:type="gramStart"/>
      <w:r w:rsidRPr="00E606D9">
        <w:rPr>
          <w:szCs w:val="20"/>
        </w:rPr>
        <w:t>HFC-32 (23 per cent), HFC-125 (25 per cent), HFC-134a (52 per cent).</w:t>
      </w:r>
      <w:proofErr w:type="gramEnd"/>
    </w:p>
  </w:footnote>
  <w:footnote w:id="6">
    <w:p w:rsidR="00972CAB" w:rsidRPr="00E606D9" w:rsidRDefault="00972CAB" w:rsidP="0017424B">
      <w:pPr>
        <w:pStyle w:val="FootnoteText"/>
        <w:rPr>
          <w:szCs w:val="20"/>
        </w:rPr>
      </w:pPr>
      <w:r w:rsidRPr="00E606D9">
        <w:rPr>
          <w:rStyle w:val="FootnoteReference"/>
          <w:szCs w:val="20"/>
        </w:rPr>
        <w:footnoteRef/>
      </w:r>
      <w:r w:rsidRPr="00E606D9">
        <w:rPr>
          <w:szCs w:val="20"/>
        </w:rPr>
        <w:t xml:space="preserve"> </w:t>
      </w:r>
      <w:proofErr w:type="gramStart"/>
      <w:r w:rsidRPr="00E606D9">
        <w:rPr>
          <w:szCs w:val="20"/>
        </w:rPr>
        <w:t>HFC-125 (44 per cent), HFC-143a (52 per cent), HFC-134a (4 per cent).</w:t>
      </w:r>
      <w:proofErr w:type="gramEnd"/>
    </w:p>
  </w:footnote>
  <w:footnote w:id="7">
    <w:p w:rsidR="00972CAB" w:rsidRPr="00E606D9" w:rsidRDefault="00972CAB" w:rsidP="0017424B">
      <w:pPr>
        <w:rPr>
          <w:sz w:val="20"/>
          <w:szCs w:val="20"/>
        </w:rPr>
      </w:pPr>
      <w:r w:rsidRPr="00E606D9">
        <w:rPr>
          <w:rStyle w:val="FootnoteReference"/>
          <w:sz w:val="20"/>
          <w:szCs w:val="20"/>
        </w:rPr>
        <w:footnoteRef/>
      </w:r>
      <w:r w:rsidRPr="00E606D9">
        <w:rPr>
          <w:sz w:val="20"/>
          <w:szCs w:val="20"/>
        </w:rPr>
        <w:t xml:space="preserve"> </w:t>
      </w:r>
      <w:proofErr w:type="gramStart"/>
      <w:r w:rsidRPr="00E606D9">
        <w:rPr>
          <w:sz w:val="20"/>
          <w:szCs w:val="20"/>
        </w:rPr>
        <w:t>HFC-32 (30 per cent), HFC-125 (</w:t>
      </w:r>
      <w:r>
        <w:rPr>
          <w:sz w:val="20"/>
          <w:szCs w:val="20"/>
        </w:rPr>
        <w:t>3</w:t>
      </w:r>
      <w:r w:rsidRPr="00E606D9">
        <w:rPr>
          <w:sz w:val="20"/>
          <w:szCs w:val="20"/>
        </w:rPr>
        <w:t>0 per cent), HFC-134a (40 per cent).</w:t>
      </w:r>
      <w:proofErr w:type="gramEnd"/>
    </w:p>
  </w:footnote>
  <w:footnote w:id="8">
    <w:p w:rsidR="00972CAB" w:rsidRPr="004C3DF6" w:rsidRDefault="00972CAB" w:rsidP="0017424B">
      <w:pPr>
        <w:pStyle w:val="FootnoteText"/>
      </w:pPr>
      <w:r>
        <w:rPr>
          <w:rStyle w:val="FootnoteReference"/>
        </w:rPr>
        <w:footnoteRef/>
      </w:r>
      <w:r>
        <w:t xml:space="preserve"> </w:t>
      </w:r>
      <w:proofErr w:type="gramStart"/>
      <w:r>
        <w:t>HFC</w:t>
      </w:r>
      <w:r w:rsidRPr="007D44A3">
        <w:t>-125</w:t>
      </w:r>
      <w:r>
        <w:t xml:space="preserve"> (50 per cent), HFC</w:t>
      </w:r>
      <w:r w:rsidRPr="007D44A3">
        <w:t>-143a (50</w:t>
      </w:r>
      <w:r>
        <w:t xml:space="preserve"> per cent</w:t>
      </w:r>
      <w:r w:rsidRPr="007D44A3">
        <w:t>)</w:t>
      </w:r>
      <w:r>
        <w:t>.</w:t>
      </w:r>
      <w:proofErr w:type="gramEnd"/>
    </w:p>
  </w:footnote>
  <w:footnote w:id="9">
    <w:p w:rsidR="00972CAB" w:rsidRPr="002103D0" w:rsidRDefault="00972CAB" w:rsidP="0017424B">
      <w:pPr>
        <w:pStyle w:val="FootnoteText"/>
        <w:rPr>
          <w:szCs w:val="20"/>
        </w:rPr>
      </w:pPr>
      <w:r w:rsidRPr="00E606D9">
        <w:rPr>
          <w:rStyle w:val="FootnoteReference"/>
          <w:szCs w:val="20"/>
        </w:rPr>
        <w:footnoteRef/>
      </w:r>
      <w:r w:rsidRPr="00E606D9">
        <w:rPr>
          <w:szCs w:val="20"/>
        </w:rPr>
        <w:t xml:space="preserve"> A detailed analysis of HFC-23 is contained in document UNEP/</w:t>
      </w:r>
      <w:proofErr w:type="spellStart"/>
      <w:r w:rsidRPr="00E606D9">
        <w:rPr>
          <w:szCs w:val="20"/>
        </w:rPr>
        <w:t>OzL.Pro</w:t>
      </w:r>
      <w:proofErr w:type="spellEnd"/>
      <w:r w:rsidRPr="00E606D9">
        <w:rPr>
          <w:szCs w:val="20"/>
        </w:rPr>
        <w:t>/ExCom/78</w:t>
      </w:r>
      <w:r w:rsidRPr="00F86110">
        <w:rPr>
          <w:szCs w:val="20"/>
        </w:rPr>
        <w:t>/9.</w:t>
      </w:r>
    </w:p>
  </w:footnote>
  <w:footnote w:id="10">
    <w:p w:rsidR="00972CAB" w:rsidRPr="00727258" w:rsidRDefault="00972CAB" w:rsidP="0017424B">
      <w:pPr>
        <w:pStyle w:val="FootnoteText"/>
        <w:rPr>
          <w:lang w:val="en-US"/>
        </w:rPr>
      </w:pPr>
      <w:r>
        <w:rPr>
          <w:rStyle w:val="FootnoteReference"/>
        </w:rPr>
        <w:footnoteRef/>
      </w:r>
      <w:r>
        <w:t xml:space="preserve"> </w:t>
      </w:r>
      <w:r>
        <w:rPr>
          <w:lang w:val="en-US"/>
        </w:rPr>
        <w:t>The business-as-usual scenario of the TEAP did not consider the Kigali Amendment</w:t>
      </w:r>
    </w:p>
  </w:footnote>
  <w:footnote w:id="11">
    <w:p w:rsidR="00972CAB" w:rsidRPr="009A038B" w:rsidRDefault="00972CAB" w:rsidP="0017424B">
      <w:pPr>
        <w:pStyle w:val="FootnoteText"/>
        <w:rPr>
          <w:lang w:val="en-CA"/>
        </w:rPr>
      </w:pPr>
      <w:r>
        <w:rPr>
          <w:rStyle w:val="FootnoteReference"/>
        </w:rPr>
        <w:footnoteRef/>
      </w:r>
      <w:r>
        <w:t xml:space="preserve"> </w:t>
      </w:r>
      <w:r>
        <w:rPr>
          <w:lang w:val="en-CA"/>
        </w:rPr>
        <w:t>For this report, R-404A and R-507 which was an aggregate figure in the TEAP report is presented as 50 per cent each of the combined total, and similarly for use of HFC-134a and HFC-152a in the foam sector.</w:t>
      </w:r>
    </w:p>
  </w:footnote>
  <w:footnote w:id="12">
    <w:p w:rsidR="00972CAB" w:rsidRPr="00231BFE" w:rsidRDefault="00972CAB" w:rsidP="0017424B">
      <w:pPr>
        <w:pStyle w:val="FootnoteText"/>
        <w:rPr>
          <w:color w:val="FF0000"/>
        </w:rPr>
      </w:pPr>
      <w:r>
        <w:rPr>
          <w:rStyle w:val="FootnoteReference"/>
        </w:rPr>
        <w:footnoteRef/>
      </w:r>
      <w:r>
        <w:t xml:space="preserve"> </w:t>
      </w:r>
      <w:r w:rsidRPr="00170FE6">
        <w:t>Fifteen ODS survey reports were completed, while 16 provided only data on ODS alternatives consumption without the full report</w:t>
      </w:r>
      <w:r>
        <w:t xml:space="preserve">; analysis of 30 reports are provided as one country (African region) submitted preliminary and incomplete data. </w:t>
      </w:r>
    </w:p>
  </w:footnote>
  <w:footnote w:id="13">
    <w:p w:rsidR="00972CAB" w:rsidRPr="00124A9C" w:rsidRDefault="00972CAB" w:rsidP="0017424B">
      <w:pPr>
        <w:pStyle w:val="FootnoteText"/>
        <w:rPr>
          <w:lang w:val="en-US"/>
        </w:rPr>
      </w:pPr>
      <w:r>
        <w:rPr>
          <w:rStyle w:val="FootnoteReference"/>
        </w:rPr>
        <w:footnoteRef/>
      </w:r>
      <w:r>
        <w:t xml:space="preserve"> </w:t>
      </w:r>
      <w:r w:rsidRPr="00124A9C">
        <w:rPr>
          <w:sz w:val="18"/>
          <w:szCs w:val="18"/>
        </w:rPr>
        <w:t>Due to the small sample size</w:t>
      </w:r>
      <w:r>
        <w:rPr>
          <w:sz w:val="18"/>
          <w:szCs w:val="18"/>
        </w:rPr>
        <w:t xml:space="preserve"> and the fact that the TEAP data was not disaggregated by country</w:t>
      </w:r>
      <w:r w:rsidRPr="00124A9C">
        <w:rPr>
          <w:sz w:val="18"/>
          <w:szCs w:val="18"/>
        </w:rPr>
        <w:t xml:space="preserve">, it was not possible to compare </w:t>
      </w:r>
      <w:r w:rsidRPr="00124A9C">
        <w:rPr>
          <w:sz w:val="18"/>
          <w:szCs w:val="18"/>
          <w:lang w:val="en-US"/>
        </w:rPr>
        <w:t>HFC consumption data collected from the ODS alternatives surveys and that provided by the TEAP</w:t>
      </w:r>
    </w:p>
  </w:footnote>
  <w:footnote w:id="14">
    <w:p w:rsidR="00972CAB" w:rsidRPr="00CA0DEA" w:rsidRDefault="00972CAB" w:rsidP="0017424B">
      <w:pPr>
        <w:pStyle w:val="FootnoteText"/>
        <w:rPr>
          <w:lang w:val="en-CA"/>
        </w:rPr>
      </w:pPr>
      <w:r>
        <w:rPr>
          <w:rStyle w:val="FootnoteReference"/>
        </w:rPr>
        <w:footnoteRef/>
      </w:r>
      <w:r>
        <w:t xml:space="preserve"> </w:t>
      </w:r>
      <w:r w:rsidRPr="00CA0DEA">
        <w:t>CLP presents relative value of the climate impact potential of a substance compared with that of HFC-134a which is assigned a reference value of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r>
      <w:fldChar w:fldCharType="begin"/>
    </w:r>
    <w:r>
      <w:instrText xml:space="preserve"> DOCPROPERTY "Document number"  \* MERGEFORMAT </w:instrText>
    </w:r>
    <w:r>
      <w:fldChar w:fldCharType="separate"/>
    </w:r>
    <w:r w:rsidR="0014524F">
      <w:t>UNEP/</w:t>
    </w:r>
    <w:proofErr w:type="spellStart"/>
    <w:r w:rsidR="0014524F">
      <w:t>OzL.Pro</w:t>
    </w:r>
    <w:proofErr w:type="spellEnd"/>
    <w:r w:rsidR="0014524F">
      <w:t>/ExCom/78/4</w:t>
    </w:r>
    <w:r>
      <w:fldChar w:fldCharType="end"/>
    </w:r>
  </w:p>
  <w:p w:rsidR="00972CAB" w:rsidRPr="0033525D" w:rsidRDefault="00972CAB"/>
  <w:p w:rsidR="00972CAB" w:rsidRPr="0033525D" w:rsidRDefault="00972CA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pPr>
      <w:jc w:val="right"/>
    </w:pPr>
    <w:r>
      <w:fldChar w:fldCharType="begin"/>
    </w:r>
    <w:r>
      <w:instrText xml:space="preserve"> DOCPROPERTY "Document number"  \* MERGEFORMAT </w:instrText>
    </w:r>
    <w:r>
      <w:fldChar w:fldCharType="separate"/>
    </w:r>
    <w:r w:rsidR="0014524F">
      <w:t>UNEP/</w:t>
    </w:r>
    <w:proofErr w:type="spellStart"/>
    <w:r w:rsidR="0014524F">
      <w:t>OzL.Pro</w:t>
    </w:r>
    <w:proofErr w:type="spellEnd"/>
    <w:r w:rsidR="0014524F">
      <w:t>/ExCom/78/4</w:t>
    </w:r>
    <w:r>
      <w:fldChar w:fldCharType="end"/>
    </w:r>
  </w:p>
  <w:p w:rsidR="00972CAB" w:rsidRPr="0033525D" w:rsidRDefault="00972CAB"/>
  <w:p w:rsidR="00972CAB" w:rsidRPr="0033525D" w:rsidRDefault="00972C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rsidP="00036A89">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r>
      <w:fldChar w:fldCharType="begin"/>
    </w:r>
    <w:r>
      <w:instrText xml:space="preserve"> DOCPROPERTY "Document number"  \* MERGEFORMAT </w:instrText>
    </w:r>
    <w:r>
      <w:fldChar w:fldCharType="separate"/>
    </w:r>
    <w:r w:rsidR="0014524F">
      <w:t>UNEP/</w:t>
    </w:r>
    <w:proofErr w:type="spellStart"/>
    <w:r w:rsidR="0014524F">
      <w:t>OzL.Pro</w:t>
    </w:r>
    <w:proofErr w:type="spellEnd"/>
    <w:r w:rsidR="0014524F">
      <w:t>/ExCom/78/4</w:t>
    </w:r>
    <w:r>
      <w:fldChar w:fldCharType="end"/>
    </w:r>
  </w:p>
  <w:p w:rsidR="00972CAB" w:rsidRDefault="00972CAB">
    <w:r>
      <w:t>Annex I</w:t>
    </w:r>
  </w:p>
  <w:p w:rsidR="00972CAB" w:rsidRPr="0033525D" w:rsidRDefault="00972CAB"/>
  <w:p w:rsidR="00972CAB" w:rsidRPr="0033525D" w:rsidRDefault="00972CA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rsidP="00AE5E1D">
    <w:pPr>
      <w:jc w:val="right"/>
    </w:pPr>
    <w:r>
      <w:fldChar w:fldCharType="begin"/>
    </w:r>
    <w:r>
      <w:instrText xml:space="preserve"> DOCPROPERTY "Document number"  \* MERGEFORMAT </w:instrText>
    </w:r>
    <w:r>
      <w:fldChar w:fldCharType="separate"/>
    </w:r>
    <w:r w:rsidR="0014524F">
      <w:t>UNEP/</w:t>
    </w:r>
    <w:proofErr w:type="spellStart"/>
    <w:r w:rsidR="0014524F">
      <w:t>OzL.Pro</w:t>
    </w:r>
    <w:proofErr w:type="spellEnd"/>
    <w:r w:rsidR="0014524F">
      <w:t>/ExCom/78/4</w:t>
    </w:r>
    <w:r>
      <w:fldChar w:fldCharType="end"/>
    </w:r>
  </w:p>
  <w:p w:rsidR="00972CAB" w:rsidRPr="0033525D" w:rsidRDefault="00972CAB" w:rsidP="00AE5E1D">
    <w:pPr>
      <w:jc w:val="right"/>
    </w:pPr>
    <w:r>
      <w:t>Annex I</w:t>
    </w:r>
  </w:p>
  <w:p w:rsidR="00972CAB" w:rsidRPr="0033525D" w:rsidRDefault="00972CAB"/>
  <w:p w:rsidR="00972CAB" w:rsidRPr="0033525D" w:rsidRDefault="00972CA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rsidP="00036A89">
    <w:pPr>
      <w:pStyle w:val="Header"/>
      <w:jc w:val="right"/>
    </w:pPr>
    <w:r>
      <w:t>UNEP/</w:t>
    </w:r>
    <w:proofErr w:type="spellStart"/>
    <w:r>
      <w:t>OzL.Pro</w:t>
    </w:r>
    <w:proofErr w:type="spellEnd"/>
    <w:r>
      <w:t>/ExCom/78/4</w:t>
    </w:r>
  </w:p>
  <w:p w:rsidR="00972CAB" w:rsidRDefault="00972CAB" w:rsidP="00036A89">
    <w:pPr>
      <w:pStyle w:val="Header"/>
      <w:jc w:val="right"/>
    </w:pPr>
    <w:r>
      <w:t>Annex I</w:t>
    </w:r>
  </w:p>
  <w:p w:rsidR="00972CAB" w:rsidRDefault="00972CAB" w:rsidP="00036A89">
    <w:pPr>
      <w:pStyle w:val="Header"/>
      <w:jc w:val="right"/>
    </w:pPr>
  </w:p>
  <w:p w:rsidR="00972CAB" w:rsidRDefault="00972CAB" w:rsidP="00036A89">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r>
      <w:fldChar w:fldCharType="begin"/>
    </w:r>
    <w:r>
      <w:instrText xml:space="preserve"> DOCPROPERTY "Document number"  \* MERGEFORMAT </w:instrText>
    </w:r>
    <w:r>
      <w:fldChar w:fldCharType="separate"/>
    </w:r>
    <w:r w:rsidR="0014524F">
      <w:t>UNEP/</w:t>
    </w:r>
    <w:proofErr w:type="spellStart"/>
    <w:r w:rsidR="0014524F">
      <w:t>OzL.Pro</w:t>
    </w:r>
    <w:proofErr w:type="spellEnd"/>
    <w:r w:rsidR="0014524F">
      <w:t>/ExCom/78/4</w:t>
    </w:r>
    <w:r>
      <w:fldChar w:fldCharType="end"/>
    </w:r>
  </w:p>
  <w:p w:rsidR="00972CAB" w:rsidRDefault="00972CAB">
    <w:r>
      <w:t>Annex II</w:t>
    </w:r>
  </w:p>
  <w:p w:rsidR="00972CAB" w:rsidRPr="0033525D" w:rsidRDefault="00972CAB"/>
  <w:p w:rsidR="00972CAB" w:rsidRPr="0033525D" w:rsidRDefault="00972CAB"/>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AB" w:rsidRDefault="00972CAB" w:rsidP="00036A89">
    <w:pPr>
      <w:pStyle w:val="Header"/>
      <w:jc w:val="right"/>
    </w:pPr>
    <w:r>
      <w:t>UNEP/</w:t>
    </w:r>
    <w:proofErr w:type="spellStart"/>
    <w:r>
      <w:t>OzL.Pro</w:t>
    </w:r>
    <w:proofErr w:type="spellEnd"/>
    <w:r>
      <w:t>/ExCom/78/4</w:t>
    </w:r>
  </w:p>
  <w:p w:rsidR="00972CAB" w:rsidRPr="00F47469" w:rsidRDefault="00972CAB" w:rsidP="00036A89">
    <w:pPr>
      <w:pStyle w:val="Header"/>
      <w:jc w:val="right"/>
      <w:rPr>
        <w:i/>
      </w:rPr>
    </w:pPr>
    <w:r>
      <w:t>Annex II</w:t>
    </w:r>
  </w:p>
  <w:p w:rsidR="00972CAB" w:rsidRDefault="00972CAB" w:rsidP="00036A89">
    <w:pPr>
      <w:pStyle w:val="Header"/>
      <w:jc w:val="right"/>
    </w:pPr>
  </w:p>
  <w:p w:rsidR="00972CAB" w:rsidRDefault="00972CAB" w:rsidP="00036A8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F0EA0A44"/>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71113A7"/>
    <w:multiLevelType w:val="multilevel"/>
    <w:tmpl w:val="48241D10"/>
    <w:numStyleLink w:val="Normallist"/>
  </w:abstractNum>
  <w:abstractNum w:abstractNumId="12">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8">
    <w:nsid w:val="5C822C07"/>
    <w:multiLevelType w:val="hybridMultilevel"/>
    <w:tmpl w:val="6C7097C2"/>
    <w:lvl w:ilvl="0" w:tplc="01D22D84">
      <w:start w:val="1"/>
      <w:numFmt w:val="lowerLetter"/>
      <w:lvlText w:val="(%1)"/>
      <w:lvlJc w:val="left"/>
      <w:pPr>
        <w:ind w:left="720" w:hanging="360"/>
      </w:pPr>
      <w:rPr>
        <w:rFonts w:hint="default"/>
        <w:b w:val="0"/>
        <w:bCs/>
        <w:i w:val="0"/>
        <w:strike w:val="0"/>
        <w:dstrike w:val="0"/>
        <w:color w:val="auto"/>
        <w:sz w:val="20"/>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5E245473"/>
    <w:multiLevelType w:val="hybridMultilevel"/>
    <w:tmpl w:val="25CC5EA0"/>
    <w:lvl w:ilvl="0" w:tplc="01D22D84">
      <w:start w:val="1"/>
      <w:numFmt w:val="lowerLetter"/>
      <w:lvlText w:val="(%1)"/>
      <w:lvlJc w:val="left"/>
      <w:pPr>
        <w:ind w:left="720" w:hanging="360"/>
      </w:pPr>
      <w:rPr>
        <w:rFonts w:hint="default"/>
        <w:b w:val="0"/>
        <w:bCs/>
        <w:i w:val="0"/>
        <w:strike w:val="0"/>
        <w:dstrike w:val="0"/>
        <w:color w:val="auto"/>
        <w:sz w:val="20"/>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7BE2234"/>
    <w:multiLevelType w:val="hybridMultilevel"/>
    <w:tmpl w:val="B6CC463A"/>
    <w:lvl w:ilvl="0" w:tplc="01D22D84">
      <w:start w:val="1"/>
      <w:numFmt w:val="lowerLetter"/>
      <w:lvlText w:val="(%1)"/>
      <w:lvlJc w:val="left"/>
      <w:pPr>
        <w:ind w:left="720" w:hanging="360"/>
      </w:pPr>
      <w:rPr>
        <w:rFonts w:hint="default"/>
        <w:b w:val="0"/>
        <w:bCs/>
        <w:i w:val="0"/>
        <w:strike w:val="0"/>
        <w:dstrike w:val="0"/>
        <w:color w:val="auto"/>
        <w:sz w:val="20"/>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2"/>
  </w:num>
  <w:num w:numId="20">
    <w:abstractNumId w:val="14"/>
  </w:num>
  <w:num w:numId="21">
    <w:abstractNumId w:val="17"/>
  </w:num>
  <w:num w:numId="22">
    <w:abstractNumId w:val="11"/>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3">
    <w:abstractNumId w:val="21"/>
  </w:num>
  <w:num w:numId="24">
    <w:abstractNumId w:val="12"/>
  </w:num>
  <w:num w:numId="25">
    <w:abstractNumId w:val="18"/>
  </w:num>
  <w:num w:numId="26">
    <w:abstractNumId w:val="20"/>
  </w:num>
  <w:num w:numId="2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24B"/>
    <w:rsid w:val="00000FED"/>
    <w:rsid w:val="0000434E"/>
    <w:rsid w:val="000211A9"/>
    <w:rsid w:val="00031260"/>
    <w:rsid w:val="00031E71"/>
    <w:rsid w:val="0003681A"/>
    <w:rsid w:val="00036A89"/>
    <w:rsid w:val="00080ED0"/>
    <w:rsid w:val="00085B8F"/>
    <w:rsid w:val="00090481"/>
    <w:rsid w:val="000A05C8"/>
    <w:rsid w:val="000A6C26"/>
    <w:rsid w:val="000E07BC"/>
    <w:rsid w:val="000F1CD4"/>
    <w:rsid w:val="000F4103"/>
    <w:rsid w:val="000F70A7"/>
    <w:rsid w:val="00135980"/>
    <w:rsid w:val="0014524F"/>
    <w:rsid w:val="00164719"/>
    <w:rsid w:val="00166FC4"/>
    <w:rsid w:val="001677AC"/>
    <w:rsid w:val="00170777"/>
    <w:rsid w:val="0017424B"/>
    <w:rsid w:val="0017688D"/>
    <w:rsid w:val="001804EA"/>
    <w:rsid w:val="00190A61"/>
    <w:rsid w:val="001A3342"/>
    <w:rsid w:val="001A3E3D"/>
    <w:rsid w:val="001A7049"/>
    <w:rsid w:val="001B1E40"/>
    <w:rsid w:val="001C764E"/>
    <w:rsid w:val="001E1052"/>
    <w:rsid w:val="001E21B1"/>
    <w:rsid w:val="001E2F93"/>
    <w:rsid w:val="001E61E5"/>
    <w:rsid w:val="001F2159"/>
    <w:rsid w:val="002156B4"/>
    <w:rsid w:val="00250983"/>
    <w:rsid w:val="00253222"/>
    <w:rsid w:val="00262847"/>
    <w:rsid w:val="0026626E"/>
    <w:rsid w:val="00281BB2"/>
    <w:rsid w:val="00285D43"/>
    <w:rsid w:val="002B72E9"/>
    <w:rsid w:val="002C7998"/>
    <w:rsid w:val="002F1E53"/>
    <w:rsid w:val="002F2CAA"/>
    <w:rsid w:val="003306E1"/>
    <w:rsid w:val="003320E4"/>
    <w:rsid w:val="00332C7E"/>
    <w:rsid w:val="0033525D"/>
    <w:rsid w:val="003414F3"/>
    <w:rsid w:val="0035613E"/>
    <w:rsid w:val="00363EE9"/>
    <w:rsid w:val="00376128"/>
    <w:rsid w:val="0037742E"/>
    <w:rsid w:val="0038245A"/>
    <w:rsid w:val="0039337A"/>
    <w:rsid w:val="003A3189"/>
    <w:rsid w:val="003B569D"/>
    <w:rsid w:val="003B782A"/>
    <w:rsid w:val="003C3C0E"/>
    <w:rsid w:val="003D4FAC"/>
    <w:rsid w:val="003E7906"/>
    <w:rsid w:val="003F3C50"/>
    <w:rsid w:val="00406A6A"/>
    <w:rsid w:val="00406B22"/>
    <w:rsid w:val="00414095"/>
    <w:rsid w:val="004328A7"/>
    <w:rsid w:val="00434C74"/>
    <w:rsid w:val="00456EB4"/>
    <w:rsid w:val="004718F3"/>
    <w:rsid w:val="00472270"/>
    <w:rsid w:val="00475040"/>
    <w:rsid w:val="00493D40"/>
    <w:rsid w:val="004967B6"/>
    <w:rsid w:val="004A504B"/>
    <w:rsid w:val="004A6911"/>
    <w:rsid w:val="004B54E0"/>
    <w:rsid w:val="004B7384"/>
    <w:rsid w:val="004C4269"/>
    <w:rsid w:val="004D6236"/>
    <w:rsid w:val="004E4DBB"/>
    <w:rsid w:val="004E4E41"/>
    <w:rsid w:val="004E7F9C"/>
    <w:rsid w:val="004F3493"/>
    <w:rsid w:val="00512B09"/>
    <w:rsid w:val="00541834"/>
    <w:rsid w:val="00555A2A"/>
    <w:rsid w:val="00555D75"/>
    <w:rsid w:val="00560DF0"/>
    <w:rsid w:val="0056759C"/>
    <w:rsid w:val="0058337C"/>
    <w:rsid w:val="0059513E"/>
    <w:rsid w:val="005B48FF"/>
    <w:rsid w:val="005D56CA"/>
    <w:rsid w:val="00604C15"/>
    <w:rsid w:val="00607AED"/>
    <w:rsid w:val="006158D5"/>
    <w:rsid w:val="00625D83"/>
    <w:rsid w:val="006623E7"/>
    <w:rsid w:val="00662B80"/>
    <w:rsid w:val="006852C7"/>
    <w:rsid w:val="00687E32"/>
    <w:rsid w:val="006C1727"/>
    <w:rsid w:val="006C32FD"/>
    <w:rsid w:val="006C39CE"/>
    <w:rsid w:val="006D0FCC"/>
    <w:rsid w:val="0070616B"/>
    <w:rsid w:val="00706FDA"/>
    <w:rsid w:val="00711F9A"/>
    <w:rsid w:val="00713810"/>
    <w:rsid w:val="007303A5"/>
    <w:rsid w:val="00730B3E"/>
    <w:rsid w:val="00731989"/>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E7FED"/>
    <w:rsid w:val="008F0F81"/>
    <w:rsid w:val="008F27BF"/>
    <w:rsid w:val="00923540"/>
    <w:rsid w:val="00926767"/>
    <w:rsid w:val="00933883"/>
    <w:rsid w:val="009361D5"/>
    <w:rsid w:val="009428A4"/>
    <w:rsid w:val="00950288"/>
    <w:rsid w:val="009659F4"/>
    <w:rsid w:val="00970D60"/>
    <w:rsid w:val="00972CAB"/>
    <w:rsid w:val="009960E5"/>
    <w:rsid w:val="009A7ADC"/>
    <w:rsid w:val="009C19B7"/>
    <w:rsid w:val="009D7C51"/>
    <w:rsid w:val="009F36BF"/>
    <w:rsid w:val="00A111B6"/>
    <w:rsid w:val="00A17798"/>
    <w:rsid w:val="00A376EE"/>
    <w:rsid w:val="00A415D4"/>
    <w:rsid w:val="00A42A99"/>
    <w:rsid w:val="00A5151A"/>
    <w:rsid w:val="00A57E0A"/>
    <w:rsid w:val="00A823F6"/>
    <w:rsid w:val="00AA0A89"/>
    <w:rsid w:val="00AA6429"/>
    <w:rsid w:val="00AB58AF"/>
    <w:rsid w:val="00AC01AA"/>
    <w:rsid w:val="00AC4F72"/>
    <w:rsid w:val="00AD1CB1"/>
    <w:rsid w:val="00AE5E1D"/>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6311"/>
    <w:rsid w:val="00C15867"/>
    <w:rsid w:val="00C2296D"/>
    <w:rsid w:val="00C23155"/>
    <w:rsid w:val="00C40C41"/>
    <w:rsid w:val="00C45268"/>
    <w:rsid w:val="00C45885"/>
    <w:rsid w:val="00C50F22"/>
    <w:rsid w:val="00C57971"/>
    <w:rsid w:val="00C76BA4"/>
    <w:rsid w:val="00C83A48"/>
    <w:rsid w:val="00C85865"/>
    <w:rsid w:val="00C85E85"/>
    <w:rsid w:val="00C9263B"/>
    <w:rsid w:val="00CA2EAE"/>
    <w:rsid w:val="00CA4AC1"/>
    <w:rsid w:val="00CB0316"/>
    <w:rsid w:val="00CB0B11"/>
    <w:rsid w:val="00CB5354"/>
    <w:rsid w:val="00CC185F"/>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A35"/>
    <w:rsid w:val="00D81B3E"/>
    <w:rsid w:val="00D90C70"/>
    <w:rsid w:val="00D90E49"/>
    <w:rsid w:val="00D976CA"/>
    <w:rsid w:val="00DC6A10"/>
    <w:rsid w:val="00DE657E"/>
    <w:rsid w:val="00DF4704"/>
    <w:rsid w:val="00E024AA"/>
    <w:rsid w:val="00E250F1"/>
    <w:rsid w:val="00E3550D"/>
    <w:rsid w:val="00E614E0"/>
    <w:rsid w:val="00E66711"/>
    <w:rsid w:val="00E67BAE"/>
    <w:rsid w:val="00E73F7F"/>
    <w:rsid w:val="00E85409"/>
    <w:rsid w:val="00EA429F"/>
    <w:rsid w:val="00EA4F9E"/>
    <w:rsid w:val="00EA63CA"/>
    <w:rsid w:val="00EA6D3B"/>
    <w:rsid w:val="00EB00AD"/>
    <w:rsid w:val="00EB136C"/>
    <w:rsid w:val="00EB480E"/>
    <w:rsid w:val="00EB5EC6"/>
    <w:rsid w:val="00EB68D2"/>
    <w:rsid w:val="00EB7FC9"/>
    <w:rsid w:val="00EC3C82"/>
    <w:rsid w:val="00ED27E8"/>
    <w:rsid w:val="00ED7137"/>
    <w:rsid w:val="00F21088"/>
    <w:rsid w:val="00F327E7"/>
    <w:rsid w:val="00F35746"/>
    <w:rsid w:val="00F447C7"/>
    <w:rsid w:val="00F47469"/>
    <w:rsid w:val="00F554A9"/>
    <w:rsid w:val="00F716FD"/>
    <w:rsid w:val="00F80355"/>
    <w:rsid w:val="00F86110"/>
    <w:rsid w:val="00FB0C81"/>
    <w:rsid w:val="00FC2200"/>
    <w:rsid w:val="00FC2540"/>
    <w:rsid w:val="00FD616D"/>
    <w:rsid w:val="00FF0204"/>
    <w:rsid w:val="00FF13E1"/>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17424B"/>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17424B"/>
    <w:rPr>
      <w:sz w:val="22"/>
      <w:szCs w:val="22"/>
      <w:lang w:val="en-GB"/>
    </w:rPr>
  </w:style>
  <w:style w:type="character" w:customStyle="1" w:styleId="0Heading0Char">
    <w:name w:val="0 Heading 0 Char"/>
    <w:link w:val="0Heading0"/>
    <w:rsid w:val="0017424B"/>
    <w:rPr>
      <w:sz w:val="22"/>
      <w:szCs w:val="22"/>
      <w:lang w:val="en-GB"/>
    </w:rPr>
  </w:style>
  <w:style w:type="character" w:styleId="FootnoteReference">
    <w:name w:val="footnote reference"/>
    <w:aliases w:val="16 Point,Superscript 6 Point,Footnote text,Footnote Text1,Footnote Text2"/>
    <w:uiPriority w:val="99"/>
    <w:rsid w:val="0017424B"/>
    <w:rPr>
      <w:vertAlign w:val="superscript"/>
    </w:rPr>
  </w:style>
  <w:style w:type="paragraph" w:styleId="FootnoteText">
    <w:name w:val="footnote text"/>
    <w:aliases w:val=" Char1, Char1 Char Char,Fußnotentextf,Char1,Char1 Char Char"/>
    <w:basedOn w:val="Normal"/>
    <w:link w:val="FootnoteTextChar"/>
    <w:uiPriority w:val="99"/>
    <w:qFormat/>
    <w:rsid w:val="0017424B"/>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17424B"/>
    <w:rPr>
      <w:snapToGrid w:val="0"/>
      <w:szCs w:val="24"/>
      <w:lang w:val="en-GB"/>
    </w:rPr>
  </w:style>
  <w:style w:type="character" w:customStyle="1" w:styleId="Heading3Char3CharCharChar">
    <w:name w:val="Heading 3 Char3 Char Char Char"/>
    <w:basedOn w:val="DefaultParagraphFont"/>
    <w:rsid w:val="0017424B"/>
    <w:rPr>
      <w:sz w:val="22"/>
      <w:szCs w:val="22"/>
      <w:lang w:val="en-GB" w:eastAsia="en-US" w:bidi="ar-SA"/>
    </w:rPr>
  </w:style>
  <w:style w:type="paragraph" w:styleId="EndnoteText">
    <w:name w:val="endnote text"/>
    <w:basedOn w:val="Normal"/>
    <w:link w:val="EndnoteTextChar"/>
    <w:uiPriority w:val="99"/>
    <w:semiHidden/>
    <w:unhideWhenUsed/>
    <w:rsid w:val="0017424B"/>
    <w:rPr>
      <w:sz w:val="20"/>
      <w:szCs w:val="20"/>
    </w:rPr>
  </w:style>
  <w:style w:type="character" w:customStyle="1" w:styleId="EndnoteTextChar">
    <w:name w:val="Endnote Text Char"/>
    <w:basedOn w:val="DefaultParagraphFont"/>
    <w:link w:val="EndnoteText"/>
    <w:uiPriority w:val="99"/>
    <w:semiHidden/>
    <w:rsid w:val="0017424B"/>
    <w:rPr>
      <w:lang w:val="en-GB"/>
    </w:rPr>
  </w:style>
  <w:style w:type="character" w:styleId="EndnoteReference">
    <w:name w:val="endnote reference"/>
    <w:basedOn w:val="DefaultParagraphFont"/>
    <w:uiPriority w:val="99"/>
    <w:semiHidden/>
    <w:unhideWhenUsed/>
    <w:rsid w:val="0017424B"/>
    <w:rPr>
      <w:vertAlign w:val="superscript"/>
    </w:rPr>
  </w:style>
  <w:style w:type="paragraph" w:styleId="ListParagraph">
    <w:name w:val="List Paragraph"/>
    <w:basedOn w:val="Normal"/>
    <w:uiPriority w:val="34"/>
    <w:qFormat/>
    <w:rsid w:val="0017424B"/>
    <w:pPr>
      <w:ind w:left="720"/>
      <w:contextualSpacing/>
    </w:pPr>
    <w:rPr>
      <w:lang w:val="en-US"/>
    </w:rPr>
  </w:style>
  <w:style w:type="paragraph" w:styleId="BodyTextIndent">
    <w:name w:val="Body Text Indent"/>
    <w:basedOn w:val="Normal"/>
    <w:link w:val="BodyTextIndentChar"/>
    <w:semiHidden/>
    <w:rsid w:val="0017424B"/>
    <w:pPr>
      <w:spacing w:after="120"/>
      <w:ind w:left="360"/>
    </w:pPr>
    <w:rPr>
      <w:szCs w:val="20"/>
    </w:rPr>
  </w:style>
  <w:style w:type="character" w:customStyle="1" w:styleId="BodyTextIndentChar">
    <w:name w:val="Body Text Indent Char"/>
    <w:basedOn w:val="DefaultParagraphFont"/>
    <w:link w:val="BodyTextIndent"/>
    <w:semiHidden/>
    <w:rsid w:val="0017424B"/>
    <w:rPr>
      <w:sz w:val="22"/>
      <w:lang w:val="en-GB"/>
    </w:rPr>
  </w:style>
  <w:style w:type="paragraph" w:styleId="ListBullet">
    <w:name w:val="List Bullet"/>
    <w:basedOn w:val="Normal"/>
    <w:autoRedefine/>
    <w:semiHidden/>
    <w:rsid w:val="0017424B"/>
    <w:pPr>
      <w:tabs>
        <w:tab w:val="num" w:pos="360"/>
      </w:tabs>
      <w:ind w:left="360" w:hanging="360"/>
    </w:pPr>
  </w:style>
  <w:style w:type="character" w:customStyle="1" w:styleId="FooterChar">
    <w:name w:val="Footer Char"/>
    <w:basedOn w:val="DefaultParagraphFont"/>
    <w:link w:val="Footer"/>
    <w:uiPriority w:val="99"/>
    <w:rsid w:val="0017424B"/>
    <w:rPr>
      <w:sz w:val="22"/>
      <w:szCs w:val="22"/>
      <w:lang w:val="en-GB"/>
    </w:rPr>
  </w:style>
  <w:style w:type="character" w:customStyle="1" w:styleId="hps">
    <w:name w:val="hps"/>
    <w:basedOn w:val="DefaultParagraphFont"/>
    <w:rsid w:val="0017424B"/>
  </w:style>
  <w:style w:type="character" w:customStyle="1" w:styleId="HeaderChar">
    <w:name w:val="Header Char"/>
    <w:basedOn w:val="DefaultParagraphFont"/>
    <w:link w:val="Header"/>
    <w:uiPriority w:val="99"/>
    <w:rsid w:val="0017424B"/>
    <w:rPr>
      <w:sz w:val="22"/>
      <w:szCs w:val="22"/>
      <w:lang w:val="en-GB"/>
    </w:rPr>
  </w:style>
  <w:style w:type="paragraph" w:styleId="BodyText">
    <w:name w:val="Body Text"/>
    <w:basedOn w:val="Normal"/>
    <w:link w:val="BodyTextChar"/>
    <w:uiPriority w:val="99"/>
    <w:unhideWhenUsed/>
    <w:rsid w:val="0017424B"/>
    <w:pPr>
      <w:spacing w:after="120"/>
    </w:pPr>
  </w:style>
  <w:style w:type="character" w:customStyle="1" w:styleId="BodyTextChar">
    <w:name w:val="Body Text Char"/>
    <w:basedOn w:val="DefaultParagraphFont"/>
    <w:link w:val="BodyText"/>
    <w:uiPriority w:val="99"/>
    <w:rsid w:val="0017424B"/>
    <w:rPr>
      <w:sz w:val="22"/>
      <w:szCs w:val="22"/>
      <w:lang w:val="en-GB"/>
    </w:rPr>
  </w:style>
  <w:style w:type="paragraph" w:customStyle="1" w:styleId="CH1">
    <w:name w:val="CH1"/>
    <w:basedOn w:val="Normal"/>
    <w:next w:val="Normal"/>
    <w:link w:val="CH1Char"/>
    <w:rsid w:val="0017424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17424B"/>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rsid w:val="0017424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17424B"/>
    <w:rPr>
      <w:rFonts w:ascii="Times New Roman" w:hAnsi="Times New Roman"/>
      <w:color w:val="auto"/>
      <w:sz w:val="20"/>
      <w:szCs w:val="20"/>
      <w:u w:val="none"/>
      <w:lang w:val="fr-FR"/>
    </w:rPr>
  </w:style>
  <w:style w:type="numbering" w:customStyle="1" w:styleId="Normallist">
    <w:name w:val="Normal_list"/>
    <w:basedOn w:val="NoList"/>
    <w:rsid w:val="0017424B"/>
    <w:pPr>
      <w:numPr>
        <w:numId w:val="21"/>
      </w:numPr>
    </w:pPr>
  </w:style>
  <w:style w:type="paragraph" w:customStyle="1" w:styleId="NormalNonumber">
    <w:name w:val="Normal_No_number"/>
    <w:basedOn w:val="Normal"/>
    <w:link w:val="NormalNonumberChar"/>
    <w:autoRedefine/>
    <w:rsid w:val="0017424B"/>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17424B"/>
    <w:pPr>
      <w:numPr>
        <w:numId w:val="22"/>
      </w:numPr>
      <w:spacing w:after="120"/>
      <w:jc w:val="left"/>
    </w:pPr>
    <w:rPr>
      <w:sz w:val="20"/>
      <w:szCs w:val="20"/>
      <w:lang w:val="en-US"/>
    </w:rPr>
  </w:style>
  <w:style w:type="table" w:customStyle="1" w:styleId="Tabledocright">
    <w:name w:val="Table_doc_right"/>
    <w:basedOn w:val="TableNormal"/>
    <w:rsid w:val="0017424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17424B"/>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17424B"/>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rsid w:val="0017424B"/>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17424B"/>
    <w:rPr>
      <w:b/>
      <w:sz w:val="28"/>
      <w:szCs w:val="28"/>
      <w:lang w:val="fr-FR"/>
    </w:rPr>
  </w:style>
  <w:style w:type="character" w:customStyle="1" w:styleId="NormalnumberChar">
    <w:name w:val="Normal_number Char"/>
    <w:link w:val="Normalnumber"/>
    <w:locked/>
    <w:rsid w:val="0017424B"/>
  </w:style>
  <w:style w:type="character" w:customStyle="1" w:styleId="CH2Char">
    <w:name w:val="CH2 Char"/>
    <w:link w:val="CH2"/>
    <w:locked/>
    <w:rsid w:val="0017424B"/>
    <w:rPr>
      <w:b/>
      <w:sz w:val="24"/>
      <w:szCs w:val="24"/>
      <w:lang w:val="fr-FR"/>
    </w:rPr>
  </w:style>
  <w:style w:type="character" w:customStyle="1" w:styleId="NormalNonumberChar">
    <w:name w:val="Normal_No_number Char"/>
    <w:link w:val="NormalNonumber"/>
    <w:locked/>
    <w:rsid w:val="0017424B"/>
    <w:rPr>
      <w:lang w:val="en-GB"/>
    </w:rPr>
  </w:style>
  <w:style w:type="numbering" w:customStyle="1" w:styleId="List0">
    <w:name w:val="List 0"/>
    <w:basedOn w:val="NoList"/>
    <w:rsid w:val="0017424B"/>
    <w:pPr>
      <w:numPr>
        <w:numId w:val="23"/>
      </w:numPr>
    </w:pPr>
  </w:style>
  <w:style w:type="character" w:customStyle="1" w:styleId="tgc">
    <w:name w:val="_tgc"/>
    <w:basedOn w:val="DefaultParagraphFont"/>
    <w:rsid w:val="0017424B"/>
  </w:style>
  <w:style w:type="character" w:styleId="FollowedHyperlink">
    <w:name w:val="FollowedHyperlink"/>
    <w:basedOn w:val="DefaultParagraphFont"/>
    <w:uiPriority w:val="99"/>
    <w:semiHidden/>
    <w:unhideWhenUsed/>
    <w:rsid w:val="0017424B"/>
    <w:rPr>
      <w:color w:val="800080"/>
      <w:u w:val="single"/>
    </w:rPr>
  </w:style>
  <w:style w:type="paragraph" w:customStyle="1" w:styleId="xl64">
    <w:name w:val="xl64"/>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semiHidden/>
    <w:unhideWhenUsed/>
    <w:rsid w:val="0017424B"/>
    <w:pPr>
      <w:spacing w:after="240"/>
      <w:jc w:val="left"/>
    </w:pPr>
    <w:rPr>
      <w:sz w:val="24"/>
      <w:szCs w:val="24"/>
      <w:lang w:val="en-US"/>
    </w:rPr>
  </w:style>
  <w:style w:type="paragraph" w:customStyle="1" w:styleId="Default">
    <w:name w:val="Default"/>
    <w:rsid w:val="0017424B"/>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17424B"/>
    <w:pPr>
      <w:spacing w:line="241" w:lineRule="atLeast"/>
    </w:pPr>
    <w:rPr>
      <w:rFonts w:cstheme="minorBidi"/>
      <w:color w:val="auto"/>
    </w:rPr>
  </w:style>
  <w:style w:type="character" w:customStyle="1" w:styleId="A0">
    <w:name w:val="A0"/>
    <w:uiPriority w:val="99"/>
    <w:rsid w:val="0017424B"/>
    <w:rPr>
      <w:rFonts w:cs="Merriweather Light"/>
      <w:color w:val="4C4F50"/>
      <w:sz w:val="16"/>
      <w:szCs w:val="16"/>
    </w:rPr>
  </w:style>
  <w:style w:type="character" w:customStyle="1" w:styleId="apple-converted-space">
    <w:name w:val="apple-converted-space"/>
    <w:basedOn w:val="DefaultParagraphFont"/>
    <w:rsid w:val="0017424B"/>
  </w:style>
  <w:style w:type="character" w:customStyle="1" w:styleId="Heading5Char">
    <w:name w:val="Heading 5 Char"/>
    <w:basedOn w:val="DefaultParagraphFont"/>
    <w:link w:val="Heading5"/>
    <w:uiPriority w:val="9"/>
    <w:rsid w:val="0017424B"/>
    <w:rPr>
      <w:sz w:val="22"/>
      <w:szCs w:val="22"/>
      <w:lang w:val="en-GB"/>
    </w:rPr>
  </w:style>
  <w:style w:type="paragraph" w:styleId="BodyTextIndent2">
    <w:name w:val="Body Text Indent 2"/>
    <w:basedOn w:val="Normal"/>
    <w:link w:val="BodyTextIndent2Char"/>
    <w:uiPriority w:val="99"/>
    <w:semiHidden/>
    <w:unhideWhenUsed/>
    <w:rsid w:val="0017424B"/>
    <w:pPr>
      <w:spacing w:after="120" w:line="480" w:lineRule="auto"/>
      <w:ind w:left="360"/>
    </w:pPr>
  </w:style>
  <w:style w:type="character" w:customStyle="1" w:styleId="BodyTextIndent2Char">
    <w:name w:val="Body Text Indent 2 Char"/>
    <w:basedOn w:val="DefaultParagraphFont"/>
    <w:link w:val="BodyTextIndent2"/>
    <w:uiPriority w:val="99"/>
    <w:semiHidden/>
    <w:rsid w:val="0017424B"/>
    <w:rPr>
      <w:sz w:val="22"/>
      <w:szCs w:val="22"/>
      <w:lang w:val="en-GB"/>
    </w:rPr>
  </w:style>
  <w:style w:type="paragraph" w:customStyle="1" w:styleId="p7">
    <w:name w:val="p7"/>
    <w:basedOn w:val="Normal"/>
    <w:rsid w:val="0017424B"/>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17424B"/>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17424B"/>
    <w:pPr>
      <w:spacing w:after="240" w:line="360" w:lineRule="auto"/>
      <w:ind w:left="1440" w:hanging="720"/>
      <w:jc w:val="left"/>
    </w:pPr>
    <w:rPr>
      <w:sz w:val="24"/>
      <w:szCs w:val="24"/>
      <w:lang w:val="en-US"/>
    </w:rPr>
  </w:style>
  <w:style w:type="paragraph" w:customStyle="1" w:styleId="xl73">
    <w:name w:val="xl73"/>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5">
    <w:name w:val="xl75"/>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n-CA" w:eastAsia="en-CA"/>
    </w:rPr>
  </w:style>
  <w:style w:type="paragraph" w:customStyle="1" w:styleId="xl76">
    <w:name w:val="xl76"/>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4">
    <w:name w:val="xl74"/>
    <w:basedOn w:val="Normal"/>
    <w:rsid w:val="0017424B"/>
    <w:pPr>
      <w:pBdr>
        <w:bottom w:val="single" w:sz="8" w:space="0" w:color="auto"/>
      </w:pBdr>
      <w:spacing w:before="100" w:beforeAutospacing="1" w:after="100" w:afterAutospacing="1"/>
      <w:jc w:val="left"/>
      <w:textAlignment w:val="center"/>
    </w:pPr>
    <w:rPr>
      <w:b/>
      <w:bCs/>
      <w:sz w:val="16"/>
      <w:szCs w:val="16"/>
      <w:lang w:val="en-CA" w:eastAsia="en-CA"/>
    </w:rPr>
  </w:style>
  <w:style w:type="paragraph" w:customStyle="1" w:styleId="xl77">
    <w:name w:val="xl77"/>
    <w:basedOn w:val="Normal"/>
    <w:rsid w:val="0017424B"/>
    <w:pPr>
      <w:pBdr>
        <w:top w:val="single" w:sz="8" w:space="0" w:color="auto"/>
        <w:bottom w:val="single" w:sz="8" w:space="0" w:color="auto"/>
        <w:right w:val="single" w:sz="8" w:space="0" w:color="auto"/>
      </w:pBdr>
      <w:spacing w:before="100" w:beforeAutospacing="1" w:after="100" w:afterAutospacing="1"/>
      <w:jc w:val="left"/>
      <w:textAlignment w:val="center"/>
    </w:pPr>
    <w:rPr>
      <w:sz w:val="16"/>
      <w:szCs w:val="16"/>
      <w:lang w:val="en-CA" w:eastAsia="en-CA"/>
    </w:rPr>
  </w:style>
  <w:style w:type="paragraph" w:customStyle="1" w:styleId="xl78">
    <w:name w:val="xl78"/>
    <w:basedOn w:val="Normal"/>
    <w:rsid w:val="0017424B"/>
    <w:pPr>
      <w:pBdr>
        <w:top w:val="single" w:sz="8" w:space="0" w:color="auto"/>
        <w:left w:val="single" w:sz="8" w:space="0" w:color="auto"/>
        <w:bottom w:val="single" w:sz="8" w:space="0" w:color="auto"/>
      </w:pBdr>
      <w:spacing w:before="100" w:beforeAutospacing="1" w:after="100" w:afterAutospacing="1"/>
      <w:jc w:val="left"/>
      <w:textAlignment w:val="center"/>
    </w:pPr>
    <w:rPr>
      <w:sz w:val="16"/>
      <w:szCs w:val="16"/>
      <w:lang w:val="en-CA" w:eastAsia="en-CA"/>
    </w:rPr>
  </w:style>
  <w:style w:type="paragraph" w:customStyle="1" w:styleId="xl79">
    <w:name w:val="xl79"/>
    <w:basedOn w:val="Normal"/>
    <w:rsid w:val="0017424B"/>
    <w:pPr>
      <w:pBdr>
        <w:top w:val="single" w:sz="8" w:space="0" w:color="auto"/>
        <w:bottom w:val="single" w:sz="8" w:space="0" w:color="auto"/>
      </w:pBdr>
      <w:spacing w:before="100" w:beforeAutospacing="1" w:after="100" w:afterAutospacing="1"/>
      <w:jc w:val="left"/>
      <w:textAlignment w:val="center"/>
    </w:pPr>
    <w:rPr>
      <w:sz w:val="16"/>
      <w:szCs w:val="16"/>
      <w:lang w:val="en-CA" w:eastAsia="en-CA"/>
    </w:rPr>
  </w:style>
  <w:style w:type="paragraph" w:customStyle="1" w:styleId="xl80">
    <w:name w:val="xl80"/>
    <w:basedOn w:val="Normal"/>
    <w:rsid w:val="0017424B"/>
    <w:pPr>
      <w:pBdr>
        <w:top w:val="single" w:sz="8" w:space="0" w:color="auto"/>
        <w:left w:val="single" w:sz="8" w:space="0" w:color="auto"/>
        <w:bottom w:val="single" w:sz="8" w:space="0" w:color="auto"/>
      </w:pBdr>
      <w:spacing w:before="100" w:beforeAutospacing="1" w:after="100" w:afterAutospacing="1"/>
      <w:jc w:val="left"/>
      <w:textAlignment w:val="center"/>
    </w:pPr>
    <w:rPr>
      <w:b/>
      <w:bCs/>
      <w:sz w:val="16"/>
      <w:szCs w:val="16"/>
      <w:lang w:val="en-CA" w:eastAsia="en-CA"/>
    </w:rPr>
  </w:style>
  <w:style w:type="paragraph" w:customStyle="1" w:styleId="xl81">
    <w:name w:val="xl81"/>
    <w:basedOn w:val="Normal"/>
    <w:rsid w:val="0017424B"/>
    <w:pPr>
      <w:pBdr>
        <w:top w:val="single" w:sz="8" w:space="0" w:color="auto"/>
        <w:bottom w:val="single" w:sz="8" w:space="0" w:color="auto"/>
      </w:pBdr>
      <w:spacing w:before="100" w:beforeAutospacing="1" w:after="100" w:afterAutospacing="1"/>
      <w:jc w:val="left"/>
      <w:textAlignment w:val="center"/>
    </w:pPr>
    <w:rPr>
      <w:b/>
      <w:bCs/>
      <w:sz w:val="16"/>
      <w:szCs w:val="16"/>
      <w:lang w:val="en-CA" w:eastAsia="en-CA"/>
    </w:rPr>
  </w:style>
  <w:style w:type="paragraph" w:customStyle="1" w:styleId="xl82">
    <w:name w:val="xl82"/>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83">
    <w:name w:val="xl83"/>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CA" w:eastAsia="en-CA"/>
    </w:rPr>
  </w:style>
  <w:style w:type="paragraph" w:customStyle="1" w:styleId="xl84">
    <w:name w:val="xl84"/>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85">
    <w:name w:val="xl85"/>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86">
    <w:name w:val="xl86"/>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87">
    <w:name w:val="xl87"/>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88">
    <w:name w:val="xl88"/>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89">
    <w:name w:val="xl89"/>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90">
    <w:name w:val="xl90"/>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91">
    <w:name w:val="xl91"/>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92">
    <w:name w:val="xl92"/>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93">
    <w:name w:val="xl93"/>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94">
    <w:name w:val="xl94"/>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95">
    <w:name w:val="xl95"/>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96">
    <w:name w:val="xl96"/>
    <w:basedOn w:val="Normal"/>
    <w:rsid w:val="0017424B"/>
    <w:pPr>
      <w:pBdr>
        <w:top w:val="single" w:sz="8" w:space="0" w:color="auto"/>
        <w:bottom w:val="single" w:sz="8" w:space="0" w:color="auto"/>
      </w:pBdr>
      <w:spacing w:before="100" w:beforeAutospacing="1" w:after="100" w:afterAutospacing="1"/>
      <w:jc w:val="left"/>
      <w:textAlignment w:val="center"/>
    </w:pPr>
    <w:rPr>
      <w:sz w:val="16"/>
      <w:szCs w:val="16"/>
      <w:lang w:val="en-CA" w:eastAsia="en-CA"/>
    </w:rPr>
  </w:style>
  <w:style w:type="paragraph" w:customStyle="1" w:styleId="xl97">
    <w:name w:val="xl97"/>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98">
    <w:name w:val="xl98"/>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val="en-CA" w:eastAsia="en-CA"/>
    </w:rPr>
  </w:style>
  <w:style w:type="paragraph" w:customStyle="1" w:styleId="xl99">
    <w:name w:val="xl99"/>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00">
    <w:name w:val="xl100"/>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01">
    <w:name w:val="xl101"/>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val="en-CA" w:eastAsia="en-CA"/>
    </w:rPr>
  </w:style>
  <w:style w:type="paragraph" w:customStyle="1" w:styleId="xl102">
    <w:name w:val="xl102"/>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03">
    <w:name w:val="xl103"/>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04">
    <w:name w:val="xl104"/>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105">
    <w:name w:val="xl105"/>
    <w:basedOn w:val="Normal"/>
    <w:rsid w:val="00F86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sz w:val="16"/>
      <w:szCs w:val="16"/>
      <w:lang w:val="en-CA" w:eastAsia="en-CA"/>
    </w:rPr>
  </w:style>
  <w:style w:type="paragraph" w:customStyle="1" w:styleId="xl106">
    <w:name w:val="xl106"/>
    <w:basedOn w:val="Normal"/>
    <w:rsid w:val="00F86110"/>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lang w:val="en-CA" w:eastAsia="en-CA"/>
    </w:rPr>
  </w:style>
  <w:style w:type="paragraph" w:customStyle="1" w:styleId="xl107">
    <w:name w:val="xl107"/>
    <w:basedOn w:val="Normal"/>
    <w:rsid w:val="00F86110"/>
    <w:pPr>
      <w:pBdr>
        <w:top w:val="single" w:sz="4" w:space="0" w:color="auto"/>
        <w:bottom w:val="single" w:sz="4" w:space="0" w:color="auto"/>
      </w:pBdr>
      <w:spacing w:before="100" w:beforeAutospacing="1" w:after="100" w:afterAutospacing="1"/>
      <w:jc w:val="center"/>
      <w:textAlignment w:val="center"/>
    </w:pPr>
    <w:rPr>
      <w:sz w:val="24"/>
      <w:szCs w:val="24"/>
      <w:lang w:val="en-CA" w:eastAsia="en-CA"/>
    </w:rPr>
  </w:style>
  <w:style w:type="paragraph" w:customStyle="1" w:styleId="xl108">
    <w:name w:val="xl108"/>
    <w:basedOn w:val="Normal"/>
    <w:rsid w:val="00F8611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n-CA" w:eastAsia="en-CA"/>
    </w:rPr>
  </w:style>
  <w:style w:type="paragraph" w:customStyle="1" w:styleId="xl109">
    <w:name w:val="xl109"/>
    <w:basedOn w:val="Normal"/>
    <w:rsid w:val="00F86110"/>
    <w:pPr>
      <w:pBdr>
        <w:top w:val="single" w:sz="8" w:space="0" w:color="auto"/>
        <w:left w:val="single" w:sz="8" w:space="0" w:color="auto"/>
      </w:pBdr>
      <w:spacing w:before="100" w:beforeAutospacing="1" w:after="100" w:afterAutospacing="1"/>
      <w:jc w:val="center"/>
      <w:textAlignment w:val="center"/>
    </w:pPr>
    <w:rPr>
      <w:b/>
      <w:bCs/>
      <w:sz w:val="16"/>
      <w:szCs w:val="16"/>
      <w:lang w:val="en-CA" w:eastAsia="en-CA"/>
    </w:rPr>
  </w:style>
  <w:style w:type="paragraph" w:customStyle="1" w:styleId="xl110">
    <w:name w:val="xl110"/>
    <w:basedOn w:val="Normal"/>
    <w:rsid w:val="00F86110"/>
    <w:pPr>
      <w:pBdr>
        <w:left w:val="single" w:sz="8" w:space="0" w:color="auto"/>
        <w:bottom w:val="single" w:sz="8" w:space="0" w:color="auto"/>
      </w:pBdr>
      <w:spacing w:before="100" w:beforeAutospacing="1" w:after="100" w:afterAutospacing="1"/>
      <w:jc w:val="center"/>
      <w:textAlignment w:val="center"/>
    </w:pPr>
    <w:rPr>
      <w:sz w:val="24"/>
      <w:szCs w:val="24"/>
      <w:lang w:val="en-CA" w:eastAsia="en-CA"/>
    </w:rPr>
  </w:style>
  <w:style w:type="numbering" w:customStyle="1" w:styleId="NoList1">
    <w:name w:val="No List1"/>
    <w:next w:val="NoList"/>
    <w:uiPriority w:val="99"/>
    <w:semiHidden/>
    <w:unhideWhenUsed/>
    <w:rsid w:val="00F861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17424B"/>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17424B"/>
    <w:rPr>
      <w:sz w:val="22"/>
      <w:szCs w:val="22"/>
      <w:lang w:val="en-GB"/>
    </w:rPr>
  </w:style>
  <w:style w:type="character" w:customStyle="1" w:styleId="0Heading0Char">
    <w:name w:val="0 Heading 0 Char"/>
    <w:link w:val="0Heading0"/>
    <w:rsid w:val="0017424B"/>
    <w:rPr>
      <w:sz w:val="22"/>
      <w:szCs w:val="22"/>
      <w:lang w:val="en-GB"/>
    </w:rPr>
  </w:style>
  <w:style w:type="character" w:styleId="FootnoteReference">
    <w:name w:val="footnote reference"/>
    <w:aliases w:val="16 Point,Superscript 6 Point,Footnote text,Footnote Text1,Footnote Text2"/>
    <w:uiPriority w:val="99"/>
    <w:rsid w:val="0017424B"/>
    <w:rPr>
      <w:vertAlign w:val="superscript"/>
    </w:rPr>
  </w:style>
  <w:style w:type="paragraph" w:styleId="FootnoteText">
    <w:name w:val="footnote text"/>
    <w:aliases w:val=" Char1, Char1 Char Char,Fußnotentextf,Char1,Char1 Char Char"/>
    <w:basedOn w:val="Normal"/>
    <w:link w:val="FootnoteTextChar"/>
    <w:uiPriority w:val="99"/>
    <w:qFormat/>
    <w:rsid w:val="0017424B"/>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17424B"/>
    <w:rPr>
      <w:snapToGrid w:val="0"/>
      <w:szCs w:val="24"/>
      <w:lang w:val="en-GB"/>
    </w:rPr>
  </w:style>
  <w:style w:type="character" w:customStyle="1" w:styleId="Heading3Char3CharCharChar">
    <w:name w:val="Heading 3 Char3 Char Char Char"/>
    <w:basedOn w:val="DefaultParagraphFont"/>
    <w:rsid w:val="0017424B"/>
    <w:rPr>
      <w:sz w:val="22"/>
      <w:szCs w:val="22"/>
      <w:lang w:val="en-GB" w:eastAsia="en-US" w:bidi="ar-SA"/>
    </w:rPr>
  </w:style>
  <w:style w:type="paragraph" w:styleId="EndnoteText">
    <w:name w:val="endnote text"/>
    <w:basedOn w:val="Normal"/>
    <w:link w:val="EndnoteTextChar"/>
    <w:uiPriority w:val="99"/>
    <w:semiHidden/>
    <w:unhideWhenUsed/>
    <w:rsid w:val="0017424B"/>
    <w:rPr>
      <w:sz w:val="20"/>
      <w:szCs w:val="20"/>
    </w:rPr>
  </w:style>
  <w:style w:type="character" w:customStyle="1" w:styleId="EndnoteTextChar">
    <w:name w:val="Endnote Text Char"/>
    <w:basedOn w:val="DefaultParagraphFont"/>
    <w:link w:val="EndnoteText"/>
    <w:uiPriority w:val="99"/>
    <w:semiHidden/>
    <w:rsid w:val="0017424B"/>
    <w:rPr>
      <w:lang w:val="en-GB"/>
    </w:rPr>
  </w:style>
  <w:style w:type="character" w:styleId="EndnoteReference">
    <w:name w:val="endnote reference"/>
    <w:basedOn w:val="DefaultParagraphFont"/>
    <w:uiPriority w:val="99"/>
    <w:semiHidden/>
    <w:unhideWhenUsed/>
    <w:rsid w:val="0017424B"/>
    <w:rPr>
      <w:vertAlign w:val="superscript"/>
    </w:rPr>
  </w:style>
  <w:style w:type="paragraph" w:styleId="ListParagraph">
    <w:name w:val="List Paragraph"/>
    <w:basedOn w:val="Normal"/>
    <w:uiPriority w:val="34"/>
    <w:qFormat/>
    <w:rsid w:val="0017424B"/>
    <w:pPr>
      <w:ind w:left="720"/>
      <w:contextualSpacing/>
    </w:pPr>
    <w:rPr>
      <w:lang w:val="en-US"/>
    </w:rPr>
  </w:style>
  <w:style w:type="paragraph" w:styleId="BodyTextIndent">
    <w:name w:val="Body Text Indent"/>
    <w:basedOn w:val="Normal"/>
    <w:link w:val="BodyTextIndentChar"/>
    <w:semiHidden/>
    <w:rsid w:val="0017424B"/>
    <w:pPr>
      <w:spacing w:after="120"/>
      <w:ind w:left="360"/>
    </w:pPr>
    <w:rPr>
      <w:szCs w:val="20"/>
    </w:rPr>
  </w:style>
  <w:style w:type="character" w:customStyle="1" w:styleId="BodyTextIndentChar">
    <w:name w:val="Body Text Indent Char"/>
    <w:basedOn w:val="DefaultParagraphFont"/>
    <w:link w:val="BodyTextIndent"/>
    <w:semiHidden/>
    <w:rsid w:val="0017424B"/>
    <w:rPr>
      <w:sz w:val="22"/>
      <w:lang w:val="en-GB"/>
    </w:rPr>
  </w:style>
  <w:style w:type="paragraph" w:styleId="ListBullet">
    <w:name w:val="List Bullet"/>
    <w:basedOn w:val="Normal"/>
    <w:autoRedefine/>
    <w:semiHidden/>
    <w:rsid w:val="0017424B"/>
    <w:pPr>
      <w:tabs>
        <w:tab w:val="num" w:pos="360"/>
      </w:tabs>
      <w:ind w:left="360" w:hanging="360"/>
    </w:pPr>
  </w:style>
  <w:style w:type="character" w:customStyle="1" w:styleId="FooterChar">
    <w:name w:val="Footer Char"/>
    <w:basedOn w:val="DefaultParagraphFont"/>
    <w:link w:val="Footer"/>
    <w:uiPriority w:val="99"/>
    <w:rsid w:val="0017424B"/>
    <w:rPr>
      <w:sz w:val="22"/>
      <w:szCs w:val="22"/>
      <w:lang w:val="en-GB"/>
    </w:rPr>
  </w:style>
  <w:style w:type="character" w:customStyle="1" w:styleId="hps">
    <w:name w:val="hps"/>
    <w:basedOn w:val="DefaultParagraphFont"/>
    <w:rsid w:val="0017424B"/>
  </w:style>
  <w:style w:type="character" w:customStyle="1" w:styleId="HeaderChar">
    <w:name w:val="Header Char"/>
    <w:basedOn w:val="DefaultParagraphFont"/>
    <w:link w:val="Header"/>
    <w:uiPriority w:val="99"/>
    <w:rsid w:val="0017424B"/>
    <w:rPr>
      <w:sz w:val="22"/>
      <w:szCs w:val="22"/>
      <w:lang w:val="en-GB"/>
    </w:rPr>
  </w:style>
  <w:style w:type="paragraph" w:styleId="BodyText">
    <w:name w:val="Body Text"/>
    <w:basedOn w:val="Normal"/>
    <w:link w:val="BodyTextChar"/>
    <w:uiPriority w:val="99"/>
    <w:unhideWhenUsed/>
    <w:rsid w:val="0017424B"/>
    <w:pPr>
      <w:spacing w:after="120"/>
    </w:pPr>
  </w:style>
  <w:style w:type="character" w:customStyle="1" w:styleId="BodyTextChar">
    <w:name w:val="Body Text Char"/>
    <w:basedOn w:val="DefaultParagraphFont"/>
    <w:link w:val="BodyText"/>
    <w:uiPriority w:val="99"/>
    <w:rsid w:val="0017424B"/>
    <w:rPr>
      <w:sz w:val="22"/>
      <w:szCs w:val="22"/>
      <w:lang w:val="en-GB"/>
    </w:rPr>
  </w:style>
  <w:style w:type="paragraph" w:customStyle="1" w:styleId="CH1">
    <w:name w:val="CH1"/>
    <w:basedOn w:val="Normal"/>
    <w:next w:val="Normal"/>
    <w:link w:val="CH1Char"/>
    <w:rsid w:val="0017424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17424B"/>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rsid w:val="0017424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17424B"/>
    <w:rPr>
      <w:rFonts w:ascii="Times New Roman" w:hAnsi="Times New Roman"/>
      <w:color w:val="auto"/>
      <w:sz w:val="20"/>
      <w:szCs w:val="20"/>
      <w:u w:val="none"/>
      <w:lang w:val="fr-FR"/>
    </w:rPr>
  </w:style>
  <w:style w:type="numbering" w:customStyle="1" w:styleId="Normallist">
    <w:name w:val="Normal_list"/>
    <w:basedOn w:val="NoList"/>
    <w:rsid w:val="0017424B"/>
    <w:pPr>
      <w:numPr>
        <w:numId w:val="21"/>
      </w:numPr>
    </w:pPr>
  </w:style>
  <w:style w:type="paragraph" w:customStyle="1" w:styleId="NormalNonumber">
    <w:name w:val="Normal_No_number"/>
    <w:basedOn w:val="Normal"/>
    <w:link w:val="NormalNonumberChar"/>
    <w:autoRedefine/>
    <w:rsid w:val="0017424B"/>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17424B"/>
    <w:pPr>
      <w:numPr>
        <w:numId w:val="22"/>
      </w:numPr>
      <w:spacing w:after="120"/>
      <w:jc w:val="left"/>
    </w:pPr>
    <w:rPr>
      <w:sz w:val="20"/>
      <w:szCs w:val="20"/>
      <w:lang w:val="en-US"/>
    </w:rPr>
  </w:style>
  <w:style w:type="table" w:customStyle="1" w:styleId="Tabledocright">
    <w:name w:val="Table_doc_right"/>
    <w:basedOn w:val="TableNormal"/>
    <w:rsid w:val="0017424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17424B"/>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17424B"/>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rsid w:val="0017424B"/>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17424B"/>
    <w:rPr>
      <w:b/>
      <w:sz w:val="28"/>
      <w:szCs w:val="28"/>
      <w:lang w:val="fr-FR"/>
    </w:rPr>
  </w:style>
  <w:style w:type="character" w:customStyle="1" w:styleId="NormalnumberChar">
    <w:name w:val="Normal_number Char"/>
    <w:link w:val="Normalnumber"/>
    <w:locked/>
    <w:rsid w:val="0017424B"/>
  </w:style>
  <w:style w:type="character" w:customStyle="1" w:styleId="CH2Char">
    <w:name w:val="CH2 Char"/>
    <w:link w:val="CH2"/>
    <w:locked/>
    <w:rsid w:val="0017424B"/>
    <w:rPr>
      <w:b/>
      <w:sz w:val="24"/>
      <w:szCs w:val="24"/>
      <w:lang w:val="fr-FR"/>
    </w:rPr>
  </w:style>
  <w:style w:type="character" w:customStyle="1" w:styleId="NormalNonumberChar">
    <w:name w:val="Normal_No_number Char"/>
    <w:link w:val="NormalNonumber"/>
    <w:locked/>
    <w:rsid w:val="0017424B"/>
    <w:rPr>
      <w:lang w:val="en-GB"/>
    </w:rPr>
  </w:style>
  <w:style w:type="numbering" w:customStyle="1" w:styleId="List0">
    <w:name w:val="List 0"/>
    <w:basedOn w:val="NoList"/>
    <w:rsid w:val="0017424B"/>
    <w:pPr>
      <w:numPr>
        <w:numId w:val="23"/>
      </w:numPr>
    </w:pPr>
  </w:style>
  <w:style w:type="character" w:customStyle="1" w:styleId="tgc">
    <w:name w:val="_tgc"/>
    <w:basedOn w:val="DefaultParagraphFont"/>
    <w:rsid w:val="0017424B"/>
  </w:style>
  <w:style w:type="character" w:styleId="FollowedHyperlink">
    <w:name w:val="FollowedHyperlink"/>
    <w:basedOn w:val="DefaultParagraphFont"/>
    <w:uiPriority w:val="99"/>
    <w:semiHidden/>
    <w:unhideWhenUsed/>
    <w:rsid w:val="0017424B"/>
    <w:rPr>
      <w:color w:val="800080"/>
      <w:u w:val="single"/>
    </w:rPr>
  </w:style>
  <w:style w:type="paragraph" w:customStyle="1" w:styleId="xl64">
    <w:name w:val="xl64"/>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semiHidden/>
    <w:unhideWhenUsed/>
    <w:rsid w:val="0017424B"/>
    <w:pPr>
      <w:spacing w:after="240"/>
      <w:jc w:val="left"/>
    </w:pPr>
    <w:rPr>
      <w:sz w:val="24"/>
      <w:szCs w:val="24"/>
      <w:lang w:val="en-US"/>
    </w:rPr>
  </w:style>
  <w:style w:type="paragraph" w:customStyle="1" w:styleId="Default">
    <w:name w:val="Default"/>
    <w:rsid w:val="0017424B"/>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17424B"/>
    <w:pPr>
      <w:spacing w:line="241" w:lineRule="atLeast"/>
    </w:pPr>
    <w:rPr>
      <w:rFonts w:cstheme="minorBidi"/>
      <w:color w:val="auto"/>
    </w:rPr>
  </w:style>
  <w:style w:type="character" w:customStyle="1" w:styleId="A0">
    <w:name w:val="A0"/>
    <w:uiPriority w:val="99"/>
    <w:rsid w:val="0017424B"/>
    <w:rPr>
      <w:rFonts w:cs="Merriweather Light"/>
      <w:color w:val="4C4F50"/>
      <w:sz w:val="16"/>
      <w:szCs w:val="16"/>
    </w:rPr>
  </w:style>
  <w:style w:type="character" w:customStyle="1" w:styleId="apple-converted-space">
    <w:name w:val="apple-converted-space"/>
    <w:basedOn w:val="DefaultParagraphFont"/>
    <w:rsid w:val="0017424B"/>
  </w:style>
  <w:style w:type="character" w:customStyle="1" w:styleId="Heading5Char">
    <w:name w:val="Heading 5 Char"/>
    <w:basedOn w:val="DefaultParagraphFont"/>
    <w:link w:val="Heading5"/>
    <w:uiPriority w:val="9"/>
    <w:rsid w:val="0017424B"/>
    <w:rPr>
      <w:sz w:val="22"/>
      <w:szCs w:val="22"/>
      <w:lang w:val="en-GB"/>
    </w:rPr>
  </w:style>
  <w:style w:type="paragraph" w:styleId="BodyTextIndent2">
    <w:name w:val="Body Text Indent 2"/>
    <w:basedOn w:val="Normal"/>
    <w:link w:val="BodyTextIndent2Char"/>
    <w:uiPriority w:val="99"/>
    <w:semiHidden/>
    <w:unhideWhenUsed/>
    <w:rsid w:val="0017424B"/>
    <w:pPr>
      <w:spacing w:after="120" w:line="480" w:lineRule="auto"/>
      <w:ind w:left="360"/>
    </w:pPr>
  </w:style>
  <w:style w:type="character" w:customStyle="1" w:styleId="BodyTextIndent2Char">
    <w:name w:val="Body Text Indent 2 Char"/>
    <w:basedOn w:val="DefaultParagraphFont"/>
    <w:link w:val="BodyTextIndent2"/>
    <w:uiPriority w:val="99"/>
    <w:semiHidden/>
    <w:rsid w:val="0017424B"/>
    <w:rPr>
      <w:sz w:val="22"/>
      <w:szCs w:val="22"/>
      <w:lang w:val="en-GB"/>
    </w:rPr>
  </w:style>
  <w:style w:type="paragraph" w:customStyle="1" w:styleId="p7">
    <w:name w:val="p7"/>
    <w:basedOn w:val="Normal"/>
    <w:rsid w:val="0017424B"/>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17424B"/>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17424B"/>
    <w:pPr>
      <w:spacing w:after="240" w:line="360" w:lineRule="auto"/>
      <w:ind w:left="1440" w:hanging="720"/>
      <w:jc w:val="left"/>
    </w:pPr>
    <w:rPr>
      <w:sz w:val="24"/>
      <w:szCs w:val="24"/>
      <w:lang w:val="en-US"/>
    </w:rPr>
  </w:style>
  <w:style w:type="paragraph" w:customStyle="1" w:styleId="xl73">
    <w:name w:val="xl73"/>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5">
    <w:name w:val="xl75"/>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n-CA" w:eastAsia="en-CA"/>
    </w:rPr>
  </w:style>
  <w:style w:type="paragraph" w:customStyle="1" w:styleId="xl76">
    <w:name w:val="xl76"/>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4">
    <w:name w:val="xl74"/>
    <w:basedOn w:val="Normal"/>
    <w:rsid w:val="0017424B"/>
    <w:pPr>
      <w:pBdr>
        <w:bottom w:val="single" w:sz="8" w:space="0" w:color="auto"/>
      </w:pBdr>
      <w:spacing w:before="100" w:beforeAutospacing="1" w:after="100" w:afterAutospacing="1"/>
      <w:jc w:val="left"/>
      <w:textAlignment w:val="center"/>
    </w:pPr>
    <w:rPr>
      <w:b/>
      <w:bCs/>
      <w:sz w:val="16"/>
      <w:szCs w:val="16"/>
      <w:lang w:val="en-CA" w:eastAsia="en-CA"/>
    </w:rPr>
  </w:style>
  <w:style w:type="paragraph" w:customStyle="1" w:styleId="xl77">
    <w:name w:val="xl77"/>
    <w:basedOn w:val="Normal"/>
    <w:rsid w:val="0017424B"/>
    <w:pPr>
      <w:pBdr>
        <w:top w:val="single" w:sz="8" w:space="0" w:color="auto"/>
        <w:bottom w:val="single" w:sz="8" w:space="0" w:color="auto"/>
        <w:right w:val="single" w:sz="8" w:space="0" w:color="auto"/>
      </w:pBdr>
      <w:spacing w:before="100" w:beforeAutospacing="1" w:after="100" w:afterAutospacing="1"/>
      <w:jc w:val="left"/>
      <w:textAlignment w:val="center"/>
    </w:pPr>
    <w:rPr>
      <w:sz w:val="16"/>
      <w:szCs w:val="16"/>
      <w:lang w:val="en-CA" w:eastAsia="en-CA"/>
    </w:rPr>
  </w:style>
  <w:style w:type="paragraph" w:customStyle="1" w:styleId="xl78">
    <w:name w:val="xl78"/>
    <w:basedOn w:val="Normal"/>
    <w:rsid w:val="0017424B"/>
    <w:pPr>
      <w:pBdr>
        <w:top w:val="single" w:sz="8" w:space="0" w:color="auto"/>
        <w:left w:val="single" w:sz="8" w:space="0" w:color="auto"/>
        <w:bottom w:val="single" w:sz="8" w:space="0" w:color="auto"/>
      </w:pBdr>
      <w:spacing w:before="100" w:beforeAutospacing="1" w:after="100" w:afterAutospacing="1"/>
      <w:jc w:val="left"/>
      <w:textAlignment w:val="center"/>
    </w:pPr>
    <w:rPr>
      <w:sz w:val="16"/>
      <w:szCs w:val="16"/>
      <w:lang w:val="en-CA" w:eastAsia="en-CA"/>
    </w:rPr>
  </w:style>
  <w:style w:type="paragraph" w:customStyle="1" w:styleId="xl79">
    <w:name w:val="xl79"/>
    <w:basedOn w:val="Normal"/>
    <w:rsid w:val="0017424B"/>
    <w:pPr>
      <w:pBdr>
        <w:top w:val="single" w:sz="8" w:space="0" w:color="auto"/>
        <w:bottom w:val="single" w:sz="8" w:space="0" w:color="auto"/>
      </w:pBdr>
      <w:spacing w:before="100" w:beforeAutospacing="1" w:after="100" w:afterAutospacing="1"/>
      <w:jc w:val="left"/>
      <w:textAlignment w:val="center"/>
    </w:pPr>
    <w:rPr>
      <w:sz w:val="16"/>
      <w:szCs w:val="16"/>
      <w:lang w:val="en-CA" w:eastAsia="en-CA"/>
    </w:rPr>
  </w:style>
  <w:style w:type="paragraph" w:customStyle="1" w:styleId="xl80">
    <w:name w:val="xl80"/>
    <w:basedOn w:val="Normal"/>
    <w:rsid w:val="0017424B"/>
    <w:pPr>
      <w:pBdr>
        <w:top w:val="single" w:sz="8" w:space="0" w:color="auto"/>
        <w:left w:val="single" w:sz="8" w:space="0" w:color="auto"/>
        <w:bottom w:val="single" w:sz="8" w:space="0" w:color="auto"/>
      </w:pBdr>
      <w:spacing w:before="100" w:beforeAutospacing="1" w:after="100" w:afterAutospacing="1"/>
      <w:jc w:val="left"/>
      <w:textAlignment w:val="center"/>
    </w:pPr>
    <w:rPr>
      <w:b/>
      <w:bCs/>
      <w:sz w:val="16"/>
      <w:szCs w:val="16"/>
      <w:lang w:val="en-CA" w:eastAsia="en-CA"/>
    </w:rPr>
  </w:style>
  <w:style w:type="paragraph" w:customStyle="1" w:styleId="xl81">
    <w:name w:val="xl81"/>
    <w:basedOn w:val="Normal"/>
    <w:rsid w:val="0017424B"/>
    <w:pPr>
      <w:pBdr>
        <w:top w:val="single" w:sz="8" w:space="0" w:color="auto"/>
        <w:bottom w:val="single" w:sz="8" w:space="0" w:color="auto"/>
      </w:pBdr>
      <w:spacing w:before="100" w:beforeAutospacing="1" w:after="100" w:afterAutospacing="1"/>
      <w:jc w:val="left"/>
      <w:textAlignment w:val="center"/>
    </w:pPr>
    <w:rPr>
      <w:b/>
      <w:bCs/>
      <w:sz w:val="16"/>
      <w:szCs w:val="16"/>
      <w:lang w:val="en-CA" w:eastAsia="en-CA"/>
    </w:rPr>
  </w:style>
  <w:style w:type="paragraph" w:customStyle="1" w:styleId="xl82">
    <w:name w:val="xl82"/>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83">
    <w:name w:val="xl83"/>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CA" w:eastAsia="en-CA"/>
    </w:rPr>
  </w:style>
  <w:style w:type="paragraph" w:customStyle="1" w:styleId="xl84">
    <w:name w:val="xl84"/>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85">
    <w:name w:val="xl85"/>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86">
    <w:name w:val="xl86"/>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87">
    <w:name w:val="xl87"/>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88">
    <w:name w:val="xl88"/>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89">
    <w:name w:val="xl89"/>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90">
    <w:name w:val="xl90"/>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91">
    <w:name w:val="xl91"/>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92">
    <w:name w:val="xl92"/>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93">
    <w:name w:val="xl93"/>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94">
    <w:name w:val="xl94"/>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95">
    <w:name w:val="xl95"/>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96">
    <w:name w:val="xl96"/>
    <w:basedOn w:val="Normal"/>
    <w:rsid w:val="0017424B"/>
    <w:pPr>
      <w:pBdr>
        <w:top w:val="single" w:sz="8" w:space="0" w:color="auto"/>
        <w:bottom w:val="single" w:sz="8" w:space="0" w:color="auto"/>
      </w:pBdr>
      <w:spacing w:before="100" w:beforeAutospacing="1" w:after="100" w:afterAutospacing="1"/>
      <w:jc w:val="left"/>
      <w:textAlignment w:val="center"/>
    </w:pPr>
    <w:rPr>
      <w:sz w:val="16"/>
      <w:szCs w:val="16"/>
      <w:lang w:val="en-CA" w:eastAsia="en-CA"/>
    </w:rPr>
  </w:style>
  <w:style w:type="paragraph" w:customStyle="1" w:styleId="xl97">
    <w:name w:val="xl97"/>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98">
    <w:name w:val="xl98"/>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val="en-CA" w:eastAsia="en-CA"/>
    </w:rPr>
  </w:style>
  <w:style w:type="paragraph" w:customStyle="1" w:styleId="xl99">
    <w:name w:val="xl99"/>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00">
    <w:name w:val="xl100"/>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01">
    <w:name w:val="xl101"/>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val="en-CA" w:eastAsia="en-CA"/>
    </w:rPr>
  </w:style>
  <w:style w:type="paragraph" w:customStyle="1" w:styleId="xl102">
    <w:name w:val="xl102"/>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03">
    <w:name w:val="xl103"/>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04">
    <w:name w:val="xl104"/>
    <w:basedOn w:val="Normal"/>
    <w:rsid w:val="0017424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lang w:val="en-CA" w:eastAsia="en-CA"/>
    </w:rPr>
  </w:style>
  <w:style w:type="paragraph" w:customStyle="1" w:styleId="xl105">
    <w:name w:val="xl105"/>
    <w:basedOn w:val="Normal"/>
    <w:rsid w:val="00F86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sz w:val="16"/>
      <w:szCs w:val="16"/>
      <w:lang w:val="en-CA" w:eastAsia="en-CA"/>
    </w:rPr>
  </w:style>
  <w:style w:type="paragraph" w:customStyle="1" w:styleId="xl106">
    <w:name w:val="xl106"/>
    <w:basedOn w:val="Normal"/>
    <w:rsid w:val="00F86110"/>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lang w:val="en-CA" w:eastAsia="en-CA"/>
    </w:rPr>
  </w:style>
  <w:style w:type="paragraph" w:customStyle="1" w:styleId="xl107">
    <w:name w:val="xl107"/>
    <w:basedOn w:val="Normal"/>
    <w:rsid w:val="00F86110"/>
    <w:pPr>
      <w:pBdr>
        <w:top w:val="single" w:sz="4" w:space="0" w:color="auto"/>
        <w:bottom w:val="single" w:sz="4" w:space="0" w:color="auto"/>
      </w:pBdr>
      <w:spacing w:before="100" w:beforeAutospacing="1" w:after="100" w:afterAutospacing="1"/>
      <w:jc w:val="center"/>
      <w:textAlignment w:val="center"/>
    </w:pPr>
    <w:rPr>
      <w:sz w:val="24"/>
      <w:szCs w:val="24"/>
      <w:lang w:val="en-CA" w:eastAsia="en-CA"/>
    </w:rPr>
  </w:style>
  <w:style w:type="paragraph" w:customStyle="1" w:styleId="xl108">
    <w:name w:val="xl108"/>
    <w:basedOn w:val="Normal"/>
    <w:rsid w:val="00F8611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n-CA" w:eastAsia="en-CA"/>
    </w:rPr>
  </w:style>
  <w:style w:type="paragraph" w:customStyle="1" w:styleId="xl109">
    <w:name w:val="xl109"/>
    <w:basedOn w:val="Normal"/>
    <w:rsid w:val="00F86110"/>
    <w:pPr>
      <w:pBdr>
        <w:top w:val="single" w:sz="8" w:space="0" w:color="auto"/>
        <w:left w:val="single" w:sz="8" w:space="0" w:color="auto"/>
      </w:pBdr>
      <w:spacing w:before="100" w:beforeAutospacing="1" w:after="100" w:afterAutospacing="1"/>
      <w:jc w:val="center"/>
      <w:textAlignment w:val="center"/>
    </w:pPr>
    <w:rPr>
      <w:b/>
      <w:bCs/>
      <w:sz w:val="16"/>
      <w:szCs w:val="16"/>
      <w:lang w:val="en-CA" w:eastAsia="en-CA"/>
    </w:rPr>
  </w:style>
  <w:style w:type="paragraph" w:customStyle="1" w:styleId="xl110">
    <w:name w:val="xl110"/>
    <w:basedOn w:val="Normal"/>
    <w:rsid w:val="00F86110"/>
    <w:pPr>
      <w:pBdr>
        <w:left w:val="single" w:sz="8" w:space="0" w:color="auto"/>
        <w:bottom w:val="single" w:sz="8" w:space="0" w:color="auto"/>
      </w:pBdr>
      <w:spacing w:before="100" w:beforeAutospacing="1" w:after="100" w:afterAutospacing="1"/>
      <w:jc w:val="center"/>
      <w:textAlignment w:val="center"/>
    </w:pPr>
    <w:rPr>
      <w:sz w:val="24"/>
      <w:szCs w:val="24"/>
      <w:lang w:val="en-CA" w:eastAsia="en-CA"/>
    </w:rPr>
  </w:style>
  <w:style w:type="numbering" w:customStyle="1" w:styleId="NoList1">
    <w:name w:val="No List1"/>
    <w:next w:val="NoList"/>
    <w:uiPriority w:val="99"/>
    <w:semiHidden/>
    <w:unhideWhenUsed/>
    <w:rsid w:val="00F86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8th%20meeting\10%20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UNEP/OzL.Pro/ExCom/78/4</Document_x0020_Number>
    <DocumentType xmlns="64e33b30-101d-41de-b951-961aab25ea29">Pre-session</DocumentType>
  </documentManagement>
</p:properties>
</file>

<file path=customXml/itemProps1.xml><?xml version="1.0" encoding="utf-8"?>
<ds:datastoreItem xmlns:ds="http://schemas.openxmlformats.org/officeDocument/2006/customXml" ds:itemID="{369BBC2C-0450-4653-BC5F-954DEBE7E989}"/>
</file>

<file path=customXml/itemProps2.xml><?xml version="1.0" encoding="utf-8"?>
<ds:datastoreItem xmlns:ds="http://schemas.openxmlformats.org/officeDocument/2006/customXml" ds:itemID="{1396FF38-43FC-4345-A079-B7938593ED47}"/>
</file>

<file path=customXml/itemProps3.xml><?xml version="1.0" encoding="utf-8"?>
<ds:datastoreItem xmlns:ds="http://schemas.openxmlformats.org/officeDocument/2006/customXml" ds:itemID="{DC26C85B-2804-4B28-874D-FD620DBCC40F}"/>
</file>

<file path=customXml/itemProps4.xml><?xml version="1.0" encoding="utf-8"?>
<ds:datastoreItem xmlns:ds="http://schemas.openxmlformats.org/officeDocument/2006/customXml" ds:itemID="{58CE0AEC-3046-4068-AE48-03490089825B}"/>
</file>

<file path=docProps/app.xml><?xml version="1.0" encoding="utf-8"?>
<Properties xmlns="http://schemas.openxmlformats.org/officeDocument/2006/extended-properties" xmlns:vt="http://schemas.openxmlformats.org/officeDocument/2006/docPropsVTypes">
  <Template>Eec78G</Template>
  <TotalTime>55</TotalTime>
  <Pages>14</Pages>
  <Words>4276</Words>
  <Characters>25816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Available information on HFC consumption and production in Article 5 countries</dc:title>
  <dc:creator>Nanette Guerin</dc:creator>
  <cp:lastModifiedBy>Nanette Guerin</cp:lastModifiedBy>
  <cp:revision>15</cp:revision>
  <cp:lastPrinted>2017-03-06T23:48:00Z</cp:lastPrinted>
  <dcterms:created xsi:type="dcterms:W3CDTF">2017-03-06T20:26:00Z</dcterms:created>
  <dcterms:modified xsi:type="dcterms:W3CDTF">2017-03-06T23:49:00Z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UNEP/OzL.Pro/ExCom/78/4</vt:lpwstr>
  </property>
  <property fmtid="{D5CDD505-2E9C-101B-9397-08002B2CF9AE}" pid="3" name="Revision date">
    <vt:filetime>2017-03-06T05:00:00Z</vt:filetime>
  </property>
  <property fmtid="{D5CDD505-2E9C-101B-9397-08002B2CF9AE}" pid="4" name="ContentTypeId">
    <vt:lpwstr>0x010100073A11D1F9B5B04884651DA4BF4C02E8</vt:lpwstr>
  </property>
</Properties>
</file>