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2" w:type="dxa"/>
        <w:tblInd w:w="-432" w:type="dxa"/>
        <w:tblLayout w:type="fixed"/>
        <w:tblLook w:val="0000" w:firstRow="0" w:lastRow="0" w:firstColumn="0" w:lastColumn="0" w:noHBand="0" w:noVBand="0"/>
      </w:tblPr>
      <w:tblGrid>
        <w:gridCol w:w="2070"/>
        <w:gridCol w:w="4482"/>
        <w:gridCol w:w="3420"/>
      </w:tblGrid>
      <w:tr w:rsidR="00C15867" w:rsidRPr="00FE23DC" w14:paraId="0A1A0D62" w14:textId="77777777" w:rsidTr="00090CB5">
        <w:trPr>
          <w:trHeight w:val="720"/>
        </w:trPr>
        <w:tc>
          <w:tcPr>
            <w:tcW w:w="6552" w:type="dxa"/>
            <w:gridSpan w:val="2"/>
            <w:tcBorders>
              <w:bottom w:val="single" w:sz="18" w:space="0" w:color="auto"/>
            </w:tcBorders>
          </w:tcPr>
          <w:p w14:paraId="46238734" w14:textId="1B95027B" w:rsidR="00C15867" w:rsidRPr="00FE23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E23DC">
              <w:rPr>
                <w:rFonts w:ascii="Univers" w:hAnsi="Univers"/>
                <w:b/>
                <w:sz w:val="28"/>
                <w:szCs w:val="28"/>
              </w:rPr>
              <w:t xml:space="preserve">NACIONES </w:t>
            </w:r>
            <w:r w:rsidR="00090CB5" w:rsidRPr="00FE23DC">
              <w:rPr>
                <w:rFonts w:ascii="Univers" w:hAnsi="Univers"/>
                <w:b/>
                <w:sz w:val="28"/>
                <w:szCs w:val="28"/>
              </w:rPr>
              <w:br/>
            </w:r>
            <w:r w:rsidRPr="00FE23DC">
              <w:rPr>
                <w:rFonts w:ascii="Univers" w:hAnsi="Univers"/>
                <w:b/>
                <w:sz w:val="28"/>
                <w:szCs w:val="28"/>
              </w:rPr>
              <w:t>UNIDAS</w:t>
            </w:r>
          </w:p>
        </w:tc>
        <w:tc>
          <w:tcPr>
            <w:tcW w:w="3420" w:type="dxa"/>
            <w:tcBorders>
              <w:bottom w:val="single" w:sz="18" w:space="0" w:color="auto"/>
            </w:tcBorders>
          </w:tcPr>
          <w:p w14:paraId="5C06C0A9" w14:textId="7D710C84" w:rsidR="00C15867" w:rsidRPr="00FE23DC" w:rsidRDefault="00090CB5" w:rsidP="00090CB5">
            <w:pPr>
              <w:jc w:val="center"/>
              <w:rPr>
                <w:sz w:val="52"/>
                <w:szCs w:val="52"/>
              </w:rPr>
            </w:pPr>
            <w:r w:rsidRPr="00FE23DC">
              <w:rPr>
                <w:rFonts w:ascii="Univers Bold" w:hAnsi="Univers Bold"/>
                <w:b/>
                <w:sz w:val="72"/>
              </w:rPr>
              <w:t xml:space="preserve">          </w:t>
            </w:r>
            <w:r w:rsidR="00C15867" w:rsidRPr="00FE23DC">
              <w:rPr>
                <w:rFonts w:ascii="Univers Bold" w:hAnsi="Univers Bold"/>
                <w:b/>
                <w:sz w:val="72"/>
              </w:rPr>
              <w:t>EP</w:t>
            </w:r>
          </w:p>
        </w:tc>
      </w:tr>
      <w:tr w:rsidR="00C15867" w:rsidRPr="00FE23DC" w14:paraId="5ADB28DA" w14:textId="77777777" w:rsidTr="00090C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70" w:type="dxa"/>
            <w:tcBorders>
              <w:top w:val="nil"/>
              <w:left w:val="nil"/>
              <w:bottom w:val="single" w:sz="36" w:space="0" w:color="auto"/>
              <w:right w:val="nil"/>
            </w:tcBorders>
          </w:tcPr>
          <w:p w14:paraId="248010FD" w14:textId="77777777" w:rsidR="00C15867" w:rsidRPr="00FE23DC" w:rsidRDefault="00E52838" w:rsidP="009C59F7">
            <w:pPr>
              <w:spacing w:before="120"/>
            </w:pPr>
            <w:r w:rsidRPr="00FE23DC">
              <w:rPr>
                <w:noProof/>
                <w:lang w:val="en-US"/>
              </w:rPr>
              <mc:AlternateContent>
                <mc:Choice Requires="wpg">
                  <w:drawing>
                    <wp:anchor distT="0" distB="0" distL="114300" distR="114300" simplePos="0" relativeHeight="251660288" behindDoc="0" locked="0" layoutInCell="1" allowOverlap="1" wp14:anchorId="3BBD21EC" wp14:editId="03A981DC">
                      <wp:simplePos x="0" y="0"/>
                      <wp:positionH relativeFrom="column">
                        <wp:posOffset>34290</wp:posOffset>
                      </wp:positionH>
                      <wp:positionV relativeFrom="paragraph">
                        <wp:posOffset>79058</wp:posOffset>
                      </wp:positionV>
                      <wp:extent cx="779463" cy="1466850"/>
                      <wp:effectExtent l="0" t="0" r="1905" b="0"/>
                      <wp:wrapNone/>
                      <wp:docPr id="1" name="Group 1"/>
                      <wp:cNvGraphicFramePr/>
                      <a:graphic xmlns:a="http://schemas.openxmlformats.org/drawingml/2006/main">
                        <a:graphicData uri="http://schemas.microsoft.com/office/word/2010/wordprocessingGroup">
                          <wpg:wgp>
                            <wpg:cNvGrpSpPr/>
                            <wpg:grpSpPr>
                              <a:xfrm>
                                <a:off x="0" y="0"/>
                                <a:ext cx="779463" cy="1466850"/>
                                <a:chOff x="42862" y="1"/>
                                <a:chExt cx="779463" cy="146685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73006" y="730636"/>
                                  <a:ext cx="728101" cy="73621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42862" y="1"/>
                                  <a:ext cx="779463" cy="69277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727A1F9" id="Group 1" o:spid="_x0000_s1026" style="position:absolute;margin-left:2.7pt;margin-top:6.25pt;width:61.4pt;height:115.5pt;z-index:251660288;mso-width-relative:margin;mso-height-relative:margin" coordorigin="428" coordsize="7794,14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0;top:7306;width:7281;height:7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4" o:title="UNEP"/>
                        <v:path arrowok="t"/>
                      </v:shape>
                      <v:shape id="Picture 3" o:spid="_x0000_s1028" type="#_x0000_t75" style="position:absolute;left:428;width:7795;height:6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5" o:title=""/>
                        <v:path arrowok="t"/>
                      </v:shape>
                    </v:group>
                  </w:pict>
                </mc:Fallback>
              </mc:AlternateContent>
            </w:r>
          </w:p>
        </w:tc>
        <w:tc>
          <w:tcPr>
            <w:tcW w:w="4482" w:type="dxa"/>
            <w:tcBorders>
              <w:top w:val="nil"/>
              <w:left w:val="nil"/>
              <w:bottom w:val="single" w:sz="36" w:space="0" w:color="auto"/>
              <w:right w:val="nil"/>
            </w:tcBorders>
          </w:tcPr>
          <w:p w14:paraId="39884191" w14:textId="77777777" w:rsidR="00A77F19" w:rsidRPr="00FE23DC" w:rsidRDefault="00A77F1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0CC34059" w:rsidR="00C15867" w:rsidRPr="00FE23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E23DC">
              <w:rPr>
                <w:rFonts w:ascii="Univers" w:hAnsi="Univers"/>
                <w:b/>
                <w:sz w:val="32"/>
              </w:rPr>
              <w:t>Programa de las</w:t>
            </w:r>
          </w:p>
          <w:p w14:paraId="295C24C3" w14:textId="77777777" w:rsidR="00C15867" w:rsidRPr="00FE23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E23DC">
              <w:rPr>
                <w:rFonts w:ascii="Univers" w:hAnsi="Univers"/>
                <w:b/>
                <w:sz w:val="32"/>
              </w:rPr>
              <w:t>Naciones Unidas</w:t>
            </w:r>
          </w:p>
          <w:p w14:paraId="4EFB09FB" w14:textId="77777777" w:rsidR="00C15867" w:rsidRPr="00FE23DC" w:rsidRDefault="00C15867" w:rsidP="00090C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FE23DC">
              <w:rPr>
                <w:rFonts w:ascii="Univers" w:hAnsi="Univers"/>
                <w:b/>
                <w:sz w:val="32"/>
              </w:rPr>
              <w:t>para el Medio Ambiente</w:t>
            </w:r>
          </w:p>
          <w:p w14:paraId="0FBAC46B" w14:textId="77777777" w:rsidR="00C15867" w:rsidRPr="00FE23DC" w:rsidRDefault="00C15867" w:rsidP="009C59F7">
            <w:pPr>
              <w:spacing w:before="720"/>
              <w:ind w:left="158"/>
            </w:pPr>
          </w:p>
        </w:tc>
        <w:tc>
          <w:tcPr>
            <w:tcW w:w="3420" w:type="dxa"/>
            <w:tcBorders>
              <w:top w:val="nil"/>
              <w:left w:val="nil"/>
              <w:bottom w:val="single" w:sz="36" w:space="0" w:color="auto"/>
              <w:right w:val="nil"/>
            </w:tcBorders>
          </w:tcPr>
          <w:p w14:paraId="7618949E" w14:textId="77777777" w:rsidR="00A77F19" w:rsidRPr="00FE23DC" w:rsidRDefault="00A77F19" w:rsidP="009C59F7"/>
          <w:p w14:paraId="0B0DF55F" w14:textId="34CB4B68" w:rsidR="00C15867" w:rsidRPr="00FE23DC" w:rsidRDefault="00C15867" w:rsidP="009C59F7">
            <w:proofErr w:type="spellStart"/>
            <w:r w:rsidRPr="00FE23DC">
              <w:t>Distr</w:t>
            </w:r>
            <w:proofErr w:type="spellEnd"/>
            <w:r w:rsidRPr="00FE23DC">
              <w:t>.</w:t>
            </w:r>
          </w:p>
          <w:p w14:paraId="318AEF57" w14:textId="77777777" w:rsidR="00923540" w:rsidRPr="00FE23DC" w:rsidRDefault="00923540" w:rsidP="00923540">
            <w:r w:rsidRPr="00FE23DC">
              <w:t>GENERAL</w:t>
            </w:r>
          </w:p>
          <w:p w14:paraId="3A0CAE6E" w14:textId="77777777" w:rsidR="00C15867" w:rsidRPr="00FE23DC" w:rsidRDefault="00C15867" w:rsidP="009C59F7"/>
          <w:p w14:paraId="0E21B416" w14:textId="63774AFB" w:rsidR="00C15867" w:rsidRPr="00FE23DC" w:rsidRDefault="001C3C87" w:rsidP="009C59F7">
            <w:r w:rsidRPr="00FE23DC">
              <w:fldChar w:fldCharType="begin"/>
            </w:r>
            <w:r w:rsidRPr="00FE23DC">
              <w:instrText xml:space="preserve"> DOCPROPERTY "Document number"  \* MERGEFORMAT </w:instrText>
            </w:r>
            <w:r w:rsidRPr="00FE23DC">
              <w:fldChar w:fldCharType="separate"/>
            </w:r>
            <w:r w:rsidR="00CA4D47">
              <w:t>UNEP/</w:t>
            </w:r>
            <w:proofErr w:type="spellStart"/>
            <w:r w:rsidR="00CA4D47">
              <w:t>OzL.Pro</w:t>
            </w:r>
            <w:proofErr w:type="spellEnd"/>
            <w:r w:rsidR="00CA4D47">
              <w:t>/</w:t>
            </w:r>
            <w:proofErr w:type="spellStart"/>
            <w:r w:rsidR="00CA4D47">
              <w:t>ExCom</w:t>
            </w:r>
            <w:proofErr w:type="spellEnd"/>
            <w:r w:rsidR="00CA4D47">
              <w:t>/96/63</w:t>
            </w:r>
            <w:r w:rsidRPr="00FE23DC">
              <w:fldChar w:fldCharType="end"/>
            </w:r>
          </w:p>
          <w:p w14:paraId="3E065622" w14:textId="481C0E99" w:rsidR="00C15867" w:rsidRPr="00FE23DC" w:rsidRDefault="002439B1" w:rsidP="009C59F7">
            <w:r w:rsidRPr="00FE23DC">
              <w:t>2 de mayo de 2025</w:t>
            </w:r>
          </w:p>
          <w:p w14:paraId="325082BB" w14:textId="77777777" w:rsidR="00A77F19" w:rsidRPr="00FE23DC" w:rsidRDefault="00A77F19" w:rsidP="009C59F7">
            <w:pPr>
              <w:rPr>
                <w:caps/>
              </w:rPr>
            </w:pPr>
          </w:p>
          <w:p w14:paraId="21DA9D8F" w14:textId="77777777" w:rsidR="00C15867" w:rsidRPr="00FE23DC" w:rsidRDefault="00C15867" w:rsidP="009C59F7">
            <w:r w:rsidRPr="00FE23DC">
              <w:t>ESPAÑOL</w:t>
            </w:r>
            <w:r w:rsidRPr="00FE23DC">
              <w:br/>
              <w:t>ORIGINAL: INGLÉS</w:t>
            </w:r>
          </w:p>
        </w:tc>
      </w:tr>
    </w:tbl>
    <w:p w14:paraId="42051AAE" w14:textId="1EF505F2" w:rsidR="00CA59FB" w:rsidRPr="00FE23DC" w:rsidRDefault="00C15867" w:rsidP="00CA59FB">
      <w:pPr>
        <w:jc w:val="left"/>
      </w:pPr>
      <w:r w:rsidRPr="00FE23DC">
        <w:t>COMITÉ EJECUTIVO DEL FONDO MULTILATERAL</w:t>
      </w:r>
      <w:r w:rsidRPr="00FE23DC">
        <w:br/>
        <w:t xml:space="preserve"> PARA LA APLICACIÓN DEL</w:t>
      </w:r>
      <w:r w:rsidRPr="00FE23DC">
        <w:br/>
        <w:t xml:space="preserve"> PROTOCOLO DE MONTREAL</w:t>
      </w:r>
      <w:r w:rsidRPr="00FE23DC">
        <w:br/>
        <w:t>Nonagésima sexta reunión</w:t>
      </w:r>
    </w:p>
    <w:p w14:paraId="58DD64F8" w14:textId="3D5C88D4" w:rsidR="00CA59FB" w:rsidRPr="00FE23DC" w:rsidRDefault="00CA59FB" w:rsidP="00CA59FB">
      <w:pPr>
        <w:jc w:val="left"/>
      </w:pPr>
      <w:r w:rsidRPr="00FE23DC">
        <w:t>Montreal, 26-30 de mayo de 2025</w:t>
      </w:r>
    </w:p>
    <w:p w14:paraId="188070D3" w14:textId="043A4F90" w:rsidR="00CC0167" w:rsidRPr="00FE23DC" w:rsidRDefault="00CC0167" w:rsidP="00CA59FB">
      <w:pPr>
        <w:jc w:val="left"/>
      </w:pPr>
      <w:r w:rsidRPr="00FE23DC">
        <w:t>Punto 14 del orden del día provisional</w:t>
      </w:r>
      <w:r w:rsidRPr="00FE23DC">
        <w:rPr>
          <w:rStyle w:val="FootnoteReference"/>
        </w:rPr>
        <w:footnoteReference w:id="1"/>
      </w:r>
    </w:p>
    <w:p w14:paraId="242EA379" w14:textId="40775D2E" w:rsidR="00C15867" w:rsidRPr="00FE23DC" w:rsidRDefault="00C15867" w:rsidP="00CA59FB">
      <w:pPr>
        <w:jc w:val="left"/>
      </w:pPr>
    </w:p>
    <w:p w14:paraId="277D180B" w14:textId="3DB0C2E8" w:rsidR="00253C08" w:rsidRPr="00CA4D47" w:rsidRDefault="00253C08" w:rsidP="00253C08">
      <w:pPr>
        <w:tabs>
          <w:tab w:val="center" w:pos="4680"/>
          <w:tab w:val="left" w:pos="6940"/>
        </w:tabs>
        <w:jc w:val="center"/>
        <w:outlineLvl w:val="0"/>
        <w:rPr>
          <w:b/>
          <w:caps/>
        </w:rPr>
      </w:pPr>
      <w:bookmarkStart w:id="0" w:name="_Hlk152846490"/>
      <w:r w:rsidRPr="00CA4D47">
        <w:rPr>
          <w:b/>
          <w:caps/>
        </w:rPr>
        <w:t>Resumen y resultados de las deliberaciones mantenidas en los períodos de sesiones de media jornada celebradas hasta la fecha sobre los enfoques estratégicos para la aplicación de la Enmienda de Kigali y la contribución a la refrigeración sostenible de las actividades apoyadas por el Fond</w:t>
      </w:r>
      <w:r w:rsidR="00676A2E" w:rsidRPr="00CA4D47">
        <w:rPr>
          <w:b/>
          <w:caps/>
        </w:rPr>
        <w:t>o Multilateral (decisión 95/96)</w:t>
      </w:r>
    </w:p>
    <w:bookmarkEnd w:id="0"/>
    <w:p w14:paraId="05101B71" w14:textId="77777777" w:rsidR="00253C08" w:rsidRPr="00FE23DC" w:rsidRDefault="00253C08" w:rsidP="00253C08">
      <w:pPr>
        <w:keepNext/>
        <w:keepLines/>
        <w:tabs>
          <w:tab w:val="right" w:pos="851"/>
          <w:tab w:val="left" w:pos="1247"/>
          <w:tab w:val="left" w:pos="1814"/>
          <w:tab w:val="left" w:pos="2381"/>
          <w:tab w:val="left" w:pos="2948"/>
          <w:tab w:val="left" w:pos="3515"/>
        </w:tabs>
        <w:suppressAutoHyphens/>
        <w:ind w:right="288"/>
        <w:jc w:val="left"/>
        <w:rPr>
          <w:b/>
          <w:bCs/>
        </w:rPr>
      </w:pPr>
    </w:p>
    <w:p w14:paraId="3E4B77C1" w14:textId="77777777" w:rsidR="00CC0167" w:rsidRPr="00FE23DC" w:rsidRDefault="00CC0167" w:rsidP="00CC0167">
      <w:pPr>
        <w:keepNext/>
        <w:keepLines/>
        <w:tabs>
          <w:tab w:val="right" w:pos="851"/>
          <w:tab w:val="left" w:pos="1247"/>
          <w:tab w:val="left" w:pos="1814"/>
          <w:tab w:val="left" w:pos="2381"/>
          <w:tab w:val="left" w:pos="2948"/>
          <w:tab w:val="left" w:pos="3515"/>
        </w:tabs>
        <w:suppressAutoHyphens/>
        <w:ind w:right="289"/>
        <w:jc w:val="left"/>
        <w:rPr>
          <w:b/>
          <w:bCs/>
        </w:rPr>
      </w:pPr>
    </w:p>
    <w:p w14:paraId="55F96F6D" w14:textId="13A1B939" w:rsidR="00253C08" w:rsidRPr="00FE23DC" w:rsidRDefault="00253C08" w:rsidP="00253C08">
      <w:pPr>
        <w:keepNext/>
        <w:keepLines/>
        <w:tabs>
          <w:tab w:val="right" w:pos="851"/>
          <w:tab w:val="left" w:pos="1247"/>
          <w:tab w:val="left" w:pos="1814"/>
          <w:tab w:val="left" w:pos="2381"/>
          <w:tab w:val="left" w:pos="2948"/>
          <w:tab w:val="left" w:pos="3515"/>
        </w:tabs>
        <w:suppressAutoHyphens/>
        <w:spacing w:after="240"/>
        <w:ind w:right="288"/>
        <w:jc w:val="left"/>
        <w:rPr>
          <w:b/>
          <w:bCs/>
        </w:rPr>
      </w:pPr>
      <w:r w:rsidRPr="00FE23DC">
        <w:rPr>
          <w:b/>
          <w:bCs/>
        </w:rPr>
        <w:t>Introducción</w:t>
      </w:r>
    </w:p>
    <w:p w14:paraId="4684C5EE" w14:textId="3F55680E" w:rsidR="00253C08" w:rsidRPr="00FE23DC" w:rsidRDefault="00253C08" w:rsidP="0021509D">
      <w:pPr>
        <w:pStyle w:val="Heading1"/>
      </w:pPr>
      <w:r w:rsidRPr="00FE23DC">
        <w:t>Se organizaron dos sesiones oficiosas de media jornada sobre los enfoques estratégicos para la aplicación de la Enmienda de Kigali para la reducción sostenible de los HFC por las Partes del artículo 5, de forma consecutiva a las reuniones 94ª y 95ª del Comité Ejecutivo durante 2024, de conformidad con las decisiones 93/103 y 94/62, respectivamente. El alcance de la segunda sesión de media jornada se amplió para incluir la contribución de las actividades apoyadas por el Fondo Multilateral a la refrigeración sostenible</w:t>
      </w:r>
      <w:r w:rsidR="00026B48" w:rsidRPr="00FE23DC">
        <w:rPr>
          <w:rStyle w:val="FootnoteReference"/>
        </w:rPr>
        <w:footnoteReference w:id="2"/>
      </w:r>
      <w:r w:rsidRPr="00FE23DC">
        <w:t xml:space="preserve">. </w:t>
      </w:r>
    </w:p>
    <w:p w14:paraId="6EAA258F" w14:textId="14E481C1" w:rsidR="00253C08" w:rsidRPr="00FE23DC" w:rsidRDefault="00253C08" w:rsidP="00657E98">
      <w:pPr>
        <w:pStyle w:val="Heading1"/>
        <w:spacing w:after="220"/>
      </w:pPr>
      <w:r w:rsidRPr="00FE23DC">
        <w:t>La primera sesión de media jornada ofreció una plataforma de intercambio de ideas para los miembros del Comité Ejecutivo sobre una variedad de cuestiones basadas en las aportaciones recibidas antes de la sesión. Las cuestiones examinadas fueron el apoyo a las medidas que trascienden el cumplimiento de la Enmienda de Kigali, el apoyo a los enfoques nacionales y/o sectoriales, la orientación de las inversiones hacia cuestiones relacionadas con la aplicación de la Enmienda de Kigali y el fortalecimiento de la capacidad de las instituciones del Fondo Multilateral para apoyar la aplicación</w:t>
      </w:r>
      <w:r w:rsidR="006B7EAE" w:rsidRPr="00FE23DC">
        <w:rPr>
          <w:rStyle w:val="FootnoteReference"/>
        </w:rPr>
        <w:footnoteReference w:id="3"/>
      </w:r>
      <w:r w:rsidRPr="00FE23DC">
        <w:t xml:space="preserve">. La segunda sesión de media jornada tuvo por objeto delimitar las cuestiones examinadas en la primera sesión de media jornada, teniendo en cuenta la contribución de las actividades del Fondo Multilateral a la refrigeración sostenible. Los miembros y los organismos tuvieron la oportunidad de hacer breves </w:t>
      </w:r>
      <w:r w:rsidRPr="00FE23DC">
        <w:lastRenderedPageBreak/>
        <w:t>presentaciones sobre dos temas generales, el primero sobre los sectores emergentes que podría examinar el Fondo y el segundo sobre las intervenciones que trascienden las actividades habituales del Fondo</w:t>
      </w:r>
      <w:r w:rsidR="006B7EAE" w:rsidRPr="00FE23DC">
        <w:rPr>
          <w:rStyle w:val="FootnoteReference"/>
        </w:rPr>
        <w:footnoteReference w:id="4"/>
      </w:r>
      <w:r w:rsidRPr="00FE23DC">
        <w:t xml:space="preserve">. </w:t>
      </w:r>
    </w:p>
    <w:p w14:paraId="106FC096" w14:textId="30BFE497" w:rsidR="00253C08" w:rsidRPr="00FE23DC" w:rsidRDefault="00253C08" w:rsidP="0021509D">
      <w:pPr>
        <w:pStyle w:val="Heading1"/>
      </w:pPr>
      <w:r w:rsidRPr="00FE23DC">
        <w:t>En la decisión 95/96 se pidió a la Secretaría que celebrara una tercera sesión de media jornada el 25 de mayo de 2025, inmediatamente antes de la 96ª reunión, sobre los enfoques estratégicos para la aplicación de la Enmienda de Kigali como continuación de los debates anteriores. El orden del día de la tercera sesión oficiosa de media jornada se centra en dos cuestiones: facilitar planes de aplicación de la Enmienda de Kigali relativa a los HFC (PAK) que sean exhaustivos y con visión de futuro, y promover la refrigeración sostenible y los impulsores institucionales para apoyar la aplicación de los PAK, junto con la refrigeración sostenible y la eficiencia energética</w:t>
      </w:r>
      <w:r w:rsidR="001E3399" w:rsidRPr="00FE23DC">
        <w:rPr>
          <w:rStyle w:val="FootnoteReference"/>
        </w:rPr>
        <w:footnoteReference w:id="5"/>
      </w:r>
      <w:r w:rsidRPr="00FE23DC">
        <w:t xml:space="preserve">. Dado que la tercera sesión de media jornada se celebra un día antes de la 96ª reunión, la Secretaría publicará una adición al presente documento tras su finalización a fin de integrar sus resultados y mensajes clave para que el Comité Ejecutivo los </w:t>
      </w:r>
      <w:r w:rsidR="00877D67" w:rsidRPr="00FE23DC">
        <w:t>considere</w:t>
      </w:r>
      <w:r w:rsidRPr="00FE23DC">
        <w:t>.</w:t>
      </w:r>
    </w:p>
    <w:p w14:paraId="2A3BE1AE" w14:textId="0FBAE0B5" w:rsidR="00253C08" w:rsidRPr="00FE23DC" w:rsidRDefault="00253C08" w:rsidP="00253C08">
      <w:pPr>
        <w:spacing w:after="240"/>
        <w:jc w:val="left"/>
        <w:rPr>
          <w:b/>
          <w:bCs/>
        </w:rPr>
      </w:pPr>
      <w:r w:rsidRPr="00FE23DC">
        <w:rPr>
          <w:b/>
          <w:bCs/>
        </w:rPr>
        <w:t>Resumen y resultados de la primera sesión de media jornada</w:t>
      </w:r>
    </w:p>
    <w:p w14:paraId="6AD888CE" w14:textId="2378D3CE" w:rsidR="00750330" w:rsidRPr="00FE23DC" w:rsidRDefault="00EE5A57" w:rsidP="00AC4DCB">
      <w:pPr>
        <w:pStyle w:val="Heading1"/>
      </w:pPr>
      <w:r w:rsidRPr="00FE23DC">
        <w:t xml:space="preserve">La primera sesión de media jornada abrió el debate sobre qué motivaría a los países del artículo 5 a adoptar medidas tempranas para la reducción de los HFC. En este contexto, los miembros reflexionaron sobre los retos relacionados con el cumplimiento, el carácter voluntario y los ejemplos e incentivos para adoptar medidas que vayan más allá del cumplimiento. Varios miembros destacaron la importancia de colaborar con los usuarios finales para determinar la viabilidad de las medidas tempranas. Se pidió que se aclararan los mecanismos mediante los cuales el Fondo Multilateral puede financiar la eficiencia energética. En el debate también se exploraron formas de seguir desarrollando enfoques a nivel de los sectores económicos en la pesca y el turismo, y cómo podría utilizarse el financiamiento del Fondo Multilateral para aprovechar el impacto a nivel sectorial (por ejemplo, apoyo al cambio de políticas, apoyo a programas de demostración estratégicos, etc.). </w:t>
      </w:r>
    </w:p>
    <w:p w14:paraId="0BEBE55F" w14:textId="4F9F40DF" w:rsidR="00AC4DCB" w:rsidRPr="00FE23DC" w:rsidRDefault="008C7DE7" w:rsidP="00AC4DCB">
      <w:pPr>
        <w:pStyle w:val="Heading1"/>
      </w:pPr>
      <w:r w:rsidRPr="00FE23DC">
        <w:t>Se identificaron las medidas que debe adoptar el Comité Ejecutivo para definir las pequeñas y medianas empresas (PYMES), reflexionar sobre las lecciones aprendidas, compartir buenas prácticas y aclarar el enfoque para apoyar a las PYMES en el contexto de la Enmienda de Kigali. Los miembros que abordaron estos temas mencionaron una amplia gama de cuestiones, como las necesidades del sector de servicio técnico, la importancia de sectores económicos específicos como la pesca, el enfoque sectorial para la reducción de HFC, las necesidades de montaje e instalación local, el fortalecimiento de la capacidad de las PYMES, el aprovechamiento de la experiencia adquirida por el Comité Ejecutivo y la experiencia de los países no acogidos al artículo 5, la pérdida de participantes en los proyectos, los retos que enfrentan los pequeños países no fabricantes, el apoyo financiero y los aspectos de sostenibilidad para las PYMES, el mantenimiento del enfoque en el objetivo de reducción, la ausencia de directrices sobre costos y orientación sobre eficiencia energética, las ambiciones restringidas por las limitaciones de financiamiento y la racionalización de los procedimientos administrativos.</w:t>
      </w:r>
    </w:p>
    <w:p w14:paraId="569B1F87" w14:textId="365EE9C4" w:rsidR="0090122E" w:rsidRPr="00FE23DC" w:rsidRDefault="00546428" w:rsidP="0090122E">
      <w:pPr>
        <w:pStyle w:val="Heading1"/>
      </w:pPr>
      <w:r w:rsidRPr="00FE23DC">
        <w:t xml:space="preserve">Como otra cuestión también se planteó un conjunto de medidas para fortalecer la capacidad de los principales </w:t>
      </w:r>
      <w:r w:rsidR="00FB3067" w:rsidRPr="00FE23DC">
        <w:t>actores</w:t>
      </w:r>
      <w:r w:rsidRPr="00FE23DC">
        <w:t xml:space="preserve"> institucionales del Fondo Multilateral para apoyar la aplicación de la Enmienda de Kigali. En el debate se abordaron cuestiones como la racionalización de los procedimientos del Comité Ejecutivo, la simplificación de la presentación de informes a la Secretaría, la mejora de los conocimientos especializados de la Secretaría y los organismos de ejecución, la mejora de la coordinación entre los miembros del Comité, la mejora de la comunicación por parte de la Secretaría, la nueva denominación de las </w:t>
      </w:r>
      <w:r w:rsidR="008B2C42" w:rsidRPr="00FE23DC">
        <w:t xml:space="preserve">Oficinas Nacionales </w:t>
      </w:r>
      <w:r w:rsidRPr="00FE23DC">
        <w:t xml:space="preserve">del </w:t>
      </w:r>
      <w:r w:rsidR="008B2C42" w:rsidRPr="00FE23DC">
        <w:t xml:space="preserve">Ozono </w:t>
      </w:r>
      <w:r w:rsidRPr="00FE23DC">
        <w:t xml:space="preserve">(ONO), la creación de redes con las autoridades pertinentes, la información actualizada sobre los precios, el acceso a las tecnologías y la mitigación de los riesgos, el conocimiento de las medidas que han dado buenos resultados, los centros de excelencia y la necesidad de </w:t>
      </w:r>
      <w:r w:rsidRPr="00FE23DC">
        <w:lastRenderedPageBreak/>
        <w:t>centrarse en cuestiones nuevas y emergentes. Los detalles de las deliberaciones de la primera sesión oficiosa de media jornada figuran en el documento</w:t>
      </w:r>
      <w:r w:rsidR="009304BE">
        <w:t xml:space="preserve"> </w:t>
      </w:r>
      <w:r w:rsidR="009304BE" w:rsidRPr="0086245D">
        <w:fldChar w:fldCharType="begin"/>
      </w:r>
      <w:r w:rsidR="009304BE" w:rsidRPr="0086245D">
        <w:instrText xml:space="preserve"> DOCPROPERTY "Document number"  \* MERGEFORMAT </w:instrText>
      </w:r>
      <w:r w:rsidR="009304BE" w:rsidRPr="0086245D">
        <w:fldChar w:fldCharType="separate"/>
      </w:r>
      <w:r w:rsidR="009304BE" w:rsidRPr="0086245D">
        <w:t>UNEP/</w:t>
      </w:r>
      <w:proofErr w:type="spellStart"/>
      <w:r w:rsidR="009304BE" w:rsidRPr="0086245D">
        <w:t>OzL.Pro</w:t>
      </w:r>
      <w:proofErr w:type="spellEnd"/>
      <w:r w:rsidR="009304BE" w:rsidRPr="0086245D">
        <w:t>/</w:t>
      </w:r>
      <w:proofErr w:type="spellStart"/>
      <w:r w:rsidR="009304BE" w:rsidRPr="0086245D">
        <w:t>ExCom</w:t>
      </w:r>
      <w:proofErr w:type="spellEnd"/>
      <w:r w:rsidR="009304BE" w:rsidRPr="0086245D">
        <w:t>/94/Inf.3</w:t>
      </w:r>
      <w:r w:rsidR="009304BE" w:rsidRPr="0086245D">
        <w:fldChar w:fldCharType="end"/>
      </w:r>
      <w:r w:rsidRPr="00FE23DC">
        <w:t>.</w:t>
      </w:r>
    </w:p>
    <w:p w14:paraId="4EA686F1" w14:textId="1889C33D" w:rsidR="00253C08" w:rsidRPr="00FE23DC" w:rsidRDefault="00253C08" w:rsidP="00253C08">
      <w:pPr>
        <w:spacing w:after="240"/>
        <w:jc w:val="left"/>
        <w:rPr>
          <w:b/>
          <w:bCs/>
        </w:rPr>
      </w:pPr>
      <w:r w:rsidRPr="00FE23DC">
        <w:rPr>
          <w:b/>
          <w:bCs/>
        </w:rPr>
        <w:t xml:space="preserve">Resumen y resultados de la segunda sesión de media jornada </w:t>
      </w:r>
    </w:p>
    <w:p w14:paraId="6D453319" w14:textId="1E77DF32" w:rsidR="00253C08" w:rsidRPr="00FE23DC" w:rsidRDefault="00A54121" w:rsidP="0088180A">
      <w:pPr>
        <w:pStyle w:val="Heading1"/>
      </w:pPr>
      <w:r w:rsidRPr="00FE23DC">
        <w:t>Las deliberaciones de la segunda media jornada se centraron en el análisis de los sectores emergentes en el marco del Fondo Multilateral, donde los miembros presentaron brevemente ejemplos de casos de éxito en los sectores de la pesca y el turismo, el CO</w:t>
      </w:r>
      <w:r w:rsidRPr="00FE23DC">
        <w:rPr>
          <w:vertAlign w:val="subscript"/>
        </w:rPr>
        <w:t>2</w:t>
      </w:r>
      <w:r w:rsidRPr="00FE23DC">
        <w:t xml:space="preserve"> </w:t>
      </w:r>
      <w:proofErr w:type="spellStart"/>
      <w:r w:rsidRPr="00FE23DC">
        <w:t>transcrítico</w:t>
      </w:r>
      <w:proofErr w:type="spellEnd"/>
      <w:r w:rsidRPr="00FE23DC">
        <w:t xml:space="preserve"> en los supermercados, los enfoques holísticos para la cadena de frío y el papel de los centros regionales de excelencia, el fortalecimiento de la infraestructura y la capacidad técnica en los países del artículo 5 para manipular refrigerantes y mezclas de bajo PCA en las PYMES, y los consorcios públicos como herramienta para la aplicación eficaz del Protocolo de Montreal. </w:t>
      </w:r>
    </w:p>
    <w:p w14:paraId="12C64A55" w14:textId="025BA467" w:rsidR="00253C08" w:rsidRPr="00FE23DC" w:rsidRDefault="00253C08" w:rsidP="0088180A">
      <w:pPr>
        <w:pStyle w:val="Heading1"/>
      </w:pPr>
      <w:r w:rsidRPr="00FE23DC">
        <w:t xml:space="preserve">En las deliberaciones se abordaron cuestiones </w:t>
      </w:r>
      <w:r w:rsidR="006A2093" w:rsidRPr="00FE23DC">
        <w:t>planteadas</w:t>
      </w:r>
      <w:r w:rsidRPr="00FE23DC">
        <w:t xml:space="preserve"> por los miembros </w:t>
      </w:r>
      <w:r w:rsidR="006907E0" w:rsidRPr="00FE23DC">
        <w:t>por su importancia para un examen</w:t>
      </w:r>
      <w:r w:rsidRPr="00FE23DC">
        <w:t xml:space="preserve"> más </w:t>
      </w:r>
      <w:r w:rsidR="007C7FC7" w:rsidRPr="00FE23DC">
        <w:t>a fondo</w:t>
      </w:r>
      <w:r w:rsidRPr="00FE23DC">
        <w:t>, como el enfoque sectorial para garantizar una respuesta integral a la reducción de HFC, teniendo en cuenta las especificidades de las diferentes regiones; las cuestiones relacionadas con la cadena de suministro; la sostenibilidad de la reducción para garantizar la continuidad de las operaciones comerciales; la asistencia técnica y el fortalecimiento de capacidades para las empresas, especialmente las PYMES; los centros regionales de excelencia para fortalecer las ONO y la infraestructura; los retos que plantea el uso de alternativas de bajo PCA; la gestión del ciclo de vida de los refrigerantes, la eficacia de los centros de servicio técnico y los centros de recuperación y reciclado; la coordinación interinstitucional e intrainstitucional; y el aprovechamiento de las interrelaciones entre las cuestiones del Protocolo de Montreal y otros acuerdos e iniciativas internacionales.</w:t>
      </w:r>
    </w:p>
    <w:p w14:paraId="653BEB6F" w14:textId="08315245" w:rsidR="009B34F9" w:rsidRPr="00FE23DC" w:rsidRDefault="00253C08" w:rsidP="0088180A">
      <w:pPr>
        <w:pStyle w:val="Heading1"/>
      </w:pPr>
      <w:r w:rsidRPr="00FE23DC">
        <w:t xml:space="preserve">En cuanto a la segunda parte de la sesión, dedicada a las intervenciones que trascienden las actividades ordinarias del Fondo Multilateral, se realizaron cinco presentaciones sobre las oportunidades y los retos en materia de eficiencia energética, abordando el crecimiento de la climatización residencial en países con altas temperaturas ambiente, las soluciones de refrigeración sostenible con eficiencia energética y ciclo de vida, las estrategias innovadoras de gestión de refrigerantes para la reducción temprana de HFC y la mejora de la eficiencia energética para la refrigeración sostenible, y las intervenciones del lado de la demanda que se ajustan al lado de la oferta para la reducción sostenible de HFC. </w:t>
      </w:r>
    </w:p>
    <w:p w14:paraId="72FED5A0" w14:textId="568A8C1B" w:rsidR="001E064A" w:rsidRPr="00FE23DC" w:rsidRDefault="00253C08" w:rsidP="0088180A">
      <w:pPr>
        <w:pStyle w:val="Heading1"/>
      </w:pPr>
      <w:r w:rsidRPr="00FE23DC">
        <w:t>Las deliberaciones subsiguientes se centraron en las posibles áreas que permitirían al Fondo Multilateral contribuir en mayor medida a la refrigeración sostenible. Haciéndose eco de las ideas presentadas por los ponentes y añadiendo algunas propias, los miembros mencionaron el mantenimiento preventivo planificado, el fortalecimiento de capacidades, la sensibilización y los incentivos para el cambio de comportamiento, una insistencia menos estricta en las normas mínimas de eficiencia energética, y las posibles oportunidades para apoyar la innovación que podría fomentar el cumplimiento. El informe completo de la segunda sesión de media jornada figura en el documento</w:t>
      </w:r>
      <w:r w:rsidR="00D63079">
        <w:t xml:space="preserve"> </w:t>
      </w:r>
      <w:r w:rsidR="00D63079" w:rsidRPr="00F82F3D">
        <w:rPr>
          <w:lang w:val="en-GB"/>
        </w:rPr>
        <w:fldChar w:fldCharType="begin"/>
      </w:r>
      <w:r w:rsidR="00D63079" w:rsidRPr="00D63079">
        <w:rPr>
          <w:lang w:val="es-MX"/>
        </w:rPr>
        <w:instrText xml:space="preserve"> DOCPROPERTY "Document number"  \* MERGEFORMAT </w:instrText>
      </w:r>
      <w:r w:rsidR="00D63079" w:rsidRPr="00F82F3D">
        <w:rPr>
          <w:lang w:val="en-GB"/>
        </w:rPr>
        <w:fldChar w:fldCharType="separate"/>
      </w:r>
      <w:r w:rsidR="00D63079" w:rsidRPr="00D63079">
        <w:rPr>
          <w:lang w:val="es-MX"/>
        </w:rPr>
        <w:t>UNEP/</w:t>
      </w:r>
      <w:proofErr w:type="spellStart"/>
      <w:r w:rsidR="00D63079" w:rsidRPr="00D63079">
        <w:rPr>
          <w:lang w:val="es-MX"/>
        </w:rPr>
        <w:t>OzL.Pro</w:t>
      </w:r>
      <w:proofErr w:type="spellEnd"/>
      <w:r w:rsidR="00D63079" w:rsidRPr="00D63079">
        <w:rPr>
          <w:lang w:val="es-MX"/>
        </w:rPr>
        <w:t>/</w:t>
      </w:r>
      <w:proofErr w:type="spellStart"/>
      <w:r w:rsidR="00D63079" w:rsidRPr="00D63079">
        <w:rPr>
          <w:lang w:val="es-MX"/>
        </w:rPr>
        <w:t>ExCom</w:t>
      </w:r>
      <w:proofErr w:type="spellEnd"/>
      <w:r w:rsidR="00D63079" w:rsidRPr="00D63079">
        <w:rPr>
          <w:lang w:val="es-MX"/>
        </w:rPr>
        <w:t>/96/Inf.2</w:t>
      </w:r>
      <w:r w:rsidR="00D63079" w:rsidRPr="00F82F3D">
        <w:rPr>
          <w:lang w:val="en-GB"/>
        </w:rPr>
        <w:fldChar w:fldCharType="end"/>
      </w:r>
      <w:r w:rsidRPr="00FE23DC">
        <w:t>.</w:t>
      </w:r>
    </w:p>
    <w:p w14:paraId="755996E7" w14:textId="0BED859A" w:rsidR="00253C08" w:rsidRPr="00FE23DC" w:rsidRDefault="00ED2790" w:rsidP="00042AD1">
      <w:pPr>
        <w:spacing w:after="240"/>
        <w:jc w:val="left"/>
        <w:rPr>
          <w:b/>
          <w:bCs/>
        </w:rPr>
      </w:pPr>
      <w:r w:rsidRPr="00FE23DC">
        <w:rPr>
          <w:b/>
          <w:bCs/>
        </w:rPr>
        <w:t>Conclusiones transversales</w:t>
      </w:r>
    </w:p>
    <w:p w14:paraId="08FF00A0" w14:textId="1618F279" w:rsidR="00253C08" w:rsidRPr="00FE23DC" w:rsidRDefault="00253C08" w:rsidP="00042AD1">
      <w:pPr>
        <w:pStyle w:val="Heading1"/>
      </w:pPr>
      <w:r w:rsidRPr="00FE23DC">
        <w:t>Las principales conclusiones de la primera sesión de media jornada, resumidas por el facilitador de la sesión</w:t>
      </w:r>
      <w:r w:rsidRPr="00FE23DC">
        <w:rPr>
          <w:vertAlign w:val="superscript"/>
        </w:rPr>
        <w:footnoteReference w:id="6"/>
      </w:r>
      <w:r w:rsidRPr="00FE23DC">
        <w:t>, incluyeron los siguientes mensajes transversales:</w:t>
      </w:r>
    </w:p>
    <w:p w14:paraId="39C7B266" w14:textId="77777777" w:rsidR="00253C08" w:rsidRPr="00FE23DC" w:rsidRDefault="00253C08" w:rsidP="0088180A">
      <w:pPr>
        <w:pStyle w:val="Heading2"/>
      </w:pPr>
      <w:r w:rsidRPr="00FE23DC">
        <w:t xml:space="preserve">Continuar el diálogo sobre qué motivaría a los países del artículo 5 a adoptar medidas tempranas para la reducción de los HFC; </w:t>
      </w:r>
    </w:p>
    <w:p w14:paraId="3D13B657" w14:textId="4784C662" w:rsidR="00253C08" w:rsidRPr="00FE23DC" w:rsidRDefault="006F0D58" w:rsidP="0021509D">
      <w:pPr>
        <w:pStyle w:val="Heading2"/>
      </w:pPr>
      <w:r>
        <w:t>Aclarar más</w:t>
      </w:r>
      <w:r w:rsidR="00253C08" w:rsidRPr="00FE23DC">
        <w:t xml:space="preserve"> </w:t>
      </w:r>
      <w:r w:rsidR="00A92B3A">
        <w:t xml:space="preserve">a fondo </w:t>
      </w:r>
      <w:r w:rsidR="00253C08" w:rsidRPr="00FE23DC">
        <w:t>los mecanismos mediante los cuales el Fondo Multilateral puede financiar la eficiencia energética;</w:t>
      </w:r>
    </w:p>
    <w:p w14:paraId="384705CB" w14:textId="4B4ACD4A" w:rsidR="00253C08" w:rsidRPr="00FE23DC" w:rsidRDefault="008553B8" w:rsidP="00E43D5E">
      <w:pPr>
        <w:pStyle w:val="Heading2"/>
        <w:spacing w:after="220"/>
      </w:pPr>
      <w:r>
        <w:lastRenderedPageBreak/>
        <w:t>Desarrollar más a fondo los</w:t>
      </w:r>
      <w:r w:rsidR="00253C08" w:rsidRPr="00FE23DC">
        <w:t xml:space="preserve"> enfoques a nivel sectorial para los sectores mencionados, aclarando cómo podría utilizarse el financiamiento del Fondo Multilateral para aprovechar el impacto a nivel sectorial (por ejemplo, apoyo al cambio de políticas, apoyo a programas de demostración estratégicos, etc.);</w:t>
      </w:r>
    </w:p>
    <w:p w14:paraId="17B5FC96" w14:textId="1B25721B" w:rsidR="00253C08" w:rsidRPr="00FE23DC" w:rsidRDefault="00130020" w:rsidP="00E43D5E">
      <w:pPr>
        <w:pStyle w:val="Heading2"/>
        <w:spacing w:after="220"/>
      </w:pPr>
      <w:r>
        <w:t>Tomar m</w:t>
      </w:r>
      <w:r w:rsidR="00253C08" w:rsidRPr="00FE23DC">
        <w:t xml:space="preserve">edidas </w:t>
      </w:r>
      <w:r w:rsidR="00123135">
        <w:t xml:space="preserve">por parte </w:t>
      </w:r>
      <w:r w:rsidR="00253C08" w:rsidRPr="00FE23DC">
        <w:t xml:space="preserve">del Comité Ejecutivo para definir </w:t>
      </w:r>
      <w:r w:rsidR="00CC05CE">
        <w:t xml:space="preserve">a </w:t>
      </w:r>
      <w:r w:rsidR="00253C08" w:rsidRPr="00FE23DC">
        <w:t>las PYMES y realizar análisis más detallados, reflexionar sobre las lecciones aprendidas del Fondo Multilateral, compartir buenas prácticas, etc., con el fin de aclarar el enfoque para apoyar a las PYMES en el contexto de la Enmienda de Kigali; y</w:t>
      </w:r>
    </w:p>
    <w:p w14:paraId="3BA7D70A" w14:textId="77777777" w:rsidR="00253C08" w:rsidRPr="00FE23DC" w:rsidRDefault="00253C08" w:rsidP="0021509D">
      <w:pPr>
        <w:pStyle w:val="Heading2"/>
      </w:pPr>
      <w:r w:rsidRPr="00FE23DC">
        <w:t xml:space="preserve">Un conjunto de medidas para fortalecer la capacidad de los principales actores institucionales del Fondo Multilateral para apoyar la aplicación de la Enmienda de Kigali. </w:t>
      </w:r>
    </w:p>
    <w:p w14:paraId="30F17E97" w14:textId="77777777" w:rsidR="00253C08" w:rsidRPr="00FE23DC" w:rsidRDefault="00253C08" w:rsidP="003F7345">
      <w:pPr>
        <w:pStyle w:val="Heading1"/>
      </w:pPr>
      <w:r w:rsidRPr="00FE23DC">
        <w:t>Las principales conclusiones transversales de la segunda sesión de media jornada, extraídas del informe de la sesión</w:t>
      </w:r>
      <w:r w:rsidRPr="00FE23DC">
        <w:rPr>
          <w:vertAlign w:val="superscript"/>
        </w:rPr>
        <w:footnoteReference w:id="7"/>
      </w:r>
      <w:r w:rsidRPr="00FE23DC">
        <w:t>, pueden resumirse de la siguiente manera:</w:t>
      </w:r>
    </w:p>
    <w:p w14:paraId="3B92262C" w14:textId="12BD6F93" w:rsidR="00253C08" w:rsidRPr="00FE23DC" w:rsidRDefault="00253C08" w:rsidP="003F7345">
      <w:pPr>
        <w:pStyle w:val="Heading2"/>
      </w:pPr>
      <w:r w:rsidRPr="00FE23DC">
        <w:t xml:space="preserve">Apoyar a los centros regionales de excelencia para fortalecer las </w:t>
      </w:r>
      <w:r w:rsidR="008E54F4">
        <w:t>Oficinas Nacionales del Ozono (</w:t>
      </w:r>
      <w:r w:rsidRPr="00FE23DC">
        <w:t>ONO</w:t>
      </w:r>
      <w:r w:rsidR="008E54F4">
        <w:t>)</w:t>
      </w:r>
      <w:r w:rsidRPr="00FE23DC">
        <w:t xml:space="preserve"> y las infraestructuras locales;</w:t>
      </w:r>
    </w:p>
    <w:p w14:paraId="70CF2C1D" w14:textId="77777777" w:rsidR="00253C08" w:rsidRPr="00FE23DC" w:rsidRDefault="00253C08" w:rsidP="003F7345">
      <w:pPr>
        <w:pStyle w:val="Heading2"/>
      </w:pPr>
      <w:r w:rsidRPr="00FE23DC">
        <w:t xml:space="preserve">Apoyar proyectos de demostración que utilicen tecnologías innovadoras y crear entornos propicios para la transición hacia tecnologías </w:t>
      </w:r>
      <w:proofErr w:type="spellStart"/>
      <w:r w:rsidRPr="00FE23DC">
        <w:t>ecoenergéticas</w:t>
      </w:r>
      <w:proofErr w:type="spellEnd"/>
      <w:r w:rsidRPr="00FE23DC">
        <w:t xml:space="preserve"> de bajo PCA; </w:t>
      </w:r>
    </w:p>
    <w:p w14:paraId="56DC5556" w14:textId="2799EB65" w:rsidR="00253C08" w:rsidRPr="00FE23DC" w:rsidRDefault="00253C08" w:rsidP="003F7345">
      <w:pPr>
        <w:pStyle w:val="Heading2"/>
      </w:pPr>
      <w:r w:rsidRPr="00FE23DC">
        <w:t>Establecer alianzas estratégicas con otros actores en cuestiones como la recopilación de datos, la gestión del ciclo de vida de los refrigerantes, el servicio técnico, la gestión de los equipos al final de su vida útil, las energías renovables, los códigos y normas de construcción, las normas mínimas de eficiencia energética y el mantenimiento preventivo;</w:t>
      </w:r>
    </w:p>
    <w:p w14:paraId="5DC2A75F" w14:textId="1A06BFE3" w:rsidR="00253C08" w:rsidRPr="00FE23DC" w:rsidRDefault="00253C08" w:rsidP="003F7345">
      <w:pPr>
        <w:pStyle w:val="Heading2"/>
      </w:pPr>
      <w:r w:rsidRPr="00FE23DC">
        <w:t>Considerar diferentes programas de incentivos y modelos viables para apoyar la sustitución de equipos de alto PCA, la adopción de tecnologías sostenibles y el cambio de comportamiento de los usuarios finales;</w:t>
      </w:r>
    </w:p>
    <w:p w14:paraId="0F9BCD45" w14:textId="77777777" w:rsidR="00253C08" w:rsidRPr="00FE23DC" w:rsidRDefault="00253C08" w:rsidP="003F7345">
      <w:pPr>
        <w:pStyle w:val="Heading2"/>
      </w:pPr>
      <w:r w:rsidRPr="00FE23DC">
        <w:t>Considerar enfoques normalizados de recopilación de datos y análisis de mercado para alinear las intervenciones con la dinámica y las tendencias del mercado;</w:t>
      </w:r>
    </w:p>
    <w:p w14:paraId="671E76CD" w14:textId="77777777" w:rsidR="00253C08" w:rsidRPr="00FE23DC" w:rsidRDefault="00253C08" w:rsidP="003F7345">
      <w:pPr>
        <w:pStyle w:val="Heading2"/>
      </w:pPr>
      <w:r w:rsidRPr="00FE23DC">
        <w:t>Examinar los conceptos de “programas integrados para la transformación del mercado” y “cambio de sistema más allá del cumplimiento”, junto con otras modalidades y fuentes de financiamiento diferentes; y</w:t>
      </w:r>
    </w:p>
    <w:p w14:paraId="16C09328" w14:textId="77777777" w:rsidR="00253C08" w:rsidRPr="00FE23DC" w:rsidRDefault="00253C08" w:rsidP="003F7345">
      <w:pPr>
        <w:pStyle w:val="Heading2"/>
      </w:pPr>
      <w:r w:rsidRPr="00FE23DC">
        <w:t xml:space="preserve">Sin dejar de ser innovador y de hacer las cosas de manera diferente en algunas ocasiones, el Comité no debe distraerse con enfoques u objetivos que no ayudaron a los países a cumplir sus objetivos en virtud del Protocolo. </w:t>
      </w:r>
    </w:p>
    <w:p w14:paraId="6F6E22D8" w14:textId="77777777" w:rsidR="00253C08" w:rsidRPr="00FE23DC" w:rsidRDefault="00253C08" w:rsidP="00857877">
      <w:pPr>
        <w:keepNext/>
        <w:widowControl w:val="0"/>
        <w:tabs>
          <w:tab w:val="left" w:pos="720"/>
          <w:tab w:val="left" w:pos="2880"/>
          <w:tab w:val="left" w:pos="5760"/>
        </w:tabs>
        <w:spacing w:after="240"/>
        <w:outlineLvl w:val="3"/>
        <w:rPr>
          <w:rFonts w:asciiTheme="majorBidi" w:hAnsiTheme="majorBidi" w:cstheme="majorBidi"/>
          <w:b/>
        </w:rPr>
      </w:pPr>
      <w:r w:rsidRPr="00FE23DC">
        <w:rPr>
          <w:rFonts w:asciiTheme="majorBidi" w:hAnsiTheme="majorBidi"/>
          <w:b/>
        </w:rPr>
        <w:t>Recomendación</w:t>
      </w:r>
    </w:p>
    <w:p w14:paraId="48703EA9" w14:textId="379E260A" w:rsidR="00091FDD" w:rsidRPr="00FE23DC" w:rsidRDefault="00253C08" w:rsidP="00657E98">
      <w:pPr>
        <w:pStyle w:val="Heading1"/>
        <w:spacing w:after="40"/>
      </w:pPr>
      <w:r w:rsidRPr="00FE23DC">
        <w:t xml:space="preserve">El Comité Ejecutivo tal vez desee tomar nota del informe sobre el resumen y los resultados de las deliberaciones celebradas en las sesiones de media jornada </w:t>
      </w:r>
      <w:r w:rsidR="007928F8">
        <w:t>acerca de</w:t>
      </w:r>
      <w:r w:rsidRPr="00FE23DC">
        <w:t xml:space="preserve"> los enfoques estratégicos para la aplicación de la Enmienda de Kigali y la contribución a la refrigeración sostenible de las actividades apoyadas por el Fondo Multilateral, que figuran en los documentos UNEP/</w:t>
      </w:r>
      <w:proofErr w:type="spellStart"/>
      <w:r w:rsidRPr="00FE23DC">
        <w:t>OzL.Pro</w:t>
      </w:r>
      <w:proofErr w:type="spellEnd"/>
      <w:r w:rsidRPr="00FE23DC">
        <w:t>/</w:t>
      </w:r>
      <w:proofErr w:type="spellStart"/>
      <w:r w:rsidRPr="00FE23DC">
        <w:t>ExCom</w:t>
      </w:r>
      <w:proofErr w:type="spellEnd"/>
      <w:r w:rsidRPr="00FE23DC">
        <w:t>/96/63 y UNEP/OzL.Pro/ExCom/96/63/Add.1</w:t>
      </w:r>
      <w:r w:rsidR="0055283B" w:rsidRPr="00FE23DC">
        <w:rPr>
          <w:rStyle w:val="FootnoteReference"/>
        </w:rPr>
        <w:footnoteReference w:id="8"/>
      </w:r>
      <w:r w:rsidRPr="00FE23DC">
        <w:t>.</w:t>
      </w:r>
    </w:p>
    <w:p w14:paraId="230FF064" w14:textId="38BF18B2" w:rsidR="00091FDD" w:rsidRPr="00FE23DC" w:rsidRDefault="00657E98" w:rsidP="00091FDD">
      <w:pPr>
        <w:rPr>
          <w:sz w:val="16"/>
          <w:szCs w:val="16"/>
        </w:rPr>
      </w:pPr>
      <w:r w:rsidRPr="00FE23DC">
        <w:t xml:space="preserve">                                                                </w:t>
      </w:r>
      <w:r w:rsidRPr="00FE23DC">
        <w:rPr>
          <w:sz w:val="16"/>
          <w:szCs w:val="16"/>
        </w:rPr>
        <w:t>__________________</w:t>
      </w:r>
      <w:r w:rsidR="00771F8A" w:rsidRPr="00FE23DC">
        <w:rPr>
          <w:sz w:val="16"/>
          <w:szCs w:val="16"/>
        </w:rPr>
        <w:t>_____</w:t>
      </w:r>
    </w:p>
    <w:sectPr w:rsidR="00091FDD" w:rsidRPr="00FE23DC" w:rsidSect="007A6628">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BFBE" w14:textId="77777777" w:rsidR="00C7576C" w:rsidRDefault="00C7576C" w:rsidP="004A504B">
      <w:r>
        <w:separator/>
      </w:r>
    </w:p>
  </w:endnote>
  <w:endnote w:type="continuationSeparator" w:id="0">
    <w:p w14:paraId="03A84734" w14:textId="77777777" w:rsidR="00C7576C" w:rsidRDefault="00C757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2F7E" w14:textId="334ED85B" w:rsidR="004532BD" w:rsidRPr="0033525D" w:rsidRDefault="004532BD" w:rsidP="004532BD">
    <w:pPr>
      <w:jc w:val="center"/>
    </w:pPr>
    <w:r>
      <w:fldChar w:fldCharType="begin"/>
    </w:r>
    <w:r>
      <w:instrText xml:space="preserve"> PAGE </w:instrText>
    </w:r>
    <w:r>
      <w:fldChar w:fldCharType="separate"/>
    </w:r>
    <w:r w:rsidR="00391415">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742" w14:textId="62FE2111" w:rsidR="001521DD" w:rsidRPr="0033525D" w:rsidRDefault="001521DD">
    <w:pPr>
      <w:jc w:val="center"/>
    </w:pPr>
    <w:r>
      <w:fldChar w:fldCharType="begin"/>
    </w:r>
    <w:r>
      <w:instrText xml:space="preserve"> PAGE </w:instrText>
    </w:r>
    <w:r>
      <w:fldChar w:fldCharType="separate"/>
    </w:r>
    <w:r w:rsidR="00391415">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045C" w14:textId="43923A7F" w:rsidR="004532BD" w:rsidRDefault="004532BD" w:rsidP="00CA4D47">
    <w:pPr>
      <w:pBdr>
        <w:top w:val="single" w:sz="4" w:space="1" w:color="auto"/>
        <w:left w:val="single" w:sz="4" w:space="4" w:color="auto"/>
        <w:bottom w:val="single" w:sz="4" w:space="1" w:color="auto"/>
        <w:right w:val="single" w:sz="4" w:space="7" w:color="auto"/>
      </w:pBdr>
      <w:spacing w:before="120"/>
      <w:ind w:right="-180"/>
      <w:jc w:val="center"/>
      <w:rPr>
        <w:sz w:val="18"/>
        <w:szCs w:val="18"/>
      </w:rPr>
    </w:pPr>
    <w:r w:rsidRPr="00CA4D47">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CA4D47">
      <w:rPr>
        <w:sz w:val="18"/>
        <w:szCs w:val="18"/>
      </w:rPr>
      <w:t>los mismos</w:t>
    </w:r>
    <w:proofErr w:type="gramEnd"/>
    <w:r w:rsidRPr="00CA4D47">
      <w:rPr>
        <w:sz w:val="18"/>
        <w:szCs w:val="18"/>
      </w:rPr>
      <w:t>.</w:t>
    </w:r>
  </w:p>
  <w:p w14:paraId="47C02C60" w14:textId="77777777" w:rsidR="00CA4D47" w:rsidRPr="00CA4D47" w:rsidRDefault="00CA4D47" w:rsidP="00CA4D47">
    <w:pPr>
      <w:pBdr>
        <w:top w:val="single" w:sz="4" w:space="1" w:color="auto"/>
        <w:left w:val="single" w:sz="4" w:space="4" w:color="auto"/>
        <w:bottom w:val="single" w:sz="4" w:space="1" w:color="auto"/>
        <w:right w:val="single" w:sz="4" w:space="7" w:color="auto"/>
      </w:pBdr>
      <w:spacing w:before="120"/>
      <w:ind w:right="-18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63203" w14:textId="77777777" w:rsidR="00C7576C" w:rsidRDefault="00C7576C" w:rsidP="004A504B">
      <w:r>
        <w:separator/>
      </w:r>
    </w:p>
  </w:footnote>
  <w:footnote w:type="continuationSeparator" w:id="0">
    <w:p w14:paraId="2E25C09E" w14:textId="77777777" w:rsidR="00C7576C" w:rsidRDefault="00C7576C" w:rsidP="004A504B">
      <w:r>
        <w:continuationSeparator/>
      </w:r>
    </w:p>
  </w:footnote>
  <w:footnote w:id="1">
    <w:p w14:paraId="4C0AEAC1" w14:textId="7A20886E" w:rsidR="00CC0167" w:rsidRPr="00CC0167" w:rsidRDefault="00CC0167">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2">
    <w:p w14:paraId="6FAC588B" w14:textId="20A6E004" w:rsidR="00026B48" w:rsidRPr="00026B48" w:rsidRDefault="00026B48">
      <w:pPr>
        <w:pStyle w:val="FootnoteText"/>
      </w:pPr>
      <w:r>
        <w:rPr>
          <w:rStyle w:val="FootnoteReference"/>
        </w:rPr>
        <w:footnoteRef/>
      </w:r>
      <w:r>
        <w:t xml:space="preserve"> El alcance más amplio se basó también en el documento titulado “Cómo podrían contribuir las actividades de eliminación de HCFC y reducción de HFC apoyadas por el Fondo Multilateral a la refrigeración sostenible (decisión 92/1 b))”, UNEP/</w:t>
      </w:r>
      <w:proofErr w:type="spellStart"/>
      <w:r>
        <w:t>OzL.Pro</w:t>
      </w:r>
      <w:proofErr w:type="spellEnd"/>
      <w:r>
        <w:t>/</w:t>
      </w:r>
      <w:proofErr w:type="spellStart"/>
      <w:r>
        <w:t>ExCom</w:t>
      </w:r>
      <w:proofErr w:type="spellEnd"/>
      <w:r>
        <w:t xml:space="preserve">/94/63, que el Comité Ejecutivo examinó en su 94ª reunión. </w:t>
      </w:r>
    </w:p>
  </w:footnote>
  <w:footnote w:id="3">
    <w:p w14:paraId="2B89B6FF" w14:textId="6A5E6561" w:rsidR="006B7EAE" w:rsidRPr="006B7EAE" w:rsidRDefault="006B7EAE" w:rsidP="001E3399">
      <w:pPr>
        <w:pStyle w:val="FootnoteText"/>
        <w:ind w:right="-421"/>
        <w:jc w:val="left"/>
      </w:pPr>
      <w:r>
        <w:rPr>
          <w:rStyle w:val="FootnoteReference"/>
        </w:rPr>
        <w:footnoteRef/>
      </w:r>
      <w:r>
        <w:t xml:space="preserve"> Orden del día y documentos para la primera sesión de media jornada</w:t>
      </w:r>
      <w:r w:rsidR="0089036E">
        <w:t>:</w:t>
      </w:r>
      <w:r>
        <w:t xml:space="preserve"> </w:t>
      </w:r>
      <w:hyperlink r:id="rId1" w:history="1">
        <w:r>
          <w:rPr>
            <w:rStyle w:val="Hyperlink"/>
          </w:rPr>
          <w:t>https://www.multilateralfund.org/meetings/other/94</w:t>
        </w:r>
      </w:hyperlink>
      <w:r>
        <w:t xml:space="preserve"> </w:t>
      </w:r>
    </w:p>
  </w:footnote>
  <w:footnote w:id="4">
    <w:p w14:paraId="020059D7" w14:textId="13910D46" w:rsidR="001E3399" w:rsidRPr="006B7EAE" w:rsidRDefault="006B7EAE" w:rsidP="001E3399">
      <w:pPr>
        <w:pStyle w:val="FootnoteText"/>
        <w:jc w:val="left"/>
      </w:pPr>
      <w:r>
        <w:rPr>
          <w:rStyle w:val="FootnoteReference"/>
        </w:rPr>
        <w:footnoteRef/>
      </w:r>
      <w:r>
        <w:t xml:space="preserve"> Orden del día y documentos para la segunda sesión de media jornada</w:t>
      </w:r>
      <w:r w:rsidR="0089036E">
        <w:t>:</w:t>
      </w:r>
      <w:r>
        <w:t xml:space="preserve">  </w:t>
      </w:r>
      <w:hyperlink r:id="rId2" w:history="1">
        <w:r>
          <w:rPr>
            <w:rStyle w:val="Hyperlink"/>
          </w:rPr>
          <w:t>https://www.multilateralfund.org/meetings/other/95</w:t>
        </w:r>
      </w:hyperlink>
      <w:r>
        <w:t xml:space="preserve"> </w:t>
      </w:r>
    </w:p>
  </w:footnote>
  <w:footnote w:id="5">
    <w:p w14:paraId="5114765B" w14:textId="49F9C15A" w:rsidR="001E3399" w:rsidRPr="006B7EAE" w:rsidRDefault="001E3399" w:rsidP="0089036E">
      <w:pPr>
        <w:pStyle w:val="FootnoteText"/>
        <w:jc w:val="left"/>
      </w:pPr>
      <w:r>
        <w:rPr>
          <w:rStyle w:val="FootnoteReference"/>
        </w:rPr>
        <w:footnoteRef/>
      </w:r>
      <w:r>
        <w:t xml:space="preserve"> Orden del día y documentos de la tercera sesión de media jornada</w:t>
      </w:r>
      <w:r w:rsidR="0089036E">
        <w:t>:</w:t>
      </w:r>
      <w:r>
        <w:t xml:space="preserve"> </w:t>
      </w:r>
      <w:hyperlink r:id="rId3" w:history="1">
        <w:r>
          <w:rPr>
            <w:rStyle w:val="Hyperlink"/>
          </w:rPr>
          <w:t>https://www.multilateralfund.org/meetings/other/96</w:t>
        </w:r>
      </w:hyperlink>
      <w:r>
        <w:t xml:space="preserve"> </w:t>
      </w:r>
    </w:p>
    <w:p w14:paraId="6AA29153" w14:textId="190D5B93" w:rsidR="001E3399" w:rsidRPr="001E3399" w:rsidRDefault="001E3399">
      <w:pPr>
        <w:pStyle w:val="FootnoteText"/>
      </w:pPr>
    </w:p>
  </w:footnote>
  <w:footnote w:id="6">
    <w:p w14:paraId="08B45BBC" w14:textId="02678C92" w:rsidR="00253C08" w:rsidRPr="000F7A62" w:rsidRDefault="00253C08" w:rsidP="00253C08">
      <w:pPr>
        <w:pStyle w:val="FootnoteText"/>
      </w:pPr>
      <w:r>
        <w:rPr>
          <w:rStyle w:val="FootnoteReference"/>
        </w:rPr>
        <w:footnoteRef/>
      </w:r>
      <w:r>
        <w:t xml:space="preserve"> David </w:t>
      </w:r>
      <w:proofErr w:type="spellStart"/>
      <w:r>
        <w:t>Fairman</w:t>
      </w:r>
      <w:proofErr w:type="spellEnd"/>
      <w:r>
        <w:t xml:space="preserve">, Mediador Senior </w:t>
      </w:r>
      <w:r w:rsidR="00391415">
        <w:t>en</w:t>
      </w:r>
      <w:r>
        <w:t xml:space="preserve"> </w:t>
      </w:r>
      <w:proofErr w:type="spellStart"/>
      <w:r w:rsidR="00391415" w:rsidRPr="00370D63">
        <w:t>Consensus</w:t>
      </w:r>
      <w:proofErr w:type="spellEnd"/>
      <w:r w:rsidR="00391415" w:rsidRPr="00370D63">
        <w:t xml:space="preserve"> </w:t>
      </w:r>
      <w:proofErr w:type="spellStart"/>
      <w:r w:rsidR="00391415" w:rsidRPr="00370D63">
        <w:t>Building</w:t>
      </w:r>
      <w:proofErr w:type="spellEnd"/>
      <w:r w:rsidR="00391415" w:rsidRPr="00370D63">
        <w:t xml:space="preserve"> </w:t>
      </w:r>
      <w:proofErr w:type="spellStart"/>
      <w:r w:rsidR="00391415" w:rsidRPr="00370D63">
        <w:t>Institute</w:t>
      </w:r>
      <w:proofErr w:type="spellEnd"/>
      <w:r w:rsidR="00391415">
        <w:t xml:space="preserve"> </w:t>
      </w:r>
      <w:r>
        <w:t xml:space="preserve">y Director Asociado </w:t>
      </w:r>
      <w:r w:rsidR="00391415">
        <w:t>en</w:t>
      </w:r>
      <w:r>
        <w:t xml:space="preserve"> </w:t>
      </w:r>
      <w:r w:rsidR="00391415" w:rsidRPr="00370D63">
        <w:t xml:space="preserve">MIT-Harvard </w:t>
      </w:r>
      <w:proofErr w:type="spellStart"/>
      <w:r w:rsidR="00391415" w:rsidRPr="00370D63">
        <w:t>Public</w:t>
      </w:r>
      <w:proofErr w:type="spellEnd"/>
      <w:r w:rsidR="00391415" w:rsidRPr="00370D63">
        <w:t xml:space="preserve"> Disputes </w:t>
      </w:r>
      <w:proofErr w:type="spellStart"/>
      <w:r w:rsidR="00391415" w:rsidRPr="00370D63">
        <w:t>Program</w:t>
      </w:r>
      <w:r w:rsidR="00391415">
        <w:t>me</w:t>
      </w:r>
      <w:proofErr w:type="spellEnd"/>
    </w:p>
  </w:footnote>
  <w:footnote w:id="7">
    <w:p w14:paraId="0A2FEB1B" w14:textId="7D21BFEE" w:rsidR="00253C08" w:rsidRPr="00E62F39" w:rsidRDefault="00253C08" w:rsidP="00253C08">
      <w:pPr>
        <w:rPr>
          <w:sz w:val="20"/>
          <w:szCs w:val="20"/>
        </w:rPr>
      </w:pPr>
      <w:r>
        <w:rPr>
          <w:rStyle w:val="FootnoteReference"/>
          <w:sz w:val="20"/>
          <w:szCs w:val="20"/>
        </w:rPr>
        <w:footnoteRef/>
      </w:r>
      <w:r>
        <w:rPr>
          <w:sz w:val="20"/>
          <w:szCs w:val="20"/>
        </w:rPr>
        <w:t xml:space="preserve"> </w:t>
      </w:r>
      <w:r w:rsidR="005A7945" w:rsidRPr="00E62F39">
        <w:rPr>
          <w:sz w:val="20"/>
          <w:szCs w:val="20"/>
        </w:rPr>
        <w:fldChar w:fldCharType="begin"/>
      </w:r>
      <w:r w:rsidR="005A7945" w:rsidRPr="00E62F39">
        <w:rPr>
          <w:sz w:val="20"/>
          <w:szCs w:val="20"/>
        </w:rPr>
        <w:instrText xml:space="preserve"> DOCPROPERTY "Document number"  \* MERGEFORMAT </w:instrText>
      </w:r>
      <w:r w:rsidR="005A7945" w:rsidRPr="00E62F39">
        <w:rPr>
          <w:sz w:val="20"/>
          <w:szCs w:val="20"/>
        </w:rPr>
        <w:fldChar w:fldCharType="separate"/>
      </w:r>
      <w:r w:rsidR="005A7945" w:rsidRPr="00E62F39">
        <w:rPr>
          <w:sz w:val="20"/>
          <w:szCs w:val="20"/>
        </w:rPr>
        <w:t>UNEP/</w:t>
      </w:r>
      <w:proofErr w:type="spellStart"/>
      <w:r w:rsidR="005A7945" w:rsidRPr="00E62F39">
        <w:rPr>
          <w:sz w:val="20"/>
          <w:szCs w:val="20"/>
        </w:rPr>
        <w:t>OzL.Pro</w:t>
      </w:r>
      <w:proofErr w:type="spellEnd"/>
      <w:r w:rsidR="005A7945" w:rsidRPr="00E62F39">
        <w:rPr>
          <w:sz w:val="20"/>
          <w:szCs w:val="20"/>
        </w:rPr>
        <w:t>/</w:t>
      </w:r>
      <w:proofErr w:type="spellStart"/>
      <w:r w:rsidR="005A7945" w:rsidRPr="00E62F39">
        <w:rPr>
          <w:sz w:val="20"/>
          <w:szCs w:val="20"/>
        </w:rPr>
        <w:t>ExCom</w:t>
      </w:r>
      <w:proofErr w:type="spellEnd"/>
      <w:r w:rsidR="005A7945" w:rsidRPr="00E62F39">
        <w:rPr>
          <w:sz w:val="20"/>
          <w:szCs w:val="20"/>
        </w:rPr>
        <w:t>/96/Inf.2</w:t>
      </w:r>
      <w:r w:rsidR="005A7945" w:rsidRPr="00E62F39">
        <w:rPr>
          <w:sz w:val="20"/>
          <w:szCs w:val="20"/>
        </w:rPr>
        <w:fldChar w:fldCharType="end"/>
      </w:r>
      <w:r w:rsidR="005A7945">
        <w:rPr>
          <w:sz w:val="20"/>
          <w:szCs w:val="20"/>
        </w:rPr>
        <w:t xml:space="preserve"> </w:t>
      </w:r>
    </w:p>
  </w:footnote>
  <w:footnote w:id="8">
    <w:p w14:paraId="795E1700" w14:textId="3336B705" w:rsidR="0055283B" w:rsidRPr="0055283B" w:rsidRDefault="0055283B">
      <w:pPr>
        <w:pStyle w:val="FootnoteText"/>
      </w:pPr>
      <w:r>
        <w:rPr>
          <w:rStyle w:val="FootnoteReference"/>
        </w:rPr>
        <w:footnoteRef/>
      </w:r>
      <w:r>
        <w:t xml:space="preserve"> El resumen y los resultados de la tercera sesión de media jornada se presentarán como adición al documento UNEP/</w:t>
      </w:r>
      <w:proofErr w:type="spellStart"/>
      <w:r>
        <w:t>OzL.Pro</w:t>
      </w:r>
      <w:proofErr w:type="spellEnd"/>
      <w:r>
        <w:t>/</w:t>
      </w:r>
      <w:proofErr w:type="spellStart"/>
      <w:r>
        <w:t>ExCom</w:t>
      </w:r>
      <w:proofErr w:type="spellEnd"/>
      <w:r>
        <w:t>/96/63 una vez concluida la sesión.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7100150"/>
  <w:p w14:paraId="43F0F6D5" w14:textId="762B2A98" w:rsidR="001521DD" w:rsidRPr="0033525D" w:rsidRDefault="001521DD">
    <w:r>
      <w:fldChar w:fldCharType="begin"/>
    </w:r>
    <w:r>
      <w:instrText xml:space="preserve"> DOCPROPERTY "Document number"  \* MERGEFORMAT </w:instrText>
    </w:r>
    <w:r>
      <w:fldChar w:fldCharType="separate"/>
    </w:r>
    <w:r w:rsidR="00CA4D47">
      <w:t>UNEP/</w:t>
    </w:r>
    <w:proofErr w:type="spellStart"/>
    <w:r w:rsidR="00CA4D47">
      <w:t>OzL.Pro</w:t>
    </w:r>
    <w:proofErr w:type="spellEnd"/>
    <w:r w:rsidR="00CA4D47">
      <w:t>/</w:t>
    </w:r>
    <w:proofErr w:type="spellStart"/>
    <w:r w:rsidR="00CA4D47">
      <w:t>ExCom</w:t>
    </w:r>
    <w:proofErr w:type="spellEnd"/>
    <w:r w:rsidR="00CA4D47">
      <w:t>/96/63</w:t>
    </w:r>
    <w:r>
      <w:fldChar w:fldCharType="end"/>
    </w:r>
  </w:p>
  <w:bookmarkEnd w:id="1"/>
  <w:p w14:paraId="0E3A167C" w14:textId="36F0B923" w:rsidR="001521DD" w:rsidRPr="0033525D" w:rsidRDefault="001521DD"/>
  <w:p w14:paraId="657D4300" w14:textId="77777777" w:rsidR="001521DD" w:rsidRDefault="001521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B7C2" w14:textId="39F76AC8" w:rsidR="004532BD" w:rsidRDefault="004532BD" w:rsidP="004532BD">
    <w:pPr>
      <w:jc w:val="right"/>
    </w:pPr>
    <w:r>
      <w:fldChar w:fldCharType="begin"/>
    </w:r>
    <w:r>
      <w:instrText xml:space="preserve"> DOCPROPERTY "Document number"  \* MERGEFORMAT </w:instrText>
    </w:r>
    <w:r>
      <w:fldChar w:fldCharType="separate"/>
    </w:r>
    <w:r w:rsidR="00CA4D47">
      <w:t>UNEP/</w:t>
    </w:r>
    <w:proofErr w:type="spellStart"/>
    <w:r w:rsidR="00CA4D47">
      <w:t>OzL.Pro</w:t>
    </w:r>
    <w:proofErr w:type="spellEnd"/>
    <w:r w:rsidR="00CA4D47">
      <w:t>/</w:t>
    </w:r>
    <w:proofErr w:type="spellStart"/>
    <w:r w:rsidR="00CA4D47">
      <w:t>ExCom</w:t>
    </w:r>
    <w:proofErr w:type="spellEnd"/>
    <w:r w:rsidR="00CA4D47">
      <w:t>/96/63</w:t>
    </w:r>
    <w:r>
      <w:fldChar w:fldCharType="end"/>
    </w:r>
  </w:p>
  <w:p w14:paraId="245E4A73" w14:textId="77777777" w:rsidR="004532BD" w:rsidRPr="0033525D" w:rsidRDefault="004532BD" w:rsidP="004532BD">
    <w:pPr>
      <w:jc w:val="right"/>
    </w:pPr>
  </w:p>
  <w:p w14:paraId="581B55D1" w14:textId="77777777" w:rsidR="004532BD" w:rsidRPr="004532BD" w:rsidRDefault="004532BD" w:rsidP="00453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19E6834"/>
    <w:lvl w:ilvl="0">
      <w:start w:val="1"/>
      <w:numFmt w:val="decimal"/>
      <w:pStyle w:val="Heading1"/>
      <w:lvlText w:val="%1."/>
      <w:lvlJc w:val="left"/>
      <w:pPr>
        <w:tabs>
          <w:tab w:val="num" w:pos="0"/>
        </w:tabs>
        <w:ind w:left="0" w:firstLine="0"/>
      </w:p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870155"/>
    <w:multiLevelType w:val="hybridMultilevel"/>
    <w:tmpl w:val="0D6640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112C7D"/>
    <w:multiLevelType w:val="hybridMultilevel"/>
    <w:tmpl w:val="F6BE7842"/>
    <w:lvl w:ilvl="0" w:tplc="04090001">
      <w:start w:val="1"/>
      <w:numFmt w:val="bullet"/>
      <w:lvlText w:val=""/>
      <w:lvlJc w:val="left"/>
      <w:pPr>
        <w:ind w:left="3245" w:hanging="360"/>
      </w:pPr>
      <w:rPr>
        <w:rFonts w:ascii="Symbol" w:hAnsi="Symbol"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19"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888919">
    <w:abstractNumId w:val="10"/>
  </w:num>
  <w:num w:numId="2" w16cid:durableId="1727755319">
    <w:abstractNumId w:val="10"/>
  </w:num>
  <w:num w:numId="3" w16cid:durableId="1617592131">
    <w:abstractNumId w:val="10"/>
  </w:num>
  <w:num w:numId="4" w16cid:durableId="851648033">
    <w:abstractNumId w:val="10"/>
  </w:num>
  <w:num w:numId="5" w16cid:durableId="1325629093">
    <w:abstractNumId w:val="10"/>
  </w:num>
  <w:num w:numId="6" w16cid:durableId="1473211386">
    <w:abstractNumId w:val="9"/>
  </w:num>
  <w:num w:numId="7" w16cid:durableId="314725618">
    <w:abstractNumId w:val="7"/>
  </w:num>
  <w:num w:numId="8" w16cid:durableId="1640187473">
    <w:abstractNumId w:val="6"/>
  </w:num>
  <w:num w:numId="9" w16cid:durableId="1066415242">
    <w:abstractNumId w:val="5"/>
  </w:num>
  <w:num w:numId="10" w16cid:durableId="37433855">
    <w:abstractNumId w:val="4"/>
  </w:num>
  <w:num w:numId="11" w16cid:durableId="484126027">
    <w:abstractNumId w:val="8"/>
  </w:num>
  <w:num w:numId="12" w16cid:durableId="1400061214">
    <w:abstractNumId w:val="3"/>
  </w:num>
  <w:num w:numId="13" w16cid:durableId="2004971109">
    <w:abstractNumId w:val="2"/>
  </w:num>
  <w:num w:numId="14" w16cid:durableId="557398310">
    <w:abstractNumId w:val="1"/>
  </w:num>
  <w:num w:numId="15" w16cid:durableId="2092852261">
    <w:abstractNumId w:val="0"/>
  </w:num>
  <w:num w:numId="16" w16cid:durableId="1938097175">
    <w:abstractNumId w:val="13"/>
  </w:num>
  <w:num w:numId="17" w16cid:durableId="1195770574">
    <w:abstractNumId w:val="16"/>
  </w:num>
  <w:num w:numId="18" w16cid:durableId="2066642233">
    <w:abstractNumId w:val="17"/>
  </w:num>
  <w:num w:numId="19" w16cid:durableId="1492596333">
    <w:abstractNumId w:val="21"/>
  </w:num>
  <w:num w:numId="20" w16cid:durableId="1710035511">
    <w:abstractNumId w:val="14"/>
  </w:num>
  <w:num w:numId="21" w16cid:durableId="1258708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2257907">
    <w:abstractNumId w:val="20"/>
  </w:num>
  <w:num w:numId="23" w16cid:durableId="994797963">
    <w:abstractNumId w:val="12"/>
  </w:num>
  <w:num w:numId="24" w16cid:durableId="2004234100">
    <w:abstractNumId w:val="15"/>
  </w:num>
  <w:num w:numId="25" w16cid:durableId="1641570779">
    <w:abstractNumId w:val="18"/>
  </w:num>
  <w:num w:numId="26" w16cid:durableId="743991094">
    <w:abstractNumId w:val="19"/>
  </w:num>
  <w:num w:numId="27" w16cid:durableId="9480095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7ED2"/>
    <w:rsid w:val="000211A9"/>
    <w:rsid w:val="00021238"/>
    <w:rsid w:val="00022071"/>
    <w:rsid w:val="00022B68"/>
    <w:rsid w:val="0002570C"/>
    <w:rsid w:val="00026B48"/>
    <w:rsid w:val="00031260"/>
    <w:rsid w:val="0003681A"/>
    <w:rsid w:val="000372B7"/>
    <w:rsid w:val="00042AD1"/>
    <w:rsid w:val="00050F6E"/>
    <w:rsid w:val="00056D14"/>
    <w:rsid w:val="00061AB8"/>
    <w:rsid w:val="00061EC2"/>
    <w:rsid w:val="00066CE8"/>
    <w:rsid w:val="00080ED0"/>
    <w:rsid w:val="00085B8F"/>
    <w:rsid w:val="00090481"/>
    <w:rsid w:val="00090CB5"/>
    <w:rsid w:val="00091FDD"/>
    <w:rsid w:val="00093833"/>
    <w:rsid w:val="000978CD"/>
    <w:rsid w:val="000A3826"/>
    <w:rsid w:val="000A6C26"/>
    <w:rsid w:val="000B1404"/>
    <w:rsid w:val="000B32A1"/>
    <w:rsid w:val="000B36C8"/>
    <w:rsid w:val="000D52A4"/>
    <w:rsid w:val="000E07BC"/>
    <w:rsid w:val="000E2C7A"/>
    <w:rsid w:val="000E2E21"/>
    <w:rsid w:val="000F1CD4"/>
    <w:rsid w:val="000F4103"/>
    <w:rsid w:val="000F70A7"/>
    <w:rsid w:val="0010600E"/>
    <w:rsid w:val="00113CCA"/>
    <w:rsid w:val="00122F25"/>
    <w:rsid w:val="00123135"/>
    <w:rsid w:val="00130020"/>
    <w:rsid w:val="00135980"/>
    <w:rsid w:val="0013786F"/>
    <w:rsid w:val="00141C9B"/>
    <w:rsid w:val="001521DD"/>
    <w:rsid w:val="00164719"/>
    <w:rsid w:val="00166FC4"/>
    <w:rsid w:val="001677AC"/>
    <w:rsid w:val="00176B46"/>
    <w:rsid w:val="001804EA"/>
    <w:rsid w:val="00190A61"/>
    <w:rsid w:val="00197179"/>
    <w:rsid w:val="001A20D5"/>
    <w:rsid w:val="001A2215"/>
    <w:rsid w:val="001A3342"/>
    <w:rsid w:val="001A3E3D"/>
    <w:rsid w:val="001A7049"/>
    <w:rsid w:val="001B1E40"/>
    <w:rsid w:val="001C15DE"/>
    <w:rsid w:val="001C1E94"/>
    <w:rsid w:val="001C3C33"/>
    <w:rsid w:val="001C3C87"/>
    <w:rsid w:val="001C764E"/>
    <w:rsid w:val="001D158D"/>
    <w:rsid w:val="001E064A"/>
    <w:rsid w:val="001E1052"/>
    <w:rsid w:val="001E21B1"/>
    <w:rsid w:val="001E2F93"/>
    <w:rsid w:val="001E3399"/>
    <w:rsid w:val="001E42F6"/>
    <w:rsid w:val="001E4554"/>
    <w:rsid w:val="001E61E5"/>
    <w:rsid w:val="001F14A4"/>
    <w:rsid w:val="001F2159"/>
    <w:rsid w:val="001F53FD"/>
    <w:rsid w:val="00202559"/>
    <w:rsid w:val="00206ADB"/>
    <w:rsid w:val="00210B8B"/>
    <w:rsid w:val="00214863"/>
    <w:rsid w:val="0021509D"/>
    <w:rsid w:val="002156B4"/>
    <w:rsid w:val="00224FCD"/>
    <w:rsid w:val="002439B1"/>
    <w:rsid w:val="00253222"/>
    <w:rsid w:val="00253C08"/>
    <w:rsid w:val="00261C13"/>
    <w:rsid w:val="00262847"/>
    <w:rsid w:val="00271523"/>
    <w:rsid w:val="00281BB2"/>
    <w:rsid w:val="002913B7"/>
    <w:rsid w:val="002A03C3"/>
    <w:rsid w:val="002B1FF7"/>
    <w:rsid w:val="002B254E"/>
    <w:rsid w:val="002B4CE8"/>
    <w:rsid w:val="002B591A"/>
    <w:rsid w:val="002B72E9"/>
    <w:rsid w:val="002C7998"/>
    <w:rsid w:val="002E687A"/>
    <w:rsid w:val="002F1E53"/>
    <w:rsid w:val="002F2CAA"/>
    <w:rsid w:val="002F308F"/>
    <w:rsid w:val="0030052C"/>
    <w:rsid w:val="00311E25"/>
    <w:rsid w:val="00315AEA"/>
    <w:rsid w:val="003306E1"/>
    <w:rsid w:val="003320E4"/>
    <w:rsid w:val="00333801"/>
    <w:rsid w:val="0033525D"/>
    <w:rsid w:val="00340FA1"/>
    <w:rsid w:val="003414F3"/>
    <w:rsid w:val="0034334D"/>
    <w:rsid w:val="0035613E"/>
    <w:rsid w:val="00363EE9"/>
    <w:rsid w:val="003660A6"/>
    <w:rsid w:val="00366918"/>
    <w:rsid w:val="00371252"/>
    <w:rsid w:val="00376128"/>
    <w:rsid w:val="0037742E"/>
    <w:rsid w:val="00377D56"/>
    <w:rsid w:val="0038245A"/>
    <w:rsid w:val="003840E6"/>
    <w:rsid w:val="00385CFC"/>
    <w:rsid w:val="00391415"/>
    <w:rsid w:val="0039337A"/>
    <w:rsid w:val="0039764E"/>
    <w:rsid w:val="003A3189"/>
    <w:rsid w:val="003A3271"/>
    <w:rsid w:val="003A3CA7"/>
    <w:rsid w:val="003B33BD"/>
    <w:rsid w:val="003B569D"/>
    <w:rsid w:val="003C3C0E"/>
    <w:rsid w:val="003D42A6"/>
    <w:rsid w:val="003D4F21"/>
    <w:rsid w:val="003D4FAC"/>
    <w:rsid w:val="003E1885"/>
    <w:rsid w:val="003E7906"/>
    <w:rsid w:val="003F000F"/>
    <w:rsid w:val="003F3C50"/>
    <w:rsid w:val="003F7345"/>
    <w:rsid w:val="00406202"/>
    <w:rsid w:val="00406A6A"/>
    <w:rsid w:val="00406B22"/>
    <w:rsid w:val="00407147"/>
    <w:rsid w:val="004078FA"/>
    <w:rsid w:val="00431E08"/>
    <w:rsid w:val="004328A7"/>
    <w:rsid w:val="00434C74"/>
    <w:rsid w:val="00444BC1"/>
    <w:rsid w:val="004532BD"/>
    <w:rsid w:val="00456EB4"/>
    <w:rsid w:val="00457827"/>
    <w:rsid w:val="004718F3"/>
    <w:rsid w:val="00475040"/>
    <w:rsid w:val="00486FD4"/>
    <w:rsid w:val="00490C06"/>
    <w:rsid w:val="00493D40"/>
    <w:rsid w:val="00493EE3"/>
    <w:rsid w:val="00494457"/>
    <w:rsid w:val="004967B6"/>
    <w:rsid w:val="004A504B"/>
    <w:rsid w:val="004A6911"/>
    <w:rsid w:val="004B0B49"/>
    <w:rsid w:val="004B212E"/>
    <w:rsid w:val="004B3652"/>
    <w:rsid w:val="004B54E0"/>
    <w:rsid w:val="004B7384"/>
    <w:rsid w:val="004C4269"/>
    <w:rsid w:val="004D6236"/>
    <w:rsid w:val="004D7F90"/>
    <w:rsid w:val="004E4DBB"/>
    <w:rsid w:val="004E4E41"/>
    <w:rsid w:val="004E73DB"/>
    <w:rsid w:val="004E7F9C"/>
    <w:rsid w:val="004F3493"/>
    <w:rsid w:val="004F5143"/>
    <w:rsid w:val="00500DC9"/>
    <w:rsid w:val="00504216"/>
    <w:rsid w:val="0050691E"/>
    <w:rsid w:val="00512B09"/>
    <w:rsid w:val="005220ED"/>
    <w:rsid w:val="00533796"/>
    <w:rsid w:val="00537343"/>
    <w:rsid w:val="00546428"/>
    <w:rsid w:val="005516F3"/>
    <w:rsid w:val="0055283B"/>
    <w:rsid w:val="00555D75"/>
    <w:rsid w:val="00556CEE"/>
    <w:rsid w:val="00560DF0"/>
    <w:rsid w:val="00564B34"/>
    <w:rsid w:val="0056759C"/>
    <w:rsid w:val="0059513E"/>
    <w:rsid w:val="00597C77"/>
    <w:rsid w:val="005A6AA4"/>
    <w:rsid w:val="005A6D9F"/>
    <w:rsid w:val="005A7945"/>
    <w:rsid w:val="005B2B45"/>
    <w:rsid w:val="005B48FF"/>
    <w:rsid w:val="005C1E32"/>
    <w:rsid w:val="005C670D"/>
    <w:rsid w:val="005D363F"/>
    <w:rsid w:val="005E4D97"/>
    <w:rsid w:val="005F096C"/>
    <w:rsid w:val="006000DD"/>
    <w:rsid w:val="00604C15"/>
    <w:rsid w:val="006158D5"/>
    <w:rsid w:val="0062405A"/>
    <w:rsid w:val="00625D83"/>
    <w:rsid w:val="0062669F"/>
    <w:rsid w:val="00644E5D"/>
    <w:rsid w:val="00651984"/>
    <w:rsid w:val="00655CFD"/>
    <w:rsid w:val="00657E98"/>
    <w:rsid w:val="006623E7"/>
    <w:rsid w:val="0066277F"/>
    <w:rsid w:val="00662B80"/>
    <w:rsid w:val="0066768F"/>
    <w:rsid w:val="00670F6C"/>
    <w:rsid w:val="00676A2E"/>
    <w:rsid w:val="00676E58"/>
    <w:rsid w:val="00677A2B"/>
    <w:rsid w:val="006852C7"/>
    <w:rsid w:val="006852CE"/>
    <w:rsid w:val="006907E0"/>
    <w:rsid w:val="00692D14"/>
    <w:rsid w:val="006A2093"/>
    <w:rsid w:val="006A7A3B"/>
    <w:rsid w:val="006B65C7"/>
    <w:rsid w:val="006B7EAE"/>
    <w:rsid w:val="006C1727"/>
    <w:rsid w:val="006C32FD"/>
    <w:rsid w:val="006C39CE"/>
    <w:rsid w:val="006D0FCC"/>
    <w:rsid w:val="006D21F5"/>
    <w:rsid w:val="006D3089"/>
    <w:rsid w:val="006E126D"/>
    <w:rsid w:val="006E1FC3"/>
    <w:rsid w:val="006F0D58"/>
    <w:rsid w:val="00704CE9"/>
    <w:rsid w:val="0070616B"/>
    <w:rsid w:val="00706295"/>
    <w:rsid w:val="00706FDA"/>
    <w:rsid w:val="00711F9A"/>
    <w:rsid w:val="00713458"/>
    <w:rsid w:val="00713810"/>
    <w:rsid w:val="00714820"/>
    <w:rsid w:val="007303A5"/>
    <w:rsid w:val="00730B3E"/>
    <w:rsid w:val="0073420B"/>
    <w:rsid w:val="00736367"/>
    <w:rsid w:val="00741B46"/>
    <w:rsid w:val="0074760E"/>
    <w:rsid w:val="00750330"/>
    <w:rsid w:val="007548C4"/>
    <w:rsid w:val="00754ABA"/>
    <w:rsid w:val="00755329"/>
    <w:rsid w:val="007624A2"/>
    <w:rsid w:val="00766604"/>
    <w:rsid w:val="00771F8A"/>
    <w:rsid w:val="00782B0D"/>
    <w:rsid w:val="007928F8"/>
    <w:rsid w:val="0079781A"/>
    <w:rsid w:val="007A1546"/>
    <w:rsid w:val="007A228C"/>
    <w:rsid w:val="007A368E"/>
    <w:rsid w:val="007A5868"/>
    <w:rsid w:val="007A6628"/>
    <w:rsid w:val="007B01E5"/>
    <w:rsid w:val="007B04CE"/>
    <w:rsid w:val="007B2497"/>
    <w:rsid w:val="007B6871"/>
    <w:rsid w:val="007B7A2F"/>
    <w:rsid w:val="007C2B69"/>
    <w:rsid w:val="007C32EE"/>
    <w:rsid w:val="007C3D33"/>
    <w:rsid w:val="007C775B"/>
    <w:rsid w:val="007C7FC7"/>
    <w:rsid w:val="007D03E1"/>
    <w:rsid w:val="007D294A"/>
    <w:rsid w:val="007D47D2"/>
    <w:rsid w:val="007D6EC0"/>
    <w:rsid w:val="007D7E1D"/>
    <w:rsid w:val="007E24B4"/>
    <w:rsid w:val="007E503C"/>
    <w:rsid w:val="007F2582"/>
    <w:rsid w:val="0080345C"/>
    <w:rsid w:val="00820331"/>
    <w:rsid w:val="00823D84"/>
    <w:rsid w:val="0082522F"/>
    <w:rsid w:val="00831979"/>
    <w:rsid w:val="00834791"/>
    <w:rsid w:val="00842791"/>
    <w:rsid w:val="00851352"/>
    <w:rsid w:val="008553B8"/>
    <w:rsid w:val="00857077"/>
    <w:rsid w:val="00857877"/>
    <w:rsid w:val="00863230"/>
    <w:rsid w:val="00865BD0"/>
    <w:rsid w:val="00867361"/>
    <w:rsid w:val="008717D8"/>
    <w:rsid w:val="0087215C"/>
    <w:rsid w:val="00875D25"/>
    <w:rsid w:val="00877D67"/>
    <w:rsid w:val="00880E35"/>
    <w:rsid w:val="0088180A"/>
    <w:rsid w:val="008875FE"/>
    <w:rsid w:val="00887F8E"/>
    <w:rsid w:val="0089036E"/>
    <w:rsid w:val="00891108"/>
    <w:rsid w:val="00896234"/>
    <w:rsid w:val="00897E43"/>
    <w:rsid w:val="008B2C42"/>
    <w:rsid w:val="008B7526"/>
    <w:rsid w:val="008C222B"/>
    <w:rsid w:val="008C5738"/>
    <w:rsid w:val="008C7DE7"/>
    <w:rsid w:val="008C7EAD"/>
    <w:rsid w:val="008D0CFE"/>
    <w:rsid w:val="008D142D"/>
    <w:rsid w:val="008D3BCE"/>
    <w:rsid w:val="008D6152"/>
    <w:rsid w:val="008E54F4"/>
    <w:rsid w:val="008E7BA9"/>
    <w:rsid w:val="008F0F81"/>
    <w:rsid w:val="008F27BF"/>
    <w:rsid w:val="008F2E64"/>
    <w:rsid w:val="008F39C8"/>
    <w:rsid w:val="008F654F"/>
    <w:rsid w:val="0090122E"/>
    <w:rsid w:val="009042A2"/>
    <w:rsid w:val="009142EC"/>
    <w:rsid w:val="009145E4"/>
    <w:rsid w:val="0091521F"/>
    <w:rsid w:val="009154C3"/>
    <w:rsid w:val="00923540"/>
    <w:rsid w:val="00926767"/>
    <w:rsid w:val="009304BE"/>
    <w:rsid w:val="009361D5"/>
    <w:rsid w:val="009366F0"/>
    <w:rsid w:val="009428A4"/>
    <w:rsid w:val="00947293"/>
    <w:rsid w:val="009659F4"/>
    <w:rsid w:val="00970D60"/>
    <w:rsid w:val="00973DBE"/>
    <w:rsid w:val="009874D0"/>
    <w:rsid w:val="0099390E"/>
    <w:rsid w:val="009960E5"/>
    <w:rsid w:val="009A7ADC"/>
    <w:rsid w:val="009B0D30"/>
    <w:rsid w:val="009B34F9"/>
    <w:rsid w:val="009C19B7"/>
    <w:rsid w:val="009C5ABB"/>
    <w:rsid w:val="009D7C51"/>
    <w:rsid w:val="009E196C"/>
    <w:rsid w:val="009E2EB0"/>
    <w:rsid w:val="009E2FB9"/>
    <w:rsid w:val="009E6A0A"/>
    <w:rsid w:val="009F36BF"/>
    <w:rsid w:val="00A04460"/>
    <w:rsid w:val="00A111B6"/>
    <w:rsid w:val="00A26D27"/>
    <w:rsid w:val="00A376EE"/>
    <w:rsid w:val="00A42A99"/>
    <w:rsid w:val="00A5151A"/>
    <w:rsid w:val="00A54121"/>
    <w:rsid w:val="00A57E0A"/>
    <w:rsid w:val="00A77919"/>
    <w:rsid w:val="00A77F19"/>
    <w:rsid w:val="00A823F6"/>
    <w:rsid w:val="00A8719E"/>
    <w:rsid w:val="00A920F2"/>
    <w:rsid w:val="00A92B3A"/>
    <w:rsid w:val="00AA0A89"/>
    <w:rsid w:val="00AA24F6"/>
    <w:rsid w:val="00AA5368"/>
    <w:rsid w:val="00AA6429"/>
    <w:rsid w:val="00AC01AA"/>
    <w:rsid w:val="00AC3EE9"/>
    <w:rsid w:val="00AC4DCB"/>
    <w:rsid w:val="00AC4F72"/>
    <w:rsid w:val="00AC5041"/>
    <w:rsid w:val="00AD57D5"/>
    <w:rsid w:val="00AD5F86"/>
    <w:rsid w:val="00AE482E"/>
    <w:rsid w:val="00AF1B39"/>
    <w:rsid w:val="00AF4C02"/>
    <w:rsid w:val="00AF741A"/>
    <w:rsid w:val="00AF7F42"/>
    <w:rsid w:val="00B01ADB"/>
    <w:rsid w:val="00B04161"/>
    <w:rsid w:val="00B056F9"/>
    <w:rsid w:val="00B11E3D"/>
    <w:rsid w:val="00B14D2C"/>
    <w:rsid w:val="00B17E82"/>
    <w:rsid w:val="00B371CD"/>
    <w:rsid w:val="00B4059F"/>
    <w:rsid w:val="00B41797"/>
    <w:rsid w:val="00B4575A"/>
    <w:rsid w:val="00B51B68"/>
    <w:rsid w:val="00B51D38"/>
    <w:rsid w:val="00B575BA"/>
    <w:rsid w:val="00B61322"/>
    <w:rsid w:val="00B66F8E"/>
    <w:rsid w:val="00B71608"/>
    <w:rsid w:val="00B76429"/>
    <w:rsid w:val="00B86471"/>
    <w:rsid w:val="00B956D4"/>
    <w:rsid w:val="00B97446"/>
    <w:rsid w:val="00BA1501"/>
    <w:rsid w:val="00BA2D29"/>
    <w:rsid w:val="00BA7432"/>
    <w:rsid w:val="00BB05B1"/>
    <w:rsid w:val="00BB2764"/>
    <w:rsid w:val="00BC1AA0"/>
    <w:rsid w:val="00BC2495"/>
    <w:rsid w:val="00BC314A"/>
    <w:rsid w:val="00BC3333"/>
    <w:rsid w:val="00BC7EB9"/>
    <w:rsid w:val="00BD2643"/>
    <w:rsid w:val="00BD56B1"/>
    <w:rsid w:val="00BD6558"/>
    <w:rsid w:val="00BD7A1D"/>
    <w:rsid w:val="00BF2AD7"/>
    <w:rsid w:val="00BF2F76"/>
    <w:rsid w:val="00BF3022"/>
    <w:rsid w:val="00BF3214"/>
    <w:rsid w:val="00BF5573"/>
    <w:rsid w:val="00C15867"/>
    <w:rsid w:val="00C22398"/>
    <w:rsid w:val="00C2296D"/>
    <w:rsid w:val="00C23155"/>
    <w:rsid w:val="00C409BB"/>
    <w:rsid w:val="00C40C41"/>
    <w:rsid w:val="00C45885"/>
    <w:rsid w:val="00C50F22"/>
    <w:rsid w:val="00C57971"/>
    <w:rsid w:val="00C6302D"/>
    <w:rsid w:val="00C65BD7"/>
    <w:rsid w:val="00C71929"/>
    <w:rsid w:val="00C7576C"/>
    <w:rsid w:val="00C76BA4"/>
    <w:rsid w:val="00C83A48"/>
    <w:rsid w:val="00C85865"/>
    <w:rsid w:val="00C85E85"/>
    <w:rsid w:val="00C87399"/>
    <w:rsid w:val="00C87A66"/>
    <w:rsid w:val="00C926C8"/>
    <w:rsid w:val="00CA2EAE"/>
    <w:rsid w:val="00CA4AC1"/>
    <w:rsid w:val="00CA4D47"/>
    <w:rsid w:val="00CA4E86"/>
    <w:rsid w:val="00CA59FB"/>
    <w:rsid w:val="00CB0316"/>
    <w:rsid w:val="00CB0B11"/>
    <w:rsid w:val="00CB1DBA"/>
    <w:rsid w:val="00CB426A"/>
    <w:rsid w:val="00CB5354"/>
    <w:rsid w:val="00CC0167"/>
    <w:rsid w:val="00CC05CE"/>
    <w:rsid w:val="00CC39EF"/>
    <w:rsid w:val="00CC3C9E"/>
    <w:rsid w:val="00CC6A14"/>
    <w:rsid w:val="00CC70A3"/>
    <w:rsid w:val="00CD4442"/>
    <w:rsid w:val="00CD53C3"/>
    <w:rsid w:val="00CD574E"/>
    <w:rsid w:val="00CE35C0"/>
    <w:rsid w:val="00CE4C22"/>
    <w:rsid w:val="00CE76E5"/>
    <w:rsid w:val="00CF352F"/>
    <w:rsid w:val="00CF41EC"/>
    <w:rsid w:val="00CF5D04"/>
    <w:rsid w:val="00D04DE4"/>
    <w:rsid w:val="00D063F1"/>
    <w:rsid w:val="00D11735"/>
    <w:rsid w:val="00D14F22"/>
    <w:rsid w:val="00D4741C"/>
    <w:rsid w:val="00D57918"/>
    <w:rsid w:val="00D63079"/>
    <w:rsid w:val="00D73DC6"/>
    <w:rsid w:val="00D74C1A"/>
    <w:rsid w:val="00D754C1"/>
    <w:rsid w:val="00D77029"/>
    <w:rsid w:val="00D77393"/>
    <w:rsid w:val="00D77A35"/>
    <w:rsid w:val="00D80231"/>
    <w:rsid w:val="00D81B3E"/>
    <w:rsid w:val="00D90C70"/>
    <w:rsid w:val="00D90E49"/>
    <w:rsid w:val="00D92037"/>
    <w:rsid w:val="00D95672"/>
    <w:rsid w:val="00D96ADE"/>
    <w:rsid w:val="00DA0CE2"/>
    <w:rsid w:val="00DA2387"/>
    <w:rsid w:val="00DB08CC"/>
    <w:rsid w:val="00DB428C"/>
    <w:rsid w:val="00DC6A10"/>
    <w:rsid w:val="00DE657E"/>
    <w:rsid w:val="00DF34D6"/>
    <w:rsid w:val="00DF4704"/>
    <w:rsid w:val="00E0120E"/>
    <w:rsid w:val="00E024AA"/>
    <w:rsid w:val="00E1215A"/>
    <w:rsid w:val="00E1291A"/>
    <w:rsid w:val="00E15C77"/>
    <w:rsid w:val="00E1693E"/>
    <w:rsid w:val="00E250F1"/>
    <w:rsid w:val="00E32759"/>
    <w:rsid w:val="00E3550D"/>
    <w:rsid w:val="00E3712A"/>
    <w:rsid w:val="00E41DF8"/>
    <w:rsid w:val="00E43D5E"/>
    <w:rsid w:val="00E52838"/>
    <w:rsid w:val="00E614E0"/>
    <w:rsid w:val="00E730F4"/>
    <w:rsid w:val="00E73F7F"/>
    <w:rsid w:val="00E753E8"/>
    <w:rsid w:val="00E85409"/>
    <w:rsid w:val="00E9339B"/>
    <w:rsid w:val="00EA429F"/>
    <w:rsid w:val="00EA4F9E"/>
    <w:rsid w:val="00EA63CA"/>
    <w:rsid w:val="00EA6D3B"/>
    <w:rsid w:val="00EB00AD"/>
    <w:rsid w:val="00EB136C"/>
    <w:rsid w:val="00EB480E"/>
    <w:rsid w:val="00EB5EC6"/>
    <w:rsid w:val="00EB7FC9"/>
    <w:rsid w:val="00ED2790"/>
    <w:rsid w:val="00ED27E8"/>
    <w:rsid w:val="00ED7137"/>
    <w:rsid w:val="00EE2FA2"/>
    <w:rsid w:val="00EE5A57"/>
    <w:rsid w:val="00EF06EA"/>
    <w:rsid w:val="00EF4055"/>
    <w:rsid w:val="00F01C30"/>
    <w:rsid w:val="00F07604"/>
    <w:rsid w:val="00F10452"/>
    <w:rsid w:val="00F21088"/>
    <w:rsid w:val="00F31A68"/>
    <w:rsid w:val="00F326BF"/>
    <w:rsid w:val="00F327E7"/>
    <w:rsid w:val="00F35746"/>
    <w:rsid w:val="00F447C7"/>
    <w:rsid w:val="00F459B4"/>
    <w:rsid w:val="00F5211B"/>
    <w:rsid w:val="00F5418E"/>
    <w:rsid w:val="00F54F58"/>
    <w:rsid w:val="00F554A9"/>
    <w:rsid w:val="00F626C0"/>
    <w:rsid w:val="00F716FD"/>
    <w:rsid w:val="00F7453D"/>
    <w:rsid w:val="00F80355"/>
    <w:rsid w:val="00F82F3D"/>
    <w:rsid w:val="00F87C43"/>
    <w:rsid w:val="00F95669"/>
    <w:rsid w:val="00FA5722"/>
    <w:rsid w:val="00FA7713"/>
    <w:rsid w:val="00FB0C81"/>
    <w:rsid w:val="00FB3067"/>
    <w:rsid w:val="00FB7A56"/>
    <w:rsid w:val="00FC2200"/>
    <w:rsid w:val="00FC2540"/>
    <w:rsid w:val="00FD6385"/>
    <w:rsid w:val="00FD70D5"/>
    <w:rsid w:val="00FE23DC"/>
    <w:rsid w:val="00FE4D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E0FC22"/>
  <w15:docId w15:val="{8A40E07A-6C0B-4051-B099-A6D56BF0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3C08"/>
    <w:pPr>
      <w:spacing w:after="160" w:line="240" w:lineRule="exact"/>
    </w:pPr>
    <w:rPr>
      <w:sz w:val="20"/>
      <w:szCs w:val="20"/>
      <w:vertAlign w:val="superscript"/>
    </w:rPr>
  </w:style>
  <w:style w:type="paragraph" w:styleId="Revision">
    <w:name w:val="Revision"/>
    <w:hidden/>
    <w:uiPriority w:val="99"/>
    <w:semiHidden/>
    <w:rsid w:val="00253C08"/>
    <w:rPr>
      <w:sz w:val="22"/>
      <w:szCs w:val="22"/>
    </w:rPr>
  </w:style>
  <w:style w:type="paragraph" w:customStyle="1" w:styleId="Numberedparagraph">
    <w:name w:val="Numbered paragraph"/>
    <w:basedOn w:val="Normal"/>
    <w:qFormat/>
    <w:rsid w:val="001E064A"/>
    <w:pPr>
      <w:tabs>
        <w:tab w:val="num" w:pos="0"/>
      </w:tabs>
      <w:spacing w:after="240"/>
      <w:outlineLvl w:val="0"/>
    </w:pPr>
  </w:style>
  <w:style w:type="character" w:styleId="Hyperlink">
    <w:name w:val="Hyperlink"/>
    <w:basedOn w:val="DefaultParagraphFont"/>
    <w:uiPriority w:val="99"/>
    <w:unhideWhenUsed/>
    <w:rsid w:val="001E064A"/>
    <w:rPr>
      <w:color w:val="0000FF" w:themeColor="hyperlink"/>
      <w:u w:val="single"/>
    </w:rPr>
  </w:style>
  <w:style w:type="character" w:customStyle="1" w:styleId="UnresolvedMention1">
    <w:name w:val="Unresolved Mention1"/>
    <w:basedOn w:val="DefaultParagraphFont"/>
    <w:uiPriority w:val="99"/>
    <w:semiHidden/>
    <w:unhideWhenUsed/>
    <w:rsid w:val="006B7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285126D-3000-4913-BBC2-03AC1FC7E23D}">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http://purl.org/dc/elements/1.1/"/>
    <ds:schemaRef ds:uri="eb6c2e4c-3f1c-4103-a37b-37c984dbe58f"/>
    <ds:schemaRef ds:uri="http://schemas.openxmlformats.org/package/2006/metadata/core-properties"/>
    <ds:schemaRef ds:uri="http://www.w3.org/XML/1998/namespace"/>
    <ds:schemaRef ds:uri="http://purl.org/dc/terms/"/>
    <ds:schemaRef ds:uri="http://schemas.microsoft.com/office/infopath/2007/PartnerControls"/>
    <ds:schemaRef ds:uri="b93c647f-d63b-431a-95c8-8e00048cff23"/>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1988</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Resumen y resultados de las deliberaciones mantenidas en los períodos de sesiones de media jornada celebradas hasta la fecha sobre los enfoques estratégicos para la aplicación de la enmienda de kigali y la contribución a la refrigeración sostenible de las</vt:lpstr>
    </vt:vector>
  </TitlesOfParts>
  <Company>UNMFS</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y resultados de las deliberaciones mantenidas en los períodos de sesiones de media jornada celebradas hasta la fecha sobre los enfoques estratégicos para la aplicación de la enmienda de kigali y la contribución a la refrigeración sostenible de las actividades apoyadas por el fondo multilateral (decisión 95/96)</dc:title>
  <dc:subject>Strategic approaches to implementation of Kigali Amendment</dc:subject>
  <dc:creator>Ma. Lourdes Nanette Guerin</dc:creator>
  <cp:lastModifiedBy>Martine Chery</cp:lastModifiedBy>
  <cp:revision>2</cp:revision>
  <cp:lastPrinted>2001-05-26T16:40:00Z</cp:lastPrinted>
  <dcterms:created xsi:type="dcterms:W3CDTF">2025-05-05T20:06:00Z</dcterms:created>
  <dcterms:modified xsi:type="dcterms:W3CDTF">2025-05-05T20:06:00Z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5/2/2025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