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490F2214" w14:textId="77777777" w:rsidTr="00B869DB">
        <w:trPr>
          <w:trHeight w:val="720"/>
        </w:trPr>
        <w:tc>
          <w:tcPr>
            <w:tcW w:w="5490" w:type="dxa"/>
            <w:gridSpan w:val="2"/>
            <w:tcBorders>
              <w:bottom w:val="single" w:sz="18" w:space="0" w:color="auto"/>
            </w:tcBorders>
          </w:tcPr>
          <w:p w14:paraId="1E2D9121" w14:textId="77777777" w:rsidR="00FA1794" w:rsidRDefault="00FA1794" w:rsidP="00FA17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64785E3" w14:textId="552556BC" w:rsidR="00C15867" w:rsidRPr="009B0D30" w:rsidRDefault="00FA1794" w:rsidP="00FA17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590" w:type="dxa"/>
            <w:tcBorders>
              <w:bottom w:val="single" w:sz="18" w:space="0" w:color="auto"/>
            </w:tcBorders>
          </w:tcPr>
          <w:p w14:paraId="60E840E9" w14:textId="77777777" w:rsidR="00C15867" w:rsidRPr="009B0D30" w:rsidRDefault="00C15867" w:rsidP="007644D2">
            <w:pPr>
              <w:jc w:val="right"/>
              <w:rPr>
                <w:sz w:val="52"/>
                <w:szCs w:val="52"/>
              </w:rPr>
            </w:pPr>
            <w:r w:rsidRPr="009B0D30">
              <w:rPr>
                <w:rFonts w:ascii="Univers Bold" w:hAnsi="Univers Bold"/>
                <w:b/>
                <w:sz w:val="72"/>
              </w:rPr>
              <w:t>EP</w:t>
            </w:r>
          </w:p>
        </w:tc>
      </w:tr>
      <w:tr w:rsidR="00C15867" w:rsidRPr="000359D6" w14:paraId="2A435C2F" w14:textId="77777777" w:rsidTr="00B869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9B47A2" w14:textId="77777777" w:rsidR="00C15867" w:rsidRPr="009B0D30" w:rsidRDefault="00E52838" w:rsidP="007644D2">
            <w:pPr>
              <w:spacing w:before="120"/>
            </w:pPr>
            <w:r w:rsidRPr="009B0D30">
              <w:rPr>
                <w:noProof/>
                <w:lang w:val="fr-CA" w:eastAsia="fr-CA"/>
              </w:rPr>
              <mc:AlternateContent>
                <mc:Choice Requires="wpg">
                  <w:drawing>
                    <wp:anchor distT="0" distB="0" distL="114300" distR="114300" simplePos="0" relativeHeight="251658240" behindDoc="0" locked="0" layoutInCell="1" allowOverlap="1" wp14:anchorId="41B34470" wp14:editId="1555649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6E3E60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543C69E" w14:textId="77777777" w:rsidR="00DF71B7" w:rsidRDefault="00DF71B7" w:rsidP="00FA17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C1F96D6" w14:textId="62DCA21B" w:rsidR="00FA1794" w:rsidRDefault="00FA1794" w:rsidP="00FA17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2EA8EAB" w14:textId="77777777" w:rsidR="00FA1794" w:rsidRDefault="00FA1794" w:rsidP="00FA1794">
            <w:pPr>
              <w:rPr>
                <w:rFonts w:ascii="Univers" w:hAnsi="Univers"/>
                <w:b/>
                <w:sz w:val="32"/>
                <w:lang w:val="fr-CA"/>
              </w:rPr>
            </w:pPr>
            <w:r>
              <w:rPr>
                <w:rFonts w:ascii="Univers" w:hAnsi="Univers"/>
                <w:b/>
                <w:sz w:val="32"/>
                <w:lang w:val="fr-CA"/>
              </w:rPr>
              <w:t>Nations Unies pour</w:t>
            </w:r>
          </w:p>
          <w:p w14:paraId="459F67D8" w14:textId="338EB415" w:rsidR="00FA1794" w:rsidRPr="00FA1794" w:rsidRDefault="00FA1794" w:rsidP="00FA1794">
            <w:pPr>
              <w:jc w:val="left"/>
              <w:rPr>
                <w:rFonts w:ascii="Univers" w:hAnsi="Univers"/>
                <w:b/>
                <w:sz w:val="32"/>
                <w:lang w:val="fr-CA"/>
              </w:rPr>
            </w:pPr>
            <w:proofErr w:type="gramStart"/>
            <w:r>
              <w:rPr>
                <w:rFonts w:ascii="Univers" w:hAnsi="Univers"/>
                <w:b/>
                <w:sz w:val="32"/>
                <w:lang w:val="fr-CA"/>
              </w:rPr>
              <w:t>l’environnement</w:t>
            </w:r>
            <w:proofErr w:type="gramEnd"/>
          </w:p>
        </w:tc>
        <w:tc>
          <w:tcPr>
            <w:tcW w:w="4590" w:type="dxa"/>
            <w:tcBorders>
              <w:top w:val="nil"/>
              <w:left w:val="nil"/>
              <w:bottom w:val="single" w:sz="36" w:space="0" w:color="auto"/>
              <w:right w:val="nil"/>
            </w:tcBorders>
          </w:tcPr>
          <w:p w14:paraId="06F20C0C" w14:textId="77777777" w:rsidR="00DF71B7" w:rsidRDefault="00DF71B7" w:rsidP="007644D2">
            <w:pPr>
              <w:rPr>
                <w:lang w:val="fr-FR"/>
              </w:rPr>
            </w:pPr>
          </w:p>
          <w:p w14:paraId="0F5FB572" w14:textId="542768F3" w:rsidR="00C15867" w:rsidRPr="0001163F" w:rsidRDefault="00C15867" w:rsidP="007644D2">
            <w:pPr>
              <w:rPr>
                <w:lang w:val="fr-FR"/>
              </w:rPr>
            </w:pPr>
            <w:proofErr w:type="spellStart"/>
            <w:r w:rsidRPr="0001163F">
              <w:rPr>
                <w:lang w:val="fr-FR"/>
              </w:rPr>
              <w:t>Distr</w:t>
            </w:r>
            <w:proofErr w:type="spellEnd"/>
            <w:r w:rsidRPr="0001163F">
              <w:rPr>
                <w:lang w:val="fr-FR"/>
              </w:rPr>
              <w:t>.</w:t>
            </w:r>
          </w:p>
          <w:p w14:paraId="65C08012" w14:textId="376210C5" w:rsidR="00923540" w:rsidRPr="008724B9" w:rsidRDefault="00FA1794" w:rsidP="007644D2">
            <w:pPr>
              <w:rPr>
                <w:lang w:val="fr-CA"/>
              </w:rPr>
            </w:pPr>
            <w:r w:rsidRPr="008724B9">
              <w:rPr>
                <w:lang w:val="fr-CA"/>
              </w:rPr>
              <w:t>GÉNÉRALE</w:t>
            </w:r>
          </w:p>
          <w:p w14:paraId="24FE3272" w14:textId="77777777" w:rsidR="00C15867" w:rsidRPr="008724B9" w:rsidRDefault="00C15867" w:rsidP="007644D2">
            <w:pPr>
              <w:rPr>
                <w:lang w:val="fr-CA"/>
              </w:rPr>
            </w:pPr>
          </w:p>
          <w:p w14:paraId="33C56647" w14:textId="2A9C4F25" w:rsidR="00B869DB" w:rsidRPr="000359D6" w:rsidRDefault="00912AA1" w:rsidP="00B869DB">
            <w:r w:rsidRPr="008724B9">
              <w:rPr>
                <w:lang w:val="fr-CA"/>
              </w:rPr>
              <w:fldChar w:fldCharType="begin"/>
            </w:r>
            <w:r w:rsidRPr="000359D6">
              <w:instrText xml:space="preserve"> DOCPROPERTY  "Document number"  \* MERGEFORMAT </w:instrText>
            </w:r>
            <w:r w:rsidRPr="008724B9">
              <w:rPr>
                <w:lang w:val="fr-CA"/>
              </w:rPr>
              <w:fldChar w:fldCharType="separate"/>
            </w:r>
            <w:r w:rsidR="00AF54D2">
              <w:t>UNEP/</w:t>
            </w:r>
            <w:proofErr w:type="spellStart"/>
            <w:r w:rsidR="00AF54D2">
              <w:t>OzL.Pro</w:t>
            </w:r>
            <w:proofErr w:type="spellEnd"/>
            <w:r w:rsidR="00AF54D2">
              <w:t>/ExCom/91/11/Rev.1</w:t>
            </w:r>
            <w:r w:rsidRPr="008724B9">
              <w:rPr>
                <w:lang w:val="fr-CA"/>
              </w:rPr>
              <w:fldChar w:fldCharType="end"/>
            </w:r>
          </w:p>
          <w:p w14:paraId="36F1851D" w14:textId="55C4D03A" w:rsidR="00B869DB" w:rsidRPr="008724B9" w:rsidRDefault="000359D6" w:rsidP="00B869DB">
            <w:pPr>
              <w:rPr>
                <w:lang w:val="fr-CA"/>
              </w:rPr>
            </w:pPr>
            <w:r>
              <w:rPr>
                <w:lang w:val="fr-CA"/>
              </w:rPr>
              <w:t>8 décembre</w:t>
            </w:r>
            <w:r w:rsidR="00B869DB" w:rsidRPr="008724B9">
              <w:rPr>
                <w:lang w:val="fr-CA"/>
              </w:rPr>
              <w:fldChar w:fldCharType="begin"/>
            </w:r>
            <w:r w:rsidR="00B869DB" w:rsidRPr="008724B9">
              <w:rPr>
                <w:lang w:val="fr-CA"/>
              </w:rPr>
              <w:instrText xml:space="preserve"> DOCPROPERTY "Revision date" \@ "d MMMM YYYY"  \* MERGEFORMAT </w:instrText>
            </w:r>
            <w:r w:rsidR="00B869DB" w:rsidRPr="008724B9">
              <w:rPr>
                <w:lang w:val="fr-CA"/>
              </w:rPr>
              <w:fldChar w:fldCharType="separate"/>
            </w:r>
            <w:r w:rsidR="00F336E5" w:rsidRPr="008724B9">
              <w:rPr>
                <w:lang w:val="fr-CA"/>
              </w:rPr>
              <w:t xml:space="preserve"> </w:t>
            </w:r>
            <w:r w:rsidR="00B869DB" w:rsidRPr="008724B9">
              <w:rPr>
                <w:lang w:val="fr-CA"/>
              </w:rPr>
              <w:t>2022</w:t>
            </w:r>
            <w:r w:rsidR="00B869DB" w:rsidRPr="008724B9">
              <w:rPr>
                <w:lang w:val="fr-CA"/>
              </w:rPr>
              <w:fldChar w:fldCharType="end"/>
            </w:r>
          </w:p>
          <w:p w14:paraId="0682D058" w14:textId="77777777" w:rsidR="00C15867" w:rsidRPr="008724B9" w:rsidRDefault="00C15867" w:rsidP="007644D2">
            <w:pPr>
              <w:rPr>
                <w:caps/>
                <w:lang w:val="fr-CA"/>
              </w:rPr>
            </w:pPr>
          </w:p>
          <w:p w14:paraId="1A9C3758" w14:textId="77777777" w:rsidR="00FA1794" w:rsidRPr="008724B9" w:rsidRDefault="00FA1794" w:rsidP="007644D2">
            <w:pPr>
              <w:rPr>
                <w:lang w:val="fr-CA"/>
              </w:rPr>
            </w:pPr>
            <w:r w:rsidRPr="008724B9">
              <w:rPr>
                <w:lang w:val="fr-CA"/>
              </w:rPr>
              <w:t>FRANÇAIS</w:t>
            </w:r>
          </w:p>
          <w:p w14:paraId="637F6B47" w14:textId="6AA47276" w:rsidR="00C15867" w:rsidRPr="000359D6" w:rsidRDefault="00C15867" w:rsidP="00FA1794">
            <w:pPr>
              <w:rPr>
                <w:lang w:val="fr-CA"/>
              </w:rPr>
            </w:pPr>
            <w:r w:rsidRPr="008724B9">
              <w:rPr>
                <w:lang w:val="fr-CA"/>
              </w:rPr>
              <w:t>ORIGINAL</w:t>
            </w:r>
            <w:r w:rsidR="00FA1794" w:rsidRPr="008724B9">
              <w:rPr>
                <w:lang w:val="fr-CA"/>
              </w:rPr>
              <w:t xml:space="preserve"> </w:t>
            </w:r>
            <w:r w:rsidRPr="008724B9">
              <w:rPr>
                <w:lang w:val="fr-CA"/>
              </w:rPr>
              <w:t>:</w:t>
            </w:r>
            <w:r w:rsidR="00FA1794" w:rsidRPr="008724B9">
              <w:rPr>
                <w:lang w:val="fr-CA"/>
              </w:rPr>
              <w:t xml:space="preserve"> ANGLAIS</w:t>
            </w:r>
          </w:p>
        </w:tc>
      </w:tr>
    </w:tbl>
    <w:p w14:paraId="59A6D4D4" w14:textId="534788CA" w:rsidR="00FA1794" w:rsidRPr="008724B9" w:rsidRDefault="00FA1794" w:rsidP="00FA1794">
      <w:pPr>
        <w:jc w:val="left"/>
        <w:rPr>
          <w:lang w:val="fr-CA"/>
        </w:rPr>
      </w:pPr>
      <w:r w:rsidRPr="008724B9">
        <w:rPr>
          <w:lang w:val="fr-CA"/>
        </w:rPr>
        <w:t xml:space="preserve">COMITÉ EXÉCUTIF </w:t>
      </w:r>
      <w:r w:rsidRPr="008724B9">
        <w:rPr>
          <w:lang w:val="fr-CA"/>
        </w:rPr>
        <w:br/>
        <w:t xml:space="preserve"> DU FONDS MULTILATÉRAL AUX FINS </w:t>
      </w:r>
      <w:r w:rsidRPr="008724B9">
        <w:rPr>
          <w:lang w:val="fr-CA"/>
        </w:rPr>
        <w:br/>
        <w:t xml:space="preserve"> D’APPLICATION DU PROTOCOLE DE MONTRÉAL</w:t>
      </w:r>
      <w:r w:rsidRPr="008724B9">
        <w:rPr>
          <w:lang w:val="fr-CA"/>
        </w:rPr>
        <w:br/>
        <w:t>Quatre-vingt-onzième réunion</w:t>
      </w:r>
    </w:p>
    <w:p w14:paraId="703FB0DD" w14:textId="77777777" w:rsidR="00FA1794" w:rsidRPr="008724B9" w:rsidRDefault="00FA1794" w:rsidP="00FA1794">
      <w:pPr>
        <w:jc w:val="left"/>
        <w:rPr>
          <w:lang w:val="fr-FR"/>
        </w:rPr>
      </w:pPr>
      <w:r w:rsidRPr="008724B9">
        <w:rPr>
          <w:lang w:val="fr-FR"/>
        </w:rPr>
        <w:t>Montréal, 5-9 décembre 2022</w:t>
      </w:r>
    </w:p>
    <w:p w14:paraId="5671050C" w14:textId="75721C61" w:rsidR="00FA1794" w:rsidRPr="008724B9" w:rsidRDefault="00FA1794" w:rsidP="00FA1794">
      <w:pPr>
        <w:jc w:val="left"/>
        <w:rPr>
          <w:lang w:val="fr-CA"/>
        </w:rPr>
      </w:pPr>
      <w:r w:rsidRPr="008724B9">
        <w:rPr>
          <w:lang w:val="fr-FR"/>
        </w:rPr>
        <w:t>Point 6 c) de l’ordre du jour provisoire</w:t>
      </w:r>
      <w:r w:rsidRPr="008724B9">
        <w:rPr>
          <w:rStyle w:val="FootnoteReference"/>
        </w:rPr>
        <w:footnoteReference w:id="1"/>
      </w:r>
    </w:p>
    <w:p w14:paraId="6FEEE13C" w14:textId="77777777" w:rsidR="00712B74" w:rsidRPr="008724B9" w:rsidRDefault="00712B74" w:rsidP="000359D6">
      <w:pPr>
        <w:spacing w:after="240"/>
        <w:rPr>
          <w:b/>
          <w:lang w:val="fr-CA"/>
        </w:rPr>
      </w:pPr>
    </w:p>
    <w:p w14:paraId="692DCD93" w14:textId="6CD64049" w:rsidR="00D27AB2" w:rsidRPr="008724B9" w:rsidRDefault="0001163F" w:rsidP="000359D6">
      <w:pPr>
        <w:spacing w:after="240"/>
        <w:jc w:val="center"/>
        <w:rPr>
          <w:b/>
          <w:sz w:val="24"/>
          <w:szCs w:val="24"/>
          <w:lang w:val="fr-CA"/>
        </w:rPr>
      </w:pPr>
      <w:r w:rsidRPr="008724B9">
        <w:rPr>
          <w:b/>
          <w:sz w:val="24"/>
          <w:szCs w:val="24"/>
          <w:lang w:val="fr-CA"/>
        </w:rPr>
        <w:t>PROGRAMME DE TRAVAIL SUIVI ET ÉVALUATION POUR L’ANNÉE 2023</w:t>
      </w:r>
    </w:p>
    <w:p w14:paraId="1D347392" w14:textId="77777777" w:rsidR="00D27AB2" w:rsidRPr="008724B9" w:rsidRDefault="00D27AB2" w:rsidP="00D27AB2">
      <w:pPr>
        <w:rPr>
          <w:b/>
          <w:bCs/>
          <w:lang w:val="fr-CA"/>
        </w:rPr>
      </w:pPr>
      <w:r w:rsidRPr="008724B9">
        <w:rPr>
          <w:b/>
          <w:bCs/>
          <w:lang w:val="fr-CA"/>
        </w:rPr>
        <w:t>Introduction</w:t>
      </w:r>
    </w:p>
    <w:p w14:paraId="0042627D" w14:textId="77777777" w:rsidR="00D27AB2" w:rsidRPr="008724B9" w:rsidRDefault="00D27AB2" w:rsidP="00D27AB2">
      <w:pPr>
        <w:rPr>
          <w:b/>
          <w:bCs/>
          <w:lang w:val="fr-CA"/>
        </w:rPr>
      </w:pPr>
    </w:p>
    <w:p w14:paraId="0DC8FC9A" w14:textId="77777777" w:rsidR="00D27AB2" w:rsidRPr="008724B9" w:rsidRDefault="00D27AB2" w:rsidP="00AF54D2">
      <w:pPr>
        <w:pStyle w:val="Heading1"/>
        <w:numPr>
          <w:ilvl w:val="0"/>
          <w:numId w:val="43"/>
        </w:numPr>
        <w:tabs>
          <w:tab w:val="num" w:pos="0"/>
          <w:tab w:val="num" w:pos="720"/>
        </w:tabs>
        <w:spacing w:after="0"/>
        <w:ind w:left="0" w:firstLine="0"/>
        <w:rPr>
          <w:lang w:val="fr-CA"/>
        </w:rPr>
      </w:pPr>
      <w:r w:rsidRPr="008724B9">
        <w:rPr>
          <w:lang w:val="fr-CA"/>
        </w:rPr>
        <w:t>Les activités du programme de travail pour l’année 2023 sont proposées dans la foulée de</w:t>
      </w:r>
      <w:r>
        <w:rPr>
          <w:lang w:val="fr-CA"/>
        </w:rPr>
        <w:t>s</w:t>
      </w:r>
      <w:r w:rsidRPr="008724B9">
        <w:rPr>
          <w:lang w:val="fr-CA"/>
        </w:rPr>
        <w:t xml:space="preserve"> décisions antérieures du Comité exécutif sur des questions relatives au suivi et à l’évaluation, les enseignements tirés lors des évaluations, l’étude des recommandations pertinentes du Réseau d’évaluation des performances des organisations multilatérales (MOPAN)</w:t>
      </w:r>
      <w:r w:rsidRPr="008724B9">
        <w:rPr>
          <w:rStyle w:val="FootnoteReference"/>
        </w:rPr>
        <w:footnoteReference w:id="2"/>
      </w:r>
      <w:r w:rsidRPr="008724B9">
        <w:rPr>
          <w:lang w:val="fr-CA"/>
        </w:rPr>
        <w:t xml:space="preserve"> et de</w:t>
      </w:r>
      <w:r>
        <w:rPr>
          <w:lang w:val="fr-CA"/>
        </w:rPr>
        <w:t>s</w:t>
      </w:r>
      <w:r w:rsidRPr="008724B9">
        <w:rPr>
          <w:lang w:val="fr-CA"/>
        </w:rPr>
        <w:t xml:space="preserve"> consultations avec le Secrétariat. Le programme de travail proposé prend appui sur les débats du Comité exécutif sur plusieurs points de l’ordre du jour portant sur les activités de suivi et évaluation et les décisions pertinentes des 89</w:t>
      </w:r>
      <w:r w:rsidRPr="008724B9">
        <w:rPr>
          <w:vertAlign w:val="superscript"/>
          <w:lang w:val="fr-CA"/>
        </w:rPr>
        <w:t>e</w:t>
      </w:r>
      <w:r w:rsidRPr="008724B9">
        <w:rPr>
          <w:lang w:val="fr-CA"/>
        </w:rPr>
        <w:t xml:space="preserve"> et 90</w:t>
      </w:r>
      <w:r w:rsidRPr="008724B9">
        <w:rPr>
          <w:vertAlign w:val="superscript"/>
          <w:lang w:val="fr-CA"/>
        </w:rPr>
        <w:t>e</w:t>
      </w:r>
      <w:r w:rsidRPr="008724B9">
        <w:rPr>
          <w:lang w:val="fr-CA"/>
        </w:rPr>
        <w:t xml:space="preserve"> réunions en 2022.</w:t>
      </w:r>
    </w:p>
    <w:p w14:paraId="728F5358" w14:textId="77777777" w:rsidR="00D27AB2" w:rsidRPr="008724B9" w:rsidRDefault="00D27AB2" w:rsidP="00D27AB2">
      <w:pPr>
        <w:rPr>
          <w:lang w:val="fr-CA"/>
        </w:rPr>
      </w:pPr>
    </w:p>
    <w:p w14:paraId="7F7D5666" w14:textId="77777777" w:rsidR="00D27AB2" w:rsidRPr="008724B9" w:rsidRDefault="00D27AB2" w:rsidP="00AF54D2">
      <w:pPr>
        <w:pStyle w:val="Heading1"/>
        <w:numPr>
          <w:ilvl w:val="0"/>
          <w:numId w:val="43"/>
        </w:numPr>
        <w:tabs>
          <w:tab w:val="num" w:pos="0"/>
          <w:tab w:val="num" w:pos="810"/>
        </w:tabs>
        <w:ind w:left="0" w:firstLine="0"/>
        <w:rPr>
          <w:lang w:val="fr-CA"/>
        </w:rPr>
      </w:pPr>
      <w:r w:rsidRPr="008724B9">
        <w:rPr>
          <w:lang w:val="fr-CA"/>
        </w:rPr>
        <w:t>Ce document présente le projet de programme de travail de suivi et évaluation pour l’année 2023 pour examen par le Comité exécutif. I</w:t>
      </w:r>
      <w:r>
        <w:rPr>
          <w:lang w:val="fr-CA"/>
        </w:rPr>
        <w:t>l</w:t>
      </w:r>
      <w:r w:rsidRPr="008724B9">
        <w:rPr>
          <w:lang w:val="fr-CA"/>
        </w:rPr>
        <w:t xml:space="preserve"> comprend deux activités en cours approuvées dans le cadr</w:t>
      </w:r>
      <w:r>
        <w:rPr>
          <w:lang w:val="fr-CA"/>
        </w:rPr>
        <w:t>e du programme de travail de 20</w:t>
      </w:r>
      <w:r w:rsidRPr="008724B9">
        <w:rPr>
          <w:lang w:val="fr-CA"/>
        </w:rPr>
        <w:t>22 à la 88</w:t>
      </w:r>
      <w:r w:rsidRPr="008724B9">
        <w:rPr>
          <w:vertAlign w:val="superscript"/>
          <w:lang w:val="fr-CA"/>
        </w:rPr>
        <w:t>e</w:t>
      </w:r>
      <w:r w:rsidRPr="008724B9">
        <w:rPr>
          <w:lang w:val="fr-CA"/>
        </w:rPr>
        <w:t xml:space="preserve"> réunion, </w:t>
      </w:r>
      <w:r>
        <w:rPr>
          <w:lang w:val="fr-CA"/>
        </w:rPr>
        <w:t>dont la</w:t>
      </w:r>
      <w:r w:rsidRPr="008724B9">
        <w:rPr>
          <w:lang w:val="fr-CA"/>
        </w:rPr>
        <w:t xml:space="preserve"> mise en œuvre</w:t>
      </w:r>
      <w:r>
        <w:rPr>
          <w:lang w:val="fr-CA"/>
        </w:rPr>
        <w:t xml:space="preserve"> est en cours</w:t>
      </w:r>
      <w:r w:rsidRPr="008724B9">
        <w:rPr>
          <w:rStyle w:val="FootnoteReference"/>
        </w:rPr>
        <w:footnoteReference w:id="3"/>
      </w:r>
      <w:r w:rsidRPr="008724B9">
        <w:rPr>
          <w:lang w:val="fr-CA"/>
        </w:rPr>
        <w:t>, et propose deux nouvelles activités pour l’année 2023. Il présente également, à titre d’informati</w:t>
      </w:r>
      <w:r>
        <w:rPr>
          <w:lang w:val="fr-CA"/>
        </w:rPr>
        <w:t>on, u</w:t>
      </w:r>
      <w:r w:rsidRPr="008724B9">
        <w:rPr>
          <w:lang w:val="fr-CA"/>
        </w:rPr>
        <w:t>n aperçu de l’état de la mise en œuvre du programme de travail pour l’année en cours.</w:t>
      </w:r>
    </w:p>
    <w:p w14:paraId="741C7515" w14:textId="77777777" w:rsidR="00D27AB2" w:rsidRPr="008724B9" w:rsidRDefault="00D27AB2" w:rsidP="00D27AB2">
      <w:pPr>
        <w:rPr>
          <w:b/>
          <w:bCs/>
          <w:lang w:val="fr-CA"/>
        </w:rPr>
      </w:pPr>
      <w:r w:rsidRPr="008724B9">
        <w:rPr>
          <w:b/>
          <w:bCs/>
          <w:lang w:val="fr-CA"/>
        </w:rPr>
        <w:t>Aperçu de l’état de la mise en œuvre du programme de travail en 2022</w:t>
      </w:r>
    </w:p>
    <w:p w14:paraId="02C493BB" w14:textId="77777777" w:rsidR="00D27AB2" w:rsidRPr="008724B9" w:rsidRDefault="00D27AB2" w:rsidP="00D27AB2">
      <w:pPr>
        <w:rPr>
          <w:lang w:val="fr-CA"/>
        </w:rPr>
      </w:pPr>
    </w:p>
    <w:p w14:paraId="4A640C07" w14:textId="77777777" w:rsidR="00D27AB2" w:rsidRPr="008724B9" w:rsidRDefault="00D27AB2" w:rsidP="00AF54D2">
      <w:pPr>
        <w:pStyle w:val="Heading1"/>
        <w:numPr>
          <w:ilvl w:val="0"/>
          <w:numId w:val="43"/>
        </w:numPr>
        <w:tabs>
          <w:tab w:val="num" w:pos="0"/>
          <w:tab w:val="num" w:pos="810"/>
        </w:tabs>
        <w:spacing w:after="0"/>
        <w:ind w:left="0" w:firstLine="0"/>
        <w:rPr>
          <w:lang w:val="fr-CA"/>
        </w:rPr>
      </w:pPr>
      <w:r w:rsidRPr="008724B9">
        <w:rPr>
          <w:lang w:val="fr-CA"/>
        </w:rPr>
        <w:t>Le programme de suivi et évaluation de 2022, approuvé à la décision 88/10, comprend trois activités d’évaluation et le volet de suivi régulier assuré grâce à l’analyse et la remise de rapports d’achèvement de projets. La mise en œuvre a été réalisée comme prévu pour les différents composants.</w:t>
      </w:r>
      <w:r w:rsidRPr="008724B9">
        <w:rPr>
          <w:rStyle w:val="FootnoteReference"/>
          <w:lang w:val="fr-CA"/>
        </w:rPr>
        <w:footnoteReference w:id="4"/>
      </w:r>
    </w:p>
    <w:p w14:paraId="7B2E50FE" w14:textId="77777777" w:rsidR="00D27AB2" w:rsidRPr="008724B9" w:rsidRDefault="00D27AB2" w:rsidP="00D27AB2">
      <w:pPr>
        <w:rPr>
          <w:lang w:val="fr-CA"/>
        </w:rPr>
      </w:pPr>
    </w:p>
    <w:p w14:paraId="3AE6190F" w14:textId="77777777" w:rsidR="00D27AB2" w:rsidRPr="008724B9" w:rsidRDefault="00D27AB2" w:rsidP="00AF54D2">
      <w:pPr>
        <w:pStyle w:val="Heading1"/>
        <w:keepNext/>
        <w:numPr>
          <w:ilvl w:val="0"/>
          <w:numId w:val="43"/>
        </w:numPr>
        <w:tabs>
          <w:tab w:val="num" w:pos="0"/>
          <w:tab w:val="num" w:pos="810"/>
        </w:tabs>
        <w:ind w:left="0" w:firstLine="0"/>
        <w:rPr>
          <w:lang w:val="fr-CA"/>
        </w:rPr>
      </w:pPr>
      <w:r w:rsidRPr="008724B9">
        <w:rPr>
          <w:lang w:val="fr-CA"/>
        </w:rPr>
        <w:t>En ce qui concerne le volet évaluation, l’Administratrice principale, Suivi et évaluation a présenté à la 90</w:t>
      </w:r>
      <w:r w:rsidRPr="008724B9">
        <w:rPr>
          <w:vertAlign w:val="superscript"/>
          <w:lang w:val="fr-CA"/>
        </w:rPr>
        <w:t>e</w:t>
      </w:r>
      <w:r w:rsidRPr="008724B9">
        <w:rPr>
          <w:lang w:val="fr-CA"/>
        </w:rPr>
        <w:t xml:space="preserve"> réunion, une étude théorique </w:t>
      </w:r>
      <w:r>
        <w:rPr>
          <w:lang w:val="fr-CA"/>
        </w:rPr>
        <w:t>pour</w:t>
      </w:r>
      <w:r w:rsidRPr="008724B9">
        <w:rPr>
          <w:lang w:val="fr-CA"/>
        </w:rPr>
        <w:t xml:space="preserve"> l’évaluation </w:t>
      </w:r>
      <w:r>
        <w:rPr>
          <w:lang w:val="fr-CA"/>
        </w:rPr>
        <w:t>des</w:t>
      </w:r>
      <w:r w:rsidRPr="008724B9">
        <w:rPr>
          <w:lang w:val="fr-CA"/>
        </w:rPr>
        <w:t xml:space="preserve"> projets de démonstration </w:t>
      </w:r>
      <w:r>
        <w:rPr>
          <w:lang w:val="fr-CA"/>
        </w:rPr>
        <w:t>sur des</w:t>
      </w:r>
      <w:r w:rsidRPr="008724B9">
        <w:rPr>
          <w:lang w:val="fr-CA"/>
        </w:rPr>
        <w:t xml:space="preserve"> solutions de </w:t>
      </w:r>
      <w:r w:rsidRPr="008724B9">
        <w:rPr>
          <w:lang w:val="fr-CA"/>
        </w:rPr>
        <w:lastRenderedPageBreak/>
        <w:t>remplacement à faible PRG pour les HCFC</w:t>
      </w:r>
      <w:r>
        <w:rPr>
          <w:lang w:val="fr-CA"/>
        </w:rPr>
        <w:t>,</w:t>
      </w:r>
      <w:r w:rsidRPr="008724B9">
        <w:rPr>
          <w:rStyle w:val="FootnoteReference"/>
          <w:lang w:val="fr-CA"/>
        </w:rPr>
        <w:footnoteReference w:id="5"/>
      </w:r>
      <w:r w:rsidRPr="008724B9">
        <w:rPr>
          <w:lang w:val="fr-CA"/>
        </w:rPr>
        <w:t xml:space="preserve"> </w:t>
      </w:r>
      <w:r>
        <w:rPr>
          <w:lang w:val="fr-CA"/>
        </w:rPr>
        <w:t>l</w:t>
      </w:r>
      <w:r w:rsidRPr="008724B9">
        <w:rPr>
          <w:lang w:val="fr-CA"/>
        </w:rPr>
        <w:t>e projet de mandat de l’initiation d’une étude théorique pour l’évaluation des activités de facilitation pour la réduction progressive des HFC</w:t>
      </w:r>
      <w:r w:rsidRPr="008724B9">
        <w:rPr>
          <w:rStyle w:val="FootnoteReference"/>
          <w:lang w:val="fr-CA"/>
        </w:rPr>
        <w:footnoteReference w:id="6"/>
      </w:r>
      <w:r w:rsidRPr="008724B9">
        <w:rPr>
          <w:lang w:val="fr-CA"/>
        </w:rPr>
        <w:t xml:space="preserve"> et une mise à jour de l’état de la mise en œuvre de l’évaluation des réseaux régionaux d’administrateurs des bureaux nationaux de l’ozone.</w:t>
      </w:r>
      <w:r w:rsidRPr="008724B9">
        <w:rPr>
          <w:rStyle w:val="FootnoteReference"/>
          <w:lang w:val="fr-CA"/>
        </w:rPr>
        <w:footnoteReference w:id="7"/>
      </w:r>
    </w:p>
    <w:p w14:paraId="285C26CC" w14:textId="77777777" w:rsidR="00D27AB2" w:rsidRPr="008724B9" w:rsidRDefault="00D27AB2" w:rsidP="00AF54D2">
      <w:pPr>
        <w:pStyle w:val="Heading1"/>
        <w:numPr>
          <w:ilvl w:val="0"/>
          <w:numId w:val="43"/>
        </w:numPr>
        <w:tabs>
          <w:tab w:val="num" w:pos="0"/>
          <w:tab w:val="num" w:pos="810"/>
        </w:tabs>
        <w:ind w:left="0" w:firstLine="0"/>
        <w:rPr>
          <w:lang w:val="fr-CA"/>
        </w:rPr>
      </w:pPr>
      <w:r w:rsidRPr="008724B9">
        <w:rPr>
          <w:lang w:val="fr-CA"/>
        </w:rPr>
        <w:t>À l’heure actuelle, la deuxième étape de l’évaluation des réseaux régionaux des administrateurs des bureaux nationaux de l’ozone a atteint une étape avancée. Un compte rendu détaillé a été soumis à la présente réunion.</w:t>
      </w:r>
      <w:r w:rsidRPr="008724B9">
        <w:rPr>
          <w:rStyle w:val="FootnoteReference"/>
        </w:rPr>
        <w:footnoteReference w:id="8"/>
      </w:r>
      <w:r w:rsidRPr="008724B9">
        <w:rPr>
          <w:lang w:val="fr-CA"/>
        </w:rPr>
        <w:t xml:space="preserve"> L’évaluation pour la préparation d’une étude théorique pour l’évaluation des activités de facilitation </w:t>
      </w:r>
      <w:r>
        <w:rPr>
          <w:lang w:val="fr-CA"/>
        </w:rPr>
        <w:t>de</w:t>
      </w:r>
      <w:r w:rsidRPr="008724B9">
        <w:rPr>
          <w:lang w:val="fr-CA"/>
        </w:rPr>
        <w:t xml:space="preserve"> la réduction progressive des HFC a été lancée en octobre 2022</w:t>
      </w:r>
      <w:r>
        <w:rPr>
          <w:lang w:val="fr-CA"/>
        </w:rPr>
        <w:t>,</w:t>
      </w:r>
      <w:r w:rsidRPr="008724B9">
        <w:rPr>
          <w:lang w:val="fr-CA"/>
        </w:rPr>
        <w:t xml:space="preserve"> et </w:t>
      </w:r>
      <w:r>
        <w:rPr>
          <w:lang w:val="fr-CA"/>
        </w:rPr>
        <w:t xml:space="preserve">elle </w:t>
      </w:r>
      <w:r w:rsidRPr="008724B9">
        <w:rPr>
          <w:lang w:val="fr-CA"/>
        </w:rPr>
        <w:t>sera réalisée avec l’appui d’un consultant expert ayant une grande expérience des questions entourant la mise en œuvre du Protocole de Montréa</w:t>
      </w:r>
      <w:r>
        <w:rPr>
          <w:lang w:val="fr-CA"/>
        </w:rPr>
        <w:t>l et d</w:t>
      </w:r>
      <w:r w:rsidRPr="008724B9">
        <w:rPr>
          <w:lang w:val="fr-CA"/>
        </w:rPr>
        <w:t>es projets financés par le Fonds multilatéral.</w:t>
      </w:r>
    </w:p>
    <w:p w14:paraId="72492B7C" w14:textId="77777777" w:rsidR="00D27AB2" w:rsidRPr="008724B9" w:rsidRDefault="00D27AB2" w:rsidP="00AF54D2">
      <w:pPr>
        <w:pStyle w:val="Heading1"/>
        <w:numPr>
          <w:ilvl w:val="0"/>
          <w:numId w:val="43"/>
        </w:numPr>
        <w:tabs>
          <w:tab w:val="num" w:pos="0"/>
          <w:tab w:val="num" w:pos="810"/>
        </w:tabs>
        <w:ind w:left="0" w:firstLine="0"/>
        <w:rPr>
          <w:lang w:val="fr-CA"/>
        </w:rPr>
      </w:pPr>
      <w:r w:rsidRPr="008724B9">
        <w:rPr>
          <w:lang w:val="fr-CA"/>
        </w:rPr>
        <w:t xml:space="preserve">Le volet de suivi du programme de travail a été réalisé par la remise de rapports </w:t>
      </w:r>
      <w:r>
        <w:rPr>
          <w:lang w:val="fr-CA"/>
        </w:rPr>
        <w:t>globaux</w:t>
      </w:r>
      <w:r w:rsidRPr="008724B9">
        <w:rPr>
          <w:lang w:val="fr-CA"/>
        </w:rPr>
        <w:t xml:space="preserve"> d’achèvement de projets </w:t>
      </w:r>
      <w:r>
        <w:rPr>
          <w:lang w:val="fr-CA"/>
        </w:rPr>
        <w:t>de</w:t>
      </w:r>
      <w:r w:rsidRPr="008724B9">
        <w:rPr>
          <w:lang w:val="fr-CA"/>
        </w:rPr>
        <w:t xml:space="preserve"> 2022 pour les accords pluriannuels et les projets individuels</w:t>
      </w:r>
      <w:r>
        <w:rPr>
          <w:lang w:val="fr-CA"/>
        </w:rPr>
        <w:t>,</w:t>
      </w:r>
      <w:r w:rsidRPr="008724B9">
        <w:rPr>
          <w:lang w:val="fr-CA"/>
        </w:rPr>
        <w:t xml:space="preserve"> aux 90</w:t>
      </w:r>
      <w:r w:rsidRPr="008724B9">
        <w:rPr>
          <w:vertAlign w:val="superscript"/>
          <w:lang w:val="fr-CA"/>
        </w:rPr>
        <w:t>e</w:t>
      </w:r>
      <w:r w:rsidRPr="008724B9">
        <w:rPr>
          <w:lang w:val="fr-CA"/>
        </w:rPr>
        <w:t xml:space="preserve"> et 91</w:t>
      </w:r>
      <w:r w:rsidRPr="008724B9">
        <w:rPr>
          <w:vertAlign w:val="superscript"/>
          <w:lang w:val="fr-CA"/>
        </w:rPr>
        <w:t>e</w:t>
      </w:r>
      <w:r>
        <w:rPr>
          <w:lang w:val="fr-CA"/>
        </w:rPr>
        <w:t> </w:t>
      </w:r>
      <w:r w:rsidRPr="008724B9">
        <w:rPr>
          <w:lang w:val="fr-CA"/>
        </w:rPr>
        <w:t>réunions.</w:t>
      </w:r>
      <w:r w:rsidRPr="008724B9">
        <w:rPr>
          <w:rStyle w:val="FootnoteReference"/>
          <w:lang w:val="fr-CA"/>
        </w:rPr>
        <w:footnoteReference w:id="9"/>
      </w:r>
      <w:r w:rsidRPr="008724B9">
        <w:rPr>
          <w:lang w:val="fr-CA"/>
        </w:rPr>
        <w:t xml:space="preserve"> </w:t>
      </w:r>
      <w:r>
        <w:rPr>
          <w:lang w:val="fr-CA"/>
        </w:rPr>
        <w:t>L’é</w:t>
      </w:r>
      <w:r w:rsidRPr="008724B9">
        <w:rPr>
          <w:lang w:val="fr-CA"/>
        </w:rPr>
        <w:t>troite collaboration entre l’Administratrice principale, Suivi et évaluation et les agences bilatérales et d’exécution en 2022 a donné lieu à une amélioration du taux de remise des rapports d’achèvement de projet en réduisant les arriérés. L’améli</w:t>
      </w:r>
      <w:r>
        <w:rPr>
          <w:lang w:val="fr-CA"/>
        </w:rPr>
        <w:t xml:space="preserve">oration des taux de soumission et </w:t>
      </w:r>
      <w:r w:rsidRPr="008724B9">
        <w:rPr>
          <w:lang w:val="fr-CA"/>
        </w:rPr>
        <w:t xml:space="preserve">des échéances de la remise des rapports d’achèvement de projet ont facilité </w:t>
      </w:r>
      <w:r>
        <w:rPr>
          <w:lang w:val="fr-CA"/>
        </w:rPr>
        <w:t>l’achèvement</w:t>
      </w:r>
      <w:r w:rsidRPr="008724B9">
        <w:rPr>
          <w:lang w:val="fr-CA"/>
        </w:rPr>
        <w:t xml:space="preserve"> de la recommandation connexe du Bureau des services de contrôle interne,</w:t>
      </w:r>
      <w:r w:rsidRPr="008724B9">
        <w:rPr>
          <w:rStyle w:val="FootnoteReference"/>
          <w:lang w:val="fr-CA"/>
        </w:rPr>
        <w:footnoteReference w:id="10"/>
      </w:r>
      <w:r w:rsidRPr="008724B9">
        <w:rPr>
          <w:lang w:val="fr-CA"/>
        </w:rPr>
        <w:t xml:space="preserve"> comme l’a indiqué le Secrétariat au Comité exécutif à la 90</w:t>
      </w:r>
      <w:r w:rsidRPr="008724B9">
        <w:rPr>
          <w:vertAlign w:val="superscript"/>
          <w:lang w:val="fr-CA"/>
        </w:rPr>
        <w:t>e</w:t>
      </w:r>
      <w:r>
        <w:rPr>
          <w:lang w:val="fr-CA"/>
        </w:rPr>
        <w:t> </w:t>
      </w:r>
      <w:r w:rsidRPr="008724B9">
        <w:rPr>
          <w:lang w:val="fr-CA"/>
        </w:rPr>
        <w:t>réunion.</w:t>
      </w:r>
      <w:r w:rsidRPr="008724B9">
        <w:rPr>
          <w:rStyle w:val="FootnoteReference"/>
          <w:lang w:val="fr-CA"/>
        </w:rPr>
        <w:footnoteReference w:id="11"/>
      </w:r>
    </w:p>
    <w:p w14:paraId="7C1629E8" w14:textId="77777777" w:rsidR="00D27AB2" w:rsidRPr="008724B9" w:rsidRDefault="00D27AB2" w:rsidP="00D27AB2">
      <w:pPr>
        <w:rPr>
          <w:b/>
          <w:bCs/>
          <w:lang w:val="fr-CA"/>
        </w:rPr>
      </w:pPr>
      <w:r w:rsidRPr="008724B9">
        <w:rPr>
          <w:b/>
          <w:bCs/>
          <w:lang w:val="fr-CA"/>
        </w:rPr>
        <w:t>Questions de personnel en lien avec le programme de travail de suivi et évaluation en 2022</w:t>
      </w:r>
    </w:p>
    <w:p w14:paraId="79529ED7" w14:textId="77777777" w:rsidR="00D27AB2" w:rsidRPr="008724B9" w:rsidRDefault="00D27AB2" w:rsidP="00D27AB2">
      <w:pPr>
        <w:rPr>
          <w:b/>
          <w:bCs/>
          <w:sz w:val="24"/>
          <w:szCs w:val="24"/>
          <w:lang w:val="fr-CA"/>
        </w:rPr>
      </w:pPr>
    </w:p>
    <w:p w14:paraId="71A49E28" w14:textId="77777777" w:rsidR="00D27AB2" w:rsidRPr="008724B9" w:rsidRDefault="00D27AB2" w:rsidP="00AF54D2">
      <w:pPr>
        <w:pStyle w:val="Heading1"/>
        <w:numPr>
          <w:ilvl w:val="0"/>
          <w:numId w:val="43"/>
        </w:numPr>
        <w:tabs>
          <w:tab w:val="num" w:pos="0"/>
          <w:tab w:val="left" w:pos="810"/>
          <w:tab w:val="left" w:pos="900"/>
        </w:tabs>
        <w:spacing w:after="0"/>
        <w:ind w:left="0" w:firstLine="0"/>
        <w:rPr>
          <w:lang w:val="fr-CA"/>
        </w:rPr>
      </w:pPr>
      <w:r>
        <w:rPr>
          <w:lang w:val="fr-CA"/>
        </w:rPr>
        <w:t>Le poste de niveau G-5 d</w:t>
      </w:r>
      <w:r w:rsidRPr="008724B9">
        <w:rPr>
          <w:lang w:val="fr-CA"/>
        </w:rPr>
        <w:t>’adjoint à l’Administratrice principale, Suivi et évaluation est devenu vacant en décembre 2021. Un processus de recrutement a été lancé dans Inspira et le poste a été affiché pendant un mois en 2022. Le recrutement a été mené à terme en juin 2022. L’Administratrice principale, Suivi et évaluation a aussi embauché quatre consultant</w:t>
      </w:r>
      <w:r>
        <w:rPr>
          <w:lang w:val="fr-CA"/>
        </w:rPr>
        <w:t>s</w:t>
      </w:r>
      <w:r w:rsidRPr="008724B9">
        <w:rPr>
          <w:lang w:val="fr-CA"/>
        </w:rPr>
        <w:t xml:space="preserve"> pour la réalisation de trois évaluations prévues au programme de travail en 2022. Le processus de recrutement a aussi été utilisé afin de développer 38 profils d’experts pouvant être sollicités à une date ultérieure, lorsque le Secrétariat ou</w:t>
      </w:r>
      <w:r>
        <w:rPr>
          <w:lang w:val="fr-CA"/>
        </w:rPr>
        <w:t xml:space="preserve"> la fonction d’évaluation aura</w:t>
      </w:r>
      <w:r w:rsidRPr="008724B9">
        <w:rPr>
          <w:lang w:val="fr-CA"/>
        </w:rPr>
        <w:t xml:space="preserve"> besoin d’une expertise </w:t>
      </w:r>
      <w:r>
        <w:rPr>
          <w:lang w:val="fr-CA"/>
        </w:rPr>
        <w:t>indépendante</w:t>
      </w:r>
      <w:r w:rsidRPr="008724B9">
        <w:rPr>
          <w:lang w:val="fr-CA"/>
        </w:rPr>
        <w:t>. Les occasions d’emploi pour les évaluations continueront à être affichées sur la page d’Évaluation du site Web du Secrétariat du Fonds multilatéral, s’il y a lieu.</w:t>
      </w:r>
    </w:p>
    <w:p w14:paraId="53544EB4" w14:textId="77777777" w:rsidR="00D27AB2" w:rsidRPr="008724B9" w:rsidRDefault="00D27AB2" w:rsidP="00D27AB2">
      <w:pPr>
        <w:rPr>
          <w:lang w:val="fr-CA"/>
        </w:rPr>
      </w:pPr>
    </w:p>
    <w:p w14:paraId="645C3810" w14:textId="77777777" w:rsidR="00D27AB2" w:rsidRPr="008724B9" w:rsidRDefault="00D27AB2" w:rsidP="00D27AB2">
      <w:pPr>
        <w:keepNext/>
        <w:keepLines/>
        <w:rPr>
          <w:b/>
          <w:bCs/>
          <w:lang w:val="fr-CA"/>
        </w:rPr>
      </w:pPr>
      <w:r w:rsidRPr="008724B9">
        <w:rPr>
          <w:b/>
          <w:bCs/>
          <w:lang w:val="fr-CA"/>
        </w:rPr>
        <w:t>Suivi à la décision 89/1 b) sur l’évaluation du MOPAN</w:t>
      </w:r>
    </w:p>
    <w:p w14:paraId="40DFB480" w14:textId="77777777" w:rsidR="00D27AB2" w:rsidRPr="008724B9" w:rsidRDefault="00D27AB2" w:rsidP="00D27AB2">
      <w:pPr>
        <w:keepNext/>
        <w:keepLines/>
        <w:rPr>
          <w:b/>
          <w:bCs/>
          <w:lang w:val="fr-CA"/>
        </w:rPr>
      </w:pPr>
    </w:p>
    <w:p w14:paraId="611C618C" w14:textId="77777777" w:rsidR="00D27AB2" w:rsidRPr="008724B9" w:rsidRDefault="00D27AB2" w:rsidP="00AF54D2">
      <w:pPr>
        <w:pStyle w:val="Heading1"/>
        <w:keepNext/>
        <w:keepLines/>
        <w:numPr>
          <w:ilvl w:val="0"/>
          <w:numId w:val="43"/>
        </w:numPr>
        <w:tabs>
          <w:tab w:val="num" w:pos="0"/>
          <w:tab w:val="num" w:pos="810"/>
        </w:tabs>
        <w:ind w:left="0" w:firstLine="0"/>
        <w:rPr>
          <w:lang w:val="fr-CA"/>
        </w:rPr>
      </w:pPr>
      <w:r w:rsidRPr="008724B9">
        <w:rPr>
          <w:lang w:val="fr-CA"/>
        </w:rPr>
        <w:t>Le Secrétariat a présenté un document au Comité exécutif à la 89</w:t>
      </w:r>
      <w:r w:rsidRPr="008724B9">
        <w:rPr>
          <w:vertAlign w:val="superscript"/>
          <w:lang w:val="fr-CA"/>
        </w:rPr>
        <w:t>e</w:t>
      </w:r>
      <w:r w:rsidRPr="008724B9">
        <w:rPr>
          <w:lang w:val="fr-CA"/>
        </w:rPr>
        <w:t xml:space="preserve"> réunion portant sur cinq éléments à améliorer relevés dans l’évaluation du Secrétariat par le MOPAN en 2019, dont la fonction d’évaluation L’évaluation a révélé que la fonction d’évaluation n’était pas assez exigeante, formatrice et analytique, et son indépendance devait être amélior</w:t>
      </w:r>
      <w:r>
        <w:rPr>
          <w:lang w:val="fr-CA"/>
        </w:rPr>
        <w:t>ée</w:t>
      </w:r>
      <w:r w:rsidRPr="008724B9">
        <w:rPr>
          <w:lang w:val="fr-CA"/>
        </w:rPr>
        <w:t>.</w:t>
      </w:r>
    </w:p>
    <w:p w14:paraId="18D729E7" w14:textId="77777777" w:rsidR="00D27AB2" w:rsidRPr="008724B9" w:rsidRDefault="00D27AB2" w:rsidP="00AF54D2">
      <w:pPr>
        <w:pStyle w:val="Heading1"/>
        <w:numPr>
          <w:ilvl w:val="0"/>
          <w:numId w:val="43"/>
        </w:numPr>
        <w:tabs>
          <w:tab w:val="num" w:pos="0"/>
          <w:tab w:val="num" w:pos="810"/>
        </w:tabs>
        <w:ind w:left="0" w:firstLine="0"/>
        <w:rPr>
          <w:lang w:val="fr-CA"/>
        </w:rPr>
      </w:pPr>
      <w:r w:rsidRPr="008724B9">
        <w:rPr>
          <w:lang w:val="fr-CA"/>
        </w:rPr>
        <w:t xml:space="preserve">En guise de réponse, le document du Secrétariat a fait référence aux conclusions du MOPAN et reconnu que certains éléments devaient être examinés </w:t>
      </w:r>
      <w:r>
        <w:rPr>
          <w:lang w:val="fr-CA"/>
        </w:rPr>
        <w:t>plus en profondeur</w:t>
      </w:r>
      <w:r w:rsidRPr="008724B9">
        <w:rPr>
          <w:lang w:val="fr-CA"/>
        </w:rPr>
        <w:t xml:space="preserve"> afin d’éliminer les faiblesses et améliorer la pertinence de la fonction d’évaluation pour le Fonds.</w:t>
      </w:r>
      <w:r w:rsidRPr="008724B9">
        <w:rPr>
          <w:rStyle w:val="FootnoteReference"/>
          <w:lang w:val="fr-CA"/>
        </w:rPr>
        <w:footnoteReference w:id="12"/>
      </w:r>
    </w:p>
    <w:p w14:paraId="116F47EE" w14:textId="77777777" w:rsidR="00D27AB2" w:rsidRPr="008724B9" w:rsidRDefault="00D27AB2" w:rsidP="00AF54D2">
      <w:pPr>
        <w:pStyle w:val="Heading1"/>
        <w:numPr>
          <w:ilvl w:val="0"/>
          <w:numId w:val="43"/>
        </w:numPr>
        <w:tabs>
          <w:tab w:val="num" w:pos="0"/>
          <w:tab w:val="num" w:pos="810"/>
        </w:tabs>
        <w:ind w:left="0" w:firstLine="0"/>
        <w:rPr>
          <w:lang w:val="fr-CA"/>
        </w:rPr>
      </w:pPr>
      <w:r w:rsidRPr="008724B9">
        <w:rPr>
          <w:lang w:val="fr-CA"/>
        </w:rPr>
        <w:t>Le Comité exécutif, dans sa décision 89/1 b), prie l’Administratrice principale, Suivi et évaluation, « […] en tenant compte des discussions sur ce sujet durant la partie I de la 89</w:t>
      </w:r>
      <w:r w:rsidRPr="00C436AB">
        <w:rPr>
          <w:vertAlign w:val="superscript"/>
          <w:lang w:val="fr-CA"/>
        </w:rPr>
        <w:t>e</w:t>
      </w:r>
      <w:r w:rsidRPr="008724B9">
        <w:rPr>
          <w:lang w:val="fr-CA"/>
        </w:rPr>
        <w:t xml:space="preserve"> réunion, d’inclure dans le </w:t>
      </w:r>
      <w:r w:rsidRPr="008724B9">
        <w:rPr>
          <w:lang w:val="fr-CA"/>
        </w:rPr>
        <w:lastRenderedPageBreak/>
        <w:t>programme de travail d’évaluation et de suivi pour l’année 2023, aux fins d’examen par le Comité exécutif à sa 91</w:t>
      </w:r>
      <w:r w:rsidRPr="00C436AB">
        <w:rPr>
          <w:vertAlign w:val="superscript"/>
          <w:lang w:val="fr-CA"/>
        </w:rPr>
        <w:t>e</w:t>
      </w:r>
      <w:r w:rsidRPr="008724B9">
        <w:rPr>
          <w:lang w:val="fr-CA"/>
        </w:rPr>
        <w:t xml:space="preserve"> réunion, les mesures destinées à améliorer la fonction d’évaluation énoncées aux paragraphes 13 à 18 du document UNEP/</w:t>
      </w:r>
      <w:proofErr w:type="spellStart"/>
      <w:r w:rsidRPr="008724B9">
        <w:rPr>
          <w:lang w:val="fr-CA"/>
        </w:rPr>
        <w:t>OzL.Pro</w:t>
      </w:r>
      <w:proofErr w:type="spellEnd"/>
      <w:r w:rsidRPr="008724B9">
        <w:rPr>
          <w:lang w:val="fr-CA"/>
        </w:rPr>
        <w:t>/</w:t>
      </w:r>
      <w:proofErr w:type="spellStart"/>
      <w:r w:rsidRPr="008724B9">
        <w:rPr>
          <w:lang w:val="fr-CA"/>
        </w:rPr>
        <w:t>ExCom</w:t>
      </w:r>
      <w:proofErr w:type="spellEnd"/>
      <w:r w:rsidRPr="008724B9">
        <w:rPr>
          <w:lang w:val="fr-CA"/>
        </w:rPr>
        <w:t>/89/2/Add.1 ».</w:t>
      </w:r>
    </w:p>
    <w:p w14:paraId="75273419" w14:textId="77777777" w:rsidR="00D27AB2" w:rsidRPr="008724B9" w:rsidRDefault="00D27AB2" w:rsidP="00AF54D2">
      <w:pPr>
        <w:pStyle w:val="Heading1"/>
        <w:numPr>
          <w:ilvl w:val="0"/>
          <w:numId w:val="43"/>
        </w:numPr>
        <w:tabs>
          <w:tab w:val="num" w:pos="0"/>
          <w:tab w:val="num" w:pos="810"/>
        </w:tabs>
        <w:ind w:left="0" w:firstLine="0"/>
        <w:rPr>
          <w:lang w:val="fr-CA"/>
        </w:rPr>
      </w:pPr>
      <w:r w:rsidRPr="008724B9">
        <w:rPr>
          <w:lang w:val="fr-CA"/>
        </w:rPr>
        <w:t>Comme indiqué dans le rapport de la première partie de la 89</w:t>
      </w:r>
      <w:r w:rsidRPr="008724B9">
        <w:rPr>
          <w:vertAlign w:val="superscript"/>
          <w:lang w:val="fr-CA"/>
        </w:rPr>
        <w:t>e</w:t>
      </w:r>
      <w:r w:rsidRPr="008724B9">
        <w:rPr>
          <w:lang w:val="fr-CA"/>
        </w:rPr>
        <w:t xml:space="preserve"> réunion, certains membres ont mentionné qu’afin d’accroître la pertinence de la fonction d’évaluation, il faudrait examiner la possibilité de reprendre des pratiques qui ont été abandonnées en 2011 concernant la formulation des recommandations de l’Administratrice principale, Suivi et évaluation, dont la mise en œuvre pourrait faire l’objet d’un suivi. Il a aussi été dit que dans l’éventualité où une telle pratique serait reprise, la création d’un processus de suivi devrait se faire sans créer de fardeau supplémentaire de suivi encombrant.</w:t>
      </w:r>
      <w:r w:rsidRPr="008724B9">
        <w:rPr>
          <w:rStyle w:val="FootnoteReference"/>
          <w:lang w:val="fr-CA"/>
        </w:rPr>
        <w:footnoteReference w:id="13"/>
      </w:r>
    </w:p>
    <w:p w14:paraId="7C069D96" w14:textId="77777777" w:rsidR="00D27AB2" w:rsidRPr="003306BC" w:rsidRDefault="00D27AB2" w:rsidP="00AF54D2">
      <w:pPr>
        <w:pStyle w:val="Heading1"/>
        <w:numPr>
          <w:ilvl w:val="0"/>
          <w:numId w:val="43"/>
        </w:numPr>
        <w:tabs>
          <w:tab w:val="num" w:pos="0"/>
          <w:tab w:val="num" w:pos="810"/>
        </w:tabs>
        <w:ind w:left="0" w:firstLine="0"/>
        <w:rPr>
          <w:lang w:val="fr-CA"/>
        </w:rPr>
      </w:pPr>
      <w:r w:rsidRPr="008724B9">
        <w:rPr>
          <w:lang w:val="fr-CA"/>
        </w:rPr>
        <w:t>Cette question, ainsi que les autres changements apportés au processus de suivi, pourrai</w:t>
      </w:r>
      <w:r>
        <w:rPr>
          <w:lang w:val="fr-CA"/>
        </w:rPr>
        <w:t>en</w:t>
      </w:r>
      <w:r w:rsidRPr="008724B9">
        <w:rPr>
          <w:lang w:val="fr-CA"/>
        </w:rPr>
        <w:t>t être examiné</w:t>
      </w:r>
      <w:r>
        <w:rPr>
          <w:lang w:val="fr-CA"/>
        </w:rPr>
        <w:t>s</w:t>
      </w:r>
      <w:r w:rsidRPr="008724B9">
        <w:rPr>
          <w:lang w:val="fr-CA"/>
        </w:rPr>
        <w:t xml:space="preserve"> plus en profondeur </w:t>
      </w:r>
      <w:r>
        <w:rPr>
          <w:lang w:val="fr-CA"/>
        </w:rPr>
        <w:t xml:space="preserve">par un consultant externe indépendant. L’évaluation indépendante de la fonction d’évaluation du FML viserait à </w:t>
      </w:r>
      <w:r w:rsidRPr="003306BC">
        <w:rPr>
          <w:lang w:val="fr-CA"/>
        </w:rPr>
        <w:t xml:space="preserve">définir une feuille de route pour régler les faiblesses de la fonction d’évaluation relevées dans l’évaluation du MOPAN. Le mandat de cette évaluation </w:t>
      </w:r>
      <w:r>
        <w:rPr>
          <w:lang w:val="fr-CA"/>
        </w:rPr>
        <w:t>indépendante</w:t>
      </w:r>
      <w:r w:rsidRPr="003306BC">
        <w:rPr>
          <w:lang w:val="fr-CA"/>
        </w:rPr>
        <w:t xml:space="preserve"> serait </w:t>
      </w:r>
      <w:r>
        <w:rPr>
          <w:lang w:val="fr-CA"/>
        </w:rPr>
        <w:t xml:space="preserve">soumis pour fins d’examen par </w:t>
      </w:r>
      <w:r w:rsidRPr="003306BC">
        <w:rPr>
          <w:lang w:val="fr-CA"/>
        </w:rPr>
        <w:t>le Comité exécutif à sa 9</w:t>
      </w:r>
      <w:r>
        <w:rPr>
          <w:lang w:val="fr-CA"/>
        </w:rPr>
        <w:t>2</w:t>
      </w:r>
      <w:r w:rsidRPr="003306BC">
        <w:rPr>
          <w:vertAlign w:val="superscript"/>
          <w:lang w:val="fr-CA"/>
        </w:rPr>
        <w:t>e</w:t>
      </w:r>
      <w:r w:rsidRPr="003306BC">
        <w:rPr>
          <w:lang w:val="fr-CA"/>
        </w:rPr>
        <w:t xml:space="preserve"> réunion. L’activité est comprise dans la proposition ci-dessous de projet de programme de travail de suivi et évaluation pour l’année 2023, présentée dans les paragraphes 1</w:t>
      </w:r>
      <w:r>
        <w:rPr>
          <w:lang w:val="fr-CA"/>
        </w:rPr>
        <w:t>6</w:t>
      </w:r>
      <w:r w:rsidRPr="003306BC">
        <w:rPr>
          <w:lang w:val="fr-CA"/>
        </w:rPr>
        <w:t xml:space="preserve"> à 2</w:t>
      </w:r>
      <w:r>
        <w:rPr>
          <w:lang w:val="fr-CA"/>
        </w:rPr>
        <w:t>2</w:t>
      </w:r>
      <w:r w:rsidRPr="003306BC">
        <w:rPr>
          <w:lang w:val="fr-CA"/>
        </w:rPr>
        <w:t>.</w:t>
      </w:r>
    </w:p>
    <w:p w14:paraId="24D88319" w14:textId="77777777" w:rsidR="00D27AB2" w:rsidRPr="008724B9" w:rsidRDefault="00D27AB2" w:rsidP="00D27AB2">
      <w:pPr>
        <w:spacing w:after="240"/>
        <w:rPr>
          <w:b/>
          <w:bCs/>
          <w:lang w:val="fr-CA"/>
        </w:rPr>
      </w:pPr>
      <w:r w:rsidRPr="008724B9">
        <w:rPr>
          <w:b/>
          <w:bCs/>
          <w:lang w:val="fr-CA"/>
        </w:rPr>
        <w:t>Suivi de la décision 90/28 g) sur les rapports d’achèvement de projet</w:t>
      </w:r>
    </w:p>
    <w:p w14:paraId="212A1673" w14:textId="77777777" w:rsidR="00D27AB2" w:rsidRPr="008724B9" w:rsidRDefault="00D27AB2" w:rsidP="00AF54D2">
      <w:pPr>
        <w:pStyle w:val="Heading1"/>
        <w:numPr>
          <w:ilvl w:val="0"/>
          <w:numId w:val="43"/>
        </w:numPr>
        <w:tabs>
          <w:tab w:val="num" w:pos="0"/>
          <w:tab w:val="num" w:pos="810"/>
        </w:tabs>
        <w:ind w:left="0" w:firstLine="0"/>
        <w:rPr>
          <w:lang w:val="fr-CA"/>
        </w:rPr>
      </w:pPr>
      <w:r w:rsidRPr="008724B9">
        <w:rPr>
          <w:lang w:val="fr-CA"/>
        </w:rPr>
        <w:t>L’Administratrice principale, Suivi et évaluation, a présenté à la 90</w:t>
      </w:r>
      <w:r w:rsidRPr="008724B9">
        <w:rPr>
          <w:vertAlign w:val="superscript"/>
          <w:lang w:val="fr-CA"/>
        </w:rPr>
        <w:t>e</w:t>
      </w:r>
      <w:r w:rsidRPr="008724B9">
        <w:rPr>
          <w:lang w:val="fr-CA"/>
        </w:rPr>
        <w:t xml:space="preserve"> réunion le rapport global d’achèvement de projet pour 2022,</w:t>
      </w:r>
      <w:r w:rsidRPr="008724B9">
        <w:rPr>
          <w:rStyle w:val="FootnoteReference"/>
          <w:lang w:val="fr-CA"/>
        </w:rPr>
        <w:footnoteReference w:id="14"/>
      </w:r>
      <w:r w:rsidRPr="008724B9">
        <w:rPr>
          <w:lang w:val="fr-CA"/>
        </w:rPr>
        <w:t xml:space="preserve"> qui met de l’avant des changements dans le modèle et l’analyse </w:t>
      </w:r>
      <w:r>
        <w:rPr>
          <w:lang w:val="fr-CA"/>
        </w:rPr>
        <w:t>pour</w:t>
      </w:r>
      <w:r w:rsidRPr="008724B9">
        <w:rPr>
          <w:lang w:val="fr-CA"/>
        </w:rPr>
        <w:t xml:space="preserve"> améliorer la diffusion des enseignements tirés </w:t>
      </w:r>
      <w:r>
        <w:rPr>
          <w:lang w:val="fr-CA"/>
        </w:rPr>
        <w:t>recensés pendant</w:t>
      </w:r>
      <w:r w:rsidRPr="008724B9">
        <w:rPr>
          <w:lang w:val="fr-CA"/>
        </w:rPr>
        <w:t xml:space="preserve"> l’analyse systématique des rapports d’achèvement de projet </w:t>
      </w:r>
      <w:r>
        <w:rPr>
          <w:lang w:val="fr-CA"/>
        </w:rPr>
        <w:t>soumis</w:t>
      </w:r>
      <w:r w:rsidRPr="008724B9">
        <w:rPr>
          <w:lang w:val="fr-CA"/>
        </w:rPr>
        <w:t>.</w:t>
      </w:r>
    </w:p>
    <w:p w14:paraId="66ABEE60" w14:textId="77777777" w:rsidR="00D27AB2" w:rsidRPr="008724B9" w:rsidRDefault="00D27AB2" w:rsidP="00AF54D2">
      <w:pPr>
        <w:pStyle w:val="Heading1"/>
        <w:numPr>
          <w:ilvl w:val="0"/>
          <w:numId w:val="43"/>
        </w:numPr>
        <w:tabs>
          <w:tab w:val="num" w:pos="0"/>
          <w:tab w:val="num" w:pos="810"/>
        </w:tabs>
        <w:ind w:left="0" w:firstLine="0"/>
        <w:rPr>
          <w:lang w:val="fr-CA"/>
        </w:rPr>
      </w:pPr>
      <w:r w:rsidRPr="008724B9">
        <w:rPr>
          <w:lang w:val="fr-CA"/>
        </w:rPr>
        <w:t>Le Comité exécutif, dans sa décision 90/28 g), a décidé « D’orienter et de demander à l’Administratrice principale, Suivi et évaluation, conformément à la décision 89/1 b), d’explorer des manières de collecter de meilleures données, d’améliorer l’accessibilité de la base de données et d’améliorer l’accès aux informations en ligne sur les rapports d’achèvement de projet des accords pluriannuels et les rapports d’achèvement de projet individuels, dans le contexte de la stratégie révisée d’information pour examen par le Secrétariat, et d’intégrer ces questions dans le projet de programme de travail pour le suivi et l’évaluation pour 2023. »</w:t>
      </w:r>
    </w:p>
    <w:p w14:paraId="6CE4C658" w14:textId="77777777" w:rsidR="00D27AB2" w:rsidRPr="008724B9" w:rsidRDefault="00D27AB2" w:rsidP="00AF54D2">
      <w:pPr>
        <w:pStyle w:val="Heading1"/>
        <w:numPr>
          <w:ilvl w:val="0"/>
          <w:numId w:val="43"/>
        </w:numPr>
        <w:tabs>
          <w:tab w:val="num" w:pos="0"/>
          <w:tab w:val="num" w:pos="810"/>
        </w:tabs>
        <w:ind w:left="0" w:firstLine="0"/>
        <w:rPr>
          <w:lang w:val="fr-CA"/>
        </w:rPr>
      </w:pPr>
      <w:r w:rsidRPr="008724B9">
        <w:rPr>
          <w:lang w:val="fr-CA"/>
        </w:rPr>
        <w:t xml:space="preserve">L’Administratrice principale, Suivi et évaluation </w:t>
      </w:r>
      <w:r>
        <w:rPr>
          <w:lang w:val="fr-CA"/>
        </w:rPr>
        <w:t>propose d’entreprendre une révision interne des RAP au deuxième semestre de 2023, en étroite consultation avec les agences d’exécution, en vue de proposer des mises à jour possibles des formats et des processus actuels.  Cette révision interne des RAP, incluse dans le projet de programme de travail pour 2023,</w:t>
      </w:r>
      <w:r w:rsidRPr="008724B9">
        <w:rPr>
          <w:lang w:val="fr-CA"/>
        </w:rPr>
        <w:t xml:space="preserve"> évaluerait leur pertinence aux fins d’évaluation et pour les agences d’exécution dans </w:t>
      </w:r>
      <w:r>
        <w:rPr>
          <w:lang w:val="fr-CA"/>
        </w:rPr>
        <w:t>l’application</w:t>
      </w:r>
      <w:r w:rsidRPr="008724B9">
        <w:rPr>
          <w:lang w:val="fr-CA"/>
        </w:rPr>
        <w:t xml:space="preserve"> des enseignements tirés.</w:t>
      </w:r>
    </w:p>
    <w:p w14:paraId="1F9A0645" w14:textId="77777777" w:rsidR="00D27AB2" w:rsidRPr="008724B9" w:rsidRDefault="00D27AB2" w:rsidP="00D27AB2">
      <w:pPr>
        <w:keepLines/>
        <w:autoSpaceDE w:val="0"/>
        <w:autoSpaceDN w:val="0"/>
        <w:adjustRightInd w:val="0"/>
        <w:spacing w:after="240"/>
        <w:rPr>
          <w:b/>
          <w:lang w:val="fr-CA"/>
        </w:rPr>
      </w:pPr>
      <w:r w:rsidRPr="008724B9">
        <w:rPr>
          <w:b/>
          <w:lang w:val="fr-CA"/>
        </w:rPr>
        <w:t>Proposition de plan de travail de suivi et évaluation pour 2023</w:t>
      </w:r>
    </w:p>
    <w:p w14:paraId="72EF58E9" w14:textId="77777777" w:rsidR="00D27AB2" w:rsidRPr="008724B9" w:rsidRDefault="00D27AB2" w:rsidP="00AF54D2">
      <w:pPr>
        <w:pStyle w:val="Heading1"/>
        <w:keepLines/>
        <w:numPr>
          <w:ilvl w:val="0"/>
          <w:numId w:val="43"/>
        </w:numPr>
        <w:tabs>
          <w:tab w:val="num" w:pos="0"/>
          <w:tab w:val="num" w:pos="810"/>
          <w:tab w:val="left" w:pos="900"/>
        </w:tabs>
        <w:ind w:left="0" w:firstLine="0"/>
        <w:rPr>
          <w:lang w:val="fr-CA"/>
        </w:rPr>
      </w:pPr>
      <w:r w:rsidRPr="008724B9">
        <w:rPr>
          <w:lang w:val="fr-CA"/>
        </w:rPr>
        <w:t>Deux évaluations reportées du programme de travail de suivi et évaluation de 2022 sont en cours. Ces activités devraient être menées à terme au premier semestre de 2023 et les rapports finaux des évaluations devraient être présentés à la 92</w:t>
      </w:r>
      <w:r w:rsidRPr="008724B9">
        <w:rPr>
          <w:vertAlign w:val="superscript"/>
          <w:lang w:val="fr-CA"/>
        </w:rPr>
        <w:t>e</w:t>
      </w:r>
      <w:r w:rsidRPr="008724B9">
        <w:rPr>
          <w:lang w:val="fr-CA"/>
        </w:rPr>
        <w:t xml:space="preserve"> réunion. L’Administratrice principale, Suivi et évaluation continuera à assurer la fonction d’évaluation qui consiste actuellement à </w:t>
      </w:r>
      <w:r>
        <w:rPr>
          <w:lang w:val="fr-CA"/>
        </w:rPr>
        <w:t>p</w:t>
      </w:r>
      <w:r w:rsidRPr="008724B9">
        <w:rPr>
          <w:lang w:val="fr-CA"/>
        </w:rPr>
        <w:t>r</w:t>
      </w:r>
      <w:r>
        <w:rPr>
          <w:lang w:val="fr-CA"/>
        </w:rPr>
        <w:t>épare</w:t>
      </w:r>
      <w:r w:rsidRPr="008724B9">
        <w:rPr>
          <w:lang w:val="fr-CA"/>
        </w:rPr>
        <w:t>r un rapport sommaire global semestriel sur l’analyse des rapport</w:t>
      </w:r>
      <w:r>
        <w:rPr>
          <w:lang w:val="fr-CA"/>
        </w:rPr>
        <w:t>s</w:t>
      </w:r>
      <w:r w:rsidRPr="008724B9">
        <w:rPr>
          <w:lang w:val="fr-CA"/>
        </w:rPr>
        <w:t xml:space="preserve"> d</w:t>
      </w:r>
      <w:r>
        <w:rPr>
          <w:lang w:val="fr-CA"/>
        </w:rPr>
        <w:t>’</w:t>
      </w:r>
      <w:r w:rsidRPr="008724B9">
        <w:rPr>
          <w:lang w:val="fr-CA"/>
        </w:rPr>
        <w:t>achèvement de projet.</w:t>
      </w:r>
    </w:p>
    <w:p w14:paraId="6332C64C" w14:textId="77777777" w:rsidR="00D27AB2" w:rsidRPr="008724B9" w:rsidRDefault="00D27AB2" w:rsidP="00AF54D2">
      <w:pPr>
        <w:pStyle w:val="Heading1"/>
        <w:numPr>
          <w:ilvl w:val="0"/>
          <w:numId w:val="43"/>
        </w:numPr>
        <w:tabs>
          <w:tab w:val="num" w:pos="0"/>
          <w:tab w:val="num" w:pos="810"/>
          <w:tab w:val="left" w:pos="900"/>
        </w:tabs>
        <w:ind w:left="0" w:firstLine="0"/>
        <w:rPr>
          <w:lang w:val="fr-CA"/>
        </w:rPr>
      </w:pPr>
      <w:r w:rsidRPr="008724B9">
        <w:rPr>
          <w:lang w:val="fr-CA"/>
        </w:rPr>
        <w:t>Conformément à la pratique établie, l’Administratrice principale, Suivi et évaluation continuera à collaborer étroitement avec les agences bilatérales et d’exécution afin que les rapport</w:t>
      </w:r>
      <w:r>
        <w:rPr>
          <w:lang w:val="fr-CA"/>
        </w:rPr>
        <w:t>s</w:t>
      </w:r>
      <w:r w:rsidRPr="008724B9">
        <w:rPr>
          <w:lang w:val="fr-CA"/>
        </w:rPr>
        <w:t xml:space="preserve"> d</w:t>
      </w:r>
      <w:r>
        <w:rPr>
          <w:lang w:val="fr-CA"/>
        </w:rPr>
        <w:t>’</w:t>
      </w:r>
      <w:r w:rsidRPr="008724B9">
        <w:rPr>
          <w:lang w:val="fr-CA"/>
        </w:rPr>
        <w:t xml:space="preserve">achèvement de </w:t>
      </w:r>
      <w:r w:rsidRPr="008724B9">
        <w:rPr>
          <w:lang w:val="fr-CA"/>
        </w:rPr>
        <w:lastRenderedPageBreak/>
        <w:t xml:space="preserve">projet </w:t>
      </w:r>
      <w:r>
        <w:rPr>
          <w:lang w:val="fr-CA"/>
        </w:rPr>
        <w:t>portant sur des</w:t>
      </w:r>
      <w:r w:rsidRPr="008724B9">
        <w:rPr>
          <w:lang w:val="fr-CA"/>
        </w:rPr>
        <w:t xml:space="preserve"> projets pluriannuels et de</w:t>
      </w:r>
      <w:r>
        <w:rPr>
          <w:lang w:val="fr-CA"/>
        </w:rPr>
        <w:t>s</w:t>
      </w:r>
      <w:r w:rsidRPr="008724B9">
        <w:rPr>
          <w:lang w:val="fr-CA"/>
        </w:rPr>
        <w:t xml:space="preserve"> projets individuels soient remis comme il se doit aux 92</w:t>
      </w:r>
      <w:r w:rsidRPr="008724B9">
        <w:rPr>
          <w:vertAlign w:val="superscript"/>
          <w:lang w:val="fr-CA"/>
        </w:rPr>
        <w:t>e</w:t>
      </w:r>
      <w:r>
        <w:rPr>
          <w:lang w:val="fr-CA"/>
        </w:rPr>
        <w:t> </w:t>
      </w:r>
      <w:r w:rsidRPr="008724B9">
        <w:rPr>
          <w:lang w:val="fr-CA"/>
        </w:rPr>
        <w:t>et 93</w:t>
      </w:r>
      <w:r w:rsidRPr="008724B9">
        <w:rPr>
          <w:vertAlign w:val="superscript"/>
          <w:lang w:val="fr-CA"/>
        </w:rPr>
        <w:t>e</w:t>
      </w:r>
      <w:r w:rsidRPr="008724B9">
        <w:rPr>
          <w:lang w:val="fr-CA"/>
        </w:rPr>
        <w:t xml:space="preserve"> réunions, et </w:t>
      </w:r>
      <w:r>
        <w:rPr>
          <w:lang w:val="fr-CA"/>
        </w:rPr>
        <w:t xml:space="preserve">à </w:t>
      </w:r>
      <w:r w:rsidRPr="008724B9">
        <w:rPr>
          <w:lang w:val="fr-CA"/>
        </w:rPr>
        <w:t>proposer des scénarios pour simplifier la préparation et la remise des rapport</w:t>
      </w:r>
      <w:r>
        <w:rPr>
          <w:lang w:val="fr-CA"/>
        </w:rPr>
        <w:t>s</w:t>
      </w:r>
      <w:r w:rsidRPr="008724B9">
        <w:rPr>
          <w:lang w:val="fr-CA"/>
        </w:rPr>
        <w:t xml:space="preserve"> d</w:t>
      </w:r>
      <w:r>
        <w:rPr>
          <w:lang w:val="fr-CA"/>
        </w:rPr>
        <w:t>’</w:t>
      </w:r>
      <w:r w:rsidRPr="008724B9">
        <w:rPr>
          <w:lang w:val="fr-CA"/>
        </w:rPr>
        <w:t>achèvement de projet.</w:t>
      </w:r>
    </w:p>
    <w:p w14:paraId="2DEE41EE" w14:textId="77777777" w:rsidR="00D27AB2" w:rsidRPr="008724B9" w:rsidRDefault="00D27AB2" w:rsidP="00AF54D2">
      <w:pPr>
        <w:pStyle w:val="Heading1"/>
        <w:numPr>
          <w:ilvl w:val="0"/>
          <w:numId w:val="43"/>
        </w:numPr>
        <w:tabs>
          <w:tab w:val="num" w:pos="0"/>
        </w:tabs>
        <w:ind w:left="0" w:firstLine="0"/>
        <w:rPr>
          <w:lang w:val="fr-CA"/>
        </w:rPr>
      </w:pPr>
      <w:r>
        <w:rPr>
          <w:lang w:val="fr-CA"/>
        </w:rPr>
        <w:t xml:space="preserve">Au </w:t>
      </w:r>
      <w:r w:rsidRPr="008724B9">
        <w:rPr>
          <w:lang w:val="fr-CA"/>
        </w:rPr>
        <w:t>cours du premier semestre de 2</w:t>
      </w:r>
      <w:r>
        <w:rPr>
          <w:lang w:val="fr-CA"/>
        </w:rPr>
        <w:t xml:space="preserve">023, </w:t>
      </w:r>
      <w:r w:rsidRPr="008724B9">
        <w:rPr>
          <w:lang w:val="fr-CA"/>
        </w:rPr>
        <w:t>l’Administratrice principale, Suivi et évaluation préparerait</w:t>
      </w:r>
      <w:r>
        <w:rPr>
          <w:lang w:val="fr-CA"/>
        </w:rPr>
        <w:t>,</w:t>
      </w:r>
      <w:r w:rsidRPr="008724B9">
        <w:rPr>
          <w:lang w:val="fr-CA"/>
        </w:rPr>
        <w:t xml:space="preserve"> pour examen par le Comité exécutif</w:t>
      </w:r>
      <w:r>
        <w:rPr>
          <w:lang w:val="fr-CA"/>
        </w:rPr>
        <w:t>, le mandat d’une évaluation indépendante de la fonction d’évaluation du FML qui sera préparée par un consultant externe.</w:t>
      </w:r>
      <w:r w:rsidRPr="008724B9">
        <w:rPr>
          <w:lang w:val="fr-CA"/>
        </w:rPr>
        <w:t xml:space="preserve"> Les résultats de l’évaluation indépendante seraient présentés </w:t>
      </w:r>
      <w:r>
        <w:rPr>
          <w:lang w:val="fr-CA"/>
        </w:rPr>
        <w:t>soit à la dernière réunion de 2023 ou à la première réunion d</w:t>
      </w:r>
      <w:r w:rsidRPr="008724B9">
        <w:rPr>
          <w:lang w:val="fr-CA"/>
        </w:rPr>
        <w:t>e 2024</w:t>
      </w:r>
      <w:r>
        <w:rPr>
          <w:lang w:val="fr-CA"/>
        </w:rPr>
        <w:t>, selon l’ampleur et la profondeur de l’évaluation, telle que définie dans le mandat final et à la date de la 93</w:t>
      </w:r>
      <w:r w:rsidRPr="005C33AE">
        <w:rPr>
          <w:vertAlign w:val="superscript"/>
          <w:lang w:val="fr-CA"/>
        </w:rPr>
        <w:t>e</w:t>
      </w:r>
      <w:r>
        <w:rPr>
          <w:lang w:val="fr-CA"/>
        </w:rPr>
        <w:t xml:space="preserve"> réunion en 2023.</w:t>
      </w:r>
    </w:p>
    <w:p w14:paraId="286405A7" w14:textId="77777777" w:rsidR="00D27AB2" w:rsidRPr="008724B9" w:rsidRDefault="00D27AB2" w:rsidP="00AF54D2">
      <w:pPr>
        <w:pStyle w:val="Heading1"/>
        <w:numPr>
          <w:ilvl w:val="0"/>
          <w:numId w:val="43"/>
        </w:numPr>
        <w:tabs>
          <w:tab w:val="num" w:pos="0"/>
        </w:tabs>
        <w:ind w:left="0" w:firstLine="0"/>
        <w:rPr>
          <w:lang w:val="fr-CA"/>
        </w:rPr>
      </w:pPr>
      <w:r w:rsidRPr="008724B9">
        <w:rPr>
          <w:lang w:val="fr-CA"/>
        </w:rPr>
        <w:t xml:space="preserve">Dans sa décision 90/28 g), le Comité exécutif prie l’Administratrice principale, Suivi et évaluation d’explorer davantage des moyens d’améliorer l’utilisation </w:t>
      </w:r>
      <w:r w:rsidRPr="001938B6">
        <w:rPr>
          <w:lang w:val="fr-CA"/>
        </w:rPr>
        <w:t>des rapports d</w:t>
      </w:r>
      <w:r>
        <w:rPr>
          <w:lang w:val="fr-CA"/>
        </w:rPr>
        <w:t>’</w:t>
      </w:r>
      <w:r w:rsidRPr="001938B6">
        <w:rPr>
          <w:lang w:val="fr-CA"/>
        </w:rPr>
        <w:t>achèvement de projet, leur convivialité pour les utilisateurs et leur pertinence aux fins d’évaluat</w:t>
      </w:r>
      <w:r w:rsidRPr="008724B9">
        <w:rPr>
          <w:lang w:val="fr-CA"/>
        </w:rPr>
        <w:t>ion et des enseignements tirés pour les agences d’exécution et autres joueurs pertinents sur le terrain. Il est proposé que l</w:t>
      </w:r>
      <w:r>
        <w:rPr>
          <w:lang w:val="fr-CA"/>
        </w:rPr>
        <w:t xml:space="preserve">’Administratrice principale, Suivi et évaluation entreprenne, au deuxième semestre de 2023, une révision interne des RAP, en étroite coordination avec les agences bilatérales et d’exécution. </w:t>
      </w:r>
    </w:p>
    <w:p w14:paraId="2039A85E" w14:textId="77777777" w:rsidR="00D27AB2" w:rsidRDefault="00D27AB2" w:rsidP="00AF54D2">
      <w:pPr>
        <w:pStyle w:val="Heading1"/>
        <w:numPr>
          <w:ilvl w:val="0"/>
          <w:numId w:val="43"/>
        </w:numPr>
        <w:tabs>
          <w:tab w:val="num" w:pos="0"/>
        </w:tabs>
        <w:ind w:left="0" w:firstLine="0"/>
        <w:rPr>
          <w:lang w:val="fr-CA"/>
        </w:rPr>
      </w:pPr>
      <w:r w:rsidRPr="008724B9">
        <w:rPr>
          <w:lang w:val="fr-CA"/>
        </w:rPr>
        <w:t>L</w:t>
      </w:r>
      <w:r>
        <w:rPr>
          <w:lang w:val="fr-CA"/>
        </w:rPr>
        <w:t>a révision des RAP viserait, entre autres, à encourager une meill</w:t>
      </w:r>
      <w:r w:rsidRPr="008724B9">
        <w:rPr>
          <w:lang w:val="fr-CA"/>
        </w:rPr>
        <w:t>e</w:t>
      </w:r>
      <w:r>
        <w:rPr>
          <w:lang w:val="fr-CA"/>
        </w:rPr>
        <w:t xml:space="preserve">ure identification et utilisation des enseignements tirés et à rationaliser l’information dans la mise en œuvre des projets.  Les résultats de cette révision pourraient contribuer, dans la mesure où ils sont pertinents pour la base de données des enseignements tirés, à la mise en œuvre du système de gestion des connaissances et à une accessibilité de l’information améliorée. </w:t>
      </w:r>
      <w:r w:rsidRPr="008724B9">
        <w:rPr>
          <w:lang w:val="fr-CA"/>
        </w:rPr>
        <w:t xml:space="preserve"> </w:t>
      </w:r>
      <w:r>
        <w:rPr>
          <w:lang w:val="fr-CA"/>
        </w:rPr>
        <w:t>Le résultat final, selon l’activité précédente, serait présenté soit à la 93</w:t>
      </w:r>
      <w:r w:rsidRPr="007B16E8">
        <w:rPr>
          <w:vertAlign w:val="superscript"/>
          <w:lang w:val="fr-CA"/>
        </w:rPr>
        <w:t>e</w:t>
      </w:r>
      <w:r>
        <w:rPr>
          <w:lang w:val="fr-CA"/>
        </w:rPr>
        <w:t xml:space="preserve"> ou à la 94</w:t>
      </w:r>
      <w:r w:rsidRPr="007B16E8">
        <w:rPr>
          <w:vertAlign w:val="superscript"/>
          <w:lang w:val="fr-CA"/>
        </w:rPr>
        <w:t>e</w:t>
      </w:r>
      <w:r>
        <w:rPr>
          <w:lang w:val="fr-CA"/>
        </w:rPr>
        <w:t xml:space="preserve"> réunion, selon la complexité de la révision et </w:t>
      </w:r>
      <w:proofErr w:type="spellStart"/>
      <w:r>
        <w:rPr>
          <w:lang w:val="fr-CA"/>
        </w:rPr>
        <w:t>et</w:t>
      </w:r>
      <w:proofErr w:type="spellEnd"/>
      <w:r>
        <w:rPr>
          <w:lang w:val="fr-CA"/>
        </w:rPr>
        <w:t xml:space="preserve"> selon les dates convenues pour la 93</w:t>
      </w:r>
      <w:r w:rsidRPr="007B16E8">
        <w:rPr>
          <w:vertAlign w:val="superscript"/>
          <w:lang w:val="fr-CA"/>
        </w:rPr>
        <w:t>e</w:t>
      </w:r>
      <w:r>
        <w:rPr>
          <w:lang w:val="fr-CA"/>
        </w:rPr>
        <w:t xml:space="preserve"> réunion.</w:t>
      </w:r>
    </w:p>
    <w:p w14:paraId="5EFCE9AD" w14:textId="77777777" w:rsidR="00D27AB2" w:rsidRDefault="00D27AB2" w:rsidP="00AF54D2">
      <w:pPr>
        <w:pStyle w:val="Heading1"/>
        <w:numPr>
          <w:ilvl w:val="0"/>
          <w:numId w:val="43"/>
        </w:numPr>
        <w:tabs>
          <w:tab w:val="num" w:pos="0"/>
        </w:tabs>
        <w:ind w:left="0" w:firstLine="0"/>
        <w:rPr>
          <w:lang w:val="fr-CA"/>
        </w:rPr>
      </w:pPr>
      <w:r>
        <w:rPr>
          <w:lang w:val="fr-CA"/>
        </w:rPr>
        <w:t>En ouvrant la voie pour une évaluation axée sur le contenu qui sera entreprise en 2024, l’Administratrice principale, Suivi et évaluation préparera le mandat pour un évaluation du Programme d’aide à la conformité.  Ce programme a été évalué pour la dernière fois en 2007</w:t>
      </w:r>
      <w:r>
        <w:rPr>
          <w:rStyle w:val="FootnoteReference"/>
          <w:lang w:val="fr-CA"/>
        </w:rPr>
        <w:footnoteReference w:id="15"/>
      </w:r>
      <w:r>
        <w:rPr>
          <w:lang w:val="fr-CA"/>
        </w:rPr>
        <w:t>. Le mandat sera présenté à la 93</w:t>
      </w:r>
      <w:r w:rsidRPr="00E65224">
        <w:rPr>
          <w:vertAlign w:val="superscript"/>
          <w:lang w:val="fr-CA"/>
        </w:rPr>
        <w:t>e</w:t>
      </w:r>
      <w:r>
        <w:rPr>
          <w:lang w:val="fr-CA"/>
        </w:rPr>
        <w:t xml:space="preserve"> réunion. </w:t>
      </w:r>
    </w:p>
    <w:p w14:paraId="279D6F49" w14:textId="302C44CC" w:rsidR="00D27AB2" w:rsidRDefault="00D27AB2" w:rsidP="00AF54D2">
      <w:pPr>
        <w:pStyle w:val="Heading1"/>
        <w:numPr>
          <w:ilvl w:val="0"/>
          <w:numId w:val="43"/>
        </w:numPr>
        <w:tabs>
          <w:tab w:val="num" w:pos="0"/>
        </w:tabs>
        <w:ind w:left="0" w:firstLine="0"/>
        <w:rPr>
          <w:lang w:val="fr-CA"/>
        </w:rPr>
      </w:pPr>
      <w:r>
        <w:rPr>
          <w:lang w:val="fr-CA"/>
        </w:rPr>
        <w:t>Le t</w:t>
      </w:r>
      <w:r w:rsidRPr="008724B9">
        <w:rPr>
          <w:lang w:val="fr-CA"/>
        </w:rPr>
        <w:t>ableau ci-dessous propose un aperçu des activités prévues du programme de travail de 2023 et les échéanciers d’achèvement des différents produits.</w:t>
      </w:r>
    </w:p>
    <w:p w14:paraId="5DC30A66" w14:textId="77777777" w:rsidR="00D27AB2" w:rsidRPr="008724B9" w:rsidRDefault="00D27AB2" w:rsidP="00AF54D2">
      <w:pPr>
        <w:tabs>
          <w:tab w:val="left" w:pos="8280"/>
        </w:tabs>
        <w:rPr>
          <w:b/>
          <w:lang w:val="fr-CA"/>
        </w:rPr>
      </w:pPr>
      <w:r w:rsidRPr="008724B9">
        <w:rPr>
          <w:b/>
          <w:lang w:val="fr-CA"/>
        </w:rPr>
        <w:t>Tableau 1. Planification des activit</w:t>
      </w:r>
      <w:r>
        <w:rPr>
          <w:b/>
          <w:lang w:val="fr-CA"/>
        </w:rPr>
        <w:t>és et étapes pour les produits a</w:t>
      </w:r>
      <w:r w:rsidRPr="008724B9">
        <w:rPr>
          <w:b/>
          <w:lang w:val="fr-CA"/>
        </w:rPr>
        <w:t>u projet de programme de travail de 2023</w:t>
      </w:r>
    </w:p>
    <w:tbl>
      <w:tblPr>
        <w:tblW w:w="9606" w:type="dxa"/>
        <w:tblLook w:val="04A0" w:firstRow="1" w:lastRow="0" w:firstColumn="1" w:lastColumn="0" w:noHBand="0" w:noVBand="1"/>
      </w:tblPr>
      <w:tblGrid>
        <w:gridCol w:w="3415"/>
        <w:gridCol w:w="3060"/>
        <w:gridCol w:w="3131"/>
      </w:tblGrid>
      <w:tr w:rsidR="00D27AB2" w:rsidRPr="008724B9" w14:paraId="19FA7274" w14:textId="77777777" w:rsidTr="006D0FBA">
        <w:trPr>
          <w:trHeight w:val="284"/>
          <w:tblHeader/>
        </w:trPr>
        <w:tc>
          <w:tcPr>
            <w:tcW w:w="3415" w:type="dxa"/>
            <w:tcBorders>
              <w:top w:val="single" w:sz="4" w:space="0" w:color="auto"/>
              <w:left w:val="single" w:sz="4" w:space="0" w:color="auto"/>
              <w:bottom w:val="single" w:sz="4" w:space="0" w:color="auto"/>
              <w:right w:val="single" w:sz="4" w:space="0" w:color="auto"/>
            </w:tcBorders>
            <w:shd w:val="clear" w:color="auto" w:fill="auto"/>
            <w:hideMark/>
          </w:tcPr>
          <w:p w14:paraId="1E72E4D1" w14:textId="77777777" w:rsidR="00D27AB2" w:rsidRPr="008724B9" w:rsidRDefault="00D27AB2" w:rsidP="00AF54D2">
            <w:pPr>
              <w:jc w:val="center"/>
              <w:rPr>
                <w:b/>
                <w:bCs/>
                <w:sz w:val="20"/>
                <w:szCs w:val="20"/>
                <w:lang w:val="fr-CA" w:eastAsia="en-CA"/>
              </w:rPr>
            </w:pPr>
            <w:r w:rsidRPr="008724B9">
              <w:rPr>
                <w:b/>
                <w:sz w:val="20"/>
                <w:szCs w:val="20"/>
                <w:lang w:val="fr-CA"/>
              </w:rPr>
              <w:t>92</w:t>
            </w:r>
            <w:r w:rsidRPr="008724B9">
              <w:rPr>
                <w:b/>
                <w:sz w:val="20"/>
                <w:szCs w:val="20"/>
                <w:vertAlign w:val="superscript"/>
                <w:lang w:val="fr-CA"/>
              </w:rPr>
              <w:t>e</w:t>
            </w:r>
            <w:r w:rsidRPr="008724B9">
              <w:rPr>
                <w:b/>
                <w:sz w:val="20"/>
                <w:szCs w:val="20"/>
                <w:lang w:val="fr-CA"/>
              </w:rPr>
              <w:t xml:space="preserve"> réunion</w:t>
            </w:r>
          </w:p>
        </w:tc>
        <w:tc>
          <w:tcPr>
            <w:tcW w:w="3060" w:type="dxa"/>
            <w:tcBorders>
              <w:top w:val="single" w:sz="4" w:space="0" w:color="auto"/>
              <w:left w:val="nil"/>
              <w:bottom w:val="single" w:sz="4" w:space="0" w:color="auto"/>
              <w:right w:val="single" w:sz="4" w:space="0" w:color="auto"/>
            </w:tcBorders>
            <w:shd w:val="clear" w:color="auto" w:fill="auto"/>
            <w:hideMark/>
          </w:tcPr>
          <w:p w14:paraId="38C0DFC5" w14:textId="77777777" w:rsidR="00D27AB2" w:rsidRPr="008724B9" w:rsidRDefault="00D27AB2" w:rsidP="00AF54D2">
            <w:pPr>
              <w:jc w:val="center"/>
              <w:rPr>
                <w:b/>
                <w:bCs/>
                <w:sz w:val="20"/>
                <w:szCs w:val="20"/>
                <w:lang w:val="fr-CA" w:eastAsia="en-CA"/>
              </w:rPr>
            </w:pPr>
            <w:r w:rsidRPr="008724B9">
              <w:rPr>
                <w:b/>
                <w:sz w:val="20"/>
                <w:szCs w:val="20"/>
                <w:lang w:val="fr-CA"/>
              </w:rPr>
              <w:t>93</w:t>
            </w:r>
            <w:r w:rsidRPr="008724B9">
              <w:rPr>
                <w:b/>
                <w:sz w:val="20"/>
                <w:szCs w:val="20"/>
                <w:vertAlign w:val="superscript"/>
                <w:lang w:val="fr-CA"/>
              </w:rPr>
              <w:t>e</w:t>
            </w:r>
            <w:r w:rsidRPr="008724B9">
              <w:rPr>
                <w:b/>
                <w:sz w:val="20"/>
                <w:szCs w:val="20"/>
                <w:lang w:val="fr-CA"/>
              </w:rPr>
              <w:t xml:space="preserve"> réunion</w:t>
            </w:r>
          </w:p>
        </w:tc>
        <w:tc>
          <w:tcPr>
            <w:tcW w:w="3131" w:type="dxa"/>
            <w:tcBorders>
              <w:top w:val="single" w:sz="4" w:space="0" w:color="auto"/>
              <w:left w:val="nil"/>
              <w:bottom w:val="single" w:sz="4" w:space="0" w:color="auto"/>
              <w:right w:val="single" w:sz="4" w:space="0" w:color="auto"/>
            </w:tcBorders>
            <w:shd w:val="clear" w:color="auto" w:fill="auto"/>
            <w:hideMark/>
          </w:tcPr>
          <w:p w14:paraId="5A556B19" w14:textId="77777777" w:rsidR="00D27AB2" w:rsidRPr="008724B9" w:rsidRDefault="00D27AB2" w:rsidP="00AF54D2">
            <w:pPr>
              <w:jc w:val="center"/>
              <w:rPr>
                <w:b/>
                <w:bCs/>
                <w:sz w:val="20"/>
                <w:szCs w:val="20"/>
                <w:lang w:val="fr-CA" w:eastAsia="en-CA"/>
              </w:rPr>
            </w:pPr>
            <w:r w:rsidRPr="008724B9">
              <w:rPr>
                <w:b/>
                <w:sz w:val="20"/>
                <w:szCs w:val="20"/>
                <w:lang w:val="fr-CA"/>
              </w:rPr>
              <w:t>2024</w:t>
            </w:r>
          </w:p>
        </w:tc>
      </w:tr>
      <w:tr w:rsidR="00D27AB2" w:rsidRPr="00DF71B7" w14:paraId="4BB2C06F" w14:textId="77777777" w:rsidTr="006D0FBA">
        <w:trPr>
          <w:trHeight w:val="54"/>
        </w:trPr>
        <w:tc>
          <w:tcPr>
            <w:tcW w:w="3415" w:type="dxa"/>
            <w:tcBorders>
              <w:top w:val="nil"/>
              <w:left w:val="single" w:sz="4" w:space="0" w:color="auto"/>
              <w:bottom w:val="single" w:sz="4" w:space="0" w:color="auto"/>
              <w:right w:val="single" w:sz="4" w:space="0" w:color="auto"/>
            </w:tcBorders>
            <w:shd w:val="clear" w:color="auto" w:fill="auto"/>
            <w:hideMark/>
          </w:tcPr>
          <w:p w14:paraId="380593D9" w14:textId="77777777" w:rsidR="00D27AB2" w:rsidRPr="008724B9" w:rsidRDefault="00D27AB2" w:rsidP="00AF54D2">
            <w:pPr>
              <w:jc w:val="left"/>
              <w:rPr>
                <w:sz w:val="20"/>
                <w:szCs w:val="20"/>
                <w:lang w:val="fr-CA" w:eastAsia="en-CA"/>
              </w:rPr>
            </w:pPr>
            <w:r w:rsidRPr="008724B9">
              <w:rPr>
                <w:sz w:val="20"/>
                <w:szCs w:val="20"/>
                <w:lang w:val="fr-CA"/>
              </w:rPr>
              <w:t>Rapport global d’achèvement de projet de 2023 : première partie</w:t>
            </w:r>
          </w:p>
        </w:tc>
        <w:tc>
          <w:tcPr>
            <w:tcW w:w="3060" w:type="dxa"/>
            <w:tcBorders>
              <w:top w:val="nil"/>
              <w:left w:val="nil"/>
              <w:bottom w:val="single" w:sz="4" w:space="0" w:color="auto"/>
              <w:right w:val="single" w:sz="4" w:space="0" w:color="auto"/>
            </w:tcBorders>
            <w:shd w:val="clear" w:color="auto" w:fill="auto"/>
            <w:hideMark/>
          </w:tcPr>
          <w:p w14:paraId="4905BF27" w14:textId="77777777" w:rsidR="00D27AB2" w:rsidRPr="008724B9" w:rsidRDefault="00D27AB2" w:rsidP="00AF54D2">
            <w:pPr>
              <w:jc w:val="left"/>
              <w:rPr>
                <w:sz w:val="20"/>
                <w:szCs w:val="20"/>
                <w:lang w:val="fr-CA" w:eastAsia="en-CA"/>
              </w:rPr>
            </w:pPr>
            <w:r w:rsidRPr="008724B9">
              <w:rPr>
                <w:sz w:val="20"/>
                <w:szCs w:val="20"/>
                <w:lang w:val="fr-CA"/>
              </w:rPr>
              <w:t>Rapport global d’achèvement de projet de 2023 : deuxième partie</w:t>
            </w:r>
          </w:p>
        </w:tc>
        <w:tc>
          <w:tcPr>
            <w:tcW w:w="3131" w:type="dxa"/>
            <w:tcBorders>
              <w:top w:val="nil"/>
              <w:left w:val="nil"/>
              <w:bottom w:val="single" w:sz="4" w:space="0" w:color="auto"/>
              <w:right w:val="single" w:sz="4" w:space="0" w:color="auto"/>
            </w:tcBorders>
            <w:shd w:val="clear" w:color="auto" w:fill="auto"/>
            <w:noWrap/>
          </w:tcPr>
          <w:p w14:paraId="7C831467" w14:textId="77777777" w:rsidR="00D27AB2" w:rsidRPr="008724B9" w:rsidRDefault="00D27AB2" w:rsidP="00AF54D2">
            <w:pPr>
              <w:jc w:val="left"/>
              <w:rPr>
                <w:sz w:val="20"/>
                <w:szCs w:val="20"/>
                <w:lang w:val="fr-CA" w:eastAsia="en-CA"/>
              </w:rPr>
            </w:pPr>
            <w:r w:rsidRPr="008724B9">
              <w:rPr>
                <w:sz w:val="20"/>
                <w:szCs w:val="20"/>
                <w:lang w:val="fr-CA"/>
              </w:rPr>
              <w:t>Rapport global d’achèvement de projet (première et deuxième parties)</w:t>
            </w:r>
          </w:p>
        </w:tc>
      </w:tr>
      <w:tr w:rsidR="00D27AB2" w:rsidRPr="003306BC" w14:paraId="72E66915" w14:textId="77777777" w:rsidTr="006D0FBA">
        <w:trPr>
          <w:trHeight w:val="647"/>
        </w:trPr>
        <w:tc>
          <w:tcPr>
            <w:tcW w:w="3415" w:type="dxa"/>
            <w:tcBorders>
              <w:top w:val="nil"/>
              <w:left w:val="single" w:sz="4" w:space="0" w:color="auto"/>
              <w:bottom w:val="single" w:sz="4" w:space="0" w:color="auto"/>
              <w:right w:val="single" w:sz="4" w:space="0" w:color="auto"/>
            </w:tcBorders>
            <w:shd w:val="clear" w:color="auto" w:fill="auto"/>
            <w:hideMark/>
          </w:tcPr>
          <w:p w14:paraId="238D3679" w14:textId="77777777" w:rsidR="00D27AB2" w:rsidRPr="008724B9" w:rsidRDefault="00D27AB2" w:rsidP="00AF54D2">
            <w:pPr>
              <w:jc w:val="left"/>
              <w:rPr>
                <w:sz w:val="20"/>
                <w:szCs w:val="20"/>
                <w:lang w:val="fr-CA" w:eastAsia="en-CA"/>
              </w:rPr>
            </w:pPr>
            <w:r w:rsidRPr="008724B9">
              <w:rPr>
                <w:sz w:val="20"/>
                <w:szCs w:val="20"/>
                <w:lang w:val="fr-CA"/>
              </w:rPr>
              <w:t xml:space="preserve">Évaluation finale des réseaux régionaux </w:t>
            </w:r>
            <w:r>
              <w:rPr>
                <w:sz w:val="20"/>
                <w:szCs w:val="20"/>
                <w:lang w:val="fr-CA"/>
              </w:rPr>
              <w:t>d’administrateurs des b</w:t>
            </w:r>
            <w:r w:rsidRPr="008724B9">
              <w:rPr>
                <w:sz w:val="20"/>
                <w:szCs w:val="20"/>
                <w:lang w:val="fr-CA"/>
              </w:rPr>
              <w:t>ureaux nationaux de l’ozone</w:t>
            </w:r>
          </w:p>
        </w:tc>
        <w:tc>
          <w:tcPr>
            <w:tcW w:w="3060" w:type="dxa"/>
            <w:tcBorders>
              <w:top w:val="nil"/>
              <w:left w:val="nil"/>
              <w:bottom w:val="single" w:sz="4" w:space="0" w:color="auto"/>
              <w:right w:val="single" w:sz="4" w:space="0" w:color="auto"/>
            </w:tcBorders>
            <w:shd w:val="clear" w:color="auto" w:fill="auto"/>
            <w:noWrap/>
            <w:hideMark/>
          </w:tcPr>
          <w:p w14:paraId="7B6F72C1" w14:textId="77777777" w:rsidR="00D27AB2" w:rsidRPr="008724B9" w:rsidRDefault="00D27AB2" w:rsidP="00AF54D2">
            <w:pPr>
              <w:jc w:val="left"/>
              <w:rPr>
                <w:sz w:val="20"/>
                <w:szCs w:val="20"/>
                <w:lang w:val="fr-CA" w:eastAsia="en-CA"/>
              </w:rPr>
            </w:pPr>
            <w:r w:rsidRPr="008724B9">
              <w:rPr>
                <w:iCs/>
                <w:sz w:val="20"/>
                <w:szCs w:val="20"/>
                <w:lang w:val="fr-CA"/>
              </w:rPr>
              <w:t xml:space="preserve">Mise à jour </w:t>
            </w:r>
            <w:r>
              <w:rPr>
                <w:iCs/>
                <w:sz w:val="20"/>
                <w:szCs w:val="20"/>
                <w:lang w:val="fr-CA"/>
              </w:rPr>
              <w:t>(ou examen final) de la révision interne des RAP</w:t>
            </w:r>
          </w:p>
        </w:tc>
        <w:tc>
          <w:tcPr>
            <w:tcW w:w="3131" w:type="dxa"/>
            <w:tcBorders>
              <w:top w:val="nil"/>
              <w:left w:val="nil"/>
              <w:bottom w:val="single" w:sz="4" w:space="0" w:color="auto"/>
              <w:right w:val="single" w:sz="4" w:space="0" w:color="auto"/>
            </w:tcBorders>
            <w:shd w:val="clear" w:color="auto" w:fill="auto"/>
            <w:noWrap/>
          </w:tcPr>
          <w:p w14:paraId="7D925C28" w14:textId="77777777" w:rsidR="00D27AB2" w:rsidRPr="008724B9" w:rsidRDefault="00D27AB2" w:rsidP="00AF54D2">
            <w:pPr>
              <w:jc w:val="left"/>
              <w:rPr>
                <w:sz w:val="20"/>
                <w:szCs w:val="20"/>
                <w:lang w:val="fr-CA" w:eastAsia="en-CA"/>
              </w:rPr>
            </w:pPr>
            <w:r>
              <w:rPr>
                <w:sz w:val="20"/>
                <w:szCs w:val="20"/>
                <w:lang w:val="fr-CA"/>
              </w:rPr>
              <w:t>Révision finale des RAP</w:t>
            </w:r>
          </w:p>
        </w:tc>
      </w:tr>
      <w:tr w:rsidR="00D27AB2" w:rsidRPr="00DF71B7" w14:paraId="58A34E28" w14:textId="77777777" w:rsidTr="006D0FBA">
        <w:trPr>
          <w:trHeight w:val="103"/>
        </w:trPr>
        <w:tc>
          <w:tcPr>
            <w:tcW w:w="3415" w:type="dxa"/>
            <w:tcBorders>
              <w:top w:val="nil"/>
              <w:left w:val="single" w:sz="4" w:space="0" w:color="auto"/>
              <w:bottom w:val="single" w:sz="4" w:space="0" w:color="auto"/>
              <w:right w:val="single" w:sz="4" w:space="0" w:color="auto"/>
            </w:tcBorders>
            <w:shd w:val="clear" w:color="auto" w:fill="auto"/>
            <w:hideMark/>
          </w:tcPr>
          <w:p w14:paraId="0C5A42E4" w14:textId="77777777" w:rsidR="00D27AB2" w:rsidRPr="008724B9" w:rsidRDefault="00D27AB2" w:rsidP="00AF54D2">
            <w:pPr>
              <w:jc w:val="left"/>
              <w:rPr>
                <w:sz w:val="20"/>
                <w:szCs w:val="20"/>
                <w:lang w:val="fr-CA" w:eastAsia="en-CA"/>
              </w:rPr>
            </w:pPr>
            <w:r w:rsidRPr="008724B9">
              <w:rPr>
                <w:iCs/>
                <w:sz w:val="20"/>
                <w:szCs w:val="20"/>
                <w:lang w:val="fr-CA"/>
              </w:rPr>
              <w:t>Étude théorique des activités de facilitation de la réduction progressive des HFC</w:t>
            </w:r>
          </w:p>
        </w:tc>
        <w:tc>
          <w:tcPr>
            <w:tcW w:w="3060" w:type="dxa"/>
            <w:tcBorders>
              <w:top w:val="nil"/>
              <w:left w:val="nil"/>
              <w:bottom w:val="single" w:sz="4" w:space="0" w:color="auto"/>
              <w:right w:val="single" w:sz="4" w:space="0" w:color="auto"/>
            </w:tcBorders>
            <w:shd w:val="clear" w:color="auto" w:fill="auto"/>
            <w:noWrap/>
            <w:hideMark/>
          </w:tcPr>
          <w:p w14:paraId="7DC4ECD5" w14:textId="77777777" w:rsidR="00D27AB2" w:rsidRPr="008724B9" w:rsidRDefault="00D27AB2" w:rsidP="00AF54D2">
            <w:pPr>
              <w:jc w:val="left"/>
              <w:rPr>
                <w:sz w:val="20"/>
                <w:szCs w:val="20"/>
                <w:lang w:val="fr-CA" w:eastAsia="en-CA"/>
              </w:rPr>
            </w:pPr>
            <w:r w:rsidRPr="008724B9">
              <w:rPr>
                <w:sz w:val="20"/>
                <w:szCs w:val="20"/>
                <w:lang w:val="fr-CA"/>
              </w:rPr>
              <w:t>Mise à jour sur l</w:t>
            </w:r>
            <w:r>
              <w:rPr>
                <w:sz w:val="20"/>
                <w:szCs w:val="20"/>
                <w:lang w:val="fr-CA"/>
              </w:rPr>
              <w:t xml:space="preserve">es progrès de </w:t>
            </w:r>
            <w:r w:rsidRPr="008724B9">
              <w:rPr>
                <w:sz w:val="20"/>
                <w:szCs w:val="20"/>
                <w:lang w:val="fr-CA"/>
              </w:rPr>
              <w:t>l’évaluation indépendante de la fonction d’évaluation du F</w:t>
            </w:r>
            <w:r>
              <w:rPr>
                <w:sz w:val="20"/>
                <w:szCs w:val="20"/>
                <w:lang w:val="fr-CA"/>
              </w:rPr>
              <w:t>ML</w:t>
            </w:r>
          </w:p>
        </w:tc>
        <w:tc>
          <w:tcPr>
            <w:tcW w:w="3131" w:type="dxa"/>
            <w:tcBorders>
              <w:top w:val="nil"/>
              <w:left w:val="nil"/>
              <w:bottom w:val="single" w:sz="4" w:space="0" w:color="auto"/>
              <w:right w:val="single" w:sz="4" w:space="0" w:color="auto"/>
            </w:tcBorders>
            <w:shd w:val="clear" w:color="auto" w:fill="auto"/>
            <w:noWrap/>
          </w:tcPr>
          <w:p w14:paraId="06BE9694" w14:textId="77777777" w:rsidR="00D27AB2" w:rsidRPr="008724B9" w:rsidRDefault="00D27AB2" w:rsidP="00AF54D2">
            <w:pPr>
              <w:jc w:val="left"/>
              <w:rPr>
                <w:sz w:val="20"/>
                <w:szCs w:val="20"/>
                <w:lang w:val="fr-CA" w:eastAsia="en-CA"/>
              </w:rPr>
            </w:pPr>
            <w:r w:rsidRPr="008724B9">
              <w:rPr>
                <w:sz w:val="20"/>
                <w:szCs w:val="20"/>
                <w:lang w:val="fr-CA"/>
              </w:rPr>
              <w:t>Rapport final sur l’évaluation indépendante de la fonction d’évaluation du F</w:t>
            </w:r>
            <w:r>
              <w:rPr>
                <w:sz w:val="20"/>
                <w:szCs w:val="20"/>
                <w:lang w:val="fr-CA"/>
              </w:rPr>
              <w:t>ML</w:t>
            </w:r>
          </w:p>
        </w:tc>
      </w:tr>
      <w:tr w:rsidR="00D27AB2" w:rsidRPr="00DF71B7" w14:paraId="28873230" w14:textId="77777777" w:rsidTr="006D0FBA">
        <w:trPr>
          <w:trHeight w:val="135"/>
        </w:trPr>
        <w:tc>
          <w:tcPr>
            <w:tcW w:w="3415" w:type="dxa"/>
            <w:tcBorders>
              <w:top w:val="nil"/>
              <w:left w:val="single" w:sz="4" w:space="0" w:color="auto"/>
              <w:bottom w:val="single" w:sz="4" w:space="0" w:color="auto"/>
              <w:right w:val="single" w:sz="4" w:space="0" w:color="auto"/>
            </w:tcBorders>
            <w:shd w:val="clear" w:color="auto" w:fill="auto"/>
            <w:hideMark/>
          </w:tcPr>
          <w:p w14:paraId="0BFA3CAF" w14:textId="77777777" w:rsidR="00D27AB2" w:rsidRPr="008724B9" w:rsidRDefault="00D27AB2" w:rsidP="00AF54D2">
            <w:pPr>
              <w:jc w:val="left"/>
              <w:rPr>
                <w:sz w:val="20"/>
                <w:szCs w:val="20"/>
                <w:lang w:val="fr-CA" w:eastAsia="en-CA"/>
              </w:rPr>
            </w:pPr>
            <w:r w:rsidRPr="008724B9">
              <w:rPr>
                <w:sz w:val="20"/>
                <w:szCs w:val="20"/>
                <w:lang w:val="fr-CA"/>
              </w:rPr>
              <w:t>M</w:t>
            </w:r>
            <w:r>
              <w:rPr>
                <w:sz w:val="20"/>
                <w:szCs w:val="20"/>
                <w:lang w:val="fr-CA"/>
              </w:rPr>
              <w:t xml:space="preserve">andat d’une </w:t>
            </w:r>
            <w:r w:rsidRPr="008724B9">
              <w:rPr>
                <w:sz w:val="20"/>
                <w:szCs w:val="20"/>
                <w:lang w:val="fr-CA"/>
              </w:rPr>
              <w:t>évaluation indépendante de la fonction d’évaluation</w:t>
            </w:r>
            <w:r>
              <w:rPr>
                <w:sz w:val="20"/>
                <w:szCs w:val="20"/>
                <w:lang w:val="fr-CA"/>
              </w:rPr>
              <w:t xml:space="preserve"> du FML</w:t>
            </w:r>
          </w:p>
        </w:tc>
        <w:tc>
          <w:tcPr>
            <w:tcW w:w="3060" w:type="dxa"/>
            <w:tcBorders>
              <w:top w:val="nil"/>
              <w:left w:val="nil"/>
              <w:bottom w:val="single" w:sz="4" w:space="0" w:color="auto"/>
              <w:right w:val="single" w:sz="4" w:space="0" w:color="auto"/>
            </w:tcBorders>
            <w:shd w:val="clear" w:color="auto" w:fill="auto"/>
            <w:noWrap/>
            <w:hideMark/>
          </w:tcPr>
          <w:p w14:paraId="19F6CB7C" w14:textId="77777777" w:rsidR="00D27AB2" w:rsidRPr="008724B9" w:rsidRDefault="00D27AB2" w:rsidP="00AF54D2">
            <w:pPr>
              <w:jc w:val="left"/>
              <w:rPr>
                <w:sz w:val="20"/>
                <w:szCs w:val="20"/>
                <w:lang w:val="fr-CA" w:eastAsia="en-CA"/>
              </w:rPr>
            </w:pPr>
            <w:r w:rsidRPr="008724B9">
              <w:rPr>
                <w:sz w:val="20"/>
                <w:szCs w:val="20"/>
                <w:lang w:val="fr-CA"/>
              </w:rPr>
              <w:t>Projet de programme de travail de suivi et évaluation pour 2024-2025 (modèle semestriel en essai)</w:t>
            </w:r>
          </w:p>
        </w:tc>
        <w:tc>
          <w:tcPr>
            <w:tcW w:w="3131" w:type="dxa"/>
            <w:tcBorders>
              <w:top w:val="nil"/>
              <w:left w:val="nil"/>
              <w:bottom w:val="single" w:sz="4" w:space="0" w:color="auto"/>
              <w:right w:val="single" w:sz="4" w:space="0" w:color="auto"/>
            </w:tcBorders>
            <w:shd w:val="clear" w:color="auto" w:fill="auto"/>
            <w:noWrap/>
          </w:tcPr>
          <w:p w14:paraId="2BE91995" w14:textId="77777777" w:rsidR="00D27AB2" w:rsidRPr="008724B9" w:rsidRDefault="00D27AB2" w:rsidP="00AF54D2">
            <w:pPr>
              <w:jc w:val="left"/>
              <w:rPr>
                <w:sz w:val="20"/>
                <w:szCs w:val="20"/>
                <w:lang w:val="fr-CA" w:eastAsia="en-CA"/>
              </w:rPr>
            </w:pPr>
            <w:r w:rsidRPr="008724B9">
              <w:rPr>
                <w:sz w:val="20"/>
                <w:szCs w:val="20"/>
                <w:lang w:val="fr-CA"/>
              </w:rPr>
              <w:t xml:space="preserve">Projet de rapport de </w:t>
            </w:r>
            <w:r>
              <w:rPr>
                <w:sz w:val="20"/>
                <w:szCs w:val="20"/>
                <w:lang w:val="fr-CA"/>
              </w:rPr>
              <w:t>2024 sur l</w:t>
            </w:r>
            <w:r w:rsidRPr="008724B9">
              <w:rPr>
                <w:sz w:val="20"/>
                <w:szCs w:val="20"/>
                <w:lang w:val="fr-CA"/>
              </w:rPr>
              <w:t xml:space="preserve">a première année de la mise en œuvre du programme de travail biennal de suivi et évaluation pour 2024-2025  </w:t>
            </w:r>
          </w:p>
        </w:tc>
      </w:tr>
      <w:tr w:rsidR="00D27AB2" w:rsidRPr="003306BC" w14:paraId="70F75082" w14:textId="77777777" w:rsidTr="006D0FBA">
        <w:trPr>
          <w:trHeight w:val="321"/>
        </w:trPr>
        <w:tc>
          <w:tcPr>
            <w:tcW w:w="3415" w:type="dxa"/>
            <w:tcBorders>
              <w:top w:val="nil"/>
              <w:left w:val="single" w:sz="4" w:space="0" w:color="auto"/>
              <w:bottom w:val="single" w:sz="4" w:space="0" w:color="auto"/>
              <w:right w:val="single" w:sz="4" w:space="0" w:color="auto"/>
            </w:tcBorders>
            <w:shd w:val="clear" w:color="auto" w:fill="auto"/>
            <w:hideMark/>
          </w:tcPr>
          <w:p w14:paraId="659D12BC" w14:textId="77777777" w:rsidR="00D27AB2" w:rsidRPr="008724B9" w:rsidRDefault="00D27AB2" w:rsidP="00AF54D2">
            <w:pPr>
              <w:jc w:val="left"/>
              <w:rPr>
                <w:b/>
                <w:bCs/>
                <w:sz w:val="20"/>
                <w:szCs w:val="20"/>
                <w:lang w:val="fr-CA" w:eastAsia="en-CA"/>
              </w:rPr>
            </w:pPr>
          </w:p>
        </w:tc>
        <w:tc>
          <w:tcPr>
            <w:tcW w:w="3060" w:type="dxa"/>
            <w:tcBorders>
              <w:top w:val="nil"/>
              <w:left w:val="nil"/>
              <w:bottom w:val="single" w:sz="4" w:space="0" w:color="auto"/>
              <w:right w:val="single" w:sz="4" w:space="0" w:color="auto"/>
            </w:tcBorders>
            <w:shd w:val="clear" w:color="auto" w:fill="auto"/>
            <w:hideMark/>
          </w:tcPr>
          <w:p w14:paraId="55E49215" w14:textId="77777777" w:rsidR="00D27AB2" w:rsidRPr="00E65224" w:rsidRDefault="00D27AB2" w:rsidP="00AF54D2">
            <w:pPr>
              <w:jc w:val="left"/>
              <w:rPr>
                <w:sz w:val="20"/>
                <w:szCs w:val="20"/>
                <w:lang w:val="fr-CA" w:eastAsia="en-CA"/>
              </w:rPr>
            </w:pPr>
            <w:r>
              <w:rPr>
                <w:sz w:val="20"/>
                <w:szCs w:val="20"/>
                <w:lang w:val="fr-CA" w:eastAsia="en-CA"/>
              </w:rPr>
              <w:t>Mandat de l’évaluation du Programme d’aide à la conformité (PAC)</w:t>
            </w:r>
          </w:p>
        </w:tc>
        <w:tc>
          <w:tcPr>
            <w:tcW w:w="3131" w:type="dxa"/>
            <w:tcBorders>
              <w:top w:val="nil"/>
              <w:left w:val="nil"/>
              <w:bottom w:val="single" w:sz="4" w:space="0" w:color="auto"/>
              <w:right w:val="single" w:sz="4" w:space="0" w:color="auto"/>
            </w:tcBorders>
            <w:shd w:val="clear" w:color="auto" w:fill="auto"/>
            <w:hideMark/>
          </w:tcPr>
          <w:p w14:paraId="3CC51D06" w14:textId="77777777" w:rsidR="00D27AB2" w:rsidRPr="00E65224" w:rsidRDefault="00D27AB2" w:rsidP="00AF54D2">
            <w:pPr>
              <w:jc w:val="left"/>
              <w:rPr>
                <w:sz w:val="20"/>
                <w:szCs w:val="20"/>
                <w:lang w:val="fr-CA" w:eastAsia="en-CA"/>
              </w:rPr>
            </w:pPr>
            <w:r w:rsidRPr="00E65224">
              <w:rPr>
                <w:sz w:val="20"/>
                <w:szCs w:val="20"/>
                <w:lang w:val="fr-CA" w:eastAsia="en-CA"/>
              </w:rPr>
              <w:t>Évaluation du PAC</w:t>
            </w:r>
          </w:p>
        </w:tc>
      </w:tr>
    </w:tbl>
    <w:p w14:paraId="4021F004" w14:textId="77777777" w:rsidR="00D27AB2" w:rsidRPr="008724B9" w:rsidRDefault="00D27AB2" w:rsidP="00D27AB2">
      <w:pPr>
        <w:keepNext/>
        <w:keepLines/>
        <w:spacing w:after="240"/>
        <w:rPr>
          <w:b/>
          <w:lang w:val="fr-CA"/>
        </w:rPr>
      </w:pPr>
      <w:r w:rsidRPr="008724B9">
        <w:rPr>
          <w:b/>
          <w:lang w:val="fr-CA"/>
        </w:rPr>
        <w:lastRenderedPageBreak/>
        <w:t>Budget</w:t>
      </w:r>
    </w:p>
    <w:p w14:paraId="7101A4B7" w14:textId="77777777" w:rsidR="00D27AB2" w:rsidRPr="008724B9" w:rsidRDefault="00D27AB2" w:rsidP="00AF54D2">
      <w:pPr>
        <w:pStyle w:val="Heading1"/>
        <w:numPr>
          <w:ilvl w:val="0"/>
          <w:numId w:val="43"/>
        </w:numPr>
        <w:tabs>
          <w:tab w:val="num" w:pos="0"/>
          <w:tab w:val="num" w:pos="810"/>
        </w:tabs>
        <w:ind w:left="0" w:firstLine="0"/>
        <w:rPr>
          <w:lang w:val="fr-CA"/>
        </w:rPr>
      </w:pPr>
      <w:r w:rsidRPr="008724B9">
        <w:rPr>
          <w:lang w:val="fr-CA"/>
        </w:rPr>
        <w:t xml:space="preserve">L’Administratrice principale, Suivi et évaluation a connu le pour et le contre de la pratique actuelle d’établir un budget annuel pour la mise </w:t>
      </w:r>
      <w:r>
        <w:rPr>
          <w:lang w:val="fr-CA"/>
        </w:rPr>
        <w:t>en</w:t>
      </w:r>
      <w:r w:rsidRPr="008724B9">
        <w:rPr>
          <w:lang w:val="fr-CA"/>
        </w:rPr>
        <w:t xml:space="preserve"> œuvre du programme de travail et elle aimerait proposer un changement dans l’échéancier du budget d’évaluation, à titre d’essai. La pratique actuelle consiste à approuver un budget </w:t>
      </w:r>
      <w:r>
        <w:rPr>
          <w:lang w:val="fr-CA"/>
        </w:rPr>
        <w:t>très détaillé dont l’exécution s’étend sur</w:t>
      </w:r>
      <w:r w:rsidRPr="008724B9">
        <w:rPr>
          <w:lang w:val="fr-CA"/>
        </w:rPr>
        <w:t xml:space="preserve"> un horizon très limité d’un an.</w:t>
      </w:r>
    </w:p>
    <w:p w14:paraId="6718E375" w14:textId="77777777" w:rsidR="00D27AB2" w:rsidRPr="008724B9" w:rsidRDefault="00D27AB2" w:rsidP="00AF54D2">
      <w:pPr>
        <w:pStyle w:val="Heading1"/>
        <w:numPr>
          <w:ilvl w:val="0"/>
          <w:numId w:val="43"/>
        </w:numPr>
        <w:tabs>
          <w:tab w:val="num" w:pos="0"/>
          <w:tab w:val="num" w:pos="810"/>
        </w:tabs>
        <w:ind w:left="0" w:firstLine="0"/>
        <w:rPr>
          <w:lang w:val="fr-CA"/>
        </w:rPr>
      </w:pPr>
      <w:r w:rsidRPr="008724B9">
        <w:rPr>
          <w:lang w:val="fr-CA"/>
        </w:rPr>
        <w:t xml:space="preserve">L’approche actuelle a l’avantage de pouvoir prévoir l’utilisation des ressources approuvées. </w:t>
      </w:r>
      <w:proofErr w:type="gramStart"/>
      <w:r w:rsidRPr="008724B9">
        <w:rPr>
          <w:lang w:val="fr-CA"/>
        </w:rPr>
        <w:t>Par contre</w:t>
      </w:r>
      <w:proofErr w:type="gramEnd"/>
      <w:r w:rsidRPr="008724B9">
        <w:rPr>
          <w:lang w:val="fr-CA"/>
        </w:rPr>
        <w:t xml:space="preserve">, </w:t>
      </w:r>
      <w:r>
        <w:rPr>
          <w:lang w:val="fr-CA"/>
        </w:rPr>
        <w:t>elle devient</w:t>
      </w:r>
      <w:r w:rsidRPr="008724B9">
        <w:rPr>
          <w:lang w:val="fr-CA"/>
        </w:rPr>
        <w:t xml:space="preserve"> plus difficile lorsque certains éléments doivent être peaufinés, tels que la définition exacte de la portée et de la couverture d’une évaluation pour laquelle le mandat n’a pas encore été élaboré ni approuvé à la première réunion de l’année. Les ressources nécessaires dépendent de la portée finale approuvée par le Comité exécutif, une décision prise après l’approbation du budget annuel.</w:t>
      </w:r>
    </w:p>
    <w:p w14:paraId="40DAFDC2" w14:textId="77777777" w:rsidR="00D27AB2" w:rsidRPr="008724B9" w:rsidRDefault="00D27AB2" w:rsidP="00AF54D2">
      <w:pPr>
        <w:pStyle w:val="Heading1"/>
        <w:numPr>
          <w:ilvl w:val="0"/>
          <w:numId w:val="43"/>
        </w:numPr>
        <w:tabs>
          <w:tab w:val="num" w:pos="0"/>
          <w:tab w:val="num" w:pos="810"/>
        </w:tabs>
        <w:ind w:left="0" w:firstLine="0"/>
        <w:rPr>
          <w:lang w:val="fr-CA"/>
        </w:rPr>
      </w:pPr>
      <w:r w:rsidRPr="008724B9">
        <w:rPr>
          <w:lang w:val="fr-CA"/>
        </w:rPr>
        <w:t>Les ressources pour les études théoriques ont été approuvées à un rythme stable au co</w:t>
      </w:r>
      <w:r>
        <w:rPr>
          <w:lang w:val="fr-CA"/>
        </w:rPr>
        <w:t>urs de la dernière décennie, à</w:t>
      </w:r>
      <w:r w:rsidRPr="008724B9">
        <w:rPr>
          <w:lang w:val="fr-CA"/>
        </w:rPr>
        <w:t xml:space="preserve"> 15 000 $US par étude. Les honoraires dépendraient davantage des qualités des experts et de la description exacte des travaux </w:t>
      </w:r>
      <w:r>
        <w:rPr>
          <w:lang w:val="fr-CA"/>
        </w:rPr>
        <w:t>au lieu d’être</w:t>
      </w:r>
      <w:r w:rsidRPr="008724B9">
        <w:rPr>
          <w:lang w:val="fr-CA"/>
        </w:rPr>
        <w:t xml:space="preserve"> une rémunération fixe qui n’a rien à voir avec les exigences et les tâches des </w:t>
      </w:r>
      <w:r>
        <w:rPr>
          <w:lang w:val="fr-CA"/>
        </w:rPr>
        <w:t>consultations</w:t>
      </w:r>
      <w:r w:rsidRPr="008724B9">
        <w:rPr>
          <w:lang w:val="fr-CA"/>
        </w:rPr>
        <w:t>.</w:t>
      </w:r>
    </w:p>
    <w:p w14:paraId="2C45D7CA" w14:textId="6EC2697D" w:rsidR="00D27AB2" w:rsidRDefault="00D27AB2" w:rsidP="00AF54D2">
      <w:pPr>
        <w:pStyle w:val="Heading1"/>
        <w:numPr>
          <w:ilvl w:val="0"/>
          <w:numId w:val="43"/>
        </w:numPr>
        <w:tabs>
          <w:tab w:val="num" w:pos="0"/>
          <w:tab w:val="num" w:pos="810"/>
        </w:tabs>
        <w:ind w:left="0" w:firstLine="0"/>
        <w:rPr>
          <w:lang w:val="fr-CA"/>
        </w:rPr>
      </w:pPr>
      <w:r w:rsidRPr="008724B9">
        <w:rPr>
          <w:lang w:val="fr-CA"/>
        </w:rPr>
        <w:t xml:space="preserve">L’Administratrice principale, Suivi et évaluation constate également que le budget du Fonds est approuvé sur trois ans. </w:t>
      </w:r>
      <w:r>
        <w:rPr>
          <w:lang w:val="fr-CA"/>
        </w:rPr>
        <w:t xml:space="preserve">Il serait pertinent d’avoir un cycle semblable pour le budget de suivi et évaluation. </w:t>
      </w:r>
      <w:r w:rsidRPr="008724B9">
        <w:rPr>
          <w:lang w:val="fr-CA"/>
        </w:rPr>
        <w:t>L’Administratrice principale, Suivi et évaluation fera</w:t>
      </w:r>
      <w:r>
        <w:rPr>
          <w:lang w:val="fr-CA"/>
        </w:rPr>
        <w:t>it</w:t>
      </w:r>
      <w:r w:rsidRPr="008724B9">
        <w:rPr>
          <w:lang w:val="fr-CA"/>
        </w:rPr>
        <w:t xml:space="preserve"> rapport sur l’utilisation des ressources chaque année et aurait la responsabilité de veiller à ce qu’elles correspondent </w:t>
      </w:r>
      <w:r>
        <w:rPr>
          <w:lang w:val="fr-CA"/>
        </w:rPr>
        <w:t xml:space="preserve">au </w:t>
      </w:r>
      <w:r w:rsidRPr="008724B9">
        <w:rPr>
          <w:lang w:val="fr-CA"/>
        </w:rPr>
        <w:t xml:space="preserve">programme de travail prévu. </w:t>
      </w:r>
      <w:r>
        <w:rPr>
          <w:lang w:val="fr-CA"/>
        </w:rPr>
        <w:t>U</w:t>
      </w:r>
      <w:r w:rsidRPr="008724B9">
        <w:rPr>
          <w:lang w:val="fr-CA"/>
        </w:rPr>
        <w:t xml:space="preserve">n cycle budgétaire triennal (ou biennal) éviterait </w:t>
      </w:r>
      <w:r>
        <w:rPr>
          <w:lang w:val="fr-CA"/>
        </w:rPr>
        <w:t xml:space="preserve">toutefois </w:t>
      </w:r>
      <w:r w:rsidRPr="008724B9">
        <w:rPr>
          <w:lang w:val="fr-CA"/>
        </w:rPr>
        <w:t>le fardeau de fer</w:t>
      </w:r>
      <w:r>
        <w:rPr>
          <w:lang w:val="fr-CA"/>
        </w:rPr>
        <w:t>mer</w:t>
      </w:r>
      <w:r w:rsidRPr="008724B9">
        <w:rPr>
          <w:lang w:val="fr-CA"/>
        </w:rPr>
        <w:t xml:space="preserve"> et de rouvrir le budget chaque année, surtout lorsque la plupart des évaluations chevauchent deux années.</w:t>
      </w:r>
    </w:p>
    <w:p w14:paraId="3355DA05" w14:textId="13F028DF" w:rsidR="00AF54D2" w:rsidRPr="00AF54D2" w:rsidRDefault="002366D4" w:rsidP="002366D4">
      <w:pPr>
        <w:pStyle w:val="ListParagraph"/>
        <w:numPr>
          <w:ilvl w:val="0"/>
          <w:numId w:val="43"/>
        </w:numPr>
        <w:ind w:left="0" w:firstLine="0"/>
        <w:rPr>
          <w:lang w:val="fr-CA"/>
        </w:rPr>
      </w:pPr>
      <w:r w:rsidRPr="002366D4">
        <w:rPr>
          <w:lang w:val="fr-CA"/>
        </w:rPr>
        <w:t>Le tableau 2 présente de manière agrégée l'état des dépenses et des soldes du budget pour l'année 2022 :</w:t>
      </w:r>
    </w:p>
    <w:p w14:paraId="7FD3787E" w14:textId="77777777" w:rsidR="00AF54D2" w:rsidRPr="00AF54D2" w:rsidRDefault="00AF54D2" w:rsidP="00AF54D2">
      <w:pPr>
        <w:rPr>
          <w:lang w:val="fr-CA"/>
        </w:rPr>
      </w:pPr>
    </w:p>
    <w:p w14:paraId="0E7431D5" w14:textId="77777777" w:rsidR="00D27AB2" w:rsidRPr="008724B9" w:rsidRDefault="00D27AB2" w:rsidP="00D27AB2">
      <w:pPr>
        <w:keepNext/>
        <w:tabs>
          <w:tab w:val="left" w:pos="8280"/>
        </w:tabs>
        <w:rPr>
          <w:b/>
          <w:lang w:val="fr-CA"/>
        </w:rPr>
      </w:pPr>
      <w:r w:rsidRPr="008724B9">
        <w:rPr>
          <w:b/>
          <w:lang w:val="fr-CA"/>
        </w:rPr>
        <w:t xml:space="preserve">Tableau 2. </w:t>
      </w:r>
      <w:r w:rsidRPr="008724B9">
        <w:rPr>
          <w:b/>
          <w:bCs/>
          <w:lang w:val="fr-CA"/>
        </w:rPr>
        <w:t>Sommaire des dépenses et des soldes par rapport au budget approuvé pour 2022*</w:t>
      </w:r>
    </w:p>
    <w:tbl>
      <w:tblPr>
        <w:tblW w:w="9493" w:type="dxa"/>
        <w:tblLayout w:type="fixed"/>
        <w:tblLook w:val="04A0" w:firstRow="1" w:lastRow="0" w:firstColumn="1" w:lastColumn="0" w:noHBand="0" w:noVBand="1"/>
      </w:tblPr>
      <w:tblGrid>
        <w:gridCol w:w="4243"/>
        <w:gridCol w:w="1750"/>
        <w:gridCol w:w="1697"/>
        <w:gridCol w:w="1803"/>
      </w:tblGrid>
      <w:tr w:rsidR="00D27AB2" w:rsidRPr="008724B9" w14:paraId="78B87240" w14:textId="77777777" w:rsidTr="009E502F">
        <w:trPr>
          <w:trHeight w:val="284"/>
          <w:tblHeader/>
        </w:trPr>
        <w:tc>
          <w:tcPr>
            <w:tcW w:w="4243" w:type="dxa"/>
            <w:tcBorders>
              <w:top w:val="single" w:sz="4" w:space="0" w:color="auto"/>
              <w:left w:val="single" w:sz="4" w:space="0" w:color="auto"/>
              <w:bottom w:val="single" w:sz="4" w:space="0" w:color="auto"/>
              <w:right w:val="single" w:sz="4" w:space="0" w:color="auto"/>
            </w:tcBorders>
            <w:shd w:val="clear" w:color="auto" w:fill="auto"/>
            <w:hideMark/>
          </w:tcPr>
          <w:p w14:paraId="1AA87CDE" w14:textId="77777777" w:rsidR="00D27AB2" w:rsidRPr="008724B9" w:rsidRDefault="00D27AB2" w:rsidP="006D0FBA">
            <w:pPr>
              <w:jc w:val="center"/>
              <w:rPr>
                <w:b/>
                <w:bCs/>
                <w:sz w:val="20"/>
                <w:szCs w:val="20"/>
                <w:lang w:val="fr-CA" w:eastAsia="en-CA"/>
              </w:rPr>
            </w:pPr>
            <w:r w:rsidRPr="008724B9">
              <w:rPr>
                <w:b/>
                <w:bCs/>
                <w:sz w:val="20"/>
                <w:szCs w:val="20"/>
                <w:lang w:val="fr-CA" w:eastAsia="en-CA"/>
              </w:rPr>
              <w:t>Activité/élément</w:t>
            </w:r>
          </w:p>
        </w:tc>
        <w:tc>
          <w:tcPr>
            <w:tcW w:w="1750" w:type="dxa"/>
            <w:tcBorders>
              <w:top w:val="single" w:sz="4" w:space="0" w:color="auto"/>
              <w:left w:val="nil"/>
              <w:bottom w:val="single" w:sz="4" w:space="0" w:color="auto"/>
              <w:right w:val="single" w:sz="4" w:space="0" w:color="auto"/>
            </w:tcBorders>
            <w:shd w:val="clear" w:color="auto" w:fill="auto"/>
            <w:hideMark/>
          </w:tcPr>
          <w:p w14:paraId="4CCB04DF" w14:textId="77777777" w:rsidR="00D27AB2" w:rsidRPr="008724B9" w:rsidRDefault="00D27AB2" w:rsidP="006D0FBA">
            <w:pPr>
              <w:jc w:val="center"/>
              <w:rPr>
                <w:b/>
                <w:bCs/>
                <w:sz w:val="20"/>
                <w:szCs w:val="20"/>
                <w:lang w:val="fr-CA" w:eastAsia="en-CA"/>
              </w:rPr>
            </w:pPr>
            <w:r w:rsidRPr="008724B9">
              <w:rPr>
                <w:b/>
                <w:bCs/>
                <w:sz w:val="20"/>
                <w:szCs w:val="20"/>
                <w:lang w:val="fr-CA"/>
              </w:rPr>
              <w:t>Budget approuvé</w:t>
            </w:r>
          </w:p>
        </w:tc>
        <w:tc>
          <w:tcPr>
            <w:tcW w:w="1697" w:type="dxa"/>
            <w:tcBorders>
              <w:top w:val="single" w:sz="4" w:space="0" w:color="auto"/>
              <w:left w:val="nil"/>
              <w:bottom w:val="single" w:sz="4" w:space="0" w:color="auto"/>
              <w:right w:val="single" w:sz="4" w:space="0" w:color="auto"/>
            </w:tcBorders>
            <w:shd w:val="clear" w:color="auto" w:fill="auto"/>
            <w:hideMark/>
          </w:tcPr>
          <w:p w14:paraId="2386D001" w14:textId="77777777" w:rsidR="00D27AB2" w:rsidRPr="008724B9" w:rsidRDefault="00D27AB2" w:rsidP="006D0FBA">
            <w:pPr>
              <w:jc w:val="center"/>
              <w:rPr>
                <w:b/>
                <w:bCs/>
                <w:sz w:val="20"/>
                <w:szCs w:val="20"/>
                <w:lang w:val="fr-CA" w:eastAsia="en-CA"/>
              </w:rPr>
            </w:pPr>
            <w:r w:rsidRPr="008724B9">
              <w:rPr>
                <w:b/>
                <w:bCs/>
                <w:sz w:val="20"/>
                <w:szCs w:val="20"/>
                <w:lang w:val="fr-CA"/>
              </w:rPr>
              <w:t>Dépensé ou engagé</w:t>
            </w:r>
          </w:p>
        </w:tc>
        <w:tc>
          <w:tcPr>
            <w:tcW w:w="1803" w:type="dxa"/>
            <w:tcBorders>
              <w:top w:val="single" w:sz="4" w:space="0" w:color="auto"/>
              <w:left w:val="nil"/>
              <w:bottom w:val="single" w:sz="4" w:space="0" w:color="auto"/>
              <w:right w:val="single" w:sz="4" w:space="0" w:color="auto"/>
            </w:tcBorders>
            <w:shd w:val="clear" w:color="auto" w:fill="auto"/>
            <w:hideMark/>
          </w:tcPr>
          <w:p w14:paraId="05E68CE9" w14:textId="77777777" w:rsidR="00D27AB2" w:rsidRPr="008724B9" w:rsidRDefault="00D27AB2" w:rsidP="006D0FBA">
            <w:pPr>
              <w:jc w:val="center"/>
              <w:rPr>
                <w:b/>
                <w:bCs/>
                <w:sz w:val="20"/>
                <w:szCs w:val="20"/>
                <w:lang w:val="fr-CA" w:eastAsia="en-CA"/>
              </w:rPr>
            </w:pPr>
            <w:r w:rsidRPr="008724B9">
              <w:rPr>
                <w:b/>
                <w:bCs/>
                <w:sz w:val="20"/>
                <w:szCs w:val="20"/>
                <w:lang w:val="fr-CA"/>
              </w:rPr>
              <w:t>Solde</w:t>
            </w:r>
          </w:p>
        </w:tc>
      </w:tr>
      <w:tr w:rsidR="00D27AB2" w:rsidRPr="008724B9" w14:paraId="0A492C6D" w14:textId="77777777" w:rsidTr="006D0FBA">
        <w:trPr>
          <w:trHeight w:val="54"/>
        </w:trPr>
        <w:tc>
          <w:tcPr>
            <w:tcW w:w="4243" w:type="dxa"/>
            <w:tcBorders>
              <w:top w:val="nil"/>
              <w:left w:val="single" w:sz="4" w:space="0" w:color="auto"/>
              <w:bottom w:val="single" w:sz="4" w:space="0" w:color="auto"/>
              <w:right w:val="single" w:sz="4" w:space="0" w:color="auto"/>
            </w:tcBorders>
            <w:shd w:val="clear" w:color="auto" w:fill="auto"/>
            <w:hideMark/>
          </w:tcPr>
          <w:p w14:paraId="5703F683" w14:textId="77777777" w:rsidR="00D27AB2" w:rsidRPr="008724B9" w:rsidRDefault="00D27AB2" w:rsidP="006D0FBA">
            <w:pPr>
              <w:jc w:val="left"/>
              <w:rPr>
                <w:sz w:val="20"/>
                <w:szCs w:val="20"/>
                <w:lang w:val="fr-CA"/>
              </w:rPr>
            </w:pPr>
            <w:r w:rsidRPr="008724B9">
              <w:rPr>
                <w:sz w:val="20"/>
                <w:szCs w:val="20"/>
                <w:lang w:val="fr-CA"/>
              </w:rPr>
              <w:t>Activité 1 : Étude théorique pour l’évaluation des projets de démonstration sur les solutions de remplacement à faible PRG pour les HCFC : consultations</w:t>
            </w:r>
          </w:p>
          <w:p w14:paraId="4E14E3C5" w14:textId="77777777" w:rsidR="00D27AB2" w:rsidRPr="008724B9" w:rsidRDefault="00D27AB2" w:rsidP="006D0FBA">
            <w:pPr>
              <w:rPr>
                <w:sz w:val="20"/>
                <w:szCs w:val="20"/>
                <w:lang w:val="fr-CA" w:eastAsia="en-CA"/>
              </w:rPr>
            </w:pPr>
          </w:p>
        </w:tc>
        <w:tc>
          <w:tcPr>
            <w:tcW w:w="1750" w:type="dxa"/>
            <w:tcBorders>
              <w:top w:val="nil"/>
              <w:left w:val="nil"/>
              <w:bottom w:val="single" w:sz="4" w:space="0" w:color="auto"/>
              <w:right w:val="single" w:sz="4" w:space="0" w:color="auto"/>
            </w:tcBorders>
            <w:shd w:val="clear" w:color="auto" w:fill="auto"/>
            <w:hideMark/>
          </w:tcPr>
          <w:p w14:paraId="1272D0CA" w14:textId="77777777" w:rsidR="00D27AB2" w:rsidRPr="008724B9" w:rsidRDefault="00D27AB2" w:rsidP="006D0FBA">
            <w:pPr>
              <w:jc w:val="right"/>
              <w:rPr>
                <w:sz w:val="20"/>
                <w:szCs w:val="20"/>
                <w:lang w:val="fr-CA" w:eastAsia="en-CA"/>
              </w:rPr>
            </w:pPr>
            <w:r w:rsidRPr="008724B9">
              <w:rPr>
                <w:sz w:val="20"/>
                <w:szCs w:val="20"/>
                <w:lang w:val="fr-CA"/>
              </w:rPr>
              <w:t>15 000</w:t>
            </w:r>
          </w:p>
        </w:tc>
        <w:tc>
          <w:tcPr>
            <w:tcW w:w="1697" w:type="dxa"/>
            <w:tcBorders>
              <w:top w:val="nil"/>
              <w:left w:val="nil"/>
              <w:bottom w:val="single" w:sz="4" w:space="0" w:color="auto"/>
              <w:right w:val="single" w:sz="4" w:space="0" w:color="auto"/>
            </w:tcBorders>
            <w:shd w:val="clear" w:color="auto" w:fill="auto"/>
            <w:noWrap/>
          </w:tcPr>
          <w:p w14:paraId="59C08F27" w14:textId="77777777" w:rsidR="00D27AB2" w:rsidRPr="008724B9" w:rsidRDefault="00D27AB2" w:rsidP="006D0FBA">
            <w:pPr>
              <w:jc w:val="right"/>
              <w:rPr>
                <w:sz w:val="20"/>
                <w:szCs w:val="20"/>
                <w:lang w:val="fr-CA" w:eastAsia="en-CA"/>
              </w:rPr>
            </w:pPr>
            <w:r w:rsidRPr="008724B9">
              <w:rPr>
                <w:sz w:val="20"/>
                <w:szCs w:val="20"/>
                <w:lang w:val="fr-CA"/>
              </w:rPr>
              <w:t>15 000</w:t>
            </w:r>
          </w:p>
        </w:tc>
        <w:tc>
          <w:tcPr>
            <w:tcW w:w="1803" w:type="dxa"/>
            <w:tcBorders>
              <w:top w:val="nil"/>
              <w:left w:val="nil"/>
              <w:bottom w:val="single" w:sz="4" w:space="0" w:color="auto"/>
              <w:right w:val="single" w:sz="4" w:space="0" w:color="auto"/>
            </w:tcBorders>
            <w:shd w:val="clear" w:color="auto" w:fill="auto"/>
            <w:hideMark/>
          </w:tcPr>
          <w:p w14:paraId="4B40A6BB" w14:textId="77777777" w:rsidR="00D27AB2" w:rsidRPr="008724B9" w:rsidRDefault="00D27AB2" w:rsidP="006D0FBA">
            <w:pPr>
              <w:jc w:val="right"/>
              <w:rPr>
                <w:sz w:val="20"/>
                <w:szCs w:val="20"/>
                <w:lang w:val="fr-CA" w:eastAsia="en-CA"/>
              </w:rPr>
            </w:pPr>
            <w:r w:rsidRPr="008724B9">
              <w:rPr>
                <w:sz w:val="20"/>
                <w:szCs w:val="20"/>
                <w:lang w:val="fr-CA" w:eastAsia="en-CA"/>
              </w:rPr>
              <w:t>0</w:t>
            </w:r>
          </w:p>
        </w:tc>
      </w:tr>
      <w:tr w:rsidR="00D27AB2" w:rsidRPr="008724B9" w14:paraId="0A94BDAD" w14:textId="77777777" w:rsidTr="006D0FBA">
        <w:trPr>
          <w:trHeight w:val="56"/>
        </w:trPr>
        <w:tc>
          <w:tcPr>
            <w:tcW w:w="4243" w:type="dxa"/>
            <w:tcBorders>
              <w:top w:val="nil"/>
              <w:left w:val="single" w:sz="4" w:space="0" w:color="auto"/>
              <w:bottom w:val="single" w:sz="4" w:space="0" w:color="auto"/>
              <w:right w:val="single" w:sz="4" w:space="0" w:color="auto"/>
            </w:tcBorders>
            <w:shd w:val="clear" w:color="auto" w:fill="auto"/>
            <w:hideMark/>
          </w:tcPr>
          <w:p w14:paraId="343A18EE" w14:textId="77777777" w:rsidR="00D27AB2" w:rsidRPr="008724B9" w:rsidRDefault="00D27AB2" w:rsidP="006D0FBA">
            <w:pPr>
              <w:jc w:val="left"/>
              <w:rPr>
                <w:sz w:val="20"/>
                <w:szCs w:val="20"/>
                <w:lang w:val="fr-CA"/>
              </w:rPr>
            </w:pPr>
            <w:r w:rsidRPr="008724B9">
              <w:rPr>
                <w:sz w:val="20"/>
                <w:szCs w:val="20"/>
                <w:lang w:val="fr-CA"/>
              </w:rPr>
              <w:t xml:space="preserve">Activité 2 : Deuxième étape de l’évaluation des réseaux régionaux </w:t>
            </w:r>
            <w:r>
              <w:rPr>
                <w:sz w:val="20"/>
                <w:szCs w:val="20"/>
                <w:lang w:val="fr-CA"/>
              </w:rPr>
              <w:t xml:space="preserve">d’administrateurs </w:t>
            </w:r>
            <w:r w:rsidRPr="008724B9">
              <w:rPr>
                <w:sz w:val="20"/>
                <w:szCs w:val="20"/>
                <w:lang w:val="fr-CA"/>
              </w:rPr>
              <w:t>de</w:t>
            </w:r>
            <w:r>
              <w:rPr>
                <w:sz w:val="20"/>
                <w:szCs w:val="20"/>
                <w:lang w:val="fr-CA"/>
              </w:rPr>
              <w:t>s</w:t>
            </w:r>
            <w:r w:rsidRPr="008724B9">
              <w:rPr>
                <w:sz w:val="20"/>
                <w:szCs w:val="20"/>
                <w:lang w:val="fr-CA"/>
              </w:rPr>
              <w:t xml:space="preserve"> </w:t>
            </w:r>
            <w:r>
              <w:rPr>
                <w:sz w:val="20"/>
                <w:szCs w:val="20"/>
                <w:lang w:val="fr-CA"/>
              </w:rPr>
              <w:t>b</w:t>
            </w:r>
            <w:r w:rsidRPr="008724B9">
              <w:rPr>
                <w:sz w:val="20"/>
                <w:szCs w:val="20"/>
                <w:lang w:val="fr-CA"/>
              </w:rPr>
              <w:t>ureaux nationaux de l’ozone : consultations et missions</w:t>
            </w:r>
          </w:p>
          <w:p w14:paraId="33DB394E" w14:textId="77777777" w:rsidR="00D27AB2" w:rsidRPr="008724B9" w:rsidRDefault="00D27AB2" w:rsidP="006D0FBA">
            <w:pPr>
              <w:rPr>
                <w:sz w:val="20"/>
                <w:szCs w:val="20"/>
                <w:lang w:val="fr-CA" w:eastAsia="en-CA"/>
              </w:rPr>
            </w:pPr>
          </w:p>
        </w:tc>
        <w:tc>
          <w:tcPr>
            <w:tcW w:w="1750" w:type="dxa"/>
            <w:tcBorders>
              <w:top w:val="nil"/>
              <w:left w:val="nil"/>
              <w:bottom w:val="single" w:sz="4" w:space="0" w:color="auto"/>
              <w:right w:val="single" w:sz="4" w:space="0" w:color="auto"/>
            </w:tcBorders>
            <w:shd w:val="clear" w:color="auto" w:fill="auto"/>
            <w:noWrap/>
            <w:hideMark/>
          </w:tcPr>
          <w:p w14:paraId="7C322CD0" w14:textId="77777777" w:rsidR="00D27AB2" w:rsidRPr="008724B9" w:rsidRDefault="00D27AB2" w:rsidP="006D0FBA">
            <w:pPr>
              <w:jc w:val="right"/>
              <w:rPr>
                <w:sz w:val="20"/>
                <w:szCs w:val="20"/>
                <w:lang w:val="fr-CA" w:eastAsia="en-CA"/>
              </w:rPr>
            </w:pPr>
            <w:r w:rsidRPr="008724B9">
              <w:rPr>
                <w:sz w:val="20"/>
                <w:szCs w:val="20"/>
                <w:lang w:val="fr-CA"/>
              </w:rPr>
              <w:t>117 500</w:t>
            </w:r>
          </w:p>
        </w:tc>
        <w:tc>
          <w:tcPr>
            <w:tcW w:w="1697" w:type="dxa"/>
            <w:tcBorders>
              <w:top w:val="nil"/>
              <w:left w:val="nil"/>
              <w:bottom w:val="single" w:sz="4" w:space="0" w:color="auto"/>
              <w:right w:val="single" w:sz="4" w:space="0" w:color="auto"/>
            </w:tcBorders>
            <w:shd w:val="clear" w:color="auto" w:fill="auto"/>
            <w:noWrap/>
          </w:tcPr>
          <w:p w14:paraId="2BEE32B5" w14:textId="77777777" w:rsidR="00D27AB2" w:rsidRPr="008724B9" w:rsidRDefault="00D27AB2" w:rsidP="006D0FBA">
            <w:pPr>
              <w:jc w:val="right"/>
              <w:rPr>
                <w:sz w:val="20"/>
                <w:szCs w:val="20"/>
                <w:lang w:val="fr-CA" w:eastAsia="en-CA"/>
              </w:rPr>
            </w:pPr>
            <w:r w:rsidRPr="008724B9">
              <w:rPr>
                <w:sz w:val="20"/>
                <w:szCs w:val="20"/>
                <w:lang w:val="fr-CA"/>
              </w:rPr>
              <w:t>64 041</w:t>
            </w:r>
          </w:p>
        </w:tc>
        <w:tc>
          <w:tcPr>
            <w:tcW w:w="1803" w:type="dxa"/>
            <w:tcBorders>
              <w:top w:val="nil"/>
              <w:left w:val="nil"/>
              <w:bottom w:val="single" w:sz="4" w:space="0" w:color="auto"/>
              <w:right w:val="single" w:sz="4" w:space="0" w:color="auto"/>
            </w:tcBorders>
            <w:shd w:val="clear" w:color="auto" w:fill="auto"/>
            <w:hideMark/>
          </w:tcPr>
          <w:p w14:paraId="6C1C0911" w14:textId="77777777" w:rsidR="00D27AB2" w:rsidRPr="008724B9" w:rsidRDefault="00D27AB2" w:rsidP="006D0FBA">
            <w:pPr>
              <w:jc w:val="right"/>
              <w:rPr>
                <w:sz w:val="20"/>
                <w:szCs w:val="20"/>
                <w:lang w:val="fr-CA" w:eastAsia="en-CA"/>
              </w:rPr>
            </w:pPr>
            <w:r w:rsidRPr="008724B9">
              <w:rPr>
                <w:b/>
                <w:bCs/>
                <w:sz w:val="20"/>
                <w:szCs w:val="20"/>
                <w:lang w:val="fr-CA"/>
              </w:rPr>
              <w:t>53 459</w:t>
            </w:r>
          </w:p>
        </w:tc>
      </w:tr>
      <w:tr w:rsidR="00D27AB2" w:rsidRPr="008724B9" w14:paraId="3F8DE219" w14:textId="77777777" w:rsidTr="006D0FBA">
        <w:trPr>
          <w:trHeight w:val="103"/>
        </w:trPr>
        <w:tc>
          <w:tcPr>
            <w:tcW w:w="4243" w:type="dxa"/>
            <w:tcBorders>
              <w:top w:val="nil"/>
              <w:left w:val="single" w:sz="4" w:space="0" w:color="auto"/>
              <w:bottom w:val="single" w:sz="4" w:space="0" w:color="auto"/>
              <w:right w:val="single" w:sz="4" w:space="0" w:color="auto"/>
            </w:tcBorders>
            <w:shd w:val="clear" w:color="auto" w:fill="auto"/>
            <w:hideMark/>
          </w:tcPr>
          <w:p w14:paraId="073D49ED" w14:textId="77777777" w:rsidR="00D27AB2" w:rsidRPr="008724B9" w:rsidRDefault="00D27AB2" w:rsidP="006D0FBA">
            <w:pPr>
              <w:jc w:val="left"/>
              <w:rPr>
                <w:sz w:val="20"/>
                <w:szCs w:val="20"/>
                <w:lang w:val="fr-CA"/>
              </w:rPr>
            </w:pPr>
            <w:r w:rsidRPr="008724B9">
              <w:rPr>
                <w:sz w:val="20"/>
                <w:szCs w:val="20"/>
                <w:lang w:val="fr-CA"/>
              </w:rPr>
              <w:t xml:space="preserve">Activité 3 : Étude théorique pour l’évaluation des activités de facilitation </w:t>
            </w:r>
            <w:r>
              <w:rPr>
                <w:sz w:val="20"/>
                <w:szCs w:val="20"/>
                <w:lang w:val="fr-CA"/>
              </w:rPr>
              <w:t>de</w:t>
            </w:r>
            <w:r w:rsidRPr="008724B9">
              <w:rPr>
                <w:sz w:val="20"/>
                <w:szCs w:val="20"/>
                <w:lang w:val="fr-CA"/>
              </w:rPr>
              <w:t xml:space="preserve"> la réduction progressive des HFC : consultations</w:t>
            </w:r>
          </w:p>
          <w:p w14:paraId="5549C5CA" w14:textId="77777777" w:rsidR="00D27AB2" w:rsidRPr="008724B9" w:rsidRDefault="00D27AB2" w:rsidP="006D0FBA">
            <w:pPr>
              <w:rPr>
                <w:sz w:val="20"/>
                <w:szCs w:val="20"/>
                <w:lang w:val="fr-CA" w:eastAsia="en-CA"/>
              </w:rPr>
            </w:pPr>
          </w:p>
        </w:tc>
        <w:tc>
          <w:tcPr>
            <w:tcW w:w="1750" w:type="dxa"/>
            <w:tcBorders>
              <w:top w:val="nil"/>
              <w:left w:val="nil"/>
              <w:bottom w:val="single" w:sz="4" w:space="0" w:color="auto"/>
              <w:right w:val="single" w:sz="4" w:space="0" w:color="auto"/>
            </w:tcBorders>
            <w:shd w:val="clear" w:color="auto" w:fill="auto"/>
            <w:noWrap/>
            <w:hideMark/>
          </w:tcPr>
          <w:p w14:paraId="0A35B52C" w14:textId="77777777" w:rsidR="00D27AB2" w:rsidRPr="008724B9" w:rsidRDefault="00D27AB2" w:rsidP="006D0FBA">
            <w:pPr>
              <w:jc w:val="right"/>
              <w:rPr>
                <w:sz w:val="20"/>
                <w:szCs w:val="20"/>
                <w:lang w:val="fr-CA" w:eastAsia="en-CA"/>
              </w:rPr>
            </w:pPr>
            <w:r w:rsidRPr="008724B9">
              <w:rPr>
                <w:sz w:val="20"/>
                <w:szCs w:val="20"/>
                <w:lang w:val="fr-CA"/>
              </w:rPr>
              <w:t>15 000</w:t>
            </w:r>
          </w:p>
        </w:tc>
        <w:tc>
          <w:tcPr>
            <w:tcW w:w="1697" w:type="dxa"/>
            <w:tcBorders>
              <w:top w:val="nil"/>
              <w:left w:val="nil"/>
              <w:bottom w:val="single" w:sz="4" w:space="0" w:color="auto"/>
              <w:right w:val="single" w:sz="4" w:space="0" w:color="auto"/>
            </w:tcBorders>
            <w:shd w:val="clear" w:color="auto" w:fill="auto"/>
            <w:noWrap/>
          </w:tcPr>
          <w:p w14:paraId="497403D8" w14:textId="77777777" w:rsidR="00D27AB2" w:rsidRPr="008724B9" w:rsidRDefault="00D27AB2" w:rsidP="006D0FBA">
            <w:pPr>
              <w:jc w:val="right"/>
              <w:rPr>
                <w:sz w:val="20"/>
                <w:szCs w:val="20"/>
                <w:lang w:val="fr-CA" w:eastAsia="en-CA"/>
              </w:rPr>
            </w:pPr>
            <w:r w:rsidRPr="008724B9">
              <w:rPr>
                <w:sz w:val="20"/>
                <w:szCs w:val="20"/>
                <w:lang w:val="fr-CA"/>
              </w:rPr>
              <w:t>15 000</w:t>
            </w:r>
          </w:p>
        </w:tc>
        <w:tc>
          <w:tcPr>
            <w:tcW w:w="1803" w:type="dxa"/>
            <w:tcBorders>
              <w:top w:val="nil"/>
              <w:left w:val="nil"/>
              <w:bottom w:val="single" w:sz="4" w:space="0" w:color="auto"/>
              <w:right w:val="single" w:sz="4" w:space="0" w:color="auto"/>
            </w:tcBorders>
            <w:shd w:val="clear" w:color="auto" w:fill="auto"/>
            <w:hideMark/>
          </w:tcPr>
          <w:p w14:paraId="02C44B6A" w14:textId="77777777" w:rsidR="00D27AB2" w:rsidRPr="008724B9" w:rsidRDefault="00D27AB2" w:rsidP="006D0FBA">
            <w:pPr>
              <w:jc w:val="right"/>
              <w:rPr>
                <w:sz w:val="20"/>
                <w:szCs w:val="20"/>
                <w:lang w:val="fr-CA" w:eastAsia="en-CA"/>
              </w:rPr>
            </w:pPr>
            <w:r w:rsidRPr="008724B9">
              <w:rPr>
                <w:sz w:val="20"/>
                <w:szCs w:val="20"/>
                <w:lang w:val="fr-CA" w:eastAsia="en-CA"/>
              </w:rPr>
              <w:t>0</w:t>
            </w:r>
          </w:p>
        </w:tc>
      </w:tr>
      <w:tr w:rsidR="00D27AB2" w:rsidRPr="008724B9" w14:paraId="0DC71D2F" w14:textId="77777777" w:rsidTr="006D0FBA">
        <w:trPr>
          <w:trHeight w:val="135"/>
        </w:trPr>
        <w:tc>
          <w:tcPr>
            <w:tcW w:w="4243" w:type="dxa"/>
            <w:tcBorders>
              <w:top w:val="nil"/>
              <w:left w:val="single" w:sz="4" w:space="0" w:color="auto"/>
              <w:bottom w:val="single" w:sz="4" w:space="0" w:color="auto"/>
              <w:right w:val="single" w:sz="4" w:space="0" w:color="auto"/>
            </w:tcBorders>
            <w:shd w:val="clear" w:color="auto" w:fill="auto"/>
            <w:hideMark/>
          </w:tcPr>
          <w:p w14:paraId="4127A297" w14:textId="77777777" w:rsidR="00D27AB2" w:rsidRPr="008724B9" w:rsidRDefault="00D27AB2" w:rsidP="006D0FBA">
            <w:pPr>
              <w:rPr>
                <w:sz w:val="20"/>
                <w:szCs w:val="20"/>
                <w:lang w:val="fr-CA" w:eastAsia="en-CA"/>
              </w:rPr>
            </w:pPr>
            <w:r w:rsidRPr="008724B9">
              <w:rPr>
                <w:sz w:val="20"/>
                <w:szCs w:val="20"/>
                <w:lang w:val="fr-CA"/>
              </w:rPr>
              <w:t>Soutien à la fonction de suivi et évaluation : outils d’évaluation en ligne des permis</w:t>
            </w:r>
          </w:p>
        </w:tc>
        <w:tc>
          <w:tcPr>
            <w:tcW w:w="1750" w:type="dxa"/>
            <w:tcBorders>
              <w:top w:val="nil"/>
              <w:left w:val="nil"/>
              <w:bottom w:val="single" w:sz="4" w:space="0" w:color="auto"/>
              <w:right w:val="single" w:sz="4" w:space="0" w:color="auto"/>
            </w:tcBorders>
            <w:shd w:val="clear" w:color="auto" w:fill="auto"/>
            <w:noWrap/>
            <w:hideMark/>
          </w:tcPr>
          <w:p w14:paraId="28954C9B" w14:textId="77777777" w:rsidR="00D27AB2" w:rsidRPr="008724B9" w:rsidRDefault="00D27AB2" w:rsidP="006D0FBA">
            <w:pPr>
              <w:jc w:val="right"/>
              <w:rPr>
                <w:sz w:val="20"/>
                <w:szCs w:val="20"/>
                <w:lang w:val="fr-CA" w:eastAsia="en-CA"/>
              </w:rPr>
            </w:pPr>
            <w:r w:rsidRPr="008724B9">
              <w:rPr>
                <w:sz w:val="20"/>
                <w:szCs w:val="20"/>
                <w:lang w:val="fr-CA"/>
              </w:rPr>
              <w:t>12 000</w:t>
            </w:r>
          </w:p>
        </w:tc>
        <w:tc>
          <w:tcPr>
            <w:tcW w:w="1697" w:type="dxa"/>
            <w:tcBorders>
              <w:top w:val="nil"/>
              <w:left w:val="nil"/>
              <w:bottom w:val="single" w:sz="4" w:space="0" w:color="auto"/>
              <w:right w:val="single" w:sz="4" w:space="0" w:color="auto"/>
            </w:tcBorders>
            <w:shd w:val="clear" w:color="auto" w:fill="auto"/>
            <w:noWrap/>
          </w:tcPr>
          <w:p w14:paraId="02A8904F" w14:textId="77777777" w:rsidR="00D27AB2" w:rsidRPr="008724B9" w:rsidRDefault="00D27AB2" w:rsidP="006D0FBA">
            <w:pPr>
              <w:jc w:val="right"/>
              <w:rPr>
                <w:sz w:val="20"/>
                <w:szCs w:val="20"/>
                <w:lang w:val="fr-CA" w:eastAsia="en-CA"/>
              </w:rPr>
            </w:pPr>
            <w:r w:rsidRPr="008724B9">
              <w:rPr>
                <w:sz w:val="20"/>
                <w:szCs w:val="20"/>
                <w:lang w:val="fr-CA"/>
              </w:rPr>
              <w:t>2 101</w:t>
            </w:r>
          </w:p>
        </w:tc>
        <w:tc>
          <w:tcPr>
            <w:tcW w:w="1803" w:type="dxa"/>
            <w:tcBorders>
              <w:top w:val="nil"/>
              <w:left w:val="nil"/>
              <w:bottom w:val="single" w:sz="4" w:space="0" w:color="auto"/>
              <w:right w:val="single" w:sz="4" w:space="0" w:color="auto"/>
            </w:tcBorders>
            <w:shd w:val="clear" w:color="auto" w:fill="auto"/>
            <w:hideMark/>
          </w:tcPr>
          <w:p w14:paraId="17B4CA71" w14:textId="77777777" w:rsidR="00D27AB2" w:rsidRPr="008724B9" w:rsidRDefault="00D27AB2" w:rsidP="006D0FBA">
            <w:pPr>
              <w:jc w:val="right"/>
              <w:rPr>
                <w:sz w:val="20"/>
                <w:szCs w:val="20"/>
                <w:lang w:val="fr-CA" w:eastAsia="en-CA"/>
              </w:rPr>
            </w:pPr>
            <w:r w:rsidRPr="008724B9">
              <w:rPr>
                <w:b/>
                <w:bCs/>
                <w:color w:val="000000"/>
                <w:sz w:val="20"/>
                <w:szCs w:val="20"/>
                <w:lang w:val="fr-CA"/>
              </w:rPr>
              <w:t>9 899</w:t>
            </w:r>
          </w:p>
        </w:tc>
      </w:tr>
      <w:tr w:rsidR="00D27AB2" w:rsidRPr="008724B9" w14:paraId="1EFE8C7D" w14:textId="77777777" w:rsidTr="006D0FBA">
        <w:trPr>
          <w:trHeight w:val="135"/>
        </w:trPr>
        <w:tc>
          <w:tcPr>
            <w:tcW w:w="4243" w:type="dxa"/>
            <w:tcBorders>
              <w:top w:val="nil"/>
              <w:left w:val="single" w:sz="4" w:space="0" w:color="auto"/>
              <w:bottom w:val="single" w:sz="4" w:space="0" w:color="auto"/>
              <w:right w:val="single" w:sz="4" w:space="0" w:color="auto"/>
            </w:tcBorders>
            <w:shd w:val="clear" w:color="auto" w:fill="auto"/>
          </w:tcPr>
          <w:p w14:paraId="2AB74D2C" w14:textId="77777777" w:rsidR="00D27AB2" w:rsidRPr="008724B9" w:rsidRDefault="00D27AB2" w:rsidP="006D0FBA">
            <w:pPr>
              <w:rPr>
                <w:sz w:val="20"/>
                <w:szCs w:val="20"/>
                <w:lang w:val="fr-CA"/>
              </w:rPr>
            </w:pPr>
            <w:r w:rsidRPr="008724B9">
              <w:rPr>
                <w:b/>
                <w:bCs/>
                <w:sz w:val="20"/>
                <w:szCs w:val="20"/>
                <w:lang w:val="fr-CA" w:eastAsia="en-CA"/>
              </w:rPr>
              <w:t>Total</w:t>
            </w:r>
          </w:p>
        </w:tc>
        <w:tc>
          <w:tcPr>
            <w:tcW w:w="1750" w:type="dxa"/>
            <w:tcBorders>
              <w:top w:val="nil"/>
              <w:left w:val="nil"/>
              <w:bottom w:val="single" w:sz="4" w:space="0" w:color="auto"/>
              <w:right w:val="single" w:sz="4" w:space="0" w:color="auto"/>
            </w:tcBorders>
            <w:shd w:val="clear" w:color="auto" w:fill="auto"/>
            <w:noWrap/>
          </w:tcPr>
          <w:p w14:paraId="55185432" w14:textId="77777777" w:rsidR="00D27AB2" w:rsidRPr="008724B9" w:rsidRDefault="00D27AB2" w:rsidP="006D0FBA">
            <w:pPr>
              <w:jc w:val="right"/>
              <w:rPr>
                <w:sz w:val="20"/>
                <w:szCs w:val="20"/>
                <w:lang w:val="fr-CA"/>
              </w:rPr>
            </w:pPr>
            <w:r w:rsidRPr="008724B9">
              <w:rPr>
                <w:b/>
                <w:bCs/>
                <w:sz w:val="20"/>
                <w:szCs w:val="20"/>
                <w:lang w:val="fr-CA"/>
              </w:rPr>
              <w:t>159 500</w:t>
            </w:r>
          </w:p>
        </w:tc>
        <w:tc>
          <w:tcPr>
            <w:tcW w:w="1697" w:type="dxa"/>
            <w:tcBorders>
              <w:top w:val="nil"/>
              <w:left w:val="nil"/>
              <w:bottom w:val="single" w:sz="4" w:space="0" w:color="auto"/>
              <w:right w:val="single" w:sz="4" w:space="0" w:color="auto"/>
            </w:tcBorders>
            <w:shd w:val="clear" w:color="auto" w:fill="auto"/>
            <w:noWrap/>
          </w:tcPr>
          <w:p w14:paraId="2162D962" w14:textId="77777777" w:rsidR="00D27AB2" w:rsidRPr="008724B9" w:rsidRDefault="00D27AB2" w:rsidP="006D0FBA">
            <w:pPr>
              <w:jc w:val="right"/>
              <w:rPr>
                <w:sz w:val="20"/>
                <w:szCs w:val="20"/>
                <w:lang w:val="fr-CA"/>
              </w:rPr>
            </w:pPr>
            <w:r w:rsidRPr="008724B9">
              <w:rPr>
                <w:b/>
                <w:bCs/>
                <w:sz w:val="20"/>
                <w:szCs w:val="20"/>
                <w:lang w:val="fr-CA"/>
              </w:rPr>
              <w:t>96 143</w:t>
            </w:r>
          </w:p>
        </w:tc>
        <w:tc>
          <w:tcPr>
            <w:tcW w:w="1803" w:type="dxa"/>
            <w:tcBorders>
              <w:top w:val="nil"/>
              <w:left w:val="nil"/>
              <w:bottom w:val="single" w:sz="4" w:space="0" w:color="auto"/>
              <w:right w:val="single" w:sz="4" w:space="0" w:color="auto"/>
            </w:tcBorders>
            <w:shd w:val="clear" w:color="auto" w:fill="auto"/>
          </w:tcPr>
          <w:p w14:paraId="683A488F" w14:textId="77777777" w:rsidR="00D27AB2" w:rsidRPr="008724B9" w:rsidRDefault="00D27AB2" w:rsidP="006D0FBA">
            <w:pPr>
              <w:jc w:val="right"/>
              <w:rPr>
                <w:b/>
                <w:bCs/>
                <w:color w:val="000000"/>
                <w:sz w:val="20"/>
                <w:szCs w:val="20"/>
                <w:lang w:val="fr-CA"/>
              </w:rPr>
            </w:pPr>
            <w:r w:rsidRPr="008724B9">
              <w:rPr>
                <w:b/>
                <w:bCs/>
                <w:sz w:val="20"/>
                <w:szCs w:val="20"/>
                <w:lang w:val="fr-CA"/>
              </w:rPr>
              <w:t>63 357</w:t>
            </w:r>
          </w:p>
        </w:tc>
      </w:tr>
    </w:tbl>
    <w:p w14:paraId="26605886" w14:textId="77777777" w:rsidR="00D27AB2" w:rsidRPr="008724B9" w:rsidRDefault="00D27AB2" w:rsidP="00D27AB2">
      <w:pPr>
        <w:rPr>
          <w:sz w:val="20"/>
          <w:szCs w:val="20"/>
          <w:lang w:val="fr-CA"/>
        </w:rPr>
      </w:pPr>
      <w:r w:rsidRPr="008724B9">
        <w:rPr>
          <w:sz w:val="20"/>
          <w:szCs w:val="20"/>
          <w:lang w:val="fr-CA"/>
        </w:rPr>
        <w:t>*Les chiffres finaux (arrondis) présentés dans ce document sont provisoires jusqu’à la fermeture des états financiers pour l’année 2022. Ils sont fondés sur les meilleurs renseignements disponibles.</w:t>
      </w:r>
    </w:p>
    <w:p w14:paraId="5930E099" w14:textId="77777777" w:rsidR="00D27AB2" w:rsidRPr="008724B9" w:rsidRDefault="00D27AB2" w:rsidP="00D27AB2">
      <w:pPr>
        <w:rPr>
          <w:sz w:val="20"/>
          <w:szCs w:val="20"/>
          <w:lang w:val="fr-CA"/>
        </w:rPr>
      </w:pPr>
    </w:p>
    <w:p w14:paraId="43253835" w14:textId="77777777" w:rsidR="00D27AB2" w:rsidRPr="008724B9" w:rsidRDefault="00D27AB2" w:rsidP="00D27AB2">
      <w:pPr>
        <w:pStyle w:val="Heading1"/>
        <w:numPr>
          <w:ilvl w:val="0"/>
          <w:numId w:val="43"/>
        </w:numPr>
        <w:tabs>
          <w:tab w:val="num" w:pos="0"/>
        </w:tabs>
        <w:spacing w:after="120"/>
        <w:ind w:left="0" w:firstLine="0"/>
        <w:rPr>
          <w:lang w:val="fr-CA"/>
        </w:rPr>
      </w:pPr>
      <w:r w:rsidRPr="008724B9">
        <w:rPr>
          <w:lang w:val="fr-CA"/>
        </w:rPr>
        <w:t xml:space="preserve">Le programme de travail a été livré comme prévu. L’activité 2, la deuxième étape de l’évaluation des réseaux régionaux </w:t>
      </w:r>
      <w:r>
        <w:rPr>
          <w:lang w:val="fr-CA"/>
        </w:rPr>
        <w:t>d’administrateurs des b</w:t>
      </w:r>
      <w:r w:rsidRPr="008724B9">
        <w:rPr>
          <w:lang w:val="fr-CA"/>
        </w:rPr>
        <w:t xml:space="preserve">ureaux nationaux de l’ozone, sera </w:t>
      </w:r>
      <w:r>
        <w:rPr>
          <w:lang w:val="fr-CA"/>
        </w:rPr>
        <w:t>finalisée</w:t>
      </w:r>
      <w:r w:rsidRPr="008724B9">
        <w:rPr>
          <w:lang w:val="fr-CA"/>
        </w:rPr>
        <w:t xml:space="preserve"> en 2023, après l’achèvement de la mission dans la dernière région à évaluer. L’Administratrice principale, Suivi et évaluation</w:t>
      </w:r>
      <w:r>
        <w:rPr>
          <w:lang w:val="fr-CA"/>
        </w:rPr>
        <w:t xml:space="preserve"> et le consultant</w:t>
      </w:r>
      <w:r w:rsidRPr="008724B9">
        <w:rPr>
          <w:lang w:val="fr-CA"/>
        </w:rPr>
        <w:t xml:space="preserve"> participeront à une réunion conjointe des réseaux des Caraïbes et </w:t>
      </w:r>
      <w:r>
        <w:rPr>
          <w:lang w:val="fr-CA"/>
        </w:rPr>
        <w:t>de l’</w:t>
      </w:r>
      <w:r w:rsidRPr="008724B9">
        <w:rPr>
          <w:lang w:val="fr-CA"/>
        </w:rPr>
        <w:t xml:space="preserve">Amérique latine en mars 2023. Les résultats de cette activité seront inclus dans le dernier rapport d’évaluation. À </w:t>
      </w:r>
      <w:r>
        <w:rPr>
          <w:lang w:val="fr-CA"/>
        </w:rPr>
        <w:t>cet</w:t>
      </w:r>
      <w:r w:rsidRPr="008724B9">
        <w:rPr>
          <w:lang w:val="fr-CA"/>
        </w:rPr>
        <w:t xml:space="preserve"> égard, il est proposé qu</w:t>
      </w:r>
      <w:r>
        <w:rPr>
          <w:lang w:val="fr-CA"/>
        </w:rPr>
        <w:t>e</w:t>
      </w:r>
      <w:r w:rsidRPr="008724B9">
        <w:rPr>
          <w:lang w:val="fr-CA"/>
        </w:rPr>
        <w:t xml:space="preserve"> la somme de 15 000 $US du solde non dépensé de 53 459 $US pour l’activité 2 </w:t>
      </w:r>
      <w:r w:rsidRPr="008724B9">
        <w:rPr>
          <w:lang w:val="fr-CA"/>
        </w:rPr>
        <w:lastRenderedPageBreak/>
        <w:t>soit échelonnée sur les budgets de 2022 et 2023. Les sommes res</w:t>
      </w:r>
      <w:r>
        <w:rPr>
          <w:lang w:val="fr-CA"/>
        </w:rPr>
        <w:t>tantes seront restitué</w:t>
      </w:r>
      <w:r w:rsidRPr="008724B9">
        <w:rPr>
          <w:lang w:val="fr-CA"/>
        </w:rPr>
        <w:t>es au Fonds multilatéral à la 93</w:t>
      </w:r>
      <w:r w:rsidRPr="008724B9">
        <w:rPr>
          <w:vertAlign w:val="superscript"/>
          <w:lang w:val="fr-CA"/>
        </w:rPr>
        <w:t>e</w:t>
      </w:r>
      <w:r w:rsidRPr="008724B9">
        <w:rPr>
          <w:lang w:val="fr-CA"/>
        </w:rPr>
        <w:t xml:space="preserve"> réunion.</w:t>
      </w:r>
    </w:p>
    <w:p w14:paraId="05EA0EF1" w14:textId="77777777" w:rsidR="00D27AB2" w:rsidRPr="008724B9" w:rsidRDefault="00D27AB2" w:rsidP="00D27AB2">
      <w:pPr>
        <w:pStyle w:val="Heading1"/>
        <w:numPr>
          <w:ilvl w:val="0"/>
          <w:numId w:val="43"/>
        </w:numPr>
        <w:tabs>
          <w:tab w:val="num" w:pos="0"/>
        </w:tabs>
        <w:spacing w:after="120"/>
        <w:ind w:left="0" w:firstLine="0"/>
        <w:rPr>
          <w:lang w:val="fr-CA"/>
        </w:rPr>
      </w:pPr>
      <w:r w:rsidRPr="008724B9">
        <w:rPr>
          <w:lang w:val="fr-CA"/>
        </w:rPr>
        <w:t>Deux nouvelles activités seulement sont proposées dans le programme de travail de 2023, comme indiqué dans les paragraphes 1</w:t>
      </w:r>
      <w:r>
        <w:rPr>
          <w:lang w:val="fr-CA"/>
        </w:rPr>
        <w:t>6</w:t>
      </w:r>
      <w:r w:rsidRPr="008724B9">
        <w:rPr>
          <w:lang w:val="fr-CA"/>
        </w:rPr>
        <w:t xml:space="preserve"> à 2</w:t>
      </w:r>
      <w:r>
        <w:rPr>
          <w:lang w:val="fr-CA"/>
        </w:rPr>
        <w:t>2</w:t>
      </w:r>
      <w:r w:rsidRPr="008724B9">
        <w:rPr>
          <w:lang w:val="fr-CA"/>
        </w:rPr>
        <w:t xml:space="preserve"> et le tableau 1, ci-dessus, bien qu’il reste encore deux évaluations en cours à finaliser en 2023. Ces activités sont proposées à la suite de la demande d’améliorer la pertinence de la fonction d’évaluation, qui exigera le recours à des consultants indépendants. Il est proposé d’affecter 50 000 $US à chaque activité d’évaluation, ce qui donne la proposition budgétaire suivante pour 2023.</w:t>
      </w:r>
    </w:p>
    <w:p w14:paraId="7F4BE42D" w14:textId="77777777" w:rsidR="00D27AB2" w:rsidRPr="008724B9" w:rsidRDefault="00D27AB2" w:rsidP="00D27AB2">
      <w:pPr>
        <w:spacing w:after="120"/>
        <w:rPr>
          <w:b/>
          <w:bCs/>
          <w:lang w:val="fr-CA"/>
        </w:rPr>
      </w:pPr>
      <w:r w:rsidRPr="008724B9">
        <w:rPr>
          <w:b/>
          <w:bCs/>
          <w:lang w:val="fr-CA"/>
        </w:rPr>
        <w:t xml:space="preserve">Tableau 3. Budget proposé pour 2023 (comprenant </w:t>
      </w:r>
      <w:r>
        <w:rPr>
          <w:b/>
          <w:bCs/>
          <w:lang w:val="fr-CA"/>
        </w:rPr>
        <w:t>l’échelonnement</w:t>
      </w:r>
      <w:r w:rsidRPr="008724B9">
        <w:rPr>
          <w:b/>
          <w:bCs/>
          <w:lang w:val="fr-CA"/>
        </w:rPr>
        <w:t xml:space="preserve"> du budget</w:t>
      </w:r>
      <w:r>
        <w:rPr>
          <w:b/>
          <w:bCs/>
          <w:lang w:val="fr-CA"/>
        </w:rPr>
        <w:t xml:space="preserve"> de 2022</w:t>
      </w:r>
      <w:r w:rsidRPr="008724B9">
        <w:rPr>
          <w:b/>
          <w:bCs/>
          <w:lang w:val="fr-CA"/>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013"/>
      </w:tblGrid>
      <w:tr w:rsidR="00D27AB2" w:rsidRPr="008724B9" w14:paraId="60974F08" w14:textId="77777777" w:rsidTr="006D0FBA">
        <w:trPr>
          <w:trHeight w:val="71"/>
        </w:trPr>
        <w:tc>
          <w:tcPr>
            <w:tcW w:w="7338" w:type="dxa"/>
            <w:tcBorders>
              <w:bottom w:val="single" w:sz="4" w:space="0" w:color="auto"/>
            </w:tcBorders>
            <w:shd w:val="clear" w:color="auto" w:fill="auto"/>
            <w:noWrap/>
            <w:vAlign w:val="center"/>
            <w:hideMark/>
          </w:tcPr>
          <w:p w14:paraId="1D7D8E22" w14:textId="77777777" w:rsidR="00D27AB2" w:rsidRPr="008724B9" w:rsidRDefault="00D27AB2" w:rsidP="006D0FBA">
            <w:pPr>
              <w:rPr>
                <w:b/>
                <w:bCs/>
                <w:color w:val="000000"/>
                <w:sz w:val="20"/>
                <w:szCs w:val="20"/>
                <w:lang w:val="fr-CA" w:eastAsia="en-CA"/>
              </w:rPr>
            </w:pPr>
            <w:r w:rsidRPr="008724B9">
              <w:rPr>
                <w:b/>
                <w:bCs/>
                <w:color w:val="000000"/>
                <w:sz w:val="20"/>
                <w:szCs w:val="20"/>
                <w:lang w:val="fr-CA" w:eastAsia="en-CA"/>
              </w:rPr>
              <w:t>Description</w:t>
            </w:r>
          </w:p>
        </w:tc>
        <w:tc>
          <w:tcPr>
            <w:tcW w:w="2013" w:type="dxa"/>
            <w:tcBorders>
              <w:bottom w:val="single" w:sz="4" w:space="0" w:color="auto"/>
            </w:tcBorders>
            <w:shd w:val="clear" w:color="auto" w:fill="auto"/>
            <w:noWrap/>
            <w:vAlign w:val="center"/>
            <w:hideMark/>
          </w:tcPr>
          <w:p w14:paraId="74C26486" w14:textId="77777777" w:rsidR="00D27AB2" w:rsidRPr="008724B9" w:rsidRDefault="00D27AB2" w:rsidP="006D0FBA">
            <w:pPr>
              <w:jc w:val="center"/>
              <w:rPr>
                <w:b/>
                <w:bCs/>
                <w:color w:val="000000"/>
                <w:sz w:val="20"/>
                <w:szCs w:val="20"/>
                <w:lang w:val="fr-CA" w:eastAsia="en-CA"/>
              </w:rPr>
            </w:pPr>
            <w:r w:rsidRPr="008724B9">
              <w:rPr>
                <w:b/>
                <w:bCs/>
                <w:color w:val="000000"/>
                <w:sz w:val="20"/>
                <w:szCs w:val="20"/>
                <w:lang w:val="fr-CA" w:eastAsia="en-CA"/>
              </w:rPr>
              <w:t>Somme ($US)</w:t>
            </w:r>
          </w:p>
        </w:tc>
      </w:tr>
      <w:tr w:rsidR="00D27AB2" w:rsidRPr="00DF71B7" w14:paraId="780D95D7" w14:textId="77777777" w:rsidTr="006D0FBA">
        <w:trPr>
          <w:trHeight w:val="71"/>
        </w:trPr>
        <w:tc>
          <w:tcPr>
            <w:tcW w:w="7338" w:type="dxa"/>
            <w:tcBorders>
              <w:right w:val="nil"/>
            </w:tcBorders>
            <w:shd w:val="clear" w:color="auto" w:fill="auto"/>
            <w:noWrap/>
            <w:vAlign w:val="center"/>
          </w:tcPr>
          <w:p w14:paraId="27BFC48B" w14:textId="77777777" w:rsidR="00D27AB2" w:rsidRPr="008724B9" w:rsidRDefault="00D27AB2" w:rsidP="006D0FBA">
            <w:pPr>
              <w:rPr>
                <w:b/>
                <w:bCs/>
                <w:color w:val="000000"/>
                <w:sz w:val="20"/>
                <w:szCs w:val="20"/>
                <w:lang w:val="fr-CA" w:eastAsia="en-CA"/>
              </w:rPr>
            </w:pPr>
            <w:r w:rsidRPr="008724B9">
              <w:rPr>
                <w:b/>
                <w:bCs/>
                <w:color w:val="000000"/>
                <w:sz w:val="20"/>
                <w:szCs w:val="20"/>
                <w:lang w:val="fr-CA" w:eastAsia="en-CA"/>
              </w:rPr>
              <w:t xml:space="preserve">Budget non dépensé de 2022 pour l’activité 2 proposé pour </w:t>
            </w:r>
            <w:r>
              <w:rPr>
                <w:b/>
                <w:bCs/>
                <w:color w:val="000000"/>
                <w:sz w:val="20"/>
                <w:szCs w:val="20"/>
                <w:lang w:val="fr-CA" w:eastAsia="en-CA"/>
              </w:rPr>
              <w:t>échelonnement</w:t>
            </w:r>
            <w:r w:rsidRPr="008724B9">
              <w:rPr>
                <w:b/>
                <w:bCs/>
                <w:color w:val="000000"/>
                <w:sz w:val="20"/>
                <w:szCs w:val="20"/>
                <w:lang w:val="fr-CA" w:eastAsia="en-CA"/>
              </w:rPr>
              <w:t xml:space="preserve"> jusqu’en 2023</w:t>
            </w:r>
          </w:p>
        </w:tc>
        <w:tc>
          <w:tcPr>
            <w:tcW w:w="2013" w:type="dxa"/>
            <w:tcBorders>
              <w:left w:val="nil"/>
            </w:tcBorders>
            <w:shd w:val="clear" w:color="auto" w:fill="auto"/>
            <w:noWrap/>
            <w:vAlign w:val="center"/>
          </w:tcPr>
          <w:p w14:paraId="02E3CBC9" w14:textId="77777777" w:rsidR="00D27AB2" w:rsidRPr="008724B9" w:rsidRDefault="00D27AB2" w:rsidP="006D0FBA">
            <w:pPr>
              <w:jc w:val="center"/>
              <w:rPr>
                <w:b/>
                <w:bCs/>
                <w:color w:val="000000"/>
                <w:sz w:val="20"/>
                <w:szCs w:val="20"/>
                <w:lang w:val="fr-CA" w:eastAsia="en-CA"/>
              </w:rPr>
            </w:pPr>
          </w:p>
        </w:tc>
      </w:tr>
      <w:tr w:rsidR="00D27AB2" w:rsidRPr="008724B9" w14:paraId="6A88CF02" w14:textId="77777777" w:rsidTr="006D0FBA">
        <w:trPr>
          <w:trHeight w:val="71"/>
        </w:trPr>
        <w:tc>
          <w:tcPr>
            <w:tcW w:w="7338" w:type="dxa"/>
            <w:shd w:val="clear" w:color="auto" w:fill="auto"/>
            <w:noWrap/>
            <w:vAlign w:val="center"/>
          </w:tcPr>
          <w:p w14:paraId="3C3A3F50" w14:textId="77777777" w:rsidR="00D27AB2" w:rsidRPr="008724B9" w:rsidRDefault="00D27AB2" w:rsidP="006D0FBA">
            <w:pPr>
              <w:rPr>
                <w:color w:val="000000"/>
                <w:sz w:val="20"/>
                <w:szCs w:val="20"/>
                <w:lang w:val="fr-CA" w:eastAsia="en-CA"/>
              </w:rPr>
            </w:pPr>
            <w:r w:rsidRPr="008724B9">
              <w:rPr>
                <w:color w:val="000000"/>
                <w:sz w:val="20"/>
                <w:szCs w:val="20"/>
                <w:lang w:val="fr-CA" w:eastAsia="en-CA"/>
              </w:rPr>
              <w:t xml:space="preserve">Cette somme concerne la troisième étape de l’évaluation des réseaux régionaux </w:t>
            </w:r>
            <w:r>
              <w:rPr>
                <w:color w:val="000000"/>
                <w:sz w:val="20"/>
                <w:szCs w:val="20"/>
                <w:lang w:val="fr-CA" w:eastAsia="en-CA"/>
              </w:rPr>
              <w:t>d’administrateurs des b</w:t>
            </w:r>
            <w:r w:rsidRPr="008724B9">
              <w:rPr>
                <w:color w:val="000000"/>
                <w:sz w:val="20"/>
                <w:szCs w:val="20"/>
                <w:lang w:val="fr-CA" w:eastAsia="en-CA"/>
              </w:rPr>
              <w:t>ureaux nationaux de l’ozone. Les sommes serviront à la dernière mission pour la réunion des réseaux des Caraïbes et de l’Amérique latine en mars 2023 et la préparation du rapport d’évaluation final révisé.</w:t>
            </w:r>
          </w:p>
        </w:tc>
        <w:tc>
          <w:tcPr>
            <w:tcW w:w="2013" w:type="dxa"/>
            <w:shd w:val="clear" w:color="auto" w:fill="auto"/>
            <w:noWrap/>
            <w:vAlign w:val="center"/>
          </w:tcPr>
          <w:p w14:paraId="219BA154" w14:textId="77777777" w:rsidR="00D27AB2" w:rsidRPr="008724B9" w:rsidRDefault="00D27AB2" w:rsidP="006D0FBA">
            <w:pPr>
              <w:jc w:val="right"/>
              <w:rPr>
                <w:b/>
                <w:bCs/>
                <w:color w:val="000000"/>
                <w:sz w:val="20"/>
                <w:szCs w:val="20"/>
                <w:lang w:val="fr-CA" w:eastAsia="en-CA"/>
              </w:rPr>
            </w:pPr>
            <w:r w:rsidRPr="008724B9">
              <w:rPr>
                <w:b/>
                <w:bCs/>
                <w:color w:val="000000"/>
                <w:sz w:val="20"/>
                <w:szCs w:val="20"/>
                <w:lang w:val="fr-CA" w:eastAsia="en-CA"/>
              </w:rPr>
              <w:t>15 000</w:t>
            </w:r>
          </w:p>
        </w:tc>
      </w:tr>
      <w:tr w:rsidR="00D27AB2" w:rsidRPr="008724B9" w14:paraId="128F1443" w14:textId="77777777" w:rsidTr="006D0FBA">
        <w:trPr>
          <w:trHeight w:val="170"/>
        </w:trPr>
        <w:tc>
          <w:tcPr>
            <w:tcW w:w="7338" w:type="dxa"/>
            <w:tcBorders>
              <w:bottom w:val="single" w:sz="4" w:space="0" w:color="auto"/>
            </w:tcBorders>
            <w:shd w:val="clear" w:color="auto" w:fill="auto"/>
            <w:noWrap/>
            <w:vAlign w:val="center"/>
            <w:hideMark/>
          </w:tcPr>
          <w:p w14:paraId="1D7A621C" w14:textId="77777777" w:rsidR="00D27AB2" w:rsidRPr="008724B9" w:rsidRDefault="00D27AB2" w:rsidP="006D0FBA">
            <w:pPr>
              <w:rPr>
                <w:b/>
                <w:bCs/>
                <w:color w:val="000000"/>
                <w:sz w:val="20"/>
                <w:szCs w:val="20"/>
                <w:lang w:val="fr-CA" w:eastAsia="en-CA"/>
              </w:rPr>
            </w:pPr>
            <w:r w:rsidRPr="008724B9">
              <w:rPr>
                <w:b/>
                <w:bCs/>
                <w:color w:val="000000"/>
                <w:sz w:val="20"/>
                <w:szCs w:val="20"/>
                <w:lang w:val="fr-CA" w:eastAsia="en-CA"/>
              </w:rPr>
              <w:t>Budget total échelonné de 2022</w:t>
            </w:r>
          </w:p>
        </w:tc>
        <w:tc>
          <w:tcPr>
            <w:tcW w:w="2013" w:type="dxa"/>
            <w:tcBorders>
              <w:bottom w:val="single" w:sz="4" w:space="0" w:color="auto"/>
            </w:tcBorders>
            <w:shd w:val="clear" w:color="auto" w:fill="auto"/>
            <w:noWrap/>
            <w:vAlign w:val="center"/>
            <w:hideMark/>
          </w:tcPr>
          <w:p w14:paraId="7B12929A" w14:textId="77777777" w:rsidR="00D27AB2" w:rsidRPr="008724B9" w:rsidRDefault="00D27AB2" w:rsidP="006D0FBA">
            <w:pPr>
              <w:jc w:val="right"/>
              <w:rPr>
                <w:b/>
                <w:bCs/>
                <w:sz w:val="20"/>
                <w:szCs w:val="20"/>
                <w:lang w:val="fr-CA" w:eastAsia="en-CA"/>
              </w:rPr>
            </w:pPr>
            <w:r w:rsidRPr="008724B9">
              <w:rPr>
                <w:b/>
                <w:bCs/>
                <w:color w:val="000000"/>
                <w:sz w:val="20"/>
                <w:szCs w:val="20"/>
                <w:lang w:val="fr-CA" w:eastAsia="en-CA"/>
              </w:rPr>
              <w:t>15 000</w:t>
            </w:r>
          </w:p>
        </w:tc>
      </w:tr>
      <w:tr w:rsidR="00D27AB2" w:rsidRPr="008724B9" w14:paraId="71838D03" w14:textId="77777777" w:rsidTr="006D0FBA">
        <w:trPr>
          <w:cantSplit/>
          <w:trHeight w:val="57"/>
        </w:trPr>
        <w:tc>
          <w:tcPr>
            <w:tcW w:w="9351" w:type="dxa"/>
            <w:gridSpan w:val="2"/>
            <w:tcBorders>
              <w:left w:val="nil"/>
              <w:right w:val="nil"/>
            </w:tcBorders>
            <w:shd w:val="clear" w:color="auto" w:fill="auto"/>
            <w:noWrap/>
            <w:vAlign w:val="center"/>
          </w:tcPr>
          <w:p w14:paraId="1608FAA0" w14:textId="77777777" w:rsidR="00D27AB2" w:rsidRPr="008724B9" w:rsidRDefault="00D27AB2" w:rsidP="006D0FBA">
            <w:pPr>
              <w:rPr>
                <w:b/>
                <w:bCs/>
                <w:sz w:val="20"/>
                <w:szCs w:val="20"/>
                <w:lang w:val="fr-CA"/>
              </w:rPr>
            </w:pPr>
          </w:p>
        </w:tc>
      </w:tr>
      <w:tr w:rsidR="00D27AB2" w:rsidRPr="00DF71B7" w14:paraId="7BBBFDC5" w14:textId="77777777" w:rsidTr="006D0FBA">
        <w:trPr>
          <w:trHeight w:val="67"/>
        </w:trPr>
        <w:tc>
          <w:tcPr>
            <w:tcW w:w="9351" w:type="dxa"/>
            <w:gridSpan w:val="2"/>
            <w:shd w:val="clear" w:color="auto" w:fill="auto"/>
            <w:noWrap/>
            <w:vAlign w:val="center"/>
            <w:hideMark/>
          </w:tcPr>
          <w:p w14:paraId="5EC59177" w14:textId="77777777" w:rsidR="00D27AB2" w:rsidRPr="008724B9" w:rsidRDefault="00D27AB2" w:rsidP="006D0FBA">
            <w:pPr>
              <w:rPr>
                <w:b/>
                <w:bCs/>
                <w:sz w:val="20"/>
                <w:szCs w:val="20"/>
                <w:lang w:val="fr-CA"/>
              </w:rPr>
            </w:pPr>
            <w:r w:rsidRPr="008724B9">
              <w:rPr>
                <w:b/>
                <w:bCs/>
                <w:sz w:val="20"/>
                <w:szCs w:val="20"/>
                <w:lang w:val="fr-CA"/>
              </w:rPr>
              <w:t>Budget proposé pour le programme de suivi et évaluation de 2023</w:t>
            </w:r>
          </w:p>
          <w:p w14:paraId="5C6A794A" w14:textId="77777777" w:rsidR="00D27AB2" w:rsidRPr="008724B9" w:rsidRDefault="00D27AB2" w:rsidP="006D0FBA">
            <w:pPr>
              <w:jc w:val="right"/>
              <w:rPr>
                <w:b/>
                <w:bCs/>
                <w:sz w:val="20"/>
                <w:szCs w:val="20"/>
                <w:lang w:val="fr-CA" w:eastAsia="en-CA"/>
              </w:rPr>
            </w:pPr>
          </w:p>
        </w:tc>
      </w:tr>
      <w:tr w:rsidR="00D27AB2" w:rsidRPr="008724B9" w14:paraId="327FB140" w14:textId="77777777" w:rsidTr="006D0FBA">
        <w:trPr>
          <w:trHeight w:val="165"/>
        </w:trPr>
        <w:tc>
          <w:tcPr>
            <w:tcW w:w="7338" w:type="dxa"/>
            <w:shd w:val="clear" w:color="auto" w:fill="auto"/>
            <w:noWrap/>
            <w:vAlign w:val="center"/>
            <w:hideMark/>
          </w:tcPr>
          <w:p w14:paraId="7603725D" w14:textId="77777777" w:rsidR="00D27AB2" w:rsidRPr="008724B9" w:rsidRDefault="00D27AB2" w:rsidP="006D0FBA">
            <w:pPr>
              <w:rPr>
                <w:color w:val="000000"/>
                <w:sz w:val="20"/>
                <w:szCs w:val="20"/>
                <w:lang w:val="fr-CA" w:eastAsia="en-CA"/>
              </w:rPr>
            </w:pPr>
            <w:r>
              <w:rPr>
                <w:color w:val="000000"/>
                <w:sz w:val="20"/>
                <w:szCs w:val="20"/>
                <w:lang w:val="fr-CA" w:eastAsia="en-CA"/>
              </w:rPr>
              <w:t>É</w:t>
            </w:r>
            <w:r w:rsidRPr="008724B9">
              <w:rPr>
                <w:color w:val="000000"/>
                <w:sz w:val="20"/>
                <w:szCs w:val="20"/>
                <w:lang w:val="fr-CA" w:eastAsia="en-CA"/>
              </w:rPr>
              <w:t xml:space="preserve">valuation </w:t>
            </w:r>
            <w:r>
              <w:rPr>
                <w:color w:val="000000"/>
                <w:sz w:val="20"/>
                <w:szCs w:val="20"/>
                <w:lang w:val="fr-CA" w:eastAsia="en-CA"/>
              </w:rPr>
              <w:t xml:space="preserve">indépendante de la fonction </w:t>
            </w:r>
            <w:r w:rsidRPr="008724B9">
              <w:rPr>
                <w:color w:val="000000"/>
                <w:sz w:val="20"/>
                <w:szCs w:val="20"/>
                <w:lang w:val="fr-CA" w:eastAsia="en-CA"/>
              </w:rPr>
              <w:t>d’évaluation du Fonds multilatéral</w:t>
            </w:r>
          </w:p>
        </w:tc>
        <w:tc>
          <w:tcPr>
            <w:tcW w:w="2013" w:type="dxa"/>
            <w:shd w:val="clear" w:color="auto" w:fill="auto"/>
            <w:noWrap/>
            <w:vAlign w:val="bottom"/>
            <w:hideMark/>
          </w:tcPr>
          <w:p w14:paraId="7D47471A" w14:textId="77777777" w:rsidR="00D27AB2" w:rsidRPr="008724B9" w:rsidRDefault="00D27AB2" w:rsidP="006D0FBA">
            <w:pPr>
              <w:jc w:val="right"/>
              <w:rPr>
                <w:sz w:val="20"/>
                <w:szCs w:val="20"/>
                <w:lang w:val="fr-CA" w:eastAsia="en-CA"/>
              </w:rPr>
            </w:pPr>
            <w:r w:rsidRPr="008724B9">
              <w:rPr>
                <w:sz w:val="20"/>
                <w:szCs w:val="20"/>
                <w:lang w:val="fr-CA"/>
              </w:rPr>
              <w:t>50 000</w:t>
            </w:r>
          </w:p>
        </w:tc>
      </w:tr>
      <w:tr w:rsidR="00D27AB2" w:rsidRPr="008724B9" w14:paraId="7E284A5A" w14:textId="77777777" w:rsidTr="006D0FBA">
        <w:trPr>
          <w:trHeight w:val="427"/>
        </w:trPr>
        <w:tc>
          <w:tcPr>
            <w:tcW w:w="7338" w:type="dxa"/>
            <w:shd w:val="clear" w:color="auto" w:fill="auto"/>
            <w:noWrap/>
            <w:vAlign w:val="center"/>
            <w:hideMark/>
          </w:tcPr>
          <w:p w14:paraId="67BFA104" w14:textId="77777777" w:rsidR="00D27AB2" w:rsidRPr="008724B9" w:rsidRDefault="00D27AB2" w:rsidP="006D0FBA">
            <w:pPr>
              <w:rPr>
                <w:color w:val="000000"/>
                <w:sz w:val="20"/>
                <w:szCs w:val="20"/>
                <w:lang w:val="fr-CA" w:eastAsia="en-CA"/>
              </w:rPr>
            </w:pPr>
            <w:r w:rsidRPr="008724B9">
              <w:rPr>
                <w:color w:val="000000"/>
                <w:sz w:val="20"/>
                <w:szCs w:val="20"/>
                <w:lang w:val="fr-CA" w:eastAsia="en-CA"/>
              </w:rPr>
              <w:t>Déplacements de l’Administratrice principale, Suivi et évaluation</w:t>
            </w:r>
          </w:p>
        </w:tc>
        <w:tc>
          <w:tcPr>
            <w:tcW w:w="2013" w:type="dxa"/>
            <w:shd w:val="clear" w:color="auto" w:fill="auto"/>
            <w:noWrap/>
            <w:vAlign w:val="bottom"/>
            <w:hideMark/>
          </w:tcPr>
          <w:p w14:paraId="3D90FC35" w14:textId="77777777" w:rsidR="00D27AB2" w:rsidRPr="008724B9" w:rsidRDefault="00D27AB2" w:rsidP="006D0FBA">
            <w:pPr>
              <w:jc w:val="right"/>
              <w:rPr>
                <w:sz w:val="20"/>
                <w:szCs w:val="20"/>
                <w:lang w:val="fr-CA" w:eastAsia="en-CA"/>
              </w:rPr>
            </w:pPr>
            <w:r w:rsidRPr="008724B9">
              <w:rPr>
                <w:sz w:val="20"/>
                <w:szCs w:val="20"/>
                <w:lang w:val="fr-CA"/>
              </w:rPr>
              <w:t>20 000</w:t>
            </w:r>
          </w:p>
        </w:tc>
      </w:tr>
      <w:tr w:rsidR="00D27AB2" w:rsidRPr="008724B9" w14:paraId="091C6C9A" w14:textId="77777777" w:rsidTr="006D0FBA">
        <w:trPr>
          <w:trHeight w:val="98"/>
        </w:trPr>
        <w:tc>
          <w:tcPr>
            <w:tcW w:w="7338" w:type="dxa"/>
            <w:shd w:val="clear" w:color="auto" w:fill="auto"/>
            <w:noWrap/>
            <w:vAlign w:val="center"/>
            <w:hideMark/>
          </w:tcPr>
          <w:p w14:paraId="6AB95B60" w14:textId="77777777" w:rsidR="00D27AB2" w:rsidRPr="008724B9" w:rsidRDefault="00D27AB2" w:rsidP="006D0FBA">
            <w:pPr>
              <w:rPr>
                <w:color w:val="000000"/>
                <w:sz w:val="20"/>
                <w:szCs w:val="20"/>
                <w:lang w:val="fr-CA" w:eastAsia="en-CA"/>
              </w:rPr>
            </w:pPr>
            <w:r w:rsidRPr="008724B9">
              <w:rPr>
                <w:color w:val="000000"/>
                <w:sz w:val="20"/>
                <w:szCs w:val="20"/>
                <w:lang w:val="fr-CA" w:eastAsia="en-CA"/>
              </w:rPr>
              <w:t>Soutien à la fonction d’évaluation (outils d’évaluation, rayonnement et communication, permis d’enquête)</w:t>
            </w:r>
          </w:p>
        </w:tc>
        <w:tc>
          <w:tcPr>
            <w:tcW w:w="2013" w:type="dxa"/>
            <w:shd w:val="clear" w:color="auto" w:fill="auto"/>
            <w:noWrap/>
            <w:vAlign w:val="bottom"/>
            <w:hideMark/>
          </w:tcPr>
          <w:p w14:paraId="63F3554E" w14:textId="77777777" w:rsidR="00D27AB2" w:rsidRPr="008724B9" w:rsidRDefault="00D27AB2" w:rsidP="006D0FBA">
            <w:pPr>
              <w:jc w:val="right"/>
              <w:rPr>
                <w:sz w:val="20"/>
                <w:szCs w:val="20"/>
                <w:lang w:val="fr-CA" w:eastAsia="en-CA"/>
              </w:rPr>
            </w:pPr>
            <w:r w:rsidRPr="008724B9">
              <w:rPr>
                <w:sz w:val="20"/>
                <w:szCs w:val="20"/>
                <w:lang w:val="fr-CA"/>
              </w:rPr>
              <w:t>15 000</w:t>
            </w:r>
          </w:p>
        </w:tc>
      </w:tr>
      <w:tr w:rsidR="00D27AB2" w:rsidRPr="008724B9" w14:paraId="68376F54" w14:textId="77777777" w:rsidTr="006D0FBA">
        <w:trPr>
          <w:trHeight w:val="146"/>
        </w:trPr>
        <w:tc>
          <w:tcPr>
            <w:tcW w:w="7338" w:type="dxa"/>
            <w:tcBorders>
              <w:bottom w:val="single" w:sz="4" w:space="0" w:color="auto"/>
            </w:tcBorders>
            <w:shd w:val="clear" w:color="auto" w:fill="auto"/>
            <w:noWrap/>
            <w:vAlign w:val="center"/>
            <w:hideMark/>
          </w:tcPr>
          <w:p w14:paraId="227F0C90" w14:textId="77777777" w:rsidR="00D27AB2" w:rsidRPr="008724B9" w:rsidRDefault="00D27AB2" w:rsidP="006D0FBA">
            <w:pPr>
              <w:rPr>
                <w:b/>
                <w:bCs/>
                <w:color w:val="000000"/>
                <w:sz w:val="20"/>
                <w:szCs w:val="20"/>
                <w:lang w:val="fr-CA" w:eastAsia="en-CA"/>
              </w:rPr>
            </w:pPr>
            <w:r w:rsidRPr="008724B9">
              <w:rPr>
                <w:b/>
                <w:bCs/>
                <w:color w:val="000000"/>
                <w:sz w:val="20"/>
                <w:szCs w:val="20"/>
                <w:lang w:val="fr-CA" w:eastAsia="en-CA"/>
              </w:rPr>
              <w:t>Budget total proposé pour 2023</w:t>
            </w:r>
          </w:p>
        </w:tc>
        <w:tc>
          <w:tcPr>
            <w:tcW w:w="2013" w:type="dxa"/>
            <w:tcBorders>
              <w:bottom w:val="single" w:sz="4" w:space="0" w:color="auto"/>
            </w:tcBorders>
            <w:shd w:val="clear" w:color="auto" w:fill="auto"/>
            <w:noWrap/>
            <w:vAlign w:val="bottom"/>
            <w:hideMark/>
          </w:tcPr>
          <w:p w14:paraId="7F11C820" w14:textId="77777777" w:rsidR="00D27AB2" w:rsidRPr="008724B9" w:rsidRDefault="00D27AB2" w:rsidP="006D0FBA">
            <w:pPr>
              <w:jc w:val="right"/>
              <w:rPr>
                <w:sz w:val="20"/>
                <w:szCs w:val="20"/>
                <w:lang w:val="fr-CA" w:eastAsia="en-CA"/>
              </w:rPr>
            </w:pPr>
            <w:r>
              <w:rPr>
                <w:b/>
                <w:bCs/>
                <w:sz w:val="20"/>
                <w:szCs w:val="20"/>
                <w:lang w:val="fr-CA"/>
              </w:rPr>
              <w:t>8</w:t>
            </w:r>
            <w:r w:rsidRPr="008724B9">
              <w:rPr>
                <w:b/>
                <w:bCs/>
                <w:sz w:val="20"/>
                <w:szCs w:val="20"/>
                <w:lang w:val="fr-CA"/>
              </w:rPr>
              <w:t>5 000</w:t>
            </w:r>
          </w:p>
        </w:tc>
      </w:tr>
      <w:tr w:rsidR="00D27AB2" w:rsidRPr="008724B9" w14:paraId="3F4E00D7" w14:textId="77777777" w:rsidTr="006D0FBA">
        <w:trPr>
          <w:trHeight w:val="196"/>
        </w:trPr>
        <w:tc>
          <w:tcPr>
            <w:tcW w:w="7338" w:type="dxa"/>
            <w:shd w:val="clear" w:color="auto" w:fill="auto"/>
            <w:noWrap/>
            <w:vAlign w:val="center"/>
            <w:hideMark/>
          </w:tcPr>
          <w:p w14:paraId="31B6E586" w14:textId="77777777" w:rsidR="00D27AB2" w:rsidRPr="008724B9" w:rsidRDefault="00D27AB2" w:rsidP="006D0FBA">
            <w:pPr>
              <w:rPr>
                <w:b/>
                <w:bCs/>
                <w:color w:val="000000"/>
                <w:sz w:val="20"/>
                <w:szCs w:val="20"/>
                <w:lang w:val="fr-CA" w:eastAsia="en-CA"/>
              </w:rPr>
            </w:pPr>
            <w:r w:rsidRPr="008724B9">
              <w:rPr>
                <w:b/>
                <w:bCs/>
                <w:color w:val="000000"/>
                <w:sz w:val="20"/>
                <w:szCs w:val="20"/>
                <w:lang w:val="fr-CA" w:eastAsia="en-CA"/>
              </w:rPr>
              <w:t>Total</w:t>
            </w:r>
            <w:r>
              <w:rPr>
                <w:b/>
                <w:bCs/>
                <w:color w:val="000000"/>
                <w:sz w:val="20"/>
                <w:szCs w:val="20"/>
                <w:lang w:val="fr-CA" w:eastAsia="en-CA"/>
              </w:rPr>
              <w:t> </w:t>
            </w:r>
            <w:r w:rsidRPr="008724B9">
              <w:rPr>
                <w:b/>
                <w:bCs/>
                <w:color w:val="000000"/>
                <w:sz w:val="20"/>
                <w:szCs w:val="20"/>
                <w:lang w:val="fr-CA" w:eastAsia="en-CA"/>
              </w:rPr>
              <w:t>: Échelonné de 2022 et proposé pour 2023</w:t>
            </w:r>
          </w:p>
        </w:tc>
        <w:tc>
          <w:tcPr>
            <w:tcW w:w="2013" w:type="dxa"/>
            <w:shd w:val="clear" w:color="auto" w:fill="auto"/>
            <w:noWrap/>
            <w:vAlign w:val="center"/>
            <w:hideMark/>
          </w:tcPr>
          <w:p w14:paraId="509010C2" w14:textId="77777777" w:rsidR="00D27AB2" w:rsidRPr="008724B9" w:rsidRDefault="00D27AB2" w:rsidP="006D0FBA">
            <w:pPr>
              <w:jc w:val="right"/>
              <w:rPr>
                <w:b/>
                <w:bCs/>
                <w:sz w:val="20"/>
                <w:szCs w:val="20"/>
                <w:lang w:val="fr-CA"/>
              </w:rPr>
            </w:pPr>
            <w:r w:rsidRPr="008724B9">
              <w:rPr>
                <w:b/>
                <w:bCs/>
                <w:sz w:val="20"/>
                <w:szCs w:val="20"/>
                <w:lang w:val="fr-CA"/>
              </w:rPr>
              <w:t>1</w:t>
            </w:r>
            <w:r>
              <w:rPr>
                <w:b/>
                <w:bCs/>
                <w:sz w:val="20"/>
                <w:szCs w:val="20"/>
                <w:lang w:val="fr-CA"/>
              </w:rPr>
              <w:t>0</w:t>
            </w:r>
            <w:r w:rsidRPr="008724B9">
              <w:rPr>
                <w:b/>
                <w:bCs/>
                <w:sz w:val="20"/>
                <w:szCs w:val="20"/>
                <w:lang w:val="fr-CA"/>
              </w:rPr>
              <w:t>0 000</w:t>
            </w:r>
          </w:p>
          <w:p w14:paraId="41DFBC77" w14:textId="77777777" w:rsidR="00D27AB2" w:rsidRPr="008724B9" w:rsidRDefault="00D27AB2" w:rsidP="006D0FBA">
            <w:pPr>
              <w:jc w:val="right"/>
              <w:rPr>
                <w:sz w:val="20"/>
                <w:szCs w:val="20"/>
                <w:lang w:val="fr-CA" w:eastAsia="en-CA"/>
              </w:rPr>
            </w:pPr>
          </w:p>
        </w:tc>
      </w:tr>
    </w:tbl>
    <w:p w14:paraId="2E830941" w14:textId="77777777" w:rsidR="00D27AB2" w:rsidRDefault="00D27AB2" w:rsidP="00D27AB2">
      <w:pPr>
        <w:pStyle w:val="StyleBold"/>
        <w:spacing w:after="120"/>
        <w:jc w:val="left"/>
        <w:rPr>
          <w:szCs w:val="22"/>
          <w:lang w:val="fr-CA"/>
        </w:rPr>
      </w:pPr>
    </w:p>
    <w:p w14:paraId="7406D196" w14:textId="77777777" w:rsidR="00D27AB2" w:rsidRPr="008724B9" w:rsidRDefault="00D27AB2" w:rsidP="00D27AB2">
      <w:pPr>
        <w:pStyle w:val="StyleBold"/>
        <w:spacing w:after="120"/>
        <w:jc w:val="left"/>
        <w:rPr>
          <w:szCs w:val="22"/>
          <w:lang w:val="fr-CA"/>
        </w:rPr>
      </w:pPr>
      <w:r w:rsidRPr="008724B9">
        <w:rPr>
          <w:szCs w:val="22"/>
          <w:lang w:val="fr-CA"/>
        </w:rPr>
        <w:t>Mesure attendue du Comité exécutif</w:t>
      </w:r>
    </w:p>
    <w:p w14:paraId="44A35291" w14:textId="77777777" w:rsidR="00D27AB2" w:rsidRPr="008724B9" w:rsidRDefault="00D27AB2" w:rsidP="00D27AB2">
      <w:pPr>
        <w:pStyle w:val="Heading1"/>
        <w:numPr>
          <w:ilvl w:val="0"/>
          <w:numId w:val="43"/>
        </w:numPr>
        <w:tabs>
          <w:tab w:val="num" w:pos="0"/>
        </w:tabs>
        <w:spacing w:after="120"/>
        <w:ind w:left="0" w:firstLine="0"/>
        <w:rPr>
          <w:lang w:val="fr-CA"/>
        </w:rPr>
      </w:pPr>
      <w:r w:rsidRPr="008724B9">
        <w:rPr>
          <w:lang w:val="fr-CA"/>
        </w:rPr>
        <w:t>Le Comité exécutif pourrait souhaiter</w:t>
      </w:r>
      <w:r>
        <w:rPr>
          <w:lang w:val="fr-CA"/>
        </w:rPr>
        <w:t> </w:t>
      </w:r>
      <w:r w:rsidRPr="008724B9">
        <w:rPr>
          <w:lang w:val="fr-CA"/>
        </w:rPr>
        <w:t>:</w:t>
      </w:r>
    </w:p>
    <w:p w14:paraId="48A34DE1" w14:textId="77777777" w:rsidR="00D27AB2" w:rsidRPr="00B543A9" w:rsidRDefault="00D27AB2" w:rsidP="00D27AB2">
      <w:pPr>
        <w:pStyle w:val="Heading2"/>
        <w:numPr>
          <w:ilvl w:val="0"/>
          <w:numId w:val="46"/>
        </w:numPr>
        <w:tabs>
          <w:tab w:val="num" w:pos="0"/>
        </w:tabs>
        <w:spacing w:after="120"/>
        <w:ind w:left="1440" w:hanging="720"/>
        <w:rPr>
          <w:lang w:val="fr-CA"/>
        </w:rPr>
      </w:pPr>
      <w:r w:rsidRPr="00B543A9">
        <w:rPr>
          <w:lang w:val="fr-CA"/>
        </w:rPr>
        <w:t>Approuver le projet de programme de travail de suivi et évaluation pour l’année 2023 présenté dans le document UNEP/</w:t>
      </w:r>
      <w:proofErr w:type="spellStart"/>
      <w:r w:rsidRPr="00B543A9">
        <w:rPr>
          <w:lang w:val="fr-CA"/>
        </w:rPr>
        <w:t>OzL.Pro</w:t>
      </w:r>
      <w:proofErr w:type="spellEnd"/>
      <w:r w:rsidRPr="00B543A9">
        <w:rPr>
          <w:lang w:val="fr-CA"/>
        </w:rPr>
        <w:t>/</w:t>
      </w:r>
      <w:proofErr w:type="spellStart"/>
      <w:r w:rsidRPr="00B543A9">
        <w:rPr>
          <w:lang w:val="fr-CA"/>
        </w:rPr>
        <w:t>ExCom</w:t>
      </w:r>
      <w:proofErr w:type="spellEnd"/>
      <w:r w:rsidRPr="00B543A9">
        <w:rPr>
          <w:lang w:val="fr-CA"/>
        </w:rPr>
        <w:t>/91/11</w:t>
      </w:r>
      <w:r>
        <w:rPr>
          <w:lang w:val="fr-CA"/>
        </w:rPr>
        <w:t>/Rev.1</w:t>
      </w:r>
      <w:r w:rsidRPr="00B543A9">
        <w:rPr>
          <w:lang w:val="fr-CA"/>
        </w:rPr>
        <w:t xml:space="preserve"> et le budget connexe de </w:t>
      </w:r>
      <w:r>
        <w:rPr>
          <w:lang w:val="fr-CA"/>
        </w:rPr>
        <w:t>85</w:t>
      </w:r>
      <w:r w:rsidRPr="00B543A9">
        <w:rPr>
          <w:lang w:val="fr-CA"/>
        </w:rPr>
        <w:t> 000 $US ;</w:t>
      </w:r>
    </w:p>
    <w:p w14:paraId="3BEF9C56" w14:textId="77777777" w:rsidR="00D27AB2" w:rsidRPr="00B543A9" w:rsidRDefault="00D27AB2" w:rsidP="00D27AB2">
      <w:pPr>
        <w:pStyle w:val="Heading2"/>
        <w:numPr>
          <w:ilvl w:val="0"/>
          <w:numId w:val="46"/>
        </w:numPr>
        <w:tabs>
          <w:tab w:val="num" w:pos="0"/>
        </w:tabs>
        <w:spacing w:after="120"/>
        <w:ind w:left="1440" w:hanging="720"/>
        <w:rPr>
          <w:lang w:val="fr-CA" w:eastAsia="ja-JP"/>
        </w:rPr>
      </w:pPr>
      <w:r w:rsidRPr="00B543A9">
        <w:rPr>
          <w:lang w:val="fr-CA"/>
        </w:rPr>
        <w:t>Réaffecter la somme de 15 000 $US du solde provisoire non dépensé de 63 357 $US pour l’année 2022 à l’achèvement de la dernière étape de la deuxième phase de l’évaluation des réseaux régionaux d’administrateurs des bureaux nationaux de l’ozone au budget de 2023 ;</w:t>
      </w:r>
    </w:p>
    <w:p w14:paraId="724D62C9" w14:textId="77777777" w:rsidR="00D27AB2" w:rsidRDefault="00D27AB2" w:rsidP="00D27AB2">
      <w:pPr>
        <w:pStyle w:val="Heading2"/>
        <w:numPr>
          <w:ilvl w:val="0"/>
          <w:numId w:val="46"/>
        </w:numPr>
        <w:tabs>
          <w:tab w:val="num" w:pos="0"/>
        </w:tabs>
        <w:spacing w:after="120"/>
        <w:ind w:left="1440" w:hanging="720"/>
        <w:rPr>
          <w:lang w:val="fr-CA"/>
        </w:rPr>
      </w:pPr>
      <w:r w:rsidRPr="00B543A9">
        <w:rPr>
          <w:lang w:val="fr-CA"/>
        </w:rPr>
        <w:t>Demander à l’Administratrice principale, Suivi et évaluation de préparer</w:t>
      </w:r>
      <w:r>
        <w:rPr>
          <w:lang w:val="fr-CA"/>
        </w:rPr>
        <w:t> :</w:t>
      </w:r>
    </w:p>
    <w:p w14:paraId="1DD3A72B" w14:textId="63A91EF1" w:rsidR="00D27AB2" w:rsidRDefault="00D27AB2" w:rsidP="002366D4">
      <w:pPr>
        <w:pStyle w:val="Heading2"/>
        <w:numPr>
          <w:ilvl w:val="0"/>
          <w:numId w:val="48"/>
        </w:numPr>
        <w:tabs>
          <w:tab w:val="num" w:pos="0"/>
        </w:tabs>
        <w:spacing w:after="120"/>
        <w:ind w:left="1440" w:firstLine="0"/>
        <w:rPr>
          <w:lang w:val="fr-CA"/>
        </w:rPr>
      </w:pPr>
      <w:r>
        <w:rPr>
          <w:lang w:val="fr-CA"/>
        </w:rPr>
        <w:t>Le mandat d’une évaluation indépendante de la fonction d’évaluation du Fonds</w:t>
      </w:r>
      <w:r w:rsidR="002366D4">
        <w:rPr>
          <w:lang w:val="fr-CA"/>
        </w:rPr>
        <w:t xml:space="preserve"> </w:t>
      </w:r>
      <w:r>
        <w:rPr>
          <w:lang w:val="fr-CA"/>
        </w:rPr>
        <w:t>multilatéral, aligné sur les recommandations de l’évaluation du MOPAN, pour examen par le Comité exécutif à la 92</w:t>
      </w:r>
      <w:r w:rsidRPr="00B543A9">
        <w:rPr>
          <w:vertAlign w:val="superscript"/>
          <w:lang w:val="fr-CA"/>
        </w:rPr>
        <w:t>e</w:t>
      </w:r>
      <w:r>
        <w:rPr>
          <w:lang w:val="fr-CA"/>
        </w:rPr>
        <w:t xml:space="preserve"> réunion;</w:t>
      </w:r>
    </w:p>
    <w:p w14:paraId="5BC0D0B2" w14:textId="0795176B" w:rsidR="00D27AB2" w:rsidRPr="00B543A9" w:rsidRDefault="00D27AB2" w:rsidP="002366D4">
      <w:pPr>
        <w:pStyle w:val="Heading2"/>
        <w:numPr>
          <w:ilvl w:val="0"/>
          <w:numId w:val="48"/>
        </w:numPr>
        <w:tabs>
          <w:tab w:val="num" w:pos="1440"/>
        </w:tabs>
        <w:spacing w:after="120"/>
        <w:ind w:left="1440" w:firstLine="0"/>
        <w:rPr>
          <w:lang w:val="fr-CA"/>
        </w:rPr>
      </w:pPr>
      <w:r>
        <w:rPr>
          <w:lang w:val="fr-CA"/>
        </w:rPr>
        <w:t>À titre d’essai, u</w:t>
      </w:r>
      <w:r w:rsidRPr="00B543A9">
        <w:rPr>
          <w:lang w:val="fr-CA"/>
        </w:rPr>
        <w:t xml:space="preserve">n programme de travail de suivi et évaluation et un budget biennal pour 2024 et 2025, </w:t>
      </w:r>
      <w:r>
        <w:rPr>
          <w:lang w:val="fr-CA"/>
        </w:rPr>
        <w:t>pour la 93</w:t>
      </w:r>
      <w:r w:rsidRPr="00B543A9">
        <w:rPr>
          <w:vertAlign w:val="superscript"/>
          <w:lang w:val="fr-CA"/>
        </w:rPr>
        <w:t>e</w:t>
      </w:r>
      <w:r>
        <w:rPr>
          <w:lang w:val="fr-CA"/>
        </w:rPr>
        <w:t xml:space="preserve"> réunion</w:t>
      </w:r>
      <w:r w:rsidRPr="00B543A9">
        <w:rPr>
          <w:lang w:val="fr-CA"/>
        </w:rPr>
        <w:t>, et de faire rapport chaque année sur l’état de la mise en œuvre et les réalisations, à compter de la 95</w:t>
      </w:r>
      <w:r w:rsidRPr="00B543A9">
        <w:rPr>
          <w:vertAlign w:val="superscript"/>
          <w:lang w:val="fr-CA"/>
        </w:rPr>
        <w:t>e</w:t>
      </w:r>
      <w:r w:rsidRPr="00B543A9">
        <w:rPr>
          <w:lang w:val="fr-CA"/>
        </w:rPr>
        <w:t xml:space="preserve"> réunion.</w:t>
      </w:r>
    </w:p>
    <w:p w14:paraId="0F131FB9" w14:textId="77777777" w:rsidR="00D27AB2" w:rsidRPr="00B543A9" w:rsidRDefault="00D27AB2" w:rsidP="00D27AB2">
      <w:pPr>
        <w:rPr>
          <w:lang w:val="fr-CA"/>
        </w:rPr>
      </w:pPr>
    </w:p>
    <w:p w14:paraId="6BB4B4A0" w14:textId="77777777" w:rsidR="00D27AB2" w:rsidRPr="00B543A9" w:rsidRDefault="00D27AB2" w:rsidP="00D27AB2">
      <w:pPr>
        <w:rPr>
          <w:lang w:val="fr-CA"/>
        </w:rPr>
      </w:pPr>
    </w:p>
    <w:tbl>
      <w:tblPr>
        <w:tblStyle w:val="TableGrid"/>
        <w:tblW w:w="998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0"/>
        <w:gridCol w:w="1695"/>
        <w:gridCol w:w="1695"/>
        <w:gridCol w:w="1695"/>
        <w:gridCol w:w="1695"/>
        <w:gridCol w:w="1603"/>
      </w:tblGrid>
      <w:tr w:rsidR="00D27AB2" w:rsidRPr="00DF71B7" w14:paraId="18CA9694" w14:textId="77777777" w:rsidTr="006D0FBA">
        <w:trPr>
          <w:trHeight w:val="268"/>
        </w:trPr>
        <w:tc>
          <w:tcPr>
            <w:tcW w:w="1600" w:type="dxa"/>
          </w:tcPr>
          <w:p w14:paraId="0E8255B7" w14:textId="77777777" w:rsidR="00D27AB2" w:rsidRPr="00B543A9" w:rsidRDefault="00D27AB2" w:rsidP="006D0FBA">
            <w:pPr>
              <w:rPr>
                <w:lang w:val="fr-CA"/>
              </w:rPr>
            </w:pPr>
          </w:p>
        </w:tc>
        <w:tc>
          <w:tcPr>
            <w:tcW w:w="1695" w:type="dxa"/>
          </w:tcPr>
          <w:p w14:paraId="391EFD10" w14:textId="77777777" w:rsidR="00D27AB2" w:rsidRPr="00B543A9" w:rsidRDefault="00D27AB2" w:rsidP="006D0FBA">
            <w:pPr>
              <w:jc w:val="center"/>
              <w:rPr>
                <w:lang w:val="fr-CA"/>
              </w:rPr>
            </w:pPr>
          </w:p>
        </w:tc>
        <w:tc>
          <w:tcPr>
            <w:tcW w:w="1695" w:type="dxa"/>
            <w:tcBorders>
              <w:bottom w:val="single" w:sz="4" w:space="0" w:color="auto"/>
            </w:tcBorders>
          </w:tcPr>
          <w:p w14:paraId="74DF0F66" w14:textId="77777777" w:rsidR="00D27AB2" w:rsidRPr="00B543A9" w:rsidRDefault="00D27AB2" w:rsidP="006D0FBA">
            <w:pPr>
              <w:rPr>
                <w:lang w:val="fr-CA"/>
              </w:rPr>
            </w:pPr>
          </w:p>
        </w:tc>
        <w:tc>
          <w:tcPr>
            <w:tcW w:w="1695" w:type="dxa"/>
          </w:tcPr>
          <w:p w14:paraId="2C5EABED" w14:textId="77777777" w:rsidR="00D27AB2" w:rsidRPr="00B543A9" w:rsidRDefault="00D27AB2" w:rsidP="006D0FBA">
            <w:pPr>
              <w:rPr>
                <w:lang w:val="fr-CA"/>
              </w:rPr>
            </w:pPr>
          </w:p>
        </w:tc>
        <w:tc>
          <w:tcPr>
            <w:tcW w:w="1695" w:type="dxa"/>
          </w:tcPr>
          <w:p w14:paraId="46F65DEB" w14:textId="77777777" w:rsidR="00D27AB2" w:rsidRPr="00B543A9" w:rsidRDefault="00D27AB2" w:rsidP="006D0FBA">
            <w:pPr>
              <w:rPr>
                <w:lang w:val="fr-CA"/>
              </w:rPr>
            </w:pPr>
          </w:p>
        </w:tc>
        <w:tc>
          <w:tcPr>
            <w:tcW w:w="1603" w:type="dxa"/>
          </w:tcPr>
          <w:p w14:paraId="747DCA66" w14:textId="77777777" w:rsidR="00D27AB2" w:rsidRPr="00B543A9" w:rsidRDefault="00D27AB2" w:rsidP="006D0FBA">
            <w:pPr>
              <w:rPr>
                <w:lang w:val="fr-CA"/>
              </w:rPr>
            </w:pPr>
          </w:p>
        </w:tc>
      </w:tr>
    </w:tbl>
    <w:p w14:paraId="2EFF786B" w14:textId="77777777" w:rsidR="00D27AB2" w:rsidRPr="008724B9" w:rsidRDefault="00D27AB2" w:rsidP="00D27AB2">
      <w:pPr>
        <w:pStyle w:val="Title1"/>
        <w:jc w:val="both"/>
        <w:rPr>
          <w:lang w:val="fr-CA"/>
        </w:rPr>
      </w:pPr>
    </w:p>
    <w:p w14:paraId="7817BCCF" w14:textId="77777777" w:rsidR="00E85409" w:rsidRPr="008724B9" w:rsidRDefault="00E85409" w:rsidP="00C052E8">
      <w:pPr>
        <w:pStyle w:val="Title1"/>
        <w:jc w:val="both"/>
        <w:rPr>
          <w:lang w:val="fr-CA"/>
        </w:rPr>
      </w:pPr>
    </w:p>
    <w:sectPr w:rsidR="00E85409" w:rsidRPr="008724B9" w:rsidSect="0083157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24402" w14:textId="77777777" w:rsidR="00A10341" w:rsidRDefault="00A10341" w:rsidP="004A504B">
      <w:r>
        <w:separator/>
      </w:r>
    </w:p>
  </w:endnote>
  <w:endnote w:type="continuationSeparator" w:id="0">
    <w:p w14:paraId="3794CAC4" w14:textId="77777777" w:rsidR="00A10341" w:rsidRDefault="00A1034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DC45D" w14:textId="77777777" w:rsidR="008724B9" w:rsidRPr="0033525D" w:rsidRDefault="008724B9">
    <w:pPr>
      <w:jc w:val="center"/>
    </w:pPr>
    <w:r>
      <w:fldChar w:fldCharType="begin"/>
    </w:r>
    <w:r>
      <w:instrText xml:space="preserve"> PAGE </w:instrText>
    </w:r>
    <w:r>
      <w:fldChar w:fldCharType="separate"/>
    </w:r>
    <w:r w:rsidR="00201E3B">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1186C" w14:textId="77777777" w:rsidR="008724B9" w:rsidRPr="0033525D" w:rsidRDefault="008724B9">
    <w:pPr>
      <w:jc w:val="center"/>
    </w:pPr>
    <w:r>
      <w:fldChar w:fldCharType="begin"/>
    </w:r>
    <w:r>
      <w:instrText xml:space="preserve"> PAGE </w:instrText>
    </w:r>
    <w:r>
      <w:fldChar w:fldCharType="separate"/>
    </w:r>
    <w:r w:rsidR="00201E3B">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0B729" w14:textId="77777777" w:rsidR="00712B74" w:rsidRDefault="00712B74" w:rsidP="00712B7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80F8B91" w14:textId="77777777" w:rsidR="00712B74" w:rsidRDefault="00712B74" w:rsidP="00712B7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676A1443" w14:textId="77777777" w:rsidR="00712B74" w:rsidRDefault="00712B74" w:rsidP="00712B74">
    <w:pPr>
      <w:pStyle w:val="Footer"/>
      <w:rPr>
        <w:lang w:val="fr-FR"/>
      </w:rPr>
    </w:pPr>
  </w:p>
  <w:p w14:paraId="72CCA5A7" w14:textId="77777777" w:rsidR="00712B74" w:rsidRPr="00712B74" w:rsidRDefault="00712B74">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7967C" w14:textId="77777777" w:rsidR="00A10341" w:rsidRDefault="00A10341" w:rsidP="004A504B">
      <w:r>
        <w:separator/>
      </w:r>
    </w:p>
  </w:footnote>
  <w:footnote w:type="continuationSeparator" w:id="0">
    <w:p w14:paraId="7490F3DB" w14:textId="77777777" w:rsidR="00A10341" w:rsidRDefault="00A10341" w:rsidP="004A504B">
      <w:r>
        <w:continuationSeparator/>
      </w:r>
    </w:p>
  </w:footnote>
  <w:footnote w:id="1">
    <w:p w14:paraId="48DB7374" w14:textId="77777777" w:rsidR="008724B9" w:rsidRPr="00B60240" w:rsidRDefault="008724B9" w:rsidP="00FA1794">
      <w:pPr>
        <w:pStyle w:val="FootnoteText"/>
        <w:rPr>
          <w:lang w:val="en-US"/>
        </w:rPr>
      </w:pPr>
      <w:r w:rsidRPr="00B60240">
        <w:rPr>
          <w:rStyle w:val="FootnoteReference"/>
        </w:rPr>
        <w:footnoteRef/>
      </w:r>
      <w:r w:rsidRPr="00B60240">
        <w:t xml:space="preserve"> </w:t>
      </w:r>
      <w:r w:rsidRPr="00B60240">
        <w:rPr>
          <w:lang w:val="en-US"/>
        </w:rPr>
        <w:t>UNEP/OzL.Pro/ExCom/91/1</w:t>
      </w:r>
      <w:r>
        <w:rPr>
          <w:lang w:val="en-US"/>
        </w:rPr>
        <w:t> </w:t>
      </w:r>
    </w:p>
  </w:footnote>
  <w:footnote w:id="2">
    <w:p w14:paraId="19BB73BF" w14:textId="77777777" w:rsidR="00D27AB2" w:rsidRPr="00E92528" w:rsidRDefault="00D27AB2" w:rsidP="00D27AB2">
      <w:pPr>
        <w:pStyle w:val="FootnoteText"/>
        <w:jc w:val="left"/>
        <w:rPr>
          <w:color w:val="000000"/>
          <w:lang w:val="pt-PT"/>
        </w:rPr>
      </w:pPr>
      <w:r w:rsidRPr="009F235F">
        <w:rPr>
          <w:rStyle w:val="FootnoteReference"/>
        </w:rPr>
        <w:footnoteRef/>
      </w:r>
      <w:r w:rsidRPr="00E92528">
        <w:rPr>
          <w:lang w:val="pt-PT"/>
        </w:rPr>
        <w:t xml:space="preserve"> </w:t>
      </w:r>
      <w:r w:rsidRPr="00E92528">
        <w:rPr>
          <w:color w:val="000000"/>
          <w:lang w:val="pt-PT"/>
        </w:rPr>
        <w:t>UNEP/OzL.Pro/ExCom/88/2/Add.2</w:t>
      </w:r>
    </w:p>
  </w:footnote>
  <w:footnote w:id="3">
    <w:p w14:paraId="47FDAE4C" w14:textId="454C128A" w:rsidR="00D27AB2" w:rsidRPr="007F1368" w:rsidRDefault="00D27AB2" w:rsidP="00D27AB2">
      <w:pPr>
        <w:pStyle w:val="FootnoteText"/>
      </w:pPr>
      <w:r w:rsidRPr="009F235F">
        <w:rPr>
          <w:rStyle w:val="FootnoteReference"/>
        </w:rPr>
        <w:footnoteRef/>
      </w:r>
      <w:r w:rsidRPr="007F1368">
        <w:t xml:space="preserve"> </w:t>
      </w:r>
      <w:r w:rsidRPr="007F1368">
        <w:rPr>
          <w:color w:val="000000"/>
        </w:rPr>
        <w:t>UNEP/</w:t>
      </w:r>
      <w:proofErr w:type="spellStart"/>
      <w:r w:rsidRPr="007F1368">
        <w:rPr>
          <w:color w:val="000000"/>
        </w:rPr>
        <w:t>OzL.Pro</w:t>
      </w:r>
      <w:proofErr w:type="spellEnd"/>
      <w:r w:rsidRPr="007F1368">
        <w:rPr>
          <w:color w:val="000000"/>
        </w:rPr>
        <w:t>/ExCom/88/11/Rev.1</w:t>
      </w:r>
    </w:p>
  </w:footnote>
  <w:footnote w:id="4">
    <w:p w14:paraId="03207F8D" w14:textId="73CC97FB" w:rsidR="00D27AB2" w:rsidRDefault="00D27AB2" w:rsidP="00D27AB2">
      <w:pPr>
        <w:pStyle w:val="FootnoteText"/>
        <w:rPr>
          <w:lang w:val="fr-CA"/>
        </w:rPr>
      </w:pPr>
      <w:r w:rsidRPr="009F235F">
        <w:rPr>
          <w:rStyle w:val="FootnoteReference"/>
        </w:rPr>
        <w:footnoteRef/>
      </w:r>
      <w:r w:rsidRPr="00D60C05">
        <w:rPr>
          <w:lang w:val="fr-CA"/>
        </w:rPr>
        <w:t xml:space="preserve"> Calendrier de remise </w:t>
      </w:r>
      <w:r>
        <w:rPr>
          <w:lang w:val="fr-CA"/>
        </w:rPr>
        <w:t>selon le</w:t>
      </w:r>
      <w:r w:rsidRPr="00D60C05">
        <w:rPr>
          <w:lang w:val="fr-CA"/>
        </w:rPr>
        <w:t xml:space="preserve"> tableau 1 </w:t>
      </w:r>
      <w:r>
        <w:rPr>
          <w:lang w:val="fr-CA"/>
        </w:rPr>
        <w:t>du</w:t>
      </w:r>
      <w:r w:rsidRPr="00D60C05">
        <w:rPr>
          <w:lang w:val="fr-CA"/>
        </w:rPr>
        <w:t xml:space="preserve"> document </w:t>
      </w:r>
      <w:r w:rsidRPr="00D60C05">
        <w:rPr>
          <w:color w:val="000000"/>
          <w:lang w:val="fr-CA"/>
        </w:rPr>
        <w:t>UNEP/</w:t>
      </w:r>
      <w:proofErr w:type="spellStart"/>
      <w:r w:rsidRPr="00D60C05">
        <w:rPr>
          <w:color w:val="000000"/>
          <w:lang w:val="fr-CA"/>
        </w:rPr>
        <w:t>OzL.Pro</w:t>
      </w:r>
      <w:proofErr w:type="spellEnd"/>
      <w:r w:rsidRPr="00D60C05">
        <w:rPr>
          <w:color w:val="000000"/>
          <w:lang w:val="fr-CA"/>
        </w:rPr>
        <w:t>/</w:t>
      </w:r>
      <w:proofErr w:type="spellStart"/>
      <w:r w:rsidRPr="00D60C05">
        <w:rPr>
          <w:color w:val="000000"/>
          <w:lang w:val="fr-CA"/>
        </w:rPr>
        <w:t>ExCom</w:t>
      </w:r>
      <w:proofErr w:type="spellEnd"/>
      <w:r w:rsidRPr="00D60C05">
        <w:rPr>
          <w:color w:val="000000"/>
          <w:lang w:val="fr-CA"/>
        </w:rPr>
        <w:t>/88/11/Rev.1</w:t>
      </w:r>
      <w:r w:rsidRPr="00D60C05">
        <w:rPr>
          <w:lang w:val="fr-CA"/>
        </w:rPr>
        <w:t xml:space="preserve"> </w:t>
      </w:r>
    </w:p>
    <w:p w14:paraId="0AEF6DD3" w14:textId="77777777" w:rsidR="00DF71B7" w:rsidRPr="00D60C05" w:rsidRDefault="00DF71B7" w:rsidP="00D27AB2">
      <w:pPr>
        <w:pStyle w:val="FootnoteText"/>
        <w:rPr>
          <w:lang w:val="fr-CA"/>
        </w:rPr>
      </w:pPr>
    </w:p>
  </w:footnote>
  <w:footnote w:id="5">
    <w:p w14:paraId="10C9E6B1" w14:textId="77777777" w:rsidR="00D27AB2" w:rsidRPr="0001163F" w:rsidRDefault="00D27AB2" w:rsidP="00D27AB2">
      <w:pPr>
        <w:pStyle w:val="FootnoteText"/>
        <w:rPr>
          <w:lang w:val="fr-CA"/>
        </w:rPr>
      </w:pPr>
      <w:r w:rsidRPr="009F235F">
        <w:rPr>
          <w:rStyle w:val="FootnoteReference"/>
        </w:rPr>
        <w:footnoteRef/>
      </w:r>
      <w:r w:rsidRPr="0001163F">
        <w:rPr>
          <w:lang w:val="fr-CA"/>
        </w:rPr>
        <w:t xml:space="preserve"> </w:t>
      </w:r>
      <w:r w:rsidRPr="0001163F">
        <w:rPr>
          <w:color w:val="000000"/>
          <w:lang w:val="fr-CA"/>
        </w:rPr>
        <w:t>UNEP/</w:t>
      </w:r>
      <w:proofErr w:type="spellStart"/>
      <w:r w:rsidRPr="0001163F">
        <w:rPr>
          <w:color w:val="000000"/>
          <w:lang w:val="fr-CA"/>
        </w:rPr>
        <w:t>OzL.Pro</w:t>
      </w:r>
      <w:proofErr w:type="spellEnd"/>
      <w:r w:rsidRPr="0001163F">
        <w:rPr>
          <w:color w:val="000000"/>
          <w:lang w:val="fr-CA"/>
        </w:rPr>
        <w:t>/</w:t>
      </w:r>
      <w:proofErr w:type="spellStart"/>
      <w:r w:rsidRPr="0001163F">
        <w:rPr>
          <w:color w:val="000000"/>
          <w:lang w:val="fr-CA"/>
        </w:rPr>
        <w:t>ExCom</w:t>
      </w:r>
      <w:proofErr w:type="spellEnd"/>
      <w:r w:rsidRPr="0001163F">
        <w:rPr>
          <w:color w:val="000000"/>
          <w:lang w:val="fr-CA"/>
        </w:rPr>
        <w:t>/90/6</w:t>
      </w:r>
    </w:p>
  </w:footnote>
  <w:footnote w:id="6">
    <w:p w14:paraId="2CA3DD0F" w14:textId="77777777" w:rsidR="00D27AB2" w:rsidRPr="0001163F" w:rsidRDefault="00D27AB2" w:rsidP="00D27AB2">
      <w:pPr>
        <w:pStyle w:val="FootnoteText"/>
        <w:rPr>
          <w:lang w:val="fr-CA"/>
        </w:rPr>
      </w:pPr>
      <w:r w:rsidRPr="009F235F">
        <w:rPr>
          <w:rStyle w:val="FootnoteReference"/>
        </w:rPr>
        <w:footnoteRef/>
      </w:r>
      <w:r w:rsidRPr="0001163F">
        <w:rPr>
          <w:lang w:val="fr-CA"/>
        </w:rPr>
        <w:t xml:space="preserve"> </w:t>
      </w:r>
      <w:r w:rsidRPr="0001163F">
        <w:rPr>
          <w:color w:val="000000"/>
          <w:lang w:val="fr-CA"/>
        </w:rPr>
        <w:t>UNEP/</w:t>
      </w:r>
      <w:proofErr w:type="spellStart"/>
      <w:r w:rsidRPr="0001163F">
        <w:rPr>
          <w:color w:val="000000"/>
          <w:lang w:val="fr-CA"/>
        </w:rPr>
        <w:t>OzL.Pro</w:t>
      </w:r>
      <w:proofErr w:type="spellEnd"/>
      <w:r w:rsidRPr="0001163F">
        <w:rPr>
          <w:color w:val="000000"/>
          <w:lang w:val="fr-CA"/>
        </w:rPr>
        <w:t>/</w:t>
      </w:r>
      <w:proofErr w:type="spellStart"/>
      <w:r w:rsidRPr="0001163F">
        <w:rPr>
          <w:color w:val="000000"/>
          <w:lang w:val="fr-CA"/>
        </w:rPr>
        <w:t>ExCom</w:t>
      </w:r>
      <w:proofErr w:type="spellEnd"/>
      <w:r w:rsidRPr="0001163F">
        <w:rPr>
          <w:color w:val="000000"/>
          <w:lang w:val="fr-CA"/>
        </w:rPr>
        <w:t>/90/8</w:t>
      </w:r>
    </w:p>
  </w:footnote>
  <w:footnote w:id="7">
    <w:p w14:paraId="2564613E" w14:textId="77777777" w:rsidR="00D27AB2" w:rsidRPr="0001163F" w:rsidRDefault="00D27AB2" w:rsidP="00D27AB2">
      <w:pPr>
        <w:pStyle w:val="FootnoteText"/>
        <w:rPr>
          <w:lang w:val="fr-CA"/>
        </w:rPr>
      </w:pPr>
      <w:r w:rsidRPr="009F235F">
        <w:rPr>
          <w:rStyle w:val="FootnoteReference"/>
        </w:rPr>
        <w:footnoteRef/>
      </w:r>
      <w:r w:rsidRPr="0001163F">
        <w:rPr>
          <w:lang w:val="fr-CA"/>
        </w:rPr>
        <w:t xml:space="preserve"> </w:t>
      </w:r>
      <w:r w:rsidRPr="0001163F">
        <w:rPr>
          <w:color w:val="000000"/>
          <w:lang w:val="fr-CA"/>
        </w:rPr>
        <w:t>UNEP/</w:t>
      </w:r>
      <w:proofErr w:type="spellStart"/>
      <w:r w:rsidRPr="0001163F">
        <w:rPr>
          <w:color w:val="000000"/>
          <w:lang w:val="fr-CA"/>
        </w:rPr>
        <w:t>OzL.Pro</w:t>
      </w:r>
      <w:proofErr w:type="spellEnd"/>
      <w:r w:rsidRPr="0001163F">
        <w:rPr>
          <w:color w:val="000000"/>
          <w:lang w:val="fr-CA"/>
        </w:rPr>
        <w:t>/</w:t>
      </w:r>
      <w:proofErr w:type="spellStart"/>
      <w:r w:rsidRPr="0001163F">
        <w:rPr>
          <w:color w:val="000000"/>
          <w:lang w:val="fr-CA"/>
        </w:rPr>
        <w:t>ExCom</w:t>
      </w:r>
      <w:proofErr w:type="spellEnd"/>
      <w:r w:rsidRPr="0001163F">
        <w:rPr>
          <w:color w:val="000000"/>
          <w:lang w:val="fr-CA"/>
        </w:rPr>
        <w:t>/90/7</w:t>
      </w:r>
    </w:p>
  </w:footnote>
  <w:footnote w:id="8">
    <w:p w14:paraId="16F3445E" w14:textId="77777777" w:rsidR="00D27AB2" w:rsidRPr="0001163F" w:rsidRDefault="00D27AB2" w:rsidP="00D27AB2">
      <w:pPr>
        <w:pStyle w:val="FootnoteText"/>
        <w:rPr>
          <w:lang w:val="fr-CA"/>
        </w:rPr>
      </w:pPr>
      <w:r w:rsidRPr="009F235F">
        <w:rPr>
          <w:rStyle w:val="FootnoteReference"/>
        </w:rPr>
        <w:footnoteRef/>
      </w:r>
      <w:r w:rsidRPr="0001163F">
        <w:rPr>
          <w:lang w:val="fr-CA"/>
        </w:rPr>
        <w:t xml:space="preserve"> </w:t>
      </w:r>
      <w:r w:rsidRPr="0001163F">
        <w:rPr>
          <w:color w:val="000000"/>
          <w:lang w:val="fr-CA"/>
        </w:rPr>
        <w:t>UNEP/</w:t>
      </w:r>
      <w:proofErr w:type="spellStart"/>
      <w:r w:rsidRPr="0001163F">
        <w:rPr>
          <w:color w:val="000000"/>
          <w:lang w:val="fr-CA"/>
        </w:rPr>
        <w:t>OzL.Pro</w:t>
      </w:r>
      <w:proofErr w:type="spellEnd"/>
      <w:r w:rsidRPr="0001163F">
        <w:rPr>
          <w:color w:val="000000"/>
          <w:lang w:val="fr-CA"/>
        </w:rPr>
        <w:t>/</w:t>
      </w:r>
      <w:proofErr w:type="spellStart"/>
      <w:r w:rsidRPr="0001163F">
        <w:rPr>
          <w:color w:val="000000"/>
          <w:lang w:val="fr-CA"/>
        </w:rPr>
        <w:t>ExCom</w:t>
      </w:r>
      <w:proofErr w:type="spellEnd"/>
      <w:r w:rsidRPr="0001163F">
        <w:rPr>
          <w:color w:val="000000"/>
          <w:lang w:val="fr-CA"/>
        </w:rPr>
        <w:t xml:space="preserve">/91/10 </w:t>
      </w:r>
    </w:p>
  </w:footnote>
  <w:footnote w:id="9">
    <w:p w14:paraId="0D929082" w14:textId="77777777" w:rsidR="00D27AB2" w:rsidRPr="0001163F" w:rsidRDefault="00D27AB2" w:rsidP="00D27AB2">
      <w:pPr>
        <w:pStyle w:val="FootnoteText"/>
        <w:rPr>
          <w:color w:val="000000"/>
          <w:lang w:val="fr-CA"/>
        </w:rPr>
      </w:pPr>
      <w:r w:rsidRPr="009F235F">
        <w:rPr>
          <w:rStyle w:val="FootnoteReference"/>
        </w:rPr>
        <w:footnoteRef/>
      </w:r>
      <w:r w:rsidRPr="0001163F">
        <w:rPr>
          <w:lang w:val="fr-CA"/>
        </w:rPr>
        <w:t xml:space="preserve"> </w:t>
      </w:r>
      <w:r w:rsidRPr="0001163F">
        <w:rPr>
          <w:color w:val="000000"/>
          <w:lang w:val="fr-CA"/>
        </w:rPr>
        <w:t>UNEP/</w:t>
      </w:r>
      <w:proofErr w:type="spellStart"/>
      <w:r w:rsidRPr="0001163F">
        <w:rPr>
          <w:color w:val="000000"/>
          <w:lang w:val="fr-CA"/>
        </w:rPr>
        <w:t>OzL.Pro</w:t>
      </w:r>
      <w:proofErr w:type="spellEnd"/>
      <w:r w:rsidRPr="0001163F">
        <w:rPr>
          <w:color w:val="000000"/>
          <w:lang w:val="fr-CA"/>
        </w:rPr>
        <w:t>/</w:t>
      </w:r>
      <w:proofErr w:type="spellStart"/>
      <w:r w:rsidRPr="0001163F">
        <w:rPr>
          <w:color w:val="000000"/>
          <w:lang w:val="fr-CA"/>
        </w:rPr>
        <w:t>ExCom</w:t>
      </w:r>
      <w:proofErr w:type="spellEnd"/>
      <w:r w:rsidRPr="0001163F">
        <w:rPr>
          <w:color w:val="000000"/>
          <w:lang w:val="fr-CA"/>
        </w:rPr>
        <w:t>/90/10 et UNEP/</w:t>
      </w:r>
      <w:proofErr w:type="spellStart"/>
      <w:r w:rsidRPr="0001163F">
        <w:rPr>
          <w:color w:val="000000"/>
          <w:lang w:val="fr-CA"/>
        </w:rPr>
        <w:t>OzL.Pro</w:t>
      </w:r>
      <w:proofErr w:type="spellEnd"/>
      <w:r w:rsidRPr="0001163F">
        <w:rPr>
          <w:color w:val="000000"/>
          <w:lang w:val="fr-CA"/>
        </w:rPr>
        <w:t>/</w:t>
      </w:r>
      <w:proofErr w:type="spellStart"/>
      <w:r w:rsidRPr="0001163F">
        <w:rPr>
          <w:color w:val="000000"/>
          <w:lang w:val="fr-CA"/>
        </w:rPr>
        <w:t>ExCom</w:t>
      </w:r>
      <w:proofErr w:type="spellEnd"/>
      <w:r w:rsidRPr="0001163F">
        <w:rPr>
          <w:color w:val="000000"/>
          <w:lang w:val="fr-CA"/>
        </w:rPr>
        <w:t>/91/19</w:t>
      </w:r>
    </w:p>
  </w:footnote>
  <w:footnote w:id="10">
    <w:p w14:paraId="4ABE9435" w14:textId="77777777" w:rsidR="00D27AB2" w:rsidRPr="009F235F" w:rsidRDefault="00D27AB2" w:rsidP="00D27AB2">
      <w:pPr>
        <w:pStyle w:val="FootnoteText"/>
        <w:rPr>
          <w:lang w:val="pt-PT"/>
        </w:rPr>
      </w:pPr>
      <w:r w:rsidRPr="009F235F">
        <w:rPr>
          <w:rStyle w:val="FootnoteReference"/>
        </w:rPr>
        <w:footnoteRef/>
      </w:r>
      <w:r w:rsidRPr="009F235F">
        <w:rPr>
          <w:lang w:val="pt-PT"/>
        </w:rPr>
        <w:t xml:space="preserve"> </w:t>
      </w:r>
      <w:r w:rsidRPr="009F235F">
        <w:rPr>
          <w:color w:val="000000"/>
          <w:lang w:val="pt-PT"/>
        </w:rPr>
        <w:t>UNEP/OzL.Pro/ExCom/88/2/Add.1</w:t>
      </w:r>
    </w:p>
  </w:footnote>
  <w:footnote w:id="11">
    <w:p w14:paraId="0C488BF3" w14:textId="77777777" w:rsidR="00D27AB2" w:rsidRPr="00712B74" w:rsidRDefault="00D27AB2" w:rsidP="00D27AB2">
      <w:pPr>
        <w:pStyle w:val="FootnoteText"/>
        <w:rPr>
          <w:lang w:val="fr-CA"/>
        </w:rPr>
      </w:pPr>
      <w:r w:rsidRPr="009F235F">
        <w:rPr>
          <w:rStyle w:val="FootnoteReference"/>
        </w:rPr>
        <w:footnoteRef/>
      </w:r>
      <w:r w:rsidRPr="00C44A87">
        <w:rPr>
          <w:lang w:val="fr-CA"/>
        </w:rPr>
        <w:t xml:space="preserve"> Paragraphe 14 du document </w:t>
      </w:r>
      <w:r w:rsidRPr="00C44A87">
        <w:rPr>
          <w:color w:val="000000"/>
          <w:lang w:val="fr-CA"/>
        </w:rPr>
        <w:t>UNEP/</w:t>
      </w:r>
      <w:proofErr w:type="spellStart"/>
      <w:r w:rsidRPr="00C44A87">
        <w:rPr>
          <w:color w:val="000000"/>
          <w:lang w:val="fr-CA"/>
        </w:rPr>
        <w:t>OzL.Pro</w:t>
      </w:r>
      <w:proofErr w:type="spellEnd"/>
      <w:r w:rsidRPr="00C44A87">
        <w:rPr>
          <w:color w:val="000000"/>
          <w:lang w:val="fr-CA"/>
        </w:rPr>
        <w:t>/</w:t>
      </w:r>
      <w:proofErr w:type="spellStart"/>
      <w:r w:rsidRPr="00C44A87">
        <w:rPr>
          <w:color w:val="000000"/>
          <w:lang w:val="fr-CA"/>
        </w:rPr>
        <w:t>ExCom</w:t>
      </w:r>
      <w:proofErr w:type="spellEnd"/>
      <w:r w:rsidRPr="00C44A87">
        <w:rPr>
          <w:color w:val="000000"/>
          <w:lang w:val="fr-CA"/>
        </w:rPr>
        <w:t>/90/2</w:t>
      </w:r>
    </w:p>
  </w:footnote>
  <w:footnote w:id="12">
    <w:p w14:paraId="562DA2D2" w14:textId="77777777" w:rsidR="00D27AB2" w:rsidRPr="00C44A87" w:rsidRDefault="00D27AB2" w:rsidP="00D27AB2">
      <w:pPr>
        <w:pStyle w:val="FootnoteText"/>
        <w:rPr>
          <w:lang w:val="fr-CA"/>
        </w:rPr>
      </w:pPr>
      <w:r w:rsidRPr="009F235F">
        <w:rPr>
          <w:rStyle w:val="FootnoteReference"/>
        </w:rPr>
        <w:footnoteRef/>
      </w:r>
      <w:r w:rsidRPr="00C44A87">
        <w:rPr>
          <w:lang w:val="fr-CA"/>
        </w:rPr>
        <w:t xml:space="preserve"> Paragraphes 13 à 18 du document </w:t>
      </w:r>
      <w:r w:rsidRPr="00C44A87">
        <w:rPr>
          <w:color w:val="000000"/>
          <w:lang w:val="fr-CA"/>
        </w:rPr>
        <w:t>UNEP/</w:t>
      </w:r>
      <w:proofErr w:type="spellStart"/>
      <w:r w:rsidRPr="00C44A87">
        <w:rPr>
          <w:color w:val="000000"/>
          <w:lang w:val="fr-CA"/>
        </w:rPr>
        <w:t>OzL.Pro</w:t>
      </w:r>
      <w:proofErr w:type="spellEnd"/>
      <w:r w:rsidRPr="00C44A87">
        <w:rPr>
          <w:color w:val="000000"/>
          <w:lang w:val="fr-CA"/>
        </w:rPr>
        <w:t>/</w:t>
      </w:r>
      <w:proofErr w:type="spellStart"/>
      <w:r w:rsidRPr="00C44A87">
        <w:rPr>
          <w:color w:val="000000"/>
          <w:lang w:val="fr-CA"/>
        </w:rPr>
        <w:t>ExCom</w:t>
      </w:r>
      <w:proofErr w:type="spellEnd"/>
      <w:r w:rsidRPr="00C44A87">
        <w:rPr>
          <w:color w:val="000000"/>
          <w:lang w:val="fr-CA"/>
        </w:rPr>
        <w:t>/89/2</w:t>
      </w:r>
    </w:p>
  </w:footnote>
  <w:footnote w:id="13">
    <w:p w14:paraId="2FCC3F50" w14:textId="77777777" w:rsidR="00D27AB2" w:rsidRPr="007D0978" w:rsidRDefault="00D27AB2" w:rsidP="00D27AB2">
      <w:pPr>
        <w:pStyle w:val="FootnoteText"/>
        <w:rPr>
          <w:lang w:val="es-ES"/>
        </w:rPr>
      </w:pPr>
      <w:r w:rsidRPr="00747C61">
        <w:rPr>
          <w:rStyle w:val="FootnoteReference"/>
        </w:rPr>
        <w:footnoteRef/>
      </w:r>
      <w:r w:rsidRPr="00747C61">
        <w:rPr>
          <w:lang w:val="es-ES"/>
        </w:rPr>
        <w:t xml:space="preserve"> </w:t>
      </w:r>
      <w:r w:rsidRPr="00747C61">
        <w:rPr>
          <w:color w:val="000000"/>
          <w:lang w:val="es-ES"/>
        </w:rPr>
        <w:t>UNEP/</w:t>
      </w:r>
      <w:proofErr w:type="spellStart"/>
      <w:r w:rsidRPr="00747C61">
        <w:rPr>
          <w:color w:val="000000"/>
          <w:lang w:val="es-ES"/>
        </w:rPr>
        <w:t>OzL.Pro</w:t>
      </w:r>
      <w:proofErr w:type="spellEnd"/>
      <w:r w:rsidRPr="00747C61">
        <w:rPr>
          <w:color w:val="000000"/>
          <w:lang w:val="es-ES"/>
        </w:rPr>
        <w:t>/</w:t>
      </w:r>
      <w:proofErr w:type="spellStart"/>
      <w:r w:rsidRPr="00747C61">
        <w:rPr>
          <w:color w:val="000000"/>
          <w:lang w:val="es-ES"/>
        </w:rPr>
        <w:t>ExCom</w:t>
      </w:r>
      <w:proofErr w:type="spellEnd"/>
      <w:r w:rsidRPr="00747C61">
        <w:rPr>
          <w:color w:val="000000"/>
          <w:lang w:val="es-ES"/>
        </w:rPr>
        <w:t xml:space="preserve">/89/15, para. </w:t>
      </w:r>
      <w:r w:rsidRPr="007D0978">
        <w:rPr>
          <w:color w:val="000000"/>
          <w:lang w:val="es-ES"/>
        </w:rPr>
        <w:t>16</w:t>
      </w:r>
    </w:p>
  </w:footnote>
  <w:footnote w:id="14">
    <w:p w14:paraId="49A59E8D" w14:textId="77777777" w:rsidR="00D27AB2" w:rsidRPr="007D0978" w:rsidRDefault="00D27AB2" w:rsidP="00D27AB2">
      <w:pPr>
        <w:pStyle w:val="FootnoteText"/>
        <w:rPr>
          <w:lang w:val="es-ES"/>
        </w:rPr>
      </w:pPr>
      <w:r w:rsidRPr="00747C61">
        <w:rPr>
          <w:rStyle w:val="FootnoteReference"/>
        </w:rPr>
        <w:footnoteRef/>
      </w:r>
      <w:r w:rsidRPr="007D0978">
        <w:rPr>
          <w:lang w:val="es-ES"/>
        </w:rPr>
        <w:t xml:space="preserve"> </w:t>
      </w:r>
      <w:r w:rsidRPr="007D0978">
        <w:rPr>
          <w:color w:val="000000"/>
          <w:lang w:val="es-ES"/>
        </w:rPr>
        <w:t>UNEP/</w:t>
      </w:r>
      <w:proofErr w:type="spellStart"/>
      <w:r w:rsidRPr="007D0978">
        <w:rPr>
          <w:color w:val="000000"/>
          <w:lang w:val="es-ES"/>
        </w:rPr>
        <w:t>OzL.Pro</w:t>
      </w:r>
      <w:proofErr w:type="spellEnd"/>
      <w:r w:rsidRPr="007D0978">
        <w:rPr>
          <w:color w:val="000000"/>
          <w:lang w:val="es-ES"/>
        </w:rPr>
        <w:t>/</w:t>
      </w:r>
      <w:proofErr w:type="spellStart"/>
      <w:r w:rsidRPr="007D0978">
        <w:rPr>
          <w:color w:val="000000"/>
          <w:lang w:val="es-ES"/>
        </w:rPr>
        <w:t>ExCom</w:t>
      </w:r>
      <w:proofErr w:type="spellEnd"/>
      <w:r w:rsidRPr="007D0978">
        <w:rPr>
          <w:color w:val="000000"/>
          <w:lang w:val="es-ES"/>
        </w:rPr>
        <w:t>/90/10</w:t>
      </w:r>
    </w:p>
  </w:footnote>
  <w:footnote w:id="15">
    <w:p w14:paraId="71C073CB" w14:textId="77777777" w:rsidR="00D27AB2" w:rsidRPr="007D0978" w:rsidRDefault="00D27AB2" w:rsidP="00D27AB2">
      <w:pPr>
        <w:pStyle w:val="FootnoteText"/>
        <w:rPr>
          <w:lang w:val="es-ES"/>
        </w:rPr>
      </w:pPr>
      <w:r>
        <w:rPr>
          <w:rStyle w:val="FootnoteReference"/>
        </w:rPr>
        <w:footnoteRef/>
      </w:r>
      <w:r w:rsidRPr="007D0978">
        <w:rPr>
          <w:lang w:val="es-ES"/>
        </w:rPr>
        <w:t xml:space="preserve"> UNEP/</w:t>
      </w:r>
      <w:proofErr w:type="spellStart"/>
      <w:r w:rsidRPr="007D0978">
        <w:rPr>
          <w:lang w:val="es-ES"/>
        </w:rPr>
        <w:t>OzL.Pro</w:t>
      </w:r>
      <w:proofErr w:type="spellEnd"/>
      <w:r w:rsidRPr="007D0978">
        <w:rPr>
          <w:lang w:val="es-ES"/>
        </w:rPr>
        <w:t>/</w:t>
      </w:r>
      <w:proofErr w:type="spellStart"/>
      <w:r w:rsidRPr="007D0978">
        <w:rPr>
          <w:lang w:val="es-ES"/>
        </w:rPr>
        <w:t>ExCom</w:t>
      </w:r>
      <w:proofErr w:type="spellEnd"/>
      <w:r w:rsidRPr="007D0978">
        <w:rPr>
          <w:lang w:val="es-ES"/>
        </w:rPr>
        <w:t>/52/9.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4A101" w14:textId="1B04A0C1" w:rsidR="008724B9" w:rsidRDefault="00DF71B7" w:rsidP="00B90476">
    <w:r>
      <w:fldChar w:fldCharType="begin"/>
    </w:r>
    <w:r>
      <w:instrText xml:space="preserve"> DOCPROPERTY  "Document number"  \* MERGEFORMAT </w:instrText>
    </w:r>
    <w:r>
      <w:fldChar w:fldCharType="separate"/>
    </w:r>
    <w:r w:rsidR="00AF54D2">
      <w:t>UNEP/</w:t>
    </w:r>
    <w:proofErr w:type="spellStart"/>
    <w:r w:rsidR="00AF54D2">
      <w:t>OzL.Pro</w:t>
    </w:r>
    <w:proofErr w:type="spellEnd"/>
    <w:r w:rsidR="00AF54D2">
      <w:t>/ExCom/91/11/Rev.1</w:t>
    </w:r>
    <w:r>
      <w:fldChar w:fldCharType="end"/>
    </w:r>
  </w:p>
  <w:p w14:paraId="6B954300" w14:textId="42C01F3A" w:rsidR="008724B9" w:rsidRDefault="008724B9"/>
  <w:p w14:paraId="5F7AB9C1" w14:textId="77777777" w:rsidR="00712B74" w:rsidRPr="0033525D" w:rsidRDefault="00712B7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A38FB" w14:textId="236DA823" w:rsidR="008724B9" w:rsidRPr="0033525D" w:rsidRDefault="00DF71B7" w:rsidP="0001163F">
    <w:pPr>
      <w:jc w:val="right"/>
    </w:pPr>
    <w:r>
      <w:fldChar w:fldCharType="begin"/>
    </w:r>
    <w:r>
      <w:instrText xml:space="preserve"> DOCPROPERTY "Document number"  \* MERGEFORMAT </w:instrText>
    </w:r>
    <w:r>
      <w:fldChar w:fldCharType="separate"/>
    </w:r>
    <w:r w:rsidR="00AF54D2">
      <w:t>UNEP/</w:t>
    </w:r>
    <w:proofErr w:type="spellStart"/>
    <w:r w:rsidR="00AF54D2">
      <w:t>OzL.Pro</w:t>
    </w:r>
    <w:proofErr w:type="spellEnd"/>
    <w:r w:rsidR="00AF54D2">
      <w:t>/ExCom/91/11/Rev.1</w:t>
    </w:r>
    <w:r>
      <w:fldChar w:fldCharType="end"/>
    </w:r>
  </w:p>
  <w:p w14:paraId="0501B464" w14:textId="543C1FED" w:rsidR="008724B9" w:rsidRDefault="008724B9">
    <w:pPr>
      <w:pStyle w:val="Header"/>
    </w:pPr>
  </w:p>
  <w:p w14:paraId="21A1B2B2" w14:textId="77777777" w:rsidR="00956BC9" w:rsidRPr="0033525D" w:rsidRDefault="00956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3361A5A"/>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BBE6D3F"/>
    <w:multiLevelType w:val="hybridMultilevel"/>
    <w:tmpl w:val="BA28289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2" w15:restartNumberingAfterBreak="0">
    <w:nsid w:val="25F26339"/>
    <w:multiLevelType w:val="hybridMultilevel"/>
    <w:tmpl w:val="5604460E"/>
    <w:lvl w:ilvl="0" w:tplc="D5A481DA">
      <w:start w:val="1"/>
      <w:numFmt w:val="decimal"/>
      <w:lvlText w:val="%1."/>
      <w:lvlJc w:val="left"/>
      <w:pPr>
        <w:ind w:left="6570" w:hanging="360"/>
      </w:pPr>
      <w:rPr>
        <w:rFonts w:hint="default"/>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2C55BC8"/>
    <w:multiLevelType w:val="hybridMultilevel"/>
    <w:tmpl w:val="9C108C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6A16D4"/>
    <w:multiLevelType w:val="hybridMultilevel"/>
    <w:tmpl w:val="64021716"/>
    <w:lvl w:ilvl="0" w:tplc="1B828DFC">
      <w:start w:val="1"/>
      <w:numFmt w:val="lowerRoman"/>
      <w:lvlText w:val="(%1)"/>
      <w:lvlJc w:val="left"/>
      <w:pPr>
        <w:ind w:left="3012" w:hanging="720"/>
      </w:pPr>
      <w:rPr>
        <w:rFonts w:hint="default"/>
      </w:rPr>
    </w:lvl>
    <w:lvl w:ilvl="1" w:tplc="04090019">
      <w:start w:val="1"/>
      <w:numFmt w:val="lowerLetter"/>
      <w:lvlText w:val="%2."/>
      <w:lvlJc w:val="left"/>
      <w:pPr>
        <w:ind w:left="3372" w:hanging="360"/>
      </w:pPr>
    </w:lvl>
    <w:lvl w:ilvl="2" w:tplc="0409001B" w:tentative="1">
      <w:start w:val="1"/>
      <w:numFmt w:val="lowerRoman"/>
      <w:lvlText w:val="%3."/>
      <w:lvlJc w:val="right"/>
      <w:pPr>
        <w:ind w:left="4092" w:hanging="180"/>
      </w:pPr>
    </w:lvl>
    <w:lvl w:ilvl="3" w:tplc="0409000F" w:tentative="1">
      <w:start w:val="1"/>
      <w:numFmt w:val="decimal"/>
      <w:lvlText w:val="%4."/>
      <w:lvlJc w:val="left"/>
      <w:pPr>
        <w:ind w:left="4812" w:hanging="360"/>
      </w:pPr>
    </w:lvl>
    <w:lvl w:ilvl="4" w:tplc="04090019" w:tentative="1">
      <w:start w:val="1"/>
      <w:numFmt w:val="lowerLetter"/>
      <w:lvlText w:val="%5."/>
      <w:lvlJc w:val="left"/>
      <w:pPr>
        <w:ind w:left="5532" w:hanging="360"/>
      </w:pPr>
    </w:lvl>
    <w:lvl w:ilvl="5" w:tplc="0409001B" w:tentative="1">
      <w:start w:val="1"/>
      <w:numFmt w:val="lowerRoman"/>
      <w:lvlText w:val="%6."/>
      <w:lvlJc w:val="right"/>
      <w:pPr>
        <w:ind w:left="6252" w:hanging="180"/>
      </w:pPr>
    </w:lvl>
    <w:lvl w:ilvl="6" w:tplc="0409000F" w:tentative="1">
      <w:start w:val="1"/>
      <w:numFmt w:val="decimal"/>
      <w:lvlText w:val="%7."/>
      <w:lvlJc w:val="left"/>
      <w:pPr>
        <w:ind w:left="6972" w:hanging="360"/>
      </w:pPr>
    </w:lvl>
    <w:lvl w:ilvl="7" w:tplc="04090019" w:tentative="1">
      <w:start w:val="1"/>
      <w:numFmt w:val="lowerLetter"/>
      <w:lvlText w:val="%8."/>
      <w:lvlJc w:val="left"/>
      <w:pPr>
        <w:ind w:left="7692" w:hanging="360"/>
      </w:pPr>
    </w:lvl>
    <w:lvl w:ilvl="8" w:tplc="0409001B" w:tentative="1">
      <w:start w:val="1"/>
      <w:numFmt w:val="lowerRoman"/>
      <w:lvlText w:val="%9."/>
      <w:lvlJc w:val="right"/>
      <w:pPr>
        <w:ind w:left="8412" w:hanging="180"/>
      </w:pPr>
    </w:lvl>
  </w:abstractNum>
  <w:abstractNum w:abstractNumId="17" w15:restartNumberingAfterBreak="0">
    <w:nsid w:val="38F55638"/>
    <w:multiLevelType w:val="hybridMultilevel"/>
    <w:tmpl w:val="BD04FB8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2172C34"/>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4D04A6"/>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D6E16B6"/>
    <w:multiLevelType w:val="hybridMultilevel"/>
    <w:tmpl w:val="EA24FB92"/>
    <w:lvl w:ilvl="0" w:tplc="0C0C0017">
      <w:start w:val="1"/>
      <w:numFmt w:val="lowerLetter"/>
      <w:lvlText w:val="%1)"/>
      <w:lvlJc w:val="left"/>
      <w:pPr>
        <w:ind w:left="6390" w:hanging="360"/>
      </w:pPr>
      <w:rPr>
        <w:rFonts w:hint="default"/>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23" w15:restartNumberingAfterBreak="0">
    <w:nsid w:val="611E7804"/>
    <w:multiLevelType w:val="multilevel"/>
    <w:tmpl w:val="00B8C9C0"/>
    <w:lvl w:ilvl="0">
      <w:start w:val="1"/>
      <w:numFmt w:val="lowerLetter"/>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616A6190"/>
    <w:multiLevelType w:val="hybridMultilevel"/>
    <w:tmpl w:val="024A4708"/>
    <w:lvl w:ilvl="0" w:tplc="10090001">
      <w:start w:val="1"/>
      <w:numFmt w:val="bullet"/>
      <w:lvlText w:val=""/>
      <w:lvlJc w:val="left"/>
      <w:pPr>
        <w:ind w:left="742" w:hanging="360"/>
      </w:pPr>
      <w:rPr>
        <w:rFonts w:ascii="Symbol" w:hAnsi="Symbol" w:hint="default"/>
      </w:rPr>
    </w:lvl>
    <w:lvl w:ilvl="1" w:tplc="04090019" w:tentative="1">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25" w15:restartNumberingAfterBreak="0">
    <w:nsid w:val="62703405"/>
    <w:multiLevelType w:val="multilevel"/>
    <w:tmpl w:val="AD065E3C"/>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656C2208"/>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94E2983"/>
    <w:multiLevelType w:val="hybridMultilevel"/>
    <w:tmpl w:val="8A9AB33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749012E3"/>
    <w:multiLevelType w:val="hybridMultilevel"/>
    <w:tmpl w:val="A320761E"/>
    <w:lvl w:ilvl="0" w:tplc="AC1E84E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767F44E3"/>
    <w:multiLevelType w:val="hybridMultilevel"/>
    <w:tmpl w:val="E04424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69115156">
    <w:abstractNumId w:val="10"/>
  </w:num>
  <w:num w:numId="2" w16cid:durableId="1252933043">
    <w:abstractNumId w:val="10"/>
  </w:num>
  <w:num w:numId="3" w16cid:durableId="103236396">
    <w:abstractNumId w:val="10"/>
  </w:num>
  <w:num w:numId="4" w16cid:durableId="1088429458">
    <w:abstractNumId w:val="10"/>
  </w:num>
  <w:num w:numId="5" w16cid:durableId="864563038">
    <w:abstractNumId w:val="10"/>
  </w:num>
  <w:num w:numId="6" w16cid:durableId="1348823142">
    <w:abstractNumId w:val="9"/>
  </w:num>
  <w:num w:numId="7" w16cid:durableId="68966578">
    <w:abstractNumId w:val="7"/>
  </w:num>
  <w:num w:numId="8" w16cid:durableId="383145411">
    <w:abstractNumId w:val="6"/>
  </w:num>
  <w:num w:numId="9" w16cid:durableId="972640525">
    <w:abstractNumId w:val="5"/>
  </w:num>
  <w:num w:numId="10" w16cid:durableId="754740259">
    <w:abstractNumId w:val="4"/>
  </w:num>
  <w:num w:numId="11" w16cid:durableId="1543203097">
    <w:abstractNumId w:val="8"/>
  </w:num>
  <w:num w:numId="12" w16cid:durableId="990867999">
    <w:abstractNumId w:val="3"/>
  </w:num>
  <w:num w:numId="13" w16cid:durableId="830217743">
    <w:abstractNumId w:val="2"/>
  </w:num>
  <w:num w:numId="14" w16cid:durableId="1789928449">
    <w:abstractNumId w:val="1"/>
  </w:num>
  <w:num w:numId="15" w16cid:durableId="1927113527">
    <w:abstractNumId w:val="0"/>
  </w:num>
  <w:num w:numId="16" w16cid:durableId="1114209258">
    <w:abstractNumId w:val="13"/>
  </w:num>
  <w:num w:numId="17" w16cid:durableId="1062874998">
    <w:abstractNumId w:val="20"/>
  </w:num>
  <w:num w:numId="18" w16cid:durableId="1106000212">
    <w:abstractNumId w:val="21"/>
  </w:num>
  <w:num w:numId="19" w16cid:durableId="492257997">
    <w:abstractNumId w:val="30"/>
  </w:num>
  <w:num w:numId="20" w16cid:durableId="104421798">
    <w:abstractNumId w:val="14"/>
  </w:num>
  <w:num w:numId="21" w16cid:durableId="9496293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1565517">
    <w:abstractNumId w:val="24"/>
  </w:num>
  <w:num w:numId="23" w16cid:durableId="298536382">
    <w:abstractNumId w:val="11"/>
  </w:num>
  <w:num w:numId="24" w16cid:durableId="1644044858">
    <w:abstractNumId w:val="10"/>
  </w:num>
  <w:num w:numId="25" w16cid:durableId="1059936537">
    <w:abstractNumId w:val="10"/>
  </w:num>
  <w:num w:numId="26" w16cid:durableId="1529753281">
    <w:abstractNumId w:val="10"/>
  </w:num>
  <w:num w:numId="27" w16cid:durableId="1910385440">
    <w:abstractNumId w:val="10"/>
  </w:num>
  <w:num w:numId="28" w16cid:durableId="1787499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25556504">
    <w:abstractNumId w:val="10"/>
  </w:num>
  <w:num w:numId="30" w16cid:durableId="3260577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9646374">
    <w:abstractNumId w:val="10"/>
  </w:num>
  <w:num w:numId="32" w16cid:durableId="1142624520">
    <w:abstractNumId w:val="10"/>
  </w:num>
  <w:num w:numId="33" w16cid:durableId="1663851195">
    <w:abstractNumId w:val="10"/>
  </w:num>
  <w:num w:numId="34" w16cid:durableId="1342078492">
    <w:abstractNumId w:val="10"/>
  </w:num>
  <w:num w:numId="35" w16cid:durableId="1701003403">
    <w:abstractNumId w:val="10"/>
  </w:num>
  <w:num w:numId="36" w16cid:durableId="810559001">
    <w:abstractNumId w:val="25"/>
  </w:num>
  <w:num w:numId="37" w16cid:durableId="1328241923">
    <w:abstractNumId w:val="23"/>
  </w:num>
  <w:num w:numId="38" w16cid:durableId="2131849693">
    <w:abstractNumId w:val="15"/>
  </w:num>
  <w:num w:numId="39" w16cid:durableId="454833523">
    <w:abstractNumId w:val="17"/>
  </w:num>
  <w:num w:numId="40" w16cid:durableId="1962832805">
    <w:abstractNumId w:val="27"/>
  </w:num>
  <w:num w:numId="41" w16cid:durableId="453331139">
    <w:abstractNumId w:val="10"/>
  </w:num>
  <w:num w:numId="42" w16cid:durableId="972515454">
    <w:abstractNumId w:val="18"/>
  </w:num>
  <w:num w:numId="43" w16cid:durableId="300236372">
    <w:abstractNumId w:val="12"/>
  </w:num>
  <w:num w:numId="44" w16cid:durableId="1474954263">
    <w:abstractNumId w:val="26"/>
  </w:num>
  <w:num w:numId="45" w16cid:durableId="2111123398">
    <w:abstractNumId w:val="19"/>
  </w:num>
  <w:num w:numId="46" w16cid:durableId="648091212">
    <w:abstractNumId w:val="22"/>
  </w:num>
  <w:num w:numId="47" w16cid:durableId="598565149">
    <w:abstractNumId w:val="29"/>
  </w:num>
  <w:num w:numId="48" w16cid:durableId="1588882405">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removePersonalInformation/>
  <w:removeDateAndTime/>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37413"/>
    <w:rsid w:val="00000FED"/>
    <w:rsid w:val="00002380"/>
    <w:rsid w:val="0000434E"/>
    <w:rsid w:val="00004A6D"/>
    <w:rsid w:val="00006E8D"/>
    <w:rsid w:val="00007132"/>
    <w:rsid w:val="00007FDE"/>
    <w:rsid w:val="0001163F"/>
    <w:rsid w:val="0001391B"/>
    <w:rsid w:val="000211A9"/>
    <w:rsid w:val="00025ADA"/>
    <w:rsid w:val="00027903"/>
    <w:rsid w:val="00031260"/>
    <w:rsid w:val="00034B04"/>
    <w:rsid w:val="000359D6"/>
    <w:rsid w:val="0003681A"/>
    <w:rsid w:val="000372B7"/>
    <w:rsid w:val="00042901"/>
    <w:rsid w:val="000466C4"/>
    <w:rsid w:val="0004780D"/>
    <w:rsid w:val="00050F6E"/>
    <w:rsid w:val="000515D6"/>
    <w:rsid w:val="000537EE"/>
    <w:rsid w:val="0006021F"/>
    <w:rsid w:val="00061707"/>
    <w:rsid w:val="00061EC2"/>
    <w:rsid w:val="00064CF7"/>
    <w:rsid w:val="0006691A"/>
    <w:rsid w:val="00066CE8"/>
    <w:rsid w:val="00066D0A"/>
    <w:rsid w:val="00067EEF"/>
    <w:rsid w:val="00071936"/>
    <w:rsid w:val="00075104"/>
    <w:rsid w:val="000773CC"/>
    <w:rsid w:val="00077812"/>
    <w:rsid w:val="00080ED0"/>
    <w:rsid w:val="0008171D"/>
    <w:rsid w:val="00081F8A"/>
    <w:rsid w:val="00084B87"/>
    <w:rsid w:val="00085B8F"/>
    <w:rsid w:val="00086E67"/>
    <w:rsid w:val="00087C95"/>
    <w:rsid w:val="00090481"/>
    <w:rsid w:val="0009397B"/>
    <w:rsid w:val="00093B10"/>
    <w:rsid w:val="00094508"/>
    <w:rsid w:val="000950C7"/>
    <w:rsid w:val="00095947"/>
    <w:rsid w:val="00096D05"/>
    <w:rsid w:val="00096D0F"/>
    <w:rsid w:val="00097C03"/>
    <w:rsid w:val="000A12A9"/>
    <w:rsid w:val="000A1675"/>
    <w:rsid w:val="000A204F"/>
    <w:rsid w:val="000A3826"/>
    <w:rsid w:val="000A5423"/>
    <w:rsid w:val="000A54CF"/>
    <w:rsid w:val="000A6C26"/>
    <w:rsid w:val="000A7230"/>
    <w:rsid w:val="000B3F98"/>
    <w:rsid w:val="000B4F11"/>
    <w:rsid w:val="000B77C6"/>
    <w:rsid w:val="000C1B62"/>
    <w:rsid w:val="000C4DAA"/>
    <w:rsid w:val="000C6DF5"/>
    <w:rsid w:val="000C7138"/>
    <w:rsid w:val="000C767F"/>
    <w:rsid w:val="000D13AE"/>
    <w:rsid w:val="000D52A4"/>
    <w:rsid w:val="000D6617"/>
    <w:rsid w:val="000D696D"/>
    <w:rsid w:val="000D6EC7"/>
    <w:rsid w:val="000D710D"/>
    <w:rsid w:val="000E014B"/>
    <w:rsid w:val="000E07BC"/>
    <w:rsid w:val="000E6E43"/>
    <w:rsid w:val="000F1CD4"/>
    <w:rsid w:val="000F21EA"/>
    <w:rsid w:val="000F2510"/>
    <w:rsid w:val="000F2FEB"/>
    <w:rsid w:val="000F3EA1"/>
    <w:rsid w:val="000F4103"/>
    <w:rsid w:val="000F4F5D"/>
    <w:rsid w:val="000F70A7"/>
    <w:rsid w:val="00100D34"/>
    <w:rsid w:val="00101E90"/>
    <w:rsid w:val="00103411"/>
    <w:rsid w:val="00106BD9"/>
    <w:rsid w:val="00110D69"/>
    <w:rsid w:val="00111AE7"/>
    <w:rsid w:val="00113CCA"/>
    <w:rsid w:val="00116D75"/>
    <w:rsid w:val="00116E12"/>
    <w:rsid w:val="00122CB9"/>
    <w:rsid w:val="00122F25"/>
    <w:rsid w:val="00122F7D"/>
    <w:rsid w:val="00135980"/>
    <w:rsid w:val="0014135B"/>
    <w:rsid w:val="00144284"/>
    <w:rsid w:val="0014469D"/>
    <w:rsid w:val="0015079D"/>
    <w:rsid w:val="00153D08"/>
    <w:rsid w:val="00160047"/>
    <w:rsid w:val="00160B39"/>
    <w:rsid w:val="001639DA"/>
    <w:rsid w:val="00164719"/>
    <w:rsid w:val="00165870"/>
    <w:rsid w:val="001666F0"/>
    <w:rsid w:val="00166FC4"/>
    <w:rsid w:val="001677AC"/>
    <w:rsid w:val="00170BF7"/>
    <w:rsid w:val="001713B3"/>
    <w:rsid w:val="00172E51"/>
    <w:rsid w:val="0017395A"/>
    <w:rsid w:val="001740AF"/>
    <w:rsid w:val="00174F28"/>
    <w:rsid w:val="00175C7E"/>
    <w:rsid w:val="001804EA"/>
    <w:rsid w:val="00181217"/>
    <w:rsid w:val="00181336"/>
    <w:rsid w:val="00182D0F"/>
    <w:rsid w:val="00185FE1"/>
    <w:rsid w:val="00190651"/>
    <w:rsid w:val="00190A61"/>
    <w:rsid w:val="00190EBF"/>
    <w:rsid w:val="001933B6"/>
    <w:rsid w:val="001938B6"/>
    <w:rsid w:val="0019650D"/>
    <w:rsid w:val="00197EE7"/>
    <w:rsid w:val="001A00E0"/>
    <w:rsid w:val="001A2215"/>
    <w:rsid w:val="001A3342"/>
    <w:rsid w:val="001A3E3D"/>
    <w:rsid w:val="001A7049"/>
    <w:rsid w:val="001B0B0B"/>
    <w:rsid w:val="001B1019"/>
    <w:rsid w:val="001B1E40"/>
    <w:rsid w:val="001B2A4F"/>
    <w:rsid w:val="001B4302"/>
    <w:rsid w:val="001B6DE1"/>
    <w:rsid w:val="001C186D"/>
    <w:rsid w:val="001C1DF7"/>
    <w:rsid w:val="001C3191"/>
    <w:rsid w:val="001C4620"/>
    <w:rsid w:val="001C6B50"/>
    <w:rsid w:val="001C764E"/>
    <w:rsid w:val="001D03E9"/>
    <w:rsid w:val="001D1927"/>
    <w:rsid w:val="001D4A7C"/>
    <w:rsid w:val="001D5571"/>
    <w:rsid w:val="001D5EC8"/>
    <w:rsid w:val="001D615B"/>
    <w:rsid w:val="001D6FF2"/>
    <w:rsid w:val="001D7B2E"/>
    <w:rsid w:val="001E1052"/>
    <w:rsid w:val="001E1D57"/>
    <w:rsid w:val="001E20FA"/>
    <w:rsid w:val="001E21B1"/>
    <w:rsid w:val="001E2F93"/>
    <w:rsid w:val="001E4225"/>
    <w:rsid w:val="001E4554"/>
    <w:rsid w:val="001E50BB"/>
    <w:rsid w:val="001E61E5"/>
    <w:rsid w:val="001E7C97"/>
    <w:rsid w:val="001F141E"/>
    <w:rsid w:val="001F2159"/>
    <w:rsid w:val="001F3F4F"/>
    <w:rsid w:val="001F7E94"/>
    <w:rsid w:val="00201706"/>
    <w:rsid w:val="00201E3B"/>
    <w:rsid w:val="002042FB"/>
    <w:rsid w:val="002063F5"/>
    <w:rsid w:val="002068E6"/>
    <w:rsid w:val="00206D03"/>
    <w:rsid w:val="0020784C"/>
    <w:rsid w:val="002109B4"/>
    <w:rsid w:val="00210B8B"/>
    <w:rsid w:val="00210E04"/>
    <w:rsid w:val="002134E4"/>
    <w:rsid w:val="002137DE"/>
    <w:rsid w:val="00214250"/>
    <w:rsid w:val="00214863"/>
    <w:rsid w:val="002156B4"/>
    <w:rsid w:val="00217CB4"/>
    <w:rsid w:val="00222254"/>
    <w:rsid w:val="00224FCD"/>
    <w:rsid w:val="00225061"/>
    <w:rsid w:val="00234EFC"/>
    <w:rsid w:val="002366D4"/>
    <w:rsid w:val="002432D8"/>
    <w:rsid w:val="00247721"/>
    <w:rsid w:val="00253222"/>
    <w:rsid w:val="00260788"/>
    <w:rsid w:val="00262847"/>
    <w:rsid w:val="002672D3"/>
    <w:rsid w:val="00267344"/>
    <w:rsid w:val="0026782D"/>
    <w:rsid w:val="00281BB2"/>
    <w:rsid w:val="00281FEA"/>
    <w:rsid w:val="002955A1"/>
    <w:rsid w:val="002A2C4E"/>
    <w:rsid w:val="002A4EBF"/>
    <w:rsid w:val="002B22E5"/>
    <w:rsid w:val="002B254E"/>
    <w:rsid w:val="002B6624"/>
    <w:rsid w:val="002B72E9"/>
    <w:rsid w:val="002C09C2"/>
    <w:rsid w:val="002C0EBF"/>
    <w:rsid w:val="002C6DB4"/>
    <w:rsid w:val="002C7998"/>
    <w:rsid w:val="002D126A"/>
    <w:rsid w:val="002D3965"/>
    <w:rsid w:val="002D64EF"/>
    <w:rsid w:val="002E284E"/>
    <w:rsid w:val="002E7961"/>
    <w:rsid w:val="002F1E53"/>
    <w:rsid w:val="002F239E"/>
    <w:rsid w:val="002F2CAA"/>
    <w:rsid w:val="002F35B1"/>
    <w:rsid w:val="002F4696"/>
    <w:rsid w:val="002F52A1"/>
    <w:rsid w:val="0030052C"/>
    <w:rsid w:val="00300FB6"/>
    <w:rsid w:val="00302D5D"/>
    <w:rsid w:val="00303905"/>
    <w:rsid w:val="00304DEA"/>
    <w:rsid w:val="00306F6B"/>
    <w:rsid w:val="003138A7"/>
    <w:rsid w:val="00313C09"/>
    <w:rsid w:val="00316A81"/>
    <w:rsid w:val="0031709D"/>
    <w:rsid w:val="003204FF"/>
    <w:rsid w:val="00321974"/>
    <w:rsid w:val="00327894"/>
    <w:rsid w:val="003306E1"/>
    <w:rsid w:val="003320E4"/>
    <w:rsid w:val="0033525D"/>
    <w:rsid w:val="00337FF7"/>
    <w:rsid w:val="003414F3"/>
    <w:rsid w:val="00342A96"/>
    <w:rsid w:val="00355B46"/>
    <w:rsid w:val="0035613E"/>
    <w:rsid w:val="00362C11"/>
    <w:rsid w:val="003633BB"/>
    <w:rsid w:val="00363EE9"/>
    <w:rsid w:val="0036483D"/>
    <w:rsid w:val="003655AC"/>
    <w:rsid w:val="00371AF0"/>
    <w:rsid w:val="00372B67"/>
    <w:rsid w:val="00376128"/>
    <w:rsid w:val="003771BF"/>
    <w:rsid w:val="0037742E"/>
    <w:rsid w:val="00377D56"/>
    <w:rsid w:val="00380494"/>
    <w:rsid w:val="0038245A"/>
    <w:rsid w:val="00383756"/>
    <w:rsid w:val="003840E6"/>
    <w:rsid w:val="00385CFC"/>
    <w:rsid w:val="00387A9D"/>
    <w:rsid w:val="00387EAA"/>
    <w:rsid w:val="0039337A"/>
    <w:rsid w:val="00393E99"/>
    <w:rsid w:val="003947AA"/>
    <w:rsid w:val="003A02FC"/>
    <w:rsid w:val="003A2E32"/>
    <w:rsid w:val="003A2E49"/>
    <w:rsid w:val="003A3189"/>
    <w:rsid w:val="003A3CA7"/>
    <w:rsid w:val="003A4609"/>
    <w:rsid w:val="003A7129"/>
    <w:rsid w:val="003B1975"/>
    <w:rsid w:val="003B2010"/>
    <w:rsid w:val="003B33BD"/>
    <w:rsid w:val="003B5164"/>
    <w:rsid w:val="003B5617"/>
    <w:rsid w:val="003B569D"/>
    <w:rsid w:val="003B56B2"/>
    <w:rsid w:val="003C09E6"/>
    <w:rsid w:val="003C3C0E"/>
    <w:rsid w:val="003C50F3"/>
    <w:rsid w:val="003C6108"/>
    <w:rsid w:val="003D1FBF"/>
    <w:rsid w:val="003D2839"/>
    <w:rsid w:val="003D42A6"/>
    <w:rsid w:val="003D4F21"/>
    <w:rsid w:val="003D4FAC"/>
    <w:rsid w:val="003D609B"/>
    <w:rsid w:val="003D6896"/>
    <w:rsid w:val="003D6AD4"/>
    <w:rsid w:val="003E24F3"/>
    <w:rsid w:val="003E3057"/>
    <w:rsid w:val="003E7906"/>
    <w:rsid w:val="003F14A8"/>
    <w:rsid w:val="003F34D2"/>
    <w:rsid w:val="003F3C50"/>
    <w:rsid w:val="003F4290"/>
    <w:rsid w:val="003F503B"/>
    <w:rsid w:val="003F5E7E"/>
    <w:rsid w:val="003F7B4B"/>
    <w:rsid w:val="003F7D4D"/>
    <w:rsid w:val="003F7DB4"/>
    <w:rsid w:val="0040225C"/>
    <w:rsid w:val="00403E53"/>
    <w:rsid w:val="00404022"/>
    <w:rsid w:val="00406A6A"/>
    <w:rsid w:val="00406B22"/>
    <w:rsid w:val="0042017F"/>
    <w:rsid w:val="004203E6"/>
    <w:rsid w:val="00425BA1"/>
    <w:rsid w:val="00430EFD"/>
    <w:rsid w:val="00432058"/>
    <w:rsid w:val="004328A7"/>
    <w:rsid w:val="004332AD"/>
    <w:rsid w:val="00433713"/>
    <w:rsid w:val="00434C74"/>
    <w:rsid w:val="004366A9"/>
    <w:rsid w:val="00444E2A"/>
    <w:rsid w:val="004525F1"/>
    <w:rsid w:val="00453CFF"/>
    <w:rsid w:val="00455BB3"/>
    <w:rsid w:val="00456BD5"/>
    <w:rsid w:val="00456EB4"/>
    <w:rsid w:val="00456EDE"/>
    <w:rsid w:val="004625EC"/>
    <w:rsid w:val="004702C4"/>
    <w:rsid w:val="00470572"/>
    <w:rsid w:val="004718F3"/>
    <w:rsid w:val="0047264B"/>
    <w:rsid w:val="00475040"/>
    <w:rsid w:val="004817FC"/>
    <w:rsid w:val="00483B30"/>
    <w:rsid w:val="00485D67"/>
    <w:rsid w:val="004875F8"/>
    <w:rsid w:val="00493C3B"/>
    <w:rsid w:val="00493D40"/>
    <w:rsid w:val="00494380"/>
    <w:rsid w:val="00495EEF"/>
    <w:rsid w:val="004967B6"/>
    <w:rsid w:val="004A12FB"/>
    <w:rsid w:val="004A39D1"/>
    <w:rsid w:val="004A4527"/>
    <w:rsid w:val="004A4BA0"/>
    <w:rsid w:val="004A504B"/>
    <w:rsid w:val="004A6911"/>
    <w:rsid w:val="004A6E2A"/>
    <w:rsid w:val="004A7721"/>
    <w:rsid w:val="004A7E4C"/>
    <w:rsid w:val="004B0AE1"/>
    <w:rsid w:val="004B4757"/>
    <w:rsid w:val="004B54E0"/>
    <w:rsid w:val="004B7384"/>
    <w:rsid w:val="004C4269"/>
    <w:rsid w:val="004C6315"/>
    <w:rsid w:val="004D2A5C"/>
    <w:rsid w:val="004D56EB"/>
    <w:rsid w:val="004D6236"/>
    <w:rsid w:val="004D6EDE"/>
    <w:rsid w:val="004D7F90"/>
    <w:rsid w:val="004E17DF"/>
    <w:rsid w:val="004E1BBD"/>
    <w:rsid w:val="004E30EA"/>
    <w:rsid w:val="004E4569"/>
    <w:rsid w:val="004E4DBB"/>
    <w:rsid w:val="004E4E41"/>
    <w:rsid w:val="004E7F9C"/>
    <w:rsid w:val="004F1EFE"/>
    <w:rsid w:val="004F3493"/>
    <w:rsid w:val="004F46DB"/>
    <w:rsid w:val="004F5143"/>
    <w:rsid w:val="004F664D"/>
    <w:rsid w:val="004F71BA"/>
    <w:rsid w:val="00502379"/>
    <w:rsid w:val="00504633"/>
    <w:rsid w:val="00505C48"/>
    <w:rsid w:val="005114F5"/>
    <w:rsid w:val="00512B09"/>
    <w:rsid w:val="00516FD9"/>
    <w:rsid w:val="005220ED"/>
    <w:rsid w:val="00523F1E"/>
    <w:rsid w:val="005276D9"/>
    <w:rsid w:val="00530081"/>
    <w:rsid w:val="005320AC"/>
    <w:rsid w:val="00532CCB"/>
    <w:rsid w:val="00533796"/>
    <w:rsid w:val="005341B6"/>
    <w:rsid w:val="00537343"/>
    <w:rsid w:val="0054007C"/>
    <w:rsid w:val="00550B31"/>
    <w:rsid w:val="00550EB2"/>
    <w:rsid w:val="00553FCC"/>
    <w:rsid w:val="00555D75"/>
    <w:rsid w:val="00556953"/>
    <w:rsid w:val="005578B3"/>
    <w:rsid w:val="00560DF0"/>
    <w:rsid w:val="00561334"/>
    <w:rsid w:val="00567370"/>
    <w:rsid w:val="0056759C"/>
    <w:rsid w:val="00572FF9"/>
    <w:rsid w:val="00573CEB"/>
    <w:rsid w:val="00575DB9"/>
    <w:rsid w:val="005760A0"/>
    <w:rsid w:val="0057699C"/>
    <w:rsid w:val="00580ED7"/>
    <w:rsid w:val="00580FA9"/>
    <w:rsid w:val="00581F3A"/>
    <w:rsid w:val="00583035"/>
    <w:rsid w:val="005836A7"/>
    <w:rsid w:val="00585E8C"/>
    <w:rsid w:val="0058769B"/>
    <w:rsid w:val="0059485F"/>
    <w:rsid w:val="0059513E"/>
    <w:rsid w:val="005A441C"/>
    <w:rsid w:val="005A519E"/>
    <w:rsid w:val="005A5D0A"/>
    <w:rsid w:val="005A6AA4"/>
    <w:rsid w:val="005A6D9F"/>
    <w:rsid w:val="005B06E6"/>
    <w:rsid w:val="005B3875"/>
    <w:rsid w:val="005B48FF"/>
    <w:rsid w:val="005B55A3"/>
    <w:rsid w:val="005C0C33"/>
    <w:rsid w:val="005C11EF"/>
    <w:rsid w:val="005C4094"/>
    <w:rsid w:val="005C6BCE"/>
    <w:rsid w:val="005C746E"/>
    <w:rsid w:val="005D16DB"/>
    <w:rsid w:val="005D363F"/>
    <w:rsid w:val="005E03B3"/>
    <w:rsid w:val="005E0772"/>
    <w:rsid w:val="005E2F48"/>
    <w:rsid w:val="005E4107"/>
    <w:rsid w:val="005E6848"/>
    <w:rsid w:val="005E73CF"/>
    <w:rsid w:val="00602529"/>
    <w:rsid w:val="00603ABD"/>
    <w:rsid w:val="00604C15"/>
    <w:rsid w:val="006104B7"/>
    <w:rsid w:val="0061091E"/>
    <w:rsid w:val="00610C13"/>
    <w:rsid w:val="006158D5"/>
    <w:rsid w:val="00615B89"/>
    <w:rsid w:val="006243EA"/>
    <w:rsid w:val="00625D83"/>
    <w:rsid w:val="0062643A"/>
    <w:rsid w:val="006310C5"/>
    <w:rsid w:val="00632943"/>
    <w:rsid w:val="00634A94"/>
    <w:rsid w:val="0063574F"/>
    <w:rsid w:val="00635814"/>
    <w:rsid w:val="006366F4"/>
    <w:rsid w:val="00637B38"/>
    <w:rsid w:val="00637D94"/>
    <w:rsid w:val="0064043D"/>
    <w:rsid w:val="00645926"/>
    <w:rsid w:val="00645B74"/>
    <w:rsid w:val="00646BE3"/>
    <w:rsid w:val="0066171A"/>
    <w:rsid w:val="00661E37"/>
    <w:rsid w:val="006623E7"/>
    <w:rsid w:val="00662B80"/>
    <w:rsid w:val="00662B9E"/>
    <w:rsid w:val="00664CFD"/>
    <w:rsid w:val="00665707"/>
    <w:rsid w:val="00666331"/>
    <w:rsid w:val="006663AB"/>
    <w:rsid w:val="00666B36"/>
    <w:rsid w:val="00670F6C"/>
    <w:rsid w:val="00672E41"/>
    <w:rsid w:val="006757F0"/>
    <w:rsid w:val="006765EE"/>
    <w:rsid w:val="00677DE2"/>
    <w:rsid w:val="006852C7"/>
    <w:rsid w:val="006852CE"/>
    <w:rsid w:val="00687A37"/>
    <w:rsid w:val="006916BA"/>
    <w:rsid w:val="006921D7"/>
    <w:rsid w:val="00692D14"/>
    <w:rsid w:val="00693CE6"/>
    <w:rsid w:val="00694754"/>
    <w:rsid w:val="00697F97"/>
    <w:rsid w:val="006A1BB0"/>
    <w:rsid w:val="006A586A"/>
    <w:rsid w:val="006A735C"/>
    <w:rsid w:val="006B1B31"/>
    <w:rsid w:val="006B2D03"/>
    <w:rsid w:val="006B3320"/>
    <w:rsid w:val="006B3442"/>
    <w:rsid w:val="006B3C2E"/>
    <w:rsid w:val="006B3DEE"/>
    <w:rsid w:val="006B5DBB"/>
    <w:rsid w:val="006B65C7"/>
    <w:rsid w:val="006B73B4"/>
    <w:rsid w:val="006C1727"/>
    <w:rsid w:val="006C1FE0"/>
    <w:rsid w:val="006C2355"/>
    <w:rsid w:val="006C32FD"/>
    <w:rsid w:val="006C39CE"/>
    <w:rsid w:val="006C6A6B"/>
    <w:rsid w:val="006D0FCC"/>
    <w:rsid w:val="006D21F5"/>
    <w:rsid w:val="006D6493"/>
    <w:rsid w:val="006E0599"/>
    <w:rsid w:val="006E126D"/>
    <w:rsid w:val="006E15AF"/>
    <w:rsid w:val="006E15E0"/>
    <w:rsid w:val="006E1FC3"/>
    <w:rsid w:val="006E3CE7"/>
    <w:rsid w:val="006E48FF"/>
    <w:rsid w:val="006E6952"/>
    <w:rsid w:val="006F240B"/>
    <w:rsid w:val="006F3CBC"/>
    <w:rsid w:val="006F5F3E"/>
    <w:rsid w:val="006F71EA"/>
    <w:rsid w:val="007020C4"/>
    <w:rsid w:val="00702FBD"/>
    <w:rsid w:val="00704CE9"/>
    <w:rsid w:val="0070616B"/>
    <w:rsid w:val="00706295"/>
    <w:rsid w:val="007063BE"/>
    <w:rsid w:val="00706FDA"/>
    <w:rsid w:val="00707D17"/>
    <w:rsid w:val="00711F9A"/>
    <w:rsid w:val="00712B74"/>
    <w:rsid w:val="00713810"/>
    <w:rsid w:val="00716B3C"/>
    <w:rsid w:val="00717685"/>
    <w:rsid w:val="00720AB7"/>
    <w:rsid w:val="00722ED8"/>
    <w:rsid w:val="00722F65"/>
    <w:rsid w:val="00725D77"/>
    <w:rsid w:val="007303A5"/>
    <w:rsid w:val="00730B3E"/>
    <w:rsid w:val="00731728"/>
    <w:rsid w:val="007324A6"/>
    <w:rsid w:val="00732A23"/>
    <w:rsid w:val="00733B51"/>
    <w:rsid w:val="0073420B"/>
    <w:rsid w:val="00736DB1"/>
    <w:rsid w:val="00740992"/>
    <w:rsid w:val="0074651C"/>
    <w:rsid w:val="00746550"/>
    <w:rsid w:val="00746703"/>
    <w:rsid w:val="0074760E"/>
    <w:rsid w:val="00747C61"/>
    <w:rsid w:val="00753684"/>
    <w:rsid w:val="00754ABA"/>
    <w:rsid w:val="00757BD5"/>
    <w:rsid w:val="007601AD"/>
    <w:rsid w:val="007644D2"/>
    <w:rsid w:val="007660C5"/>
    <w:rsid w:val="007702D8"/>
    <w:rsid w:val="00770610"/>
    <w:rsid w:val="00771B13"/>
    <w:rsid w:val="00774A2B"/>
    <w:rsid w:val="00774A3F"/>
    <w:rsid w:val="0077541D"/>
    <w:rsid w:val="00776854"/>
    <w:rsid w:val="007769E5"/>
    <w:rsid w:val="00780D60"/>
    <w:rsid w:val="00782B0D"/>
    <w:rsid w:val="00783100"/>
    <w:rsid w:val="00783585"/>
    <w:rsid w:val="0078369B"/>
    <w:rsid w:val="007854AD"/>
    <w:rsid w:val="00792CD5"/>
    <w:rsid w:val="00794CD8"/>
    <w:rsid w:val="007A0436"/>
    <w:rsid w:val="007A1546"/>
    <w:rsid w:val="007A15E5"/>
    <w:rsid w:val="007A228C"/>
    <w:rsid w:val="007A2D29"/>
    <w:rsid w:val="007A368E"/>
    <w:rsid w:val="007A5572"/>
    <w:rsid w:val="007A5868"/>
    <w:rsid w:val="007A5F2C"/>
    <w:rsid w:val="007B04CE"/>
    <w:rsid w:val="007B15D2"/>
    <w:rsid w:val="007B397B"/>
    <w:rsid w:val="007B4F71"/>
    <w:rsid w:val="007B6871"/>
    <w:rsid w:val="007B7A2F"/>
    <w:rsid w:val="007C3D33"/>
    <w:rsid w:val="007C4002"/>
    <w:rsid w:val="007C5411"/>
    <w:rsid w:val="007C64BB"/>
    <w:rsid w:val="007D0050"/>
    <w:rsid w:val="007D294A"/>
    <w:rsid w:val="007D47D2"/>
    <w:rsid w:val="007D6EC0"/>
    <w:rsid w:val="007D7E1D"/>
    <w:rsid w:val="007E0842"/>
    <w:rsid w:val="007E18A2"/>
    <w:rsid w:val="007E6CF2"/>
    <w:rsid w:val="007E7988"/>
    <w:rsid w:val="007F1368"/>
    <w:rsid w:val="007F17EB"/>
    <w:rsid w:val="007F32AE"/>
    <w:rsid w:val="007F488B"/>
    <w:rsid w:val="007F5447"/>
    <w:rsid w:val="007F55FD"/>
    <w:rsid w:val="007F579F"/>
    <w:rsid w:val="007F6B9D"/>
    <w:rsid w:val="007F7C72"/>
    <w:rsid w:val="007F7CE8"/>
    <w:rsid w:val="007F7F17"/>
    <w:rsid w:val="008015D7"/>
    <w:rsid w:val="00801804"/>
    <w:rsid w:val="00804165"/>
    <w:rsid w:val="008058B4"/>
    <w:rsid w:val="00810FE8"/>
    <w:rsid w:val="00812769"/>
    <w:rsid w:val="00814A58"/>
    <w:rsid w:val="00817CA0"/>
    <w:rsid w:val="00827E1A"/>
    <w:rsid w:val="0083128B"/>
    <w:rsid w:val="00831573"/>
    <w:rsid w:val="00831625"/>
    <w:rsid w:val="00831979"/>
    <w:rsid w:val="00834D62"/>
    <w:rsid w:val="00835525"/>
    <w:rsid w:val="00836D32"/>
    <w:rsid w:val="00837D05"/>
    <w:rsid w:val="00837DD3"/>
    <w:rsid w:val="008420A7"/>
    <w:rsid w:val="008429C4"/>
    <w:rsid w:val="008502E0"/>
    <w:rsid w:val="00851352"/>
    <w:rsid w:val="00851D59"/>
    <w:rsid w:val="00851E1E"/>
    <w:rsid w:val="00854312"/>
    <w:rsid w:val="00855B5A"/>
    <w:rsid w:val="00856352"/>
    <w:rsid w:val="00857077"/>
    <w:rsid w:val="008570EA"/>
    <w:rsid w:val="00862230"/>
    <w:rsid w:val="00863230"/>
    <w:rsid w:val="00865148"/>
    <w:rsid w:val="00865BD0"/>
    <w:rsid w:val="00867C54"/>
    <w:rsid w:val="008712E7"/>
    <w:rsid w:val="008717D8"/>
    <w:rsid w:val="00871A8E"/>
    <w:rsid w:val="0087215C"/>
    <w:rsid w:val="0087234E"/>
    <w:rsid w:val="008724B9"/>
    <w:rsid w:val="00875874"/>
    <w:rsid w:val="00875D25"/>
    <w:rsid w:val="00880E35"/>
    <w:rsid w:val="008875FE"/>
    <w:rsid w:val="00887A04"/>
    <w:rsid w:val="00887F8E"/>
    <w:rsid w:val="00894245"/>
    <w:rsid w:val="00895273"/>
    <w:rsid w:val="00896116"/>
    <w:rsid w:val="00896234"/>
    <w:rsid w:val="00897E43"/>
    <w:rsid w:val="008A009E"/>
    <w:rsid w:val="008A064A"/>
    <w:rsid w:val="008A183C"/>
    <w:rsid w:val="008A2581"/>
    <w:rsid w:val="008A56D5"/>
    <w:rsid w:val="008A6075"/>
    <w:rsid w:val="008A78EF"/>
    <w:rsid w:val="008B27E6"/>
    <w:rsid w:val="008B3774"/>
    <w:rsid w:val="008B6268"/>
    <w:rsid w:val="008B76AE"/>
    <w:rsid w:val="008C0BD8"/>
    <w:rsid w:val="008C0DDB"/>
    <w:rsid w:val="008C1ACA"/>
    <w:rsid w:val="008C1B71"/>
    <w:rsid w:val="008C3232"/>
    <w:rsid w:val="008C3CBC"/>
    <w:rsid w:val="008C427B"/>
    <w:rsid w:val="008C5738"/>
    <w:rsid w:val="008C5C75"/>
    <w:rsid w:val="008C7EAD"/>
    <w:rsid w:val="008C7F5F"/>
    <w:rsid w:val="008D0CFE"/>
    <w:rsid w:val="008D456C"/>
    <w:rsid w:val="008D6152"/>
    <w:rsid w:val="008D6C61"/>
    <w:rsid w:val="008D78BE"/>
    <w:rsid w:val="008E4979"/>
    <w:rsid w:val="008E5B21"/>
    <w:rsid w:val="008E6851"/>
    <w:rsid w:val="008E68FE"/>
    <w:rsid w:val="008E7BA9"/>
    <w:rsid w:val="008F034D"/>
    <w:rsid w:val="008F0F81"/>
    <w:rsid w:val="008F27BF"/>
    <w:rsid w:val="008F3BC6"/>
    <w:rsid w:val="00901952"/>
    <w:rsid w:val="00901C3D"/>
    <w:rsid w:val="00905D72"/>
    <w:rsid w:val="0090657E"/>
    <w:rsid w:val="00907159"/>
    <w:rsid w:val="00907745"/>
    <w:rsid w:val="009108D9"/>
    <w:rsid w:val="00910F94"/>
    <w:rsid w:val="00912AA1"/>
    <w:rsid w:val="009142EC"/>
    <w:rsid w:val="00914A15"/>
    <w:rsid w:val="009154C3"/>
    <w:rsid w:val="00917AE4"/>
    <w:rsid w:val="00921165"/>
    <w:rsid w:val="009211EF"/>
    <w:rsid w:val="00921AF8"/>
    <w:rsid w:val="009229E7"/>
    <w:rsid w:val="00923540"/>
    <w:rsid w:val="00926767"/>
    <w:rsid w:val="00927008"/>
    <w:rsid w:val="00933095"/>
    <w:rsid w:val="0093558D"/>
    <w:rsid w:val="009360D3"/>
    <w:rsid w:val="009361D5"/>
    <w:rsid w:val="009371E8"/>
    <w:rsid w:val="009403BD"/>
    <w:rsid w:val="009428A4"/>
    <w:rsid w:val="009462C5"/>
    <w:rsid w:val="009507EE"/>
    <w:rsid w:val="0095189F"/>
    <w:rsid w:val="0095241F"/>
    <w:rsid w:val="0095289E"/>
    <w:rsid w:val="00956BC9"/>
    <w:rsid w:val="009613C5"/>
    <w:rsid w:val="009659F4"/>
    <w:rsid w:val="009709C0"/>
    <w:rsid w:val="00970D60"/>
    <w:rsid w:val="00981572"/>
    <w:rsid w:val="009827AC"/>
    <w:rsid w:val="00987132"/>
    <w:rsid w:val="0099390E"/>
    <w:rsid w:val="0099556E"/>
    <w:rsid w:val="009960E5"/>
    <w:rsid w:val="009A098E"/>
    <w:rsid w:val="009A1D63"/>
    <w:rsid w:val="009A217F"/>
    <w:rsid w:val="009A2FE8"/>
    <w:rsid w:val="009A309C"/>
    <w:rsid w:val="009A435C"/>
    <w:rsid w:val="009A5DE6"/>
    <w:rsid w:val="009A70E0"/>
    <w:rsid w:val="009A7308"/>
    <w:rsid w:val="009A7ADC"/>
    <w:rsid w:val="009B0D30"/>
    <w:rsid w:val="009B3FFF"/>
    <w:rsid w:val="009B690A"/>
    <w:rsid w:val="009B6A97"/>
    <w:rsid w:val="009C1335"/>
    <w:rsid w:val="009C19B7"/>
    <w:rsid w:val="009C40DE"/>
    <w:rsid w:val="009C5ABB"/>
    <w:rsid w:val="009D2B1A"/>
    <w:rsid w:val="009D2C1F"/>
    <w:rsid w:val="009D3E77"/>
    <w:rsid w:val="009D5552"/>
    <w:rsid w:val="009D7C51"/>
    <w:rsid w:val="009E12D7"/>
    <w:rsid w:val="009E196C"/>
    <w:rsid w:val="009E24FD"/>
    <w:rsid w:val="009E4A78"/>
    <w:rsid w:val="009E4E27"/>
    <w:rsid w:val="009E502F"/>
    <w:rsid w:val="009F0081"/>
    <w:rsid w:val="009F0C27"/>
    <w:rsid w:val="009F235F"/>
    <w:rsid w:val="009F2833"/>
    <w:rsid w:val="009F36BF"/>
    <w:rsid w:val="009F5531"/>
    <w:rsid w:val="00A01748"/>
    <w:rsid w:val="00A10341"/>
    <w:rsid w:val="00A111B6"/>
    <w:rsid w:val="00A136B4"/>
    <w:rsid w:val="00A16CFA"/>
    <w:rsid w:val="00A17FF7"/>
    <w:rsid w:val="00A200E1"/>
    <w:rsid w:val="00A20E13"/>
    <w:rsid w:val="00A2361F"/>
    <w:rsid w:val="00A24169"/>
    <w:rsid w:val="00A2458D"/>
    <w:rsid w:val="00A248D7"/>
    <w:rsid w:val="00A2612A"/>
    <w:rsid w:val="00A26D27"/>
    <w:rsid w:val="00A30457"/>
    <w:rsid w:val="00A309A7"/>
    <w:rsid w:val="00A33FAC"/>
    <w:rsid w:val="00A37413"/>
    <w:rsid w:val="00A37454"/>
    <w:rsid w:val="00A376EE"/>
    <w:rsid w:val="00A409E7"/>
    <w:rsid w:val="00A4221D"/>
    <w:rsid w:val="00A42978"/>
    <w:rsid w:val="00A42A99"/>
    <w:rsid w:val="00A4301F"/>
    <w:rsid w:val="00A456DE"/>
    <w:rsid w:val="00A5151A"/>
    <w:rsid w:val="00A52069"/>
    <w:rsid w:val="00A57E0A"/>
    <w:rsid w:val="00A629FA"/>
    <w:rsid w:val="00A62D55"/>
    <w:rsid w:val="00A652D3"/>
    <w:rsid w:val="00A73476"/>
    <w:rsid w:val="00A76557"/>
    <w:rsid w:val="00A7776C"/>
    <w:rsid w:val="00A812A9"/>
    <w:rsid w:val="00A823F6"/>
    <w:rsid w:val="00A82EC0"/>
    <w:rsid w:val="00A8447B"/>
    <w:rsid w:val="00A84980"/>
    <w:rsid w:val="00A85350"/>
    <w:rsid w:val="00A8719E"/>
    <w:rsid w:val="00A9257B"/>
    <w:rsid w:val="00A92DEB"/>
    <w:rsid w:val="00AA0A89"/>
    <w:rsid w:val="00AA1003"/>
    <w:rsid w:val="00AA1FEC"/>
    <w:rsid w:val="00AA539B"/>
    <w:rsid w:val="00AA5BB6"/>
    <w:rsid w:val="00AA6429"/>
    <w:rsid w:val="00AB3F24"/>
    <w:rsid w:val="00AB4AB0"/>
    <w:rsid w:val="00AC01AA"/>
    <w:rsid w:val="00AC3044"/>
    <w:rsid w:val="00AC4F72"/>
    <w:rsid w:val="00AD236C"/>
    <w:rsid w:val="00AD3844"/>
    <w:rsid w:val="00AD4018"/>
    <w:rsid w:val="00AE1468"/>
    <w:rsid w:val="00AE2A40"/>
    <w:rsid w:val="00AE4D84"/>
    <w:rsid w:val="00AE6DFD"/>
    <w:rsid w:val="00AF19DE"/>
    <w:rsid w:val="00AF1E53"/>
    <w:rsid w:val="00AF32F2"/>
    <w:rsid w:val="00AF4597"/>
    <w:rsid w:val="00AF54D2"/>
    <w:rsid w:val="00AF741A"/>
    <w:rsid w:val="00B01ADB"/>
    <w:rsid w:val="00B04161"/>
    <w:rsid w:val="00B0446D"/>
    <w:rsid w:val="00B056F9"/>
    <w:rsid w:val="00B11E3D"/>
    <w:rsid w:val="00B13FD2"/>
    <w:rsid w:val="00B16A52"/>
    <w:rsid w:val="00B17E82"/>
    <w:rsid w:val="00B20F0B"/>
    <w:rsid w:val="00B245E0"/>
    <w:rsid w:val="00B253F0"/>
    <w:rsid w:val="00B30486"/>
    <w:rsid w:val="00B3048C"/>
    <w:rsid w:val="00B3223B"/>
    <w:rsid w:val="00B35A38"/>
    <w:rsid w:val="00B36022"/>
    <w:rsid w:val="00B42050"/>
    <w:rsid w:val="00B43B75"/>
    <w:rsid w:val="00B4575A"/>
    <w:rsid w:val="00B5266F"/>
    <w:rsid w:val="00B52F13"/>
    <w:rsid w:val="00B575BA"/>
    <w:rsid w:val="00B60ED7"/>
    <w:rsid w:val="00B6266F"/>
    <w:rsid w:val="00B66C49"/>
    <w:rsid w:val="00B674A2"/>
    <w:rsid w:val="00B71608"/>
    <w:rsid w:val="00B72076"/>
    <w:rsid w:val="00B7512B"/>
    <w:rsid w:val="00B76429"/>
    <w:rsid w:val="00B76479"/>
    <w:rsid w:val="00B7740D"/>
    <w:rsid w:val="00B80FD2"/>
    <w:rsid w:val="00B82F15"/>
    <w:rsid w:val="00B86471"/>
    <w:rsid w:val="00B869DB"/>
    <w:rsid w:val="00B90476"/>
    <w:rsid w:val="00B9524F"/>
    <w:rsid w:val="00B956D4"/>
    <w:rsid w:val="00B97446"/>
    <w:rsid w:val="00BA3373"/>
    <w:rsid w:val="00BA52DF"/>
    <w:rsid w:val="00BA7432"/>
    <w:rsid w:val="00BB219D"/>
    <w:rsid w:val="00BB2764"/>
    <w:rsid w:val="00BB2D68"/>
    <w:rsid w:val="00BB5A10"/>
    <w:rsid w:val="00BC1AA0"/>
    <w:rsid w:val="00BC2495"/>
    <w:rsid w:val="00BC2897"/>
    <w:rsid w:val="00BC2C6B"/>
    <w:rsid w:val="00BC7EB9"/>
    <w:rsid w:val="00BD0BD7"/>
    <w:rsid w:val="00BD16B2"/>
    <w:rsid w:val="00BD2643"/>
    <w:rsid w:val="00BD3E0E"/>
    <w:rsid w:val="00BD40C8"/>
    <w:rsid w:val="00BD56B1"/>
    <w:rsid w:val="00BD6558"/>
    <w:rsid w:val="00BD6A94"/>
    <w:rsid w:val="00BE1193"/>
    <w:rsid w:val="00BE25A1"/>
    <w:rsid w:val="00BE36C3"/>
    <w:rsid w:val="00BF07C9"/>
    <w:rsid w:val="00BF216C"/>
    <w:rsid w:val="00BF2404"/>
    <w:rsid w:val="00BF277D"/>
    <w:rsid w:val="00BF2F76"/>
    <w:rsid w:val="00BF3022"/>
    <w:rsid w:val="00BF3214"/>
    <w:rsid w:val="00BF3B6D"/>
    <w:rsid w:val="00BF4E3B"/>
    <w:rsid w:val="00BF5573"/>
    <w:rsid w:val="00BF6B96"/>
    <w:rsid w:val="00C0107E"/>
    <w:rsid w:val="00C052E8"/>
    <w:rsid w:val="00C0651B"/>
    <w:rsid w:val="00C07027"/>
    <w:rsid w:val="00C106FE"/>
    <w:rsid w:val="00C139D7"/>
    <w:rsid w:val="00C15867"/>
    <w:rsid w:val="00C17509"/>
    <w:rsid w:val="00C2054D"/>
    <w:rsid w:val="00C211AD"/>
    <w:rsid w:val="00C2186E"/>
    <w:rsid w:val="00C2296D"/>
    <w:rsid w:val="00C23155"/>
    <w:rsid w:val="00C232A8"/>
    <w:rsid w:val="00C25883"/>
    <w:rsid w:val="00C30545"/>
    <w:rsid w:val="00C34F24"/>
    <w:rsid w:val="00C4098E"/>
    <w:rsid w:val="00C40C41"/>
    <w:rsid w:val="00C410E4"/>
    <w:rsid w:val="00C41C7D"/>
    <w:rsid w:val="00C436AB"/>
    <w:rsid w:val="00C44A87"/>
    <w:rsid w:val="00C457C4"/>
    <w:rsid w:val="00C45885"/>
    <w:rsid w:val="00C45C5B"/>
    <w:rsid w:val="00C461A8"/>
    <w:rsid w:val="00C47FDA"/>
    <w:rsid w:val="00C50F22"/>
    <w:rsid w:val="00C57971"/>
    <w:rsid w:val="00C619E4"/>
    <w:rsid w:val="00C64365"/>
    <w:rsid w:val="00C65BD7"/>
    <w:rsid w:val="00C67AC1"/>
    <w:rsid w:val="00C74647"/>
    <w:rsid w:val="00C757E0"/>
    <w:rsid w:val="00C76BA4"/>
    <w:rsid w:val="00C8363A"/>
    <w:rsid w:val="00C83A48"/>
    <w:rsid w:val="00C85865"/>
    <w:rsid w:val="00C85E85"/>
    <w:rsid w:val="00C9158A"/>
    <w:rsid w:val="00C957AE"/>
    <w:rsid w:val="00C95B45"/>
    <w:rsid w:val="00C96686"/>
    <w:rsid w:val="00CA2EAE"/>
    <w:rsid w:val="00CA3996"/>
    <w:rsid w:val="00CA4AC1"/>
    <w:rsid w:val="00CA4FE9"/>
    <w:rsid w:val="00CB0316"/>
    <w:rsid w:val="00CB0A8B"/>
    <w:rsid w:val="00CB0B11"/>
    <w:rsid w:val="00CB20C3"/>
    <w:rsid w:val="00CB426A"/>
    <w:rsid w:val="00CB5354"/>
    <w:rsid w:val="00CB7F4D"/>
    <w:rsid w:val="00CC098A"/>
    <w:rsid w:val="00CC3C9E"/>
    <w:rsid w:val="00CC51F2"/>
    <w:rsid w:val="00CC6A14"/>
    <w:rsid w:val="00CC70A3"/>
    <w:rsid w:val="00CD083B"/>
    <w:rsid w:val="00CD0FEC"/>
    <w:rsid w:val="00CD4442"/>
    <w:rsid w:val="00CD53C3"/>
    <w:rsid w:val="00CD574E"/>
    <w:rsid w:val="00CD7FB8"/>
    <w:rsid w:val="00CE0D7E"/>
    <w:rsid w:val="00CE3814"/>
    <w:rsid w:val="00CE43D9"/>
    <w:rsid w:val="00CE4C22"/>
    <w:rsid w:val="00CE5522"/>
    <w:rsid w:val="00CE68B0"/>
    <w:rsid w:val="00CE7336"/>
    <w:rsid w:val="00CE76E5"/>
    <w:rsid w:val="00CF00C9"/>
    <w:rsid w:val="00CF0124"/>
    <w:rsid w:val="00CF22B3"/>
    <w:rsid w:val="00CF280F"/>
    <w:rsid w:val="00CF41EC"/>
    <w:rsid w:val="00CF4BB9"/>
    <w:rsid w:val="00CF5D04"/>
    <w:rsid w:val="00D00435"/>
    <w:rsid w:val="00D011C6"/>
    <w:rsid w:val="00D02493"/>
    <w:rsid w:val="00D04028"/>
    <w:rsid w:val="00D04DE4"/>
    <w:rsid w:val="00D063F1"/>
    <w:rsid w:val="00D14F22"/>
    <w:rsid w:val="00D15F64"/>
    <w:rsid w:val="00D25886"/>
    <w:rsid w:val="00D266E7"/>
    <w:rsid w:val="00D27AB2"/>
    <w:rsid w:val="00D34329"/>
    <w:rsid w:val="00D35F8A"/>
    <w:rsid w:val="00D3652D"/>
    <w:rsid w:val="00D4044E"/>
    <w:rsid w:val="00D41979"/>
    <w:rsid w:val="00D422E7"/>
    <w:rsid w:val="00D42787"/>
    <w:rsid w:val="00D447EA"/>
    <w:rsid w:val="00D4741C"/>
    <w:rsid w:val="00D53282"/>
    <w:rsid w:val="00D57918"/>
    <w:rsid w:val="00D60C05"/>
    <w:rsid w:val="00D635B2"/>
    <w:rsid w:val="00D7079F"/>
    <w:rsid w:val="00D71D33"/>
    <w:rsid w:val="00D73D5E"/>
    <w:rsid w:val="00D73DC6"/>
    <w:rsid w:val="00D74B4F"/>
    <w:rsid w:val="00D74C1A"/>
    <w:rsid w:val="00D754C1"/>
    <w:rsid w:val="00D76D5C"/>
    <w:rsid w:val="00D77393"/>
    <w:rsid w:val="00D77A35"/>
    <w:rsid w:val="00D80156"/>
    <w:rsid w:val="00D81B22"/>
    <w:rsid w:val="00D81B3E"/>
    <w:rsid w:val="00D8445C"/>
    <w:rsid w:val="00D84776"/>
    <w:rsid w:val="00D87611"/>
    <w:rsid w:val="00D906AD"/>
    <w:rsid w:val="00D90C70"/>
    <w:rsid w:val="00D90E49"/>
    <w:rsid w:val="00D93110"/>
    <w:rsid w:val="00D941F3"/>
    <w:rsid w:val="00D95823"/>
    <w:rsid w:val="00D96ADE"/>
    <w:rsid w:val="00DA0CE2"/>
    <w:rsid w:val="00DA20D8"/>
    <w:rsid w:val="00DA25A3"/>
    <w:rsid w:val="00DA6ED2"/>
    <w:rsid w:val="00DB0295"/>
    <w:rsid w:val="00DB1B25"/>
    <w:rsid w:val="00DB2008"/>
    <w:rsid w:val="00DB5156"/>
    <w:rsid w:val="00DB6FDD"/>
    <w:rsid w:val="00DC089B"/>
    <w:rsid w:val="00DC297D"/>
    <w:rsid w:val="00DC6A10"/>
    <w:rsid w:val="00DC76B1"/>
    <w:rsid w:val="00DD0366"/>
    <w:rsid w:val="00DD589D"/>
    <w:rsid w:val="00DD6C07"/>
    <w:rsid w:val="00DE0DA1"/>
    <w:rsid w:val="00DE1A3F"/>
    <w:rsid w:val="00DE1DB1"/>
    <w:rsid w:val="00DE2932"/>
    <w:rsid w:val="00DE657E"/>
    <w:rsid w:val="00DE73DA"/>
    <w:rsid w:val="00DF0914"/>
    <w:rsid w:val="00DF2C03"/>
    <w:rsid w:val="00DF4704"/>
    <w:rsid w:val="00DF71B7"/>
    <w:rsid w:val="00DF723D"/>
    <w:rsid w:val="00E024AA"/>
    <w:rsid w:val="00E028FE"/>
    <w:rsid w:val="00E04945"/>
    <w:rsid w:val="00E04A4F"/>
    <w:rsid w:val="00E068EF"/>
    <w:rsid w:val="00E11FF7"/>
    <w:rsid w:val="00E1236C"/>
    <w:rsid w:val="00E1301D"/>
    <w:rsid w:val="00E15C77"/>
    <w:rsid w:val="00E16FC0"/>
    <w:rsid w:val="00E202F2"/>
    <w:rsid w:val="00E23F32"/>
    <w:rsid w:val="00E24461"/>
    <w:rsid w:val="00E250F1"/>
    <w:rsid w:val="00E26751"/>
    <w:rsid w:val="00E304C9"/>
    <w:rsid w:val="00E34A47"/>
    <w:rsid w:val="00E3550D"/>
    <w:rsid w:val="00E37753"/>
    <w:rsid w:val="00E40697"/>
    <w:rsid w:val="00E42CA9"/>
    <w:rsid w:val="00E44A6F"/>
    <w:rsid w:val="00E5219B"/>
    <w:rsid w:val="00E52838"/>
    <w:rsid w:val="00E546D5"/>
    <w:rsid w:val="00E567AB"/>
    <w:rsid w:val="00E6043E"/>
    <w:rsid w:val="00E6084F"/>
    <w:rsid w:val="00E614E0"/>
    <w:rsid w:val="00E67150"/>
    <w:rsid w:val="00E73F7F"/>
    <w:rsid w:val="00E75497"/>
    <w:rsid w:val="00E75AAA"/>
    <w:rsid w:val="00E75D64"/>
    <w:rsid w:val="00E8223B"/>
    <w:rsid w:val="00E82380"/>
    <w:rsid w:val="00E83016"/>
    <w:rsid w:val="00E85409"/>
    <w:rsid w:val="00E865C9"/>
    <w:rsid w:val="00E9056C"/>
    <w:rsid w:val="00E92528"/>
    <w:rsid w:val="00E940C9"/>
    <w:rsid w:val="00EA2F71"/>
    <w:rsid w:val="00EA2F7E"/>
    <w:rsid w:val="00EA31F6"/>
    <w:rsid w:val="00EA429F"/>
    <w:rsid w:val="00EA4F9E"/>
    <w:rsid w:val="00EA5088"/>
    <w:rsid w:val="00EA5CA3"/>
    <w:rsid w:val="00EA63CA"/>
    <w:rsid w:val="00EA6D3B"/>
    <w:rsid w:val="00EB00AD"/>
    <w:rsid w:val="00EB136C"/>
    <w:rsid w:val="00EB1C5F"/>
    <w:rsid w:val="00EB480E"/>
    <w:rsid w:val="00EB5687"/>
    <w:rsid w:val="00EB5EC6"/>
    <w:rsid w:val="00EB7FC9"/>
    <w:rsid w:val="00EC01BD"/>
    <w:rsid w:val="00EC03A5"/>
    <w:rsid w:val="00EC26F5"/>
    <w:rsid w:val="00EC6876"/>
    <w:rsid w:val="00EC7D3A"/>
    <w:rsid w:val="00ED042A"/>
    <w:rsid w:val="00ED13E1"/>
    <w:rsid w:val="00ED27E8"/>
    <w:rsid w:val="00ED63C2"/>
    <w:rsid w:val="00ED7137"/>
    <w:rsid w:val="00EE2080"/>
    <w:rsid w:val="00EE3DB5"/>
    <w:rsid w:val="00EE4A41"/>
    <w:rsid w:val="00EE5839"/>
    <w:rsid w:val="00EF06EA"/>
    <w:rsid w:val="00EF217E"/>
    <w:rsid w:val="00EF3733"/>
    <w:rsid w:val="00EF4B79"/>
    <w:rsid w:val="00EF66E9"/>
    <w:rsid w:val="00F009A7"/>
    <w:rsid w:val="00F04EE5"/>
    <w:rsid w:val="00F05EFA"/>
    <w:rsid w:val="00F0691B"/>
    <w:rsid w:val="00F10959"/>
    <w:rsid w:val="00F13AB5"/>
    <w:rsid w:val="00F13DF5"/>
    <w:rsid w:val="00F148E8"/>
    <w:rsid w:val="00F15783"/>
    <w:rsid w:val="00F21088"/>
    <w:rsid w:val="00F224C5"/>
    <w:rsid w:val="00F248FC"/>
    <w:rsid w:val="00F24BD6"/>
    <w:rsid w:val="00F2591B"/>
    <w:rsid w:val="00F26B80"/>
    <w:rsid w:val="00F27232"/>
    <w:rsid w:val="00F27B22"/>
    <w:rsid w:val="00F31533"/>
    <w:rsid w:val="00F316A0"/>
    <w:rsid w:val="00F3217C"/>
    <w:rsid w:val="00F327E7"/>
    <w:rsid w:val="00F336E5"/>
    <w:rsid w:val="00F35746"/>
    <w:rsid w:val="00F360E8"/>
    <w:rsid w:val="00F447C7"/>
    <w:rsid w:val="00F44EB9"/>
    <w:rsid w:val="00F4589F"/>
    <w:rsid w:val="00F459B4"/>
    <w:rsid w:val="00F509CA"/>
    <w:rsid w:val="00F50DEA"/>
    <w:rsid w:val="00F5207C"/>
    <w:rsid w:val="00F5211B"/>
    <w:rsid w:val="00F5264D"/>
    <w:rsid w:val="00F554A9"/>
    <w:rsid w:val="00F633F6"/>
    <w:rsid w:val="00F6398A"/>
    <w:rsid w:val="00F64FAE"/>
    <w:rsid w:val="00F66AD6"/>
    <w:rsid w:val="00F710E4"/>
    <w:rsid w:val="00F716FD"/>
    <w:rsid w:val="00F71714"/>
    <w:rsid w:val="00F80355"/>
    <w:rsid w:val="00F80C54"/>
    <w:rsid w:val="00F81A03"/>
    <w:rsid w:val="00F82FF4"/>
    <w:rsid w:val="00F83254"/>
    <w:rsid w:val="00F849E0"/>
    <w:rsid w:val="00F87929"/>
    <w:rsid w:val="00F87C43"/>
    <w:rsid w:val="00F915B8"/>
    <w:rsid w:val="00F9165F"/>
    <w:rsid w:val="00F92EDF"/>
    <w:rsid w:val="00F95108"/>
    <w:rsid w:val="00F9519D"/>
    <w:rsid w:val="00F9558B"/>
    <w:rsid w:val="00F96BB1"/>
    <w:rsid w:val="00F9718C"/>
    <w:rsid w:val="00F9776A"/>
    <w:rsid w:val="00F97CFF"/>
    <w:rsid w:val="00FA04A0"/>
    <w:rsid w:val="00FA04B1"/>
    <w:rsid w:val="00FA1794"/>
    <w:rsid w:val="00FA2D0A"/>
    <w:rsid w:val="00FA2F60"/>
    <w:rsid w:val="00FA3F72"/>
    <w:rsid w:val="00FA5722"/>
    <w:rsid w:val="00FB0C81"/>
    <w:rsid w:val="00FB3247"/>
    <w:rsid w:val="00FB355E"/>
    <w:rsid w:val="00FB39B8"/>
    <w:rsid w:val="00FB4102"/>
    <w:rsid w:val="00FB4BFD"/>
    <w:rsid w:val="00FB76EA"/>
    <w:rsid w:val="00FC1EE3"/>
    <w:rsid w:val="00FC2200"/>
    <w:rsid w:val="00FC2540"/>
    <w:rsid w:val="00FC2B4E"/>
    <w:rsid w:val="00FC5C61"/>
    <w:rsid w:val="00FC64B4"/>
    <w:rsid w:val="00FD7BAB"/>
    <w:rsid w:val="00FF0204"/>
    <w:rsid w:val="00FF3AED"/>
    <w:rsid w:val="00FF5EFA"/>
    <w:rsid w:val="00FF6152"/>
    <w:rsid w:val="00FF7D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40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10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link w:val="Heading4Char"/>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A37413"/>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A37413"/>
    <w:rPr>
      <w:sz w:val="22"/>
      <w:szCs w:val="22"/>
      <w:lang w:val="en-CA"/>
    </w:rPr>
  </w:style>
  <w:style w:type="paragraph" w:styleId="ListParagraph">
    <w:name w:val="List Paragraph"/>
    <w:basedOn w:val="Normal"/>
    <w:uiPriority w:val="34"/>
    <w:qFormat/>
    <w:rsid w:val="0004780D"/>
    <w:pPr>
      <w:ind w:left="720"/>
      <w:contextualSpacing/>
    </w:pPr>
  </w:style>
  <w:style w:type="paragraph" w:styleId="NormalWeb">
    <w:name w:val="Normal (Web)"/>
    <w:basedOn w:val="Normal"/>
    <w:uiPriority w:val="99"/>
    <w:semiHidden/>
    <w:unhideWhenUsed/>
    <w:rsid w:val="00ED042A"/>
    <w:pPr>
      <w:spacing w:before="100" w:beforeAutospacing="1" w:after="100" w:afterAutospacing="1"/>
      <w:jc w:val="left"/>
    </w:pPr>
    <w:rPr>
      <w:sz w:val="24"/>
      <w:szCs w:val="24"/>
      <w:lang w:val="en-US"/>
    </w:rPr>
  </w:style>
  <w:style w:type="character" w:styleId="Strong">
    <w:name w:val="Strong"/>
    <w:basedOn w:val="DefaultParagraphFont"/>
    <w:uiPriority w:val="22"/>
    <w:qFormat/>
    <w:rsid w:val="00ED042A"/>
    <w:rPr>
      <w:b/>
      <w:bCs/>
    </w:rPr>
  </w:style>
  <w:style w:type="character" w:styleId="Hyperlink">
    <w:name w:val="Hyperlink"/>
    <w:basedOn w:val="DefaultParagraphFont"/>
    <w:uiPriority w:val="99"/>
    <w:unhideWhenUsed/>
    <w:rsid w:val="00ED042A"/>
    <w:rPr>
      <w:color w:val="0000FF"/>
      <w:u w:val="single"/>
    </w:rPr>
  </w:style>
  <w:style w:type="paragraph" w:styleId="Revision">
    <w:name w:val="Revision"/>
    <w:hidden/>
    <w:uiPriority w:val="99"/>
    <w:semiHidden/>
    <w:rsid w:val="002F52A1"/>
    <w:rPr>
      <w:sz w:val="22"/>
      <w:szCs w:val="22"/>
      <w:lang w:val="en-CA"/>
    </w:rPr>
  </w:style>
  <w:style w:type="table" w:customStyle="1" w:styleId="TableGrid10">
    <w:name w:val="Table Grid1"/>
    <w:basedOn w:val="TableNormal"/>
    <w:next w:val="TableGrid"/>
    <w:uiPriority w:val="39"/>
    <w:rsid w:val="00483B3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266F"/>
    <w:rPr>
      <w:sz w:val="20"/>
      <w:szCs w:val="20"/>
    </w:rPr>
  </w:style>
  <w:style w:type="character" w:customStyle="1" w:styleId="EndnoteTextChar">
    <w:name w:val="Endnote Text Char"/>
    <w:basedOn w:val="DefaultParagraphFont"/>
    <w:link w:val="EndnoteText"/>
    <w:uiPriority w:val="99"/>
    <w:semiHidden/>
    <w:rsid w:val="00B5266F"/>
    <w:rPr>
      <w:lang w:val="en-CA"/>
    </w:rPr>
  </w:style>
  <w:style w:type="character" w:styleId="EndnoteReference">
    <w:name w:val="endnote reference"/>
    <w:basedOn w:val="DefaultParagraphFont"/>
    <w:uiPriority w:val="99"/>
    <w:semiHidden/>
    <w:unhideWhenUsed/>
    <w:rsid w:val="00B5266F"/>
    <w:rPr>
      <w:vertAlign w:val="superscript"/>
    </w:rPr>
  </w:style>
  <w:style w:type="paragraph" w:customStyle="1" w:styleId="UNEGp1Heading">
    <w:name w:val="_UNEG p1 Heading"/>
    <w:qFormat/>
    <w:rsid w:val="00B5266F"/>
    <w:pPr>
      <w:spacing w:line="600" w:lineRule="exact"/>
      <w:ind w:left="1800"/>
    </w:pPr>
    <w:rPr>
      <w:rFonts w:ascii="Calibri" w:hAnsi="Calibri"/>
      <w:b/>
      <w:color w:val="00498B"/>
      <w:sz w:val="64"/>
      <w:szCs w:val="22"/>
    </w:rPr>
  </w:style>
  <w:style w:type="paragraph" w:customStyle="1" w:styleId="StyleBold">
    <w:name w:val="Style Bold"/>
    <w:basedOn w:val="Normal"/>
    <w:link w:val="StyleBoldChar"/>
    <w:qFormat/>
    <w:rsid w:val="00CA3996"/>
    <w:pPr>
      <w:spacing w:after="240"/>
    </w:pPr>
    <w:rPr>
      <w:b/>
      <w:bCs/>
      <w:szCs w:val="20"/>
    </w:rPr>
  </w:style>
  <w:style w:type="character" w:customStyle="1" w:styleId="StyleBoldChar">
    <w:name w:val="Style Bold Char"/>
    <w:basedOn w:val="DefaultParagraphFont"/>
    <w:link w:val="StyleBold"/>
    <w:rsid w:val="00CA3996"/>
    <w:rPr>
      <w:b/>
      <w:bCs/>
      <w:sz w:val="22"/>
      <w:lang w:val="en-CA"/>
    </w:rPr>
  </w:style>
  <w:style w:type="character" w:customStyle="1" w:styleId="FooterChar">
    <w:name w:val="Footer Char"/>
    <w:basedOn w:val="DefaultParagraphFont"/>
    <w:link w:val="Footer"/>
    <w:rsid w:val="00712B7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765274">
      <w:bodyDiv w:val="1"/>
      <w:marLeft w:val="0"/>
      <w:marRight w:val="0"/>
      <w:marTop w:val="0"/>
      <w:marBottom w:val="0"/>
      <w:divBdr>
        <w:top w:val="none" w:sz="0" w:space="0" w:color="auto"/>
        <w:left w:val="none" w:sz="0" w:space="0" w:color="auto"/>
        <w:bottom w:val="none" w:sz="0" w:space="0" w:color="auto"/>
        <w:right w:val="none" w:sz="0" w:space="0" w:color="auto"/>
      </w:divBdr>
    </w:div>
    <w:div w:id="14682335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UNEP/OzL.Pro/ExCom/91/11/Rev.1</Document_x0020_Number>
    <DocumentType xmlns="64e33b30-101d-41de-b951-961aab25ea29">Pre-session</DocumentType>
    <Part_x0020_I_x003a__x0020_Online_x002f_Part_x0020_II_x003a__x0020_In_x0020_Person xmlns="06f771d2-e9c4-49f6-918c-e8f42cc522aa">Part I</Part_x0020_I_x003a__x0020_Online_x002f_Part_x0020_II_x003a__x0020_In_x0020_Pers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AAEECFBD4539B4DBB1B065310011C3F" ma:contentTypeVersion="5" ma:contentTypeDescription="Create a new document." ma:contentTypeScope="" ma:versionID="fb0a63a49dc9c77742d81af8bd88aac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F99016C-CFDF-4AC2-9959-5D6261B776A1}"/>
</file>

<file path=customXml/itemProps2.xml><?xml version="1.0" encoding="utf-8"?>
<ds:datastoreItem xmlns:ds="http://schemas.openxmlformats.org/officeDocument/2006/customXml" ds:itemID="{825DC49D-999C-4B34-B58B-0564E827F26F}"/>
</file>

<file path=customXml/itemProps3.xml><?xml version="1.0" encoding="utf-8"?>
<ds:datastoreItem xmlns:ds="http://schemas.openxmlformats.org/officeDocument/2006/customXml" ds:itemID="{3D3CA0B3-3F66-4642-90E7-5732663C8267}"/>
</file>

<file path=customXml/itemProps4.xml><?xml version="1.0" encoding="utf-8"?>
<ds:datastoreItem xmlns:ds="http://schemas.openxmlformats.org/officeDocument/2006/customXml" ds:itemID="{9049EE8E-2711-4F07-AD6B-8000B2FC903C}"/>
</file>

<file path=docProps/app.xml><?xml version="1.0" encoding="utf-8"?>
<Properties xmlns="http://schemas.openxmlformats.org/officeDocument/2006/extended-properties" xmlns:vt="http://schemas.openxmlformats.org/officeDocument/2006/docPropsVTypes">
  <Template>Normal</Template>
  <TotalTime>0</TotalTime>
  <Pages>6</Pages>
  <Words>2882</Words>
  <Characters>16429</Characters>
  <Application>Microsoft Office Word</Application>
  <DocSecurity>0</DocSecurity>
  <Lines>136</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Programme de travail suivi et évaluation pour l’année 2023</vt:lpstr>
      <vt:lpstr>DRAFT MONITORING AND EVALUATION WORK PROGRAMME FOR THE YEAR 2022</vt:lpstr>
    </vt:vector>
  </TitlesOfParts>
  <Manager/>
  <Company/>
  <LinksUpToDate>false</LinksUpToDate>
  <CharactersWithSpaces>19273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suivi et évaluation pour l’année 2023                                                                                                                                               .</dc:title>
  <dc:subject/>
  <dc:creator/>
  <cp:keywords/>
  <dc:description/>
  <cp:lastModifiedBy/>
  <cp:revision>1</cp:revision>
  <dcterms:created xsi:type="dcterms:W3CDTF">2022-12-09T15:21:00Z</dcterms:created>
  <dcterms:modified xsi:type="dcterms:W3CDTF">2022-12-09T16:23:00Z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UNEP/OzL.Pro/ExCom/91/11/Rev.1</vt:lpwstr>
  </property>
  <property fmtid="{D5CDD505-2E9C-101B-9397-08002B2CF9AE}" pid="3" name="GrammarlyDocumentId">
    <vt:lpwstr>61bfa8b1e19adff0d7e8e54677198db7b3da31f65047d34dab4ecd6a46374bd7</vt:lpwstr>
  </property>
  <property fmtid="{D5CDD505-2E9C-101B-9397-08002B2CF9AE}" pid="4" name="Recorded date">
    <vt:lpwstr>12/8/2022</vt:lpwstr>
  </property>
  <property fmtid="{D5CDD505-2E9C-101B-9397-08002B2CF9AE}" pid="5" name="ContentTypeId">
    <vt:lpwstr>0x010100FAAEECFBD4539B4DBB1B065310011C3F</vt:lpwstr>
  </property>
</Properties>
</file>