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71" w:type="dxa"/>
        <w:tblInd w:w="-432" w:type="dxa"/>
        <w:tblLayout w:type="fixed"/>
        <w:tblLook w:val="0000" w:firstRow="0" w:lastRow="0" w:firstColumn="0" w:lastColumn="0" w:noHBand="0" w:noVBand="0"/>
      </w:tblPr>
      <w:tblGrid>
        <w:gridCol w:w="2070"/>
        <w:gridCol w:w="4458"/>
        <w:gridCol w:w="3543"/>
      </w:tblGrid>
      <w:tr w:rsidR="00C15867" w:rsidRPr="009B0D30" w14:paraId="77EA861F" w14:textId="77777777" w:rsidTr="00DC0FD3">
        <w:trPr>
          <w:trHeight w:val="720"/>
        </w:trPr>
        <w:tc>
          <w:tcPr>
            <w:tcW w:w="6528" w:type="dxa"/>
            <w:gridSpan w:val="2"/>
            <w:tcBorders>
              <w:bottom w:val="single" w:sz="18" w:space="0" w:color="auto"/>
            </w:tcBorders>
          </w:tcPr>
          <w:p w14:paraId="0F4411A9" w14:textId="77777777" w:rsidR="00DC0FD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rPr>
            </w:pPr>
            <w:r>
              <w:rPr>
                <w:rFonts w:ascii="Univers" w:hAnsi="Univers"/>
                <w:b/>
                <w:sz w:val="28"/>
              </w:rPr>
              <w:t>NACIONES</w:t>
            </w:r>
          </w:p>
          <w:p w14:paraId="6945FD5A" w14:textId="6DF29B7E"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UNIDAS</w:t>
            </w:r>
          </w:p>
        </w:tc>
        <w:tc>
          <w:tcPr>
            <w:tcW w:w="3543" w:type="dxa"/>
            <w:tcBorders>
              <w:bottom w:val="single" w:sz="18" w:space="0" w:color="auto"/>
            </w:tcBorders>
          </w:tcPr>
          <w:p w14:paraId="3D155F01"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2C78D45A" w14:textId="77777777" w:rsidTr="00DC0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9"/>
        </w:trPr>
        <w:tc>
          <w:tcPr>
            <w:tcW w:w="2070" w:type="dxa"/>
            <w:tcBorders>
              <w:top w:val="nil"/>
              <w:left w:val="nil"/>
              <w:bottom w:val="single" w:sz="36" w:space="0" w:color="auto"/>
              <w:right w:val="nil"/>
            </w:tcBorders>
          </w:tcPr>
          <w:p w14:paraId="7B284E84" w14:textId="1084BAAB" w:rsidR="00C15867" w:rsidRPr="009B0D30" w:rsidRDefault="00DC0FD3" w:rsidP="009C59F7">
            <w:pPr>
              <w:spacing w:before="120"/>
            </w:pPr>
            <w:r>
              <w:rPr>
                <w:noProof/>
                <w:lang w:eastAsia="en-CA"/>
              </w:rPr>
              <w:drawing>
                <wp:anchor distT="0" distB="0" distL="114300" distR="114300" simplePos="0" relativeHeight="251659264" behindDoc="0" locked="0" layoutInCell="1" allowOverlap="1" wp14:anchorId="3AF8535A" wp14:editId="34342412">
                  <wp:simplePos x="0" y="0"/>
                  <wp:positionH relativeFrom="column">
                    <wp:posOffset>19685</wp:posOffset>
                  </wp:positionH>
                  <wp:positionV relativeFrom="paragraph">
                    <wp:posOffset>843280</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68B1853A" wp14:editId="4EF9ED17">
                  <wp:simplePos x="0" y="0"/>
                  <wp:positionH relativeFrom="column">
                    <wp:posOffset>19050</wp:posOffset>
                  </wp:positionH>
                  <wp:positionV relativeFrom="paragraph">
                    <wp:posOffset>81280</wp:posOffset>
                  </wp:positionV>
                  <wp:extent cx="790575" cy="730885"/>
                  <wp:effectExtent l="0" t="0" r="9525"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0885"/>
                          </a:xfrm>
                          <a:prstGeom prst="rect">
                            <a:avLst/>
                          </a:prstGeom>
                          <a:noFill/>
                        </pic:spPr>
                      </pic:pic>
                    </a:graphicData>
                  </a:graphic>
                  <wp14:sizeRelH relativeFrom="margin">
                    <wp14:pctWidth>0</wp14:pctWidth>
                  </wp14:sizeRelH>
                </wp:anchor>
              </w:drawing>
            </w:r>
          </w:p>
        </w:tc>
        <w:tc>
          <w:tcPr>
            <w:tcW w:w="4458" w:type="dxa"/>
            <w:tcBorders>
              <w:top w:val="nil"/>
              <w:left w:val="nil"/>
              <w:bottom w:val="single" w:sz="36" w:space="0" w:color="auto"/>
              <w:right w:val="nil"/>
            </w:tcBorders>
          </w:tcPr>
          <w:p w14:paraId="63073C99" w14:textId="77777777" w:rsidR="00DC0FD3" w:rsidRDefault="00DC0FD3"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54591683" w14:textId="6243EDD0"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78C1837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32DD714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14:paraId="74508796" w14:textId="77777777" w:rsidR="00C15867" w:rsidRPr="009B0D30" w:rsidRDefault="00C15867" w:rsidP="009C59F7">
            <w:pPr>
              <w:spacing w:before="720"/>
              <w:ind w:left="158"/>
            </w:pPr>
          </w:p>
        </w:tc>
        <w:tc>
          <w:tcPr>
            <w:tcW w:w="3543" w:type="dxa"/>
            <w:tcBorders>
              <w:top w:val="nil"/>
              <w:left w:val="nil"/>
              <w:bottom w:val="single" w:sz="36" w:space="0" w:color="auto"/>
              <w:right w:val="nil"/>
            </w:tcBorders>
          </w:tcPr>
          <w:p w14:paraId="228F28AF" w14:textId="77777777" w:rsidR="00DC0FD3" w:rsidRPr="0025153E" w:rsidRDefault="00DC0FD3" w:rsidP="009C59F7"/>
          <w:p w14:paraId="506E85EB" w14:textId="27AC92F9" w:rsidR="00C15867" w:rsidRPr="0025153E" w:rsidRDefault="00C15867" w:rsidP="009C59F7">
            <w:r w:rsidRPr="0025153E">
              <w:t>Distr.</w:t>
            </w:r>
          </w:p>
          <w:p w14:paraId="3B146F19" w14:textId="77777777" w:rsidR="00923540" w:rsidRPr="0025153E" w:rsidRDefault="00923540" w:rsidP="00923540">
            <w:r w:rsidRPr="0025153E">
              <w:t>GENERAL</w:t>
            </w:r>
          </w:p>
          <w:p w14:paraId="30F0AC78" w14:textId="77777777" w:rsidR="00C15867" w:rsidRPr="0025153E" w:rsidRDefault="00C15867" w:rsidP="009C59F7"/>
          <w:p w14:paraId="1C153988" w14:textId="32974D16" w:rsidR="00C15867" w:rsidRPr="001A0BCF" w:rsidRDefault="00F05E6A" w:rsidP="009C59F7">
            <w:r>
              <w:fldChar w:fldCharType="begin"/>
            </w:r>
            <w:r w:rsidRPr="001A0BCF">
              <w:instrText xml:space="preserve"> DOCPROPERTY "Document number"  \* MERGEFORMAT </w:instrText>
            </w:r>
            <w:r>
              <w:fldChar w:fldCharType="separate"/>
            </w:r>
            <w:r w:rsidR="008209C9">
              <w:t>UNEP/OzL.Pro/ExCom/97/10</w:t>
            </w:r>
            <w:r>
              <w:fldChar w:fldCharType="end"/>
            </w:r>
          </w:p>
          <w:p w14:paraId="754CEA40" w14:textId="16A0DD31" w:rsidR="00C15867" w:rsidRPr="001A0BCF" w:rsidRDefault="00BC2495" w:rsidP="009C59F7">
            <w:r w:rsidRPr="009B0D30">
              <w:fldChar w:fldCharType="begin"/>
            </w:r>
            <w:r w:rsidR="00851352" w:rsidRPr="001A0BCF">
              <w:instrText xml:space="preserve"> DOCPROPERTY "Revision date" \@ "d MMMM YYYY"  \* MERGEFORMAT </w:instrText>
            </w:r>
            <w:r w:rsidRPr="009B0D30">
              <w:fldChar w:fldCharType="separate"/>
            </w:r>
            <w:r w:rsidR="00010EA8" w:rsidRPr="001A0BCF">
              <w:t xml:space="preserve">14 </w:t>
            </w:r>
            <w:r w:rsidR="001A0BCF" w:rsidRPr="001A0BCF">
              <w:t>de</w:t>
            </w:r>
            <w:r w:rsidR="001A0BCF">
              <w:t xml:space="preserve"> octubre de</w:t>
            </w:r>
            <w:r w:rsidR="00010EA8" w:rsidRPr="001A0BCF">
              <w:t xml:space="preserve"> 2025</w:t>
            </w:r>
            <w:r w:rsidRPr="009B0D30">
              <w:fldChar w:fldCharType="end"/>
            </w:r>
          </w:p>
          <w:p w14:paraId="22C37CE8" w14:textId="77777777" w:rsidR="00C15867" w:rsidRPr="001A0BCF" w:rsidRDefault="00C15867" w:rsidP="009C59F7">
            <w:pPr>
              <w:rPr>
                <w:caps/>
              </w:rPr>
            </w:pPr>
          </w:p>
          <w:p w14:paraId="5DC18938" w14:textId="77777777" w:rsidR="00310C16" w:rsidRDefault="00C15867" w:rsidP="009C59F7">
            <w:r>
              <w:t>ESPAÑOL</w:t>
            </w:r>
          </w:p>
          <w:p w14:paraId="409B9A3C" w14:textId="1A919303" w:rsidR="00C15867" w:rsidRPr="009B0D30" w:rsidRDefault="00C15867" w:rsidP="009C59F7">
            <w:r>
              <w:t>ORIGINAL: INGLÉS</w:t>
            </w:r>
          </w:p>
        </w:tc>
      </w:tr>
    </w:tbl>
    <w:p w14:paraId="0B34AA75" w14:textId="77777777" w:rsidR="00DC0FD3" w:rsidRPr="00E965C9" w:rsidRDefault="00DC0FD3" w:rsidP="00DC0FD3">
      <w:pPr>
        <w:jc w:val="left"/>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E965C9">
        <w:t xml:space="preserve">Nonagésima séptima reunión </w:t>
      </w:r>
    </w:p>
    <w:p w14:paraId="7E7C0E29" w14:textId="77777777" w:rsidR="00DC0FD3" w:rsidRPr="00E965C9" w:rsidRDefault="00DC0FD3" w:rsidP="00DC0FD3">
      <w:pPr>
        <w:jc w:val="left"/>
      </w:pPr>
      <w:r w:rsidRPr="00E965C9">
        <w:t>Montreal, 1-5 de diciembre de 2025</w:t>
      </w:r>
    </w:p>
    <w:p w14:paraId="3F0A50C8" w14:textId="78383BEB" w:rsidR="0079781A" w:rsidRDefault="00DC0FD3" w:rsidP="00DC0FD3">
      <w:pPr>
        <w:jc w:val="left"/>
      </w:pPr>
      <w:r>
        <w:t>Punto</w:t>
      </w:r>
      <w:r w:rsidRPr="00E965C9">
        <w:t xml:space="preserve"> 6 b) del orden del día </w:t>
      </w:r>
      <w:r w:rsidR="0079781A">
        <w:t>provisional</w:t>
      </w:r>
      <w:r w:rsidR="0079781A" w:rsidRPr="00512BEF">
        <w:rPr>
          <w:rStyle w:val="FootnoteReference"/>
        </w:rPr>
        <w:footnoteReference w:id="1"/>
      </w:r>
    </w:p>
    <w:p w14:paraId="09C9CF8B" w14:textId="77777777" w:rsidR="00C15867" w:rsidRPr="009B0D30" w:rsidRDefault="00C15867" w:rsidP="00CA59FB">
      <w:pPr>
        <w:jc w:val="left"/>
      </w:pPr>
    </w:p>
    <w:p w14:paraId="1E2BB488" w14:textId="77777777" w:rsidR="002024B6" w:rsidRPr="002024B6" w:rsidRDefault="002024B6" w:rsidP="002024B6"/>
    <w:p w14:paraId="5B85CAC3" w14:textId="77777777" w:rsidR="00642470" w:rsidRPr="00642470" w:rsidRDefault="00642470" w:rsidP="00642470">
      <w:pPr>
        <w:spacing w:after="240"/>
        <w:jc w:val="center"/>
        <w:rPr>
          <w:b/>
          <w:sz w:val="24"/>
          <w:szCs w:val="24"/>
        </w:rPr>
      </w:pPr>
      <w:bookmarkStart w:id="0" w:name="_Hlk150524339"/>
      <w:r>
        <w:rPr>
          <w:b/>
          <w:sz w:val="24"/>
        </w:rPr>
        <w:t>INFORME ANUAL SOBRE LA EJECUCIÓN DEL PROGRAMA DE TRABAJO DE SUPERVISIÓN Y EVALUACIÓN PARA 2025 Y EL PROGRAMA DE TRABAJO DE EVALUACIÓN PARA 2026</w:t>
      </w:r>
    </w:p>
    <w:bookmarkEnd w:id="0"/>
    <w:p w14:paraId="36C078BA" w14:textId="77777777" w:rsidR="00642470" w:rsidRPr="00642470" w:rsidRDefault="00642470" w:rsidP="00642470">
      <w:pPr>
        <w:spacing w:after="240"/>
        <w:rPr>
          <w:b/>
          <w:bCs/>
          <w:sz w:val="24"/>
          <w:szCs w:val="24"/>
        </w:rPr>
      </w:pPr>
      <w:r>
        <w:rPr>
          <w:b/>
          <w:sz w:val="24"/>
        </w:rPr>
        <w:t>Introducción</w:t>
      </w:r>
    </w:p>
    <w:p w14:paraId="10E441E7" w14:textId="0B52B31B" w:rsidR="00642470" w:rsidRPr="00642470" w:rsidRDefault="00642470" w:rsidP="007A54E9">
      <w:pPr>
        <w:pStyle w:val="Heading1"/>
      </w:pPr>
      <w:r>
        <w:t>En respuesta a la decisión 91/9 c) ii), la Oficial Superior de Supervisión y Evaluación (OSSE) presentó un programa de trabajo de supervisión y evaluación bienal y presupuesto para los años 2024 y 2025,</w:t>
      </w:r>
      <w:r w:rsidRPr="00642470">
        <w:rPr>
          <w:vertAlign w:val="superscript"/>
        </w:rPr>
        <w:footnoteReference w:id="2"/>
      </w:r>
      <w:r>
        <w:t xml:space="preserve"> que aprobó el Comité Ejecutivo a título de prueba en la decisión 93/10. También se acordó que la OSSE informaría sobre la ejecución de esta decisión en la 97ª reunión,</w:t>
      </w:r>
      <w:r w:rsidR="00CF63E1">
        <w:rPr>
          <w:rStyle w:val="FootnoteReference"/>
        </w:rPr>
        <w:footnoteReference w:id="3"/>
      </w:r>
      <w:r>
        <w:t xml:space="preserve"> lo que se llevará a cabo como parte del informe anual actual que figura en este documento.</w:t>
      </w:r>
    </w:p>
    <w:p w14:paraId="1FC0F597" w14:textId="57E7BBB7" w:rsidR="00642470" w:rsidRPr="00961526" w:rsidRDefault="00642470" w:rsidP="007A54E9">
      <w:pPr>
        <w:pStyle w:val="Heading1"/>
      </w:pPr>
      <w:r>
        <w:t xml:space="preserve">Para cubrir el periodo de transición entre la OSSE y el nuevo Oficial Superior de Evaluación (OSE), la propuesta de programa de trabajo y su presupuesto conexo </w:t>
      </w:r>
      <w:r w:rsidR="00A06EA3">
        <w:t>abarcan</w:t>
      </w:r>
      <w:r>
        <w:t xml:space="preserve"> únicamente el año 2026 (en lugar de dos años).</w:t>
      </w:r>
    </w:p>
    <w:p w14:paraId="489A5DF3" w14:textId="31E5D63F" w:rsidR="00642470" w:rsidRPr="00642470" w:rsidRDefault="005D3235" w:rsidP="007A54E9">
      <w:pPr>
        <w:pStyle w:val="Heading1"/>
      </w:pPr>
      <w:r>
        <w:t>El presente documento consta de las dos secciones siguientes:</w:t>
      </w:r>
    </w:p>
    <w:p w14:paraId="651300AD" w14:textId="43E2B149" w:rsidR="00642470" w:rsidRPr="00642470" w:rsidRDefault="00171DEB" w:rsidP="00DD384B">
      <w:pPr>
        <w:pStyle w:val="Heading2"/>
        <w:numPr>
          <w:ilvl w:val="0"/>
          <w:numId w:val="0"/>
        </w:numPr>
        <w:ind w:left="1440" w:hanging="720"/>
      </w:pPr>
      <w:r>
        <w:t>I.</w:t>
      </w:r>
      <w:r>
        <w:tab/>
        <w:t>Informe anual sobre el estado de ejecución del programa de trabajo para 2025, incluida la referencia a la experiencia del programa de trabajo de ciclo bienal, y gastos presupuestarios conexos; y</w:t>
      </w:r>
    </w:p>
    <w:p w14:paraId="250DDF0A" w14:textId="1A860194" w:rsidR="00642470" w:rsidRPr="00642470" w:rsidRDefault="006F0D35" w:rsidP="00DD384B">
      <w:pPr>
        <w:pStyle w:val="Heading2"/>
        <w:numPr>
          <w:ilvl w:val="0"/>
          <w:numId w:val="0"/>
        </w:numPr>
        <w:ind w:left="1440" w:hanging="720"/>
      </w:pPr>
      <w:r>
        <w:t>II.</w:t>
      </w:r>
      <w:r>
        <w:tab/>
        <w:t xml:space="preserve">Propuesta de programa de trabajo para 2026 y presupuesto </w:t>
      </w:r>
      <w:r w:rsidR="00A06EA3">
        <w:t>conexo</w:t>
      </w:r>
      <w:r>
        <w:t>.</w:t>
      </w:r>
    </w:p>
    <w:p w14:paraId="6E791688" w14:textId="1B4B7AD1" w:rsidR="00642470" w:rsidRPr="00642470" w:rsidRDefault="00483311" w:rsidP="00DD384B">
      <w:pPr>
        <w:keepNext/>
        <w:spacing w:after="240"/>
        <w:ind w:left="720" w:hanging="720"/>
        <w:rPr>
          <w:b/>
          <w:bCs/>
          <w:sz w:val="24"/>
          <w:szCs w:val="24"/>
        </w:rPr>
      </w:pPr>
      <w:r>
        <w:rPr>
          <w:b/>
          <w:sz w:val="24"/>
        </w:rPr>
        <w:lastRenderedPageBreak/>
        <w:t>I.</w:t>
      </w:r>
      <w:r>
        <w:rPr>
          <w:b/>
          <w:sz w:val="24"/>
        </w:rPr>
        <w:tab/>
        <w:t>Informe anual sobre el estado de ejecución del programa de trabajo y gastos presupuestarios conexos en 2025</w:t>
      </w:r>
    </w:p>
    <w:p w14:paraId="006EC7CF" w14:textId="12D490A4" w:rsidR="007830A8" w:rsidRPr="00DD384B" w:rsidRDefault="00B53137" w:rsidP="004829CD">
      <w:pPr>
        <w:pStyle w:val="Heading1"/>
      </w:pPr>
      <w:r>
        <w:t xml:space="preserve">En el anexo I del presente documento se proporciona una instantánea del estado de </w:t>
      </w:r>
      <w:r w:rsidR="0066195A">
        <w:t>ejecución</w:t>
      </w:r>
      <w:r>
        <w:t xml:space="preserve"> del programa de trabajo de 2025 y sus resultados.</w:t>
      </w:r>
    </w:p>
    <w:p w14:paraId="366261A2" w14:textId="5EC821F2" w:rsidR="00642470" w:rsidRPr="00642470" w:rsidRDefault="00642470" w:rsidP="00642470">
      <w:pPr>
        <w:keepNext/>
        <w:keepLines/>
        <w:widowControl w:val="0"/>
        <w:spacing w:after="240"/>
        <w:rPr>
          <w:u w:val="single"/>
        </w:rPr>
      </w:pPr>
      <w:r>
        <w:rPr>
          <w:u w:val="single"/>
        </w:rPr>
        <w:t>Actualizaciones sobre la mejora de la función de evaluación</w:t>
      </w:r>
    </w:p>
    <w:p w14:paraId="2C7EB526" w14:textId="0671B322" w:rsidR="00642470" w:rsidRPr="00642470" w:rsidRDefault="00A527A9" w:rsidP="004829CD">
      <w:pPr>
        <w:pStyle w:val="Heading1"/>
      </w:pPr>
      <w:r>
        <w:t>La OSSE preparó y presentó a la 96ª reunión una posible respuesta de la dirección a la valoración externa de la función de evaluación del Fondo Multilateral, incluida una política de evaluación, que fue aprobada por la decisión 96/4. La política de evaluación del Fondo</w:t>
      </w:r>
      <w:r w:rsidR="00771FE6" w:rsidRPr="00642470">
        <w:rPr>
          <w:vertAlign w:val="superscript"/>
        </w:rPr>
        <w:footnoteReference w:id="4"/>
      </w:r>
      <w:r>
        <w:t xml:space="preserve"> formaliza la separación de las funciones de supervisión y evaluación, de manera que la primera sigue correspondiendo a la Secretaría, mientras que la segunda pasa a ser únicamente responsabilidad de la unidad de evaluación.</w:t>
      </w:r>
      <w:r w:rsidR="00642470" w:rsidRPr="00642470">
        <w:rPr>
          <w:vertAlign w:val="superscript"/>
        </w:rPr>
        <w:footnoteReference w:id="5"/>
      </w:r>
    </w:p>
    <w:p w14:paraId="3631382B" w14:textId="033EC6AF" w:rsidR="00642470" w:rsidRPr="00642470" w:rsidRDefault="00642470" w:rsidP="004829CD">
      <w:pPr>
        <w:pStyle w:val="Heading1"/>
      </w:pPr>
      <w:r>
        <w:t>La OSSE determinó varias actividades que debían realizarse en respuesta al mandato contenido en la respuesta de la dirección aprobada.</w:t>
      </w:r>
      <w:r w:rsidR="00AE7763">
        <w:rPr>
          <w:rStyle w:val="FootnoteReference"/>
        </w:rPr>
        <w:footnoteReference w:id="6"/>
      </w:r>
      <w:r>
        <w:t xml:space="preserve"> Dichas actividades se contemplan en el programa de trabajo propuesto para 2026, que figura en el anexo II del presente documento. El nuevo OSE puede seguir determinando otras </w:t>
      </w:r>
      <w:r w:rsidR="00490292">
        <w:t>actividades</w:t>
      </w:r>
      <w:r>
        <w:t xml:space="preserve"> a más largo plazo. Su ejecución contribuirá a la mejora continua de la función de evaluación.</w:t>
      </w:r>
    </w:p>
    <w:p w14:paraId="1944996C" w14:textId="31965E8D" w:rsidR="00642470" w:rsidRPr="00642470" w:rsidRDefault="00642470" w:rsidP="004829CD">
      <w:pPr>
        <w:pStyle w:val="Heading1"/>
      </w:pPr>
      <w:r>
        <w:t>Al cerrar el bienio 2024-2025, cabe mencionar que se han logrado mejoras específicas gracias a la reorganización del trabajo, el establecimiento de un marco operacional a través de la aprobación de la política de evaluación, y la clarificación de las modalidades de interacción con las distintas partes interesadas que contribuyen en conjunto a la labor de evaluación y a su relevancia para alcanzar los objetivos del Fondo. Los papeles claramente descritos que desempeñan las distint</w:t>
      </w:r>
      <w:r w:rsidR="00393D9C">
        <w:t>a</w:t>
      </w:r>
      <w:r>
        <w:t>s partes interesadas en la política de evaluación contribuirán a mejorar la eficacia y eficiencia al preparar y finalizar los informes de evaluación en el futuro, así como al ejecutar sus recomendaciones.</w:t>
      </w:r>
    </w:p>
    <w:p w14:paraId="77BE88DE" w14:textId="479D2505" w:rsidR="00642470" w:rsidRPr="00642470" w:rsidRDefault="005141A5" w:rsidP="00642470">
      <w:pPr>
        <w:keepNext/>
        <w:keepLines/>
        <w:widowControl w:val="0"/>
        <w:spacing w:after="240"/>
        <w:rPr>
          <w:u w:val="single"/>
        </w:rPr>
      </w:pPr>
      <w:r>
        <w:rPr>
          <w:u w:val="single"/>
        </w:rPr>
        <w:t>Actualizaciones sobre la integración de los informes de terminación de proyectos en el sistema de gestión de la información</w:t>
      </w:r>
    </w:p>
    <w:p w14:paraId="6395952C" w14:textId="65363AD1" w:rsidR="00642470" w:rsidRPr="00642470" w:rsidRDefault="00642470" w:rsidP="004829CD">
      <w:pPr>
        <w:pStyle w:val="Heading1"/>
      </w:pPr>
      <w:r>
        <w:t>A lo largo de 2025, la unidad de evaluación finalizó el trabajo relativo a la migración de los informes de terminación de proyectos (ITP) desde las bases de datos existentes hasta el sistema de gestión del conocimiento, incluida la digitalización e inclusión en el sistema de gestión del conocimiento de los ITP que solo estaban disponibles en formato físico. La unidad contó con la asistencia de un contratista individual contratado con este fin, según se indica en el presupuesto de evaluación para 2025. Las bases de datos existentes para las presentaciones de ITP seguirán operativas hasta que el sistema de gestión del conocimiento disponga de la funcionalidad de presentación de ITP usando el formato universal.</w:t>
      </w:r>
      <w:r w:rsidRPr="00642470">
        <w:rPr>
          <w:vertAlign w:val="superscript"/>
        </w:rPr>
        <w:footnoteReference w:id="7"/>
      </w:r>
    </w:p>
    <w:p w14:paraId="7C88A1CE" w14:textId="77777777" w:rsidR="00642470" w:rsidRPr="00642470" w:rsidRDefault="00642470" w:rsidP="004829CD">
      <w:pPr>
        <w:pStyle w:val="Heading1"/>
      </w:pPr>
      <w:r>
        <w:t>De forma paralela, la unidad de evaluación colaboró estrechamente con el equipo del sistema de gestión del conocimiento para definir los requisitos de usuarios con el fin de facilitar en el futuro la presentación de ITP usando el formato universal en el sistema de gestión del conocimiento. El trabajo de preparación consistió, entre otras cosas, en la elaboración de taxonomías, la definición de los niveles de acceso de los usuarios y la determinación del proceso para extraer la experiencia adquirida.</w:t>
      </w:r>
    </w:p>
    <w:p w14:paraId="20B46076" w14:textId="58647D54" w:rsidR="00642470" w:rsidRPr="00642470" w:rsidRDefault="00EE7B40" w:rsidP="004829CD">
      <w:pPr>
        <w:pStyle w:val="Heading1"/>
      </w:pPr>
      <w:r>
        <w:t>Durante</w:t>
      </w:r>
      <w:r w:rsidR="00642470">
        <w:t xml:space="preserve"> la preparación para la 97ª reunión, la OSSE contribuyó al proceso interno </w:t>
      </w:r>
      <w:r>
        <w:t xml:space="preserve">realizado </w:t>
      </w:r>
      <w:r w:rsidR="00642470">
        <w:t xml:space="preserve">con la Secretaría </w:t>
      </w:r>
      <w:r>
        <w:t xml:space="preserve">y </w:t>
      </w:r>
      <w:r w:rsidR="00642470">
        <w:t xml:space="preserve">destinado a </w:t>
      </w:r>
      <w:r w:rsidR="005A248A">
        <w:t>racionalizar</w:t>
      </w:r>
      <w:r w:rsidR="00642470">
        <w:t xml:space="preserve"> los procesos de presentación de informes en los proyectos con </w:t>
      </w:r>
      <w:r w:rsidR="00642470">
        <w:lastRenderedPageBreak/>
        <w:t>financiación del Fondo, en particular en lo relativo a los informes finales para distintos tipos de proyectos. Hay un consenso sobre la necesidad de que estos informes finales y los ITP se complementen mutuamente y eviten cualquier duplicación o solapamiento innecesarios. El análisis en ese sentido y la propuesta sobre el camino a seguir teniendo en cuenta las opiniones de la OSSE se presenta en el examen de la posibilidad de integración de los informes a través de los ITP e informes finales detallados de los proyectos.</w:t>
      </w:r>
      <w:r w:rsidR="00F654C6">
        <w:rPr>
          <w:rStyle w:val="FootnoteReference"/>
        </w:rPr>
        <w:footnoteReference w:id="8"/>
      </w:r>
    </w:p>
    <w:p w14:paraId="42E555D3" w14:textId="77777777" w:rsidR="00642470" w:rsidRPr="00642470" w:rsidRDefault="00642470" w:rsidP="00642470">
      <w:pPr>
        <w:spacing w:after="240"/>
        <w:outlineLvl w:val="0"/>
        <w:rPr>
          <w:u w:val="single"/>
        </w:rPr>
      </w:pPr>
      <w:r>
        <w:rPr>
          <w:u w:val="single"/>
        </w:rPr>
        <w:t>Actualizaciones sobre el estado de las evaluaciones</w:t>
      </w:r>
    </w:p>
    <w:p w14:paraId="77931509" w14:textId="0E548788" w:rsidR="00C86465" w:rsidRDefault="00642470" w:rsidP="004829CD">
      <w:pPr>
        <w:pStyle w:val="Heading1"/>
      </w:pPr>
      <w:r>
        <w:t>El programa de trabajo para 2025 incluía actividades orientadas a la entrega de evaluaciones para preparar los términos de referencia y los estudios teóricos. En la 96ª reunión se aprobaron los TdR de dos estudios teóricos para las evaluaciones de planes de gestión de la eliminación de los HCFC (PGEH), uno sobre la contribución a las políticas, reglamentos y estrategias nacionales de desarrollo para asegurar el cumplimiento del Protocolo de Montreal y la sostenibilidad de los logros</w:t>
      </w:r>
      <w:r w:rsidRPr="00642470">
        <w:rPr>
          <w:vertAlign w:val="superscript"/>
        </w:rPr>
        <w:footnoteReference w:id="9"/>
      </w:r>
      <w:r>
        <w:t xml:space="preserve"> y el otro sobre planes de capacitación, creación de capacidad y certificación en el sector de servicio y mantenimiento de equipos de refrigeración</w:t>
      </w:r>
      <w:r w:rsidR="00EE7B40">
        <w:t>.</w:t>
      </w:r>
      <w:r w:rsidRPr="00642470">
        <w:rPr>
          <w:vertAlign w:val="superscript"/>
        </w:rPr>
        <w:footnoteReference w:id="10"/>
      </w:r>
      <w:r>
        <w:t xml:space="preserve"> </w:t>
      </w:r>
      <w:r w:rsidR="00EE7B40">
        <w:t>El inicio de ambos</w:t>
      </w:r>
      <w:r>
        <w:t xml:space="preserve"> estudios teóricos </w:t>
      </w:r>
      <w:r w:rsidR="00EE7B40">
        <w:t>está pendiente</w:t>
      </w:r>
      <w:r>
        <w:t xml:space="preserve">. Una tercera evaluación temática prevista para 2025 </w:t>
      </w:r>
      <w:r w:rsidR="00EE7B40">
        <w:t>consistía en</w:t>
      </w:r>
      <w:r>
        <w:t xml:space="preserve"> un estudio teórico para la evaluación de los proyectos de recuperación, reciclado y regeneración.</w:t>
      </w:r>
    </w:p>
    <w:p w14:paraId="0E455E0B" w14:textId="466A00DE" w:rsidR="00642470" w:rsidRPr="00642470" w:rsidRDefault="00642470" w:rsidP="004829CD">
      <w:pPr>
        <w:pStyle w:val="Heading1"/>
      </w:pPr>
      <w:r>
        <w:t>Estas tres evaluaciones de estudios teóricos se proponen ahora para el programa de trabajo de evaluación de 2026, junto con su presupuesto aprobado, que asciende a USD 100.000.</w:t>
      </w:r>
      <w:r w:rsidRPr="00903AD8">
        <w:rPr>
          <w:vertAlign w:val="superscript"/>
        </w:rPr>
        <w:footnoteReference w:id="11"/>
      </w:r>
      <w:r>
        <w:t xml:space="preserve"> Los plazos para su finalización serían propuestos por el nuevo OSE para la consideración del Comité Ejecutivo.</w:t>
      </w:r>
    </w:p>
    <w:p w14:paraId="1CC71DE0" w14:textId="6DC4A090" w:rsidR="00642470" w:rsidRPr="00642470" w:rsidRDefault="009B3035" w:rsidP="00DD384B">
      <w:pPr>
        <w:pStyle w:val="Heading1"/>
      </w:pPr>
      <w:r>
        <w:t>En la 96ª reunión, el Comité Ejecutivo tomó nota, con reconocimiento, de la actualización sobre la marcha de las actividades por Acción por el Ozono del PNUMA con respecto a la ejecución de la hoja de ruta que figura en el informe final de la evaluación de las redes regionales de oficiales nacionales del ozono. La preparación de los TdR para la segunda fase de la evaluación del Programa de Asistencia al Cumplimiento, que originalmente estaba prevista para la 97ª reunión, está incluida en el programa de trabajo para 2026 y será realizada por el nuevo OSE.</w:t>
      </w:r>
    </w:p>
    <w:p w14:paraId="1DD1CE01" w14:textId="77777777" w:rsidR="00642470" w:rsidRPr="00642470" w:rsidRDefault="00642470" w:rsidP="00642470">
      <w:pPr>
        <w:keepNext/>
        <w:keepLines/>
        <w:widowControl w:val="0"/>
        <w:spacing w:after="240"/>
        <w:rPr>
          <w:u w:val="single"/>
        </w:rPr>
      </w:pPr>
      <w:r>
        <w:rPr>
          <w:u w:val="single"/>
        </w:rPr>
        <w:t>Divulgación y comunicación</w:t>
      </w:r>
    </w:p>
    <w:p w14:paraId="14D8B59D" w14:textId="240AD3BB" w:rsidR="00642470" w:rsidRPr="00642470" w:rsidRDefault="00642470" w:rsidP="00DD384B">
      <w:pPr>
        <w:pStyle w:val="Heading1"/>
      </w:pPr>
      <w:r>
        <w:t>La unidad de evaluación ha colaborado estrechamente con la Secretaría para mejorar la divulgación y comunicación sobre los productos de evaluación. Los documentos clave, como la política de evaluación y la respuesta de la dirección, se han incluido en una nueva subsección de la página web de evaluación.</w:t>
      </w:r>
      <w:r w:rsidRPr="00642470">
        <w:rPr>
          <w:vertAlign w:val="superscript"/>
        </w:rPr>
        <w:footnoteReference w:id="12"/>
      </w:r>
      <w:r>
        <w:t xml:space="preserve"> La unidad de evaluación también </w:t>
      </w:r>
      <w:r w:rsidR="00EE7B40">
        <w:t>ha examinado y actualizado</w:t>
      </w:r>
      <w:r>
        <w:t xml:space="preserve"> los contenidos de la sección de evaluación del sitio web del Fondo.</w:t>
      </w:r>
      <w:r w:rsidRPr="00642470">
        <w:rPr>
          <w:vertAlign w:val="superscript"/>
        </w:rPr>
        <w:footnoteReference w:id="13"/>
      </w:r>
    </w:p>
    <w:p w14:paraId="58BBF2D1" w14:textId="62A281E0" w:rsidR="00642470" w:rsidRPr="00642470" w:rsidRDefault="00642470" w:rsidP="00DD384B">
      <w:pPr>
        <w:pStyle w:val="Heading1"/>
      </w:pPr>
      <w:r>
        <w:t>Se observa que la política de evaluación, así como el anuncio de vacante para el OSE,</w:t>
      </w:r>
      <w:r w:rsidRPr="00642470">
        <w:rPr>
          <w:vertAlign w:val="superscript"/>
        </w:rPr>
        <w:footnoteReference w:id="14"/>
      </w:r>
      <w:r>
        <w:t xml:space="preserve"> hacen referencia a la preparación de un boletín de evaluación anual. </w:t>
      </w:r>
      <w:r w:rsidR="00EE7B40">
        <w:t>Esta preparación n</w:t>
      </w:r>
      <w:r>
        <w:t xml:space="preserve">o ha sido posible </w:t>
      </w:r>
      <w:r w:rsidR="00EE7B40">
        <w:t>en</w:t>
      </w:r>
      <w:r>
        <w:t xml:space="preserve"> el año 2025, pero podría iniciarse para 2026.</w:t>
      </w:r>
    </w:p>
    <w:p w14:paraId="3D5F3144" w14:textId="7FB47034" w:rsidR="00642470" w:rsidRPr="00642470" w:rsidRDefault="00BD7A8F" w:rsidP="00642470">
      <w:pPr>
        <w:keepNext/>
        <w:keepLines/>
        <w:widowControl w:val="0"/>
        <w:spacing w:after="240"/>
        <w:rPr>
          <w:u w:val="single"/>
        </w:rPr>
      </w:pPr>
      <w:r>
        <w:rPr>
          <w:u w:val="single"/>
        </w:rPr>
        <w:lastRenderedPageBreak/>
        <w:t>Examen del ciclo bienal del programa de trabajo</w:t>
      </w:r>
    </w:p>
    <w:p w14:paraId="07F1C26B" w14:textId="51D8B5C8" w:rsidR="00642470" w:rsidRPr="00642470" w:rsidRDefault="00642470" w:rsidP="00DD384B">
      <w:pPr>
        <w:pStyle w:val="Heading1"/>
      </w:pPr>
      <w:r>
        <w:t>En su 91ª reunión, el Comité Ejecutivo aprobó el formato bienal del programa de trabajo a título de prueba</w:t>
      </w:r>
      <w:r w:rsidR="00DE266B" w:rsidRPr="00642470">
        <w:rPr>
          <w:vertAlign w:val="superscript"/>
        </w:rPr>
        <w:footnoteReference w:id="15"/>
      </w:r>
      <w:r>
        <w:t xml:space="preserve"> y solicitó a la OSSE que informara sobre el resultado de esta modalidad en la 97ª reunión.</w:t>
      </w:r>
      <w:r w:rsidR="00D004E1">
        <w:rPr>
          <w:rStyle w:val="FootnoteReference"/>
        </w:rPr>
        <w:footnoteReference w:id="16"/>
      </w:r>
      <w:r>
        <w:t xml:space="preserve"> A este respecto, la experiencia fue positiva, ya que dio lugar a una mayor predictibilidad en la planificación de las actividades de evaluación. En consecuencia, la OSSE hizo referencia al programa de trabajo bienal al preparar la política de evaluación del Fondo.</w:t>
      </w:r>
      <w:r w:rsidRPr="00642470">
        <w:rPr>
          <w:vertAlign w:val="superscript"/>
        </w:rPr>
        <w:footnoteReference w:id="17"/>
      </w:r>
    </w:p>
    <w:p w14:paraId="60BC25A3" w14:textId="1AD24237" w:rsidR="00642470" w:rsidRPr="00642470" w:rsidRDefault="00DD59B3" w:rsidP="004829CD">
      <w:pPr>
        <w:pStyle w:val="Heading1"/>
      </w:pPr>
      <w:r>
        <w:t>Teniendo en cuenta la transición actual entre la OSSE saliente y el nuevo OSE, de forma excepcional se presenta el programa de trabajo de 2026 para un solo año. El Comité Ejecutivo podría proporcionar orientaciones al nuevo OSE, una vez que se incorpore, sobre el ciclo de los futuros programas de trabajo.</w:t>
      </w:r>
    </w:p>
    <w:p w14:paraId="2CFCC2D8" w14:textId="77777777" w:rsidR="00642470" w:rsidRPr="00DD384B" w:rsidRDefault="00642470" w:rsidP="00DD384B">
      <w:pPr>
        <w:keepNext/>
        <w:keepLines/>
        <w:widowControl w:val="0"/>
        <w:spacing w:after="240"/>
        <w:rPr>
          <w:u w:val="single"/>
        </w:rPr>
      </w:pPr>
      <w:r>
        <w:rPr>
          <w:u w:val="single"/>
        </w:rPr>
        <w:t>Gastos presupuestarios en 2025</w:t>
      </w:r>
    </w:p>
    <w:p w14:paraId="5C30F61F" w14:textId="2518EC1F" w:rsidR="00642470" w:rsidRPr="00642470" w:rsidRDefault="00642470" w:rsidP="00DD384B">
      <w:pPr>
        <w:pStyle w:val="Heading1"/>
      </w:pPr>
      <w:r>
        <w:t xml:space="preserve">En 2025, solo se ha ejecutado una de las actividades presupuestadas, </w:t>
      </w:r>
      <w:r w:rsidR="00E13C4C">
        <w:t>correspondiente a</w:t>
      </w:r>
      <w:r>
        <w:t xml:space="preserve"> la contratación de un contratista individual </w:t>
      </w:r>
      <w:r w:rsidR="00E13C4C">
        <w:t>con el fin de</w:t>
      </w:r>
      <w:r>
        <w:t xml:space="preserve"> complementar la labor de la secretaría sobre el desarrollo del sistema de gestión del conocimiento para supervisar y evaluar las cuestiones relacionadas, que asciende a USD 15.000. El proceso de contratación </w:t>
      </w:r>
      <w:r w:rsidR="00E13C4C">
        <w:t>de</w:t>
      </w:r>
      <w:r>
        <w:t xml:space="preserve"> consultores para las evaluaciones temáticas tendrá lugar una vez que el nuevo </w:t>
      </w:r>
      <w:r w:rsidR="00E13C4C">
        <w:t>OSE</w:t>
      </w:r>
      <w:r>
        <w:t xml:space="preserve"> comience a desempeñar sus funciones. En el cuadro 1 se presenta un resumen de los gastos y saldos para 2025.</w:t>
      </w:r>
    </w:p>
    <w:p w14:paraId="5D5EE125" w14:textId="0274C526" w:rsidR="00642470" w:rsidRPr="00642470" w:rsidRDefault="00642470" w:rsidP="00DD384B">
      <w:pPr>
        <w:keepNext/>
        <w:tabs>
          <w:tab w:val="left" w:pos="8280"/>
        </w:tabs>
        <w:rPr>
          <w:b/>
        </w:rPr>
      </w:pPr>
      <w:r>
        <w:rPr>
          <w:b/>
        </w:rPr>
        <w:t>Cuadro 1. Resumen de los gastos y saldos en comparación con el presupuesto aprobado para 2025* (en USD)</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954"/>
        <w:gridCol w:w="1246"/>
        <w:gridCol w:w="1170"/>
        <w:gridCol w:w="990"/>
      </w:tblGrid>
      <w:tr w:rsidR="00000BF2" w:rsidRPr="007A54E9" w14:paraId="1FCBDB1A" w14:textId="77777777" w:rsidTr="00464812">
        <w:trPr>
          <w:trHeight w:val="144"/>
          <w:tblHeader/>
        </w:trPr>
        <w:tc>
          <w:tcPr>
            <w:tcW w:w="5954" w:type="dxa"/>
            <w:shd w:val="clear" w:color="auto" w:fill="FFFFFF" w:themeFill="background1"/>
            <w:noWrap/>
          </w:tcPr>
          <w:p w14:paraId="1BF03923" w14:textId="77777777" w:rsidR="00642470" w:rsidRPr="007A54E9" w:rsidRDefault="00642470" w:rsidP="00642470">
            <w:pPr>
              <w:keepLines/>
              <w:jc w:val="center"/>
              <w:rPr>
                <w:b/>
                <w:bCs/>
                <w:color w:val="000000"/>
                <w:sz w:val="20"/>
                <w:szCs w:val="20"/>
              </w:rPr>
            </w:pPr>
            <w:r>
              <w:rPr>
                <w:b/>
                <w:color w:val="000000"/>
                <w:sz w:val="20"/>
              </w:rPr>
              <w:t>Descripción</w:t>
            </w:r>
          </w:p>
        </w:tc>
        <w:tc>
          <w:tcPr>
            <w:tcW w:w="1246" w:type="dxa"/>
            <w:shd w:val="clear" w:color="auto" w:fill="FFFFFF" w:themeFill="background1"/>
          </w:tcPr>
          <w:p w14:paraId="69CCAE62" w14:textId="48272A9E" w:rsidR="00642470" w:rsidRPr="007A54E9" w:rsidRDefault="00642470" w:rsidP="00642470">
            <w:pPr>
              <w:keepLines/>
              <w:jc w:val="center"/>
              <w:rPr>
                <w:b/>
                <w:bCs/>
                <w:sz w:val="20"/>
                <w:szCs w:val="20"/>
              </w:rPr>
            </w:pPr>
            <w:r>
              <w:rPr>
                <w:b/>
                <w:sz w:val="20"/>
              </w:rPr>
              <w:t>Aprobado</w:t>
            </w:r>
          </w:p>
        </w:tc>
        <w:tc>
          <w:tcPr>
            <w:tcW w:w="1170" w:type="dxa"/>
            <w:shd w:val="clear" w:color="auto" w:fill="FFFFFF" w:themeFill="background1"/>
          </w:tcPr>
          <w:p w14:paraId="6C4AC80E" w14:textId="219AC292" w:rsidR="00642470" w:rsidRPr="007A54E9" w:rsidRDefault="00642470" w:rsidP="00642470">
            <w:pPr>
              <w:keepLines/>
              <w:jc w:val="center"/>
              <w:rPr>
                <w:b/>
                <w:bCs/>
                <w:sz w:val="20"/>
                <w:szCs w:val="20"/>
              </w:rPr>
            </w:pPr>
            <w:r>
              <w:rPr>
                <w:b/>
                <w:color w:val="000000"/>
                <w:sz w:val="20"/>
              </w:rPr>
              <w:t>Utilizado</w:t>
            </w:r>
          </w:p>
        </w:tc>
        <w:tc>
          <w:tcPr>
            <w:tcW w:w="990" w:type="dxa"/>
            <w:shd w:val="clear" w:color="auto" w:fill="FFFFFF" w:themeFill="background1"/>
          </w:tcPr>
          <w:p w14:paraId="0BE9B4DB" w14:textId="77777777" w:rsidR="00642470" w:rsidRPr="007A54E9" w:rsidRDefault="00642470" w:rsidP="00642470">
            <w:pPr>
              <w:keepLines/>
              <w:jc w:val="center"/>
              <w:rPr>
                <w:b/>
                <w:bCs/>
                <w:sz w:val="20"/>
                <w:szCs w:val="20"/>
              </w:rPr>
            </w:pPr>
            <w:r>
              <w:rPr>
                <w:b/>
                <w:color w:val="000000"/>
                <w:sz w:val="20"/>
              </w:rPr>
              <w:t>Saldo</w:t>
            </w:r>
          </w:p>
        </w:tc>
      </w:tr>
      <w:tr w:rsidR="00642470" w:rsidRPr="007A54E9" w14:paraId="43883A47" w14:textId="77777777" w:rsidTr="00464812">
        <w:trPr>
          <w:trHeight w:val="144"/>
          <w:tblHeader/>
        </w:trPr>
        <w:tc>
          <w:tcPr>
            <w:tcW w:w="9360" w:type="dxa"/>
            <w:gridSpan w:val="4"/>
            <w:shd w:val="clear" w:color="auto" w:fill="FFFFFF" w:themeFill="background1"/>
            <w:noWrap/>
          </w:tcPr>
          <w:p w14:paraId="6AA127FE" w14:textId="54BBE7F8" w:rsidR="00642470" w:rsidRPr="007A54E9" w:rsidRDefault="00642470" w:rsidP="00642470">
            <w:pPr>
              <w:keepLines/>
              <w:jc w:val="center"/>
              <w:rPr>
                <w:b/>
                <w:bCs/>
                <w:color w:val="000000"/>
                <w:sz w:val="20"/>
                <w:szCs w:val="20"/>
              </w:rPr>
            </w:pPr>
            <w:r>
              <w:rPr>
                <w:b/>
                <w:color w:val="000000"/>
                <w:sz w:val="20"/>
              </w:rPr>
              <w:t>Servicios de consultoría para las evaluaciones temáticas de 2025</w:t>
            </w:r>
          </w:p>
        </w:tc>
      </w:tr>
      <w:tr w:rsidR="00642470" w:rsidRPr="007A54E9" w14:paraId="31859139" w14:textId="77777777" w:rsidTr="00464812">
        <w:trPr>
          <w:trHeight w:val="843"/>
        </w:trPr>
        <w:tc>
          <w:tcPr>
            <w:tcW w:w="5954" w:type="dxa"/>
            <w:shd w:val="clear" w:color="auto" w:fill="FFFFFF" w:themeFill="background1"/>
            <w:noWrap/>
          </w:tcPr>
          <w:p w14:paraId="03D8C4E9" w14:textId="01472D6C" w:rsidR="00642470" w:rsidRPr="007A54E9" w:rsidRDefault="00642470" w:rsidP="00DD384B">
            <w:pPr>
              <w:keepLines/>
              <w:numPr>
                <w:ilvl w:val="0"/>
                <w:numId w:val="28"/>
              </w:numPr>
              <w:ind w:left="519"/>
              <w:rPr>
                <w:rFonts w:eastAsia="Calibri"/>
                <w:kern w:val="2"/>
                <w:sz w:val="20"/>
                <w:szCs w:val="20"/>
              </w:rPr>
            </w:pPr>
            <w:r>
              <w:rPr>
                <w:sz w:val="20"/>
              </w:rPr>
              <w:t xml:space="preserve">Evaluación de los proyectos de recuperación, reciclado y regeneración </w:t>
            </w:r>
          </w:p>
          <w:p w14:paraId="2E06DB6A" w14:textId="5B314A9D" w:rsidR="00642470" w:rsidRPr="007A54E9" w:rsidRDefault="00642470" w:rsidP="00DD384B">
            <w:pPr>
              <w:keepLines/>
              <w:numPr>
                <w:ilvl w:val="0"/>
                <w:numId w:val="28"/>
              </w:numPr>
              <w:ind w:left="519"/>
              <w:contextualSpacing/>
              <w:rPr>
                <w:rFonts w:eastAsia="Calibri"/>
                <w:kern w:val="2"/>
                <w:sz w:val="20"/>
                <w:szCs w:val="20"/>
              </w:rPr>
            </w:pPr>
            <w:r>
              <w:rPr>
                <w:sz w:val="20"/>
              </w:rPr>
              <w:t>Evaluación de la contribución de los PGEH a la elaboración de políticas, reglamentos y estrategias nacionales para asegurar el cumplimiento del Protocolo de Montreal y la sostenibilidad de los logros</w:t>
            </w:r>
          </w:p>
          <w:p w14:paraId="581C30E5" w14:textId="77777777" w:rsidR="00642470" w:rsidRPr="007A54E9" w:rsidRDefault="00642470" w:rsidP="00DD384B">
            <w:pPr>
              <w:keepLines/>
              <w:numPr>
                <w:ilvl w:val="0"/>
                <w:numId w:val="28"/>
              </w:numPr>
              <w:ind w:left="519"/>
              <w:contextualSpacing/>
              <w:rPr>
                <w:rFonts w:eastAsia="Calibri"/>
                <w:kern w:val="2"/>
                <w:sz w:val="20"/>
                <w:szCs w:val="20"/>
              </w:rPr>
            </w:pPr>
            <w:r>
              <w:rPr>
                <w:sz w:val="20"/>
              </w:rPr>
              <w:t>Evaluación de los planes de capacitación, creación de capacidad y certificación en el servicio y mantenimiento de equipos de refrigeración de los PGEH</w:t>
            </w:r>
          </w:p>
        </w:tc>
        <w:tc>
          <w:tcPr>
            <w:tcW w:w="1246" w:type="dxa"/>
            <w:shd w:val="clear" w:color="auto" w:fill="FFFFFF" w:themeFill="background1"/>
          </w:tcPr>
          <w:p w14:paraId="4C8CB4A8" w14:textId="77777777" w:rsidR="00642470" w:rsidRDefault="00642470" w:rsidP="00642470">
            <w:pPr>
              <w:keepLines/>
              <w:jc w:val="right"/>
              <w:rPr>
                <w:sz w:val="20"/>
              </w:rPr>
            </w:pPr>
            <w:r>
              <w:rPr>
                <w:sz w:val="20"/>
              </w:rPr>
              <w:t>50.000</w:t>
            </w:r>
          </w:p>
          <w:p w14:paraId="7DF6C67F" w14:textId="77777777" w:rsidR="00E13C4C" w:rsidRPr="007A54E9" w:rsidRDefault="00E13C4C" w:rsidP="00642470">
            <w:pPr>
              <w:keepLines/>
              <w:jc w:val="right"/>
              <w:rPr>
                <w:sz w:val="20"/>
                <w:szCs w:val="20"/>
              </w:rPr>
            </w:pPr>
          </w:p>
          <w:p w14:paraId="1F2A0351" w14:textId="77777777" w:rsidR="00642470" w:rsidRPr="007A54E9" w:rsidRDefault="00642470" w:rsidP="00642470">
            <w:pPr>
              <w:keepLines/>
              <w:jc w:val="right"/>
              <w:rPr>
                <w:sz w:val="20"/>
                <w:szCs w:val="20"/>
              </w:rPr>
            </w:pPr>
            <w:r>
              <w:rPr>
                <w:sz w:val="20"/>
              </w:rPr>
              <w:t>25.000</w:t>
            </w:r>
          </w:p>
          <w:p w14:paraId="5CD06138" w14:textId="77777777" w:rsidR="00642470" w:rsidRPr="007A54E9" w:rsidRDefault="00642470" w:rsidP="00642470">
            <w:pPr>
              <w:keepLines/>
              <w:jc w:val="right"/>
              <w:rPr>
                <w:sz w:val="20"/>
                <w:szCs w:val="20"/>
              </w:rPr>
            </w:pPr>
          </w:p>
          <w:p w14:paraId="412E7603" w14:textId="77777777" w:rsidR="00642470" w:rsidRPr="007A54E9" w:rsidRDefault="00642470" w:rsidP="00642470">
            <w:pPr>
              <w:keepLines/>
              <w:jc w:val="right"/>
              <w:rPr>
                <w:sz w:val="20"/>
                <w:szCs w:val="20"/>
              </w:rPr>
            </w:pPr>
          </w:p>
          <w:p w14:paraId="2E7234AC" w14:textId="77777777" w:rsidR="00642470" w:rsidRPr="007A54E9" w:rsidRDefault="00642470" w:rsidP="00642470">
            <w:pPr>
              <w:keepLines/>
              <w:jc w:val="right"/>
              <w:rPr>
                <w:sz w:val="20"/>
                <w:szCs w:val="20"/>
              </w:rPr>
            </w:pPr>
          </w:p>
          <w:p w14:paraId="6E5B6D51" w14:textId="77777777" w:rsidR="00642470" w:rsidRPr="007A54E9" w:rsidRDefault="00642470" w:rsidP="00642470">
            <w:pPr>
              <w:keepLines/>
              <w:jc w:val="right"/>
              <w:rPr>
                <w:sz w:val="20"/>
                <w:szCs w:val="20"/>
              </w:rPr>
            </w:pPr>
            <w:r>
              <w:rPr>
                <w:sz w:val="20"/>
              </w:rPr>
              <w:t>25.000</w:t>
            </w:r>
          </w:p>
        </w:tc>
        <w:tc>
          <w:tcPr>
            <w:tcW w:w="1170" w:type="dxa"/>
            <w:shd w:val="clear" w:color="auto" w:fill="FFFFFF" w:themeFill="background1"/>
          </w:tcPr>
          <w:p w14:paraId="447DBD87" w14:textId="77777777" w:rsidR="00642470" w:rsidRDefault="00642470" w:rsidP="00642470">
            <w:pPr>
              <w:keepLines/>
              <w:jc w:val="right"/>
              <w:rPr>
                <w:sz w:val="20"/>
              </w:rPr>
            </w:pPr>
            <w:r>
              <w:rPr>
                <w:sz w:val="20"/>
              </w:rPr>
              <w:t>0</w:t>
            </w:r>
          </w:p>
          <w:p w14:paraId="06DF44BD" w14:textId="77777777" w:rsidR="00E13C4C" w:rsidRPr="007A54E9" w:rsidRDefault="00E13C4C" w:rsidP="00642470">
            <w:pPr>
              <w:keepLines/>
              <w:jc w:val="right"/>
              <w:rPr>
                <w:sz w:val="20"/>
                <w:szCs w:val="20"/>
              </w:rPr>
            </w:pPr>
          </w:p>
          <w:p w14:paraId="4E01EDDE" w14:textId="77777777" w:rsidR="00642470" w:rsidRPr="007A54E9" w:rsidRDefault="00642470" w:rsidP="00642470">
            <w:pPr>
              <w:keepLines/>
              <w:jc w:val="right"/>
              <w:rPr>
                <w:sz w:val="20"/>
                <w:szCs w:val="20"/>
              </w:rPr>
            </w:pPr>
            <w:r>
              <w:rPr>
                <w:sz w:val="20"/>
              </w:rPr>
              <w:t>0</w:t>
            </w:r>
          </w:p>
          <w:p w14:paraId="3B0F4427" w14:textId="77777777" w:rsidR="00642470" w:rsidRPr="007A54E9" w:rsidRDefault="00642470" w:rsidP="00642470">
            <w:pPr>
              <w:keepLines/>
              <w:jc w:val="right"/>
              <w:rPr>
                <w:sz w:val="20"/>
                <w:szCs w:val="20"/>
              </w:rPr>
            </w:pPr>
          </w:p>
          <w:p w14:paraId="53B6523A" w14:textId="77777777" w:rsidR="00642470" w:rsidRPr="007A54E9" w:rsidRDefault="00642470" w:rsidP="00642470">
            <w:pPr>
              <w:keepLines/>
              <w:jc w:val="right"/>
              <w:rPr>
                <w:sz w:val="20"/>
                <w:szCs w:val="20"/>
              </w:rPr>
            </w:pPr>
          </w:p>
          <w:p w14:paraId="263AEB50" w14:textId="77777777" w:rsidR="00642470" w:rsidRPr="007A54E9" w:rsidRDefault="00642470" w:rsidP="00642470">
            <w:pPr>
              <w:keepLines/>
              <w:jc w:val="right"/>
              <w:rPr>
                <w:sz w:val="20"/>
                <w:szCs w:val="20"/>
              </w:rPr>
            </w:pPr>
          </w:p>
          <w:p w14:paraId="3D62141C" w14:textId="77777777" w:rsidR="00642470" w:rsidRPr="007A54E9" w:rsidRDefault="00642470" w:rsidP="00642470">
            <w:pPr>
              <w:keepLines/>
              <w:jc w:val="right"/>
              <w:rPr>
                <w:sz w:val="20"/>
                <w:szCs w:val="20"/>
              </w:rPr>
            </w:pPr>
            <w:r>
              <w:rPr>
                <w:sz w:val="20"/>
              </w:rPr>
              <w:t>0</w:t>
            </w:r>
          </w:p>
        </w:tc>
        <w:tc>
          <w:tcPr>
            <w:tcW w:w="990" w:type="dxa"/>
            <w:shd w:val="clear" w:color="auto" w:fill="FFFFFF" w:themeFill="background1"/>
          </w:tcPr>
          <w:p w14:paraId="76AA4AEA" w14:textId="77777777" w:rsidR="00642470" w:rsidRDefault="00642470" w:rsidP="00642470">
            <w:pPr>
              <w:keepLines/>
              <w:jc w:val="right"/>
              <w:rPr>
                <w:sz w:val="20"/>
              </w:rPr>
            </w:pPr>
            <w:r>
              <w:rPr>
                <w:sz w:val="20"/>
              </w:rPr>
              <w:t>50.000</w:t>
            </w:r>
          </w:p>
          <w:p w14:paraId="0435BB39" w14:textId="77777777" w:rsidR="00E13C4C" w:rsidRPr="007A54E9" w:rsidRDefault="00E13C4C" w:rsidP="00642470">
            <w:pPr>
              <w:keepLines/>
              <w:jc w:val="right"/>
              <w:rPr>
                <w:sz w:val="20"/>
                <w:szCs w:val="20"/>
              </w:rPr>
            </w:pPr>
          </w:p>
          <w:p w14:paraId="2B7661B9" w14:textId="29EF183A" w:rsidR="00642470" w:rsidRPr="007A54E9" w:rsidRDefault="00AD2073" w:rsidP="00642470">
            <w:pPr>
              <w:keepLines/>
              <w:jc w:val="right"/>
              <w:rPr>
                <w:sz w:val="20"/>
                <w:szCs w:val="20"/>
              </w:rPr>
            </w:pPr>
            <w:r>
              <w:rPr>
                <w:sz w:val="20"/>
              </w:rPr>
              <w:t>25.000</w:t>
            </w:r>
          </w:p>
          <w:p w14:paraId="778FB67E" w14:textId="77777777" w:rsidR="00642470" w:rsidRPr="007A54E9" w:rsidRDefault="00642470" w:rsidP="00642470">
            <w:pPr>
              <w:keepLines/>
              <w:jc w:val="right"/>
              <w:rPr>
                <w:sz w:val="20"/>
                <w:szCs w:val="20"/>
              </w:rPr>
            </w:pPr>
          </w:p>
          <w:p w14:paraId="5F58FA21" w14:textId="77777777" w:rsidR="00642470" w:rsidRPr="007A54E9" w:rsidRDefault="00642470" w:rsidP="00642470">
            <w:pPr>
              <w:keepLines/>
              <w:jc w:val="right"/>
              <w:rPr>
                <w:sz w:val="20"/>
                <w:szCs w:val="20"/>
              </w:rPr>
            </w:pPr>
          </w:p>
          <w:p w14:paraId="2BC5B690" w14:textId="77777777" w:rsidR="00642470" w:rsidRPr="007A54E9" w:rsidRDefault="00642470" w:rsidP="00642470">
            <w:pPr>
              <w:keepLines/>
              <w:jc w:val="right"/>
              <w:rPr>
                <w:sz w:val="20"/>
                <w:szCs w:val="20"/>
              </w:rPr>
            </w:pPr>
          </w:p>
          <w:p w14:paraId="5AF9858E" w14:textId="77777777" w:rsidR="00642470" w:rsidRPr="007A54E9" w:rsidRDefault="00642470" w:rsidP="00642470">
            <w:pPr>
              <w:keepLines/>
              <w:jc w:val="right"/>
              <w:rPr>
                <w:sz w:val="20"/>
                <w:szCs w:val="20"/>
              </w:rPr>
            </w:pPr>
            <w:r>
              <w:rPr>
                <w:sz w:val="20"/>
              </w:rPr>
              <w:t>25.000</w:t>
            </w:r>
          </w:p>
        </w:tc>
      </w:tr>
      <w:tr w:rsidR="00642470" w:rsidRPr="007A54E9" w14:paraId="65325A76" w14:textId="77777777" w:rsidTr="00464812">
        <w:trPr>
          <w:trHeight w:val="144"/>
        </w:trPr>
        <w:tc>
          <w:tcPr>
            <w:tcW w:w="5954" w:type="dxa"/>
            <w:shd w:val="clear" w:color="auto" w:fill="FFFFFF" w:themeFill="background1"/>
            <w:noWrap/>
          </w:tcPr>
          <w:p w14:paraId="6C20FC1D" w14:textId="77777777" w:rsidR="00642470" w:rsidRPr="007A54E9" w:rsidRDefault="00642470" w:rsidP="0032224B">
            <w:pPr>
              <w:keepLines/>
              <w:jc w:val="left"/>
              <w:rPr>
                <w:b/>
                <w:bCs/>
                <w:sz w:val="20"/>
                <w:szCs w:val="20"/>
              </w:rPr>
            </w:pPr>
            <w:r>
              <w:rPr>
                <w:b/>
                <w:sz w:val="20"/>
              </w:rPr>
              <w:t>Subtotal de servicios de consultoría</w:t>
            </w:r>
          </w:p>
        </w:tc>
        <w:tc>
          <w:tcPr>
            <w:tcW w:w="1246" w:type="dxa"/>
            <w:shd w:val="clear" w:color="auto" w:fill="FFFFFF" w:themeFill="background1"/>
          </w:tcPr>
          <w:p w14:paraId="4874DE85" w14:textId="77777777" w:rsidR="00642470" w:rsidRPr="007A54E9" w:rsidRDefault="00642470" w:rsidP="00642470">
            <w:pPr>
              <w:keepLines/>
              <w:jc w:val="right"/>
              <w:rPr>
                <w:b/>
                <w:bCs/>
                <w:sz w:val="20"/>
                <w:szCs w:val="20"/>
              </w:rPr>
            </w:pPr>
            <w:r>
              <w:rPr>
                <w:b/>
                <w:sz w:val="20"/>
              </w:rPr>
              <w:t>100.000</w:t>
            </w:r>
          </w:p>
        </w:tc>
        <w:tc>
          <w:tcPr>
            <w:tcW w:w="1170" w:type="dxa"/>
            <w:shd w:val="clear" w:color="auto" w:fill="FFFFFF" w:themeFill="background1"/>
          </w:tcPr>
          <w:p w14:paraId="46896311" w14:textId="77777777" w:rsidR="00642470" w:rsidRPr="007A54E9" w:rsidRDefault="00642470" w:rsidP="00642470">
            <w:pPr>
              <w:keepLines/>
              <w:jc w:val="right"/>
              <w:rPr>
                <w:b/>
                <w:bCs/>
                <w:color w:val="000000"/>
                <w:sz w:val="20"/>
                <w:szCs w:val="20"/>
              </w:rPr>
            </w:pPr>
            <w:r>
              <w:rPr>
                <w:b/>
                <w:color w:val="000000"/>
                <w:sz w:val="20"/>
              </w:rPr>
              <w:t>0</w:t>
            </w:r>
          </w:p>
        </w:tc>
        <w:tc>
          <w:tcPr>
            <w:tcW w:w="990" w:type="dxa"/>
            <w:shd w:val="clear" w:color="auto" w:fill="FFFFFF" w:themeFill="background1"/>
          </w:tcPr>
          <w:p w14:paraId="1FAA5958" w14:textId="77777777" w:rsidR="00642470" w:rsidRPr="007A54E9" w:rsidRDefault="00642470" w:rsidP="00642470">
            <w:pPr>
              <w:keepLines/>
              <w:jc w:val="right"/>
              <w:rPr>
                <w:b/>
                <w:bCs/>
                <w:color w:val="000000"/>
                <w:sz w:val="20"/>
                <w:szCs w:val="20"/>
              </w:rPr>
            </w:pPr>
            <w:r>
              <w:rPr>
                <w:b/>
                <w:color w:val="000000"/>
                <w:sz w:val="20"/>
              </w:rPr>
              <w:t>100.000</w:t>
            </w:r>
          </w:p>
        </w:tc>
      </w:tr>
      <w:tr w:rsidR="00642470" w:rsidRPr="007A54E9" w14:paraId="45DCD2BE" w14:textId="77777777" w:rsidTr="00464812">
        <w:trPr>
          <w:trHeight w:val="144"/>
        </w:trPr>
        <w:tc>
          <w:tcPr>
            <w:tcW w:w="9360" w:type="dxa"/>
            <w:gridSpan w:val="4"/>
            <w:shd w:val="clear" w:color="auto" w:fill="FFFFFF" w:themeFill="background1"/>
            <w:noWrap/>
          </w:tcPr>
          <w:p w14:paraId="57C5445F" w14:textId="77777777" w:rsidR="00642470" w:rsidRPr="007A54E9" w:rsidRDefault="00642470" w:rsidP="00642470">
            <w:pPr>
              <w:keepLines/>
              <w:jc w:val="center"/>
              <w:rPr>
                <w:color w:val="000000"/>
                <w:sz w:val="20"/>
                <w:szCs w:val="20"/>
              </w:rPr>
            </w:pPr>
            <w:r>
              <w:rPr>
                <w:b/>
                <w:sz w:val="20"/>
              </w:rPr>
              <w:t>Otros</w:t>
            </w:r>
          </w:p>
        </w:tc>
      </w:tr>
      <w:tr w:rsidR="00642470" w:rsidRPr="007A54E9" w14:paraId="3F46A7D9" w14:textId="77777777" w:rsidTr="00464812">
        <w:trPr>
          <w:trHeight w:val="144"/>
        </w:trPr>
        <w:tc>
          <w:tcPr>
            <w:tcW w:w="5954" w:type="dxa"/>
            <w:shd w:val="clear" w:color="auto" w:fill="FFFFFF" w:themeFill="background1"/>
            <w:noWrap/>
          </w:tcPr>
          <w:p w14:paraId="438DA1E2" w14:textId="77777777" w:rsidR="00642470" w:rsidRPr="00DD384B" w:rsidRDefault="00642470" w:rsidP="00DD384B">
            <w:pPr>
              <w:keepLines/>
              <w:numPr>
                <w:ilvl w:val="0"/>
                <w:numId w:val="28"/>
              </w:numPr>
              <w:ind w:left="519"/>
              <w:contextualSpacing/>
              <w:rPr>
                <w:rFonts w:eastAsia="Calibri"/>
                <w:kern w:val="2"/>
                <w:sz w:val="20"/>
                <w:szCs w:val="20"/>
              </w:rPr>
            </w:pPr>
            <w:r>
              <w:rPr>
                <w:sz w:val="20"/>
              </w:rPr>
              <w:t>Complemento de la labor de la Secretaría sobre el desarrollo de los sistemas de gestión del conocimiento para cuestiones relacionadas con la supervisión y la evaluación</w:t>
            </w:r>
          </w:p>
        </w:tc>
        <w:tc>
          <w:tcPr>
            <w:tcW w:w="1246" w:type="dxa"/>
            <w:shd w:val="clear" w:color="auto" w:fill="FFFFFF" w:themeFill="background1"/>
          </w:tcPr>
          <w:p w14:paraId="2B88334B" w14:textId="77777777" w:rsidR="00642470" w:rsidRPr="007A54E9" w:rsidRDefault="00642470" w:rsidP="00642470">
            <w:pPr>
              <w:keepLines/>
              <w:jc w:val="right"/>
              <w:rPr>
                <w:sz w:val="20"/>
                <w:szCs w:val="20"/>
              </w:rPr>
            </w:pPr>
            <w:r>
              <w:rPr>
                <w:sz w:val="20"/>
              </w:rPr>
              <w:t>15.000</w:t>
            </w:r>
          </w:p>
        </w:tc>
        <w:tc>
          <w:tcPr>
            <w:tcW w:w="1170" w:type="dxa"/>
            <w:shd w:val="clear" w:color="auto" w:fill="FFFFFF" w:themeFill="background1"/>
          </w:tcPr>
          <w:p w14:paraId="23249612" w14:textId="77777777" w:rsidR="00642470" w:rsidRPr="007A54E9" w:rsidRDefault="00642470" w:rsidP="00642470">
            <w:pPr>
              <w:keepLines/>
              <w:jc w:val="right"/>
              <w:rPr>
                <w:sz w:val="20"/>
                <w:szCs w:val="20"/>
              </w:rPr>
            </w:pPr>
            <w:r>
              <w:rPr>
                <w:color w:val="000000"/>
                <w:sz w:val="20"/>
              </w:rPr>
              <w:t>15.000</w:t>
            </w:r>
          </w:p>
        </w:tc>
        <w:tc>
          <w:tcPr>
            <w:tcW w:w="990" w:type="dxa"/>
            <w:shd w:val="clear" w:color="auto" w:fill="FFFFFF" w:themeFill="background1"/>
          </w:tcPr>
          <w:p w14:paraId="4D9DF180" w14:textId="77777777" w:rsidR="00642470" w:rsidRPr="007A54E9" w:rsidRDefault="00642470" w:rsidP="00642470">
            <w:pPr>
              <w:keepLines/>
              <w:jc w:val="right"/>
              <w:rPr>
                <w:sz w:val="20"/>
                <w:szCs w:val="20"/>
              </w:rPr>
            </w:pPr>
            <w:r>
              <w:rPr>
                <w:color w:val="000000"/>
                <w:sz w:val="20"/>
              </w:rPr>
              <w:t>0</w:t>
            </w:r>
          </w:p>
        </w:tc>
      </w:tr>
      <w:tr w:rsidR="00642470" w:rsidRPr="007A54E9" w14:paraId="3A2CA870" w14:textId="77777777" w:rsidTr="00464812">
        <w:trPr>
          <w:trHeight w:val="176"/>
        </w:trPr>
        <w:tc>
          <w:tcPr>
            <w:tcW w:w="5954" w:type="dxa"/>
            <w:shd w:val="clear" w:color="auto" w:fill="FFFFFF" w:themeFill="background1"/>
            <w:noWrap/>
            <w:hideMark/>
          </w:tcPr>
          <w:p w14:paraId="14A1FC56" w14:textId="77777777" w:rsidR="00642470" w:rsidRPr="00DD384B" w:rsidRDefault="00642470" w:rsidP="00DD384B">
            <w:pPr>
              <w:keepLines/>
              <w:numPr>
                <w:ilvl w:val="0"/>
                <w:numId w:val="28"/>
              </w:numPr>
              <w:ind w:left="519"/>
              <w:contextualSpacing/>
              <w:rPr>
                <w:rFonts w:eastAsia="Calibri"/>
                <w:kern w:val="2"/>
                <w:sz w:val="20"/>
                <w:szCs w:val="20"/>
              </w:rPr>
            </w:pPr>
            <w:r>
              <w:rPr>
                <w:sz w:val="20"/>
              </w:rPr>
              <w:t>Viajes del personal de evaluación</w:t>
            </w:r>
          </w:p>
        </w:tc>
        <w:tc>
          <w:tcPr>
            <w:tcW w:w="1246" w:type="dxa"/>
            <w:shd w:val="clear" w:color="auto" w:fill="FFFFFF" w:themeFill="background1"/>
          </w:tcPr>
          <w:p w14:paraId="255A342E" w14:textId="77777777" w:rsidR="00642470" w:rsidRPr="007A54E9" w:rsidRDefault="00642470" w:rsidP="00642470">
            <w:pPr>
              <w:keepLines/>
              <w:jc w:val="right"/>
              <w:rPr>
                <w:sz w:val="20"/>
                <w:szCs w:val="20"/>
              </w:rPr>
            </w:pPr>
            <w:r>
              <w:rPr>
                <w:sz w:val="20"/>
              </w:rPr>
              <w:t>20.000</w:t>
            </w:r>
          </w:p>
        </w:tc>
        <w:tc>
          <w:tcPr>
            <w:tcW w:w="1170" w:type="dxa"/>
            <w:shd w:val="clear" w:color="auto" w:fill="FFFFFF" w:themeFill="background1"/>
          </w:tcPr>
          <w:p w14:paraId="10908063" w14:textId="77777777" w:rsidR="00642470" w:rsidRPr="007A54E9" w:rsidRDefault="00642470" w:rsidP="00642470">
            <w:pPr>
              <w:keepLines/>
              <w:jc w:val="right"/>
              <w:rPr>
                <w:sz w:val="20"/>
                <w:szCs w:val="20"/>
              </w:rPr>
            </w:pPr>
            <w:r>
              <w:rPr>
                <w:color w:val="000000"/>
                <w:sz w:val="20"/>
              </w:rPr>
              <w:t>0</w:t>
            </w:r>
          </w:p>
        </w:tc>
        <w:tc>
          <w:tcPr>
            <w:tcW w:w="990" w:type="dxa"/>
            <w:shd w:val="clear" w:color="auto" w:fill="FFFFFF" w:themeFill="background1"/>
          </w:tcPr>
          <w:p w14:paraId="129A07DF" w14:textId="77777777" w:rsidR="00642470" w:rsidRPr="007A54E9" w:rsidRDefault="00642470" w:rsidP="00642470">
            <w:pPr>
              <w:keepLines/>
              <w:jc w:val="right"/>
              <w:rPr>
                <w:sz w:val="20"/>
                <w:szCs w:val="20"/>
              </w:rPr>
            </w:pPr>
            <w:r>
              <w:rPr>
                <w:color w:val="000000"/>
                <w:sz w:val="20"/>
              </w:rPr>
              <w:t>20.000</w:t>
            </w:r>
          </w:p>
        </w:tc>
      </w:tr>
      <w:tr w:rsidR="00642470" w:rsidRPr="007A54E9" w14:paraId="7F8B0109" w14:textId="77777777" w:rsidTr="00464812">
        <w:trPr>
          <w:trHeight w:val="162"/>
        </w:trPr>
        <w:tc>
          <w:tcPr>
            <w:tcW w:w="5954" w:type="dxa"/>
            <w:shd w:val="clear" w:color="auto" w:fill="FFFFFF" w:themeFill="background1"/>
            <w:noWrap/>
          </w:tcPr>
          <w:p w14:paraId="5E46B3E4" w14:textId="77777777" w:rsidR="00642470" w:rsidRPr="00DD384B" w:rsidRDefault="00642470" w:rsidP="00DD384B">
            <w:pPr>
              <w:keepLines/>
              <w:numPr>
                <w:ilvl w:val="0"/>
                <w:numId w:val="28"/>
              </w:numPr>
              <w:ind w:left="519"/>
              <w:contextualSpacing/>
              <w:rPr>
                <w:rFonts w:eastAsia="Calibri"/>
                <w:kern w:val="2"/>
                <w:sz w:val="20"/>
                <w:szCs w:val="20"/>
              </w:rPr>
            </w:pPr>
            <w:r>
              <w:rPr>
                <w:sz w:val="20"/>
              </w:rPr>
              <w:t>Costos de explotación</w:t>
            </w:r>
          </w:p>
        </w:tc>
        <w:tc>
          <w:tcPr>
            <w:tcW w:w="1246" w:type="dxa"/>
            <w:shd w:val="clear" w:color="auto" w:fill="FFFFFF" w:themeFill="background1"/>
          </w:tcPr>
          <w:p w14:paraId="59701E8C" w14:textId="77777777" w:rsidR="00642470" w:rsidRPr="007A54E9" w:rsidRDefault="00642470" w:rsidP="00642470">
            <w:pPr>
              <w:keepLines/>
              <w:jc w:val="right"/>
              <w:rPr>
                <w:sz w:val="20"/>
                <w:szCs w:val="20"/>
              </w:rPr>
            </w:pPr>
            <w:r>
              <w:rPr>
                <w:sz w:val="20"/>
              </w:rPr>
              <w:t>15.000</w:t>
            </w:r>
          </w:p>
        </w:tc>
        <w:tc>
          <w:tcPr>
            <w:tcW w:w="1170" w:type="dxa"/>
            <w:shd w:val="clear" w:color="auto" w:fill="FFFFFF" w:themeFill="background1"/>
          </w:tcPr>
          <w:p w14:paraId="3D50D034" w14:textId="77777777" w:rsidR="00642470" w:rsidRPr="007A54E9" w:rsidRDefault="00642470" w:rsidP="00642470">
            <w:pPr>
              <w:keepLines/>
              <w:jc w:val="right"/>
              <w:rPr>
                <w:sz w:val="20"/>
                <w:szCs w:val="20"/>
              </w:rPr>
            </w:pPr>
            <w:r>
              <w:rPr>
                <w:color w:val="000000"/>
                <w:sz w:val="20"/>
              </w:rPr>
              <w:t>3.241</w:t>
            </w:r>
          </w:p>
        </w:tc>
        <w:tc>
          <w:tcPr>
            <w:tcW w:w="990" w:type="dxa"/>
            <w:shd w:val="clear" w:color="auto" w:fill="FFFFFF" w:themeFill="background1"/>
          </w:tcPr>
          <w:p w14:paraId="60503195" w14:textId="77777777" w:rsidR="00642470" w:rsidRPr="007A54E9" w:rsidRDefault="00642470" w:rsidP="00642470">
            <w:pPr>
              <w:keepLines/>
              <w:jc w:val="right"/>
              <w:rPr>
                <w:sz w:val="20"/>
                <w:szCs w:val="20"/>
              </w:rPr>
            </w:pPr>
            <w:r>
              <w:rPr>
                <w:color w:val="000000"/>
                <w:sz w:val="20"/>
              </w:rPr>
              <w:t>11.759</w:t>
            </w:r>
          </w:p>
        </w:tc>
      </w:tr>
      <w:tr w:rsidR="00642470" w:rsidRPr="007A54E9" w14:paraId="798BE84B" w14:textId="77777777" w:rsidTr="00464812">
        <w:trPr>
          <w:trHeight w:val="144"/>
        </w:trPr>
        <w:tc>
          <w:tcPr>
            <w:tcW w:w="5954" w:type="dxa"/>
            <w:shd w:val="clear" w:color="auto" w:fill="FFFFFF" w:themeFill="background1"/>
            <w:noWrap/>
          </w:tcPr>
          <w:p w14:paraId="12B3A34B" w14:textId="77777777" w:rsidR="00642470" w:rsidRPr="007A54E9" w:rsidRDefault="00642470" w:rsidP="0032224B">
            <w:pPr>
              <w:keepLines/>
              <w:rPr>
                <w:b/>
                <w:bCs/>
                <w:color w:val="000000"/>
                <w:sz w:val="20"/>
                <w:szCs w:val="20"/>
              </w:rPr>
            </w:pPr>
            <w:r>
              <w:rPr>
                <w:b/>
                <w:color w:val="000000"/>
                <w:sz w:val="20"/>
              </w:rPr>
              <w:t>Subtotal de otros</w:t>
            </w:r>
          </w:p>
        </w:tc>
        <w:tc>
          <w:tcPr>
            <w:tcW w:w="1246" w:type="dxa"/>
            <w:shd w:val="clear" w:color="auto" w:fill="FFFFFF" w:themeFill="background1"/>
          </w:tcPr>
          <w:p w14:paraId="108C32D0" w14:textId="77777777" w:rsidR="00642470" w:rsidRPr="007A54E9" w:rsidRDefault="00642470" w:rsidP="00642470">
            <w:pPr>
              <w:keepLines/>
              <w:jc w:val="right"/>
              <w:rPr>
                <w:b/>
                <w:bCs/>
                <w:sz w:val="20"/>
                <w:szCs w:val="20"/>
              </w:rPr>
            </w:pPr>
            <w:r>
              <w:rPr>
                <w:b/>
                <w:sz w:val="20"/>
              </w:rPr>
              <w:t>50.000</w:t>
            </w:r>
          </w:p>
        </w:tc>
        <w:tc>
          <w:tcPr>
            <w:tcW w:w="1170" w:type="dxa"/>
            <w:shd w:val="clear" w:color="auto" w:fill="FFFFFF" w:themeFill="background1"/>
          </w:tcPr>
          <w:p w14:paraId="6D8622BC" w14:textId="77777777" w:rsidR="00642470" w:rsidRPr="007A54E9" w:rsidRDefault="00642470" w:rsidP="00642470">
            <w:pPr>
              <w:keepLines/>
              <w:jc w:val="right"/>
              <w:rPr>
                <w:b/>
                <w:bCs/>
                <w:color w:val="000000"/>
                <w:sz w:val="20"/>
                <w:szCs w:val="20"/>
              </w:rPr>
            </w:pPr>
            <w:r>
              <w:rPr>
                <w:b/>
                <w:color w:val="000000"/>
                <w:sz w:val="20"/>
              </w:rPr>
              <w:t>18.241</w:t>
            </w:r>
          </w:p>
        </w:tc>
        <w:tc>
          <w:tcPr>
            <w:tcW w:w="990" w:type="dxa"/>
            <w:shd w:val="clear" w:color="auto" w:fill="FFFFFF" w:themeFill="background1"/>
          </w:tcPr>
          <w:p w14:paraId="4DEF89F2" w14:textId="77777777" w:rsidR="00642470" w:rsidRPr="007A54E9" w:rsidRDefault="00642470" w:rsidP="00642470">
            <w:pPr>
              <w:keepLines/>
              <w:jc w:val="right"/>
              <w:rPr>
                <w:b/>
                <w:bCs/>
                <w:color w:val="000000"/>
                <w:sz w:val="20"/>
                <w:szCs w:val="20"/>
              </w:rPr>
            </w:pPr>
            <w:r>
              <w:rPr>
                <w:b/>
                <w:color w:val="000000"/>
                <w:sz w:val="20"/>
              </w:rPr>
              <w:t>31.759</w:t>
            </w:r>
          </w:p>
        </w:tc>
      </w:tr>
      <w:tr w:rsidR="00642470" w:rsidRPr="007A54E9" w14:paraId="2C1FF4C2" w14:textId="77777777" w:rsidTr="00464812">
        <w:trPr>
          <w:trHeight w:val="144"/>
        </w:trPr>
        <w:tc>
          <w:tcPr>
            <w:tcW w:w="5954" w:type="dxa"/>
            <w:shd w:val="clear" w:color="auto" w:fill="FFFFFF" w:themeFill="background1"/>
            <w:noWrap/>
            <w:hideMark/>
          </w:tcPr>
          <w:p w14:paraId="075B8E38" w14:textId="77777777" w:rsidR="00642470" w:rsidRPr="007A54E9" w:rsidRDefault="00642470" w:rsidP="00642470">
            <w:pPr>
              <w:keepLines/>
              <w:rPr>
                <w:b/>
                <w:bCs/>
                <w:color w:val="000000"/>
                <w:sz w:val="20"/>
                <w:szCs w:val="20"/>
              </w:rPr>
            </w:pPr>
            <w:r>
              <w:rPr>
                <w:b/>
                <w:color w:val="000000"/>
                <w:sz w:val="20"/>
              </w:rPr>
              <w:t>Total</w:t>
            </w:r>
          </w:p>
        </w:tc>
        <w:tc>
          <w:tcPr>
            <w:tcW w:w="1246" w:type="dxa"/>
            <w:shd w:val="clear" w:color="auto" w:fill="FFFFFF" w:themeFill="background1"/>
          </w:tcPr>
          <w:p w14:paraId="5E6BAF51" w14:textId="77777777" w:rsidR="00642470" w:rsidRPr="007A54E9" w:rsidRDefault="00642470" w:rsidP="00642470">
            <w:pPr>
              <w:keepLines/>
              <w:jc w:val="right"/>
              <w:rPr>
                <w:b/>
                <w:bCs/>
                <w:sz w:val="20"/>
                <w:szCs w:val="20"/>
              </w:rPr>
            </w:pPr>
            <w:r>
              <w:rPr>
                <w:b/>
                <w:sz w:val="20"/>
              </w:rPr>
              <w:t>150.000</w:t>
            </w:r>
          </w:p>
        </w:tc>
        <w:tc>
          <w:tcPr>
            <w:tcW w:w="1170" w:type="dxa"/>
            <w:shd w:val="clear" w:color="auto" w:fill="FFFFFF" w:themeFill="background1"/>
          </w:tcPr>
          <w:p w14:paraId="6431A05F" w14:textId="77777777" w:rsidR="00642470" w:rsidRPr="007A54E9" w:rsidRDefault="00642470" w:rsidP="00642470">
            <w:pPr>
              <w:keepLines/>
              <w:jc w:val="right"/>
              <w:rPr>
                <w:b/>
                <w:bCs/>
                <w:sz w:val="20"/>
                <w:szCs w:val="20"/>
              </w:rPr>
            </w:pPr>
            <w:r>
              <w:rPr>
                <w:b/>
                <w:color w:val="000000"/>
                <w:sz w:val="20"/>
              </w:rPr>
              <w:t>18.241</w:t>
            </w:r>
          </w:p>
        </w:tc>
        <w:tc>
          <w:tcPr>
            <w:tcW w:w="990" w:type="dxa"/>
            <w:shd w:val="clear" w:color="auto" w:fill="FFFFFF" w:themeFill="background1"/>
          </w:tcPr>
          <w:p w14:paraId="5EE25691" w14:textId="77777777" w:rsidR="00642470" w:rsidRPr="007A54E9" w:rsidRDefault="00642470" w:rsidP="00642470">
            <w:pPr>
              <w:keepLines/>
              <w:jc w:val="right"/>
              <w:rPr>
                <w:b/>
                <w:bCs/>
                <w:sz w:val="20"/>
                <w:szCs w:val="20"/>
              </w:rPr>
            </w:pPr>
            <w:r>
              <w:rPr>
                <w:b/>
                <w:color w:val="000000"/>
                <w:sz w:val="20"/>
              </w:rPr>
              <w:t>131.759</w:t>
            </w:r>
          </w:p>
        </w:tc>
      </w:tr>
    </w:tbl>
    <w:p w14:paraId="60FD8885" w14:textId="798E539E" w:rsidR="00642470" w:rsidRPr="00642470" w:rsidRDefault="00642470" w:rsidP="00903AD8">
      <w:pPr>
        <w:spacing w:after="240"/>
        <w:ind w:left="142" w:right="-57" w:hanging="142"/>
        <w:rPr>
          <w:sz w:val="18"/>
          <w:szCs w:val="18"/>
        </w:rPr>
      </w:pPr>
      <w:r>
        <w:rPr>
          <w:sz w:val="18"/>
        </w:rPr>
        <w:t>* Las cifras finales (redondeadas) del presente documento deben considerarse provisionales hasta el cierre de los estados financieros para 2025.</w:t>
      </w:r>
    </w:p>
    <w:p w14:paraId="796B528B" w14:textId="385FDD7D" w:rsidR="00642470" w:rsidRPr="007044B7" w:rsidRDefault="00642470" w:rsidP="004829CD">
      <w:pPr>
        <w:pStyle w:val="Heading1"/>
      </w:pPr>
      <w:r>
        <w:t>A fecha del cierre de las cuentas de 2025, el saldo restante provisional asciende a USD 131.759. Se propone que este saldo, con el mismo desglose, sea trasladado al año 2026.</w:t>
      </w:r>
    </w:p>
    <w:p w14:paraId="254AA4D8" w14:textId="354E265E" w:rsidR="00642470" w:rsidRPr="00642470" w:rsidRDefault="00483311" w:rsidP="00DD384B">
      <w:pPr>
        <w:keepNext/>
        <w:spacing w:after="240"/>
        <w:ind w:left="720" w:hanging="720"/>
        <w:rPr>
          <w:b/>
          <w:bCs/>
          <w:sz w:val="24"/>
          <w:szCs w:val="24"/>
        </w:rPr>
      </w:pPr>
      <w:r>
        <w:rPr>
          <w:b/>
          <w:sz w:val="24"/>
        </w:rPr>
        <w:lastRenderedPageBreak/>
        <w:t>II.</w:t>
      </w:r>
      <w:r>
        <w:rPr>
          <w:b/>
          <w:sz w:val="24"/>
        </w:rPr>
        <w:tab/>
        <w:t>Pro</w:t>
      </w:r>
      <w:r w:rsidR="00525F15">
        <w:rPr>
          <w:b/>
          <w:sz w:val="24"/>
        </w:rPr>
        <w:t>puesta</w:t>
      </w:r>
      <w:r>
        <w:rPr>
          <w:b/>
          <w:sz w:val="24"/>
        </w:rPr>
        <w:t xml:space="preserve"> de programa de trabajo para 2026 y presupuesto conexo</w:t>
      </w:r>
    </w:p>
    <w:p w14:paraId="4683E7C9" w14:textId="163A20A7" w:rsidR="00DF5902" w:rsidRPr="00642470" w:rsidRDefault="00DF5902" w:rsidP="004829CD">
      <w:pPr>
        <w:pStyle w:val="Heading1"/>
      </w:pPr>
      <w:r>
        <w:t>El programa de trabajo propuesto para 2026 se basa, entre otras cosas, en el programa de trabajo actualizado para 2025</w:t>
      </w:r>
      <w:r w:rsidRPr="00642470">
        <w:rPr>
          <w:vertAlign w:val="superscript"/>
        </w:rPr>
        <w:footnoteReference w:id="18"/>
      </w:r>
      <w:r>
        <w:t xml:space="preserve"> y las actividades adicionales establecidas por la respuesta de la dirección a la valoración externa de la función de evaluación, lo que da lugar a los tres componentes principales (véase el anexo II):</w:t>
      </w:r>
    </w:p>
    <w:p w14:paraId="68B67D33" w14:textId="1EB104BF" w:rsidR="00A8621A" w:rsidRPr="004829CD" w:rsidRDefault="00DF5902" w:rsidP="00525F15">
      <w:pPr>
        <w:pStyle w:val="Heading6"/>
        <w:ind w:left="1451" w:hanging="731"/>
        <w:rPr>
          <w:rFonts w:ascii="Times New Roman" w:hAnsi="Times New Roman"/>
          <w:i w:val="0"/>
        </w:rPr>
      </w:pPr>
      <w:r w:rsidRPr="004829CD">
        <w:rPr>
          <w:rFonts w:ascii="Times New Roman" w:hAnsi="Times New Roman"/>
          <w:i w:val="0"/>
        </w:rPr>
        <w:t xml:space="preserve">Las actividades aprobadas para 2025 y </w:t>
      </w:r>
      <w:r w:rsidR="00E13C4C">
        <w:rPr>
          <w:rFonts w:ascii="Times New Roman" w:hAnsi="Times New Roman"/>
          <w:i w:val="0"/>
        </w:rPr>
        <w:t>trasladadas</w:t>
      </w:r>
      <w:r w:rsidRPr="004829CD">
        <w:rPr>
          <w:rFonts w:ascii="Times New Roman" w:hAnsi="Times New Roman"/>
          <w:i w:val="0"/>
        </w:rPr>
        <w:t xml:space="preserve"> a 2026, como se indica en la sección I;</w:t>
      </w:r>
    </w:p>
    <w:p w14:paraId="7050FC23" w14:textId="6EA39AF9" w:rsidR="00DF5902" w:rsidRPr="004829CD" w:rsidRDefault="00DF5902" w:rsidP="00525F15">
      <w:pPr>
        <w:pStyle w:val="Heading6"/>
        <w:ind w:left="1451" w:hanging="731"/>
        <w:rPr>
          <w:rFonts w:ascii="Times New Roman" w:hAnsi="Times New Roman"/>
          <w:i w:val="0"/>
        </w:rPr>
      </w:pPr>
      <w:r>
        <w:rPr>
          <w:rFonts w:ascii="Times New Roman" w:hAnsi="Times New Roman"/>
          <w:i w:val="0"/>
        </w:rPr>
        <w:t>El trabajo regular de evaluación, como la preparación de un programa de trabajo y un informe anual; y</w:t>
      </w:r>
    </w:p>
    <w:p w14:paraId="6DE5C5E5" w14:textId="12085411" w:rsidR="00DF5902" w:rsidRDefault="00DF5902" w:rsidP="00525F15">
      <w:pPr>
        <w:pStyle w:val="Heading6"/>
        <w:spacing w:after="240"/>
        <w:ind w:left="1451" w:hanging="731"/>
        <w:rPr>
          <w:rFonts w:ascii="Times New Roman" w:hAnsi="Times New Roman"/>
          <w:i w:val="0"/>
          <w:iCs/>
        </w:rPr>
      </w:pPr>
      <w:r>
        <w:rPr>
          <w:rFonts w:ascii="Times New Roman" w:hAnsi="Times New Roman"/>
          <w:i w:val="0"/>
        </w:rPr>
        <w:t>Las nuevas actividades resultantes de la ejecución de la decisión 96/4 sobre la respuesta de la dirección,</w:t>
      </w:r>
      <w:r w:rsidRPr="00DD384B">
        <w:rPr>
          <w:rFonts w:ascii="Times New Roman" w:hAnsi="Times New Roman"/>
          <w:i w:val="0"/>
          <w:iCs/>
          <w:vertAlign w:val="superscript"/>
        </w:rPr>
        <w:footnoteReference w:id="19"/>
      </w:r>
      <w:r>
        <w:rPr>
          <w:rFonts w:ascii="Times New Roman" w:hAnsi="Times New Roman"/>
          <w:i w:val="0"/>
        </w:rPr>
        <w:t xml:space="preserve"> incluyendo:</w:t>
      </w:r>
    </w:p>
    <w:p w14:paraId="597F5962" w14:textId="71BDA519" w:rsidR="00C7729D" w:rsidRPr="00C7729D" w:rsidRDefault="006013D4" w:rsidP="00DD384B">
      <w:pPr>
        <w:pStyle w:val="Heading3"/>
        <w:numPr>
          <w:ilvl w:val="0"/>
          <w:numId w:val="0"/>
        </w:numPr>
        <w:ind w:left="2160" w:hanging="720"/>
      </w:pPr>
      <w:r>
        <w:t>i)</w:t>
      </w:r>
      <w:r>
        <w:tab/>
        <w:t xml:space="preserve">Desarrollar un marco para evaluar actividades que no sean de inversión, que defina claramente los productos, </w:t>
      </w:r>
      <w:r w:rsidR="00E13C4C">
        <w:t>conclusiones</w:t>
      </w:r>
      <w:r>
        <w:t xml:space="preserve"> y resultados finales de las evaluaciones;</w:t>
      </w:r>
    </w:p>
    <w:p w14:paraId="7DEEE323" w14:textId="2BB56DD7" w:rsidR="00642470" w:rsidRPr="00642470" w:rsidRDefault="004829CD" w:rsidP="004829CD">
      <w:pPr>
        <w:pStyle w:val="Heading3"/>
        <w:numPr>
          <w:ilvl w:val="0"/>
          <w:numId w:val="0"/>
        </w:numPr>
        <w:ind w:left="2160" w:hanging="720"/>
      </w:pPr>
      <w:r>
        <w:t>ii)</w:t>
      </w:r>
      <w:r>
        <w:tab/>
      </w:r>
      <w:r w:rsidR="00642470">
        <w:t>Preparar una nota conceptual para la elaboración de un sistema de seguimiento sobre el estado de ejecución de las recomendaciones de evaluación; y</w:t>
      </w:r>
    </w:p>
    <w:p w14:paraId="508CBAB6" w14:textId="6A7DF180" w:rsidR="00642470" w:rsidRPr="00642470" w:rsidRDefault="004829CD" w:rsidP="004829CD">
      <w:pPr>
        <w:pStyle w:val="Heading3"/>
        <w:numPr>
          <w:ilvl w:val="0"/>
          <w:numId w:val="0"/>
        </w:numPr>
        <w:ind w:left="2160" w:hanging="720"/>
      </w:pPr>
      <w:r>
        <w:t>iii)</w:t>
      </w:r>
      <w:r>
        <w:tab/>
      </w:r>
      <w:r w:rsidR="00642470">
        <w:t>Elaborar directrices y herramientas de evaluación.</w:t>
      </w:r>
    </w:p>
    <w:p w14:paraId="59903A42" w14:textId="6289738E" w:rsidR="00642470" w:rsidRPr="00DD384B" w:rsidRDefault="00642470" w:rsidP="00642470">
      <w:pPr>
        <w:spacing w:after="240"/>
        <w:rPr>
          <w:u w:val="single"/>
        </w:rPr>
      </w:pPr>
      <w:r>
        <w:rPr>
          <w:u w:val="single"/>
        </w:rPr>
        <w:t>Propuesta de presupuesto</w:t>
      </w:r>
    </w:p>
    <w:p w14:paraId="4BB65D57" w14:textId="3AC392E4" w:rsidR="00520157" w:rsidRDefault="00B04E81" w:rsidP="00520157">
      <w:pPr>
        <w:pStyle w:val="Heading1"/>
      </w:pPr>
      <w:r>
        <w:t>Como se indica en el párrafo 19, se propone que el saldo restante de 2025, con el mismo desglose en partidas, se traslade al año 2026. Por lo tanto, la propuesta de presupuesto para 2026 asciende a USD 131.759, como se muestra en el cuadro 1.</w:t>
      </w:r>
    </w:p>
    <w:p w14:paraId="05A2B21F" w14:textId="77777777" w:rsidR="00642470" w:rsidRPr="00642470" w:rsidRDefault="00642470" w:rsidP="00DD384B">
      <w:pPr>
        <w:pStyle w:val="Heading1"/>
        <w:numPr>
          <w:ilvl w:val="0"/>
          <w:numId w:val="0"/>
        </w:numPr>
        <w:rPr>
          <w:b/>
          <w:bCs/>
          <w:sz w:val="24"/>
          <w:szCs w:val="24"/>
        </w:rPr>
      </w:pPr>
      <w:bookmarkStart w:id="1" w:name="_Hlk118551242"/>
      <w:r>
        <w:rPr>
          <w:b/>
          <w:sz w:val="24"/>
        </w:rPr>
        <w:t>Medida que se espera adopte el Comité Ejecutivo</w:t>
      </w:r>
    </w:p>
    <w:bookmarkEnd w:id="1"/>
    <w:p w14:paraId="4D98001D" w14:textId="77777777" w:rsidR="00642470" w:rsidRPr="00642470" w:rsidRDefault="00642470" w:rsidP="004829CD">
      <w:pPr>
        <w:pStyle w:val="Heading1"/>
      </w:pPr>
      <w:r>
        <w:t>El Comité Ejecutivo puede estimar oportuno:</w:t>
      </w:r>
    </w:p>
    <w:p w14:paraId="5B4942DB" w14:textId="761A2BC6" w:rsidR="00642470" w:rsidRPr="00903AD8" w:rsidRDefault="00525F15" w:rsidP="00525F15">
      <w:pPr>
        <w:pStyle w:val="Heading2"/>
        <w:numPr>
          <w:ilvl w:val="0"/>
          <w:numId w:val="0"/>
        </w:numPr>
        <w:ind w:left="1440" w:hanging="731"/>
      </w:pPr>
      <w:r>
        <w:t>a)</w:t>
      </w:r>
      <w:r>
        <w:tab/>
      </w:r>
      <w:r w:rsidR="00642470">
        <w:t xml:space="preserve">Tomar nota del informe anual sobre la ejecución del programa de trabajo de supervisión y evaluación para 2025, incluido lo relativo a la </w:t>
      </w:r>
      <w:r w:rsidR="003F65FE">
        <w:t>experiencia a título de prueba</w:t>
      </w:r>
      <w:r w:rsidR="00642470">
        <w:t xml:space="preserve"> de un ciclo bienal para el programa de trabajo y el presupuesto, y del programa de trabajo de evaluación para 2026, que figura en el documento UNEP/OzL.Pro/ExCom/97/10;</w:t>
      </w:r>
    </w:p>
    <w:p w14:paraId="48942440" w14:textId="650E3FD1" w:rsidR="00642470" w:rsidRPr="00903AD8" w:rsidRDefault="00525F15" w:rsidP="00525F15">
      <w:pPr>
        <w:pStyle w:val="Heading2"/>
        <w:numPr>
          <w:ilvl w:val="0"/>
          <w:numId w:val="0"/>
        </w:numPr>
        <w:ind w:left="1440" w:hanging="731"/>
      </w:pPr>
      <w:r>
        <w:t>b)</w:t>
      </w:r>
      <w:r>
        <w:tab/>
      </w:r>
      <w:r w:rsidR="00642470">
        <w:t>Aprobar el programa de trabajo de evaluación para 2026 que figura en el anexo II para documentar UNEP/OzL.Pro/ExCom/97/10, teniendo en cuenta que el saldo restante provisional del presupuesto de 2025, que asciende a USD 131.759</w:t>
      </w:r>
      <w:r w:rsidR="003F65FE">
        <w:t>,</w:t>
      </w:r>
      <w:r w:rsidR="00642470">
        <w:t xml:space="preserve"> se trasladará al presupuesto de evaluación conexo para el año 2026.</w:t>
      </w:r>
    </w:p>
    <w:p w14:paraId="0DB97F41" w14:textId="77777777" w:rsidR="002024B6" w:rsidRPr="002024B6" w:rsidRDefault="002024B6" w:rsidP="00DD384B">
      <w:pPr>
        <w:pStyle w:val="Heading2"/>
        <w:numPr>
          <w:ilvl w:val="0"/>
          <w:numId w:val="0"/>
        </w:numPr>
        <w:ind w:left="1440"/>
      </w:pPr>
    </w:p>
    <w:p w14:paraId="126CD62F" w14:textId="77777777" w:rsidR="00332B2D" w:rsidRPr="00D969E6" w:rsidRDefault="00332B2D" w:rsidP="00332B2D">
      <w:pPr>
        <w:sectPr w:rsidR="00332B2D" w:rsidRPr="00D969E6" w:rsidSect="00332B2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74617368" w14:textId="77777777" w:rsidR="00332B2D" w:rsidRDefault="00332B2D" w:rsidP="00332B2D">
      <w:pPr>
        <w:spacing w:after="240"/>
        <w:jc w:val="center"/>
        <w:rPr>
          <w:b/>
          <w:bCs/>
        </w:rPr>
      </w:pPr>
      <w:r>
        <w:rPr>
          <w:b/>
        </w:rPr>
        <w:lastRenderedPageBreak/>
        <w:t>Anexo I</w:t>
      </w:r>
    </w:p>
    <w:p w14:paraId="59954EAC" w14:textId="34A58D0B" w:rsidR="00332B2D" w:rsidRPr="00D77A67" w:rsidRDefault="00332B2D" w:rsidP="00332B2D">
      <w:pPr>
        <w:jc w:val="center"/>
        <w:rPr>
          <w:b/>
          <w:bCs/>
        </w:rPr>
      </w:pPr>
      <w:r>
        <w:rPr>
          <w:b/>
        </w:rPr>
        <w:t xml:space="preserve">ESTADO DE </w:t>
      </w:r>
      <w:r w:rsidR="0066195A">
        <w:rPr>
          <w:b/>
        </w:rPr>
        <w:t>EJECUCIÓN</w:t>
      </w:r>
      <w:r>
        <w:rPr>
          <w:b/>
        </w:rPr>
        <w:t xml:space="preserve"> Y RESULTADOS</w:t>
      </w:r>
    </w:p>
    <w:p w14:paraId="4FF7F9EB" w14:textId="77777777" w:rsidR="00332B2D" w:rsidRDefault="00332B2D" w:rsidP="00332B2D">
      <w:pPr>
        <w:jc w:val="center"/>
        <w:rPr>
          <w:b/>
          <w:bCs/>
        </w:rPr>
      </w:pPr>
      <w:r>
        <w:rPr>
          <w:b/>
        </w:rPr>
        <w:t>DEL PROGRAMA DE TRABAJO DE SUPERVISIÓN Y EVALUACIÓN PARA 2025</w:t>
      </w:r>
    </w:p>
    <w:p w14:paraId="773B999D" w14:textId="06252D4B" w:rsidR="00332B2D" w:rsidRDefault="00332B2D" w:rsidP="00332B2D">
      <w:pPr>
        <w:jc w:val="center"/>
        <w:rPr>
          <w:b/>
          <w:bCs/>
        </w:rPr>
      </w:pPr>
      <w:r>
        <w:rPr>
          <w:b/>
        </w:rPr>
        <w:t xml:space="preserve"> (sobre la base del anexo IV del documento UNEP/OzL.Pro/ExCom/95/94)</w:t>
      </w:r>
    </w:p>
    <w:p w14:paraId="448115CB" w14:textId="77777777" w:rsidR="00332B2D" w:rsidRDefault="00332B2D" w:rsidP="00332B2D"/>
    <w:tbl>
      <w:tblPr>
        <w:tblStyle w:val="TableGrid10"/>
        <w:tblW w:w="5000" w:type="pct"/>
        <w:tblLook w:val="04A0" w:firstRow="1" w:lastRow="0" w:firstColumn="1" w:lastColumn="0" w:noHBand="0" w:noVBand="1"/>
      </w:tblPr>
      <w:tblGrid>
        <w:gridCol w:w="689"/>
        <w:gridCol w:w="1881"/>
        <w:gridCol w:w="3213"/>
        <w:gridCol w:w="3567"/>
      </w:tblGrid>
      <w:tr w:rsidR="00332B2D" w:rsidRPr="00A73779" w14:paraId="7C5C430A" w14:textId="77777777" w:rsidTr="006A1746">
        <w:trPr>
          <w:tblHeader/>
        </w:trPr>
        <w:tc>
          <w:tcPr>
            <w:tcW w:w="324" w:type="pct"/>
          </w:tcPr>
          <w:p w14:paraId="272DED08" w14:textId="77777777" w:rsidR="00332B2D" w:rsidRPr="00A73779" w:rsidRDefault="00332B2D" w:rsidP="00575F26">
            <w:pPr>
              <w:rPr>
                <w:b/>
                <w:bCs/>
                <w:sz w:val="20"/>
                <w:szCs w:val="20"/>
              </w:rPr>
            </w:pPr>
            <w:r>
              <w:rPr>
                <w:b/>
                <w:sz w:val="20"/>
              </w:rPr>
              <w:t>Núm.</w:t>
            </w:r>
          </w:p>
        </w:tc>
        <w:tc>
          <w:tcPr>
            <w:tcW w:w="1021" w:type="pct"/>
          </w:tcPr>
          <w:p w14:paraId="27EB0F0B" w14:textId="77777777" w:rsidR="00332B2D" w:rsidRPr="00A73779" w:rsidRDefault="00332B2D" w:rsidP="00575F26">
            <w:pPr>
              <w:jc w:val="center"/>
              <w:rPr>
                <w:b/>
                <w:bCs/>
                <w:sz w:val="20"/>
                <w:szCs w:val="20"/>
              </w:rPr>
            </w:pPr>
            <w:r>
              <w:rPr>
                <w:b/>
                <w:sz w:val="20"/>
              </w:rPr>
              <w:t>Tipo de actividad</w:t>
            </w:r>
          </w:p>
        </w:tc>
        <w:tc>
          <w:tcPr>
            <w:tcW w:w="1733" w:type="pct"/>
          </w:tcPr>
          <w:p w14:paraId="7FACE93E" w14:textId="77777777" w:rsidR="00332B2D" w:rsidRPr="00A73779" w:rsidRDefault="00332B2D" w:rsidP="00575F26">
            <w:pPr>
              <w:jc w:val="center"/>
              <w:rPr>
                <w:b/>
                <w:bCs/>
                <w:sz w:val="20"/>
                <w:szCs w:val="20"/>
              </w:rPr>
            </w:pPr>
            <w:r>
              <w:rPr>
                <w:b/>
                <w:sz w:val="20"/>
              </w:rPr>
              <w:t>96ª reunión</w:t>
            </w:r>
          </w:p>
        </w:tc>
        <w:tc>
          <w:tcPr>
            <w:tcW w:w="1922" w:type="pct"/>
          </w:tcPr>
          <w:p w14:paraId="277CDDF8" w14:textId="77777777" w:rsidR="00332B2D" w:rsidRPr="00A73779" w:rsidRDefault="00332B2D" w:rsidP="00575F26">
            <w:pPr>
              <w:jc w:val="center"/>
              <w:rPr>
                <w:b/>
                <w:bCs/>
                <w:sz w:val="20"/>
                <w:szCs w:val="20"/>
              </w:rPr>
            </w:pPr>
            <w:r>
              <w:rPr>
                <w:b/>
                <w:sz w:val="20"/>
              </w:rPr>
              <w:t>97ª reunión</w:t>
            </w:r>
          </w:p>
        </w:tc>
      </w:tr>
      <w:tr w:rsidR="00332B2D" w:rsidRPr="00A73779" w14:paraId="2B187158" w14:textId="77777777" w:rsidTr="006A1746">
        <w:trPr>
          <w:trHeight w:val="620"/>
        </w:trPr>
        <w:tc>
          <w:tcPr>
            <w:tcW w:w="324" w:type="pct"/>
          </w:tcPr>
          <w:p w14:paraId="7A84CF90" w14:textId="77777777" w:rsidR="00332B2D" w:rsidRPr="00A73779" w:rsidRDefault="00332B2D" w:rsidP="00332B2D">
            <w:pPr>
              <w:numPr>
                <w:ilvl w:val="0"/>
                <w:numId w:val="22"/>
              </w:numPr>
              <w:contextualSpacing/>
              <w:jc w:val="left"/>
              <w:rPr>
                <w:rFonts w:eastAsia="Calibri"/>
                <w:sz w:val="20"/>
                <w:szCs w:val="20"/>
              </w:rPr>
            </w:pPr>
          </w:p>
        </w:tc>
        <w:tc>
          <w:tcPr>
            <w:tcW w:w="1021" w:type="pct"/>
          </w:tcPr>
          <w:p w14:paraId="541BCE1C" w14:textId="77777777" w:rsidR="00332B2D" w:rsidRPr="00A73779" w:rsidRDefault="00332B2D" w:rsidP="00575F26">
            <w:pPr>
              <w:jc w:val="left"/>
              <w:rPr>
                <w:sz w:val="20"/>
                <w:szCs w:val="20"/>
              </w:rPr>
            </w:pPr>
            <w:r>
              <w:rPr>
                <w:sz w:val="20"/>
              </w:rPr>
              <w:t>Evaluación externa de la función de evaluación (seguimiento)</w:t>
            </w:r>
          </w:p>
        </w:tc>
        <w:tc>
          <w:tcPr>
            <w:tcW w:w="1733" w:type="pct"/>
          </w:tcPr>
          <w:p w14:paraId="49BED952" w14:textId="77777777" w:rsidR="00332B2D" w:rsidRPr="00A73779" w:rsidRDefault="00332B2D" w:rsidP="00575F26">
            <w:pPr>
              <w:jc w:val="left"/>
              <w:rPr>
                <w:sz w:val="20"/>
                <w:szCs w:val="20"/>
              </w:rPr>
            </w:pPr>
            <w:r>
              <w:rPr>
                <w:sz w:val="20"/>
              </w:rPr>
              <w:t>Preparación de una posible respuesta de la dirección, incluida una política de evaluación para el Fondo Multilateral</w:t>
            </w:r>
          </w:p>
          <w:p w14:paraId="39A3EDC4" w14:textId="77777777" w:rsidR="00332B2D" w:rsidRPr="00A73779" w:rsidRDefault="00332B2D" w:rsidP="00575F26">
            <w:pPr>
              <w:jc w:val="left"/>
              <w:rPr>
                <w:b/>
                <w:bCs/>
                <w:sz w:val="20"/>
                <w:szCs w:val="20"/>
              </w:rPr>
            </w:pPr>
            <w:r>
              <w:rPr>
                <w:b/>
                <w:sz w:val="20"/>
              </w:rPr>
              <w:t>Terminado</w:t>
            </w:r>
          </w:p>
          <w:p w14:paraId="60E53CE9" w14:textId="7F3A8064" w:rsidR="00332B2D" w:rsidRPr="00A73779" w:rsidRDefault="00A73779" w:rsidP="00575F26">
            <w:pPr>
              <w:jc w:val="left"/>
              <w:rPr>
                <w:b/>
                <w:bCs/>
                <w:sz w:val="20"/>
                <w:szCs w:val="20"/>
              </w:rPr>
            </w:pPr>
            <w:r>
              <w:rPr>
                <w:b/>
                <w:sz w:val="20"/>
              </w:rPr>
              <w:t>UNEP/OzL.Pro/ExCom/96/6</w:t>
            </w:r>
          </w:p>
        </w:tc>
        <w:tc>
          <w:tcPr>
            <w:tcW w:w="1922" w:type="pct"/>
          </w:tcPr>
          <w:p w14:paraId="555EA623" w14:textId="6ECFA52D" w:rsidR="00332B2D" w:rsidRPr="00A73779" w:rsidRDefault="00421655" w:rsidP="00575F26">
            <w:pPr>
              <w:jc w:val="left"/>
              <w:rPr>
                <w:sz w:val="20"/>
                <w:szCs w:val="20"/>
              </w:rPr>
            </w:pPr>
            <w:r>
              <w:rPr>
                <w:sz w:val="20"/>
              </w:rPr>
              <w:t>n</w:t>
            </w:r>
            <w:r w:rsidR="00332B2D">
              <w:rPr>
                <w:sz w:val="20"/>
              </w:rPr>
              <w:t>. a.</w:t>
            </w:r>
          </w:p>
        </w:tc>
      </w:tr>
      <w:tr w:rsidR="00332B2D" w:rsidRPr="00A73779" w14:paraId="61B24E91" w14:textId="77777777" w:rsidTr="006A1746">
        <w:trPr>
          <w:trHeight w:val="864"/>
        </w:trPr>
        <w:tc>
          <w:tcPr>
            <w:tcW w:w="324" w:type="pct"/>
          </w:tcPr>
          <w:p w14:paraId="63C114A2" w14:textId="77777777" w:rsidR="00332B2D" w:rsidRPr="00A73779" w:rsidRDefault="00332B2D" w:rsidP="00332B2D">
            <w:pPr>
              <w:numPr>
                <w:ilvl w:val="0"/>
                <w:numId w:val="22"/>
              </w:numPr>
              <w:contextualSpacing/>
              <w:jc w:val="left"/>
              <w:rPr>
                <w:rFonts w:eastAsia="Calibri"/>
                <w:sz w:val="20"/>
                <w:szCs w:val="20"/>
              </w:rPr>
            </w:pPr>
          </w:p>
        </w:tc>
        <w:tc>
          <w:tcPr>
            <w:tcW w:w="1021" w:type="pct"/>
          </w:tcPr>
          <w:p w14:paraId="014178A0" w14:textId="77777777" w:rsidR="00332B2D" w:rsidRPr="00A73779" w:rsidRDefault="00332B2D" w:rsidP="00575F26">
            <w:pPr>
              <w:jc w:val="left"/>
              <w:rPr>
                <w:sz w:val="20"/>
                <w:szCs w:val="20"/>
              </w:rPr>
            </w:pPr>
            <w:r>
              <w:rPr>
                <w:sz w:val="20"/>
              </w:rPr>
              <w:t xml:space="preserve">Evaluación del Programa de Asistencia al Cumplimiento </w:t>
            </w:r>
          </w:p>
        </w:tc>
        <w:tc>
          <w:tcPr>
            <w:tcW w:w="1733" w:type="pct"/>
          </w:tcPr>
          <w:p w14:paraId="47BD4992" w14:textId="45D4C325" w:rsidR="00332B2D" w:rsidRPr="00A73779" w:rsidRDefault="00421655" w:rsidP="00575F26">
            <w:pPr>
              <w:jc w:val="left"/>
              <w:rPr>
                <w:sz w:val="20"/>
                <w:szCs w:val="20"/>
              </w:rPr>
            </w:pPr>
            <w:r>
              <w:rPr>
                <w:sz w:val="20"/>
              </w:rPr>
              <w:t>n</w:t>
            </w:r>
            <w:r w:rsidR="00332B2D">
              <w:rPr>
                <w:sz w:val="20"/>
              </w:rPr>
              <w:t>. a.</w:t>
            </w:r>
          </w:p>
        </w:tc>
        <w:tc>
          <w:tcPr>
            <w:tcW w:w="1922" w:type="pct"/>
          </w:tcPr>
          <w:p w14:paraId="43BC4FC4" w14:textId="7A3FAF25" w:rsidR="00332B2D" w:rsidRPr="00A73779" w:rsidRDefault="00332B2D" w:rsidP="00575F26">
            <w:pPr>
              <w:jc w:val="left"/>
              <w:rPr>
                <w:sz w:val="20"/>
                <w:szCs w:val="20"/>
              </w:rPr>
            </w:pPr>
            <w:r>
              <w:rPr>
                <w:sz w:val="20"/>
              </w:rPr>
              <w:t>Elaboración de un informe sobre la marcha de la ejecución de las recomendaciones de la evaluación de las redes regionales, de conformidad con la decisión 92/5 f) y presenta</w:t>
            </w:r>
            <w:r w:rsidR="003F65FE">
              <w:rPr>
                <w:sz w:val="20"/>
              </w:rPr>
              <w:t>ción de</w:t>
            </w:r>
            <w:r>
              <w:rPr>
                <w:sz w:val="20"/>
              </w:rPr>
              <w:t xml:space="preserve"> términos de referencia actualizados para la segunda fase de la evaluación del Programa de Asistencia al Cumplimiento, de conformidad con la decisión 95/9 b)</w:t>
            </w:r>
          </w:p>
          <w:p w14:paraId="2A4CDC75" w14:textId="77407BE5" w:rsidR="00332B2D" w:rsidRPr="00A73779" w:rsidRDefault="00332B2D" w:rsidP="00575F26">
            <w:pPr>
              <w:jc w:val="left"/>
              <w:rPr>
                <w:b/>
                <w:bCs/>
                <w:sz w:val="20"/>
                <w:szCs w:val="20"/>
              </w:rPr>
            </w:pPr>
            <w:r>
              <w:rPr>
                <w:b/>
                <w:sz w:val="20"/>
              </w:rPr>
              <w:t>Pospuest</w:t>
            </w:r>
            <w:r w:rsidR="00525F15">
              <w:rPr>
                <w:b/>
                <w:sz w:val="20"/>
              </w:rPr>
              <w:t>o</w:t>
            </w:r>
            <w:r>
              <w:rPr>
                <w:b/>
                <w:sz w:val="20"/>
              </w:rPr>
              <w:t xml:space="preserve"> a 2026</w:t>
            </w:r>
          </w:p>
        </w:tc>
      </w:tr>
      <w:tr w:rsidR="00332B2D" w:rsidRPr="00A73779" w14:paraId="6D3D650D" w14:textId="77777777" w:rsidTr="006A1746">
        <w:trPr>
          <w:trHeight w:val="864"/>
        </w:trPr>
        <w:tc>
          <w:tcPr>
            <w:tcW w:w="324" w:type="pct"/>
          </w:tcPr>
          <w:p w14:paraId="107CF741" w14:textId="77777777" w:rsidR="00332B2D" w:rsidRPr="00A73779" w:rsidRDefault="00332B2D" w:rsidP="00332B2D">
            <w:pPr>
              <w:numPr>
                <w:ilvl w:val="0"/>
                <w:numId w:val="22"/>
              </w:numPr>
              <w:contextualSpacing/>
              <w:jc w:val="left"/>
              <w:rPr>
                <w:rFonts w:eastAsia="Calibri"/>
                <w:sz w:val="20"/>
                <w:szCs w:val="20"/>
              </w:rPr>
            </w:pPr>
          </w:p>
        </w:tc>
        <w:tc>
          <w:tcPr>
            <w:tcW w:w="1021" w:type="pct"/>
          </w:tcPr>
          <w:p w14:paraId="252645A4" w14:textId="77777777" w:rsidR="00332B2D" w:rsidRPr="00A73779" w:rsidRDefault="00332B2D" w:rsidP="00575F26">
            <w:pPr>
              <w:jc w:val="left"/>
              <w:rPr>
                <w:sz w:val="20"/>
                <w:szCs w:val="20"/>
              </w:rPr>
            </w:pPr>
            <w:r>
              <w:rPr>
                <w:sz w:val="20"/>
              </w:rPr>
              <w:t>Evaluación de estudio teórico</w:t>
            </w:r>
          </w:p>
        </w:tc>
        <w:tc>
          <w:tcPr>
            <w:tcW w:w="1733" w:type="pct"/>
          </w:tcPr>
          <w:p w14:paraId="484A73ED" w14:textId="77777777" w:rsidR="00332B2D" w:rsidRPr="00A73779" w:rsidRDefault="00332B2D" w:rsidP="00575F26">
            <w:pPr>
              <w:jc w:val="left"/>
              <w:rPr>
                <w:sz w:val="20"/>
                <w:szCs w:val="20"/>
              </w:rPr>
            </w:pPr>
            <w:r>
              <w:rPr>
                <w:sz w:val="20"/>
              </w:rPr>
              <w:t xml:space="preserve">Actualización de los progresos realizados en el estudio teórico para la evaluación de los proyectos de </w:t>
            </w:r>
            <w:r>
              <w:rPr>
                <w:b/>
                <w:bCs/>
                <w:sz w:val="20"/>
              </w:rPr>
              <w:t>recuperación, reciclado y regeneración (RRR)</w:t>
            </w:r>
          </w:p>
          <w:p w14:paraId="6B4E32A5" w14:textId="77777777" w:rsidR="00332B2D" w:rsidRPr="00A73779" w:rsidRDefault="00332B2D" w:rsidP="00575F26">
            <w:pPr>
              <w:jc w:val="left"/>
              <w:rPr>
                <w:b/>
                <w:bCs/>
                <w:sz w:val="20"/>
                <w:szCs w:val="20"/>
              </w:rPr>
            </w:pPr>
            <w:r>
              <w:rPr>
                <w:b/>
                <w:sz w:val="20"/>
              </w:rPr>
              <w:t>Terminado</w:t>
            </w:r>
          </w:p>
          <w:p w14:paraId="31F9E532" w14:textId="325B90FC" w:rsidR="00332B2D" w:rsidRPr="00A73779" w:rsidRDefault="00A73779" w:rsidP="00575F26">
            <w:pPr>
              <w:jc w:val="left"/>
              <w:rPr>
                <w:b/>
                <w:bCs/>
                <w:sz w:val="20"/>
                <w:szCs w:val="20"/>
              </w:rPr>
            </w:pPr>
            <w:r>
              <w:rPr>
                <w:b/>
                <w:sz w:val="20"/>
              </w:rPr>
              <w:t>UNEP/OzL.Pro/ExCom/96/9</w:t>
            </w:r>
          </w:p>
        </w:tc>
        <w:tc>
          <w:tcPr>
            <w:tcW w:w="1922" w:type="pct"/>
          </w:tcPr>
          <w:p w14:paraId="5ADA6F60" w14:textId="77777777" w:rsidR="00332B2D" w:rsidRPr="00A73779" w:rsidRDefault="00332B2D" w:rsidP="00575F26">
            <w:pPr>
              <w:jc w:val="left"/>
              <w:rPr>
                <w:sz w:val="20"/>
                <w:szCs w:val="20"/>
              </w:rPr>
            </w:pPr>
            <w:r>
              <w:rPr>
                <w:sz w:val="20"/>
              </w:rPr>
              <w:t>Estudio teórico final para la evaluación de los proyectos de RRR</w:t>
            </w:r>
          </w:p>
          <w:p w14:paraId="08EFA945" w14:textId="7F77BA67" w:rsidR="00332B2D" w:rsidRPr="00A73779" w:rsidRDefault="00332B2D" w:rsidP="00575F26">
            <w:pPr>
              <w:jc w:val="left"/>
              <w:rPr>
                <w:b/>
                <w:bCs/>
                <w:sz w:val="20"/>
                <w:szCs w:val="20"/>
              </w:rPr>
            </w:pPr>
            <w:r>
              <w:rPr>
                <w:b/>
                <w:sz w:val="20"/>
              </w:rPr>
              <w:t>Pospuest</w:t>
            </w:r>
            <w:r w:rsidR="00525F15">
              <w:rPr>
                <w:b/>
                <w:sz w:val="20"/>
              </w:rPr>
              <w:t>o</w:t>
            </w:r>
            <w:r>
              <w:rPr>
                <w:b/>
                <w:sz w:val="20"/>
              </w:rPr>
              <w:t xml:space="preserve"> a 2026</w:t>
            </w:r>
          </w:p>
        </w:tc>
      </w:tr>
      <w:tr w:rsidR="00332B2D" w:rsidRPr="00A73779" w14:paraId="3AEC7FC1" w14:textId="77777777" w:rsidTr="006A1746">
        <w:trPr>
          <w:trHeight w:val="1869"/>
        </w:trPr>
        <w:tc>
          <w:tcPr>
            <w:tcW w:w="324" w:type="pct"/>
          </w:tcPr>
          <w:p w14:paraId="675A8B46" w14:textId="77777777" w:rsidR="00332B2D" w:rsidRPr="00A73779" w:rsidRDefault="00332B2D" w:rsidP="00332B2D">
            <w:pPr>
              <w:numPr>
                <w:ilvl w:val="0"/>
                <w:numId w:val="22"/>
              </w:numPr>
              <w:contextualSpacing/>
              <w:jc w:val="left"/>
              <w:rPr>
                <w:rFonts w:eastAsia="Calibri"/>
                <w:sz w:val="20"/>
                <w:szCs w:val="20"/>
              </w:rPr>
            </w:pPr>
          </w:p>
        </w:tc>
        <w:tc>
          <w:tcPr>
            <w:tcW w:w="1021" w:type="pct"/>
          </w:tcPr>
          <w:p w14:paraId="179DD778" w14:textId="77777777" w:rsidR="00332B2D" w:rsidRPr="00A73779" w:rsidRDefault="00332B2D" w:rsidP="00575F26">
            <w:pPr>
              <w:jc w:val="left"/>
              <w:rPr>
                <w:sz w:val="20"/>
                <w:szCs w:val="20"/>
              </w:rPr>
            </w:pPr>
            <w:r>
              <w:rPr>
                <w:sz w:val="20"/>
              </w:rPr>
              <w:t>Evaluación de estudio teórico (TdR)</w:t>
            </w:r>
          </w:p>
        </w:tc>
        <w:tc>
          <w:tcPr>
            <w:tcW w:w="1733" w:type="pct"/>
          </w:tcPr>
          <w:p w14:paraId="1D5FE4AC" w14:textId="77777777" w:rsidR="00332B2D" w:rsidRPr="00A73779" w:rsidRDefault="00332B2D" w:rsidP="00575F26">
            <w:pPr>
              <w:jc w:val="left"/>
              <w:rPr>
                <w:sz w:val="20"/>
                <w:szCs w:val="20"/>
              </w:rPr>
            </w:pPr>
            <w:r>
              <w:rPr>
                <w:sz w:val="20"/>
              </w:rPr>
              <w:t xml:space="preserve">Términos de referencia (TdR) para un estudio teórico para la evaluación de la </w:t>
            </w:r>
            <w:r>
              <w:rPr>
                <w:b/>
                <w:bCs/>
                <w:sz w:val="20"/>
              </w:rPr>
              <w:t>contribución de los planes de gestión de eliminación de los HCFC (PGEH) a la elaboración de políticas, reglamentos y estrategias nacionales</w:t>
            </w:r>
            <w:r>
              <w:rPr>
                <w:sz w:val="20"/>
              </w:rPr>
              <w:t xml:space="preserve"> para asegurar el cumplimiento del Protocolo de Montreal y la sostenibilidad de los logros</w:t>
            </w:r>
          </w:p>
          <w:p w14:paraId="02D4584E" w14:textId="77777777" w:rsidR="00332B2D" w:rsidRPr="00A73779" w:rsidRDefault="00332B2D" w:rsidP="00575F26">
            <w:pPr>
              <w:jc w:val="left"/>
              <w:rPr>
                <w:b/>
                <w:bCs/>
                <w:sz w:val="20"/>
                <w:szCs w:val="20"/>
              </w:rPr>
            </w:pPr>
            <w:r>
              <w:rPr>
                <w:b/>
                <w:sz w:val="20"/>
              </w:rPr>
              <w:t>Terminado</w:t>
            </w:r>
          </w:p>
          <w:p w14:paraId="274C5632" w14:textId="5C0A900D" w:rsidR="00332B2D" w:rsidRPr="00A73779" w:rsidRDefault="00A73779" w:rsidP="00575F26">
            <w:pPr>
              <w:jc w:val="left"/>
              <w:rPr>
                <w:b/>
                <w:bCs/>
                <w:sz w:val="20"/>
                <w:szCs w:val="20"/>
              </w:rPr>
            </w:pPr>
            <w:r>
              <w:rPr>
                <w:b/>
                <w:sz w:val="20"/>
              </w:rPr>
              <w:t>UNEP/OzL.Pro/ExCom/96/7/Rev.1</w:t>
            </w:r>
          </w:p>
        </w:tc>
        <w:tc>
          <w:tcPr>
            <w:tcW w:w="1922" w:type="pct"/>
          </w:tcPr>
          <w:p w14:paraId="369375F0" w14:textId="77777777" w:rsidR="00332B2D" w:rsidRPr="00A73779" w:rsidRDefault="00332B2D" w:rsidP="00575F26">
            <w:pPr>
              <w:jc w:val="left"/>
              <w:rPr>
                <w:sz w:val="20"/>
                <w:szCs w:val="20"/>
              </w:rPr>
            </w:pPr>
            <w:r>
              <w:rPr>
                <w:sz w:val="20"/>
              </w:rPr>
              <w:t>Actualización sobre la marcha de las actividades del estudio teórico para la evaluación de la contribución de los PGEH a la elaboración de políticas, reglamentos y estrategias nacionales para asegurar el cumplimiento del Protocolo de Montreal y la sostenibilidad de los logros</w:t>
            </w:r>
          </w:p>
          <w:p w14:paraId="52204464" w14:textId="245D7419" w:rsidR="00332B2D" w:rsidRPr="00A73779" w:rsidRDefault="007B463A" w:rsidP="00575F26">
            <w:pPr>
              <w:jc w:val="left"/>
              <w:rPr>
                <w:b/>
                <w:bCs/>
                <w:sz w:val="20"/>
                <w:szCs w:val="20"/>
              </w:rPr>
            </w:pPr>
            <w:r>
              <w:rPr>
                <w:b/>
                <w:sz w:val="20"/>
              </w:rPr>
              <w:t>n</w:t>
            </w:r>
            <w:r w:rsidR="00332B2D">
              <w:rPr>
                <w:b/>
                <w:sz w:val="20"/>
              </w:rPr>
              <w:t>. a. – La evaluación no ha comenzado, se iniciará en 2026</w:t>
            </w:r>
          </w:p>
        </w:tc>
      </w:tr>
      <w:tr w:rsidR="00332B2D" w:rsidRPr="00A73779" w14:paraId="14E42B92" w14:textId="77777777" w:rsidTr="006A1746">
        <w:trPr>
          <w:trHeight w:val="864"/>
        </w:trPr>
        <w:tc>
          <w:tcPr>
            <w:tcW w:w="324" w:type="pct"/>
          </w:tcPr>
          <w:p w14:paraId="1DEDD746" w14:textId="77777777" w:rsidR="00332B2D" w:rsidRPr="00A73779" w:rsidRDefault="00332B2D" w:rsidP="00332B2D">
            <w:pPr>
              <w:numPr>
                <w:ilvl w:val="0"/>
                <w:numId w:val="22"/>
              </w:numPr>
              <w:contextualSpacing/>
              <w:jc w:val="left"/>
              <w:rPr>
                <w:rFonts w:eastAsia="Calibri"/>
                <w:sz w:val="20"/>
                <w:szCs w:val="20"/>
              </w:rPr>
            </w:pPr>
          </w:p>
        </w:tc>
        <w:tc>
          <w:tcPr>
            <w:tcW w:w="1021" w:type="pct"/>
          </w:tcPr>
          <w:p w14:paraId="486848D5" w14:textId="77777777" w:rsidR="00332B2D" w:rsidRPr="00A73779" w:rsidRDefault="00332B2D" w:rsidP="00575F26">
            <w:pPr>
              <w:jc w:val="left"/>
              <w:rPr>
                <w:sz w:val="20"/>
                <w:szCs w:val="20"/>
              </w:rPr>
            </w:pPr>
            <w:r>
              <w:rPr>
                <w:sz w:val="20"/>
              </w:rPr>
              <w:t>Evaluación del estudio teórico</w:t>
            </w:r>
          </w:p>
        </w:tc>
        <w:tc>
          <w:tcPr>
            <w:tcW w:w="1733" w:type="pct"/>
          </w:tcPr>
          <w:p w14:paraId="63BEFA41" w14:textId="77777777" w:rsidR="00332B2D" w:rsidRPr="00A73779" w:rsidRDefault="00332B2D" w:rsidP="00575F26">
            <w:pPr>
              <w:jc w:val="left"/>
              <w:rPr>
                <w:sz w:val="20"/>
                <w:szCs w:val="20"/>
              </w:rPr>
            </w:pPr>
            <w:r>
              <w:rPr>
                <w:sz w:val="20"/>
              </w:rPr>
              <w:t xml:space="preserve">TdR para un estudio teórico para la evaluación de los </w:t>
            </w:r>
            <w:r>
              <w:rPr>
                <w:b/>
                <w:bCs/>
                <w:sz w:val="20"/>
              </w:rPr>
              <w:t>planes de capacitación, creación de capacidad y certificación en el sector de servicio y mantenimiento de equipos de refrigeración de los PGEH</w:t>
            </w:r>
          </w:p>
          <w:p w14:paraId="30937884" w14:textId="77777777" w:rsidR="00332B2D" w:rsidRPr="00A73779" w:rsidRDefault="00332B2D" w:rsidP="00575F26">
            <w:pPr>
              <w:jc w:val="left"/>
              <w:rPr>
                <w:b/>
                <w:bCs/>
                <w:sz w:val="20"/>
                <w:szCs w:val="20"/>
              </w:rPr>
            </w:pPr>
            <w:r>
              <w:rPr>
                <w:b/>
                <w:sz w:val="20"/>
              </w:rPr>
              <w:t>Terminado</w:t>
            </w:r>
          </w:p>
          <w:p w14:paraId="24831ED2" w14:textId="1C451EAA" w:rsidR="00332B2D" w:rsidRPr="00A73779" w:rsidRDefault="00A73779" w:rsidP="00575F26">
            <w:pPr>
              <w:jc w:val="left"/>
              <w:rPr>
                <w:b/>
                <w:bCs/>
                <w:sz w:val="20"/>
                <w:szCs w:val="20"/>
              </w:rPr>
            </w:pPr>
            <w:r>
              <w:rPr>
                <w:b/>
                <w:sz w:val="20"/>
              </w:rPr>
              <w:t>UNEP/OzL.Pro/ExCom/96/8/Rev.1</w:t>
            </w:r>
          </w:p>
        </w:tc>
        <w:tc>
          <w:tcPr>
            <w:tcW w:w="1922" w:type="pct"/>
          </w:tcPr>
          <w:p w14:paraId="554220F9" w14:textId="77777777" w:rsidR="00332B2D" w:rsidRPr="00A73779" w:rsidRDefault="00332B2D" w:rsidP="00575F26">
            <w:pPr>
              <w:jc w:val="left"/>
              <w:rPr>
                <w:sz w:val="20"/>
                <w:szCs w:val="20"/>
              </w:rPr>
            </w:pPr>
            <w:r>
              <w:rPr>
                <w:sz w:val="20"/>
              </w:rPr>
              <w:t>Actualización sobre el avance del estudio teórico para la evaluación de los planes de capacitación, creación de capacidad y certificación en el sector de servicio y mantenimiento de equipos de refrigeración de los PGEH</w:t>
            </w:r>
          </w:p>
          <w:p w14:paraId="64F7E39F" w14:textId="7DFF6496" w:rsidR="00332B2D" w:rsidRPr="00A73779" w:rsidRDefault="007B463A" w:rsidP="00575F26">
            <w:pPr>
              <w:jc w:val="left"/>
              <w:rPr>
                <w:sz w:val="20"/>
                <w:szCs w:val="20"/>
              </w:rPr>
            </w:pPr>
            <w:r>
              <w:rPr>
                <w:b/>
                <w:sz w:val="20"/>
              </w:rPr>
              <w:t>n</w:t>
            </w:r>
            <w:r w:rsidR="00332B2D">
              <w:rPr>
                <w:b/>
                <w:sz w:val="20"/>
              </w:rPr>
              <w:t>. a. – La evaluación no ha comenzado, se iniciará en 2026</w:t>
            </w:r>
          </w:p>
        </w:tc>
      </w:tr>
      <w:tr w:rsidR="00332B2D" w:rsidRPr="00A73779" w14:paraId="066389A7" w14:textId="77777777" w:rsidTr="006A1746">
        <w:trPr>
          <w:trHeight w:val="864"/>
        </w:trPr>
        <w:tc>
          <w:tcPr>
            <w:tcW w:w="324" w:type="pct"/>
          </w:tcPr>
          <w:p w14:paraId="10684D98" w14:textId="77777777" w:rsidR="00332B2D" w:rsidRPr="00A73779" w:rsidRDefault="00332B2D" w:rsidP="00332B2D">
            <w:pPr>
              <w:numPr>
                <w:ilvl w:val="0"/>
                <w:numId w:val="22"/>
              </w:numPr>
              <w:contextualSpacing/>
              <w:jc w:val="left"/>
              <w:rPr>
                <w:rFonts w:eastAsia="Calibri"/>
                <w:sz w:val="20"/>
                <w:szCs w:val="20"/>
              </w:rPr>
            </w:pPr>
          </w:p>
        </w:tc>
        <w:tc>
          <w:tcPr>
            <w:tcW w:w="1021" w:type="pct"/>
          </w:tcPr>
          <w:p w14:paraId="0C75739F" w14:textId="77777777" w:rsidR="00332B2D" w:rsidRPr="00A73779" w:rsidRDefault="00332B2D" w:rsidP="00575F26">
            <w:pPr>
              <w:jc w:val="left"/>
              <w:rPr>
                <w:sz w:val="20"/>
                <w:szCs w:val="20"/>
              </w:rPr>
            </w:pPr>
            <w:r>
              <w:rPr>
                <w:sz w:val="20"/>
              </w:rPr>
              <w:t>Examen de los informes de terminación de proyectos, procesos y formatos (seguimiento)</w:t>
            </w:r>
          </w:p>
        </w:tc>
        <w:tc>
          <w:tcPr>
            <w:tcW w:w="1733" w:type="pct"/>
          </w:tcPr>
          <w:p w14:paraId="10E16578" w14:textId="0E082784" w:rsidR="00332B2D" w:rsidRPr="00A73779" w:rsidRDefault="00421655" w:rsidP="00575F26">
            <w:pPr>
              <w:jc w:val="left"/>
              <w:rPr>
                <w:sz w:val="20"/>
                <w:szCs w:val="20"/>
              </w:rPr>
            </w:pPr>
            <w:r>
              <w:rPr>
                <w:sz w:val="20"/>
              </w:rPr>
              <w:t>n</w:t>
            </w:r>
            <w:r w:rsidR="00332B2D">
              <w:rPr>
                <w:sz w:val="20"/>
              </w:rPr>
              <w:t>. a.</w:t>
            </w:r>
          </w:p>
        </w:tc>
        <w:tc>
          <w:tcPr>
            <w:tcW w:w="1922" w:type="pct"/>
          </w:tcPr>
          <w:p w14:paraId="3F16C2E8" w14:textId="22B60E5E" w:rsidR="003C7CEE" w:rsidRDefault="00332B2D" w:rsidP="00575F26">
            <w:pPr>
              <w:jc w:val="left"/>
              <w:rPr>
                <w:sz w:val="20"/>
                <w:szCs w:val="20"/>
              </w:rPr>
            </w:pPr>
            <w:r>
              <w:rPr>
                <w:sz w:val="20"/>
              </w:rPr>
              <w:t>Informe sobre los avances de la ejecución de la reforma de los informes de terminación de proyectos y la integración en el sistema de gestión del conocimiento, de conformidad con la decisión 94/5 d).</w:t>
            </w:r>
          </w:p>
          <w:p w14:paraId="0445B004" w14:textId="77777777" w:rsidR="003C7CEE" w:rsidRPr="003C7CEE" w:rsidRDefault="003C7CEE" w:rsidP="00575F26">
            <w:pPr>
              <w:jc w:val="left"/>
              <w:rPr>
                <w:b/>
                <w:bCs/>
                <w:sz w:val="20"/>
                <w:szCs w:val="20"/>
              </w:rPr>
            </w:pPr>
            <w:r>
              <w:rPr>
                <w:b/>
                <w:sz w:val="20"/>
              </w:rPr>
              <w:lastRenderedPageBreak/>
              <w:t>Terminado</w:t>
            </w:r>
          </w:p>
          <w:p w14:paraId="07453DE1" w14:textId="0966FDCF" w:rsidR="00332B2D" w:rsidRPr="003C7CEE" w:rsidRDefault="003C7CEE" w:rsidP="00575F26">
            <w:pPr>
              <w:jc w:val="left"/>
              <w:rPr>
                <w:sz w:val="20"/>
                <w:szCs w:val="20"/>
              </w:rPr>
            </w:pPr>
            <w:r>
              <w:rPr>
                <w:sz w:val="20"/>
              </w:rPr>
              <w:t>Mencionado en el informe anual para 2025 y realizada la coordinación con la Secretaría sobre la racionalización de la presentación de informes</w:t>
            </w:r>
          </w:p>
        </w:tc>
      </w:tr>
      <w:tr w:rsidR="00332B2D" w:rsidRPr="00A73779" w14:paraId="2DB610C3" w14:textId="77777777" w:rsidTr="006A1746">
        <w:trPr>
          <w:trHeight w:val="233"/>
        </w:trPr>
        <w:tc>
          <w:tcPr>
            <w:tcW w:w="324" w:type="pct"/>
          </w:tcPr>
          <w:p w14:paraId="33A485E3" w14:textId="77777777" w:rsidR="00332B2D" w:rsidRPr="00A73779" w:rsidRDefault="00332B2D" w:rsidP="00332B2D">
            <w:pPr>
              <w:numPr>
                <w:ilvl w:val="0"/>
                <w:numId w:val="22"/>
              </w:numPr>
              <w:contextualSpacing/>
              <w:jc w:val="left"/>
              <w:rPr>
                <w:rFonts w:eastAsia="Calibri"/>
                <w:sz w:val="20"/>
                <w:szCs w:val="20"/>
              </w:rPr>
            </w:pPr>
          </w:p>
        </w:tc>
        <w:tc>
          <w:tcPr>
            <w:tcW w:w="1021" w:type="pct"/>
          </w:tcPr>
          <w:p w14:paraId="49B13479" w14:textId="77777777" w:rsidR="00332B2D" w:rsidRPr="00A73779" w:rsidRDefault="00332B2D" w:rsidP="00575F26">
            <w:pPr>
              <w:jc w:val="left"/>
              <w:rPr>
                <w:sz w:val="20"/>
                <w:szCs w:val="20"/>
              </w:rPr>
            </w:pPr>
            <w:r>
              <w:rPr>
                <w:sz w:val="20"/>
              </w:rPr>
              <w:t>ITP refundido</w:t>
            </w:r>
          </w:p>
        </w:tc>
        <w:tc>
          <w:tcPr>
            <w:tcW w:w="1733" w:type="pct"/>
          </w:tcPr>
          <w:p w14:paraId="2E36EC16" w14:textId="6F6744A0" w:rsidR="00332B2D" w:rsidRPr="00A73779" w:rsidRDefault="003F65FE" w:rsidP="00575F26">
            <w:pPr>
              <w:jc w:val="left"/>
              <w:rPr>
                <w:sz w:val="20"/>
                <w:szCs w:val="20"/>
              </w:rPr>
            </w:pPr>
            <w:r>
              <w:rPr>
                <w:sz w:val="20"/>
              </w:rPr>
              <w:t xml:space="preserve">ITP </w:t>
            </w:r>
            <w:r w:rsidR="00332B2D">
              <w:rPr>
                <w:sz w:val="20"/>
              </w:rPr>
              <w:t>2025</w:t>
            </w:r>
          </w:p>
          <w:p w14:paraId="0C0BD193" w14:textId="77777777" w:rsidR="00332B2D" w:rsidRPr="00A73779" w:rsidRDefault="00332B2D" w:rsidP="00575F26">
            <w:pPr>
              <w:jc w:val="left"/>
              <w:rPr>
                <w:b/>
                <w:bCs/>
                <w:sz w:val="20"/>
                <w:szCs w:val="20"/>
              </w:rPr>
            </w:pPr>
            <w:r>
              <w:rPr>
                <w:b/>
                <w:sz w:val="20"/>
              </w:rPr>
              <w:t>Terminado</w:t>
            </w:r>
          </w:p>
          <w:p w14:paraId="3C73B61D" w14:textId="0A834377" w:rsidR="00332B2D" w:rsidRPr="00A73779" w:rsidRDefault="00A73779" w:rsidP="00575F26">
            <w:pPr>
              <w:jc w:val="left"/>
              <w:rPr>
                <w:b/>
                <w:bCs/>
                <w:sz w:val="20"/>
                <w:szCs w:val="20"/>
              </w:rPr>
            </w:pPr>
            <w:r>
              <w:rPr>
                <w:b/>
                <w:sz w:val="20"/>
              </w:rPr>
              <w:t>UNEP/OzL.Pro/ExCom/96/13</w:t>
            </w:r>
          </w:p>
        </w:tc>
        <w:tc>
          <w:tcPr>
            <w:tcW w:w="1922" w:type="pct"/>
          </w:tcPr>
          <w:p w14:paraId="3E1E5BD7" w14:textId="6C20E754" w:rsidR="00332B2D" w:rsidRPr="00A73779" w:rsidRDefault="00421655" w:rsidP="00575F26">
            <w:pPr>
              <w:jc w:val="left"/>
              <w:rPr>
                <w:sz w:val="20"/>
                <w:szCs w:val="20"/>
              </w:rPr>
            </w:pPr>
            <w:r>
              <w:rPr>
                <w:sz w:val="20"/>
              </w:rPr>
              <w:t>n</w:t>
            </w:r>
            <w:r w:rsidR="00332B2D">
              <w:rPr>
                <w:sz w:val="20"/>
              </w:rPr>
              <w:t>. a.</w:t>
            </w:r>
          </w:p>
        </w:tc>
      </w:tr>
      <w:tr w:rsidR="00332B2D" w:rsidRPr="00A73779" w14:paraId="0D21C84B" w14:textId="77777777" w:rsidTr="006A1746">
        <w:trPr>
          <w:trHeight w:val="864"/>
        </w:trPr>
        <w:tc>
          <w:tcPr>
            <w:tcW w:w="324" w:type="pct"/>
          </w:tcPr>
          <w:p w14:paraId="3CADD185" w14:textId="77777777" w:rsidR="00332B2D" w:rsidRPr="00A73779" w:rsidRDefault="00332B2D" w:rsidP="00332B2D">
            <w:pPr>
              <w:numPr>
                <w:ilvl w:val="0"/>
                <w:numId w:val="22"/>
              </w:numPr>
              <w:contextualSpacing/>
              <w:jc w:val="left"/>
              <w:rPr>
                <w:rFonts w:eastAsia="Calibri"/>
                <w:sz w:val="20"/>
                <w:szCs w:val="20"/>
              </w:rPr>
            </w:pPr>
          </w:p>
        </w:tc>
        <w:tc>
          <w:tcPr>
            <w:tcW w:w="1021" w:type="pct"/>
          </w:tcPr>
          <w:p w14:paraId="734BBC7F" w14:textId="77777777" w:rsidR="00332B2D" w:rsidRPr="00A73779" w:rsidRDefault="00332B2D" w:rsidP="00575F26">
            <w:pPr>
              <w:jc w:val="left"/>
              <w:rPr>
                <w:sz w:val="20"/>
                <w:szCs w:val="20"/>
              </w:rPr>
            </w:pPr>
            <w:r>
              <w:rPr>
                <w:sz w:val="20"/>
              </w:rPr>
              <w:t xml:space="preserve">Informe anual sobre el programa de trabajo de supervisión y evaluación y presupuesto para 2025 y programa de trabajo de evaluación para 2026 </w:t>
            </w:r>
          </w:p>
        </w:tc>
        <w:tc>
          <w:tcPr>
            <w:tcW w:w="1733" w:type="pct"/>
          </w:tcPr>
          <w:p w14:paraId="3B8B4488" w14:textId="440D9BBC" w:rsidR="00332B2D" w:rsidRPr="00A73779" w:rsidRDefault="00421655" w:rsidP="00575F26">
            <w:pPr>
              <w:jc w:val="left"/>
              <w:rPr>
                <w:sz w:val="20"/>
                <w:szCs w:val="20"/>
              </w:rPr>
            </w:pPr>
            <w:r>
              <w:rPr>
                <w:sz w:val="20"/>
              </w:rPr>
              <w:t>n</w:t>
            </w:r>
            <w:r w:rsidR="00332B2D">
              <w:rPr>
                <w:sz w:val="20"/>
              </w:rPr>
              <w:t>. a.</w:t>
            </w:r>
          </w:p>
        </w:tc>
        <w:tc>
          <w:tcPr>
            <w:tcW w:w="1922" w:type="pct"/>
          </w:tcPr>
          <w:p w14:paraId="68D0DA90" w14:textId="67C0A496" w:rsidR="00332B2D" w:rsidRPr="00A73779" w:rsidRDefault="00332B2D" w:rsidP="00575F26">
            <w:pPr>
              <w:jc w:val="left"/>
              <w:rPr>
                <w:sz w:val="20"/>
                <w:szCs w:val="20"/>
              </w:rPr>
            </w:pPr>
            <w:r>
              <w:rPr>
                <w:sz w:val="20"/>
              </w:rPr>
              <w:t>Informe anual sobre la ejecución del programa de trabajo de supervisión y evaluación para 2025 y programa de trabajo de evaluación para 2026</w:t>
            </w:r>
          </w:p>
          <w:p w14:paraId="2F5DB941" w14:textId="2D7C807A" w:rsidR="00332B2D" w:rsidRPr="00A73779" w:rsidRDefault="00332B2D" w:rsidP="00575F26">
            <w:pPr>
              <w:jc w:val="left"/>
              <w:rPr>
                <w:b/>
                <w:bCs/>
                <w:sz w:val="20"/>
                <w:szCs w:val="20"/>
              </w:rPr>
            </w:pPr>
            <w:r>
              <w:rPr>
                <w:b/>
                <w:sz w:val="20"/>
              </w:rPr>
              <w:t>Terminado</w:t>
            </w:r>
          </w:p>
          <w:p w14:paraId="3998BE84" w14:textId="3B6504F8" w:rsidR="00332B2D" w:rsidRPr="006A1746" w:rsidRDefault="00CF740D" w:rsidP="00575F26">
            <w:pPr>
              <w:jc w:val="left"/>
              <w:rPr>
                <w:b/>
                <w:bCs/>
                <w:sz w:val="20"/>
                <w:szCs w:val="20"/>
              </w:rPr>
            </w:pPr>
            <w:r>
              <w:rPr>
                <w:b/>
                <w:sz w:val="20"/>
              </w:rPr>
              <w:t>UNEP/OzL.Pro/ExCom/97/10</w:t>
            </w:r>
          </w:p>
          <w:p w14:paraId="33D1A7DE" w14:textId="2F36FB07" w:rsidR="00332B2D" w:rsidRPr="00A73779" w:rsidRDefault="00332B2D" w:rsidP="00575F26">
            <w:pPr>
              <w:jc w:val="left"/>
              <w:rPr>
                <w:i/>
                <w:iCs/>
                <w:sz w:val="20"/>
                <w:szCs w:val="20"/>
              </w:rPr>
            </w:pPr>
            <w:r>
              <w:rPr>
                <w:i/>
                <w:sz w:val="20"/>
              </w:rPr>
              <w:t>[Anual en lugar de bienal debido a la transición entre OSSE y OSE</w:t>
            </w:r>
            <w:r w:rsidR="00525F15">
              <w:rPr>
                <w:i/>
                <w:sz w:val="20"/>
              </w:rPr>
              <w:t>]</w:t>
            </w:r>
          </w:p>
        </w:tc>
      </w:tr>
    </w:tbl>
    <w:p w14:paraId="640D9426" w14:textId="77777777" w:rsidR="00332B2D" w:rsidRPr="00570121" w:rsidRDefault="00332B2D" w:rsidP="00332B2D"/>
    <w:p w14:paraId="77F96AC4" w14:textId="77777777" w:rsidR="00332B2D" w:rsidRDefault="00332B2D" w:rsidP="00332B2D">
      <w:pPr>
        <w:jc w:val="left"/>
      </w:pPr>
      <w:r>
        <w:br w:type="page"/>
      </w:r>
    </w:p>
    <w:p w14:paraId="3681CFCC" w14:textId="77777777" w:rsidR="00332B2D" w:rsidRPr="00BF3580" w:rsidRDefault="00332B2D" w:rsidP="00332B2D">
      <w:pPr>
        <w:spacing w:after="240"/>
        <w:jc w:val="center"/>
        <w:rPr>
          <w:b/>
          <w:bCs/>
        </w:rPr>
      </w:pPr>
      <w:r>
        <w:rPr>
          <w:b/>
        </w:rPr>
        <w:lastRenderedPageBreak/>
        <w:t>Anexo II</w:t>
      </w:r>
    </w:p>
    <w:p w14:paraId="2D0DA2D9" w14:textId="2527661F" w:rsidR="00332B2D" w:rsidRDefault="00525F15" w:rsidP="00332B2D">
      <w:pPr>
        <w:spacing w:after="240"/>
        <w:jc w:val="center"/>
        <w:rPr>
          <w:b/>
          <w:bCs/>
        </w:rPr>
      </w:pPr>
      <w:r>
        <w:rPr>
          <w:b/>
        </w:rPr>
        <w:t>PROPUESTA</w:t>
      </w:r>
      <w:r w:rsidR="00332B2D">
        <w:rPr>
          <w:b/>
        </w:rPr>
        <w:t xml:space="preserve"> DE PROGRAMA DE TRABAJO DE EVALUACIÓN PARA 2026</w:t>
      </w:r>
    </w:p>
    <w:tbl>
      <w:tblPr>
        <w:tblStyle w:val="TableGrid"/>
        <w:tblW w:w="5243" w:type="pct"/>
        <w:jc w:val="center"/>
        <w:shd w:val="clear" w:color="auto" w:fill="FFFFFF" w:themeFill="background1"/>
        <w:tblLook w:val="04A0" w:firstRow="1" w:lastRow="0" w:firstColumn="1" w:lastColumn="0" w:noHBand="0" w:noVBand="1"/>
      </w:tblPr>
      <w:tblGrid>
        <w:gridCol w:w="667"/>
        <w:gridCol w:w="5890"/>
        <w:gridCol w:w="3247"/>
      </w:tblGrid>
      <w:tr w:rsidR="00332B2D" w:rsidRPr="003D5E96" w14:paraId="5BF57725" w14:textId="77777777" w:rsidTr="00352B30">
        <w:trPr>
          <w:trHeight w:val="494"/>
          <w:jc w:val="center"/>
        </w:trPr>
        <w:tc>
          <w:tcPr>
            <w:tcW w:w="340" w:type="pct"/>
            <w:shd w:val="clear" w:color="auto" w:fill="FFFFFF" w:themeFill="background1"/>
          </w:tcPr>
          <w:p w14:paraId="7F2D1B39" w14:textId="77777777" w:rsidR="00332B2D" w:rsidRPr="003D5E96" w:rsidRDefault="00332B2D" w:rsidP="00575F26">
            <w:pPr>
              <w:pStyle w:val="ListParagraph"/>
              <w:spacing w:after="0" w:line="240" w:lineRule="auto"/>
              <w:ind w:left="0"/>
              <w:jc w:val="center"/>
              <w:rPr>
                <w:rFonts w:ascii="Times New Roman" w:hAnsi="Times New Roman" w:cs="Times New Roman"/>
                <w:sz w:val="20"/>
                <w:szCs w:val="20"/>
              </w:rPr>
            </w:pPr>
            <w:r>
              <w:rPr>
                <w:rFonts w:ascii="Times New Roman" w:hAnsi="Times New Roman"/>
                <w:sz w:val="20"/>
              </w:rPr>
              <w:t>Núm.</w:t>
            </w:r>
          </w:p>
        </w:tc>
        <w:tc>
          <w:tcPr>
            <w:tcW w:w="3004" w:type="pct"/>
            <w:shd w:val="clear" w:color="auto" w:fill="FFFFFF" w:themeFill="background1"/>
          </w:tcPr>
          <w:p w14:paraId="007A42FC" w14:textId="77777777" w:rsidR="00332B2D" w:rsidRPr="003D5E96" w:rsidRDefault="00332B2D" w:rsidP="00575F26">
            <w:pPr>
              <w:pStyle w:val="ListParagraph"/>
              <w:ind w:left="360"/>
              <w:jc w:val="center"/>
              <w:rPr>
                <w:rFonts w:ascii="Times New Roman" w:hAnsi="Times New Roman" w:cs="Times New Roman"/>
                <w:b/>
                <w:bCs/>
                <w:sz w:val="20"/>
                <w:szCs w:val="20"/>
              </w:rPr>
            </w:pPr>
            <w:r>
              <w:rPr>
                <w:rFonts w:ascii="Times New Roman" w:hAnsi="Times New Roman"/>
                <w:b/>
                <w:sz w:val="20"/>
              </w:rPr>
              <w:t>Tipo de actividad</w:t>
            </w:r>
          </w:p>
        </w:tc>
        <w:tc>
          <w:tcPr>
            <w:tcW w:w="1657" w:type="pct"/>
            <w:shd w:val="clear" w:color="auto" w:fill="FFFFFF" w:themeFill="background1"/>
          </w:tcPr>
          <w:p w14:paraId="6D6878F6" w14:textId="77777777" w:rsidR="00332B2D" w:rsidRPr="003D5E96" w:rsidRDefault="00332B2D" w:rsidP="00575F26">
            <w:pPr>
              <w:jc w:val="center"/>
              <w:rPr>
                <w:b/>
                <w:bCs/>
                <w:sz w:val="20"/>
                <w:szCs w:val="20"/>
              </w:rPr>
            </w:pPr>
            <w:r>
              <w:rPr>
                <w:b/>
                <w:sz w:val="20"/>
              </w:rPr>
              <w:t xml:space="preserve">Para su presentación a la reunión del Comité Ejecutivo núm. </w:t>
            </w:r>
          </w:p>
        </w:tc>
      </w:tr>
      <w:tr w:rsidR="00332B2D" w:rsidRPr="003D5E96" w14:paraId="60CA024B" w14:textId="77777777" w:rsidTr="00352B30">
        <w:trPr>
          <w:trHeight w:val="320"/>
          <w:jc w:val="center"/>
        </w:trPr>
        <w:tc>
          <w:tcPr>
            <w:tcW w:w="5000" w:type="pct"/>
            <w:gridSpan w:val="3"/>
            <w:shd w:val="clear" w:color="auto" w:fill="FFFFFF" w:themeFill="background1"/>
          </w:tcPr>
          <w:p w14:paraId="72E89C88" w14:textId="77777777" w:rsidR="00332B2D" w:rsidRPr="003D5E96" w:rsidRDefault="00332B2D" w:rsidP="00E067D9">
            <w:pPr>
              <w:pStyle w:val="ListParagraph"/>
              <w:spacing w:after="0"/>
              <w:ind w:hanging="648"/>
              <w:rPr>
                <w:rFonts w:ascii="Times New Roman" w:eastAsia="Times New Roman" w:hAnsi="Times New Roman" w:cs="Times New Roman"/>
                <w:b/>
                <w:bCs/>
                <w:kern w:val="0"/>
                <w:sz w:val="20"/>
                <w:szCs w:val="20"/>
              </w:rPr>
            </w:pPr>
            <w:r>
              <w:rPr>
                <w:rFonts w:ascii="Times New Roman" w:hAnsi="Times New Roman"/>
                <w:b/>
                <w:sz w:val="20"/>
              </w:rPr>
              <w:t>Componente 1: Actividades de evaluación aprobadas trasladadas desde el programa de trabajo de 2025</w:t>
            </w:r>
          </w:p>
        </w:tc>
      </w:tr>
      <w:tr w:rsidR="00332B2D" w:rsidRPr="003D5E96" w14:paraId="021FA78F" w14:textId="77777777" w:rsidTr="00352B30">
        <w:trPr>
          <w:trHeight w:val="548"/>
          <w:jc w:val="center"/>
        </w:trPr>
        <w:tc>
          <w:tcPr>
            <w:tcW w:w="340" w:type="pct"/>
            <w:shd w:val="clear" w:color="auto" w:fill="FFFFFF" w:themeFill="background1"/>
          </w:tcPr>
          <w:p w14:paraId="40C6DEDF" w14:textId="77777777" w:rsidR="00332B2D" w:rsidRPr="003D5E96" w:rsidRDefault="00332B2D" w:rsidP="006A1746">
            <w:pPr>
              <w:pStyle w:val="ListParagraph"/>
              <w:numPr>
                <w:ilvl w:val="0"/>
                <w:numId w:val="23"/>
              </w:numPr>
              <w:spacing w:after="0" w:line="240" w:lineRule="auto"/>
              <w:ind w:hanging="651"/>
              <w:rPr>
                <w:rFonts w:ascii="Times New Roman" w:hAnsi="Times New Roman" w:cs="Times New Roman"/>
                <w:sz w:val="20"/>
                <w:szCs w:val="20"/>
              </w:rPr>
            </w:pPr>
          </w:p>
        </w:tc>
        <w:tc>
          <w:tcPr>
            <w:tcW w:w="3004" w:type="pct"/>
            <w:shd w:val="clear" w:color="auto" w:fill="FFFFFF" w:themeFill="background1"/>
          </w:tcPr>
          <w:p w14:paraId="2860F2DF" w14:textId="7CDB4FBC" w:rsidR="00332B2D" w:rsidRPr="00982E19" w:rsidRDefault="00982E19" w:rsidP="006A1746">
            <w:pPr>
              <w:spacing w:after="120"/>
              <w:rPr>
                <w:sz w:val="20"/>
                <w:szCs w:val="20"/>
              </w:rPr>
            </w:pPr>
            <w:r>
              <w:rPr>
                <w:sz w:val="20"/>
              </w:rPr>
              <w:t xml:space="preserve">Términos de referencia para la segunda fase de la evaluación del Programa de Asistencia al Cumplimiento, incluido el seguimiento de la evaluación de las Redes Regionales y el informe del PNUMA a la 96ª reunión sobre la ejecución de la hoja de ruta </w:t>
            </w:r>
          </w:p>
          <w:p w14:paraId="2A521108" w14:textId="16D61E98" w:rsidR="00332B2D" w:rsidRPr="00982E19" w:rsidRDefault="00332B2D" w:rsidP="00575F26">
            <w:pPr>
              <w:rPr>
                <w:sz w:val="20"/>
                <w:szCs w:val="20"/>
              </w:rPr>
            </w:pPr>
            <w:r>
              <w:rPr>
                <w:sz w:val="20"/>
              </w:rPr>
              <w:t>Preparar y presentar términos de referencia para la segunda fase de la evaluación del Programa de Asistencia al Cumplimiento, de conformidad con la decisión 95/9 b), teniendo en cuenta la actualización sobre la marcha de las actividades por Acción por el Ozono del PNUMA con respecto a la ejecución de la hoja de ruta que figura en el informe final de la evaluación de las redes regionales de oficiales nacionales del ozono (UNEP/OzL.Pro/ExCom/96/10), de conformidad con la decisión 92/5 f).</w:t>
            </w:r>
          </w:p>
        </w:tc>
        <w:tc>
          <w:tcPr>
            <w:tcW w:w="1657" w:type="pct"/>
            <w:shd w:val="clear" w:color="auto" w:fill="FFFFFF" w:themeFill="background1"/>
          </w:tcPr>
          <w:p w14:paraId="29642657" w14:textId="77777777" w:rsidR="00332B2D" w:rsidRPr="003D5E96" w:rsidRDefault="00332B2D" w:rsidP="00575F26">
            <w:pPr>
              <w:jc w:val="left"/>
              <w:rPr>
                <w:sz w:val="20"/>
                <w:szCs w:val="20"/>
              </w:rPr>
            </w:pPr>
            <w:r>
              <w:rPr>
                <w:sz w:val="20"/>
              </w:rPr>
              <w:t>Por determinar (98ª o 99ª)</w:t>
            </w:r>
          </w:p>
        </w:tc>
      </w:tr>
      <w:tr w:rsidR="00332B2D" w:rsidRPr="003D5E96" w14:paraId="4C5C765B" w14:textId="77777777" w:rsidTr="00352B30">
        <w:trPr>
          <w:trHeight w:val="521"/>
          <w:jc w:val="center"/>
        </w:trPr>
        <w:tc>
          <w:tcPr>
            <w:tcW w:w="340" w:type="pct"/>
            <w:shd w:val="clear" w:color="auto" w:fill="FFFFFF" w:themeFill="background1"/>
          </w:tcPr>
          <w:p w14:paraId="136BC529" w14:textId="77777777" w:rsidR="00332B2D" w:rsidRPr="003D5E96" w:rsidRDefault="00332B2D" w:rsidP="006A1746">
            <w:pPr>
              <w:pStyle w:val="ListParagraph"/>
              <w:numPr>
                <w:ilvl w:val="0"/>
                <w:numId w:val="23"/>
              </w:numPr>
              <w:spacing w:after="0" w:line="240" w:lineRule="auto"/>
              <w:ind w:hanging="651"/>
              <w:rPr>
                <w:rFonts w:ascii="Times New Roman" w:hAnsi="Times New Roman" w:cs="Times New Roman"/>
                <w:sz w:val="20"/>
                <w:szCs w:val="20"/>
              </w:rPr>
            </w:pPr>
          </w:p>
        </w:tc>
        <w:tc>
          <w:tcPr>
            <w:tcW w:w="3004" w:type="pct"/>
            <w:shd w:val="clear" w:color="auto" w:fill="FFFFFF" w:themeFill="background1"/>
          </w:tcPr>
          <w:p w14:paraId="28776FD1" w14:textId="6B490DE3" w:rsidR="00332B2D" w:rsidRPr="00982E19" w:rsidRDefault="00982E19" w:rsidP="00575F26">
            <w:pPr>
              <w:jc w:val="left"/>
              <w:rPr>
                <w:sz w:val="20"/>
                <w:szCs w:val="20"/>
              </w:rPr>
            </w:pPr>
            <w:r>
              <w:rPr>
                <w:sz w:val="20"/>
              </w:rPr>
              <w:t>Estudio teórico para la evaluación de los proyectos de recuperación, reciclado y regeneración</w:t>
            </w:r>
            <w:r w:rsidR="00525F15">
              <w:rPr>
                <w:sz w:val="20"/>
              </w:rPr>
              <w:t>.</w:t>
            </w:r>
          </w:p>
        </w:tc>
        <w:tc>
          <w:tcPr>
            <w:tcW w:w="1657" w:type="pct"/>
            <w:shd w:val="clear" w:color="auto" w:fill="FFFFFF" w:themeFill="background1"/>
          </w:tcPr>
          <w:p w14:paraId="09097F11" w14:textId="77777777" w:rsidR="00332B2D" w:rsidRPr="003D5E96" w:rsidRDefault="00332B2D" w:rsidP="00575F26">
            <w:pPr>
              <w:jc w:val="left"/>
              <w:rPr>
                <w:sz w:val="20"/>
                <w:szCs w:val="20"/>
              </w:rPr>
            </w:pPr>
            <w:r>
              <w:rPr>
                <w:sz w:val="20"/>
              </w:rPr>
              <w:t>Por determinar (99ª reunión o en 2027)</w:t>
            </w:r>
          </w:p>
        </w:tc>
      </w:tr>
      <w:tr w:rsidR="00332B2D" w:rsidRPr="003D5E96" w14:paraId="430F4C15" w14:textId="77777777" w:rsidTr="00352B30">
        <w:trPr>
          <w:trHeight w:val="665"/>
          <w:jc w:val="center"/>
        </w:trPr>
        <w:tc>
          <w:tcPr>
            <w:tcW w:w="340" w:type="pct"/>
            <w:shd w:val="clear" w:color="auto" w:fill="FFFFFF" w:themeFill="background1"/>
          </w:tcPr>
          <w:p w14:paraId="12357055" w14:textId="77777777" w:rsidR="00332B2D" w:rsidRPr="003D5E96" w:rsidRDefault="00332B2D" w:rsidP="006A1746">
            <w:pPr>
              <w:pStyle w:val="ListParagraph"/>
              <w:numPr>
                <w:ilvl w:val="0"/>
                <w:numId w:val="23"/>
              </w:numPr>
              <w:spacing w:after="0" w:line="240" w:lineRule="auto"/>
              <w:ind w:hanging="651"/>
              <w:rPr>
                <w:rFonts w:ascii="Times New Roman" w:hAnsi="Times New Roman" w:cs="Times New Roman"/>
                <w:sz w:val="20"/>
                <w:szCs w:val="20"/>
              </w:rPr>
            </w:pPr>
          </w:p>
        </w:tc>
        <w:tc>
          <w:tcPr>
            <w:tcW w:w="3004" w:type="pct"/>
            <w:shd w:val="clear" w:color="auto" w:fill="FFFFFF" w:themeFill="background1"/>
          </w:tcPr>
          <w:p w14:paraId="2723163E" w14:textId="0D22DF12" w:rsidR="00332B2D" w:rsidRPr="00982E19" w:rsidRDefault="00332B2D" w:rsidP="00575F26">
            <w:pPr>
              <w:jc w:val="left"/>
              <w:rPr>
                <w:sz w:val="20"/>
                <w:szCs w:val="20"/>
              </w:rPr>
            </w:pPr>
            <w:r>
              <w:rPr>
                <w:sz w:val="20"/>
              </w:rPr>
              <w:t>Estudio teórico para la evaluación de la contribución de los planes de gestión de la eliminación de los HCFC (PGEH) a la elaboración de políticas, reglamentos y estrategias nacionales para asegurar el cumplimiento del Protocolo de Montreal y la sostenibilidad de los logros.</w:t>
            </w:r>
          </w:p>
        </w:tc>
        <w:tc>
          <w:tcPr>
            <w:tcW w:w="1657" w:type="pct"/>
            <w:shd w:val="clear" w:color="auto" w:fill="FFFFFF" w:themeFill="background1"/>
          </w:tcPr>
          <w:p w14:paraId="08190631" w14:textId="77777777" w:rsidR="00332B2D" w:rsidRPr="003D5E96" w:rsidRDefault="00332B2D" w:rsidP="00575F26">
            <w:pPr>
              <w:jc w:val="left"/>
              <w:rPr>
                <w:sz w:val="20"/>
                <w:szCs w:val="20"/>
              </w:rPr>
            </w:pPr>
            <w:r>
              <w:rPr>
                <w:sz w:val="20"/>
              </w:rPr>
              <w:t>Por determinar (99ª reunión o en 2027)</w:t>
            </w:r>
          </w:p>
        </w:tc>
      </w:tr>
      <w:tr w:rsidR="00332B2D" w:rsidRPr="003D5E96" w14:paraId="73E0CC5A" w14:textId="77777777" w:rsidTr="00352B30">
        <w:trPr>
          <w:trHeight w:val="521"/>
          <w:jc w:val="center"/>
        </w:trPr>
        <w:tc>
          <w:tcPr>
            <w:tcW w:w="340" w:type="pct"/>
            <w:shd w:val="clear" w:color="auto" w:fill="FFFFFF" w:themeFill="background1"/>
          </w:tcPr>
          <w:p w14:paraId="3CE6AA01" w14:textId="77777777" w:rsidR="00332B2D" w:rsidRPr="003D5E96" w:rsidRDefault="00332B2D" w:rsidP="006A1746">
            <w:pPr>
              <w:pStyle w:val="ListParagraph"/>
              <w:numPr>
                <w:ilvl w:val="0"/>
                <w:numId w:val="23"/>
              </w:numPr>
              <w:spacing w:after="0" w:line="240" w:lineRule="auto"/>
              <w:ind w:hanging="651"/>
              <w:rPr>
                <w:rFonts w:ascii="Times New Roman" w:hAnsi="Times New Roman" w:cs="Times New Roman"/>
                <w:sz w:val="20"/>
                <w:szCs w:val="20"/>
              </w:rPr>
            </w:pPr>
          </w:p>
        </w:tc>
        <w:tc>
          <w:tcPr>
            <w:tcW w:w="3004" w:type="pct"/>
            <w:shd w:val="clear" w:color="auto" w:fill="FFFFFF" w:themeFill="background1"/>
          </w:tcPr>
          <w:p w14:paraId="7814C32C" w14:textId="77777777" w:rsidR="00332B2D" w:rsidRPr="00982E19" w:rsidRDefault="00332B2D" w:rsidP="00575F26">
            <w:pPr>
              <w:jc w:val="left"/>
              <w:rPr>
                <w:sz w:val="20"/>
                <w:szCs w:val="20"/>
              </w:rPr>
            </w:pPr>
            <w:r>
              <w:rPr>
                <w:sz w:val="20"/>
              </w:rPr>
              <w:t>Estudio teórico para la evaluación de los planes de capacitación, creación de capacidad y certificación en el sector de servicio y mantenimiento de equipos de refrigeración de los PGEH.</w:t>
            </w:r>
          </w:p>
        </w:tc>
        <w:tc>
          <w:tcPr>
            <w:tcW w:w="1657" w:type="pct"/>
            <w:shd w:val="clear" w:color="auto" w:fill="FFFFFF" w:themeFill="background1"/>
          </w:tcPr>
          <w:p w14:paraId="4F9074E1" w14:textId="77777777" w:rsidR="00332B2D" w:rsidRPr="003D5E96" w:rsidRDefault="00332B2D" w:rsidP="00575F26">
            <w:pPr>
              <w:jc w:val="left"/>
              <w:rPr>
                <w:sz w:val="20"/>
                <w:szCs w:val="20"/>
              </w:rPr>
            </w:pPr>
            <w:r>
              <w:rPr>
                <w:sz w:val="20"/>
              </w:rPr>
              <w:t>Por determinar (99ª reunión o en 2027)</w:t>
            </w:r>
          </w:p>
        </w:tc>
      </w:tr>
      <w:tr w:rsidR="00332B2D" w:rsidRPr="003D5E96" w14:paraId="085B20FE" w14:textId="77777777" w:rsidTr="00352B30">
        <w:trPr>
          <w:trHeight w:val="332"/>
          <w:jc w:val="center"/>
        </w:trPr>
        <w:tc>
          <w:tcPr>
            <w:tcW w:w="5000" w:type="pct"/>
            <w:gridSpan w:val="3"/>
            <w:shd w:val="clear" w:color="auto" w:fill="FFFFFF" w:themeFill="background1"/>
          </w:tcPr>
          <w:p w14:paraId="120C9920" w14:textId="77777777" w:rsidR="00332B2D" w:rsidRPr="003D5E96" w:rsidRDefault="00332B2D" w:rsidP="00575F26">
            <w:pPr>
              <w:pStyle w:val="ListParagraph"/>
              <w:spacing w:after="0"/>
              <w:ind w:hanging="648"/>
              <w:rPr>
                <w:b/>
                <w:bCs/>
                <w:sz w:val="20"/>
                <w:szCs w:val="20"/>
              </w:rPr>
            </w:pPr>
            <w:r>
              <w:rPr>
                <w:rFonts w:ascii="Times New Roman" w:hAnsi="Times New Roman"/>
                <w:b/>
                <w:sz w:val="20"/>
              </w:rPr>
              <w:t xml:space="preserve">Componente 2: Actividades periódicas de evaluación </w:t>
            </w:r>
          </w:p>
        </w:tc>
      </w:tr>
      <w:tr w:rsidR="00332B2D" w:rsidRPr="003D5E96" w14:paraId="0C16E165" w14:textId="77777777" w:rsidTr="00352B30">
        <w:trPr>
          <w:trHeight w:val="530"/>
          <w:jc w:val="center"/>
        </w:trPr>
        <w:tc>
          <w:tcPr>
            <w:tcW w:w="340" w:type="pct"/>
            <w:shd w:val="clear" w:color="auto" w:fill="FFFFFF" w:themeFill="background1"/>
          </w:tcPr>
          <w:p w14:paraId="2B0D64E0" w14:textId="77777777" w:rsidR="00332B2D" w:rsidRPr="003D5E96" w:rsidRDefault="00332B2D" w:rsidP="006A1746">
            <w:pPr>
              <w:pStyle w:val="ListParagraph"/>
              <w:numPr>
                <w:ilvl w:val="0"/>
                <w:numId w:val="23"/>
              </w:numPr>
              <w:spacing w:after="0" w:line="240" w:lineRule="auto"/>
              <w:ind w:hanging="651"/>
              <w:rPr>
                <w:rFonts w:ascii="Times New Roman" w:hAnsi="Times New Roman" w:cs="Times New Roman"/>
                <w:sz w:val="20"/>
                <w:szCs w:val="20"/>
              </w:rPr>
            </w:pPr>
          </w:p>
        </w:tc>
        <w:tc>
          <w:tcPr>
            <w:tcW w:w="3004" w:type="pct"/>
            <w:shd w:val="clear" w:color="auto" w:fill="FFFFFF" w:themeFill="background1"/>
          </w:tcPr>
          <w:p w14:paraId="3BE3AC7C" w14:textId="5F240861" w:rsidR="00332B2D" w:rsidRPr="003D5E96" w:rsidRDefault="00332B2D" w:rsidP="00575F26">
            <w:pPr>
              <w:jc w:val="left"/>
              <w:rPr>
                <w:sz w:val="20"/>
                <w:szCs w:val="20"/>
              </w:rPr>
            </w:pPr>
            <w:r>
              <w:rPr>
                <w:sz w:val="20"/>
              </w:rPr>
              <w:t xml:space="preserve">Informe anual sobre la </w:t>
            </w:r>
            <w:r w:rsidR="0066195A">
              <w:rPr>
                <w:sz w:val="20"/>
              </w:rPr>
              <w:t>ejecución</w:t>
            </w:r>
            <w:r>
              <w:rPr>
                <w:sz w:val="20"/>
              </w:rPr>
              <w:t xml:space="preserve"> del programa de trabajo de evaluación para 2026 y programa de trabajo de evaluación bienal y presupuesto para 2027 y 2028. </w:t>
            </w:r>
          </w:p>
        </w:tc>
        <w:tc>
          <w:tcPr>
            <w:tcW w:w="1657" w:type="pct"/>
            <w:shd w:val="clear" w:color="auto" w:fill="FFFFFF" w:themeFill="background1"/>
          </w:tcPr>
          <w:p w14:paraId="285CD2FC" w14:textId="77777777" w:rsidR="00332B2D" w:rsidRPr="003D5E96" w:rsidRDefault="00332B2D" w:rsidP="00575F26">
            <w:pPr>
              <w:jc w:val="left"/>
              <w:rPr>
                <w:sz w:val="20"/>
                <w:szCs w:val="20"/>
              </w:rPr>
            </w:pPr>
            <w:r>
              <w:rPr>
                <w:sz w:val="20"/>
              </w:rPr>
              <w:t>99ª reunión</w:t>
            </w:r>
          </w:p>
        </w:tc>
      </w:tr>
      <w:tr w:rsidR="00332B2D" w:rsidRPr="003D5E96" w14:paraId="09BCBE02" w14:textId="77777777" w:rsidTr="00352B30">
        <w:trPr>
          <w:trHeight w:val="305"/>
          <w:jc w:val="center"/>
        </w:trPr>
        <w:tc>
          <w:tcPr>
            <w:tcW w:w="340" w:type="pct"/>
            <w:shd w:val="clear" w:color="auto" w:fill="FFFFFF" w:themeFill="background1"/>
          </w:tcPr>
          <w:p w14:paraId="64D19CFB" w14:textId="77777777" w:rsidR="00332B2D" w:rsidRPr="003D5E96" w:rsidRDefault="00332B2D" w:rsidP="006A1746">
            <w:pPr>
              <w:pStyle w:val="ListParagraph"/>
              <w:numPr>
                <w:ilvl w:val="0"/>
                <w:numId w:val="23"/>
              </w:numPr>
              <w:spacing w:after="0" w:line="240" w:lineRule="auto"/>
              <w:ind w:hanging="651"/>
              <w:rPr>
                <w:rFonts w:ascii="Times New Roman" w:hAnsi="Times New Roman" w:cs="Times New Roman"/>
                <w:sz w:val="20"/>
                <w:szCs w:val="20"/>
              </w:rPr>
            </w:pPr>
          </w:p>
        </w:tc>
        <w:tc>
          <w:tcPr>
            <w:tcW w:w="3004" w:type="pct"/>
            <w:shd w:val="clear" w:color="auto" w:fill="FFFFFF" w:themeFill="background1"/>
          </w:tcPr>
          <w:p w14:paraId="5880395A" w14:textId="77777777" w:rsidR="00332B2D" w:rsidRPr="003D5E96" w:rsidRDefault="00332B2D" w:rsidP="00575F26">
            <w:pPr>
              <w:jc w:val="left"/>
              <w:rPr>
                <w:sz w:val="20"/>
                <w:szCs w:val="20"/>
              </w:rPr>
            </w:pPr>
            <w:r>
              <w:rPr>
                <w:sz w:val="20"/>
              </w:rPr>
              <w:t>Preparar el boletín de evaluación anual.</w:t>
            </w:r>
          </w:p>
        </w:tc>
        <w:tc>
          <w:tcPr>
            <w:tcW w:w="1657" w:type="pct"/>
            <w:shd w:val="clear" w:color="auto" w:fill="FFFFFF" w:themeFill="background1"/>
          </w:tcPr>
          <w:p w14:paraId="4A250850" w14:textId="77777777" w:rsidR="00332B2D" w:rsidRPr="003D5E96" w:rsidRDefault="00332B2D" w:rsidP="00575F26">
            <w:pPr>
              <w:jc w:val="left"/>
              <w:rPr>
                <w:sz w:val="20"/>
                <w:szCs w:val="20"/>
              </w:rPr>
            </w:pPr>
            <w:r>
              <w:rPr>
                <w:sz w:val="20"/>
              </w:rPr>
              <w:t>99ª reunión</w:t>
            </w:r>
          </w:p>
        </w:tc>
      </w:tr>
      <w:tr w:rsidR="00332B2D" w:rsidRPr="003D5E96" w14:paraId="2D1101DC" w14:textId="77777777" w:rsidTr="00352B30">
        <w:trPr>
          <w:trHeight w:val="305"/>
          <w:jc w:val="center"/>
        </w:trPr>
        <w:tc>
          <w:tcPr>
            <w:tcW w:w="340" w:type="pct"/>
            <w:shd w:val="clear" w:color="auto" w:fill="FFFFFF" w:themeFill="background1"/>
          </w:tcPr>
          <w:p w14:paraId="28D1F725" w14:textId="77777777" w:rsidR="00332B2D" w:rsidRPr="003D5E96" w:rsidRDefault="00332B2D" w:rsidP="006A1746">
            <w:pPr>
              <w:pStyle w:val="ListParagraph"/>
              <w:numPr>
                <w:ilvl w:val="0"/>
                <w:numId w:val="23"/>
              </w:numPr>
              <w:spacing w:after="0" w:line="240" w:lineRule="auto"/>
              <w:ind w:hanging="651"/>
              <w:rPr>
                <w:rFonts w:ascii="Times New Roman" w:hAnsi="Times New Roman" w:cs="Times New Roman"/>
                <w:sz w:val="20"/>
                <w:szCs w:val="20"/>
              </w:rPr>
            </w:pPr>
          </w:p>
        </w:tc>
        <w:tc>
          <w:tcPr>
            <w:tcW w:w="3004" w:type="pct"/>
            <w:shd w:val="clear" w:color="auto" w:fill="FFFFFF" w:themeFill="background1"/>
          </w:tcPr>
          <w:p w14:paraId="1A03048F" w14:textId="77777777" w:rsidR="00332B2D" w:rsidRPr="00DD384B" w:rsidRDefault="00332B2D" w:rsidP="00575F26">
            <w:pPr>
              <w:jc w:val="left"/>
              <w:rPr>
                <w:sz w:val="20"/>
                <w:szCs w:val="20"/>
              </w:rPr>
            </w:pPr>
            <w:r>
              <w:rPr>
                <w:sz w:val="20"/>
              </w:rPr>
              <w:t>Análisis consolidado de las enseñanzas extraídas y los motivos de las demoras en la ejecución de proyectos a partir de los informes de terminación de proyectos.</w:t>
            </w:r>
          </w:p>
        </w:tc>
        <w:tc>
          <w:tcPr>
            <w:tcW w:w="1657" w:type="pct"/>
            <w:shd w:val="clear" w:color="auto" w:fill="FFFFFF" w:themeFill="background1"/>
          </w:tcPr>
          <w:p w14:paraId="00D2ABAF" w14:textId="3EDAA476" w:rsidR="00332B2D" w:rsidRPr="00DD384B" w:rsidRDefault="00332B2D" w:rsidP="00575F26">
            <w:pPr>
              <w:jc w:val="left"/>
              <w:rPr>
                <w:sz w:val="20"/>
                <w:szCs w:val="20"/>
              </w:rPr>
            </w:pPr>
            <w:r>
              <w:rPr>
                <w:sz w:val="20"/>
              </w:rPr>
              <w:t xml:space="preserve">98ª reunión </w:t>
            </w:r>
          </w:p>
        </w:tc>
      </w:tr>
      <w:tr w:rsidR="00332B2D" w:rsidRPr="003D5E96" w14:paraId="77676673" w14:textId="77777777" w:rsidTr="00352B30">
        <w:trPr>
          <w:trHeight w:val="512"/>
          <w:jc w:val="center"/>
        </w:trPr>
        <w:tc>
          <w:tcPr>
            <w:tcW w:w="5000" w:type="pct"/>
            <w:gridSpan w:val="3"/>
            <w:shd w:val="clear" w:color="auto" w:fill="FFFFFF" w:themeFill="background1"/>
          </w:tcPr>
          <w:p w14:paraId="008131FD" w14:textId="77777777" w:rsidR="00332B2D" w:rsidRPr="003D5E96" w:rsidRDefault="00332B2D" w:rsidP="00575F26">
            <w:pPr>
              <w:pStyle w:val="ListParagraph"/>
              <w:spacing w:after="0"/>
              <w:ind w:left="64" w:firstLine="8"/>
              <w:rPr>
                <w:b/>
                <w:bCs/>
                <w:sz w:val="20"/>
                <w:szCs w:val="20"/>
              </w:rPr>
            </w:pPr>
            <w:r>
              <w:rPr>
                <w:rFonts w:ascii="Times New Roman" w:hAnsi="Times New Roman"/>
                <w:b/>
                <w:sz w:val="20"/>
              </w:rPr>
              <w:t>Componente 3: Acciones de ejecución derivadas de la decisión 96/4 sobre la respuesta de la dirección a la valoración externa de la función de evaluación</w:t>
            </w:r>
          </w:p>
        </w:tc>
      </w:tr>
      <w:tr w:rsidR="00332B2D" w:rsidRPr="003D5E96" w14:paraId="2EF2BBC2" w14:textId="77777777" w:rsidTr="00352B30">
        <w:trPr>
          <w:trHeight w:val="224"/>
          <w:jc w:val="center"/>
        </w:trPr>
        <w:tc>
          <w:tcPr>
            <w:tcW w:w="340" w:type="pct"/>
            <w:shd w:val="clear" w:color="auto" w:fill="FFFFFF" w:themeFill="background1"/>
          </w:tcPr>
          <w:p w14:paraId="54D2406D" w14:textId="64E42060" w:rsidR="00332B2D" w:rsidRPr="00393D9C" w:rsidRDefault="00332B2D" w:rsidP="006A1746">
            <w:pPr>
              <w:pStyle w:val="ListParagraph"/>
              <w:numPr>
                <w:ilvl w:val="0"/>
                <w:numId w:val="23"/>
              </w:numPr>
              <w:spacing w:after="0" w:line="240" w:lineRule="auto"/>
              <w:ind w:hanging="651"/>
              <w:rPr>
                <w:rFonts w:ascii="Times New Roman" w:hAnsi="Times New Roman" w:cs="Times New Roman"/>
                <w:sz w:val="20"/>
                <w:szCs w:val="20"/>
              </w:rPr>
            </w:pPr>
          </w:p>
        </w:tc>
        <w:tc>
          <w:tcPr>
            <w:tcW w:w="3004" w:type="pct"/>
            <w:shd w:val="clear" w:color="auto" w:fill="FFFFFF" w:themeFill="background1"/>
          </w:tcPr>
          <w:p w14:paraId="20FE7FEC" w14:textId="77777777" w:rsidR="00332B2D" w:rsidRPr="00982E19" w:rsidRDefault="00332B2D" w:rsidP="00575F26">
            <w:pPr>
              <w:rPr>
                <w:sz w:val="20"/>
                <w:szCs w:val="20"/>
              </w:rPr>
            </w:pPr>
            <w:r>
              <w:rPr>
                <w:sz w:val="20"/>
              </w:rPr>
              <w:t>Preparar una propuesta de un sistema para realizar el seguimiento de las recomendaciones, que podría incluir la consideración de herramientas digitales para un sistema de seguimiento en línea y la posibilidad de integración con el sistema de gestión del conocimiento del Fondo Multilateral.</w:t>
            </w:r>
          </w:p>
        </w:tc>
        <w:tc>
          <w:tcPr>
            <w:tcW w:w="1657" w:type="pct"/>
            <w:shd w:val="clear" w:color="auto" w:fill="FFFFFF" w:themeFill="background1"/>
          </w:tcPr>
          <w:p w14:paraId="5E7E50E8" w14:textId="77777777" w:rsidR="00332B2D" w:rsidRPr="003D5E96" w:rsidRDefault="00332B2D" w:rsidP="00575F26">
            <w:pPr>
              <w:jc w:val="left"/>
              <w:rPr>
                <w:sz w:val="20"/>
                <w:szCs w:val="20"/>
              </w:rPr>
            </w:pPr>
            <w:r>
              <w:rPr>
                <w:sz w:val="20"/>
              </w:rPr>
              <w:t xml:space="preserve">Solicitado para la 98ª reunión. </w:t>
            </w:r>
            <w:r>
              <w:rPr>
                <w:b/>
                <w:sz w:val="20"/>
              </w:rPr>
              <w:t>Es más probable que esté listo para la 99ª reunión.</w:t>
            </w:r>
            <w:r>
              <w:rPr>
                <w:sz w:val="20"/>
              </w:rPr>
              <w:t xml:space="preserve"> </w:t>
            </w:r>
          </w:p>
        </w:tc>
      </w:tr>
      <w:tr w:rsidR="00332B2D" w:rsidRPr="003D5E96" w14:paraId="0A3C0C2B" w14:textId="77777777" w:rsidTr="00352B30">
        <w:trPr>
          <w:trHeight w:val="764"/>
          <w:jc w:val="center"/>
        </w:trPr>
        <w:tc>
          <w:tcPr>
            <w:tcW w:w="340" w:type="pct"/>
            <w:shd w:val="clear" w:color="auto" w:fill="FFFFFF" w:themeFill="background1"/>
          </w:tcPr>
          <w:p w14:paraId="3119D566" w14:textId="77777777" w:rsidR="00332B2D" w:rsidRPr="00393D9C" w:rsidRDefault="00332B2D" w:rsidP="006A1746">
            <w:pPr>
              <w:pStyle w:val="ListParagraph"/>
              <w:numPr>
                <w:ilvl w:val="0"/>
                <w:numId w:val="23"/>
              </w:numPr>
              <w:spacing w:after="0" w:line="240" w:lineRule="auto"/>
              <w:ind w:hanging="651"/>
              <w:rPr>
                <w:rFonts w:ascii="Times New Roman" w:hAnsi="Times New Roman" w:cs="Times New Roman"/>
                <w:sz w:val="20"/>
                <w:szCs w:val="20"/>
              </w:rPr>
            </w:pPr>
          </w:p>
        </w:tc>
        <w:tc>
          <w:tcPr>
            <w:tcW w:w="3004" w:type="pct"/>
            <w:shd w:val="clear" w:color="auto" w:fill="FFFFFF" w:themeFill="background1"/>
          </w:tcPr>
          <w:p w14:paraId="471C6E50" w14:textId="77777777" w:rsidR="00332B2D" w:rsidRPr="00982E19" w:rsidRDefault="00332B2D" w:rsidP="00575F26">
            <w:pPr>
              <w:rPr>
                <w:sz w:val="20"/>
                <w:szCs w:val="20"/>
              </w:rPr>
            </w:pPr>
            <w:r>
              <w:rPr>
                <w:sz w:val="20"/>
              </w:rPr>
              <w:t>Desarrollar un marco para evaluar actividades que no sean de inversión, que defina claramente los productos, logros y resultados finales de estas evaluaciones.</w:t>
            </w:r>
          </w:p>
        </w:tc>
        <w:tc>
          <w:tcPr>
            <w:tcW w:w="1657" w:type="pct"/>
            <w:shd w:val="clear" w:color="auto" w:fill="FFFFFF" w:themeFill="background1"/>
          </w:tcPr>
          <w:p w14:paraId="28C0DF1C" w14:textId="77777777" w:rsidR="00332B2D" w:rsidRPr="003D5E96" w:rsidRDefault="00332B2D" w:rsidP="00575F26">
            <w:pPr>
              <w:jc w:val="left"/>
              <w:rPr>
                <w:sz w:val="20"/>
                <w:szCs w:val="20"/>
              </w:rPr>
            </w:pPr>
            <w:r>
              <w:rPr>
                <w:sz w:val="20"/>
              </w:rPr>
              <w:t xml:space="preserve">Solicitado para la 98ª reunión. </w:t>
            </w:r>
            <w:r>
              <w:rPr>
                <w:b/>
                <w:sz w:val="20"/>
              </w:rPr>
              <w:t>Es más probable que esté listo para la 99ª reunión.</w:t>
            </w:r>
          </w:p>
        </w:tc>
      </w:tr>
      <w:tr w:rsidR="00332B2D" w:rsidRPr="003D5E96" w14:paraId="5366CD20" w14:textId="77777777" w:rsidTr="00352B30">
        <w:tblPrEx>
          <w:jc w:val="left"/>
        </w:tblPrEx>
        <w:trPr>
          <w:trHeight w:val="773"/>
        </w:trPr>
        <w:tc>
          <w:tcPr>
            <w:tcW w:w="340" w:type="pct"/>
            <w:shd w:val="clear" w:color="auto" w:fill="FFFFFF" w:themeFill="background1"/>
          </w:tcPr>
          <w:p w14:paraId="3CAB7CAD" w14:textId="77777777" w:rsidR="00332B2D" w:rsidRPr="00393D9C" w:rsidRDefault="00332B2D" w:rsidP="006A1746">
            <w:pPr>
              <w:pStyle w:val="ListParagraph"/>
              <w:numPr>
                <w:ilvl w:val="0"/>
                <w:numId w:val="23"/>
              </w:numPr>
              <w:spacing w:after="0" w:line="240" w:lineRule="auto"/>
              <w:ind w:hanging="651"/>
              <w:rPr>
                <w:rFonts w:ascii="Times New Roman" w:hAnsi="Times New Roman" w:cs="Times New Roman"/>
                <w:sz w:val="20"/>
                <w:szCs w:val="20"/>
              </w:rPr>
            </w:pPr>
          </w:p>
        </w:tc>
        <w:tc>
          <w:tcPr>
            <w:tcW w:w="3004" w:type="pct"/>
            <w:shd w:val="clear" w:color="auto" w:fill="FFFFFF" w:themeFill="background1"/>
          </w:tcPr>
          <w:p w14:paraId="19DAD563" w14:textId="6CA6AF34" w:rsidR="00332B2D" w:rsidRPr="00982E19" w:rsidRDefault="00332B2D" w:rsidP="00575F26">
            <w:pPr>
              <w:rPr>
                <w:rFonts w:eastAsia="Calibri"/>
                <w:sz w:val="20"/>
                <w:szCs w:val="20"/>
              </w:rPr>
            </w:pPr>
            <w:r>
              <w:rPr>
                <w:sz w:val="20"/>
              </w:rPr>
              <w:t>Preparar directrices y herramientas para la sensibilización sobre la función de evaluación</w:t>
            </w:r>
            <w:r w:rsidR="00525F15">
              <w:rPr>
                <w:sz w:val="20"/>
              </w:rPr>
              <w:t>.</w:t>
            </w:r>
          </w:p>
        </w:tc>
        <w:tc>
          <w:tcPr>
            <w:tcW w:w="1657" w:type="pct"/>
            <w:shd w:val="clear" w:color="auto" w:fill="FFFFFF" w:themeFill="background1"/>
          </w:tcPr>
          <w:p w14:paraId="7B38F6F3" w14:textId="05A5FCA2" w:rsidR="00332B2D" w:rsidRPr="003D5E96" w:rsidRDefault="00332B2D" w:rsidP="00575F26">
            <w:pPr>
              <w:jc w:val="left"/>
              <w:rPr>
                <w:sz w:val="20"/>
                <w:szCs w:val="20"/>
              </w:rPr>
            </w:pPr>
            <w:r>
              <w:rPr>
                <w:sz w:val="20"/>
              </w:rPr>
              <w:t xml:space="preserve">Para información del Comité Ejecutivo como parte del informe anual. </w:t>
            </w:r>
          </w:p>
        </w:tc>
      </w:tr>
    </w:tbl>
    <w:p w14:paraId="1408362B"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5A04C63" w14:textId="77777777" w:rsidTr="00FB077C">
        <w:tc>
          <w:tcPr>
            <w:tcW w:w="1915" w:type="dxa"/>
          </w:tcPr>
          <w:p w14:paraId="1A12BEE7" w14:textId="77777777" w:rsidR="00E85409" w:rsidRPr="009B0D30" w:rsidRDefault="00E85409" w:rsidP="00FB077C"/>
        </w:tc>
        <w:tc>
          <w:tcPr>
            <w:tcW w:w="1915" w:type="dxa"/>
          </w:tcPr>
          <w:p w14:paraId="5C326EFF" w14:textId="77777777" w:rsidR="00E85409" w:rsidRPr="009B0D30" w:rsidRDefault="00E85409" w:rsidP="00FB077C"/>
        </w:tc>
        <w:tc>
          <w:tcPr>
            <w:tcW w:w="1915" w:type="dxa"/>
            <w:tcBorders>
              <w:bottom w:val="single" w:sz="4" w:space="0" w:color="auto"/>
            </w:tcBorders>
          </w:tcPr>
          <w:p w14:paraId="15D906A1" w14:textId="77777777" w:rsidR="00E85409" w:rsidRPr="009B0D30" w:rsidRDefault="00E85409" w:rsidP="00FB077C"/>
        </w:tc>
        <w:tc>
          <w:tcPr>
            <w:tcW w:w="1915" w:type="dxa"/>
          </w:tcPr>
          <w:p w14:paraId="41E007BC" w14:textId="77777777" w:rsidR="00E85409" w:rsidRPr="009B0D30" w:rsidRDefault="00E85409" w:rsidP="00FB077C"/>
        </w:tc>
        <w:tc>
          <w:tcPr>
            <w:tcW w:w="1916" w:type="dxa"/>
          </w:tcPr>
          <w:p w14:paraId="4A958872" w14:textId="77777777" w:rsidR="00E85409" w:rsidRPr="009B0D30" w:rsidRDefault="00E85409" w:rsidP="00FB077C"/>
        </w:tc>
      </w:tr>
    </w:tbl>
    <w:p w14:paraId="519F5D09" w14:textId="77777777" w:rsidR="00E85409" w:rsidRPr="009B0D30" w:rsidRDefault="00E85409" w:rsidP="004E7F9C"/>
    <w:sectPr w:rsidR="00E85409" w:rsidRPr="009B0D30" w:rsidSect="003D5E96">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13CCF" w14:textId="77777777" w:rsidR="006D2F48" w:rsidRDefault="006D2F48" w:rsidP="004A504B">
      <w:r>
        <w:separator/>
      </w:r>
    </w:p>
  </w:endnote>
  <w:endnote w:type="continuationSeparator" w:id="0">
    <w:p w14:paraId="55B8FF40" w14:textId="77777777" w:rsidR="006D2F48" w:rsidRDefault="006D2F4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959195"/>
      <w:docPartObj>
        <w:docPartGallery w:val="Page Numbers (Bottom of Page)"/>
        <w:docPartUnique/>
      </w:docPartObj>
    </w:sdtPr>
    <w:sdtEndPr>
      <w:rPr>
        <w:noProof/>
      </w:rPr>
    </w:sdtEndPr>
    <w:sdtContent>
      <w:p w14:paraId="6AC19692" w14:textId="77777777" w:rsidR="00332B2D" w:rsidRDefault="00332B2D">
        <w:pPr>
          <w:pStyle w:val="Footer"/>
          <w:jc w:val="center"/>
        </w:pPr>
        <w:r>
          <w:fldChar w:fldCharType="begin"/>
        </w:r>
        <w:r>
          <w:instrText xml:space="preserve"> PAGE   \* MERGEFORMAT </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545460"/>
      <w:docPartObj>
        <w:docPartGallery w:val="Page Numbers (Bottom of Page)"/>
        <w:docPartUnique/>
      </w:docPartObj>
    </w:sdtPr>
    <w:sdtEndPr>
      <w:rPr>
        <w:noProof/>
      </w:rPr>
    </w:sdtEndPr>
    <w:sdtContent>
      <w:p w14:paraId="443B491D" w14:textId="77777777" w:rsidR="00332B2D" w:rsidRDefault="00332B2D">
        <w:pPr>
          <w:pStyle w:val="Footer"/>
          <w:jc w:val="center"/>
        </w:pPr>
        <w:r>
          <w:fldChar w:fldCharType="begin"/>
        </w:r>
        <w:r>
          <w:instrText xml:space="preserve"> PAGE   \* MERGEFORMAT </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EFDAC" w14:textId="77777777" w:rsidR="009974B4" w:rsidRDefault="009974B4" w:rsidP="009974B4">
    <w:pPr>
      <w:pStyle w:val="Footer"/>
    </w:pPr>
  </w:p>
  <w:p w14:paraId="65D66402" w14:textId="46873629" w:rsidR="009974B4" w:rsidRDefault="009974B4" w:rsidP="009974B4">
    <w:pPr>
      <w:pBdr>
        <w:top w:val="single" w:sz="4" w:space="1" w:color="auto"/>
        <w:left w:val="single" w:sz="4" w:space="4" w:color="auto"/>
        <w:bottom w:val="single" w:sz="4" w:space="1" w:color="auto"/>
        <w:right w:val="single" w:sz="4" w:space="4" w:color="auto"/>
      </w:pBdr>
      <w:tabs>
        <w:tab w:val="left" w:pos="0"/>
      </w:tabs>
      <w:ind w:right="-86"/>
      <w:jc w:val="center"/>
      <w:rPr>
        <w:sz w:val="18"/>
        <w:szCs w:val="18"/>
      </w:rPr>
    </w:pPr>
    <w:bookmarkStart w:id="2" w:name="_Hlk179884432"/>
    <w:bookmarkStart w:id="3" w:name="_Hlk179884433"/>
    <w:r>
      <w:rPr>
        <w:sz w:val="18"/>
      </w:rPr>
      <w:t xml:space="preserve">Los documentos previos al período de sesiones del Comité Ejecutivo del Fondo Multilateral para la Aplicación del Protocolo de Montreal no van en perjuicio de </w:t>
    </w:r>
    <w:r w:rsidR="008F1D36">
      <w:rPr>
        <w:sz w:val="18"/>
      </w:rPr>
      <w:t>las decisiones</w:t>
    </w:r>
    <w:r>
      <w:rPr>
        <w:sz w:val="18"/>
      </w:rPr>
      <w:t xml:space="preserve"> que el Comité pudiera adoptar después de la emisión de los mismos.</w:t>
    </w:r>
    <w:bookmarkEnd w:id="2"/>
    <w:bookmarkEnd w:id="3"/>
  </w:p>
  <w:p w14:paraId="79C74120" w14:textId="77777777" w:rsidR="009974B4" w:rsidRDefault="009974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A6AB1"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6D240" w14:textId="1A9D1D63" w:rsidR="00DC6A10" w:rsidRPr="003D5E96" w:rsidRDefault="003D5E96">
    <w:pPr>
      <w:jc w:val="center"/>
    </w:pPr>
    <w: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445961"/>
      <w:docPartObj>
        <w:docPartGallery w:val="Page Numbers (Bottom of Page)"/>
        <w:docPartUnique/>
      </w:docPartObj>
    </w:sdtPr>
    <w:sdtEndPr>
      <w:rPr>
        <w:noProof/>
      </w:rPr>
    </w:sdtEndPr>
    <w:sdtContent>
      <w:p w14:paraId="137B49DC" w14:textId="7C1FD09B" w:rsidR="003D5E96" w:rsidRDefault="003D5E96">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A4822" w14:textId="77777777" w:rsidR="006D2F48" w:rsidRDefault="006D2F48" w:rsidP="004A504B">
      <w:r>
        <w:separator/>
      </w:r>
    </w:p>
  </w:footnote>
  <w:footnote w:type="continuationSeparator" w:id="0">
    <w:p w14:paraId="4B228BE6" w14:textId="77777777" w:rsidR="006D2F48" w:rsidRDefault="006D2F48" w:rsidP="004A504B">
      <w:r>
        <w:continuationSeparator/>
      </w:r>
    </w:p>
  </w:footnote>
  <w:footnote w:id="1">
    <w:p w14:paraId="7A46E346" w14:textId="1DA5457F" w:rsidR="0079781A" w:rsidRPr="00393D9C" w:rsidRDefault="0079781A" w:rsidP="0079781A">
      <w:pPr>
        <w:pStyle w:val="FootnoteText"/>
        <w:rPr>
          <w:lang w:val="en-GB"/>
        </w:rPr>
      </w:pPr>
      <w:r>
        <w:rPr>
          <w:rStyle w:val="FootnoteReference"/>
        </w:rPr>
        <w:footnoteRef/>
      </w:r>
      <w:r w:rsidRPr="00393D9C">
        <w:rPr>
          <w:lang w:val="en-GB"/>
        </w:rPr>
        <w:t xml:space="preserve"> UNEP/OzL.Pro/ExCom/97/1</w:t>
      </w:r>
      <w:r w:rsidR="00FF6B14">
        <w:rPr>
          <w:lang w:val="en-GB"/>
        </w:rPr>
        <w:t>.</w:t>
      </w:r>
    </w:p>
  </w:footnote>
  <w:footnote w:id="2">
    <w:p w14:paraId="009C159B" w14:textId="6867E363" w:rsidR="00642470" w:rsidRPr="00393D9C" w:rsidRDefault="00642470" w:rsidP="00642470">
      <w:pPr>
        <w:pStyle w:val="FootnoteText"/>
        <w:rPr>
          <w:lang w:val="en-GB"/>
        </w:rPr>
      </w:pPr>
      <w:r>
        <w:rPr>
          <w:rStyle w:val="FootnoteReference"/>
        </w:rPr>
        <w:footnoteRef/>
      </w:r>
      <w:r w:rsidRPr="00393D9C">
        <w:rPr>
          <w:lang w:val="en-GB"/>
        </w:rPr>
        <w:t xml:space="preserve"> UNEP/OzL.Pro/ExCom/93/13/Rev.1</w:t>
      </w:r>
      <w:r w:rsidR="00FF6B14">
        <w:rPr>
          <w:lang w:val="en-GB"/>
        </w:rPr>
        <w:t>.</w:t>
      </w:r>
    </w:p>
  </w:footnote>
  <w:footnote w:id="3">
    <w:p w14:paraId="7EADBBA4" w14:textId="7F8B651E" w:rsidR="00CF63E1" w:rsidRPr="00393D9C" w:rsidRDefault="00CF63E1">
      <w:pPr>
        <w:pStyle w:val="FootnoteText"/>
        <w:rPr>
          <w:lang w:val="en-GB"/>
        </w:rPr>
      </w:pPr>
      <w:r>
        <w:rPr>
          <w:rStyle w:val="FootnoteReference"/>
        </w:rPr>
        <w:footnoteRef/>
      </w:r>
      <w:r w:rsidRPr="00393D9C">
        <w:rPr>
          <w:lang w:val="en-GB"/>
        </w:rPr>
        <w:t xml:space="preserve"> See UNEP/OzL.Pro/ExCom/93/13/Rev.1, párr. 16.</w:t>
      </w:r>
    </w:p>
  </w:footnote>
  <w:footnote w:id="4">
    <w:p w14:paraId="507C4A6C" w14:textId="77777777" w:rsidR="00771FE6" w:rsidRPr="00393D9C" w:rsidRDefault="00771FE6" w:rsidP="00771FE6">
      <w:pPr>
        <w:pStyle w:val="FootnoteText"/>
        <w:rPr>
          <w:lang w:val="en-GB"/>
        </w:rPr>
      </w:pPr>
      <w:r>
        <w:rPr>
          <w:rStyle w:val="FootnoteReference"/>
        </w:rPr>
        <w:footnoteRef/>
      </w:r>
      <w:r w:rsidRPr="00393D9C">
        <w:rPr>
          <w:lang w:val="en-GB"/>
        </w:rPr>
        <w:t xml:space="preserve"> UNEP/OzL.Pro/ExCom/96/66, anexo IV.</w:t>
      </w:r>
    </w:p>
  </w:footnote>
  <w:footnote w:id="5">
    <w:p w14:paraId="65E7D7BD" w14:textId="16517DD0" w:rsidR="00642470" w:rsidRPr="008960FC" w:rsidRDefault="00642470" w:rsidP="00642470">
      <w:pPr>
        <w:pStyle w:val="FootnoteText"/>
      </w:pPr>
      <w:r>
        <w:rPr>
          <w:rStyle w:val="FootnoteReference"/>
        </w:rPr>
        <w:footnoteRef/>
      </w:r>
      <w:r>
        <w:t xml:space="preserve"> Consultando </w:t>
      </w:r>
      <w:r w:rsidR="009E53D1">
        <w:t>estrechamente</w:t>
      </w:r>
      <w:r>
        <w:t xml:space="preserve"> a la OSSE como parte del proceso administrativo para la contratación del OSE, la Secretaría, de conformidad con la decisión 96/4 d), ha preparado los términos de referencia (TdR) del OSE.</w:t>
      </w:r>
    </w:p>
  </w:footnote>
  <w:footnote w:id="6">
    <w:p w14:paraId="62D9ACC0" w14:textId="66593177" w:rsidR="00AE7763" w:rsidRPr="00AE7763" w:rsidRDefault="00AE7763">
      <w:pPr>
        <w:pStyle w:val="FootnoteText"/>
      </w:pPr>
      <w:r>
        <w:rPr>
          <w:rStyle w:val="FootnoteReference"/>
        </w:rPr>
        <w:footnoteRef/>
      </w:r>
      <w:r>
        <w:t xml:space="preserve"> UNEP/OzL.Pro/ExCom/96/66, anexo III.</w:t>
      </w:r>
    </w:p>
  </w:footnote>
  <w:footnote w:id="7">
    <w:p w14:paraId="0A4C4FE5" w14:textId="77777777" w:rsidR="00642470" w:rsidRDefault="00642470" w:rsidP="00642470">
      <w:pPr>
        <w:pStyle w:val="FootnoteText"/>
      </w:pPr>
      <w:r>
        <w:rPr>
          <w:rStyle w:val="FootnoteReference"/>
        </w:rPr>
        <w:footnoteRef/>
      </w:r>
      <w:r>
        <w:t xml:space="preserve"> Esta funcionalidad se pondrá en marcha como última fase del flujo de trabajo del proyecto en el sistema de gestión del conocimiento, en principio en 2026 según lo previsto.</w:t>
      </w:r>
    </w:p>
  </w:footnote>
  <w:footnote w:id="8">
    <w:p w14:paraId="31C29A92" w14:textId="720E4BB3" w:rsidR="00F654C6" w:rsidRPr="00393D9C" w:rsidRDefault="00F654C6">
      <w:pPr>
        <w:pStyle w:val="FootnoteText"/>
        <w:rPr>
          <w:lang w:val="en-GB"/>
        </w:rPr>
      </w:pPr>
      <w:r>
        <w:rPr>
          <w:rStyle w:val="FootnoteReference"/>
        </w:rPr>
        <w:footnoteRef/>
      </w:r>
      <w:r w:rsidRPr="00393D9C">
        <w:rPr>
          <w:lang w:val="en-GB"/>
        </w:rPr>
        <w:t xml:space="preserve"> UNEP/OzL.Pro/ExCom/97/8</w:t>
      </w:r>
      <w:r w:rsidR="006A6C36">
        <w:rPr>
          <w:lang w:val="en-GB"/>
        </w:rPr>
        <w:t>8</w:t>
      </w:r>
      <w:r w:rsidR="006B153D">
        <w:rPr>
          <w:lang w:val="en-GB"/>
        </w:rPr>
        <w:t>.</w:t>
      </w:r>
    </w:p>
  </w:footnote>
  <w:footnote w:id="9">
    <w:p w14:paraId="2CA1BCB0" w14:textId="444D904A" w:rsidR="00642470" w:rsidRPr="00393D9C" w:rsidRDefault="00642470" w:rsidP="00642470">
      <w:pPr>
        <w:pStyle w:val="FootnoteText"/>
        <w:rPr>
          <w:lang w:val="en-GB"/>
        </w:rPr>
      </w:pPr>
      <w:r>
        <w:rPr>
          <w:rStyle w:val="FootnoteReference"/>
        </w:rPr>
        <w:footnoteRef/>
      </w:r>
      <w:r w:rsidRPr="00393D9C">
        <w:rPr>
          <w:lang w:val="en-GB"/>
        </w:rPr>
        <w:t xml:space="preserve"> UNEP/OzL.Pro/ExCom/96/7/Rev.1</w:t>
      </w:r>
      <w:r w:rsidR="006B153D">
        <w:rPr>
          <w:lang w:val="en-GB"/>
        </w:rPr>
        <w:t>.</w:t>
      </w:r>
    </w:p>
  </w:footnote>
  <w:footnote w:id="10">
    <w:p w14:paraId="53D08421" w14:textId="6EA5509B" w:rsidR="00642470" w:rsidRPr="00393D9C" w:rsidRDefault="00642470" w:rsidP="00642470">
      <w:pPr>
        <w:pStyle w:val="FootnoteText"/>
        <w:rPr>
          <w:lang w:val="en-GB"/>
        </w:rPr>
      </w:pPr>
      <w:r>
        <w:rPr>
          <w:rStyle w:val="FootnoteReference"/>
        </w:rPr>
        <w:footnoteRef/>
      </w:r>
      <w:r w:rsidRPr="00393D9C">
        <w:rPr>
          <w:lang w:val="en-GB"/>
        </w:rPr>
        <w:t xml:space="preserve"> UNEP/OzL.Pro/ExCom/96/8/Rev.1</w:t>
      </w:r>
      <w:r w:rsidR="006B153D">
        <w:rPr>
          <w:lang w:val="en-GB"/>
        </w:rPr>
        <w:t>.</w:t>
      </w:r>
    </w:p>
  </w:footnote>
  <w:footnote w:id="11">
    <w:p w14:paraId="0169B7D0" w14:textId="156718CA" w:rsidR="00642470" w:rsidRDefault="00642470" w:rsidP="00956D63">
      <w:pPr>
        <w:pStyle w:val="FootnoteText"/>
        <w:jc w:val="left"/>
      </w:pPr>
      <w:r>
        <w:rPr>
          <w:rStyle w:val="FootnoteReference"/>
        </w:rPr>
        <w:footnoteRef/>
      </w:r>
      <w:r>
        <w:t xml:space="preserve"> Véase el cuadro 2 del programa de trabajo de supervisión y evaluación actualizado para 2025 (UNEP/OzL.Pro/ExCom/95/13/Rev.1).</w:t>
      </w:r>
    </w:p>
  </w:footnote>
  <w:footnote w:id="12">
    <w:p w14:paraId="4FBD6786" w14:textId="6A3F2922" w:rsidR="00642470" w:rsidRPr="006B153D" w:rsidRDefault="00642470" w:rsidP="00642470">
      <w:pPr>
        <w:pStyle w:val="FootnoteText"/>
      </w:pPr>
      <w:r>
        <w:rPr>
          <w:rStyle w:val="FootnoteReference"/>
        </w:rPr>
        <w:footnoteRef/>
      </w:r>
      <w:r w:rsidRPr="006B153D">
        <w:t xml:space="preserve"> Véase la subsección </w:t>
      </w:r>
      <w:hyperlink r:id="rId1" w:anchor=":~:text=DOWNLOAD%20ALL%20FILES-,Evaluation,-policy%20and%20guidelines" w:history="1">
        <w:r w:rsidRPr="006B153D">
          <w:rPr>
            <w:rStyle w:val="Hyperlink1"/>
          </w:rPr>
          <w:t>Evaluation policy and guidelines</w:t>
        </w:r>
      </w:hyperlink>
      <w:r w:rsidR="006B153D" w:rsidRPr="006B153D">
        <w:t xml:space="preserve"> (política de</w:t>
      </w:r>
      <w:r w:rsidR="006B153D">
        <w:t xml:space="preserve"> evaluación y directrices).</w:t>
      </w:r>
    </w:p>
  </w:footnote>
  <w:footnote w:id="13">
    <w:p w14:paraId="30396C07" w14:textId="57122F76" w:rsidR="00642470" w:rsidRPr="006B153D" w:rsidRDefault="00642470" w:rsidP="009523A3">
      <w:pPr>
        <w:pStyle w:val="FootnoteText"/>
      </w:pPr>
      <w:r>
        <w:rPr>
          <w:rStyle w:val="FootnoteReference"/>
        </w:rPr>
        <w:footnoteRef/>
      </w:r>
      <w:r w:rsidRPr="006B153D">
        <w:t xml:space="preserve"> </w:t>
      </w:r>
      <w:hyperlink r:id="rId2" w:history="1">
        <w:r w:rsidRPr="006B153D">
          <w:rPr>
            <w:rStyle w:val="Hyperlink"/>
          </w:rPr>
          <w:t>https://www.multilateralfund.org/about/evaluation</w:t>
        </w:r>
      </w:hyperlink>
      <w:r w:rsidR="006B153D">
        <w:t>.</w:t>
      </w:r>
    </w:p>
  </w:footnote>
  <w:footnote w:id="14">
    <w:p w14:paraId="25F22083" w14:textId="60538900" w:rsidR="00642470" w:rsidRDefault="00642470" w:rsidP="00642470">
      <w:pPr>
        <w:pStyle w:val="FootnoteText"/>
      </w:pPr>
      <w:r>
        <w:rPr>
          <w:rStyle w:val="FootnoteReference"/>
        </w:rPr>
        <w:footnoteRef/>
      </w:r>
      <w:r>
        <w:t xml:space="preserve"> Vacante 261576 publicada en Inspira durante el periodo entre el 6 de agosto y el 19 de septiembre de 2025.</w:t>
      </w:r>
    </w:p>
  </w:footnote>
  <w:footnote w:id="15">
    <w:p w14:paraId="79705860" w14:textId="77777777" w:rsidR="00DE266B" w:rsidRDefault="00DE266B" w:rsidP="00DE266B">
      <w:pPr>
        <w:pStyle w:val="FootnoteText"/>
      </w:pPr>
      <w:r>
        <w:rPr>
          <w:rStyle w:val="FootnoteReference"/>
        </w:rPr>
        <w:footnoteRef/>
      </w:r>
      <w:r>
        <w:t xml:space="preserve"> Decisión 91/9 c) ii).</w:t>
      </w:r>
    </w:p>
  </w:footnote>
  <w:footnote w:id="16">
    <w:p w14:paraId="79DCDBF8" w14:textId="793C889C" w:rsidR="00D004E1" w:rsidRPr="00DD384B" w:rsidRDefault="00D004E1">
      <w:pPr>
        <w:pStyle w:val="FootnoteText"/>
      </w:pPr>
      <w:r>
        <w:rPr>
          <w:rStyle w:val="FootnoteReference"/>
        </w:rPr>
        <w:footnoteRef/>
      </w:r>
      <w:r>
        <w:t xml:space="preserve"> Véase UNEP/OzL.Pro/ExCom/93/13/Rev.1, párr. 16.</w:t>
      </w:r>
    </w:p>
  </w:footnote>
  <w:footnote w:id="17">
    <w:p w14:paraId="30918E8E" w14:textId="5C4AC9F5" w:rsidR="00642470" w:rsidRDefault="00642470" w:rsidP="00642470">
      <w:pPr>
        <w:pStyle w:val="FootnoteText"/>
      </w:pPr>
      <w:r>
        <w:rPr>
          <w:rStyle w:val="FootnoteReference"/>
        </w:rPr>
        <w:footnoteRef/>
      </w:r>
      <w:r>
        <w:t xml:space="preserve"> Párr. 11 c) de la política de evaluación (UNEP/OzL.Pro/ExCom/96/66, anexo IV).</w:t>
      </w:r>
    </w:p>
  </w:footnote>
  <w:footnote w:id="18">
    <w:p w14:paraId="22E5D3B6" w14:textId="71C72DE5" w:rsidR="00DF5902" w:rsidRPr="00393D9C" w:rsidRDefault="00DF5902" w:rsidP="00DF5902">
      <w:pPr>
        <w:pStyle w:val="FootnoteText"/>
        <w:rPr>
          <w:lang w:val="en-GB"/>
        </w:rPr>
      </w:pPr>
      <w:r>
        <w:rPr>
          <w:rStyle w:val="FootnoteReference"/>
        </w:rPr>
        <w:footnoteRef/>
      </w:r>
      <w:r w:rsidRPr="00393D9C">
        <w:rPr>
          <w:lang w:val="en-GB"/>
        </w:rPr>
        <w:t xml:space="preserve"> UNEP/OzL.Pro/ExCom/95/94, anexo IV.</w:t>
      </w:r>
    </w:p>
  </w:footnote>
  <w:footnote w:id="19">
    <w:p w14:paraId="65F7A7C9" w14:textId="5B3808D4" w:rsidR="00DF5902" w:rsidRPr="00393D9C" w:rsidRDefault="00DF5902" w:rsidP="00DF5902">
      <w:pPr>
        <w:pStyle w:val="FootnoteText"/>
        <w:rPr>
          <w:lang w:val="en-GB"/>
        </w:rPr>
      </w:pPr>
      <w:r>
        <w:rPr>
          <w:rStyle w:val="FootnoteReference"/>
        </w:rPr>
        <w:footnoteRef/>
      </w:r>
      <w:r w:rsidRPr="00393D9C">
        <w:rPr>
          <w:lang w:val="en-GB"/>
        </w:rPr>
        <w:t xml:space="preserve"> UNEP/OzL.Pro/ExCom/96/66, anexo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0498A" w14:textId="09C53A8A" w:rsidR="00332B2D" w:rsidRPr="00575F26" w:rsidRDefault="00332B2D" w:rsidP="00486FEC">
    <w:pPr>
      <w:jc w:val="left"/>
    </w:pPr>
    <w:r>
      <w:fldChar w:fldCharType="begin"/>
    </w:r>
    <w:r w:rsidRPr="00575F26">
      <w:instrText xml:space="preserve"> DOCPROPERTY "Document number"  \* MERGEFORMAT </w:instrText>
    </w:r>
    <w:r>
      <w:fldChar w:fldCharType="separate"/>
    </w:r>
    <w:r w:rsidR="00D759AE">
      <w:t>UNEP/OzL.Pro/ExCom/97/10</w:t>
    </w:r>
    <w:r>
      <w:fldChar w:fldCharType="end"/>
    </w:r>
  </w:p>
  <w:p w14:paraId="7FF21476" w14:textId="77777777" w:rsidR="00332B2D" w:rsidRDefault="00332B2D" w:rsidP="00486FEC">
    <w:pPr>
      <w:jc w:val="left"/>
      <w:rPr>
        <w:lang w:val="pt-PT"/>
      </w:rPr>
    </w:pPr>
  </w:p>
  <w:p w14:paraId="470642F2" w14:textId="77777777" w:rsidR="00CB391C" w:rsidRPr="00575F26" w:rsidRDefault="00CB391C" w:rsidP="00486FEC">
    <w:pPr>
      <w:jc w:val="left"/>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CEE99" w14:textId="76740F11" w:rsidR="00332B2D" w:rsidRPr="00575F26" w:rsidRDefault="00332B2D" w:rsidP="00486FEC">
    <w:pPr>
      <w:jc w:val="right"/>
    </w:pPr>
    <w:r>
      <w:fldChar w:fldCharType="begin"/>
    </w:r>
    <w:r w:rsidRPr="00575F26">
      <w:instrText xml:space="preserve"> DOCPROPERTY "Document number"  \* MERGEFORMAT </w:instrText>
    </w:r>
    <w:r>
      <w:fldChar w:fldCharType="separate"/>
    </w:r>
    <w:r w:rsidR="00D759AE">
      <w:t>UNEP/OzL.Pro/ExCom/97/10</w:t>
    </w:r>
    <w:r>
      <w:fldChar w:fldCharType="end"/>
    </w:r>
  </w:p>
  <w:p w14:paraId="171A187C" w14:textId="77777777" w:rsidR="00332B2D" w:rsidRDefault="00332B2D" w:rsidP="00486FEC">
    <w:pPr>
      <w:jc w:val="right"/>
      <w:rPr>
        <w:lang w:val="pt-PT"/>
      </w:rPr>
    </w:pPr>
  </w:p>
  <w:p w14:paraId="218A999A" w14:textId="77777777" w:rsidR="00CB391C" w:rsidRPr="00575F26" w:rsidRDefault="00CB391C" w:rsidP="00486FEC">
    <w:pPr>
      <w:jc w:val="righ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71F73" w14:textId="1FF57B67" w:rsidR="00DC6A10" w:rsidRPr="00393D9C" w:rsidRDefault="006A1746">
    <w:pPr>
      <w:rPr>
        <w:lang w:val="en-GB"/>
      </w:rPr>
    </w:pPr>
    <w:r>
      <w:fldChar w:fldCharType="begin"/>
    </w:r>
    <w:r w:rsidRPr="00393D9C">
      <w:rPr>
        <w:lang w:val="en-GB"/>
      </w:rPr>
      <w:instrText xml:space="preserve"> DOCPROPERTY "Document number"  \* MERGEFORMAT </w:instrText>
    </w:r>
    <w:r>
      <w:fldChar w:fldCharType="separate"/>
    </w:r>
    <w:r w:rsidR="00D759AE" w:rsidRPr="00393D9C">
      <w:rPr>
        <w:lang w:val="en-GB"/>
      </w:rPr>
      <w:t>UNEP/OzL.Pro/ExCom/97/10</w:t>
    </w:r>
    <w:r>
      <w:fldChar w:fldCharType="end"/>
    </w:r>
  </w:p>
  <w:p w14:paraId="0A8E8162" w14:textId="0E4E4653" w:rsidR="00DC6A10" w:rsidRPr="00393D9C" w:rsidRDefault="003D5E96">
    <w:pPr>
      <w:rPr>
        <w:lang w:val="en-GB"/>
      </w:rPr>
    </w:pPr>
    <w:r w:rsidRPr="00393D9C">
      <w:rPr>
        <w:lang w:val="en-GB"/>
      </w:rPr>
      <w:t>Anexo I</w:t>
    </w:r>
  </w:p>
  <w:p w14:paraId="180630CB" w14:textId="77777777" w:rsidR="00DC6A10" w:rsidRPr="003D5E96" w:rsidRDefault="00DC6A10">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B3EE2" w14:textId="3A1FAE71" w:rsidR="00DC6A10" w:rsidRPr="00393D9C" w:rsidRDefault="006A1746">
    <w:pPr>
      <w:jc w:val="right"/>
      <w:rPr>
        <w:lang w:val="en-GB"/>
      </w:rPr>
    </w:pPr>
    <w:r>
      <w:fldChar w:fldCharType="begin"/>
    </w:r>
    <w:r w:rsidRPr="00393D9C">
      <w:rPr>
        <w:lang w:val="en-GB"/>
      </w:rPr>
      <w:instrText xml:space="preserve"> DOCPROPERTY "Document number"  \* MERGEFORMAT </w:instrText>
    </w:r>
    <w:r>
      <w:fldChar w:fldCharType="separate"/>
    </w:r>
    <w:r w:rsidR="00D759AE" w:rsidRPr="00393D9C">
      <w:rPr>
        <w:lang w:val="en-GB"/>
      </w:rPr>
      <w:t>UNEP/OzL.Pro/ExCom/97/10</w:t>
    </w:r>
    <w:r>
      <w:fldChar w:fldCharType="end"/>
    </w:r>
  </w:p>
  <w:p w14:paraId="500832A0" w14:textId="5BDE9E94" w:rsidR="00DC6A10" w:rsidRPr="00393D9C" w:rsidRDefault="003D5E96" w:rsidP="003D5E96">
    <w:pPr>
      <w:jc w:val="right"/>
      <w:rPr>
        <w:lang w:val="en-GB"/>
      </w:rPr>
    </w:pPr>
    <w:r w:rsidRPr="00393D9C">
      <w:rPr>
        <w:lang w:val="en-GB"/>
      </w:rPr>
      <w:t>Anexo II</w:t>
    </w:r>
  </w:p>
  <w:p w14:paraId="658B0BC0" w14:textId="77777777" w:rsidR="00DC6A10" w:rsidRPr="00393D9C" w:rsidRDefault="00DC6A10">
    <w:pPr>
      <w:pStyle w:val="Header"/>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B9F19" w14:textId="372A5B86" w:rsidR="00A73779" w:rsidRPr="00310C16" w:rsidRDefault="00A73779" w:rsidP="00A73779">
    <w:pPr>
      <w:pStyle w:val="Header"/>
      <w:jc w:val="right"/>
      <w:rPr>
        <w:lang w:val="en-GB"/>
      </w:rPr>
    </w:pPr>
    <w:r w:rsidRPr="00310C16">
      <w:rPr>
        <w:lang w:val="en-GB"/>
      </w:rPr>
      <w:t>UNEP/OzL.Pro/ExCom/97/10</w:t>
    </w:r>
  </w:p>
  <w:p w14:paraId="2CF35328" w14:textId="0A2BD7E0" w:rsidR="00A73779" w:rsidRPr="00310C16" w:rsidRDefault="00A73779" w:rsidP="00A73779">
    <w:pPr>
      <w:pStyle w:val="Header"/>
      <w:jc w:val="right"/>
      <w:rPr>
        <w:lang w:val="en-GB"/>
      </w:rPr>
    </w:pPr>
    <w:r w:rsidRPr="00310C16">
      <w:rPr>
        <w:lang w:val="en-GB"/>
      </w:rPr>
      <w:t>A</w:t>
    </w:r>
    <w:r w:rsidR="00310C16" w:rsidRPr="00310C16">
      <w:rPr>
        <w:lang w:val="en-GB"/>
      </w:rPr>
      <w:t>nexo</w:t>
    </w:r>
    <w:r w:rsidRPr="00310C16">
      <w:rPr>
        <w:lang w:val="en-GB"/>
      </w:rPr>
      <w:t xml:space="preserve"> I</w:t>
    </w:r>
  </w:p>
  <w:p w14:paraId="76E34BF9" w14:textId="77777777" w:rsidR="00CB391C" w:rsidRPr="00894CF1" w:rsidRDefault="00CB391C" w:rsidP="00A73779">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B267FF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ind w:left="3931" w:hanging="360"/>
      </w:p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572D25"/>
    <w:multiLevelType w:val="hybridMultilevel"/>
    <w:tmpl w:val="22486B64"/>
    <w:lvl w:ilvl="0" w:tplc="FFFFFFF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1F291C6F"/>
    <w:multiLevelType w:val="hybridMultilevel"/>
    <w:tmpl w:val="B2BEAE76"/>
    <w:lvl w:ilvl="0" w:tplc="10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8138FE"/>
    <w:multiLevelType w:val="hybridMultilevel"/>
    <w:tmpl w:val="273ECDE4"/>
    <w:lvl w:ilvl="0" w:tplc="F5208DC8">
      <w:start w:val="1"/>
      <w:numFmt w:val="bullet"/>
      <w:lvlText w:val="-"/>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A14176E"/>
    <w:multiLevelType w:val="hybridMultilevel"/>
    <w:tmpl w:val="0B286FA2"/>
    <w:lvl w:ilvl="0" w:tplc="10090001">
      <w:start w:val="1"/>
      <w:numFmt w:val="bullet"/>
      <w:lvlText w:val=""/>
      <w:lvlJc w:val="left"/>
      <w:pPr>
        <w:ind w:left="1036" w:hanging="360"/>
      </w:pPr>
      <w:rPr>
        <w:rFonts w:ascii="Symbol" w:hAnsi="Symbol" w:hint="default"/>
      </w:rPr>
    </w:lvl>
    <w:lvl w:ilvl="1" w:tplc="10090003" w:tentative="1">
      <w:start w:val="1"/>
      <w:numFmt w:val="bullet"/>
      <w:lvlText w:val="o"/>
      <w:lvlJc w:val="left"/>
      <w:pPr>
        <w:ind w:left="1756" w:hanging="360"/>
      </w:pPr>
      <w:rPr>
        <w:rFonts w:ascii="Courier New" w:hAnsi="Courier New" w:cs="Courier New" w:hint="default"/>
      </w:rPr>
    </w:lvl>
    <w:lvl w:ilvl="2" w:tplc="10090005" w:tentative="1">
      <w:start w:val="1"/>
      <w:numFmt w:val="bullet"/>
      <w:lvlText w:val=""/>
      <w:lvlJc w:val="left"/>
      <w:pPr>
        <w:ind w:left="2476" w:hanging="360"/>
      </w:pPr>
      <w:rPr>
        <w:rFonts w:ascii="Wingdings" w:hAnsi="Wingdings" w:hint="default"/>
      </w:rPr>
    </w:lvl>
    <w:lvl w:ilvl="3" w:tplc="10090001" w:tentative="1">
      <w:start w:val="1"/>
      <w:numFmt w:val="bullet"/>
      <w:lvlText w:val=""/>
      <w:lvlJc w:val="left"/>
      <w:pPr>
        <w:ind w:left="3196" w:hanging="360"/>
      </w:pPr>
      <w:rPr>
        <w:rFonts w:ascii="Symbol" w:hAnsi="Symbol" w:hint="default"/>
      </w:rPr>
    </w:lvl>
    <w:lvl w:ilvl="4" w:tplc="10090003" w:tentative="1">
      <w:start w:val="1"/>
      <w:numFmt w:val="bullet"/>
      <w:lvlText w:val="o"/>
      <w:lvlJc w:val="left"/>
      <w:pPr>
        <w:ind w:left="3916" w:hanging="360"/>
      </w:pPr>
      <w:rPr>
        <w:rFonts w:ascii="Courier New" w:hAnsi="Courier New" w:cs="Courier New" w:hint="default"/>
      </w:rPr>
    </w:lvl>
    <w:lvl w:ilvl="5" w:tplc="10090005" w:tentative="1">
      <w:start w:val="1"/>
      <w:numFmt w:val="bullet"/>
      <w:lvlText w:val=""/>
      <w:lvlJc w:val="left"/>
      <w:pPr>
        <w:ind w:left="4636" w:hanging="360"/>
      </w:pPr>
      <w:rPr>
        <w:rFonts w:ascii="Wingdings" w:hAnsi="Wingdings" w:hint="default"/>
      </w:rPr>
    </w:lvl>
    <w:lvl w:ilvl="6" w:tplc="10090001" w:tentative="1">
      <w:start w:val="1"/>
      <w:numFmt w:val="bullet"/>
      <w:lvlText w:val=""/>
      <w:lvlJc w:val="left"/>
      <w:pPr>
        <w:ind w:left="5356" w:hanging="360"/>
      </w:pPr>
      <w:rPr>
        <w:rFonts w:ascii="Symbol" w:hAnsi="Symbol" w:hint="default"/>
      </w:rPr>
    </w:lvl>
    <w:lvl w:ilvl="7" w:tplc="10090003" w:tentative="1">
      <w:start w:val="1"/>
      <w:numFmt w:val="bullet"/>
      <w:lvlText w:val="o"/>
      <w:lvlJc w:val="left"/>
      <w:pPr>
        <w:ind w:left="6076" w:hanging="360"/>
      </w:pPr>
      <w:rPr>
        <w:rFonts w:ascii="Courier New" w:hAnsi="Courier New" w:cs="Courier New" w:hint="default"/>
      </w:rPr>
    </w:lvl>
    <w:lvl w:ilvl="8" w:tplc="10090005" w:tentative="1">
      <w:start w:val="1"/>
      <w:numFmt w:val="bullet"/>
      <w:lvlText w:val=""/>
      <w:lvlJc w:val="left"/>
      <w:pPr>
        <w:ind w:left="6796"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EFB25EC"/>
    <w:multiLevelType w:val="hybridMultilevel"/>
    <w:tmpl w:val="2B4C8358"/>
    <w:lvl w:ilvl="0" w:tplc="F5208DC8">
      <w:start w:val="1"/>
      <w:numFmt w:val="bullet"/>
      <w:lvlText w:val="-"/>
      <w:lvlJc w:val="left"/>
      <w:pPr>
        <w:ind w:left="1080" w:hanging="360"/>
      </w:pPr>
      <w:rPr>
        <w:rFonts w:ascii="Courier New" w:hAnsi="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9537B5D"/>
    <w:multiLevelType w:val="hybridMultilevel"/>
    <w:tmpl w:val="13AE7C2C"/>
    <w:lvl w:ilvl="0" w:tplc="F5208DC8">
      <w:start w:val="1"/>
      <w:numFmt w:val="bullet"/>
      <w:lvlText w:val="-"/>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CBE016F"/>
    <w:multiLevelType w:val="hybridMultilevel"/>
    <w:tmpl w:val="70F28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lvlOverride w:ilvl="1">
      <w:lvl w:ilvl="1">
        <w:start w:val="1"/>
        <w:numFmt w:val="decimal"/>
        <w:lvlText w:val="%1.%2."/>
        <w:lvlJc w:val="left"/>
        <w:pPr>
          <w:tabs>
            <w:tab w:val="num" w:pos="792"/>
          </w:tabs>
          <w:ind w:left="792" w:hanging="432"/>
        </w:pPr>
      </w:lvl>
    </w:lvlOverride>
  </w:num>
  <w:num w:numId="17" w16cid:durableId="299306927">
    <w:abstractNumId w:val="17"/>
  </w:num>
  <w:num w:numId="18" w16cid:durableId="559828470">
    <w:abstractNumId w:val="19"/>
  </w:num>
  <w:num w:numId="19" w16cid:durableId="1488010068">
    <w:abstractNumId w:val="22"/>
  </w:num>
  <w:num w:numId="20" w16cid:durableId="444007775">
    <w:abstractNumId w:val="14"/>
  </w:num>
  <w:num w:numId="21" w16cid:durableId="2137481371">
    <w:abstractNumId w:val="14"/>
    <w:lvlOverride w:ilvl="0">
      <w:startOverride w:val="1"/>
    </w:lvlOverride>
  </w:num>
  <w:num w:numId="22" w16cid:durableId="2126800743">
    <w:abstractNumId w:val="11"/>
  </w:num>
  <w:num w:numId="23" w16cid:durableId="415978687">
    <w:abstractNumId w:val="21"/>
  </w:num>
  <w:num w:numId="24" w16cid:durableId="862404980">
    <w:abstractNumId w:val="16"/>
  </w:num>
  <w:num w:numId="25" w16cid:durableId="341862435">
    <w:abstractNumId w:val="12"/>
  </w:num>
  <w:num w:numId="26" w16cid:durableId="545945118">
    <w:abstractNumId w:val="13"/>
  </w:num>
  <w:num w:numId="27" w16cid:durableId="270822153">
    <w:abstractNumId w:val="18"/>
  </w:num>
  <w:num w:numId="28" w16cid:durableId="552472790">
    <w:abstractNumId w:val="15"/>
  </w:num>
  <w:num w:numId="29" w16cid:durableId="3291619">
    <w:abstractNumId w:val="20"/>
  </w:num>
  <w:num w:numId="30" w16cid:durableId="350843563">
    <w:abstractNumId w:val="10"/>
    <w:lvlOverride w:ilvl="0">
      <w:startOverride w:val="1"/>
    </w:lvlOverride>
    <w:lvlOverride w:ilvl="1">
      <w:startOverride w:val="2"/>
    </w:lvlOverride>
  </w:num>
  <w:num w:numId="31" w16cid:durableId="1694571457">
    <w:abstractNumId w:val="10"/>
  </w:num>
  <w:num w:numId="32" w16cid:durableId="1987857459">
    <w:abstractNumId w:val="10"/>
  </w:num>
  <w:num w:numId="33" w16cid:durableId="848447025">
    <w:abstractNumId w:val="10"/>
  </w:num>
  <w:num w:numId="34" w16cid:durableId="1865943069">
    <w:abstractNumId w:val="10"/>
  </w:num>
  <w:num w:numId="35" w16cid:durableId="1165509541">
    <w:abstractNumId w:val="10"/>
  </w:num>
  <w:num w:numId="36" w16cid:durableId="740098308">
    <w:abstractNumId w:val="10"/>
  </w:num>
  <w:num w:numId="37" w16cid:durableId="95991629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B7248"/>
    <w:rsid w:val="000004C5"/>
    <w:rsid w:val="00000BF2"/>
    <w:rsid w:val="00000FED"/>
    <w:rsid w:val="00001BE6"/>
    <w:rsid w:val="0000434E"/>
    <w:rsid w:val="0000515D"/>
    <w:rsid w:val="00007D69"/>
    <w:rsid w:val="000105A7"/>
    <w:rsid w:val="00010EA8"/>
    <w:rsid w:val="000211A9"/>
    <w:rsid w:val="00021238"/>
    <w:rsid w:val="00022071"/>
    <w:rsid w:val="000227D3"/>
    <w:rsid w:val="00022B68"/>
    <w:rsid w:val="00024A8D"/>
    <w:rsid w:val="00026539"/>
    <w:rsid w:val="00026A02"/>
    <w:rsid w:val="00027A97"/>
    <w:rsid w:val="00031260"/>
    <w:rsid w:val="0003681A"/>
    <w:rsid w:val="000372B7"/>
    <w:rsid w:val="00037DDD"/>
    <w:rsid w:val="00045EC7"/>
    <w:rsid w:val="00050F6E"/>
    <w:rsid w:val="00051702"/>
    <w:rsid w:val="0006075B"/>
    <w:rsid w:val="00060C57"/>
    <w:rsid w:val="00061EC2"/>
    <w:rsid w:val="00064B69"/>
    <w:rsid w:val="000666A5"/>
    <w:rsid w:val="00066CE8"/>
    <w:rsid w:val="0007405A"/>
    <w:rsid w:val="00080ED0"/>
    <w:rsid w:val="0008269D"/>
    <w:rsid w:val="00082F8E"/>
    <w:rsid w:val="00085B8F"/>
    <w:rsid w:val="00090481"/>
    <w:rsid w:val="00093E64"/>
    <w:rsid w:val="000A3826"/>
    <w:rsid w:val="000A5F60"/>
    <w:rsid w:val="000A6C26"/>
    <w:rsid w:val="000B36C8"/>
    <w:rsid w:val="000B3A2D"/>
    <w:rsid w:val="000B7509"/>
    <w:rsid w:val="000C0337"/>
    <w:rsid w:val="000C1F28"/>
    <w:rsid w:val="000D175A"/>
    <w:rsid w:val="000D4528"/>
    <w:rsid w:val="000D52A4"/>
    <w:rsid w:val="000E005D"/>
    <w:rsid w:val="000E07BC"/>
    <w:rsid w:val="000E2D22"/>
    <w:rsid w:val="000E2E21"/>
    <w:rsid w:val="000F1723"/>
    <w:rsid w:val="000F1CD4"/>
    <w:rsid w:val="000F2FA7"/>
    <w:rsid w:val="000F4103"/>
    <w:rsid w:val="000F5F95"/>
    <w:rsid w:val="000F67A1"/>
    <w:rsid w:val="000F70A7"/>
    <w:rsid w:val="0010048B"/>
    <w:rsid w:val="00102CB8"/>
    <w:rsid w:val="00107A3F"/>
    <w:rsid w:val="0011176B"/>
    <w:rsid w:val="00113CCA"/>
    <w:rsid w:val="00115F96"/>
    <w:rsid w:val="00116002"/>
    <w:rsid w:val="0012002B"/>
    <w:rsid w:val="00120BE4"/>
    <w:rsid w:val="00121955"/>
    <w:rsid w:val="00122F25"/>
    <w:rsid w:val="0012413D"/>
    <w:rsid w:val="00124DA2"/>
    <w:rsid w:val="00132BE7"/>
    <w:rsid w:val="00133004"/>
    <w:rsid w:val="00133B47"/>
    <w:rsid w:val="00134CB4"/>
    <w:rsid w:val="00135980"/>
    <w:rsid w:val="0013786F"/>
    <w:rsid w:val="00155CA7"/>
    <w:rsid w:val="001571FD"/>
    <w:rsid w:val="001619E3"/>
    <w:rsid w:val="00162A10"/>
    <w:rsid w:val="00164719"/>
    <w:rsid w:val="00166FC4"/>
    <w:rsid w:val="001677AC"/>
    <w:rsid w:val="00171DEB"/>
    <w:rsid w:val="00172BB1"/>
    <w:rsid w:val="00174F9D"/>
    <w:rsid w:val="00176B46"/>
    <w:rsid w:val="00177F03"/>
    <w:rsid w:val="001804DD"/>
    <w:rsid w:val="001804EA"/>
    <w:rsid w:val="00181C12"/>
    <w:rsid w:val="0018739F"/>
    <w:rsid w:val="00187D8D"/>
    <w:rsid w:val="00190A61"/>
    <w:rsid w:val="00193C61"/>
    <w:rsid w:val="001960B3"/>
    <w:rsid w:val="00196E06"/>
    <w:rsid w:val="00197179"/>
    <w:rsid w:val="001A0BCF"/>
    <w:rsid w:val="001A2215"/>
    <w:rsid w:val="001A3342"/>
    <w:rsid w:val="001A3499"/>
    <w:rsid w:val="001A3E3D"/>
    <w:rsid w:val="001A7049"/>
    <w:rsid w:val="001B15ED"/>
    <w:rsid w:val="001B1E40"/>
    <w:rsid w:val="001C033C"/>
    <w:rsid w:val="001C0837"/>
    <w:rsid w:val="001C2F44"/>
    <w:rsid w:val="001C75AD"/>
    <w:rsid w:val="001C764E"/>
    <w:rsid w:val="001D438D"/>
    <w:rsid w:val="001E1052"/>
    <w:rsid w:val="001E21B1"/>
    <w:rsid w:val="001E2F93"/>
    <w:rsid w:val="001E4554"/>
    <w:rsid w:val="001E5014"/>
    <w:rsid w:val="001E5972"/>
    <w:rsid w:val="001E61E5"/>
    <w:rsid w:val="001F0BA5"/>
    <w:rsid w:val="001F1ECE"/>
    <w:rsid w:val="001F2159"/>
    <w:rsid w:val="001F53FD"/>
    <w:rsid w:val="00200A3E"/>
    <w:rsid w:val="002016EC"/>
    <w:rsid w:val="002024B6"/>
    <w:rsid w:val="002031F4"/>
    <w:rsid w:val="002059C5"/>
    <w:rsid w:val="00206ADB"/>
    <w:rsid w:val="00207375"/>
    <w:rsid w:val="00210A55"/>
    <w:rsid w:val="00210B8B"/>
    <w:rsid w:val="00214863"/>
    <w:rsid w:val="002156B4"/>
    <w:rsid w:val="00217964"/>
    <w:rsid w:val="00221C88"/>
    <w:rsid w:val="00224FCD"/>
    <w:rsid w:val="00230B3A"/>
    <w:rsid w:val="00233341"/>
    <w:rsid w:val="00236A8D"/>
    <w:rsid w:val="0025153E"/>
    <w:rsid w:val="00253222"/>
    <w:rsid w:val="00261C13"/>
    <w:rsid w:val="00262847"/>
    <w:rsid w:val="00271B34"/>
    <w:rsid w:val="002750CE"/>
    <w:rsid w:val="00281BB2"/>
    <w:rsid w:val="002848A6"/>
    <w:rsid w:val="00290800"/>
    <w:rsid w:val="002A03C3"/>
    <w:rsid w:val="002A377D"/>
    <w:rsid w:val="002A4724"/>
    <w:rsid w:val="002A47E5"/>
    <w:rsid w:val="002B254E"/>
    <w:rsid w:val="002B4CE8"/>
    <w:rsid w:val="002B72E9"/>
    <w:rsid w:val="002C035B"/>
    <w:rsid w:val="002C29C3"/>
    <w:rsid w:val="002C32FC"/>
    <w:rsid w:val="002C67CC"/>
    <w:rsid w:val="002C7998"/>
    <w:rsid w:val="002D243D"/>
    <w:rsid w:val="002E01C7"/>
    <w:rsid w:val="002E1FA1"/>
    <w:rsid w:val="002E4586"/>
    <w:rsid w:val="002F0AFA"/>
    <w:rsid w:val="002F0EE7"/>
    <w:rsid w:val="002F1E53"/>
    <w:rsid w:val="002F2CAA"/>
    <w:rsid w:val="0030052C"/>
    <w:rsid w:val="003015D1"/>
    <w:rsid w:val="00303338"/>
    <w:rsid w:val="00307E3A"/>
    <w:rsid w:val="00310C16"/>
    <w:rsid w:val="00311E25"/>
    <w:rsid w:val="003217B9"/>
    <w:rsid w:val="00321AC4"/>
    <w:rsid w:val="0032224B"/>
    <w:rsid w:val="003247B5"/>
    <w:rsid w:val="003306E1"/>
    <w:rsid w:val="003308F5"/>
    <w:rsid w:val="003320E4"/>
    <w:rsid w:val="00332B2D"/>
    <w:rsid w:val="0033525D"/>
    <w:rsid w:val="003414F3"/>
    <w:rsid w:val="00350674"/>
    <w:rsid w:val="003509C4"/>
    <w:rsid w:val="00352B30"/>
    <w:rsid w:val="00354135"/>
    <w:rsid w:val="0035613E"/>
    <w:rsid w:val="00361321"/>
    <w:rsid w:val="00363EE9"/>
    <w:rsid w:val="0037061B"/>
    <w:rsid w:val="00371252"/>
    <w:rsid w:val="00372343"/>
    <w:rsid w:val="003731FB"/>
    <w:rsid w:val="0037534D"/>
    <w:rsid w:val="00376128"/>
    <w:rsid w:val="0037742E"/>
    <w:rsid w:val="00377D56"/>
    <w:rsid w:val="0038245A"/>
    <w:rsid w:val="003840E6"/>
    <w:rsid w:val="00385CFC"/>
    <w:rsid w:val="003907EB"/>
    <w:rsid w:val="00392626"/>
    <w:rsid w:val="0039337A"/>
    <w:rsid w:val="003939FA"/>
    <w:rsid w:val="00393D9C"/>
    <w:rsid w:val="003961EF"/>
    <w:rsid w:val="0039764E"/>
    <w:rsid w:val="003A3189"/>
    <w:rsid w:val="003A33F9"/>
    <w:rsid w:val="003A3CA7"/>
    <w:rsid w:val="003A5982"/>
    <w:rsid w:val="003A7049"/>
    <w:rsid w:val="003B33BD"/>
    <w:rsid w:val="003B569D"/>
    <w:rsid w:val="003C26A4"/>
    <w:rsid w:val="003C2AFA"/>
    <w:rsid w:val="003C3C0E"/>
    <w:rsid w:val="003C7CEE"/>
    <w:rsid w:val="003D42A6"/>
    <w:rsid w:val="003D4F21"/>
    <w:rsid w:val="003D4FAC"/>
    <w:rsid w:val="003D5E96"/>
    <w:rsid w:val="003E1885"/>
    <w:rsid w:val="003E2AD0"/>
    <w:rsid w:val="003E6F67"/>
    <w:rsid w:val="003E7906"/>
    <w:rsid w:val="003F000F"/>
    <w:rsid w:val="003F3C50"/>
    <w:rsid w:val="003F4935"/>
    <w:rsid w:val="003F56CF"/>
    <w:rsid w:val="003F5C6C"/>
    <w:rsid w:val="003F65FE"/>
    <w:rsid w:val="004007A6"/>
    <w:rsid w:val="00406202"/>
    <w:rsid w:val="00406A6A"/>
    <w:rsid w:val="00406B22"/>
    <w:rsid w:val="00407147"/>
    <w:rsid w:val="004078FA"/>
    <w:rsid w:val="00407DA3"/>
    <w:rsid w:val="00410D8A"/>
    <w:rsid w:val="00421655"/>
    <w:rsid w:val="0042383F"/>
    <w:rsid w:val="00425A98"/>
    <w:rsid w:val="00431E08"/>
    <w:rsid w:val="004328A7"/>
    <w:rsid w:val="00433E0B"/>
    <w:rsid w:val="00434C74"/>
    <w:rsid w:val="0044062B"/>
    <w:rsid w:val="00440C66"/>
    <w:rsid w:val="00444632"/>
    <w:rsid w:val="00451C03"/>
    <w:rsid w:val="00452443"/>
    <w:rsid w:val="00454C03"/>
    <w:rsid w:val="00456EB4"/>
    <w:rsid w:val="004570B1"/>
    <w:rsid w:val="00457827"/>
    <w:rsid w:val="004578CD"/>
    <w:rsid w:val="00464812"/>
    <w:rsid w:val="004718F3"/>
    <w:rsid w:val="00472687"/>
    <w:rsid w:val="00475040"/>
    <w:rsid w:val="004829CD"/>
    <w:rsid w:val="004832C1"/>
    <w:rsid w:val="00483311"/>
    <w:rsid w:val="00484822"/>
    <w:rsid w:val="00490292"/>
    <w:rsid w:val="00490C06"/>
    <w:rsid w:val="00491883"/>
    <w:rsid w:val="00493D40"/>
    <w:rsid w:val="00493EE3"/>
    <w:rsid w:val="004967B6"/>
    <w:rsid w:val="004A504B"/>
    <w:rsid w:val="004A5340"/>
    <w:rsid w:val="004A6911"/>
    <w:rsid w:val="004B3304"/>
    <w:rsid w:val="004B3652"/>
    <w:rsid w:val="004B48CC"/>
    <w:rsid w:val="004B54E0"/>
    <w:rsid w:val="004B7384"/>
    <w:rsid w:val="004C4269"/>
    <w:rsid w:val="004D4EE9"/>
    <w:rsid w:val="004D6236"/>
    <w:rsid w:val="004D7F90"/>
    <w:rsid w:val="004E4DBB"/>
    <w:rsid w:val="004E4E41"/>
    <w:rsid w:val="004E73DB"/>
    <w:rsid w:val="004E7F9C"/>
    <w:rsid w:val="004F0D39"/>
    <w:rsid w:val="004F2630"/>
    <w:rsid w:val="004F31B3"/>
    <w:rsid w:val="004F3493"/>
    <w:rsid w:val="004F391F"/>
    <w:rsid w:val="004F5143"/>
    <w:rsid w:val="004F5CC0"/>
    <w:rsid w:val="004F6352"/>
    <w:rsid w:val="004F7B45"/>
    <w:rsid w:val="005008DA"/>
    <w:rsid w:val="00505B9B"/>
    <w:rsid w:val="00512B09"/>
    <w:rsid w:val="005141A5"/>
    <w:rsid w:val="005170DF"/>
    <w:rsid w:val="00520157"/>
    <w:rsid w:val="00521167"/>
    <w:rsid w:val="005220ED"/>
    <w:rsid w:val="00525F15"/>
    <w:rsid w:val="00533796"/>
    <w:rsid w:val="0053652B"/>
    <w:rsid w:val="0053667E"/>
    <w:rsid w:val="00537343"/>
    <w:rsid w:val="00542C6A"/>
    <w:rsid w:val="005516F3"/>
    <w:rsid w:val="00555D75"/>
    <w:rsid w:val="00560533"/>
    <w:rsid w:val="00560DF0"/>
    <w:rsid w:val="00563DEF"/>
    <w:rsid w:val="0056759C"/>
    <w:rsid w:val="005726D9"/>
    <w:rsid w:val="0058571C"/>
    <w:rsid w:val="0059513E"/>
    <w:rsid w:val="00595E47"/>
    <w:rsid w:val="005A248A"/>
    <w:rsid w:val="005A5BE5"/>
    <w:rsid w:val="005A6AA4"/>
    <w:rsid w:val="005A6D9F"/>
    <w:rsid w:val="005A71EE"/>
    <w:rsid w:val="005B48FF"/>
    <w:rsid w:val="005B7FE9"/>
    <w:rsid w:val="005C1E32"/>
    <w:rsid w:val="005C670D"/>
    <w:rsid w:val="005C6BAE"/>
    <w:rsid w:val="005D3235"/>
    <w:rsid w:val="005D363F"/>
    <w:rsid w:val="005D3F9C"/>
    <w:rsid w:val="005D4B94"/>
    <w:rsid w:val="005D5AC3"/>
    <w:rsid w:val="005E11DF"/>
    <w:rsid w:val="005E21B3"/>
    <w:rsid w:val="005E615A"/>
    <w:rsid w:val="005E6736"/>
    <w:rsid w:val="005E70EB"/>
    <w:rsid w:val="005F0233"/>
    <w:rsid w:val="005F6B43"/>
    <w:rsid w:val="005F6DBE"/>
    <w:rsid w:val="006013D4"/>
    <w:rsid w:val="00604C15"/>
    <w:rsid w:val="0060702D"/>
    <w:rsid w:val="00611A3C"/>
    <w:rsid w:val="00611DCD"/>
    <w:rsid w:val="006158D5"/>
    <w:rsid w:val="00625D83"/>
    <w:rsid w:val="00640FF1"/>
    <w:rsid w:val="00642470"/>
    <w:rsid w:val="00644E5D"/>
    <w:rsid w:val="00651984"/>
    <w:rsid w:val="0065647E"/>
    <w:rsid w:val="0066053F"/>
    <w:rsid w:val="00660C40"/>
    <w:rsid w:val="00661508"/>
    <w:rsid w:val="0066195A"/>
    <w:rsid w:val="006623E7"/>
    <w:rsid w:val="006625BE"/>
    <w:rsid w:val="00662B80"/>
    <w:rsid w:val="0066768F"/>
    <w:rsid w:val="00670F6C"/>
    <w:rsid w:val="006730F4"/>
    <w:rsid w:val="00675669"/>
    <w:rsid w:val="00676E58"/>
    <w:rsid w:val="006774A6"/>
    <w:rsid w:val="00677A2B"/>
    <w:rsid w:val="006822CB"/>
    <w:rsid w:val="006852C7"/>
    <w:rsid w:val="006852CE"/>
    <w:rsid w:val="00692D14"/>
    <w:rsid w:val="006959C3"/>
    <w:rsid w:val="006A047D"/>
    <w:rsid w:val="006A1746"/>
    <w:rsid w:val="006A2191"/>
    <w:rsid w:val="006A3C67"/>
    <w:rsid w:val="006A6C36"/>
    <w:rsid w:val="006A7A3B"/>
    <w:rsid w:val="006B153D"/>
    <w:rsid w:val="006B65C7"/>
    <w:rsid w:val="006C101B"/>
    <w:rsid w:val="006C1727"/>
    <w:rsid w:val="006C32FD"/>
    <w:rsid w:val="006C39CE"/>
    <w:rsid w:val="006C6433"/>
    <w:rsid w:val="006D0FCC"/>
    <w:rsid w:val="006D21F5"/>
    <w:rsid w:val="006D2EB0"/>
    <w:rsid w:val="006D2F48"/>
    <w:rsid w:val="006D3035"/>
    <w:rsid w:val="006D3089"/>
    <w:rsid w:val="006E126D"/>
    <w:rsid w:val="006E1FC3"/>
    <w:rsid w:val="006E27F6"/>
    <w:rsid w:val="006E4BFC"/>
    <w:rsid w:val="006E7A12"/>
    <w:rsid w:val="006F0D35"/>
    <w:rsid w:val="006F5362"/>
    <w:rsid w:val="007044B7"/>
    <w:rsid w:val="00704CE9"/>
    <w:rsid w:val="00704DAC"/>
    <w:rsid w:val="00705D56"/>
    <w:rsid w:val="0070616B"/>
    <w:rsid w:val="00706295"/>
    <w:rsid w:val="00706FDA"/>
    <w:rsid w:val="00711910"/>
    <w:rsid w:val="00711F9A"/>
    <w:rsid w:val="00713810"/>
    <w:rsid w:val="00716CFC"/>
    <w:rsid w:val="007303A5"/>
    <w:rsid w:val="00730B3E"/>
    <w:rsid w:val="00732231"/>
    <w:rsid w:val="0073420B"/>
    <w:rsid w:val="007347F2"/>
    <w:rsid w:val="00736367"/>
    <w:rsid w:val="00741474"/>
    <w:rsid w:val="00743ABC"/>
    <w:rsid w:val="0074760E"/>
    <w:rsid w:val="00751A20"/>
    <w:rsid w:val="0075298F"/>
    <w:rsid w:val="007548C4"/>
    <w:rsid w:val="00754ABA"/>
    <w:rsid w:val="00762074"/>
    <w:rsid w:val="007624A2"/>
    <w:rsid w:val="00766201"/>
    <w:rsid w:val="0077198A"/>
    <w:rsid w:val="00771BE9"/>
    <w:rsid w:val="00771FE6"/>
    <w:rsid w:val="00780C7F"/>
    <w:rsid w:val="00782091"/>
    <w:rsid w:val="00782573"/>
    <w:rsid w:val="00782B0D"/>
    <w:rsid w:val="007830A8"/>
    <w:rsid w:val="0078395F"/>
    <w:rsid w:val="007851D0"/>
    <w:rsid w:val="00786094"/>
    <w:rsid w:val="0078648E"/>
    <w:rsid w:val="00786DCA"/>
    <w:rsid w:val="00787609"/>
    <w:rsid w:val="00791473"/>
    <w:rsid w:val="007917BE"/>
    <w:rsid w:val="0079230A"/>
    <w:rsid w:val="00795D17"/>
    <w:rsid w:val="0079781A"/>
    <w:rsid w:val="007A0FD6"/>
    <w:rsid w:val="007A1546"/>
    <w:rsid w:val="007A228C"/>
    <w:rsid w:val="007A2CD8"/>
    <w:rsid w:val="007A368E"/>
    <w:rsid w:val="007A406E"/>
    <w:rsid w:val="007A5154"/>
    <w:rsid w:val="007A54E9"/>
    <w:rsid w:val="007A55D7"/>
    <w:rsid w:val="007A5868"/>
    <w:rsid w:val="007B04CE"/>
    <w:rsid w:val="007B2497"/>
    <w:rsid w:val="007B3548"/>
    <w:rsid w:val="007B463A"/>
    <w:rsid w:val="007B6871"/>
    <w:rsid w:val="007B7A2F"/>
    <w:rsid w:val="007C2B69"/>
    <w:rsid w:val="007C32EE"/>
    <w:rsid w:val="007C3D33"/>
    <w:rsid w:val="007D17C9"/>
    <w:rsid w:val="007D24D6"/>
    <w:rsid w:val="007D294A"/>
    <w:rsid w:val="007D47D2"/>
    <w:rsid w:val="007D6EC0"/>
    <w:rsid w:val="007D7E1D"/>
    <w:rsid w:val="007E503C"/>
    <w:rsid w:val="007E53EE"/>
    <w:rsid w:val="007F4EA1"/>
    <w:rsid w:val="0080345C"/>
    <w:rsid w:val="008065F8"/>
    <w:rsid w:val="00807ABB"/>
    <w:rsid w:val="008133D5"/>
    <w:rsid w:val="008135EC"/>
    <w:rsid w:val="008140AF"/>
    <w:rsid w:val="00815869"/>
    <w:rsid w:val="008209C9"/>
    <w:rsid w:val="00820C02"/>
    <w:rsid w:val="00822EA5"/>
    <w:rsid w:val="0082522F"/>
    <w:rsid w:val="00831979"/>
    <w:rsid w:val="008358A4"/>
    <w:rsid w:val="00836616"/>
    <w:rsid w:val="00845094"/>
    <w:rsid w:val="00851352"/>
    <w:rsid w:val="00852FC8"/>
    <w:rsid w:val="00854B4B"/>
    <w:rsid w:val="00857077"/>
    <w:rsid w:val="008605FE"/>
    <w:rsid w:val="008613DA"/>
    <w:rsid w:val="0086246A"/>
    <w:rsid w:val="00863230"/>
    <w:rsid w:val="00863F82"/>
    <w:rsid w:val="00865BD0"/>
    <w:rsid w:val="0086627B"/>
    <w:rsid w:val="008664D5"/>
    <w:rsid w:val="008679A4"/>
    <w:rsid w:val="0087086B"/>
    <w:rsid w:val="00871234"/>
    <w:rsid w:val="008717D8"/>
    <w:rsid w:val="0087215C"/>
    <w:rsid w:val="00875D25"/>
    <w:rsid w:val="00880E35"/>
    <w:rsid w:val="008875FE"/>
    <w:rsid w:val="00887F8E"/>
    <w:rsid w:val="0089334F"/>
    <w:rsid w:val="00896234"/>
    <w:rsid w:val="00897E43"/>
    <w:rsid w:val="008B03E5"/>
    <w:rsid w:val="008C222B"/>
    <w:rsid w:val="008C5738"/>
    <w:rsid w:val="008C7EAD"/>
    <w:rsid w:val="008D0CFE"/>
    <w:rsid w:val="008D1DC9"/>
    <w:rsid w:val="008D4F08"/>
    <w:rsid w:val="008D6152"/>
    <w:rsid w:val="008E4905"/>
    <w:rsid w:val="008E7A03"/>
    <w:rsid w:val="008E7BA9"/>
    <w:rsid w:val="008F0F81"/>
    <w:rsid w:val="008F1D36"/>
    <w:rsid w:val="008F27BF"/>
    <w:rsid w:val="008F2E64"/>
    <w:rsid w:val="00900575"/>
    <w:rsid w:val="00901C6C"/>
    <w:rsid w:val="00903AD8"/>
    <w:rsid w:val="00906450"/>
    <w:rsid w:val="00906837"/>
    <w:rsid w:val="00911D83"/>
    <w:rsid w:val="009142EC"/>
    <w:rsid w:val="009145E4"/>
    <w:rsid w:val="009154C3"/>
    <w:rsid w:val="009174F1"/>
    <w:rsid w:val="00923540"/>
    <w:rsid w:val="00926767"/>
    <w:rsid w:val="009271A8"/>
    <w:rsid w:val="00927DBF"/>
    <w:rsid w:val="00930CC1"/>
    <w:rsid w:val="009361D5"/>
    <w:rsid w:val="009362F6"/>
    <w:rsid w:val="009377FE"/>
    <w:rsid w:val="009428A4"/>
    <w:rsid w:val="009523A3"/>
    <w:rsid w:val="009557DC"/>
    <w:rsid w:val="00956D63"/>
    <w:rsid w:val="00957E87"/>
    <w:rsid w:val="009609BD"/>
    <w:rsid w:val="00961373"/>
    <w:rsid w:val="00961526"/>
    <w:rsid w:val="009659F4"/>
    <w:rsid w:val="00970D60"/>
    <w:rsid w:val="00973FEB"/>
    <w:rsid w:val="00981BF3"/>
    <w:rsid w:val="00982E19"/>
    <w:rsid w:val="00987304"/>
    <w:rsid w:val="009874D0"/>
    <w:rsid w:val="00987F09"/>
    <w:rsid w:val="00990598"/>
    <w:rsid w:val="0099390E"/>
    <w:rsid w:val="00994712"/>
    <w:rsid w:val="009960E5"/>
    <w:rsid w:val="009974B4"/>
    <w:rsid w:val="009A4BD1"/>
    <w:rsid w:val="009A7ADC"/>
    <w:rsid w:val="009B0D30"/>
    <w:rsid w:val="009B12BB"/>
    <w:rsid w:val="009B3035"/>
    <w:rsid w:val="009B45E9"/>
    <w:rsid w:val="009B5050"/>
    <w:rsid w:val="009C1706"/>
    <w:rsid w:val="009C19B7"/>
    <w:rsid w:val="009C5ABB"/>
    <w:rsid w:val="009C6603"/>
    <w:rsid w:val="009D131C"/>
    <w:rsid w:val="009D5726"/>
    <w:rsid w:val="009D7C51"/>
    <w:rsid w:val="009E101E"/>
    <w:rsid w:val="009E196C"/>
    <w:rsid w:val="009E2EB0"/>
    <w:rsid w:val="009E349A"/>
    <w:rsid w:val="009E53D1"/>
    <w:rsid w:val="009E6A0A"/>
    <w:rsid w:val="009E7189"/>
    <w:rsid w:val="009F36BF"/>
    <w:rsid w:val="009F4801"/>
    <w:rsid w:val="009F4817"/>
    <w:rsid w:val="00A06EA3"/>
    <w:rsid w:val="00A111B6"/>
    <w:rsid w:val="00A149D5"/>
    <w:rsid w:val="00A1502D"/>
    <w:rsid w:val="00A15A96"/>
    <w:rsid w:val="00A16C5C"/>
    <w:rsid w:val="00A22486"/>
    <w:rsid w:val="00A26D27"/>
    <w:rsid w:val="00A3137C"/>
    <w:rsid w:val="00A31EB2"/>
    <w:rsid w:val="00A32084"/>
    <w:rsid w:val="00A3237A"/>
    <w:rsid w:val="00A376EE"/>
    <w:rsid w:val="00A42A99"/>
    <w:rsid w:val="00A444F0"/>
    <w:rsid w:val="00A46223"/>
    <w:rsid w:val="00A5151A"/>
    <w:rsid w:val="00A527A9"/>
    <w:rsid w:val="00A57E0A"/>
    <w:rsid w:val="00A61052"/>
    <w:rsid w:val="00A66B5C"/>
    <w:rsid w:val="00A70174"/>
    <w:rsid w:val="00A73779"/>
    <w:rsid w:val="00A77919"/>
    <w:rsid w:val="00A823F6"/>
    <w:rsid w:val="00A82511"/>
    <w:rsid w:val="00A8621A"/>
    <w:rsid w:val="00A8719E"/>
    <w:rsid w:val="00A9204A"/>
    <w:rsid w:val="00AA0A89"/>
    <w:rsid w:val="00AA5368"/>
    <w:rsid w:val="00AA6429"/>
    <w:rsid w:val="00AB3671"/>
    <w:rsid w:val="00AB7248"/>
    <w:rsid w:val="00AB76DF"/>
    <w:rsid w:val="00AC01AA"/>
    <w:rsid w:val="00AC12BC"/>
    <w:rsid w:val="00AC3EE9"/>
    <w:rsid w:val="00AC40BD"/>
    <w:rsid w:val="00AC4F72"/>
    <w:rsid w:val="00AC5041"/>
    <w:rsid w:val="00AC79F9"/>
    <w:rsid w:val="00AD19E7"/>
    <w:rsid w:val="00AD2073"/>
    <w:rsid w:val="00AD2C02"/>
    <w:rsid w:val="00AD75A6"/>
    <w:rsid w:val="00AE33F5"/>
    <w:rsid w:val="00AE40B4"/>
    <w:rsid w:val="00AE482E"/>
    <w:rsid w:val="00AE7763"/>
    <w:rsid w:val="00AF1B39"/>
    <w:rsid w:val="00AF741A"/>
    <w:rsid w:val="00B00381"/>
    <w:rsid w:val="00B01ADB"/>
    <w:rsid w:val="00B04161"/>
    <w:rsid w:val="00B04378"/>
    <w:rsid w:val="00B04E81"/>
    <w:rsid w:val="00B056F9"/>
    <w:rsid w:val="00B06AEE"/>
    <w:rsid w:val="00B07113"/>
    <w:rsid w:val="00B11E3D"/>
    <w:rsid w:val="00B14D2C"/>
    <w:rsid w:val="00B16CD6"/>
    <w:rsid w:val="00B17E82"/>
    <w:rsid w:val="00B201B3"/>
    <w:rsid w:val="00B26A93"/>
    <w:rsid w:val="00B349C5"/>
    <w:rsid w:val="00B35FCB"/>
    <w:rsid w:val="00B407A0"/>
    <w:rsid w:val="00B4575A"/>
    <w:rsid w:val="00B50AD5"/>
    <w:rsid w:val="00B51D38"/>
    <w:rsid w:val="00B53137"/>
    <w:rsid w:val="00B536BC"/>
    <w:rsid w:val="00B542D7"/>
    <w:rsid w:val="00B575BA"/>
    <w:rsid w:val="00B62767"/>
    <w:rsid w:val="00B6419F"/>
    <w:rsid w:val="00B67B20"/>
    <w:rsid w:val="00B71608"/>
    <w:rsid w:val="00B76429"/>
    <w:rsid w:val="00B803C7"/>
    <w:rsid w:val="00B86471"/>
    <w:rsid w:val="00B87A0E"/>
    <w:rsid w:val="00B956D4"/>
    <w:rsid w:val="00B96AF1"/>
    <w:rsid w:val="00B97446"/>
    <w:rsid w:val="00BA2197"/>
    <w:rsid w:val="00BA578D"/>
    <w:rsid w:val="00BA7432"/>
    <w:rsid w:val="00BB2764"/>
    <w:rsid w:val="00BB2A21"/>
    <w:rsid w:val="00BC1AA0"/>
    <w:rsid w:val="00BC1C80"/>
    <w:rsid w:val="00BC2495"/>
    <w:rsid w:val="00BC314A"/>
    <w:rsid w:val="00BC7EB9"/>
    <w:rsid w:val="00BD2643"/>
    <w:rsid w:val="00BD56B1"/>
    <w:rsid w:val="00BD6558"/>
    <w:rsid w:val="00BD7A8F"/>
    <w:rsid w:val="00BE454B"/>
    <w:rsid w:val="00BF0FF1"/>
    <w:rsid w:val="00BF2AD7"/>
    <w:rsid w:val="00BF2F76"/>
    <w:rsid w:val="00BF3022"/>
    <w:rsid w:val="00BF3214"/>
    <w:rsid w:val="00BF3494"/>
    <w:rsid w:val="00BF5573"/>
    <w:rsid w:val="00C038FE"/>
    <w:rsid w:val="00C0429E"/>
    <w:rsid w:val="00C04E04"/>
    <w:rsid w:val="00C1267E"/>
    <w:rsid w:val="00C15867"/>
    <w:rsid w:val="00C22398"/>
    <w:rsid w:val="00C2296D"/>
    <w:rsid w:val="00C23155"/>
    <w:rsid w:val="00C247A5"/>
    <w:rsid w:val="00C26678"/>
    <w:rsid w:val="00C40C41"/>
    <w:rsid w:val="00C436BE"/>
    <w:rsid w:val="00C438B0"/>
    <w:rsid w:val="00C453C7"/>
    <w:rsid w:val="00C45885"/>
    <w:rsid w:val="00C50F22"/>
    <w:rsid w:val="00C57971"/>
    <w:rsid w:val="00C65BD7"/>
    <w:rsid w:val="00C6670B"/>
    <w:rsid w:val="00C66AD5"/>
    <w:rsid w:val="00C75C9F"/>
    <w:rsid w:val="00C76BA4"/>
    <w:rsid w:val="00C7729D"/>
    <w:rsid w:val="00C83A48"/>
    <w:rsid w:val="00C85865"/>
    <w:rsid w:val="00C85E85"/>
    <w:rsid w:val="00C86465"/>
    <w:rsid w:val="00C87676"/>
    <w:rsid w:val="00C926C8"/>
    <w:rsid w:val="00C93FA9"/>
    <w:rsid w:val="00C94A3E"/>
    <w:rsid w:val="00C94E8E"/>
    <w:rsid w:val="00C95E69"/>
    <w:rsid w:val="00CA1FA5"/>
    <w:rsid w:val="00CA2EAE"/>
    <w:rsid w:val="00CA31C1"/>
    <w:rsid w:val="00CA4AC1"/>
    <w:rsid w:val="00CA59FB"/>
    <w:rsid w:val="00CB0316"/>
    <w:rsid w:val="00CB0B11"/>
    <w:rsid w:val="00CB1DBA"/>
    <w:rsid w:val="00CB391C"/>
    <w:rsid w:val="00CB3954"/>
    <w:rsid w:val="00CB426A"/>
    <w:rsid w:val="00CB4C78"/>
    <w:rsid w:val="00CB5354"/>
    <w:rsid w:val="00CC3C9E"/>
    <w:rsid w:val="00CC6A14"/>
    <w:rsid w:val="00CC70A3"/>
    <w:rsid w:val="00CD1547"/>
    <w:rsid w:val="00CD4442"/>
    <w:rsid w:val="00CD53C3"/>
    <w:rsid w:val="00CD574E"/>
    <w:rsid w:val="00CD721C"/>
    <w:rsid w:val="00CE06E6"/>
    <w:rsid w:val="00CE1D26"/>
    <w:rsid w:val="00CE4C22"/>
    <w:rsid w:val="00CE76E5"/>
    <w:rsid w:val="00CF17D6"/>
    <w:rsid w:val="00CF3884"/>
    <w:rsid w:val="00CF41EC"/>
    <w:rsid w:val="00CF5AC8"/>
    <w:rsid w:val="00CF5D04"/>
    <w:rsid w:val="00CF63E1"/>
    <w:rsid w:val="00CF740D"/>
    <w:rsid w:val="00D004E1"/>
    <w:rsid w:val="00D04DE4"/>
    <w:rsid w:val="00D063F1"/>
    <w:rsid w:val="00D07F98"/>
    <w:rsid w:val="00D11176"/>
    <w:rsid w:val="00D11735"/>
    <w:rsid w:val="00D14F22"/>
    <w:rsid w:val="00D26D68"/>
    <w:rsid w:val="00D31473"/>
    <w:rsid w:val="00D4741C"/>
    <w:rsid w:val="00D52CA5"/>
    <w:rsid w:val="00D565A8"/>
    <w:rsid w:val="00D57918"/>
    <w:rsid w:val="00D7185A"/>
    <w:rsid w:val="00D7287B"/>
    <w:rsid w:val="00D73DC6"/>
    <w:rsid w:val="00D74C1A"/>
    <w:rsid w:val="00D754C1"/>
    <w:rsid w:val="00D759AE"/>
    <w:rsid w:val="00D77393"/>
    <w:rsid w:val="00D77A35"/>
    <w:rsid w:val="00D81628"/>
    <w:rsid w:val="00D81B3E"/>
    <w:rsid w:val="00D837FA"/>
    <w:rsid w:val="00D83AEB"/>
    <w:rsid w:val="00D879AF"/>
    <w:rsid w:val="00D90C70"/>
    <w:rsid w:val="00D90E49"/>
    <w:rsid w:val="00D92268"/>
    <w:rsid w:val="00D96ADE"/>
    <w:rsid w:val="00D97D10"/>
    <w:rsid w:val="00DA0CE2"/>
    <w:rsid w:val="00DA2387"/>
    <w:rsid w:val="00DB5F70"/>
    <w:rsid w:val="00DC0FD3"/>
    <w:rsid w:val="00DC5A17"/>
    <w:rsid w:val="00DC6A10"/>
    <w:rsid w:val="00DD01BB"/>
    <w:rsid w:val="00DD384B"/>
    <w:rsid w:val="00DD3942"/>
    <w:rsid w:val="00DD467F"/>
    <w:rsid w:val="00DD47EC"/>
    <w:rsid w:val="00DD59B3"/>
    <w:rsid w:val="00DE266B"/>
    <w:rsid w:val="00DE4368"/>
    <w:rsid w:val="00DE657E"/>
    <w:rsid w:val="00DE77C5"/>
    <w:rsid w:val="00DF110C"/>
    <w:rsid w:val="00DF304E"/>
    <w:rsid w:val="00DF4704"/>
    <w:rsid w:val="00DF5902"/>
    <w:rsid w:val="00E015FA"/>
    <w:rsid w:val="00E024AA"/>
    <w:rsid w:val="00E0467C"/>
    <w:rsid w:val="00E067D9"/>
    <w:rsid w:val="00E0760A"/>
    <w:rsid w:val="00E130BB"/>
    <w:rsid w:val="00E13C4C"/>
    <w:rsid w:val="00E140B1"/>
    <w:rsid w:val="00E14A85"/>
    <w:rsid w:val="00E15C77"/>
    <w:rsid w:val="00E1693E"/>
    <w:rsid w:val="00E16C62"/>
    <w:rsid w:val="00E250F1"/>
    <w:rsid w:val="00E25850"/>
    <w:rsid w:val="00E30C5E"/>
    <w:rsid w:val="00E31938"/>
    <w:rsid w:val="00E3550D"/>
    <w:rsid w:val="00E41449"/>
    <w:rsid w:val="00E47B87"/>
    <w:rsid w:val="00E515EC"/>
    <w:rsid w:val="00E526AF"/>
    <w:rsid w:val="00E52838"/>
    <w:rsid w:val="00E5657A"/>
    <w:rsid w:val="00E60338"/>
    <w:rsid w:val="00E614E0"/>
    <w:rsid w:val="00E62311"/>
    <w:rsid w:val="00E65A34"/>
    <w:rsid w:val="00E70819"/>
    <w:rsid w:val="00E70998"/>
    <w:rsid w:val="00E73F7F"/>
    <w:rsid w:val="00E753E8"/>
    <w:rsid w:val="00E75DC9"/>
    <w:rsid w:val="00E7685E"/>
    <w:rsid w:val="00E811E1"/>
    <w:rsid w:val="00E85409"/>
    <w:rsid w:val="00E856D1"/>
    <w:rsid w:val="00E85DF8"/>
    <w:rsid w:val="00E87B44"/>
    <w:rsid w:val="00E9339B"/>
    <w:rsid w:val="00E96469"/>
    <w:rsid w:val="00EA1048"/>
    <w:rsid w:val="00EA429F"/>
    <w:rsid w:val="00EA4F9E"/>
    <w:rsid w:val="00EA63CA"/>
    <w:rsid w:val="00EA6D3B"/>
    <w:rsid w:val="00EA74B2"/>
    <w:rsid w:val="00EB00AD"/>
    <w:rsid w:val="00EB136C"/>
    <w:rsid w:val="00EB480E"/>
    <w:rsid w:val="00EB5EC6"/>
    <w:rsid w:val="00EB74A1"/>
    <w:rsid w:val="00EB7FC9"/>
    <w:rsid w:val="00EC0A47"/>
    <w:rsid w:val="00EC2691"/>
    <w:rsid w:val="00EC6F88"/>
    <w:rsid w:val="00ED27E8"/>
    <w:rsid w:val="00ED407F"/>
    <w:rsid w:val="00ED7137"/>
    <w:rsid w:val="00ED7580"/>
    <w:rsid w:val="00EE2FA2"/>
    <w:rsid w:val="00EE4723"/>
    <w:rsid w:val="00EE49B1"/>
    <w:rsid w:val="00EE7B40"/>
    <w:rsid w:val="00EF06EA"/>
    <w:rsid w:val="00EF1404"/>
    <w:rsid w:val="00EF27A6"/>
    <w:rsid w:val="00F0421F"/>
    <w:rsid w:val="00F058C9"/>
    <w:rsid w:val="00F05E6A"/>
    <w:rsid w:val="00F06E05"/>
    <w:rsid w:val="00F07604"/>
    <w:rsid w:val="00F10452"/>
    <w:rsid w:val="00F21088"/>
    <w:rsid w:val="00F25895"/>
    <w:rsid w:val="00F26DE0"/>
    <w:rsid w:val="00F326BF"/>
    <w:rsid w:val="00F327E7"/>
    <w:rsid w:val="00F34970"/>
    <w:rsid w:val="00F3547F"/>
    <w:rsid w:val="00F35746"/>
    <w:rsid w:val="00F447C7"/>
    <w:rsid w:val="00F459B4"/>
    <w:rsid w:val="00F5211B"/>
    <w:rsid w:val="00F538AD"/>
    <w:rsid w:val="00F554A9"/>
    <w:rsid w:val="00F629A5"/>
    <w:rsid w:val="00F62CD6"/>
    <w:rsid w:val="00F654C6"/>
    <w:rsid w:val="00F65F57"/>
    <w:rsid w:val="00F716FD"/>
    <w:rsid w:val="00F7779B"/>
    <w:rsid w:val="00F80355"/>
    <w:rsid w:val="00F85DC1"/>
    <w:rsid w:val="00F87C43"/>
    <w:rsid w:val="00F94400"/>
    <w:rsid w:val="00FA3E55"/>
    <w:rsid w:val="00FA5722"/>
    <w:rsid w:val="00FB0C81"/>
    <w:rsid w:val="00FB2BD5"/>
    <w:rsid w:val="00FB63FE"/>
    <w:rsid w:val="00FB663E"/>
    <w:rsid w:val="00FB6DCA"/>
    <w:rsid w:val="00FC2200"/>
    <w:rsid w:val="00FC2540"/>
    <w:rsid w:val="00FE6C38"/>
    <w:rsid w:val="00FF0204"/>
    <w:rsid w:val="00FF3AED"/>
    <w:rsid w:val="00FF59A2"/>
    <w:rsid w:val="00FF6B14"/>
    <w:rsid w:val="00FF75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1174C6"/>
  <w15:docId w15:val="{BB8F03CE-B1A0-4180-B933-4627E0236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Char Char,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semiHidden/>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332B2D"/>
    <w:pPr>
      <w:spacing w:after="160" w:line="259" w:lineRule="auto"/>
      <w:ind w:left="720"/>
      <w:contextualSpacing/>
      <w:jc w:val="left"/>
    </w:pPr>
    <w:rPr>
      <w:rFonts w:ascii="Calibri" w:eastAsia="Calibri" w:hAnsi="Calibri" w:cs="Arial"/>
      <w:kern w:val="2"/>
    </w:rPr>
  </w:style>
  <w:style w:type="character" w:customStyle="1" w:styleId="FooterChar">
    <w:name w:val="Footer Char"/>
    <w:basedOn w:val="DefaultParagraphFont"/>
    <w:link w:val="Footer"/>
    <w:uiPriority w:val="99"/>
    <w:rsid w:val="00332B2D"/>
    <w:rPr>
      <w:sz w:val="22"/>
      <w:szCs w:val="22"/>
      <w:lang w:val="es-ES"/>
    </w:rPr>
  </w:style>
  <w:style w:type="character" w:customStyle="1" w:styleId="HeaderChar">
    <w:name w:val="Header Char"/>
    <w:basedOn w:val="DefaultParagraphFont"/>
    <w:link w:val="Header"/>
    <w:uiPriority w:val="99"/>
    <w:rsid w:val="00332B2D"/>
    <w:rPr>
      <w:sz w:val="22"/>
      <w:szCs w:val="22"/>
      <w:lang w:val="es-ES"/>
    </w:rPr>
  </w:style>
  <w:style w:type="table" w:customStyle="1" w:styleId="TableGrid10">
    <w:name w:val="Table Grid1"/>
    <w:basedOn w:val="TableNormal"/>
    <w:next w:val="TableGrid"/>
    <w:uiPriority w:val="39"/>
    <w:rsid w:val="00332B2D"/>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642470"/>
    <w:rPr>
      <w:color w:val="0563C1"/>
      <w:u w:val="single"/>
    </w:rPr>
  </w:style>
  <w:style w:type="character" w:styleId="Hyperlink">
    <w:name w:val="Hyperlink"/>
    <w:basedOn w:val="DefaultParagraphFont"/>
    <w:uiPriority w:val="99"/>
    <w:unhideWhenUsed/>
    <w:rsid w:val="00642470"/>
    <w:rPr>
      <w:color w:val="0000FF" w:themeColor="hyperlink"/>
      <w:u w:val="single"/>
    </w:rPr>
  </w:style>
  <w:style w:type="character" w:styleId="UnresolvedMention">
    <w:name w:val="Unresolved Mention"/>
    <w:basedOn w:val="DefaultParagraphFont"/>
    <w:uiPriority w:val="99"/>
    <w:semiHidden/>
    <w:unhideWhenUsed/>
    <w:rsid w:val="009523A3"/>
    <w:rPr>
      <w:color w:val="605E5C"/>
      <w:shd w:val="clear" w:color="auto" w:fill="E1DFDD"/>
    </w:rPr>
  </w:style>
  <w:style w:type="paragraph" w:styleId="Revision">
    <w:name w:val="Revision"/>
    <w:hidden/>
    <w:uiPriority w:val="99"/>
    <w:semiHidden/>
    <w:rsid w:val="00987F09"/>
    <w:rPr>
      <w:sz w:val="22"/>
      <w:szCs w:val="22"/>
    </w:rPr>
  </w:style>
  <w:style w:type="character" w:styleId="FollowedHyperlink">
    <w:name w:val="FollowedHyperlink"/>
    <w:basedOn w:val="DefaultParagraphFont"/>
    <w:uiPriority w:val="99"/>
    <w:semiHidden/>
    <w:unhideWhenUsed/>
    <w:rsid w:val="0035067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2" Type="http://schemas.openxmlformats.org/officeDocument/2006/relationships/hyperlink" Target="https://www.multilateralfund.org/about/evaluation" TargetMode="External"/><Relationship Id="rId1" Type="http://schemas.openxmlformats.org/officeDocument/2006/relationships/hyperlink" Target="https://www.multilateralfund.org/about/evalu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IN3\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AE543F38-D3B2-4A5D-92B2-7BCA13566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79</TotalTime>
  <Pages>9</Pages>
  <Words>2559</Words>
  <Characters>16871</Characters>
  <Application>Microsoft Office Word</Application>
  <DocSecurity>0</DocSecurity>
  <Lines>496</Lines>
  <Paragraphs>239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19191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 Lourdes Nanette Guerin</dc:creator>
  <cp:lastModifiedBy>Angela Xue He Yan</cp:lastModifiedBy>
  <cp:revision>31</cp:revision>
  <cp:lastPrinted>2025-10-15T08:13:00Z</cp:lastPrinted>
  <dcterms:created xsi:type="dcterms:W3CDTF">2025-10-16T08:39:00Z</dcterms:created>
  <dcterms:modified xsi:type="dcterms:W3CDTF">2025-10-22T14:32:00Z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UNEP/OzL.Pro/ExCom/97/10</vt:lpwstr>
  </property>
  <property fmtid="{D5CDD505-2E9C-101B-9397-08002B2CF9AE}" pid="3" name="Revision date">
    <vt:lpwstr>10/14/2025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