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70"/>
        <w:gridCol w:w="3420"/>
        <w:gridCol w:w="252"/>
        <w:gridCol w:w="4320"/>
        <w:gridCol w:w="18"/>
      </w:tblGrid>
      <w:tr w:rsidR="00C15867" w:rsidRPr="00EE0EF7" w14:paraId="6E68E8BA" w14:textId="77777777" w:rsidTr="000B3938">
        <w:trPr>
          <w:trHeight w:val="720"/>
        </w:trPr>
        <w:tc>
          <w:tcPr>
            <w:tcW w:w="5490" w:type="dxa"/>
            <w:gridSpan w:val="2"/>
            <w:tcBorders>
              <w:bottom w:val="single" w:sz="18" w:space="0" w:color="auto"/>
            </w:tcBorders>
          </w:tcPr>
          <w:p w14:paraId="74E19452" w14:textId="77777777" w:rsidR="00C15867" w:rsidRPr="00EE0EF7"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EE0EF7">
              <w:rPr>
                <w:rFonts w:ascii="Univers" w:hAnsi="Univers"/>
                <w:b/>
                <w:sz w:val="28"/>
                <w:szCs w:val="28"/>
                <w:lang w:val="fr-FR"/>
              </w:rPr>
              <w:t>NATIONS</w:t>
            </w:r>
            <w:r w:rsidRPr="00EE0EF7">
              <w:rPr>
                <w:rFonts w:ascii="Univers" w:hAnsi="Univers"/>
                <w:b/>
                <w:sz w:val="28"/>
                <w:szCs w:val="28"/>
                <w:lang w:val="fr-FR"/>
              </w:rPr>
              <w:br/>
              <w:t>UNIES</w:t>
            </w:r>
          </w:p>
        </w:tc>
        <w:tc>
          <w:tcPr>
            <w:tcW w:w="4590" w:type="dxa"/>
            <w:gridSpan w:val="3"/>
            <w:tcBorders>
              <w:bottom w:val="single" w:sz="18" w:space="0" w:color="auto"/>
            </w:tcBorders>
          </w:tcPr>
          <w:p w14:paraId="0D04060D" w14:textId="77777777" w:rsidR="00C15867" w:rsidRPr="00EE0EF7" w:rsidRDefault="00C15867">
            <w:pPr>
              <w:jc w:val="right"/>
              <w:rPr>
                <w:sz w:val="52"/>
                <w:szCs w:val="52"/>
                <w:lang w:val="fr-FR"/>
              </w:rPr>
            </w:pPr>
            <w:r w:rsidRPr="00EE0EF7">
              <w:rPr>
                <w:rFonts w:ascii="Univers Bold" w:hAnsi="Univers Bold"/>
                <w:b/>
                <w:sz w:val="72"/>
                <w:lang w:val="fr-FR"/>
              </w:rPr>
              <w:t>EP</w:t>
            </w:r>
          </w:p>
        </w:tc>
      </w:tr>
      <w:tr w:rsidR="00C15867" w:rsidRPr="00EE0EF7" w14:paraId="0C9AEB1E" w14:textId="77777777" w:rsidTr="000B39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 w:type="dxa"/>
          <w:trHeight w:val="2565"/>
        </w:trPr>
        <w:tc>
          <w:tcPr>
            <w:tcW w:w="2070" w:type="dxa"/>
            <w:tcBorders>
              <w:top w:val="nil"/>
              <w:left w:val="nil"/>
              <w:bottom w:val="single" w:sz="36" w:space="0" w:color="auto"/>
              <w:right w:val="nil"/>
            </w:tcBorders>
          </w:tcPr>
          <w:p w14:paraId="49B516C3" w14:textId="77777777" w:rsidR="00C15867" w:rsidRPr="00EE0EF7" w:rsidRDefault="00E52838">
            <w:pPr>
              <w:spacing w:before="120"/>
              <w:rPr>
                <w:lang w:val="fr-FR"/>
              </w:rPr>
            </w:pPr>
            <w:r w:rsidRPr="00EE0EF7">
              <w:rPr>
                <w:noProof/>
                <w:lang w:val="fr-FR" w:eastAsia="zh-CN"/>
              </w:rPr>
              <mc:AlternateContent>
                <mc:Choice Requires="wpg">
                  <w:drawing>
                    <wp:anchor distT="0" distB="0" distL="114300" distR="114300" simplePos="0" relativeHeight="251658240" behindDoc="0" locked="0" layoutInCell="1" allowOverlap="1" wp14:anchorId="178FE0B1" wp14:editId="07D9C91C">
                      <wp:simplePos x="0" y="0"/>
                      <wp:positionH relativeFrom="column">
                        <wp:posOffset>-2983</wp:posOffset>
                      </wp:positionH>
                      <wp:positionV relativeFrom="paragraph">
                        <wp:posOffset>40364</wp:posOffset>
                      </wp:positionV>
                      <wp:extent cx="844828" cy="1552096"/>
                      <wp:effectExtent l="0" t="0" r="0" b="0"/>
                      <wp:wrapNone/>
                      <wp:docPr id="1" name="Group 1"/>
                      <wp:cNvGraphicFramePr/>
                      <a:graphic xmlns:a="http://schemas.openxmlformats.org/drawingml/2006/main">
                        <a:graphicData uri="http://schemas.microsoft.com/office/word/2010/wordprocessingGroup">
                          <wpg:wgp>
                            <wpg:cNvGrpSpPr/>
                            <wpg:grpSpPr>
                              <a:xfrm>
                                <a:off x="0" y="0"/>
                                <a:ext cx="844828" cy="1552096"/>
                                <a:chOff x="-9940" y="0"/>
                                <a:chExt cx="844828" cy="1552096"/>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9940" y="758262"/>
                                  <a:ext cx="844828" cy="793834"/>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xmlns:w="http://schemas.openxmlformats.org/wordprocessingml/2006/main">
                    <v:group xmlns:o="urn:schemas-microsoft-com:office:office" xmlns:v="urn:schemas-microsoft-com:vml" xmlns:w14="http://schemas.microsoft.com/office/word/2010/wordml" w14:anchorId="4687A4AE" id="Group 1" o:spid="_x0000_s1026" style="position:absolute;margin-left:-.25pt;margin-top:3.2pt;width:66.5pt;height:122.2pt;z-index:251658240;mso-width-relative:margin;mso-height-relative:margin" coordorigin="-99" coordsize="8448,155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99;top:7582;width:8447;height:79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xmlns:r="http://schemas.openxmlformats.org/officeDocument/2006/relationships"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xmlns:r="http://schemas.openxmlformats.org/officeDocument/2006/relationships" r:id="rId14" o:title=""/>
                      </v:shape>
                    </v:group>
                  </w:pict>
                </mc:Fallback>
              </mc:AlternateContent>
            </w:r>
          </w:p>
        </w:tc>
        <w:tc>
          <w:tcPr>
            <w:tcW w:w="3672" w:type="dxa"/>
            <w:gridSpan w:val="2"/>
            <w:tcBorders>
              <w:top w:val="nil"/>
              <w:left w:val="nil"/>
              <w:bottom w:val="single" w:sz="36" w:space="0" w:color="auto"/>
              <w:right w:val="nil"/>
            </w:tcBorders>
          </w:tcPr>
          <w:p w14:paraId="547F1EDD" w14:textId="77777777" w:rsidR="00A75C1A" w:rsidRPr="00EE0EF7" w:rsidRDefault="00A75C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433725F5" w14:textId="78E06B3E" w:rsidR="00C15867" w:rsidRPr="00EE0EF7"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EE0EF7">
              <w:rPr>
                <w:rFonts w:ascii="Univers" w:hAnsi="Univers"/>
                <w:b/>
                <w:sz w:val="32"/>
                <w:lang w:val="fr-FR"/>
              </w:rPr>
              <w:t>Programme des</w:t>
            </w:r>
          </w:p>
          <w:p w14:paraId="35B81028" w14:textId="77777777" w:rsidR="00C15867" w:rsidRPr="00EE0EF7"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EE0EF7">
              <w:rPr>
                <w:rFonts w:ascii="Univers" w:hAnsi="Univers"/>
                <w:b/>
                <w:sz w:val="32"/>
                <w:lang w:val="fr-FR"/>
              </w:rPr>
              <w:t>Nations Unies pour</w:t>
            </w:r>
          </w:p>
          <w:p w14:paraId="71509470" w14:textId="77777777" w:rsidR="00C15867" w:rsidRPr="00EE0EF7"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sidRPr="00EE0EF7">
              <w:rPr>
                <w:rFonts w:ascii="Univers" w:hAnsi="Univers"/>
                <w:b/>
                <w:sz w:val="32"/>
                <w:lang w:val="fr-FR"/>
              </w:rPr>
              <w:t>l’environnement</w:t>
            </w:r>
          </w:p>
          <w:p w14:paraId="3B5B7896" w14:textId="77777777" w:rsidR="00C15867" w:rsidRPr="00EE0EF7" w:rsidRDefault="00C15867">
            <w:pPr>
              <w:spacing w:before="720"/>
              <w:ind w:left="158"/>
              <w:rPr>
                <w:lang w:val="fr-FR"/>
              </w:rPr>
            </w:pPr>
          </w:p>
        </w:tc>
        <w:tc>
          <w:tcPr>
            <w:tcW w:w="4320" w:type="dxa"/>
            <w:tcBorders>
              <w:top w:val="nil"/>
              <w:left w:val="nil"/>
              <w:bottom w:val="single" w:sz="36" w:space="0" w:color="auto"/>
              <w:right w:val="nil"/>
            </w:tcBorders>
          </w:tcPr>
          <w:p w14:paraId="3D26B187" w14:textId="77777777" w:rsidR="00A75C1A" w:rsidRPr="00EE0EF7" w:rsidRDefault="00A75C1A">
            <w:pPr>
              <w:rPr>
                <w:lang w:val="fr-FR"/>
              </w:rPr>
            </w:pPr>
          </w:p>
          <w:p w14:paraId="3F2DDB8C" w14:textId="22E4C357" w:rsidR="00C15867" w:rsidRPr="00EE0EF7" w:rsidRDefault="00C15867">
            <w:pPr>
              <w:rPr>
                <w:lang w:val="fr-FR"/>
              </w:rPr>
            </w:pPr>
            <w:r w:rsidRPr="00EE0EF7">
              <w:rPr>
                <w:lang w:val="fr-FR"/>
              </w:rPr>
              <w:t>Distr.</w:t>
            </w:r>
          </w:p>
          <w:p w14:paraId="5D4C6785" w14:textId="77777777" w:rsidR="00923540" w:rsidRPr="00EE0EF7" w:rsidRDefault="00923540" w:rsidP="00923540">
            <w:pPr>
              <w:rPr>
                <w:lang w:val="fr-FR"/>
              </w:rPr>
            </w:pPr>
            <w:r w:rsidRPr="00EE0EF7">
              <w:rPr>
                <w:lang w:val="fr-FR"/>
              </w:rPr>
              <w:t>GÉNÉRALE</w:t>
            </w:r>
          </w:p>
          <w:p w14:paraId="55FE13D7" w14:textId="77777777" w:rsidR="00C15867" w:rsidRPr="00EE0EF7" w:rsidRDefault="00C15867">
            <w:pPr>
              <w:rPr>
                <w:lang w:val="fr-FR"/>
              </w:rPr>
            </w:pPr>
          </w:p>
          <w:p w14:paraId="0F4C0071" w14:textId="3AE38D8C" w:rsidR="00C15867" w:rsidRPr="007D1DB6" w:rsidRDefault="007548C4">
            <w:pPr>
              <w:rPr>
                <w:lang w:val="fr-FR"/>
              </w:rPr>
            </w:pPr>
            <w:r w:rsidRPr="00EE0EF7">
              <w:rPr>
                <w:lang w:val="fr-FR"/>
              </w:rPr>
              <w:fldChar w:fldCharType="begin"/>
            </w:r>
            <w:r w:rsidRPr="007D1DB6">
              <w:rPr>
                <w:lang w:val="fr-FR"/>
              </w:rPr>
              <w:instrText xml:space="preserve"> DOCPROPERTY "Document number"  \* MERGEFORMAT </w:instrText>
            </w:r>
            <w:r w:rsidRPr="00EE0EF7">
              <w:rPr>
                <w:lang w:val="fr-FR"/>
              </w:rPr>
              <w:fldChar w:fldCharType="separate"/>
            </w:r>
            <w:r w:rsidR="007D1DB6" w:rsidRPr="007D1DB6">
              <w:rPr>
                <w:lang w:val="fr-FR"/>
              </w:rPr>
              <w:t>UNEP/OzL.Pro/ExCom/97/36/Add.1</w:t>
            </w:r>
            <w:r w:rsidRPr="00EE0EF7">
              <w:rPr>
                <w:lang w:val="fr-FR"/>
              </w:rPr>
              <w:fldChar w:fldCharType="end"/>
            </w:r>
          </w:p>
          <w:p w14:paraId="71B9A0A7" w14:textId="3A347582" w:rsidR="00C15867" w:rsidRPr="00EE0EF7" w:rsidRDefault="00BC2495">
            <w:pPr>
              <w:rPr>
                <w:lang w:val="fr-FR"/>
              </w:rPr>
            </w:pPr>
            <w:r w:rsidRPr="00EE0EF7">
              <w:rPr>
                <w:lang w:val="fr-FR"/>
              </w:rPr>
              <w:fldChar w:fldCharType="begin"/>
            </w:r>
            <w:r w:rsidR="00851352" w:rsidRPr="00EE0EF7">
              <w:rPr>
                <w:lang w:val="fr-FR"/>
              </w:rPr>
              <w:instrText xml:space="preserve"> DOCPROPERTY "Revision date" \@ "d MMMM YYYY"  \* MERGEFORMAT </w:instrText>
            </w:r>
            <w:r w:rsidRPr="00EE0EF7">
              <w:rPr>
                <w:lang w:val="fr-FR"/>
              </w:rPr>
              <w:fldChar w:fldCharType="separate"/>
            </w:r>
            <w:r w:rsidR="00E363F5" w:rsidRPr="00EE0EF7">
              <w:rPr>
                <w:lang w:val="fr-FR"/>
              </w:rPr>
              <w:t xml:space="preserve">18 </w:t>
            </w:r>
            <w:r w:rsidR="008A290B" w:rsidRPr="00EE0EF7">
              <w:rPr>
                <w:lang w:val="fr-FR"/>
              </w:rPr>
              <w:t>novembre</w:t>
            </w:r>
            <w:r w:rsidR="00E363F5" w:rsidRPr="00EE0EF7">
              <w:rPr>
                <w:lang w:val="fr-FR"/>
              </w:rPr>
              <w:t xml:space="preserve"> 2025</w:t>
            </w:r>
            <w:r w:rsidRPr="00EE0EF7">
              <w:rPr>
                <w:lang w:val="fr-FR"/>
              </w:rPr>
              <w:fldChar w:fldCharType="end"/>
            </w:r>
          </w:p>
          <w:p w14:paraId="795509F2" w14:textId="77777777" w:rsidR="00C15867" w:rsidRPr="00EE0EF7" w:rsidRDefault="00C15867">
            <w:pPr>
              <w:rPr>
                <w:caps/>
                <w:lang w:val="fr-FR"/>
              </w:rPr>
            </w:pPr>
          </w:p>
          <w:p w14:paraId="220BBDF7" w14:textId="144C9149" w:rsidR="00CE7B9D" w:rsidRDefault="00CE7B9D">
            <w:pPr>
              <w:rPr>
                <w:lang w:val="fr-FR"/>
              </w:rPr>
            </w:pPr>
            <w:r w:rsidRPr="00CE7B9D">
              <w:rPr>
                <w:lang w:val="fr-FR"/>
              </w:rPr>
              <w:t>FRANÇAIS</w:t>
            </w:r>
          </w:p>
          <w:p w14:paraId="4E6B7CAD" w14:textId="0DA22FAD" w:rsidR="00C15867" w:rsidRPr="00EE0EF7" w:rsidRDefault="00C15867">
            <w:pPr>
              <w:rPr>
                <w:lang w:val="fr-FR"/>
              </w:rPr>
            </w:pPr>
            <w:r w:rsidRPr="00EE0EF7">
              <w:rPr>
                <w:lang w:val="fr-FR"/>
              </w:rPr>
              <w:t>ORIGINAL: ANGLAIS</w:t>
            </w:r>
          </w:p>
        </w:tc>
      </w:tr>
    </w:tbl>
    <w:p w14:paraId="2E3A9173" w14:textId="77777777" w:rsidR="00CA59FB" w:rsidRPr="00EE0EF7" w:rsidRDefault="00C15867" w:rsidP="00E363F5">
      <w:pPr>
        <w:spacing w:before="40"/>
        <w:jc w:val="left"/>
        <w:rPr>
          <w:lang w:val="fr-FR"/>
        </w:rPr>
      </w:pPr>
      <w:r w:rsidRPr="00EE0EF7">
        <w:rPr>
          <w:lang w:val="fr-FR"/>
        </w:rPr>
        <w:t>COMITÉ EXÉCUTIF</w:t>
      </w:r>
      <w:r w:rsidRPr="00EE0EF7">
        <w:rPr>
          <w:lang w:val="fr-FR"/>
        </w:rPr>
        <w:br/>
        <w:t xml:space="preserve">  DU FONDS MULTILATÉRAL AUX FINS</w:t>
      </w:r>
      <w:r w:rsidRPr="00EE0EF7">
        <w:rPr>
          <w:lang w:val="fr-FR"/>
        </w:rPr>
        <w:br/>
        <w:t xml:space="preserve">  D’APPLICATION DU PROTOCOLE DE MONTRÉAL</w:t>
      </w:r>
      <w:r w:rsidRPr="00EE0EF7">
        <w:rPr>
          <w:lang w:val="fr-FR"/>
        </w:rPr>
        <w:br/>
        <w:t>Quatre-vingt-dix-septième réunion</w:t>
      </w:r>
    </w:p>
    <w:p w14:paraId="17EAC16C" w14:textId="79C9CCC4" w:rsidR="00CA59FB" w:rsidRPr="00EE0EF7" w:rsidRDefault="00CA59FB" w:rsidP="00CA59FB">
      <w:pPr>
        <w:jc w:val="left"/>
        <w:rPr>
          <w:lang w:val="fr-FR"/>
        </w:rPr>
      </w:pPr>
      <w:r w:rsidRPr="00EE0EF7">
        <w:rPr>
          <w:lang w:val="fr-FR"/>
        </w:rPr>
        <w:t>Montréal, 1 – 5 décembre 2025</w:t>
      </w:r>
    </w:p>
    <w:p w14:paraId="240AFB24" w14:textId="0C625AF5" w:rsidR="0079781A" w:rsidRPr="00EE0EF7" w:rsidRDefault="0079781A" w:rsidP="0079781A">
      <w:pPr>
        <w:jc w:val="left"/>
        <w:rPr>
          <w:lang w:val="fr-FR"/>
        </w:rPr>
      </w:pPr>
      <w:r w:rsidRPr="00EE0EF7">
        <w:rPr>
          <w:lang w:val="fr-FR"/>
        </w:rPr>
        <w:t>Point 9 d) de l'ordre du jour provisoire</w:t>
      </w:r>
      <w:r w:rsidRPr="00EE0EF7">
        <w:rPr>
          <w:rStyle w:val="FootnoteReference"/>
          <w:lang w:val="fr-FR"/>
        </w:rPr>
        <w:footnoteReference w:id="1"/>
      </w:r>
    </w:p>
    <w:p w14:paraId="545162AD" w14:textId="77777777" w:rsidR="00C15867" w:rsidRPr="00EE0EF7" w:rsidRDefault="00C15867" w:rsidP="00CA59FB">
      <w:pPr>
        <w:jc w:val="left"/>
        <w:rPr>
          <w:lang w:val="fr-FR"/>
        </w:rPr>
      </w:pPr>
    </w:p>
    <w:p w14:paraId="51437571" w14:textId="77777777" w:rsidR="002024B6" w:rsidRPr="00EE0EF7" w:rsidRDefault="002024B6" w:rsidP="002024B6">
      <w:pPr>
        <w:rPr>
          <w:lang w:val="fr-FR"/>
        </w:rPr>
      </w:pPr>
    </w:p>
    <w:p w14:paraId="23FD4DCA" w14:textId="77777777" w:rsidR="002024B6" w:rsidRPr="00EE0EF7" w:rsidRDefault="002024B6" w:rsidP="002024B6">
      <w:pPr>
        <w:rPr>
          <w:lang w:val="fr-FR"/>
        </w:rPr>
      </w:pPr>
    </w:p>
    <w:p w14:paraId="73DC2314" w14:textId="4EF5423B" w:rsidR="00E41ADE" w:rsidRPr="00EE0EF7" w:rsidRDefault="00E41ADE" w:rsidP="00C35127">
      <w:pPr>
        <w:spacing w:after="240"/>
        <w:jc w:val="center"/>
        <w:rPr>
          <w:b/>
          <w:bCs/>
          <w:lang w:val="fr-FR"/>
        </w:rPr>
      </w:pPr>
      <w:r w:rsidRPr="00EE0EF7">
        <w:rPr>
          <w:b/>
          <w:bCs/>
          <w:lang w:val="fr-FR"/>
        </w:rPr>
        <w:t>Addendum</w:t>
      </w:r>
    </w:p>
    <w:p w14:paraId="08A1A54A" w14:textId="28AD5F47" w:rsidR="00C35127" w:rsidRPr="00EE0EF7" w:rsidRDefault="007D1DB6" w:rsidP="00C35127">
      <w:pPr>
        <w:spacing w:after="240"/>
        <w:jc w:val="center"/>
        <w:rPr>
          <w:b/>
          <w:bCs/>
          <w:lang w:val="fr-FR"/>
        </w:rPr>
      </w:pPr>
      <w:r w:rsidRPr="00EE0EF7">
        <w:rPr>
          <w:b/>
          <w:bCs/>
          <w:lang w:val="fr-FR"/>
        </w:rPr>
        <w:t>PROPOSITION DE PROJET: ARGENTINE</w:t>
      </w:r>
    </w:p>
    <w:p w14:paraId="0D565DE0" w14:textId="6619C1C8" w:rsidR="00EF2D24" w:rsidRPr="00EE0EF7" w:rsidRDefault="005C4F0A" w:rsidP="005C4F0A">
      <w:pPr>
        <w:spacing w:after="240"/>
        <w:rPr>
          <w:lang w:val="fr-FR"/>
        </w:rPr>
      </w:pPr>
      <w:r w:rsidRPr="00EE0EF7">
        <w:rPr>
          <w:b/>
          <w:bCs/>
          <w:lang w:val="fr-FR"/>
        </w:rPr>
        <w:tab/>
      </w:r>
      <w:r w:rsidR="00E33B3D" w:rsidRPr="00EE0EF7">
        <w:rPr>
          <w:lang w:val="fr-FR"/>
        </w:rPr>
        <w:t xml:space="preserve">Le présent document est publié en </w:t>
      </w:r>
      <w:r w:rsidR="00E33B3D" w:rsidRPr="00EE0EF7">
        <w:rPr>
          <w:b/>
          <w:bCs/>
          <w:lang w:val="fr-FR"/>
        </w:rPr>
        <w:t>complément</w:t>
      </w:r>
      <w:r w:rsidR="00E33B3D" w:rsidRPr="00EE0EF7">
        <w:rPr>
          <w:lang w:val="fr-FR"/>
        </w:rPr>
        <w:t xml:space="preserve"> des observations et recommandations du Secrétariat concernant les propositions de projets soumises pour l'Argentine :</w:t>
      </w:r>
    </w:p>
    <w:p w14:paraId="4D70E117" w14:textId="77777777" w:rsidR="00511246" w:rsidRPr="00EE0EF7" w:rsidRDefault="00511246" w:rsidP="00511246">
      <w:pPr>
        <w:spacing w:before="240" w:after="240"/>
        <w:rPr>
          <w:u w:val="single"/>
          <w:lang w:val="fr-FR"/>
        </w:rPr>
      </w:pPr>
      <w:r w:rsidRPr="00EE0EF7">
        <w:rPr>
          <w:u w:val="single"/>
          <w:lang w:val="fr-FR"/>
        </w:rPr>
        <w:t>Élimination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8"/>
        <w:gridCol w:w="1947"/>
        <w:gridCol w:w="2285"/>
      </w:tblGrid>
      <w:tr w:rsidR="00511246" w:rsidRPr="00EE0EF7" w14:paraId="0A948F21" w14:textId="77777777" w:rsidTr="00C74282">
        <w:trPr>
          <w:trHeight w:val="771"/>
        </w:trPr>
        <w:tc>
          <w:tcPr>
            <w:tcW w:w="2761" w:type="pct"/>
          </w:tcPr>
          <w:p w14:paraId="6F2DF01A" w14:textId="3264266A" w:rsidR="00511246" w:rsidRPr="00EE0EF7" w:rsidRDefault="00511246" w:rsidP="00511246">
            <w:pPr>
              <w:pStyle w:val="ListParagraph"/>
              <w:numPr>
                <w:ilvl w:val="0"/>
                <w:numId w:val="22"/>
              </w:numPr>
              <w:ind w:left="604" w:hanging="714"/>
              <w:jc w:val="left"/>
              <w:rPr>
                <w:lang w:val="fr-FR"/>
              </w:rPr>
            </w:pPr>
            <w:r w:rsidRPr="00EE0EF7">
              <w:rPr>
                <w:lang w:val="fr-FR"/>
              </w:rPr>
              <w:t xml:space="preserve">Plan de gestion de l'élimination des HCFC </w:t>
            </w:r>
            <w:r w:rsidR="00EE0EF7">
              <w:rPr>
                <w:lang w:val="fr-FR"/>
              </w:rPr>
              <w:br/>
            </w:r>
            <w:r w:rsidRPr="00EE0EF7">
              <w:rPr>
                <w:lang w:val="fr-FR"/>
              </w:rPr>
              <w:t>(phase III, première tranche)</w:t>
            </w:r>
          </w:p>
        </w:tc>
        <w:tc>
          <w:tcPr>
            <w:tcW w:w="1030" w:type="pct"/>
          </w:tcPr>
          <w:p w14:paraId="5060F6C7" w14:textId="4DFDDB1A" w:rsidR="00511246" w:rsidRPr="00EE0EF7" w:rsidRDefault="00511246">
            <w:pPr>
              <w:jc w:val="center"/>
              <w:rPr>
                <w:lang w:val="fr-FR"/>
              </w:rPr>
            </w:pPr>
            <w:r w:rsidRPr="00EE0EF7">
              <w:rPr>
                <w:lang w:val="fr-FR"/>
              </w:rPr>
              <w:t>ONUDI</w:t>
            </w:r>
          </w:p>
        </w:tc>
        <w:tc>
          <w:tcPr>
            <w:tcW w:w="1209" w:type="pct"/>
          </w:tcPr>
          <w:p w14:paraId="32E80856" w14:textId="2943F011" w:rsidR="00511246" w:rsidRPr="00EE0EF7" w:rsidRDefault="008A290B">
            <w:pPr>
              <w:jc w:val="right"/>
              <w:rPr>
                <w:lang w:val="fr-FR"/>
              </w:rPr>
            </w:pPr>
            <w:r w:rsidRPr="00EE0EF7">
              <w:rPr>
                <w:lang w:val="fr-FR"/>
              </w:rPr>
              <w:t>Pour examen individuel</w:t>
            </w:r>
          </w:p>
        </w:tc>
      </w:tr>
    </w:tbl>
    <w:p w14:paraId="2E461799" w14:textId="77777777" w:rsidR="008C5738" w:rsidRPr="00EE0EF7" w:rsidRDefault="008C5738" w:rsidP="00511246">
      <w:pPr>
        <w:pStyle w:val="StyleHeader4Para4Left0Firstline0"/>
        <w:numPr>
          <w:ilvl w:val="0"/>
          <w:numId w:val="0"/>
        </w:numPr>
        <w:rPr>
          <w:bCs/>
          <w:sz w:val="22"/>
          <w:lang w:val="fr-FR"/>
        </w:rPr>
      </w:pPr>
    </w:p>
    <w:p w14:paraId="52041D07" w14:textId="77777777" w:rsidR="00BB2764" w:rsidRPr="00EE0EF7" w:rsidRDefault="00BB2764" w:rsidP="00BB2764">
      <w:pPr>
        <w:rPr>
          <w:lang w:val="fr-FR"/>
        </w:rPr>
      </w:pPr>
    </w:p>
    <w:p w14:paraId="02DA6439" w14:textId="77777777" w:rsidR="008C5738" w:rsidRPr="00EE0EF7" w:rsidRDefault="004E7F9C" w:rsidP="00BB2764">
      <w:pPr>
        <w:pStyle w:val="StyleHeader4Para4Left0Firstline0"/>
        <w:numPr>
          <w:ilvl w:val="0"/>
          <w:numId w:val="0"/>
        </w:numPr>
        <w:tabs>
          <w:tab w:val="clear" w:pos="2880"/>
          <w:tab w:val="clear" w:pos="5760"/>
        </w:tabs>
        <w:jc w:val="center"/>
        <w:rPr>
          <w:b/>
          <w:sz w:val="22"/>
          <w:lang w:val="fr-FR"/>
        </w:rPr>
      </w:pPr>
      <w:r w:rsidRPr="00EE0EF7">
        <w:rPr>
          <w:b/>
          <w:sz w:val="22"/>
          <w:lang w:val="fr-FR"/>
        </w:rPr>
        <w:br w:type="page"/>
      </w:r>
    </w:p>
    <w:p w14:paraId="3DB9D4C6" w14:textId="77777777" w:rsidR="00C74282" w:rsidRPr="00EE0EF7" w:rsidRDefault="00C74282" w:rsidP="00C74282">
      <w:pPr>
        <w:spacing w:after="120"/>
        <w:jc w:val="center"/>
        <w:rPr>
          <w:b/>
          <w:lang w:val="fr-FR"/>
        </w:rPr>
      </w:pPr>
      <w:r w:rsidRPr="00EE0EF7">
        <w:rPr>
          <w:b/>
          <w:lang w:val="fr-FR"/>
        </w:rPr>
        <w:lastRenderedPageBreak/>
        <w:t>FICHE D’ÉVALUATION DE PROJET – PROJETS PLURIANNUELS</w:t>
      </w:r>
    </w:p>
    <w:p w14:paraId="1D24905D" w14:textId="77777777" w:rsidR="00C74282" w:rsidRPr="00EE0EF7" w:rsidRDefault="00C74282" w:rsidP="00C74282">
      <w:pPr>
        <w:spacing w:before="240" w:after="240"/>
        <w:jc w:val="center"/>
        <w:rPr>
          <w:b/>
          <w:lang w:val="fr-FR"/>
        </w:rPr>
      </w:pPr>
      <w:r w:rsidRPr="00EE0EF7">
        <w:rPr>
          <w:b/>
          <w:lang w:val="fr-FR"/>
        </w:rPr>
        <w:t>Argentine</w:t>
      </w:r>
    </w:p>
    <w:tbl>
      <w:tblPr>
        <w:tblStyle w:val="TableGrid"/>
        <w:tblW w:w="5535" w:type="pct"/>
        <w:jc w:val="center"/>
        <w:tblCellMar>
          <w:top w:w="28" w:type="dxa"/>
          <w:bottom w:w="28" w:type="dxa"/>
        </w:tblCellMar>
        <w:tblLook w:val="04A0" w:firstRow="1" w:lastRow="0" w:firstColumn="1" w:lastColumn="0" w:noHBand="0" w:noVBand="1"/>
      </w:tblPr>
      <w:tblGrid>
        <w:gridCol w:w="5296"/>
        <w:gridCol w:w="5154"/>
      </w:tblGrid>
      <w:tr w:rsidR="00C74282" w:rsidRPr="000B3938" w14:paraId="5F20664A" w14:textId="77777777">
        <w:trPr>
          <w:trHeight w:val="139"/>
          <w:jc w:val="center"/>
        </w:trPr>
        <w:tc>
          <w:tcPr>
            <w:tcW w:w="2534" w:type="pct"/>
          </w:tcPr>
          <w:p w14:paraId="1EC310DC" w14:textId="77777777" w:rsidR="00C74282" w:rsidRPr="000B3938" w:rsidRDefault="00C74282">
            <w:pPr>
              <w:rPr>
                <w:b/>
                <w:sz w:val="19"/>
                <w:szCs w:val="19"/>
                <w:lang w:val="fr-FR"/>
              </w:rPr>
            </w:pPr>
            <w:r w:rsidRPr="000B3938">
              <w:rPr>
                <w:b/>
                <w:sz w:val="19"/>
                <w:szCs w:val="19"/>
                <w:lang w:val="fr-FR"/>
              </w:rPr>
              <w:t>I) TITRE DU PROJET</w:t>
            </w:r>
          </w:p>
        </w:tc>
        <w:tc>
          <w:tcPr>
            <w:tcW w:w="2466" w:type="pct"/>
          </w:tcPr>
          <w:p w14:paraId="3C6A8FEE" w14:textId="77777777" w:rsidR="00C74282" w:rsidRPr="000B3938" w:rsidRDefault="00C74282">
            <w:pPr>
              <w:jc w:val="center"/>
              <w:rPr>
                <w:b/>
                <w:sz w:val="19"/>
                <w:szCs w:val="19"/>
                <w:lang w:val="fr-FR"/>
              </w:rPr>
            </w:pPr>
            <w:r w:rsidRPr="000B3938">
              <w:rPr>
                <w:b/>
                <w:sz w:val="19"/>
                <w:szCs w:val="19"/>
                <w:lang w:val="fr-FR"/>
              </w:rPr>
              <w:t>AGENCE</w:t>
            </w:r>
          </w:p>
        </w:tc>
      </w:tr>
      <w:tr w:rsidR="00C74282" w:rsidRPr="000B3938" w14:paraId="12CF9A3B" w14:textId="77777777">
        <w:trPr>
          <w:trHeight w:val="40"/>
          <w:jc w:val="center"/>
        </w:trPr>
        <w:tc>
          <w:tcPr>
            <w:tcW w:w="2534" w:type="pct"/>
            <w:vAlign w:val="center"/>
          </w:tcPr>
          <w:p w14:paraId="79011400" w14:textId="77777777" w:rsidR="00C74282" w:rsidRPr="000B3938" w:rsidRDefault="00C74282">
            <w:pPr>
              <w:jc w:val="center"/>
              <w:rPr>
                <w:color w:val="000000" w:themeColor="text1"/>
                <w:sz w:val="19"/>
                <w:szCs w:val="19"/>
                <w:lang w:val="fr-FR"/>
              </w:rPr>
            </w:pPr>
            <w:r w:rsidRPr="000B3938">
              <w:rPr>
                <w:color w:val="000000" w:themeColor="text1"/>
                <w:sz w:val="19"/>
                <w:szCs w:val="19"/>
                <w:lang w:val="fr-FR"/>
              </w:rPr>
              <w:t>Plan de gestion de l’élimination des HCFC (phase III)</w:t>
            </w:r>
          </w:p>
        </w:tc>
        <w:tc>
          <w:tcPr>
            <w:tcW w:w="2466" w:type="pct"/>
            <w:vAlign w:val="center"/>
          </w:tcPr>
          <w:p w14:paraId="39692C27" w14:textId="77777777" w:rsidR="00C74282" w:rsidRPr="000B3938" w:rsidRDefault="00C74282">
            <w:pPr>
              <w:jc w:val="center"/>
              <w:rPr>
                <w:color w:val="000000" w:themeColor="text1"/>
                <w:sz w:val="19"/>
                <w:szCs w:val="19"/>
                <w:lang w:val="fr-FR"/>
              </w:rPr>
            </w:pPr>
            <w:r w:rsidRPr="000B3938">
              <w:rPr>
                <w:color w:val="000000" w:themeColor="text1"/>
                <w:sz w:val="19"/>
                <w:szCs w:val="19"/>
                <w:lang w:val="fr-FR"/>
              </w:rPr>
              <w:t>ONUDI (principale)</w:t>
            </w:r>
          </w:p>
        </w:tc>
      </w:tr>
    </w:tbl>
    <w:p w14:paraId="415C768A" w14:textId="77777777" w:rsidR="00C74282" w:rsidRPr="000B3938" w:rsidRDefault="00C74282" w:rsidP="00C74282">
      <w:pPr>
        <w:jc w:val="center"/>
        <w:rPr>
          <w:sz w:val="19"/>
          <w:szCs w:val="19"/>
          <w:lang w:val="fr-FR"/>
        </w:rPr>
      </w:pPr>
    </w:p>
    <w:tbl>
      <w:tblPr>
        <w:tblStyle w:val="TableGrid"/>
        <w:tblW w:w="5534" w:type="pct"/>
        <w:jc w:val="center"/>
        <w:tblCellMar>
          <w:top w:w="28" w:type="dxa"/>
          <w:bottom w:w="28" w:type="dxa"/>
        </w:tblCellMar>
        <w:tblLook w:val="04A0" w:firstRow="1" w:lastRow="0" w:firstColumn="1" w:lastColumn="0" w:noHBand="0" w:noVBand="1"/>
      </w:tblPr>
      <w:tblGrid>
        <w:gridCol w:w="5295"/>
        <w:gridCol w:w="2159"/>
        <w:gridCol w:w="2994"/>
      </w:tblGrid>
      <w:tr w:rsidR="00C74282" w:rsidRPr="000B3938" w14:paraId="6950858E" w14:textId="77777777">
        <w:trPr>
          <w:trHeight w:val="77"/>
          <w:jc w:val="center"/>
        </w:trPr>
        <w:tc>
          <w:tcPr>
            <w:tcW w:w="2534" w:type="pct"/>
          </w:tcPr>
          <w:p w14:paraId="133C7350" w14:textId="77777777" w:rsidR="00C74282" w:rsidRPr="000B3938" w:rsidRDefault="00C74282">
            <w:pPr>
              <w:jc w:val="left"/>
              <w:rPr>
                <w:b/>
                <w:sz w:val="19"/>
                <w:szCs w:val="19"/>
                <w:lang w:val="fr-FR"/>
              </w:rPr>
            </w:pPr>
            <w:r w:rsidRPr="000B3938">
              <w:rPr>
                <w:b/>
                <w:sz w:val="19"/>
                <w:szCs w:val="19"/>
                <w:lang w:val="fr-FR"/>
              </w:rPr>
              <w:t>II) DERNIÈRES DONNÉES COMMUNIQUÉES EN VERTU DE L’ARTICLE 7 (Annexe C Groupe l)</w:t>
            </w:r>
          </w:p>
        </w:tc>
        <w:tc>
          <w:tcPr>
            <w:tcW w:w="1033" w:type="pct"/>
          </w:tcPr>
          <w:p w14:paraId="11207C1D" w14:textId="0CBF61A4" w:rsidR="00C74282" w:rsidRPr="000B3938" w:rsidRDefault="00C74282">
            <w:pPr>
              <w:jc w:val="center"/>
              <w:rPr>
                <w:sz w:val="19"/>
                <w:szCs w:val="19"/>
                <w:lang w:val="fr-FR"/>
              </w:rPr>
            </w:pPr>
            <w:r w:rsidRPr="000B3938">
              <w:rPr>
                <w:sz w:val="19"/>
                <w:szCs w:val="19"/>
                <w:lang w:val="fr-FR"/>
              </w:rPr>
              <w:t>Année :</w:t>
            </w:r>
            <w:r w:rsidR="008A290B" w:rsidRPr="000B3938">
              <w:rPr>
                <w:sz w:val="19"/>
                <w:szCs w:val="19"/>
                <w:lang w:val="fr-FR"/>
              </w:rPr>
              <w:t xml:space="preserve"> </w:t>
            </w:r>
            <w:r w:rsidRPr="000B3938">
              <w:rPr>
                <w:sz w:val="19"/>
                <w:szCs w:val="19"/>
                <w:lang w:val="fr-FR"/>
              </w:rPr>
              <w:t>2024</w:t>
            </w:r>
          </w:p>
        </w:tc>
        <w:tc>
          <w:tcPr>
            <w:tcW w:w="1433" w:type="pct"/>
          </w:tcPr>
          <w:p w14:paraId="264612EB" w14:textId="77777777" w:rsidR="00C74282" w:rsidRPr="000B3938" w:rsidRDefault="00C74282">
            <w:pPr>
              <w:jc w:val="right"/>
              <w:rPr>
                <w:sz w:val="19"/>
                <w:szCs w:val="19"/>
                <w:lang w:val="fr-FR"/>
              </w:rPr>
            </w:pPr>
            <w:r w:rsidRPr="000B3938">
              <w:rPr>
                <w:color w:val="000000" w:themeColor="text1"/>
                <w:sz w:val="19"/>
                <w:szCs w:val="19"/>
                <w:lang w:val="fr-FR"/>
              </w:rPr>
              <w:t>158,45</w:t>
            </w:r>
            <w:r w:rsidRPr="000B3938">
              <w:rPr>
                <w:sz w:val="19"/>
                <w:szCs w:val="19"/>
                <w:lang w:val="fr-FR"/>
              </w:rPr>
              <w:t xml:space="preserve"> tonnes PAO</w:t>
            </w:r>
          </w:p>
        </w:tc>
      </w:tr>
    </w:tbl>
    <w:p w14:paraId="51207DAA" w14:textId="77777777" w:rsidR="00C74282" w:rsidRPr="000B3938" w:rsidRDefault="00C74282" w:rsidP="00C74282">
      <w:pPr>
        <w:jc w:val="center"/>
        <w:rPr>
          <w:sz w:val="19"/>
          <w:szCs w:val="19"/>
          <w:lang w:val="fr-FR"/>
        </w:rPr>
      </w:pPr>
    </w:p>
    <w:tbl>
      <w:tblPr>
        <w:tblStyle w:val="TableGrid"/>
        <w:tblW w:w="5530" w:type="pct"/>
        <w:jc w:val="center"/>
        <w:tblLayout w:type="fixed"/>
        <w:tblLook w:val="04A0" w:firstRow="1" w:lastRow="0" w:firstColumn="1" w:lastColumn="0" w:noHBand="0" w:noVBand="1"/>
      </w:tblPr>
      <w:tblGrid>
        <w:gridCol w:w="1525"/>
        <w:gridCol w:w="900"/>
        <w:gridCol w:w="900"/>
        <w:gridCol w:w="990"/>
        <w:gridCol w:w="1080"/>
        <w:gridCol w:w="900"/>
        <w:gridCol w:w="810"/>
        <w:gridCol w:w="1260"/>
        <w:gridCol w:w="990"/>
        <w:gridCol w:w="1086"/>
      </w:tblGrid>
      <w:tr w:rsidR="00C74282" w:rsidRPr="000B3938" w14:paraId="1FC29E25" w14:textId="77777777" w:rsidTr="00141694">
        <w:trPr>
          <w:trHeight w:val="43"/>
          <w:jc w:val="center"/>
        </w:trPr>
        <w:tc>
          <w:tcPr>
            <w:tcW w:w="9355" w:type="dxa"/>
            <w:gridSpan w:val="9"/>
          </w:tcPr>
          <w:p w14:paraId="6681BDDE" w14:textId="77777777" w:rsidR="00C74282" w:rsidRPr="000B3938" w:rsidRDefault="00C74282" w:rsidP="00141694">
            <w:pPr>
              <w:spacing w:after="60"/>
              <w:ind w:left="-243" w:firstLine="243"/>
              <w:contextualSpacing/>
              <w:jc w:val="left"/>
              <w:rPr>
                <w:b/>
                <w:sz w:val="19"/>
                <w:szCs w:val="19"/>
                <w:lang w:val="fr-FR"/>
              </w:rPr>
            </w:pPr>
            <w:r w:rsidRPr="000B3938">
              <w:rPr>
                <w:b/>
                <w:sz w:val="19"/>
                <w:szCs w:val="19"/>
                <w:lang w:val="fr-FR"/>
              </w:rPr>
              <w:t>III) DERNIÈRES DONNÉES SECTORIELLES DU PROGRAMME DU PAYS (tonnes PAO)</w:t>
            </w:r>
          </w:p>
        </w:tc>
        <w:tc>
          <w:tcPr>
            <w:tcW w:w="1086" w:type="dxa"/>
          </w:tcPr>
          <w:p w14:paraId="1A5DE90F" w14:textId="487D6C38" w:rsidR="00C74282" w:rsidRPr="000B3938" w:rsidRDefault="00141694" w:rsidP="00141694">
            <w:pPr>
              <w:spacing w:after="60"/>
              <w:ind w:left="-243" w:firstLine="139"/>
              <w:contextualSpacing/>
              <w:jc w:val="right"/>
              <w:rPr>
                <w:b/>
                <w:sz w:val="19"/>
                <w:szCs w:val="19"/>
                <w:lang w:val="fr-FR"/>
              </w:rPr>
            </w:pPr>
            <w:r>
              <w:rPr>
                <w:b/>
                <w:sz w:val="19"/>
                <w:szCs w:val="19"/>
                <w:lang w:val="fr-FR"/>
              </w:rPr>
              <w:t xml:space="preserve"> </w:t>
            </w:r>
            <w:r w:rsidR="00C74282" w:rsidRPr="000B3938">
              <w:rPr>
                <w:b/>
                <w:sz w:val="19"/>
                <w:szCs w:val="19"/>
                <w:lang w:val="fr-FR"/>
              </w:rPr>
              <w:t>Année :</w:t>
            </w:r>
            <w:r w:rsidR="00C74282" w:rsidRPr="000B3938">
              <w:rPr>
                <w:b/>
                <w:color w:val="000000" w:themeColor="text1"/>
                <w:sz w:val="19"/>
                <w:szCs w:val="19"/>
                <w:lang w:val="fr-FR"/>
              </w:rPr>
              <w:t>2024</w:t>
            </w:r>
          </w:p>
        </w:tc>
      </w:tr>
      <w:tr w:rsidR="00C74282" w:rsidRPr="000B3938" w14:paraId="6F076D8E" w14:textId="77777777" w:rsidTr="00141694">
        <w:trPr>
          <w:trHeight w:val="520"/>
          <w:jc w:val="center"/>
        </w:trPr>
        <w:tc>
          <w:tcPr>
            <w:tcW w:w="1525" w:type="dxa"/>
            <w:vAlign w:val="center"/>
          </w:tcPr>
          <w:p w14:paraId="0839C60A" w14:textId="77777777" w:rsidR="00C74282" w:rsidRPr="000B3938" w:rsidRDefault="00C74282">
            <w:pPr>
              <w:spacing w:after="60"/>
              <w:contextualSpacing/>
              <w:jc w:val="center"/>
              <w:rPr>
                <w:sz w:val="19"/>
                <w:szCs w:val="19"/>
                <w:lang w:val="fr-FR"/>
              </w:rPr>
            </w:pPr>
            <w:r w:rsidRPr="000B3938">
              <w:rPr>
                <w:sz w:val="19"/>
                <w:szCs w:val="19"/>
                <w:lang w:val="fr-FR"/>
              </w:rPr>
              <w:t>Produits chimiques</w:t>
            </w:r>
          </w:p>
        </w:tc>
        <w:tc>
          <w:tcPr>
            <w:tcW w:w="900" w:type="dxa"/>
            <w:vAlign w:val="center"/>
          </w:tcPr>
          <w:p w14:paraId="2B6F23E2" w14:textId="77777777" w:rsidR="00C74282" w:rsidRPr="000B3938" w:rsidRDefault="00C74282">
            <w:pPr>
              <w:spacing w:after="60"/>
              <w:ind w:left="-106" w:right="-97"/>
              <w:contextualSpacing/>
              <w:jc w:val="center"/>
              <w:rPr>
                <w:sz w:val="19"/>
                <w:szCs w:val="19"/>
                <w:lang w:val="fr-FR"/>
              </w:rPr>
            </w:pPr>
            <w:r w:rsidRPr="000B3938">
              <w:rPr>
                <w:sz w:val="19"/>
                <w:szCs w:val="19"/>
                <w:lang w:val="fr-FR"/>
              </w:rPr>
              <w:t>Aérosols</w:t>
            </w:r>
          </w:p>
        </w:tc>
        <w:tc>
          <w:tcPr>
            <w:tcW w:w="900" w:type="dxa"/>
            <w:vAlign w:val="center"/>
          </w:tcPr>
          <w:p w14:paraId="61C05C0F" w14:textId="77777777" w:rsidR="00C74282" w:rsidRPr="000B3938" w:rsidRDefault="00C74282">
            <w:pPr>
              <w:spacing w:after="60"/>
              <w:contextualSpacing/>
              <w:jc w:val="center"/>
              <w:rPr>
                <w:sz w:val="19"/>
                <w:szCs w:val="19"/>
                <w:lang w:val="fr-FR"/>
              </w:rPr>
            </w:pPr>
            <w:r w:rsidRPr="000B3938">
              <w:rPr>
                <w:sz w:val="19"/>
                <w:szCs w:val="19"/>
                <w:lang w:val="fr-FR"/>
              </w:rPr>
              <w:t>Mousses</w:t>
            </w:r>
          </w:p>
        </w:tc>
        <w:tc>
          <w:tcPr>
            <w:tcW w:w="990" w:type="dxa"/>
            <w:vAlign w:val="center"/>
          </w:tcPr>
          <w:p w14:paraId="2B9885D0" w14:textId="77777777" w:rsidR="00C74282" w:rsidRPr="000B3938" w:rsidRDefault="00C74282">
            <w:pPr>
              <w:spacing w:after="60"/>
              <w:ind w:left="-106" w:right="-112"/>
              <w:contextualSpacing/>
              <w:jc w:val="center"/>
              <w:rPr>
                <w:sz w:val="19"/>
                <w:szCs w:val="19"/>
                <w:lang w:val="fr-FR"/>
              </w:rPr>
            </w:pPr>
            <w:r w:rsidRPr="000B3938">
              <w:rPr>
                <w:sz w:val="19"/>
                <w:szCs w:val="19"/>
                <w:lang w:val="fr-FR"/>
              </w:rPr>
              <w:t>Lutte contre l’incendie</w:t>
            </w:r>
          </w:p>
        </w:tc>
        <w:tc>
          <w:tcPr>
            <w:tcW w:w="1980" w:type="dxa"/>
            <w:gridSpan w:val="2"/>
            <w:vAlign w:val="center"/>
          </w:tcPr>
          <w:p w14:paraId="155258A7" w14:textId="77777777" w:rsidR="00C74282" w:rsidRPr="000B3938" w:rsidRDefault="00C74282">
            <w:pPr>
              <w:spacing w:after="60"/>
              <w:contextualSpacing/>
              <w:jc w:val="center"/>
              <w:rPr>
                <w:sz w:val="19"/>
                <w:szCs w:val="19"/>
                <w:lang w:val="fr-FR"/>
              </w:rPr>
            </w:pPr>
            <w:r w:rsidRPr="000B3938">
              <w:rPr>
                <w:sz w:val="19"/>
                <w:szCs w:val="19"/>
                <w:lang w:val="fr-FR"/>
              </w:rPr>
              <w:t>Réfrigération</w:t>
            </w:r>
          </w:p>
        </w:tc>
        <w:tc>
          <w:tcPr>
            <w:tcW w:w="810" w:type="dxa"/>
            <w:vAlign w:val="center"/>
          </w:tcPr>
          <w:p w14:paraId="131FBB37" w14:textId="77777777" w:rsidR="00C74282" w:rsidRPr="000B3938" w:rsidRDefault="00C74282">
            <w:pPr>
              <w:spacing w:after="60"/>
              <w:ind w:left="-106" w:right="-105"/>
              <w:contextualSpacing/>
              <w:jc w:val="center"/>
              <w:rPr>
                <w:sz w:val="19"/>
                <w:szCs w:val="19"/>
                <w:lang w:val="fr-FR"/>
              </w:rPr>
            </w:pPr>
            <w:r w:rsidRPr="000B3938">
              <w:rPr>
                <w:sz w:val="19"/>
                <w:szCs w:val="19"/>
                <w:lang w:val="fr-FR"/>
              </w:rPr>
              <w:t>Solvants</w:t>
            </w:r>
          </w:p>
        </w:tc>
        <w:tc>
          <w:tcPr>
            <w:tcW w:w="1260" w:type="dxa"/>
            <w:vAlign w:val="center"/>
          </w:tcPr>
          <w:p w14:paraId="435DD777" w14:textId="77777777" w:rsidR="00C74282" w:rsidRPr="000B3938" w:rsidRDefault="00C74282">
            <w:pPr>
              <w:spacing w:after="60"/>
              <w:ind w:left="-105" w:right="-125"/>
              <w:contextualSpacing/>
              <w:jc w:val="center"/>
              <w:rPr>
                <w:sz w:val="19"/>
                <w:szCs w:val="19"/>
                <w:lang w:val="fr-FR"/>
              </w:rPr>
            </w:pPr>
            <w:r w:rsidRPr="000B3938">
              <w:rPr>
                <w:sz w:val="19"/>
                <w:szCs w:val="19"/>
                <w:lang w:val="fr-FR"/>
              </w:rPr>
              <w:t>Agents de transformation</w:t>
            </w:r>
          </w:p>
        </w:tc>
        <w:tc>
          <w:tcPr>
            <w:tcW w:w="990" w:type="dxa"/>
            <w:vAlign w:val="center"/>
          </w:tcPr>
          <w:p w14:paraId="021FC9B3" w14:textId="77777777" w:rsidR="00C74282" w:rsidRPr="000B3938" w:rsidRDefault="00C74282">
            <w:pPr>
              <w:spacing w:after="60"/>
              <w:ind w:left="-118" w:right="-106"/>
              <w:contextualSpacing/>
              <w:jc w:val="center"/>
              <w:rPr>
                <w:sz w:val="19"/>
                <w:szCs w:val="19"/>
                <w:lang w:val="fr-FR"/>
              </w:rPr>
            </w:pPr>
            <w:r w:rsidRPr="000B3938">
              <w:rPr>
                <w:sz w:val="19"/>
                <w:szCs w:val="19"/>
                <w:lang w:val="fr-FR"/>
              </w:rPr>
              <w:t>Utilisation en laboratoire</w:t>
            </w:r>
          </w:p>
        </w:tc>
        <w:tc>
          <w:tcPr>
            <w:tcW w:w="1086" w:type="dxa"/>
            <w:vAlign w:val="center"/>
          </w:tcPr>
          <w:p w14:paraId="188986DC" w14:textId="77777777" w:rsidR="00C74282" w:rsidRPr="000B3938" w:rsidRDefault="00C74282">
            <w:pPr>
              <w:spacing w:after="60"/>
              <w:ind w:left="-118" w:right="-106"/>
              <w:contextualSpacing/>
              <w:jc w:val="center"/>
              <w:rPr>
                <w:sz w:val="19"/>
                <w:szCs w:val="19"/>
                <w:lang w:val="fr-FR"/>
              </w:rPr>
            </w:pPr>
            <w:r w:rsidRPr="000B3938">
              <w:rPr>
                <w:sz w:val="19"/>
                <w:szCs w:val="19"/>
                <w:lang w:val="fr-FR"/>
              </w:rPr>
              <w:t>Utilisation totale*</w:t>
            </w:r>
          </w:p>
        </w:tc>
      </w:tr>
      <w:tr w:rsidR="00C74282" w:rsidRPr="000B3938" w14:paraId="4313D507" w14:textId="77777777" w:rsidTr="007F0F0E">
        <w:trPr>
          <w:trHeight w:val="43"/>
          <w:jc w:val="center"/>
        </w:trPr>
        <w:tc>
          <w:tcPr>
            <w:tcW w:w="4315" w:type="dxa"/>
            <w:gridSpan w:val="4"/>
            <w:vAlign w:val="center"/>
          </w:tcPr>
          <w:p w14:paraId="0B02C3F2" w14:textId="77777777" w:rsidR="00C74282" w:rsidRPr="000B3938" w:rsidRDefault="00C74282">
            <w:pPr>
              <w:spacing w:after="60"/>
              <w:contextualSpacing/>
              <w:jc w:val="center"/>
              <w:rPr>
                <w:sz w:val="19"/>
                <w:szCs w:val="19"/>
                <w:lang w:val="fr-FR"/>
              </w:rPr>
            </w:pPr>
          </w:p>
        </w:tc>
        <w:tc>
          <w:tcPr>
            <w:tcW w:w="1080" w:type="dxa"/>
            <w:vAlign w:val="center"/>
          </w:tcPr>
          <w:p w14:paraId="0423C900" w14:textId="77777777" w:rsidR="00C74282" w:rsidRPr="000B3938" w:rsidRDefault="00C74282">
            <w:pPr>
              <w:spacing w:after="60"/>
              <w:ind w:left="-83" w:right="-68"/>
              <w:contextualSpacing/>
              <w:jc w:val="center"/>
              <w:rPr>
                <w:sz w:val="19"/>
                <w:szCs w:val="19"/>
                <w:lang w:val="fr-FR"/>
              </w:rPr>
            </w:pPr>
            <w:r w:rsidRPr="000B3938">
              <w:rPr>
                <w:sz w:val="19"/>
                <w:szCs w:val="19"/>
                <w:lang w:val="fr-FR"/>
              </w:rPr>
              <w:t>Fabrication</w:t>
            </w:r>
          </w:p>
        </w:tc>
        <w:tc>
          <w:tcPr>
            <w:tcW w:w="900" w:type="dxa"/>
            <w:vAlign w:val="center"/>
          </w:tcPr>
          <w:p w14:paraId="6BE2AD4F" w14:textId="77777777" w:rsidR="00C74282" w:rsidRPr="000B3938" w:rsidRDefault="00C74282">
            <w:pPr>
              <w:spacing w:after="60"/>
              <w:ind w:left="-110" w:right="-117"/>
              <w:contextualSpacing/>
              <w:jc w:val="center"/>
              <w:rPr>
                <w:sz w:val="19"/>
                <w:szCs w:val="19"/>
                <w:lang w:val="fr-FR"/>
              </w:rPr>
            </w:pPr>
            <w:r w:rsidRPr="000B3938">
              <w:rPr>
                <w:sz w:val="19"/>
                <w:szCs w:val="19"/>
                <w:lang w:val="fr-FR"/>
              </w:rPr>
              <w:t>Entretien</w:t>
            </w:r>
          </w:p>
        </w:tc>
        <w:tc>
          <w:tcPr>
            <w:tcW w:w="4146" w:type="dxa"/>
            <w:gridSpan w:val="4"/>
          </w:tcPr>
          <w:p w14:paraId="721FA542" w14:textId="77777777" w:rsidR="00C74282" w:rsidRPr="000B3938" w:rsidRDefault="00C74282">
            <w:pPr>
              <w:spacing w:after="60"/>
              <w:contextualSpacing/>
              <w:jc w:val="center"/>
              <w:rPr>
                <w:sz w:val="19"/>
                <w:szCs w:val="19"/>
                <w:lang w:val="fr-FR"/>
              </w:rPr>
            </w:pPr>
          </w:p>
        </w:tc>
      </w:tr>
      <w:tr w:rsidR="00C74282" w:rsidRPr="000B3938" w14:paraId="684C635E" w14:textId="77777777" w:rsidTr="00141694">
        <w:trPr>
          <w:trHeight w:val="43"/>
          <w:jc w:val="center"/>
        </w:trPr>
        <w:tc>
          <w:tcPr>
            <w:tcW w:w="1525" w:type="dxa"/>
          </w:tcPr>
          <w:p w14:paraId="6AE057B7" w14:textId="77777777" w:rsidR="00C74282" w:rsidRPr="000B3938" w:rsidRDefault="00C74282">
            <w:pPr>
              <w:spacing w:after="60"/>
              <w:contextualSpacing/>
              <w:jc w:val="left"/>
              <w:rPr>
                <w:sz w:val="19"/>
                <w:szCs w:val="19"/>
                <w:lang w:val="fr-FR"/>
              </w:rPr>
            </w:pPr>
            <w:r w:rsidRPr="000B3938">
              <w:rPr>
                <w:color w:val="000000" w:themeColor="text1"/>
                <w:sz w:val="19"/>
                <w:szCs w:val="19"/>
                <w:lang w:val="fr-FR"/>
              </w:rPr>
              <w:t>HCFC-22</w:t>
            </w:r>
          </w:p>
        </w:tc>
        <w:tc>
          <w:tcPr>
            <w:tcW w:w="900" w:type="dxa"/>
          </w:tcPr>
          <w:p w14:paraId="3B91F015" w14:textId="77777777" w:rsidR="00C74282" w:rsidRPr="000B3938" w:rsidRDefault="00C74282">
            <w:pPr>
              <w:spacing w:after="60"/>
              <w:contextualSpacing/>
              <w:jc w:val="right"/>
              <w:rPr>
                <w:sz w:val="19"/>
                <w:szCs w:val="19"/>
                <w:lang w:val="fr-FR"/>
              </w:rPr>
            </w:pPr>
            <w:r w:rsidRPr="000B3938">
              <w:rPr>
                <w:sz w:val="19"/>
                <w:szCs w:val="19"/>
                <w:lang w:val="fr-FR"/>
              </w:rPr>
              <w:t>0,10</w:t>
            </w:r>
          </w:p>
        </w:tc>
        <w:tc>
          <w:tcPr>
            <w:tcW w:w="900" w:type="dxa"/>
          </w:tcPr>
          <w:p w14:paraId="68B41EFB" w14:textId="77777777" w:rsidR="00C74282" w:rsidRPr="000B3938" w:rsidRDefault="00C74282">
            <w:pPr>
              <w:spacing w:after="60"/>
              <w:contextualSpacing/>
              <w:jc w:val="right"/>
              <w:rPr>
                <w:sz w:val="19"/>
                <w:szCs w:val="19"/>
                <w:lang w:val="fr-FR"/>
              </w:rPr>
            </w:pPr>
          </w:p>
        </w:tc>
        <w:tc>
          <w:tcPr>
            <w:tcW w:w="990" w:type="dxa"/>
          </w:tcPr>
          <w:p w14:paraId="61157CB7" w14:textId="77777777" w:rsidR="00C74282" w:rsidRPr="000B3938" w:rsidRDefault="00C74282">
            <w:pPr>
              <w:spacing w:after="60"/>
              <w:contextualSpacing/>
              <w:jc w:val="right"/>
              <w:rPr>
                <w:sz w:val="19"/>
                <w:szCs w:val="19"/>
                <w:lang w:val="fr-FR"/>
              </w:rPr>
            </w:pPr>
          </w:p>
        </w:tc>
        <w:tc>
          <w:tcPr>
            <w:tcW w:w="1080" w:type="dxa"/>
          </w:tcPr>
          <w:p w14:paraId="105E6A26" w14:textId="77777777" w:rsidR="00C74282" w:rsidRPr="000B3938" w:rsidRDefault="00C74282">
            <w:pPr>
              <w:spacing w:after="60"/>
              <w:contextualSpacing/>
              <w:jc w:val="right"/>
              <w:rPr>
                <w:sz w:val="19"/>
                <w:szCs w:val="19"/>
                <w:lang w:val="fr-FR"/>
              </w:rPr>
            </w:pPr>
            <w:r w:rsidRPr="000B3938">
              <w:rPr>
                <w:sz w:val="19"/>
                <w:szCs w:val="19"/>
                <w:lang w:val="fr-FR"/>
              </w:rPr>
              <w:t>2,20</w:t>
            </w:r>
          </w:p>
        </w:tc>
        <w:tc>
          <w:tcPr>
            <w:tcW w:w="900" w:type="dxa"/>
          </w:tcPr>
          <w:p w14:paraId="111AFC57" w14:textId="77777777" w:rsidR="00C74282" w:rsidRPr="000B3938" w:rsidRDefault="00C74282">
            <w:pPr>
              <w:spacing w:after="60"/>
              <w:contextualSpacing/>
              <w:jc w:val="right"/>
              <w:rPr>
                <w:sz w:val="19"/>
                <w:szCs w:val="19"/>
                <w:lang w:val="fr-FR"/>
              </w:rPr>
            </w:pPr>
            <w:r w:rsidRPr="000B3938">
              <w:rPr>
                <w:sz w:val="19"/>
                <w:szCs w:val="19"/>
                <w:lang w:val="fr-FR"/>
              </w:rPr>
              <w:t>59,60</w:t>
            </w:r>
          </w:p>
        </w:tc>
        <w:tc>
          <w:tcPr>
            <w:tcW w:w="810" w:type="dxa"/>
          </w:tcPr>
          <w:p w14:paraId="534F427D" w14:textId="77777777" w:rsidR="00C74282" w:rsidRPr="000B3938" w:rsidRDefault="00C74282">
            <w:pPr>
              <w:spacing w:after="60"/>
              <w:contextualSpacing/>
              <w:jc w:val="right"/>
              <w:rPr>
                <w:sz w:val="19"/>
                <w:szCs w:val="19"/>
                <w:lang w:val="fr-FR"/>
              </w:rPr>
            </w:pPr>
          </w:p>
        </w:tc>
        <w:tc>
          <w:tcPr>
            <w:tcW w:w="1260" w:type="dxa"/>
          </w:tcPr>
          <w:p w14:paraId="22B687AF" w14:textId="77777777" w:rsidR="00C74282" w:rsidRPr="000B3938" w:rsidRDefault="00C74282">
            <w:pPr>
              <w:spacing w:after="60"/>
              <w:contextualSpacing/>
              <w:jc w:val="right"/>
              <w:rPr>
                <w:sz w:val="19"/>
                <w:szCs w:val="19"/>
                <w:lang w:val="fr-FR"/>
              </w:rPr>
            </w:pPr>
          </w:p>
        </w:tc>
        <w:tc>
          <w:tcPr>
            <w:tcW w:w="990" w:type="dxa"/>
          </w:tcPr>
          <w:p w14:paraId="4F8008FC" w14:textId="77777777" w:rsidR="00C74282" w:rsidRPr="000B3938" w:rsidRDefault="00C74282">
            <w:pPr>
              <w:spacing w:after="60"/>
              <w:contextualSpacing/>
              <w:jc w:val="right"/>
              <w:rPr>
                <w:sz w:val="19"/>
                <w:szCs w:val="19"/>
                <w:lang w:val="fr-FR"/>
              </w:rPr>
            </w:pPr>
          </w:p>
        </w:tc>
        <w:tc>
          <w:tcPr>
            <w:tcW w:w="1086" w:type="dxa"/>
          </w:tcPr>
          <w:p w14:paraId="7DE57F2A" w14:textId="77777777" w:rsidR="00C74282" w:rsidRPr="000B3938" w:rsidRDefault="00C74282">
            <w:pPr>
              <w:spacing w:after="60"/>
              <w:contextualSpacing/>
              <w:jc w:val="right"/>
              <w:rPr>
                <w:sz w:val="19"/>
                <w:szCs w:val="19"/>
                <w:lang w:val="fr-FR"/>
              </w:rPr>
            </w:pPr>
            <w:r w:rsidRPr="000B3938">
              <w:rPr>
                <w:sz w:val="19"/>
                <w:szCs w:val="19"/>
                <w:lang w:val="fr-FR"/>
              </w:rPr>
              <w:t>61,90</w:t>
            </w:r>
          </w:p>
        </w:tc>
      </w:tr>
      <w:tr w:rsidR="00C74282" w:rsidRPr="000B3938" w14:paraId="6033709B" w14:textId="77777777" w:rsidTr="00141694">
        <w:trPr>
          <w:trHeight w:val="43"/>
          <w:jc w:val="center"/>
        </w:trPr>
        <w:tc>
          <w:tcPr>
            <w:tcW w:w="1525" w:type="dxa"/>
          </w:tcPr>
          <w:p w14:paraId="558D09C1" w14:textId="77777777" w:rsidR="00C74282" w:rsidRPr="000B3938" w:rsidRDefault="00C74282">
            <w:pPr>
              <w:spacing w:after="60"/>
              <w:contextualSpacing/>
              <w:jc w:val="left"/>
              <w:rPr>
                <w:color w:val="000000" w:themeColor="text1"/>
                <w:sz w:val="19"/>
                <w:szCs w:val="19"/>
                <w:lang w:val="fr-FR"/>
              </w:rPr>
            </w:pPr>
            <w:r w:rsidRPr="000B3938">
              <w:rPr>
                <w:color w:val="000000" w:themeColor="text1"/>
                <w:sz w:val="19"/>
                <w:szCs w:val="19"/>
                <w:lang w:val="fr-FR"/>
              </w:rPr>
              <w:t>HCFC-123</w:t>
            </w:r>
          </w:p>
        </w:tc>
        <w:tc>
          <w:tcPr>
            <w:tcW w:w="900" w:type="dxa"/>
          </w:tcPr>
          <w:p w14:paraId="1EBC0D94" w14:textId="77777777" w:rsidR="00C74282" w:rsidRPr="000B3938" w:rsidRDefault="00C74282">
            <w:pPr>
              <w:spacing w:after="60"/>
              <w:contextualSpacing/>
              <w:jc w:val="right"/>
              <w:rPr>
                <w:sz w:val="19"/>
                <w:szCs w:val="19"/>
                <w:lang w:val="fr-FR"/>
              </w:rPr>
            </w:pPr>
          </w:p>
        </w:tc>
        <w:tc>
          <w:tcPr>
            <w:tcW w:w="900" w:type="dxa"/>
          </w:tcPr>
          <w:p w14:paraId="2F619FCA" w14:textId="77777777" w:rsidR="00C74282" w:rsidRPr="000B3938" w:rsidRDefault="00C74282">
            <w:pPr>
              <w:spacing w:after="60"/>
              <w:contextualSpacing/>
              <w:jc w:val="right"/>
              <w:rPr>
                <w:sz w:val="19"/>
                <w:szCs w:val="19"/>
                <w:lang w:val="fr-FR"/>
              </w:rPr>
            </w:pPr>
          </w:p>
        </w:tc>
        <w:tc>
          <w:tcPr>
            <w:tcW w:w="990" w:type="dxa"/>
          </w:tcPr>
          <w:p w14:paraId="4F3BC4A0" w14:textId="77777777" w:rsidR="00C74282" w:rsidRPr="000B3938" w:rsidRDefault="00C74282">
            <w:pPr>
              <w:spacing w:after="60"/>
              <w:contextualSpacing/>
              <w:jc w:val="right"/>
              <w:rPr>
                <w:sz w:val="19"/>
                <w:szCs w:val="19"/>
                <w:lang w:val="fr-FR"/>
              </w:rPr>
            </w:pPr>
            <w:r w:rsidRPr="000B3938">
              <w:rPr>
                <w:sz w:val="19"/>
                <w:szCs w:val="19"/>
                <w:lang w:val="fr-FR"/>
              </w:rPr>
              <w:t>0,66</w:t>
            </w:r>
          </w:p>
        </w:tc>
        <w:tc>
          <w:tcPr>
            <w:tcW w:w="1080" w:type="dxa"/>
          </w:tcPr>
          <w:p w14:paraId="42F30976" w14:textId="77777777" w:rsidR="00C74282" w:rsidRPr="000B3938" w:rsidRDefault="00C74282">
            <w:pPr>
              <w:spacing w:after="60"/>
              <w:contextualSpacing/>
              <w:jc w:val="right"/>
              <w:rPr>
                <w:sz w:val="19"/>
                <w:szCs w:val="19"/>
                <w:lang w:val="fr-FR"/>
              </w:rPr>
            </w:pPr>
          </w:p>
        </w:tc>
        <w:tc>
          <w:tcPr>
            <w:tcW w:w="900" w:type="dxa"/>
          </w:tcPr>
          <w:p w14:paraId="00BEDDD2" w14:textId="77777777" w:rsidR="00C74282" w:rsidRPr="000B3938" w:rsidRDefault="00C74282">
            <w:pPr>
              <w:spacing w:after="60"/>
              <w:contextualSpacing/>
              <w:jc w:val="right"/>
              <w:rPr>
                <w:sz w:val="19"/>
                <w:szCs w:val="19"/>
                <w:lang w:val="fr-FR"/>
              </w:rPr>
            </w:pPr>
            <w:r w:rsidRPr="000B3938">
              <w:rPr>
                <w:sz w:val="19"/>
                <w:szCs w:val="19"/>
                <w:lang w:val="fr-FR"/>
              </w:rPr>
              <w:t>0,16</w:t>
            </w:r>
          </w:p>
        </w:tc>
        <w:tc>
          <w:tcPr>
            <w:tcW w:w="810" w:type="dxa"/>
          </w:tcPr>
          <w:p w14:paraId="35506E9F" w14:textId="77777777" w:rsidR="00C74282" w:rsidRPr="000B3938" w:rsidRDefault="00C74282">
            <w:pPr>
              <w:spacing w:after="60"/>
              <w:contextualSpacing/>
              <w:jc w:val="right"/>
              <w:rPr>
                <w:sz w:val="19"/>
                <w:szCs w:val="19"/>
                <w:lang w:val="fr-FR"/>
              </w:rPr>
            </w:pPr>
          </w:p>
        </w:tc>
        <w:tc>
          <w:tcPr>
            <w:tcW w:w="1260" w:type="dxa"/>
          </w:tcPr>
          <w:p w14:paraId="69B09F7B" w14:textId="77777777" w:rsidR="00C74282" w:rsidRPr="000B3938" w:rsidRDefault="00C74282">
            <w:pPr>
              <w:spacing w:after="60"/>
              <w:contextualSpacing/>
              <w:jc w:val="right"/>
              <w:rPr>
                <w:sz w:val="19"/>
                <w:szCs w:val="19"/>
                <w:lang w:val="fr-FR"/>
              </w:rPr>
            </w:pPr>
          </w:p>
        </w:tc>
        <w:tc>
          <w:tcPr>
            <w:tcW w:w="990" w:type="dxa"/>
          </w:tcPr>
          <w:p w14:paraId="37E30F3B" w14:textId="77777777" w:rsidR="00C74282" w:rsidRPr="000B3938" w:rsidRDefault="00C74282">
            <w:pPr>
              <w:spacing w:after="60"/>
              <w:contextualSpacing/>
              <w:jc w:val="right"/>
              <w:rPr>
                <w:sz w:val="19"/>
                <w:szCs w:val="19"/>
                <w:lang w:val="fr-FR"/>
              </w:rPr>
            </w:pPr>
          </w:p>
        </w:tc>
        <w:tc>
          <w:tcPr>
            <w:tcW w:w="1086" w:type="dxa"/>
          </w:tcPr>
          <w:p w14:paraId="1CCC2EFD" w14:textId="77777777" w:rsidR="00C74282" w:rsidRPr="000B3938" w:rsidRDefault="00C74282">
            <w:pPr>
              <w:spacing w:after="60"/>
              <w:contextualSpacing/>
              <w:jc w:val="right"/>
              <w:rPr>
                <w:sz w:val="19"/>
                <w:szCs w:val="19"/>
                <w:lang w:val="fr-FR"/>
              </w:rPr>
            </w:pPr>
            <w:r w:rsidRPr="000B3938">
              <w:rPr>
                <w:sz w:val="19"/>
                <w:szCs w:val="19"/>
                <w:lang w:val="fr-FR"/>
              </w:rPr>
              <w:t>0,81</w:t>
            </w:r>
          </w:p>
        </w:tc>
      </w:tr>
      <w:tr w:rsidR="00C74282" w:rsidRPr="000B3938" w14:paraId="5C2075D7" w14:textId="77777777" w:rsidTr="00141694">
        <w:trPr>
          <w:trHeight w:val="43"/>
          <w:jc w:val="center"/>
        </w:trPr>
        <w:tc>
          <w:tcPr>
            <w:tcW w:w="1525" w:type="dxa"/>
          </w:tcPr>
          <w:p w14:paraId="3073DC33" w14:textId="1F56AFE3" w:rsidR="00C74282" w:rsidRPr="000B3938" w:rsidRDefault="00C74282">
            <w:pPr>
              <w:spacing w:after="60"/>
              <w:ind w:right="-106"/>
              <w:contextualSpacing/>
              <w:jc w:val="left"/>
              <w:rPr>
                <w:color w:val="000000" w:themeColor="text1"/>
                <w:sz w:val="19"/>
                <w:szCs w:val="19"/>
                <w:lang w:val="fr-FR"/>
              </w:rPr>
            </w:pPr>
            <w:r w:rsidRPr="000B3938">
              <w:rPr>
                <w:color w:val="000000" w:themeColor="text1"/>
                <w:sz w:val="19"/>
                <w:szCs w:val="19"/>
                <w:lang w:val="fr-FR"/>
              </w:rPr>
              <w:t>HCFC-141b</w:t>
            </w:r>
          </w:p>
        </w:tc>
        <w:tc>
          <w:tcPr>
            <w:tcW w:w="900" w:type="dxa"/>
          </w:tcPr>
          <w:p w14:paraId="67D36DF6" w14:textId="77777777" w:rsidR="00C74282" w:rsidRPr="000B3938" w:rsidRDefault="00C74282">
            <w:pPr>
              <w:spacing w:after="60"/>
              <w:contextualSpacing/>
              <w:jc w:val="right"/>
              <w:rPr>
                <w:sz w:val="19"/>
                <w:szCs w:val="19"/>
                <w:lang w:val="fr-FR"/>
              </w:rPr>
            </w:pPr>
            <w:r w:rsidRPr="000B3938">
              <w:rPr>
                <w:sz w:val="19"/>
                <w:szCs w:val="19"/>
                <w:lang w:val="fr-FR"/>
              </w:rPr>
              <w:t>1,78</w:t>
            </w:r>
          </w:p>
        </w:tc>
        <w:tc>
          <w:tcPr>
            <w:tcW w:w="900" w:type="dxa"/>
          </w:tcPr>
          <w:p w14:paraId="352E639D" w14:textId="77777777" w:rsidR="00C74282" w:rsidRPr="000B3938" w:rsidRDefault="00C74282">
            <w:pPr>
              <w:spacing w:after="60"/>
              <w:contextualSpacing/>
              <w:jc w:val="right"/>
              <w:rPr>
                <w:sz w:val="19"/>
                <w:szCs w:val="19"/>
                <w:lang w:val="fr-FR"/>
              </w:rPr>
            </w:pPr>
            <w:r w:rsidRPr="000B3938">
              <w:rPr>
                <w:sz w:val="19"/>
                <w:szCs w:val="19"/>
                <w:lang w:val="fr-FR"/>
              </w:rPr>
              <w:t>32,61</w:t>
            </w:r>
          </w:p>
        </w:tc>
        <w:tc>
          <w:tcPr>
            <w:tcW w:w="990" w:type="dxa"/>
          </w:tcPr>
          <w:p w14:paraId="4FB0516E" w14:textId="77777777" w:rsidR="00C74282" w:rsidRPr="000B3938" w:rsidRDefault="00C74282">
            <w:pPr>
              <w:spacing w:after="60"/>
              <w:contextualSpacing/>
              <w:jc w:val="right"/>
              <w:rPr>
                <w:sz w:val="19"/>
                <w:szCs w:val="19"/>
                <w:lang w:val="fr-FR"/>
              </w:rPr>
            </w:pPr>
          </w:p>
        </w:tc>
        <w:tc>
          <w:tcPr>
            <w:tcW w:w="1080" w:type="dxa"/>
          </w:tcPr>
          <w:p w14:paraId="3A30C92B" w14:textId="77777777" w:rsidR="00C74282" w:rsidRPr="000B3938" w:rsidRDefault="00C74282">
            <w:pPr>
              <w:spacing w:after="60"/>
              <w:contextualSpacing/>
              <w:jc w:val="right"/>
              <w:rPr>
                <w:sz w:val="19"/>
                <w:szCs w:val="19"/>
                <w:lang w:val="fr-FR"/>
              </w:rPr>
            </w:pPr>
          </w:p>
        </w:tc>
        <w:tc>
          <w:tcPr>
            <w:tcW w:w="900" w:type="dxa"/>
          </w:tcPr>
          <w:p w14:paraId="7CA25926" w14:textId="77777777" w:rsidR="00C74282" w:rsidRPr="000B3938" w:rsidRDefault="00C74282">
            <w:pPr>
              <w:spacing w:after="60"/>
              <w:contextualSpacing/>
              <w:jc w:val="right"/>
              <w:rPr>
                <w:sz w:val="19"/>
                <w:szCs w:val="19"/>
                <w:lang w:val="fr-FR"/>
              </w:rPr>
            </w:pPr>
            <w:r w:rsidRPr="000B3938">
              <w:rPr>
                <w:sz w:val="19"/>
                <w:szCs w:val="19"/>
                <w:lang w:val="fr-FR"/>
              </w:rPr>
              <w:t>6,66</w:t>
            </w:r>
          </w:p>
        </w:tc>
        <w:tc>
          <w:tcPr>
            <w:tcW w:w="810" w:type="dxa"/>
          </w:tcPr>
          <w:p w14:paraId="7B430189" w14:textId="77777777" w:rsidR="00C74282" w:rsidRPr="000B3938" w:rsidRDefault="00C74282">
            <w:pPr>
              <w:spacing w:after="60"/>
              <w:contextualSpacing/>
              <w:jc w:val="right"/>
              <w:rPr>
                <w:sz w:val="19"/>
                <w:szCs w:val="19"/>
                <w:lang w:val="fr-FR"/>
              </w:rPr>
            </w:pPr>
          </w:p>
        </w:tc>
        <w:tc>
          <w:tcPr>
            <w:tcW w:w="1260" w:type="dxa"/>
          </w:tcPr>
          <w:p w14:paraId="549ED2FD" w14:textId="77777777" w:rsidR="00C74282" w:rsidRPr="000B3938" w:rsidRDefault="00C74282">
            <w:pPr>
              <w:spacing w:after="60"/>
              <w:contextualSpacing/>
              <w:jc w:val="right"/>
              <w:rPr>
                <w:sz w:val="19"/>
                <w:szCs w:val="19"/>
                <w:lang w:val="fr-FR"/>
              </w:rPr>
            </w:pPr>
          </w:p>
        </w:tc>
        <w:tc>
          <w:tcPr>
            <w:tcW w:w="990" w:type="dxa"/>
          </w:tcPr>
          <w:p w14:paraId="6C11153D" w14:textId="77777777" w:rsidR="00C74282" w:rsidRPr="000B3938" w:rsidRDefault="00C74282">
            <w:pPr>
              <w:spacing w:after="60"/>
              <w:contextualSpacing/>
              <w:jc w:val="right"/>
              <w:rPr>
                <w:color w:val="000000" w:themeColor="text1"/>
                <w:sz w:val="19"/>
                <w:szCs w:val="19"/>
                <w:lang w:val="fr-FR"/>
              </w:rPr>
            </w:pPr>
          </w:p>
        </w:tc>
        <w:tc>
          <w:tcPr>
            <w:tcW w:w="1086" w:type="dxa"/>
          </w:tcPr>
          <w:p w14:paraId="6668C37D" w14:textId="77777777" w:rsidR="00C74282" w:rsidRPr="000B3938" w:rsidRDefault="00C74282">
            <w:pPr>
              <w:spacing w:after="60"/>
              <w:contextualSpacing/>
              <w:jc w:val="right"/>
              <w:rPr>
                <w:color w:val="000000" w:themeColor="text1"/>
                <w:sz w:val="19"/>
                <w:szCs w:val="19"/>
                <w:lang w:val="fr-FR"/>
              </w:rPr>
            </w:pPr>
            <w:r w:rsidRPr="000B3938">
              <w:rPr>
                <w:color w:val="000000" w:themeColor="text1"/>
                <w:sz w:val="19"/>
                <w:szCs w:val="19"/>
                <w:lang w:val="fr-FR"/>
              </w:rPr>
              <w:t>41,05</w:t>
            </w:r>
          </w:p>
        </w:tc>
      </w:tr>
      <w:tr w:rsidR="00C74282" w:rsidRPr="000B3938" w14:paraId="6B58B894" w14:textId="77777777" w:rsidTr="00141694">
        <w:trPr>
          <w:trHeight w:val="232"/>
          <w:jc w:val="center"/>
        </w:trPr>
        <w:tc>
          <w:tcPr>
            <w:tcW w:w="1525" w:type="dxa"/>
          </w:tcPr>
          <w:p w14:paraId="6455945E" w14:textId="77777777" w:rsidR="00C74282" w:rsidRPr="000B3938" w:rsidRDefault="00C74282">
            <w:pPr>
              <w:spacing w:after="60"/>
              <w:contextualSpacing/>
              <w:jc w:val="left"/>
              <w:rPr>
                <w:color w:val="000000" w:themeColor="text1"/>
                <w:sz w:val="19"/>
                <w:szCs w:val="19"/>
                <w:lang w:val="fr-FR"/>
              </w:rPr>
            </w:pPr>
            <w:r w:rsidRPr="000B3938">
              <w:rPr>
                <w:color w:val="000000" w:themeColor="text1"/>
                <w:sz w:val="19"/>
                <w:szCs w:val="19"/>
                <w:lang w:val="fr-FR"/>
              </w:rPr>
              <w:t>HCFC-141b dans les polyols prémélangés importés</w:t>
            </w:r>
          </w:p>
        </w:tc>
        <w:tc>
          <w:tcPr>
            <w:tcW w:w="900" w:type="dxa"/>
            <w:vAlign w:val="center"/>
          </w:tcPr>
          <w:p w14:paraId="4229BD21" w14:textId="77777777" w:rsidR="00C74282" w:rsidRPr="000B3938" w:rsidRDefault="00C74282">
            <w:pPr>
              <w:spacing w:after="60"/>
              <w:contextualSpacing/>
              <w:jc w:val="right"/>
              <w:rPr>
                <w:sz w:val="19"/>
                <w:szCs w:val="19"/>
                <w:lang w:val="fr-FR"/>
              </w:rPr>
            </w:pPr>
          </w:p>
        </w:tc>
        <w:tc>
          <w:tcPr>
            <w:tcW w:w="900" w:type="dxa"/>
            <w:vAlign w:val="center"/>
          </w:tcPr>
          <w:p w14:paraId="564972CE" w14:textId="77777777" w:rsidR="00C74282" w:rsidRPr="000B3938" w:rsidRDefault="00C74282">
            <w:pPr>
              <w:spacing w:after="60"/>
              <w:contextualSpacing/>
              <w:jc w:val="right"/>
              <w:rPr>
                <w:sz w:val="19"/>
                <w:szCs w:val="19"/>
                <w:lang w:val="fr-FR"/>
              </w:rPr>
            </w:pPr>
            <w:r w:rsidRPr="000B3938">
              <w:rPr>
                <w:sz w:val="19"/>
                <w:szCs w:val="19"/>
                <w:lang w:val="fr-FR"/>
              </w:rPr>
              <w:t>4,17</w:t>
            </w:r>
          </w:p>
        </w:tc>
        <w:tc>
          <w:tcPr>
            <w:tcW w:w="990" w:type="dxa"/>
            <w:vAlign w:val="center"/>
          </w:tcPr>
          <w:p w14:paraId="5AC61E2E" w14:textId="77777777" w:rsidR="00C74282" w:rsidRPr="000B3938" w:rsidRDefault="00C74282">
            <w:pPr>
              <w:spacing w:after="60"/>
              <w:contextualSpacing/>
              <w:jc w:val="right"/>
              <w:rPr>
                <w:sz w:val="19"/>
                <w:szCs w:val="19"/>
                <w:lang w:val="fr-FR"/>
              </w:rPr>
            </w:pPr>
          </w:p>
        </w:tc>
        <w:tc>
          <w:tcPr>
            <w:tcW w:w="1080" w:type="dxa"/>
            <w:vAlign w:val="center"/>
          </w:tcPr>
          <w:p w14:paraId="7D80A047" w14:textId="77777777" w:rsidR="00C74282" w:rsidRPr="000B3938" w:rsidRDefault="00C74282">
            <w:pPr>
              <w:spacing w:after="60"/>
              <w:contextualSpacing/>
              <w:jc w:val="right"/>
              <w:rPr>
                <w:sz w:val="19"/>
                <w:szCs w:val="19"/>
                <w:lang w:val="fr-FR"/>
              </w:rPr>
            </w:pPr>
          </w:p>
        </w:tc>
        <w:tc>
          <w:tcPr>
            <w:tcW w:w="900" w:type="dxa"/>
            <w:vAlign w:val="center"/>
          </w:tcPr>
          <w:p w14:paraId="4A91AE44" w14:textId="77777777" w:rsidR="00C74282" w:rsidRPr="000B3938" w:rsidRDefault="00C74282">
            <w:pPr>
              <w:spacing w:after="60"/>
              <w:contextualSpacing/>
              <w:jc w:val="right"/>
              <w:rPr>
                <w:sz w:val="19"/>
                <w:szCs w:val="19"/>
                <w:lang w:val="fr-FR"/>
              </w:rPr>
            </w:pPr>
          </w:p>
        </w:tc>
        <w:tc>
          <w:tcPr>
            <w:tcW w:w="810" w:type="dxa"/>
            <w:vAlign w:val="center"/>
          </w:tcPr>
          <w:p w14:paraId="51D744E3" w14:textId="77777777" w:rsidR="00C74282" w:rsidRPr="000B3938" w:rsidRDefault="00C74282">
            <w:pPr>
              <w:spacing w:after="60"/>
              <w:contextualSpacing/>
              <w:jc w:val="right"/>
              <w:rPr>
                <w:sz w:val="19"/>
                <w:szCs w:val="19"/>
                <w:lang w:val="fr-FR"/>
              </w:rPr>
            </w:pPr>
          </w:p>
        </w:tc>
        <w:tc>
          <w:tcPr>
            <w:tcW w:w="1260" w:type="dxa"/>
            <w:vAlign w:val="center"/>
          </w:tcPr>
          <w:p w14:paraId="4A7A9EAB" w14:textId="77777777" w:rsidR="00C74282" w:rsidRPr="000B3938" w:rsidRDefault="00C74282">
            <w:pPr>
              <w:spacing w:after="60"/>
              <w:contextualSpacing/>
              <w:jc w:val="right"/>
              <w:rPr>
                <w:sz w:val="19"/>
                <w:szCs w:val="19"/>
                <w:lang w:val="fr-FR"/>
              </w:rPr>
            </w:pPr>
          </w:p>
        </w:tc>
        <w:tc>
          <w:tcPr>
            <w:tcW w:w="990" w:type="dxa"/>
          </w:tcPr>
          <w:p w14:paraId="5D25D6AB" w14:textId="77777777" w:rsidR="00C74282" w:rsidRPr="000B3938" w:rsidRDefault="00C74282">
            <w:pPr>
              <w:spacing w:after="60"/>
              <w:contextualSpacing/>
              <w:jc w:val="right"/>
              <w:rPr>
                <w:color w:val="000000" w:themeColor="text1"/>
                <w:sz w:val="19"/>
                <w:szCs w:val="19"/>
                <w:lang w:val="fr-FR"/>
              </w:rPr>
            </w:pPr>
          </w:p>
        </w:tc>
        <w:tc>
          <w:tcPr>
            <w:tcW w:w="1086" w:type="dxa"/>
            <w:vAlign w:val="center"/>
          </w:tcPr>
          <w:p w14:paraId="0FA94214" w14:textId="77777777" w:rsidR="00C74282" w:rsidRPr="000B3938" w:rsidRDefault="00C74282">
            <w:pPr>
              <w:spacing w:after="60"/>
              <w:contextualSpacing/>
              <w:jc w:val="right"/>
              <w:rPr>
                <w:color w:val="000000" w:themeColor="text1"/>
                <w:sz w:val="19"/>
                <w:szCs w:val="19"/>
                <w:lang w:val="fr-FR"/>
              </w:rPr>
            </w:pPr>
            <w:r w:rsidRPr="000B3938">
              <w:rPr>
                <w:color w:val="000000" w:themeColor="text1"/>
                <w:sz w:val="19"/>
                <w:szCs w:val="19"/>
                <w:lang w:val="fr-FR"/>
              </w:rPr>
              <w:t>4,17</w:t>
            </w:r>
          </w:p>
        </w:tc>
      </w:tr>
      <w:tr w:rsidR="00C74282" w:rsidRPr="000B3938" w14:paraId="2E2DB4F1" w14:textId="77777777" w:rsidTr="00141694">
        <w:trPr>
          <w:trHeight w:val="43"/>
          <w:jc w:val="center"/>
        </w:trPr>
        <w:tc>
          <w:tcPr>
            <w:tcW w:w="1525" w:type="dxa"/>
          </w:tcPr>
          <w:p w14:paraId="45ADF243" w14:textId="5BA6507C" w:rsidR="00C74282" w:rsidRPr="000B3938" w:rsidRDefault="00C74282">
            <w:pPr>
              <w:spacing w:after="60"/>
              <w:ind w:right="-108"/>
              <w:contextualSpacing/>
              <w:jc w:val="left"/>
              <w:rPr>
                <w:color w:val="000000" w:themeColor="text1"/>
                <w:sz w:val="19"/>
                <w:szCs w:val="19"/>
                <w:lang w:val="fr-FR"/>
              </w:rPr>
            </w:pPr>
            <w:r w:rsidRPr="000B3938">
              <w:rPr>
                <w:color w:val="000000" w:themeColor="text1"/>
                <w:sz w:val="19"/>
                <w:szCs w:val="19"/>
                <w:lang w:val="fr-FR"/>
              </w:rPr>
              <w:t>HCFC-142b</w:t>
            </w:r>
          </w:p>
        </w:tc>
        <w:tc>
          <w:tcPr>
            <w:tcW w:w="900" w:type="dxa"/>
          </w:tcPr>
          <w:p w14:paraId="3D33CEC7" w14:textId="77777777" w:rsidR="00C74282" w:rsidRPr="000B3938" w:rsidRDefault="00C74282">
            <w:pPr>
              <w:spacing w:after="60"/>
              <w:contextualSpacing/>
              <w:jc w:val="right"/>
              <w:rPr>
                <w:sz w:val="19"/>
                <w:szCs w:val="19"/>
                <w:lang w:val="fr-FR"/>
              </w:rPr>
            </w:pPr>
          </w:p>
        </w:tc>
        <w:tc>
          <w:tcPr>
            <w:tcW w:w="900" w:type="dxa"/>
          </w:tcPr>
          <w:p w14:paraId="07908B5A" w14:textId="77777777" w:rsidR="00C74282" w:rsidRPr="000B3938" w:rsidRDefault="00C74282">
            <w:pPr>
              <w:spacing w:after="60"/>
              <w:contextualSpacing/>
              <w:jc w:val="right"/>
              <w:rPr>
                <w:sz w:val="19"/>
                <w:szCs w:val="19"/>
                <w:lang w:val="fr-FR"/>
              </w:rPr>
            </w:pPr>
          </w:p>
        </w:tc>
        <w:tc>
          <w:tcPr>
            <w:tcW w:w="990" w:type="dxa"/>
          </w:tcPr>
          <w:p w14:paraId="4F3EB41E" w14:textId="77777777" w:rsidR="00C74282" w:rsidRPr="000B3938" w:rsidRDefault="00C74282">
            <w:pPr>
              <w:spacing w:after="60"/>
              <w:contextualSpacing/>
              <w:jc w:val="right"/>
              <w:rPr>
                <w:sz w:val="19"/>
                <w:szCs w:val="19"/>
                <w:lang w:val="fr-FR"/>
              </w:rPr>
            </w:pPr>
          </w:p>
        </w:tc>
        <w:tc>
          <w:tcPr>
            <w:tcW w:w="1080" w:type="dxa"/>
          </w:tcPr>
          <w:p w14:paraId="3390B41F" w14:textId="77777777" w:rsidR="00C74282" w:rsidRPr="000B3938" w:rsidRDefault="00C74282">
            <w:pPr>
              <w:spacing w:after="60"/>
              <w:contextualSpacing/>
              <w:jc w:val="right"/>
              <w:rPr>
                <w:sz w:val="19"/>
                <w:szCs w:val="19"/>
                <w:lang w:val="fr-FR"/>
              </w:rPr>
            </w:pPr>
          </w:p>
        </w:tc>
        <w:tc>
          <w:tcPr>
            <w:tcW w:w="900" w:type="dxa"/>
          </w:tcPr>
          <w:p w14:paraId="515ADF34" w14:textId="77777777" w:rsidR="00C74282" w:rsidRPr="000B3938" w:rsidRDefault="00C74282">
            <w:pPr>
              <w:spacing w:after="60"/>
              <w:contextualSpacing/>
              <w:jc w:val="right"/>
              <w:rPr>
                <w:sz w:val="19"/>
                <w:szCs w:val="19"/>
                <w:lang w:val="fr-FR"/>
              </w:rPr>
            </w:pPr>
            <w:r w:rsidRPr="000B3938">
              <w:rPr>
                <w:sz w:val="19"/>
                <w:szCs w:val="19"/>
                <w:lang w:val="fr-FR"/>
              </w:rPr>
              <w:t>0,20</w:t>
            </w:r>
          </w:p>
        </w:tc>
        <w:tc>
          <w:tcPr>
            <w:tcW w:w="810" w:type="dxa"/>
          </w:tcPr>
          <w:p w14:paraId="2631B4D8" w14:textId="77777777" w:rsidR="00C74282" w:rsidRPr="000B3938" w:rsidRDefault="00C74282">
            <w:pPr>
              <w:spacing w:after="60"/>
              <w:contextualSpacing/>
              <w:jc w:val="right"/>
              <w:rPr>
                <w:sz w:val="19"/>
                <w:szCs w:val="19"/>
                <w:lang w:val="fr-FR"/>
              </w:rPr>
            </w:pPr>
          </w:p>
        </w:tc>
        <w:tc>
          <w:tcPr>
            <w:tcW w:w="1260" w:type="dxa"/>
          </w:tcPr>
          <w:p w14:paraId="5BF38BF9" w14:textId="77777777" w:rsidR="00C74282" w:rsidRPr="000B3938" w:rsidRDefault="00C74282">
            <w:pPr>
              <w:spacing w:after="60"/>
              <w:contextualSpacing/>
              <w:jc w:val="right"/>
              <w:rPr>
                <w:sz w:val="19"/>
                <w:szCs w:val="19"/>
                <w:lang w:val="fr-FR"/>
              </w:rPr>
            </w:pPr>
          </w:p>
        </w:tc>
        <w:tc>
          <w:tcPr>
            <w:tcW w:w="990" w:type="dxa"/>
          </w:tcPr>
          <w:p w14:paraId="294DB091" w14:textId="77777777" w:rsidR="00C74282" w:rsidRPr="000B3938" w:rsidRDefault="00C74282">
            <w:pPr>
              <w:spacing w:after="60"/>
              <w:contextualSpacing/>
              <w:jc w:val="right"/>
              <w:rPr>
                <w:color w:val="000000" w:themeColor="text1"/>
                <w:sz w:val="19"/>
                <w:szCs w:val="19"/>
                <w:lang w:val="fr-FR"/>
              </w:rPr>
            </w:pPr>
          </w:p>
        </w:tc>
        <w:tc>
          <w:tcPr>
            <w:tcW w:w="1086" w:type="dxa"/>
          </w:tcPr>
          <w:p w14:paraId="247B6DBD" w14:textId="77777777" w:rsidR="00C74282" w:rsidRPr="000B3938" w:rsidRDefault="00C74282">
            <w:pPr>
              <w:spacing w:after="60"/>
              <w:contextualSpacing/>
              <w:jc w:val="right"/>
              <w:rPr>
                <w:color w:val="000000" w:themeColor="text1"/>
                <w:sz w:val="19"/>
                <w:szCs w:val="19"/>
                <w:lang w:val="fr-FR"/>
              </w:rPr>
            </w:pPr>
            <w:r w:rsidRPr="000B3938">
              <w:rPr>
                <w:color w:val="000000" w:themeColor="text1"/>
                <w:sz w:val="19"/>
                <w:szCs w:val="19"/>
                <w:lang w:val="fr-FR"/>
              </w:rPr>
              <w:t>0,20</w:t>
            </w:r>
          </w:p>
        </w:tc>
      </w:tr>
    </w:tbl>
    <w:p w14:paraId="2A834DC1" w14:textId="77777777" w:rsidR="00C74282" w:rsidRPr="000B3938" w:rsidRDefault="00C74282" w:rsidP="00267679">
      <w:pPr>
        <w:spacing w:after="220"/>
        <w:ind w:left="-426" w:right="-540"/>
        <w:jc w:val="left"/>
        <w:rPr>
          <w:sz w:val="19"/>
          <w:szCs w:val="19"/>
          <w:lang w:val="fr-FR"/>
        </w:rPr>
      </w:pPr>
      <w:r w:rsidRPr="000B3938">
        <w:rPr>
          <w:sz w:val="19"/>
          <w:szCs w:val="19"/>
          <w:lang w:val="fr-FR"/>
        </w:rPr>
        <w:t>*La consommation réelle par secteur peut différer de la consommation déclarée (production et importations moins exportations) en raison de la gestion des stocks.</w:t>
      </w:r>
    </w:p>
    <w:tbl>
      <w:tblPr>
        <w:tblStyle w:val="TableGrid"/>
        <w:tblW w:w="5534" w:type="pct"/>
        <w:jc w:val="center"/>
        <w:tblLook w:val="04A0" w:firstRow="1" w:lastRow="0" w:firstColumn="1" w:lastColumn="0" w:noHBand="0" w:noVBand="1"/>
      </w:tblPr>
      <w:tblGrid>
        <w:gridCol w:w="3008"/>
        <w:gridCol w:w="1429"/>
        <w:gridCol w:w="4438"/>
        <w:gridCol w:w="1573"/>
      </w:tblGrid>
      <w:tr w:rsidR="00C74282" w:rsidRPr="00CE7B9D" w14:paraId="6EFCDA49" w14:textId="77777777">
        <w:trPr>
          <w:trHeight w:val="272"/>
          <w:jc w:val="center"/>
        </w:trPr>
        <w:tc>
          <w:tcPr>
            <w:tcW w:w="5000" w:type="pct"/>
            <w:gridSpan w:val="4"/>
          </w:tcPr>
          <w:p w14:paraId="0A4AB48A" w14:textId="77777777" w:rsidR="00C74282" w:rsidRPr="000B3938" w:rsidRDefault="00C74282">
            <w:pPr>
              <w:jc w:val="left"/>
              <w:rPr>
                <w:b/>
                <w:sz w:val="19"/>
                <w:szCs w:val="19"/>
                <w:lang w:val="fr-FR"/>
              </w:rPr>
            </w:pPr>
            <w:r w:rsidRPr="000B3938">
              <w:rPr>
                <w:b/>
                <w:sz w:val="19"/>
                <w:szCs w:val="19"/>
                <w:lang w:val="fr-FR"/>
              </w:rPr>
              <w:t>IV) DONNÉES DE CONSOMMATION (tonnes PAO)</w:t>
            </w:r>
          </w:p>
        </w:tc>
      </w:tr>
      <w:tr w:rsidR="00C74282" w:rsidRPr="000B3938" w14:paraId="2DA782C6" w14:textId="77777777" w:rsidTr="00C34BA8">
        <w:trPr>
          <w:trHeight w:val="46"/>
          <w:jc w:val="center"/>
        </w:trPr>
        <w:tc>
          <w:tcPr>
            <w:tcW w:w="1439" w:type="pct"/>
          </w:tcPr>
          <w:p w14:paraId="754F1FA6" w14:textId="2E5D8F1F" w:rsidR="00C74282" w:rsidRPr="000B3938" w:rsidRDefault="00C74282">
            <w:pPr>
              <w:spacing w:after="60"/>
              <w:jc w:val="center"/>
              <w:rPr>
                <w:sz w:val="19"/>
                <w:szCs w:val="19"/>
                <w:lang w:val="fr-FR"/>
              </w:rPr>
            </w:pPr>
            <w:r w:rsidRPr="000B3938">
              <w:rPr>
                <w:sz w:val="19"/>
                <w:szCs w:val="19"/>
                <w:lang w:val="fr-FR"/>
              </w:rPr>
              <w:t>Valeur de référence 2009-2010</w:t>
            </w:r>
            <w:r w:rsidR="008A290B" w:rsidRPr="000B3938">
              <w:rPr>
                <w:sz w:val="19"/>
                <w:szCs w:val="19"/>
                <w:lang w:val="fr-FR"/>
              </w:rPr>
              <w:t> </w:t>
            </w:r>
            <w:r w:rsidRPr="000B3938">
              <w:rPr>
                <w:sz w:val="19"/>
                <w:szCs w:val="19"/>
                <w:lang w:val="fr-FR"/>
              </w:rPr>
              <w:t>:</w:t>
            </w:r>
          </w:p>
        </w:tc>
        <w:tc>
          <w:tcPr>
            <w:tcW w:w="684" w:type="pct"/>
          </w:tcPr>
          <w:p w14:paraId="777E0A54" w14:textId="77777777" w:rsidR="00C74282" w:rsidRPr="000B3938" w:rsidRDefault="00C74282">
            <w:pPr>
              <w:spacing w:after="60"/>
              <w:jc w:val="right"/>
              <w:rPr>
                <w:sz w:val="19"/>
                <w:szCs w:val="19"/>
                <w:lang w:val="fr-FR"/>
              </w:rPr>
            </w:pPr>
            <w:r w:rsidRPr="000B3938">
              <w:rPr>
                <w:sz w:val="19"/>
                <w:szCs w:val="19"/>
                <w:lang w:val="fr-FR"/>
              </w:rPr>
              <w:t>400,70</w:t>
            </w:r>
          </w:p>
        </w:tc>
        <w:tc>
          <w:tcPr>
            <w:tcW w:w="2124" w:type="pct"/>
          </w:tcPr>
          <w:p w14:paraId="395F2F6D" w14:textId="77777777" w:rsidR="00C74282" w:rsidRPr="000B3938" w:rsidRDefault="00C74282">
            <w:pPr>
              <w:spacing w:after="60"/>
              <w:jc w:val="center"/>
              <w:rPr>
                <w:sz w:val="19"/>
                <w:szCs w:val="19"/>
                <w:lang w:val="fr-FR"/>
              </w:rPr>
            </w:pPr>
            <w:r w:rsidRPr="000B3938">
              <w:rPr>
                <w:sz w:val="19"/>
                <w:szCs w:val="19"/>
                <w:lang w:val="fr-FR"/>
              </w:rPr>
              <w:t>Point de départ des réductions globales durables :</w:t>
            </w:r>
          </w:p>
        </w:tc>
        <w:tc>
          <w:tcPr>
            <w:tcW w:w="753" w:type="pct"/>
          </w:tcPr>
          <w:p w14:paraId="13AB4CA1" w14:textId="77777777" w:rsidR="00C74282" w:rsidRPr="000B3938" w:rsidRDefault="00C74282">
            <w:pPr>
              <w:spacing w:after="60"/>
              <w:jc w:val="right"/>
              <w:rPr>
                <w:sz w:val="19"/>
                <w:szCs w:val="19"/>
                <w:lang w:val="fr-FR"/>
              </w:rPr>
            </w:pPr>
            <w:r w:rsidRPr="000B3938">
              <w:rPr>
                <w:sz w:val="19"/>
                <w:szCs w:val="19"/>
                <w:lang w:val="fr-FR"/>
              </w:rPr>
              <w:t>377,51</w:t>
            </w:r>
          </w:p>
        </w:tc>
      </w:tr>
      <w:tr w:rsidR="00C74282" w:rsidRPr="000B3938" w14:paraId="4747A35D" w14:textId="77777777">
        <w:trPr>
          <w:trHeight w:val="163"/>
          <w:jc w:val="center"/>
        </w:trPr>
        <w:tc>
          <w:tcPr>
            <w:tcW w:w="5000" w:type="pct"/>
            <w:gridSpan w:val="4"/>
          </w:tcPr>
          <w:p w14:paraId="0E50A7F2" w14:textId="77777777" w:rsidR="00C74282" w:rsidRPr="000B3938" w:rsidRDefault="00C74282">
            <w:pPr>
              <w:tabs>
                <w:tab w:val="left" w:pos="993"/>
              </w:tabs>
              <w:ind w:left="426"/>
              <w:jc w:val="left"/>
              <w:rPr>
                <w:b/>
                <w:sz w:val="19"/>
                <w:szCs w:val="19"/>
                <w:lang w:val="fr-FR"/>
              </w:rPr>
            </w:pPr>
            <w:r w:rsidRPr="000B3938">
              <w:rPr>
                <w:b/>
                <w:sz w:val="19"/>
                <w:szCs w:val="19"/>
                <w:lang w:val="fr-FR"/>
              </w:rPr>
              <w:t>CONSOMMATION ADMISSIBLE AU FINANCEMENT</w:t>
            </w:r>
          </w:p>
        </w:tc>
      </w:tr>
      <w:tr w:rsidR="00C74282" w:rsidRPr="000B3938" w14:paraId="6718215D" w14:textId="77777777">
        <w:trPr>
          <w:trHeight w:val="272"/>
          <w:jc w:val="center"/>
        </w:trPr>
        <w:tc>
          <w:tcPr>
            <w:tcW w:w="1439" w:type="pct"/>
          </w:tcPr>
          <w:p w14:paraId="22530652" w14:textId="77777777" w:rsidR="00C74282" w:rsidRPr="000B3938" w:rsidRDefault="00C74282">
            <w:pPr>
              <w:spacing w:after="60"/>
              <w:jc w:val="center"/>
              <w:rPr>
                <w:sz w:val="19"/>
                <w:szCs w:val="19"/>
                <w:lang w:val="fr-FR"/>
              </w:rPr>
            </w:pPr>
            <w:r w:rsidRPr="000B3938">
              <w:rPr>
                <w:sz w:val="19"/>
                <w:szCs w:val="19"/>
                <w:lang w:val="fr-FR"/>
              </w:rPr>
              <w:t>Déjà approuvée :</w:t>
            </w:r>
          </w:p>
        </w:tc>
        <w:tc>
          <w:tcPr>
            <w:tcW w:w="684" w:type="pct"/>
          </w:tcPr>
          <w:p w14:paraId="662641F7" w14:textId="77777777" w:rsidR="00C74282" w:rsidRPr="000B3938" w:rsidRDefault="00C74282">
            <w:pPr>
              <w:spacing w:after="60"/>
              <w:jc w:val="right"/>
              <w:rPr>
                <w:sz w:val="19"/>
                <w:szCs w:val="19"/>
                <w:lang w:val="fr-FR"/>
              </w:rPr>
            </w:pPr>
            <w:r w:rsidRPr="000B3938">
              <w:rPr>
                <w:sz w:val="19"/>
                <w:szCs w:val="19"/>
                <w:lang w:val="fr-FR"/>
              </w:rPr>
              <w:t>198,72</w:t>
            </w:r>
          </w:p>
        </w:tc>
        <w:tc>
          <w:tcPr>
            <w:tcW w:w="2124" w:type="pct"/>
          </w:tcPr>
          <w:p w14:paraId="64BD9A30" w14:textId="77777777" w:rsidR="00C74282" w:rsidRPr="000B3938" w:rsidRDefault="00C74282">
            <w:pPr>
              <w:spacing w:after="60"/>
              <w:jc w:val="center"/>
              <w:rPr>
                <w:sz w:val="19"/>
                <w:szCs w:val="19"/>
                <w:lang w:val="fr-FR"/>
              </w:rPr>
            </w:pPr>
            <w:r w:rsidRPr="000B3938">
              <w:rPr>
                <w:sz w:val="19"/>
                <w:szCs w:val="19"/>
                <w:lang w:val="fr-FR"/>
              </w:rPr>
              <w:t>Restante :</w:t>
            </w:r>
          </w:p>
        </w:tc>
        <w:tc>
          <w:tcPr>
            <w:tcW w:w="753" w:type="pct"/>
          </w:tcPr>
          <w:p w14:paraId="58D10E22" w14:textId="77777777" w:rsidR="00C74282" w:rsidRPr="000B3938" w:rsidRDefault="00C74282">
            <w:pPr>
              <w:spacing w:after="60"/>
              <w:jc w:val="right"/>
              <w:rPr>
                <w:sz w:val="19"/>
                <w:szCs w:val="19"/>
                <w:lang w:val="fr-FR"/>
              </w:rPr>
            </w:pPr>
            <w:r w:rsidRPr="000B3938">
              <w:rPr>
                <w:sz w:val="19"/>
                <w:szCs w:val="19"/>
                <w:lang w:val="fr-FR"/>
              </w:rPr>
              <w:t>178,79</w:t>
            </w:r>
          </w:p>
        </w:tc>
      </w:tr>
    </w:tbl>
    <w:p w14:paraId="23C4E605" w14:textId="77777777" w:rsidR="00C74282" w:rsidRPr="000B3938" w:rsidRDefault="00C74282" w:rsidP="00C74282">
      <w:pPr>
        <w:jc w:val="center"/>
        <w:rPr>
          <w:sz w:val="19"/>
          <w:szCs w:val="19"/>
          <w:lang w:val="fr-FR"/>
        </w:rPr>
      </w:pPr>
    </w:p>
    <w:tbl>
      <w:tblPr>
        <w:tblStyle w:val="TableGrid"/>
        <w:tblW w:w="5534" w:type="pct"/>
        <w:jc w:val="center"/>
        <w:tblLook w:val="04A0" w:firstRow="1" w:lastRow="0" w:firstColumn="1" w:lastColumn="0" w:noHBand="0" w:noVBand="1"/>
      </w:tblPr>
      <w:tblGrid>
        <w:gridCol w:w="1433"/>
        <w:gridCol w:w="2999"/>
        <w:gridCol w:w="1469"/>
        <w:gridCol w:w="1471"/>
        <w:gridCol w:w="1471"/>
        <w:gridCol w:w="1605"/>
      </w:tblGrid>
      <w:tr w:rsidR="00C74282" w:rsidRPr="000B3938" w14:paraId="313ABAF4" w14:textId="77777777">
        <w:trPr>
          <w:trHeight w:val="258"/>
          <w:jc w:val="center"/>
        </w:trPr>
        <w:tc>
          <w:tcPr>
            <w:tcW w:w="2121" w:type="pct"/>
            <w:gridSpan w:val="2"/>
            <w:vAlign w:val="center"/>
          </w:tcPr>
          <w:p w14:paraId="53B9239C" w14:textId="77777777" w:rsidR="00C74282" w:rsidRPr="000B3938" w:rsidRDefault="00C74282">
            <w:pPr>
              <w:spacing w:after="60"/>
              <w:jc w:val="left"/>
              <w:rPr>
                <w:b/>
                <w:sz w:val="19"/>
                <w:szCs w:val="19"/>
                <w:lang w:val="fr-FR"/>
              </w:rPr>
            </w:pPr>
            <w:r w:rsidRPr="000B3938">
              <w:rPr>
                <w:b/>
                <w:sz w:val="19"/>
                <w:szCs w:val="19"/>
                <w:lang w:val="fr-FR"/>
              </w:rPr>
              <w:t>V) PLAN D'ACTIVITÉS APPROUVÉ</w:t>
            </w:r>
          </w:p>
        </w:tc>
        <w:tc>
          <w:tcPr>
            <w:tcW w:w="703" w:type="pct"/>
            <w:vAlign w:val="center"/>
          </w:tcPr>
          <w:p w14:paraId="0097F0B1" w14:textId="77777777" w:rsidR="00C74282" w:rsidRPr="000B3938" w:rsidRDefault="00C74282">
            <w:pPr>
              <w:spacing w:after="60"/>
              <w:jc w:val="center"/>
              <w:rPr>
                <w:b/>
                <w:sz w:val="19"/>
                <w:szCs w:val="19"/>
                <w:lang w:val="fr-FR"/>
              </w:rPr>
            </w:pPr>
            <w:r w:rsidRPr="000B3938">
              <w:rPr>
                <w:b/>
                <w:sz w:val="19"/>
                <w:szCs w:val="19"/>
                <w:lang w:val="fr-FR"/>
              </w:rPr>
              <w:t>2025</w:t>
            </w:r>
          </w:p>
        </w:tc>
        <w:tc>
          <w:tcPr>
            <w:tcW w:w="704" w:type="pct"/>
            <w:vAlign w:val="center"/>
          </w:tcPr>
          <w:p w14:paraId="5FF961AF" w14:textId="77777777" w:rsidR="00C74282" w:rsidRPr="000B3938" w:rsidRDefault="00C74282">
            <w:pPr>
              <w:spacing w:after="60"/>
              <w:jc w:val="center"/>
              <w:rPr>
                <w:b/>
                <w:sz w:val="19"/>
                <w:szCs w:val="19"/>
                <w:lang w:val="fr-FR"/>
              </w:rPr>
            </w:pPr>
            <w:r w:rsidRPr="000B3938">
              <w:rPr>
                <w:b/>
                <w:sz w:val="19"/>
                <w:szCs w:val="19"/>
                <w:lang w:val="fr-FR"/>
              </w:rPr>
              <w:t>2026</w:t>
            </w:r>
          </w:p>
        </w:tc>
        <w:tc>
          <w:tcPr>
            <w:tcW w:w="704" w:type="pct"/>
            <w:vAlign w:val="center"/>
          </w:tcPr>
          <w:p w14:paraId="7D2556EE" w14:textId="77777777" w:rsidR="00C74282" w:rsidRPr="000B3938" w:rsidRDefault="00C74282">
            <w:pPr>
              <w:spacing w:after="60"/>
              <w:jc w:val="center"/>
              <w:rPr>
                <w:b/>
                <w:sz w:val="19"/>
                <w:szCs w:val="19"/>
                <w:lang w:val="fr-FR"/>
              </w:rPr>
            </w:pPr>
            <w:r w:rsidRPr="000B3938">
              <w:rPr>
                <w:b/>
                <w:sz w:val="19"/>
                <w:szCs w:val="19"/>
                <w:lang w:val="fr-FR"/>
              </w:rPr>
              <w:t>2027</w:t>
            </w:r>
          </w:p>
        </w:tc>
        <w:tc>
          <w:tcPr>
            <w:tcW w:w="768" w:type="pct"/>
            <w:vAlign w:val="center"/>
          </w:tcPr>
          <w:p w14:paraId="1C84E465" w14:textId="77777777" w:rsidR="00C74282" w:rsidRPr="000B3938" w:rsidRDefault="00C74282">
            <w:pPr>
              <w:spacing w:after="60"/>
              <w:jc w:val="center"/>
              <w:rPr>
                <w:b/>
                <w:sz w:val="19"/>
                <w:szCs w:val="19"/>
                <w:lang w:val="fr-FR"/>
              </w:rPr>
            </w:pPr>
            <w:r w:rsidRPr="000B3938">
              <w:rPr>
                <w:b/>
                <w:sz w:val="19"/>
                <w:szCs w:val="19"/>
                <w:lang w:val="fr-FR"/>
              </w:rPr>
              <w:t>Total</w:t>
            </w:r>
          </w:p>
        </w:tc>
      </w:tr>
      <w:tr w:rsidR="00C74282" w:rsidRPr="000B3938" w14:paraId="247AB6C9" w14:textId="77777777">
        <w:trPr>
          <w:trHeight w:val="258"/>
          <w:jc w:val="center"/>
        </w:trPr>
        <w:tc>
          <w:tcPr>
            <w:tcW w:w="686" w:type="pct"/>
            <w:vMerge w:val="restart"/>
            <w:vAlign w:val="center"/>
          </w:tcPr>
          <w:p w14:paraId="3522E853" w14:textId="77777777" w:rsidR="00C74282" w:rsidRPr="000B3938" w:rsidRDefault="00C74282">
            <w:pPr>
              <w:spacing w:after="60"/>
              <w:ind w:left="-142"/>
              <w:jc w:val="center"/>
              <w:rPr>
                <w:sz w:val="19"/>
                <w:szCs w:val="19"/>
                <w:lang w:val="fr-FR"/>
              </w:rPr>
            </w:pPr>
            <w:r w:rsidRPr="000B3938">
              <w:rPr>
                <w:color w:val="000000" w:themeColor="text1"/>
                <w:sz w:val="19"/>
                <w:szCs w:val="19"/>
                <w:lang w:val="fr-FR"/>
              </w:rPr>
              <w:t>ONUDI</w:t>
            </w:r>
          </w:p>
        </w:tc>
        <w:tc>
          <w:tcPr>
            <w:tcW w:w="1435" w:type="pct"/>
          </w:tcPr>
          <w:p w14:paraId="17378F26" w14:textId="77777777" w:rsidR="00C74282" w:rsidRPr="000B3938" w:rsidRDefault="00C74282">
            <w:pPr>
              <w:spacing w:after="60"/>
              <w:ind w:right="-105"/>
              <w:jc w:val="left"/>
              <w:rPr>
                <w:sz w:val="19"/>
                <w:szCs w:val="19"/>
                <w:lang w:val="fr-FR"/>
              </w:rPr>
            </w:pPr>
            <w:r w:rsidRPr="000B3938">
              <w:rPr>
                <w:sz w:val="19"/>
                <w:szCs w:val="19"/>
                <w:lang w:val="fr-FR"/>
              </w:rPr>
              <w:t>Élimination de SAO (tonnes PAO)</w:t>
            </w:r>
          </w:p>
        </w:tc>
        <w:tc>
          <w:tcPr>
            <w:tcW w:w="703" w:type="pct"/>
          </w:tcPr>
          <w:p w14:paraId="497B53DC" w14:textId="77777777" w:rsidR="00C74282" w:rsidRPr="000B3938" w:rsidRDefault="00C74282">
            <w:pPr>
              <w:spacing w:after="60"/>
              <w:jc w:val="right"/>
              <w:rPr>
                <w:sz w:val="19"/>
                <w:szCs w:val="19"/>
                <w:lang w:val="fr-FR"/>
              </w:rPr>
            </w:pPr>
            <w:r w:rsidRPr="000B3938">
              <w:rPr>
                <w:sz w:val="19"/>
                <w:szCs w:val="19"/>
                <w:lang w:val="fr-FR"/>
              </w:rPr>
              <w:t>21,44</w:t>
            </w:r>
          </w:p>
        </w:tc>
        <w:tc>
          <w:tcPr>
            <w:tcW w:w="704" w:type="pct"/>
          </w:tcPr>
          <w:p w14:paraId="1B4CFB76" w14:textId="77777777" w:rsidR="00C74282" w:rsidRPr="000B3938" w:rsidRDefault="00C74282">
            <w:pPr>
              <w:spacing w:after="60"/>
              <w:jc w:val="right"/>
              <w:rPr>
                <w:sz w:val="19"/>
                <w:szCs w:val="19"/>
                <w:lang w:val="fr-FR"/>
              </w:rPr>
            </w:pPr>
            <w:r w:rsidRPr="000B3938">
              <w:rPr>
                <w:sz w:val="19"/>
                <w:szCs w:val="19"/>
                <w:lang w:val="fr-FR"/>
              </w:rPr>
              <w:t>0,0</w:t>
            </w:r>
          </w:p>
        </w:tc>
        <w:tc>
          <w:tcPr>
            <w:tcW w:w="704" w:type="pct"/>
          </w:tcPr>
          <w:p w14:paraId="73579DDA" w14:textId="77777777" w:rsidR="00C74282" w:rsidRPr="000B3938" w:rsidRDefault="00C74282">
            <w:pPr>
              <w:spacing w:after="60"/>
              <w:jc w:val="right"/>
              <w:rPr>
                <w:sz w:val="19"/>
                <w:szCs w:val="19"/>
                <w:lang w:val="fr-FR"/>
              </w:rPr>
            </w:pPr>
            <w:r w:rsidRPr="000B3938">
              <w:rPr>
                <w:sz w:val="19"/>
                <w:szCs w:val="19"/>
                <w:lang w:val="fr-FR"/>
              </w:rPr>
              <w:t>0,0</w:t>
            </w:r>
          </w:p>
        </w:tc>
        <w:tc>
          <w:tcPr>
            <w:tcW w:w="768" w:type="pct"/>
          </w:tcPr>
          <w:p w14:paraId="034FB90C" w14:textId="77777777" w:rsidR="00C74282" w:rsidRPr="000B3938" w:rsidRDefault="00C74282">
            <w:pPr>
              <w:spacing w:after="60"/>
              <w:jc w:val="right"/>
              <w:rPr>
                <w:sz w:val="19"/>
                <w:szCs w:val="19"/>
                <w:lang w:val="fr-FR"/>
              </w:rPr>
            </w:pPr>
            <w:r w:rsidRPr="000B3938">
              <w:rPr>
                <w:sz w:val="19"/>
                <w:szCs w:val="19"/>
                <w:lang w:val="fr-FR"/>
              </w:rPr>
              <w:t>21,44</w:t>
            </w:r>
          </w:p>
        </w:tc>
      </w:tr>
      <w:tr w:rsidR="00C74282" w:rsidRPr="000B3938" w14:paraId="5908D93D" w14:textId="77777777">
        <w:trPr>
          <w:trHeight w:val="258"/>
          <w:jc w:val="center"/>
        </w:trPr>
        <w:tc>
          <w:tcPr>
            <w:tcW w:w="686" w:type="pct"/>
            <w:vMerge/>
            <w:vAlign w:val="center"/>
          </w:tcPr>
          <w:p w14:paraId="12C3040F" w14:textId="77777777" w:rsidR="00C74282" w:rsidRPr="000B3938" w:rsidRDefault="00C74282">
            <w:pPr>
              <w:spacing w:after="60"/>
              <w:jc w:val="center"/>
              <w:rPr>
                <w:sz w:val="19"/>
                <w:szCs w:val="19"/>
                <w:lang w:val="fr-FR"/>
              </w:rPr>
            </w:pPr>
          </w:p>
        </w:tc>
        <w:tc>
          <w:tcPr>
            <w:tcW w:w="1435" w:type="pct"/>
          </w:tcPr>
          <w:p w14:paraId="5E7F5F0E" w14:textId="77777777" w:rsidR="00C74282" w:rsidRPr="000B3938" w:rsidRDefault="00C74282">
            <w:pPr>
              <w:spacing w:after="60"/>
              <w:jc w:val="left"/>
              <w:rPr>
                <w:sz w:val="19"/>
                <w:szCs w:val="19"/>
                <w:lang w:val="fr-FR"/>
              </w:rPr>
            </w:pPr>
            <w:r w:rsidRPr="000B3938">
              <w:rPr>
                <w:sz w:val="19"/>
                <w:szCs w:val="19"/>
                <w:lang w:val="fr-FR"/>
              </w:rPr>
              <w:t>Financement ($US)</w:t>
            </w:r>
          </w:p>
        </w:tc>
        <w:tc>
          <w:tcPr>
            <w:tcW w:w="703" w:type="pct"/>
          </w:tcPr>
          <w:p w14:paraId="576E9159" w14:textId="77777777" w:rsidR="00C74282" w:rsidRPr="000B3938" w:rsidRDefault="00C74282">
            <w:pPr>
              <w:spacing w:after="60"/>
              <w:jc w:val="right"/>
              <w:rPr>
                <w:sz w:val="19"/>
                <w:szCs w:val="19"/>
                <w:lang w:val="fr-FR"/>
              </w:rPr>
            </w:pPr>
            <w:r w:rsidRPr="000B3938">
              <w:rPr>
                <w:sz w:val="19"/>
                <w:szCs w:val="19"/>
                <w:lang w:val="fr-FR"/>
              </w:rPr>
              <w:t>2 000 000</w:t>
            </w:r>
          </w:p>
        </w:tc>
        <w:tc>
          <w:tcPr>
            <w:tcW w:w="704" w:type="pct"/>
          </w:tcPr>
          <w:p w14:paraId="47CAE770" w14:textId="77777777" w:rsidR="00C74282" w:rsidRPr="000B3938" w:rsidRDefault="00C74282">
            <w:pPr>
              <w:spacing w:after="60"/>
              <w:jc w:val="right"/>
              <w:rPr>
                <w:sz w:val="19"/>
                <w:szCs w:val="19"/>
                <w:lang w:val="fr-FR"/>
              </w:rPr>
            </w:pPr>
            <w:r w:rsidRPr="000B3938">
              <w:rPr>
                <w:sz w:val="19"/>
                <w:szCs w:val="19"/>
                <w:lang w:val="fr-FR"/>
              </w:rPr>
              <w:t>0</w:t>
            </w:r>
          </w:p>
        </w:tc>
        <w:tc>
          <w:tcPr>
            <w:tcW w:w="704" w:type="pct"/>
          </w:tcPr>
          <w:p w14:paraId="4E1D80F0" w14:textId="77777777" w:rsidR="00C74282" w:rsidRPr="000B3938" w:rsidRDefault="00C74282">
            <w:pPr>
              <w:spacing w:after="60"/>
              <w:jc w:val="right"/>
              <w:rPr>
                <w:sz w:val="19"/>
                <w:szCs w:val="19"/>
                <w:lang w:val="fr-FR"/>
              </w:rPr>
            </w:pPr>
            <w:r w:rsidRPr="000B3938">
              <w:rPr>
                <w:sz w:val="19"/>
                <w:szCs w:val="19"/>
                <w:lang w:val="fr-FR"/>
              </w:rPr>
              <w:t>0</w:t>
            </w:r>
          </w:p>
        </w:tc>
        <w:tc>
          <w:tcPr>
            <w:tcW w:w="768" w:type="pct"/>
          </w:tcPr>
          <w:p w14:paraId="5CE85B71" w14:textId="77777777" w:rsidR="00C74282" w:rsidRPr="000B3938" w:rsidRDefault="00C74282">
            <w:pPr>
              <w:spacing w:after="60"/>
              <w:jc w:val="right"/>
              <w:rPr>
                <w:sz w:val="19"/>
                <w:szCs w:val="19"/>
                <w:lang w:val="fr-FR"/>
              </w:rPr>
            </w:pPr>
            <w:r w:rsidRPr="000B3938">
              <w:rPr>
                <w:sz w:val="19"/>
                <w:szCs w:val="19"/>
                <w:lang w:val="fr-FR"/>
              </w:rPr>
              <w:t>2 000 000</w:t>
            </w:r>
          </w:p>
        </w:tc>
      </w:tr>
    </w:tbl>
    <w:p w14:paraId="4382D52C" w14:textId="77777777" w:rsidR="00C74282" w:rsidRPr="000B3938" w:rsidRDefault="00C74282" w:rsidP="00C74282">
      <w:pPr>
        <w:jc w:val="center"/>
        <w:rPr>
          <w:sz w:val="19"/>
          <w:szCs w:val="19"/>
          <w:lang w:val="fr-FR"/>
        </w:rPr>
      </w:pPr>
    </w:p>
    <w:tbl>
      <w:tblPr>
        <w:tblStyle w:val="TableGrid"/>
        <w:tblW w:w="5530" w:type="pct"/>
        <w:jc w:val="center"/>
        <w:tblLayout w:type="fixed"/>
        <w:tblLook w:val="04A0" w:firstRow="1" w:lastRow="0" w:firstColumn="1" w:lastColumn="0" w:noHBand="0" w:noVBand="1"/>
      </w:tblPr>
      <w:tblGrid>
        <w:gridCol w:w="2066"/>
        <w:gridCol w:w="1086"/>
        <w:gridCol w:w="1462"/>
        <w:gridCol w:w="1119"/>
        <w:gridCol w:w="798"/>
        <w:gridCol w:w="1025"/>
        <w:gridCol w:w="816"/>
        <w:gridCol w:w="1025"/>
        <w:gridCol w:w="1044"/>
      </w:tblGrid>
      <w:tr w:rsidR="00C74282" w:rsidRPr="000B3938" w14:paraId="6498BBB5" w14:textId="77777777" w:rsidTr="009322A0">
        <w:trPr>
          <w:trHeight w:val="217"/>
          <w:jc w:val="center"/>
        </w:trPr>
        <w:tc>
          <w:tcPr>
            <w:tcW w:w="2209" w:type="pct"/>
            <w:gridSpan w:val="3"/>
            <w:vAlign w:val="center"/>
          </w:tcPr>
          <w:p w14:paraId="0D38D4ED" w14:textId="77777777" w:rsidR="00C74282" w:rsidRPr="000B3938" w:rsidRDefault="00C74282">
            <w:pPr>
              <w:spacing w:before="20" w:after="20"/>
              <w:jc w:val="left"/>
              <w:rPr>
                <w:b/>
                <w:sz w:val="19"/>
                <w:szCs w:val="19"/>
                <w:lang w:val="fr-FR"/>
              </w:rPr>
            </w:pPr>
            <w:r w:rsidRPr="000B3938">
              <w:rPr>
                <w:b/>
                <w:sz w:val="19"/>
                <w:szCs w:val="19"/>
                <w:lang w:val="fr-FR"/>
              </w:rPr>
              <w:t>VI) DONNÉES DE PROJET</w:t>
            </w:r>
          </w:p>
        </w:tc>
        <w:tc>
          <w:tcPr>
            <w:tcW w:w="536" w:type="pct"/>
            <w:vAlign w:val="center"/>
          </w:tcPr>
          <w:p w14:paraId="584D36B4" w14:textId="77777777" w:rsidR="00C74282" w:rsidRPr="000B3938" w:rsidRDefault="00C74282">
            <w:pPr>
              <w:spacing w:before="20" w:after="20"/>
              <w:jc w:val="center"/>
              <w:rPr>
                <w:b/>
                <w:sz w:val="19"/>
                <w:szCs w:val="19"/>
                <w:lang w:val="fr-FR"/>
              </w:rPr>
            </w:pPr>
            <w:r w:rsidRPr="000B3938">
              <w:rPr>
                <w:b/>
                <w:sz w:val="19"/>
                <w:szCs w:val="19"/>
                <w:lang w:val="fr-FR"/>
              </w:rPr>
              <w:t>2025</w:t>
            </w:r>
          </w:p>
        </w:tc>
        <w:tc>
          <w:tcPr>
            <w:tcW w:w="382" w:type="pct"/>
            <w:vAlign w:val="center"/>
          </w:tcPr>
          <w:p w14:paraId="2538707B" w14:textId="77777777" w:rsidR="00C74282" w:rsidRPr="000B3938" w:rsidRDefault="00C74282">
            <w:pPr>
              <w:spacing w:before="20" w:after="20"/>
              <w:jc w:val="center"/>
              <w:rPr>
                <w:b/>
                <w:sz w:val="19"/>
                <w:szCs w:val="19"/>
                <w:lang w:val="fr-FR"/>
              </w:rPr>
            </w:pPr>
            <w:r w:rsidRPr="000B3938">
              <w:rPr>
                <w:b/>
                <w:sz w:val="19"/>
                <w:szCs w:val="19"/>
                <w:lang w:val="fr-FR"/>
              </w:rPr>
              <w:t>2026</w:t>
            </w:r>
          </w:p>
        </w:tc>
        <w:tc>
          <w:tcPr>
            <w:tcW w:w="491" w:type="pct"/>
            <w:vAlign w:val="center"/>
          </w:tcPr>
          <w:p w14:paraId="013FF767" w14:textId="77777777" w:rsidR="00C74282" w:rsidRPr="000B3938" w:rsidRDefault="00C74282">
            <w:pPr>
              <w:spacing w:before="20" w:after="20"/>
              <w:jc w:val="center"/>
              <w:rPr>
                <w:b/>
                <w:sz w:val="19"/>
                <w:szCs w:val="19"/>
                <w:lang w:val="fr-FR"/>
              </w:rPr>
            </w:pPr>
            <w:r w:rsidRPr="000B3938">
              <w:rPr>
                <w:b/>
                <w:sz w:val="19"/>
                <w:szCs w:val="19"/>
                <w:lang w:val="fr-FR"/>
              </w:rPr>
              <w:t>2027</w:t>
            </w:r>
          </w:p>
        </w:tc>
        <w:tc>
          <w:tcPr>
            <w:tcW w:w="391" w:type="pct"/>
            <w:vAlign w:val="center"/>
          </w:tcPr>
          <w:p w14:paraId="0E02E04B" w14:textId="77777777" w:rsidR="00C74282" w:rsidRPr="000B3938" w:rsidRDefault="00C74282">
            <w:pPr>
              <w:spacing w:before="20" w:after="20"/>
              <w:jc w:val="center"/>
              <w:rPr>
                <w:b/>
                <w:sz w:val="19"/>
                <w:szCs w:val="19"/>
                <w:lang w:val="fr-FR"/>
              </w:rPr>
            </w:pPr>
            <w:r w:rsidRPr="000B3938">
              <w:rPr>
                <w:b/>
                <w:sz w:val="19"/>
                <w:szCs w:val="19"/>
                <w:lang w:val="fr-FR"/>
              </w:rPr>
              <w:t>2028</w:t>
            </w:r>
            <w:r w:rsidRPr="000B3938">
              <w:rPr>
                <w:b/>
                <w:sz w:val="19"/>
                <w:szCs w:val="19"/>
                <w:lang w:val="fr-FR"/>
              </w:rPr>
              <w:br/>
              <w:t>2029</w:t>
            </w:r>
          </w:p>
        </w:tc>
        <w:tc>
          <w:tcPr>
            <w:tcW w:w="491" w:type="pct"/>
            <w:vAlign w:val="center"/>
          </w:tcPr>
          <w:p w14:paraId="1F6367BA" w14:textId="77777777" w:rsidR="00C74282" w:rsidRPr="000B3938" w:rsidRDefault="00C74282">
            <w:pPr>
              <w:spacing w:before="20" w:after="20"/>
              <w:jc w:val="center"/>
              <w:rPr>
                <w:b/>
                <w:sz w:val="19"/>
                <w:szCs w:val="19"/>
                <w:lang w:val="fr-FR"/>
              </w:rPr>
            </w:pPr>
            <w:r w:rsidRPr="000B3938">
              <w:rPr>
                <w:b/>
                <w:sz w:val="19"/>
                <w:szCs w:val="19"/>
                <w:lang w:val="fr-FR"/>
              </w:rPr>
              <w:t>2030</w:t>
            </w:r>
          </w:p>
        </w:tc>
        <w:tc>
          <w:tcPr>
            <w:tcW w:w="501" w:type="pct"/>
            <w:vAlign w:val="center"/>
          </w:tcPr>
          <w:p w14:paraId="438F1EAD" w14:textId="77777777" w:rsidR="00C74282" w:rsidRPr="000B3938" w:rsidRDefault="00C74282">
            <w:pPr>
              <w:spacing w:before="20" w:after="20"/>
              <w:jc w:val="center"/>
              <w:rPr>
                <w:b/>
                <w:sz w:val="19"/>
                <w:szCs w:val="19"/>
                <w:lang w:val="fr-FR"/>
              </w:rPr>
            </w:pPr>
            <w:r w:rsidRPr="000B3938">
              <w:rPr>
                <w:b/>
                <w:sz w:val="19"/>
                <w:szCs w:val="19"/>
                <w:lang w:val="fr-FR"/>
              </w:rPr>
              <w:t>Total</w:t>
            </w:r>
          </w:p>
        </w:tc>
      </w:tr>
      <w:tr w:rsidR="00C74282" w:rsidRPr="000B3938" w14:paraId="0C2E031E" w14:textId="77777777" w:rsidTr="009322A0">
        <w:trPr>
          <w:trHeight w:val="60"/>
          <w:jc w:val="center"/>
        </w:trPr>
        <w:tc>
          <w:tcPr>
            <w:tcW w:w="2209" w:type="pct"/>
            <w:gridSpan w:val="3"/>
            <w:vAlign w:val="center"/>
          </w:tcPr>
          <w:p w14:paraId="526603A4" w14:textId="77777777" w:rsidR="00C74282" w:rsidRPr="000B3938" w:rsidRDefault="00C74282">
            <w:pPr>
              <w:tabs>
                <w:tab w:val="left" w:pos="8280"/>
              </w:tabs>
              <w:spacing w:before="20" w:after="20"/>
              <w:ind w:right="-105"/>
              <w:jc w:val="left"/>
              <w:rPr>
                <w:sz w:val="19"/>
                <w:szCs w:val="19"/>
                <w:lang w:val="fr-FR"/>
              </w:rPr>
            </w:pPr>
            <w:r w:rsidRPr="000B3938">
              <w:rPr>
                <w:sz w:val="19"/>
                <w:szCs w:val="19"/>
                <w:lang w:val="fr-FR"/>
              </w:rPr>
              <w:t>Limites de consommation du Protocole de Montréal (tonnes PAO)</w:t>
            </w:r>
          </w:p>
        </w:tc>
        <w:tc>
          <w:tcPr>
            <w:tcW w:w="536" w:type="pct"/>
          </w:tcPr>
          <w:p w14:paraId="2EA69235" w14:textId="4E74B1AF" w:rsidR="00C74282" w:rsidRPr="000B3938" w:rsidRDefault="00C74282">
            <w:pPr>
              <w:tabs>
                <w:tab w:val="left" w:pos="8280"/>
              </w:tabs>
              <w:spacing w:before="20" w:after="20"/>
              <w:jc w:val="right"/>
              <w:rPr>
                <w:sz w:val="19"/>
                <w:szCs w:val="19"/>
                <w:lang w:val="fr-FR"/>
              </w:rPr>
            </w:pPr>
            <w:r w:rsidRPr="000B3938">
              <w:rPr>
                <w:sz w:val="19"/>
                <w:szCs w:val="19"/>
                <w:lang w:val="fr-FR"/>
              </w:rPr>
              <w:t>130,22</w:t>
            </w:r>
          </w:p>
        </w:tc>
        <w:tc>
          <w:tcPr>
            <w:tcW w:w="382" w:type="pct"/>
          </w:tcPr>
          <w:p w14:paraId="4743B6BF" w14:textId="612DA0EE" w:rsidR="00C74282" w:rsidRPr="000B3938" w:rsidRDefault="00C74282">
            <w:pPr>
              <w:tabs>
                <w:tab w:val="left" w:pos="8280"/>
              </w:tabs>
              <w:spacing w:before="20" w:after="20"/>
              <w:jc w:val="right"/>
              <w:rPr>
                <w:sz w:val="19"/>
                <w:szCs w:val="19"/>
                <w:lang w:val="fr-FR"/>
              </w:rPr>
            </w:pPr>
            <w:r w:rsidRPr="000B3938">
              <w:rPr>
                <w:sz w:val="19"/>
                <w:szCs w:val="19"/>
                <w:lang w:val="fr-FR"/>
              </w:rPr>
              <w:t>130,22</w:t>
            </w:r>
          </w:p>
        </w:tc>
        <w:tc>
          <w:tcPr>
            <w:tcW w:w="491" w:type="pct"/>
          </w:tcPr>
          <w:p w14:paraId="0BC69FC5" w14:textId="108CD2BC" w:rsidR="00C74282" w:rsidRPr="000B3938" w:rsidRDefault="00C74282">
            <w:pPr>
              <w:tabs>
                <w:tab w:val="left" w:pos="8280"/>
              </w:tabs>
              <w:spacing w:before="20" w:after="20"/>
              <w:jc w:val="right"/>
              <w:rPr>
                <w:sz w:val="19"/>
                <w:szCs w:val="19"/>
                <w:lang w:val="fr-FR"/>
              </w:rPr>
            </w:pPr>
            <w:r w:rsidRPr="000B3938">
              <w:rPr>
                <w:sz w:val="19"/>
                <w:szCs w:val="19"/>
                <w:lang w:val="fr-FR"/>
              </w:rPr>
              <w:t>130,22</w:t>
            </w:r>
          </w:p>
        </w:tc>
        <w:tc>
          <w:tcPr>
            <w:tcW w:w="391" w:type="pct"/>
          </w:tcPr>
          <w:p w14:paraId="5DEC0EFF" w14:textId="2FFA289C" w:rsidR="00C74282" w:rsidRPr="000B3938" w:rsidRDefault="00C74282">
            <w:pPr>
              <w:tabs>
                <w:tab w:val="left" w:pos="8280"/>
              </w:tabs>
              <w:spacing w:before="20" w:after="20"/>
              <w:jc w:val="right"/>
              <w:rPr>
                <w:sz w:val="19"/>
                <w:szCs w:val="19"/>
                <w:lang w:val="fr-FR"/>
              </w:rPr>
            </w:pPr>
            <w:r w:rsidRPr="000B3938">
              <w:rPr>
                <w:sz w:val="19"/>
                <w:szCs w:val="19"/>
                <w:lang w:val="fr-FR"/>
              </w:rPr>
              <w:t>130,22</w:t>
            </w:r>
          </w:p>
        </w:tc>
        <w:tc>
          <w:tcPr>
            <w:tcW w:w="491" w:type="pct"/>
          </w:tcPr>
          <w:p w14:paraId="440842F3" w14:textId="77777777" w:rsidR="00C74282" w:rsidRPr="000B3938" w:rsidRDefault="00C74282">
            <w:pPr>
              <w:tabs>
                <w:tab w:val="left" w:pos="8280"/>
              </w:tabs>
              <w:spacing w:before="20" w:after="20"/>
              <w:jc w:val="right"/>
              <w:rPr>
                <w:sz w:val="19"/>
                <w:szCs w:val="19"/>
                <w:lang w:val="fr-FR"/>
              </w:rPr>
            </w:pPr>
            <w:r w:rsidRPr="000B3938">
              <w:rPr>
                <w:sz w:val="19"/>
                <w:szCs w:val="19"/>
                <w:lang w:val="fr-FR"/>
              </w:rPr>
              <w:t>0,0</w:t>
            </w:r>
          </w:p>
        </w:tc>
        <w:tc>
          <w:tcPr>
            <w:tcW w:w="501" w:type="pct"/>
          </w:tcPr>
          <w:p w14:paraId="0BFD36DA" w14:textId="77777777" w:rsidR="00C74282" w:rsidRPr="000B3938" w:rsidRDefault="00C74282">
            <w:pPr>
              <w:tabs>
                <w:tab w:val="left" w:pos="8280"/>
              </w:tabs>
              <w:spacing w:before="20" w:after="20"/>
              <w:jc w:val="right"/>
              <w:rPr>
                <w:sz w:val="19"/>
                <w:szCs w:val="19"/>
                <w:lang w:val="fr-FR"/>
              </w:rPr>
            </w:pPr>
            <w:r w:rsidRPr="000B3938">
              <w:rPr>
                <w:sz w:val="19"/>
                <w:szCs w:val="19"/>
                <w:lang w:val="fr-FR"/>
              </w:rPr>
              <w:t>s.o.</w:t>
            </w:r>
          </w:p>
        </w:tc>
      </w:tr>
      <w:tr w:rsidR="00C74282" w:rsidRPr="000B3938" w14:paraId="42754F6A" w14:textId="77777777" w:rsidTr="009322A0">
        <w:trPr>
          <w:trHeight w:val="190"/>
          <w:jc w:val="center"/>
        </w:trPr>
        <w:tc>
          <w:tcPr>
            <w:tcW w:w="2209" w:type="pct"/>
            <w:gridSpan w:val="3"/>
            <w:vAlign w:val="center"/>
          </w:tcPr>
          <w:p w14:paraId="5C3A5908" w14:textId="77777777" w:rsidR="00C74282" w:rsidRPr="000B3938" w:rsidRDefault="00C74282">
            <w:pPr>
              <w:tabs>
                <w:tab w:val="left" w:pos="8280"/>
              </w:tabs>
              <w:spacing w:before="20" w:after="20"/>
              <w:jc w:val="left"/>
              <w:rPr>
                <w:sz w:val="19"/>
                <w:szCs w:val="19"/>
                <w:lang w:val="fr-FR"/>
              </w:rPr>
            </w:pPr>
            <w:r w:rsidRPr="000B3938">
              <w:rPr>
                <w:sz w:val="19"/>
                <w:szCs w:val="19"/>
                <w:lang w:val="fr-FR"/>
              </w:rPr>
              <w:t>Consommation maximale admissible (tonnes PAO)</w:t>
            </w:r>
          </w:p>
        </w:tc>
        <w:tc>
          <w:tcPr>
            <w:tcW w:w="536" w:type="pct"/>
          </w:tcPr>
          <w:p w14:paraId="45767E85" w14:textId="6DD15DB7" w:rsidR="00C74282" w:rsidRPr="000B3938" w:rsidRDefault="00C74282">
            <w:pPr>
              <w:tabs>
                <w:tab w:val="left" w:pos="8280"/>
              </w:tabs>
              <w:spacing w:before="20" w:after="20"/>
              <w:jc w:val="right"/>
              <w:rPr>
                <w:sz w:val="19"/>
                <w:szCs w:val="19"/>
                <w:lang w:val="fr-FR"/>
              </w:rPr>
            </w:pPr>
            <w:r w:rsidRPr="000B3938">
              <w:rPr>
                <w:sz w:val="19"/>
                <w:szCs w:val="19"/>
                <w:lang w:val="fr-FR"/>
              </w:rPr>
              <w:t>130,22</w:t>
            </w:r>
          </w:p>
        </w:tc>
        <w:tc>
          <w:tcPr>
            <w:tcW w:w="382" w:type="pct"/>
          </w:tcPr>
          <w:p w14:paraId="6DE07C65" w14:textId="2E83C798" w:rsidR="00C74282" w:rsidRPr="000B3938" w:rsidRDefault="00C74282">
            <w:pPr>
              <w:tabs>
                <w:tab w:val="left" w:pos="8280"/>
              </w:tabs>
              <w:spacing w:before="20" w:after="20"/>
              <w:jc w:val="right"/>
              <w:rPr>
                <w:sz w:val="19"/>
                <w:szCs w:val="19"/>
                <w:lang w:val="fr-FR"/>
              </w:rPr>
            </w:pPr>
            <w:r w:rsidRPr="000B3938">
              <w:rPr>
                <w:sz w:val="19"/>
                <w:szCs w:val="19"/>
                <w:lang w:val="fr-FR"/>
              </w:rPr>
              <w:t>130,22</w:t>
            </w:r>
          </w:p>
        </w:tc>
        <w:tc>
          <w:tcPr>
            <w:tcW w:w="491" w:type="pct"/>
          </w:tcPr>
          <w:p w14:paraId="581124DA" w14:textId="057D38D6" w:rsidR="00C74282" w:rsidRPr="000B3938" w:rsidRDefault="00C74282">
            <w:pPr>
              <w:tabs>
                <w:tab w:val="left" w:pos="8280"/>
              </w:tabs>
              <w:spacing w:before="20" w:after="20"/>
              <w:jc w:val="right"/>
              <w:rPr>
                <w:sz w:val="19"/>
                <w:szCs w:val="19"/>
                <w:lang w:val="fr-FR"/>
              </w:rPr>
            </w:pPr>
            <w:r w:rsidRPr="000B3938">
              <w:rPr>
                <w:sz w:val="19"/>
                <w:szCs w:val="19"/>
                <w:lang w:val="fr-FR"/>
              </w:rPr>
              <w:t>130,22</w:t>
            </w:r>
          </w:p>
        </w:tc>
        <w:tc>
          <w:tcPr>
            <w:tcW w:w="391" w:type="pct"/>
          </w:tcPr>
          <w:p w14:paraId="24BFAA45" w14:textId="2AF4AB5C" w:rsidR="00C74282" w:rsidRPr="000B3938" w:rsidRDefault="00C74282">
            <w:pPr>
              <w:tabs>
                <w:tab w:val="left" w:pos="8280"/>
              </w:tabs>
              <w:spacing w:before="20" w:after="20"/>
              <w:jc w:val="right"/>
              <w:rPr>
                <w:sz w:val="19"/>
                <w:szCs w:val="19"/>
                <w:lang w:val="fr-FR"/>
              </w:rPr>
            </w:pPr>
            <w:r w:rsidRPr="000B3938">
              <w:rPr>
                <w:sz w:val="19"/>
                <w:szCs w:val="19"/>
                <w:lang w:val="fr-FR"/>
              </w:rPr>
              <w:t>130,22</w:t>
            </w:r>
          </w:p>
        </w:tc>
        <w:tc>
          <w:tcPr>
            <w:tcW w:w="491" w:type="pct"/>
          </w:tcPr>
          <w:p w14:paraId="67F3E232" w14:textId="77777777" w:rsidR="00C74282" w:rsidRPr="000B3938" w:rsidRDefault="00C74282">
            <w:pPr>
              <w:tabs>
                <w:tab w:val="left" w:pos="8280"/>
              </w:tabs>
              <w:spacing w:before="20" w:after="20"/>
              <w:jc w:val="right"/>
              <w:rPr>
                <w:sz w:val="19"/>
                <w:szCs w:val="19"/>
                <w:lang w:val="fr-FR"/>
              </w:rPr>
            </w:pPr>
            <w:r w:rsidRPr="000B3938">
              <w:rPr>
                <w:sz w:val="19"/>
                <w:szCs w:val="19"/>
                <w:lang w:val="fr-FR"/>
              </w:rPr>
              <w:t>0,0</w:t>
            </w:r>
          </w:p>
        </w:tc>
        <w:tc>
          <w:tcPr>
            <w:tcW w:w="501" w:type="pct"/>
          </w:tcPr>
          <w:p w14:paraId="12397CCC" w14:textId="77777777" w:rsidR="00C74282" w:rsidRPr="000B3938" w:rsidRDefault="00C74282">
            <w:pPr>
              <w:tabs>
                <w:tab w:val="left" w:pos="8280"/>
              </w:tabs>
              <w:spacing w:before="20" w:after="20"/>
              <w:jc w:val="right"/>
              <w:rPr>
                <w:sz w:val="19"/>
                <w:szCs w:val="19"/>
                <w:lang w:val="fr-FR"/>
              </w:rPr>
            </w:pPr>
            <w:r w:rsidRPr="000B3938">
              <w:rPr>
                <w:sz w:val="19"/>
                <w:szCs w:val="19"/>
                <w:lang w:val="fr-FR"/>
              </w:rPr>
              <w:t>s.o.</w:t>
            </w:r>
          </w:p>
        </w:tc>
      </w:tr>
      <w:tr w:rsidR="00C74282" w:rsidRPr="000B3938" w14:paraId="3086CE57" w14:textId="77777777" w:rsidTr="009322A0">
        <w:trPr>
          <w:trHeight w:val="368"/>
          <w:jc w:val="center"/>
        </w:trPr>
        <w:tc>
          <w:tcPr>
            <w:tcW w:w="989" w:type="pct"/>
            <w:vMerge w:val="restart"/>
            <w:vAlign w:val="center"/>
          </w:tcPr>
          <w:p w14:paraId="29745CEB" w14:textId="0B1BAEDD" w:rsidR="00C74282" w:rsidRPr="000B3938" w:rsidRDefault="00C74282">
            <w:pPr>
              <w:tabs>
                <w:tab w:val="left" w:pos="8280"/>
              </w:tabs>
              <w:spacing w:before="20" w:after="20"/>
              <w:jc w:val="left"/>
              <w:rPr>
                <w:sz w:val="19"/>
                <w:szCs w:val="19"/>
                <w:lang w:val="fr-FR"/>
              </w:rPr>
            </w:pPr>
            <w:r w:rsidRPr="000B3938">
              <w:rPr>
                <w:sz w:val="19"/>
                <w:szCs w:val="19"/>
                <w:lang w:val="fr-FR"/>
              </w:rPr>
              <w:t>Coûts du projet – Demande de principe ($US)</w:t>
            </w:r>
          </w:p>
        </w:tc>
        <w:tc>
          <w:tcPr>
            <w:tcW w:w="520" w:type="pct"/>
            <w:vMerge w:val="restart"/>
            <w:vAlign w:val="center"/>
          </w:tcPr>
          <w:p w14:paraId="701D5AD1" w14:textId="77777777" w:rsidR="00C74282" w:rsidRPr="000B3938" w:rsidRDefault="00C74282">
            <w:pPr>
              <w:tabs>
                <w:tab w:val="left" w:pos="8280"/>
              </w:tabs>
              <w:spacing w:before="20" w:after="20"/>
              <w:jc w:val="left"/>
              <w:rPr>
                <w:sz w:val="19"/>
                <w:szCs w:val="19"/>
                <w:lang w:val="fr-FR"/>
              </w:rPr>
            </w:pPr>
            <w:r w:rsidRPr="000B3938">
              <w:rPr>
                <w:color w:val="000000" w:themeColor="text1"/>
                <w:sz w:val="19"/>
                <w:szCs w:val="19"/>
                <w:lang w:val="fr-FR"/>
              </w:rPr>
              <w:t>ONUDI</w:t>
            </w:r>
          </w:p>
        </w:tc>
        <w:tc>
          <w:tcPr>
            <w:tcW w:w="700" w:type="pct"/>
            <w:vAlign w:val="center"/>
          </w:tcPr>
          <w:p w14:paraId="3131EDA7" w14:textId="77777777" w:rsidR="00C74282" w:rsidRPr="000B3938" w:rsidRDefault="00C74282">
            <w:pPr>
              <w:tabs>
                <w:tab w:val="left" w:pos="8280"/>
              </w:tabs>
              <w:spacing w:before="20" w:after="20"/>
              <w:jc w:val="left"/>
              <w:rPr>
                <w:sz w:val="19"/>
                <w:szCs w:val="19"/>
                <w:lang w:val="fr-FR"/>
              </w:rPr>
            </w:pPr>
            <w:r w:rsidRPr="000B3938">
              <w:rPr>
                <w:sz w:val="19"/>
                <w:szCs w:val="19"/>
                <w:lang w:val="fr-FR"/>
              </w:rPr>
              <w:t>Coûts du projet</w:t>
            </w:r>
          </w:p>
        </w:tc>
        <w:tc>
          <w:tcPr>
            <w:tcW w:w="536" w:type="pct"/>
            <w:tcBorders>
              <w:top w:val="single" w:sz="4" w:space="0" w:color="auto"/>
              <w:left w:val="single" w:sz="4" w:space="0" w:color="auto"/>
              <w:bottom w:val="single" w:sz="4" w:space="0" w:color="auto"/>
              <w:right w:val="single" w:sz="4" w:space="0" w:color="auto"/>
            </w:tcBorders>
            <w:vAlign w:val="center"/>
          </w:tcPr>
          <w:p w14:paraId="6376DE88" w14:textId="77777777" w:rsidR="00C74282" w:rsidRPr="000B3938" w:rsidRDefault="00C74282">
            <w:pPr>
              <w:tabs>
                <w:tab w:val="left" w:pos="8280"/>
              </w:tabs>
              <w:spacing w:before="20" w:after="20"/>
              <w:jc w:val="right"/>
              <w:rPr>
                <w:sz w:val="19"/>
                <w:szCs w:val="19"/>
                <w:lang w:val="fr-FR"/>
              </w:rPr>
            </w:pPr>
            <w:r w:rsidRPr="000B3938">
              <w:rPr>
                <w:color w:val="000000" w:themeColor="text1"/>
                <w:sz w:val="19"/>
                <w:szCs w:val="19"/>
                <w:lang w:val="fr-FR"/>
              </w:rPr>
              <w:t>2 548 000</w:t>
            </w:r>
          </w:p>
        </w:tc>
        <w:tc>
          <w:tcPr>
            <w:tcW w:w="382" w:type="pct"/>
            <w:tcBorders>
              <w:top w:val="single" w:sz="4" w:space="0" w:color="auto"/>
              <w:left w:val="nil"/>
              <w:bottom w:val="single" w:sz="4" w:space="0" w:color="auto"/>
              <w:right w:val="single" w:sz="4" w:space="0" w:color="auto"/>
            </w:tcBorders>
            <w:vAlign w:val="center"/>
          </w:tcPr>
          <w:p w14:paraId="6243F074" w14:textId="77777777" w:rsidR="00C74282" w:rsidRPr="000B3938" w:rsidRDefault="00C74282">
            <w:pPr>
              <w:tabs>
                <w:tab w:val="left" w:pos="8280"/>
              </w:tabs>
              <w:spacing w:before="20" w:after="20"/>
              <w:jc w:val="right"/>
              <w:rPr>
                <w:sz w:val="19"/>
                <w:szCs w:val="19"/>
                <w:lang w:val="fr-FR"/>
              </w:rPr>
            </w:pPr>
            <w:r w:rsidRPr="000B3938">
              <w:rPr>
                <w:color w:val="000000" w:themeColor="text1"/>
                <w:sz w:val="19"/>
                <w:szCs w:val="19"/>
                <w:lang w:val="fr-FR"/>
              </w:rPr>
              <w:t>0</w:t>
            </w:r>
          </w:p>
        </w:tc>
        <w:tc>
          <w:tcPr>
            <w:tcW w:w="491" w:type="pct"/>
            <w:tcBorders>
              <w:top w:val="single" w:sz="4" w:space="0" w:color="auto"/>
              <w:left w:val="single" w:sz="4" w:space="0" w:color="auto"/>
              <w:bottom w:val="single" w:sz="4" w:space="0" w:color="auto"/>
              <w:right w:val="single" w:sz="4" w:space="0" w:color="auto"/>
            </w:tcBorders>
            <w:vAlign w:val="center"/>
          </w:tcPr>
          <w:p w14:paraId="636C854E" w14:textId="77777777" w:rsidR="00C74282" w:rsidRPr="000B3938" w:rsidRDefault="00C74282">
            <w:pPr>
              <w:tabs>
                <w:tab w:val="left" w:pos="8280"/>
              </w:tabs>
              <w:spacing w:before="20" w:after="20"/>
              <w:jc w:val="right"/>
              <w:rPr>
                <w:sz w:val="19"/>
                <w:szCs w:val="19"/>
                <w:lang w:val="fr-FR"/>
              </w:rPr>
            </w:pPr>
            <w:r w:rsidRPr="000B3938">
              <w:rPr>
                <w:color w:val="000000" w:themeColor="text1"/>
                <w:sz w:val="19"/>
                <w:szCs w:val="19"/>
                <w:lang w:val="fr-FR"/>
              </w:rPr>
              <w:t>5 404 832</w:t>
            </w:r>
          </w:p>
        </w:tc>
        <w:tc>
          <w:tcPr>
            <w:tcW w:w="391" w:type="pct"/>
            <w:tcBorders>
              <w:top w:val="single" w:sz="4" w:space="0" w:color="auto"/>
              <w:left w:val="nil"/>
              <w:bottom w:val="single" w:sz="4" w:space="0" w:color="auto"/>
              <w:right w:val="single" w:sz="4" w:space="0" w:color="auto"/>
            </w:tcBorders>
            <w:vAlign w:val="center"/>
          </w:tcPr>
          <w:p w14:paraId="5542E224" w14:textId="77777777" w:rsidR="00C74282" w:rsidRPr="000B3938" w:rsidRDefault="00C74282">
            <w:pPr>
              <w:tabs>
                <w:tab w:val="left" w:pos="8280"/>
              </w:tabs>
              <w:spacing w:before="20" w:after="20"/>
              <w:jc w:val="right"/>
              <w:rPr>
                <w:sz w:val="19"/>
                <w:szCs w:val="19"/>
                <w:lang w:val="fr-FR"/>
              </w:rPr>
            </w:pPr>
            <w:r w:rsidRPr="000B3938">
              <w:rPr>
                <w:sz w:val="19"/>
                <w:szCs w:val="19"/>
                <w:lang w:val="fr-FR"/>
              </w:rPr>
              <w:t>0</w:t>
            </w:r>
          </w:p>
        </w:tc>
        <w:tc>
          <w:tcPr>
            <w:tcW w:w="491" w:type="pct"/>
            <w:tcBorders>
              <w:top w:val="single" w:sz="4" w:space="0" w:color="auto"/>
              <w:left w:val="single" w:sz="4" w:space="0" w:color="auto"/>
              <w:bottom w:val="single" w:sz="4" w:space="0" w:color="auto"/>
              <w:right w:val="single" w:sz="4" w:space="0" w:color="auto"/>
            </w:tcBorders>
            <w:vAlign w:val="center"/>
          </w:tcPr>
          <w:p w14:paraId="01EA72FF" w14:textId="77777777" w:rsidR="00C74282" w:rsidRPr="000B3938" w:rsidRDefault="00C74282">
            <w:pPr>
              <w:tabs>
                <w:tab w:val="left" w:pos="8280"/>
              </w:tabs>
              <w:spacing w:before="20" w:after="20"/>
              <w:jc w:val="right"/>
              <w:rPr>
                <w:sz w:val="19"/>
                <w:szCs w:val="19"/>
                <w:lang w:val="fr-FR"/>
              </w:rPr>
            </w:pPr>
            <w:r w:rsidRPr="000B3938">
              <w:rPr>
                <w:color w:val="000000" w:themeColor="text1"/>
                <w:sz w:val="19"/>
                <w:szCs w:val="19"/>
                <w:lang w:val="fr-FR"/>
              </w:rPr>
              <w:t>1 291 183</w:t>
            </w:r>
          </w:p>
        </w:tc>
        <w:tc>
          <w:tcPr>
            <w:tcW w:w="501" w:type="pct"/>
            <w:tcBorders>
              <w:top w:val="single" w:sz="4" w:space="0" w:color="auto"/>
              <w:left w:val="nil"/>
              <w:bottom w:val="single" w:sz="4" w:space="0" w:color="auto"/>
              <w:right w:val="single" w:sz="4" w:space="0" w:color="auto"/>
            </w:tcBorders>
            <w:vAlign w:val="center"/>
          </w:tcPr>
          <w:p w14:paraId="1A4A540A" w14:textId="77777777" w:rsidR="00C74282" w:rsidRPr="000B3938" w:rsidRDefault="00C74282">
            <w:pPr>
              <w:tabs>
                <w:tab w:val="left" w:pos="8280"/>
              </w:tabs>
              <w:spacing w:before="20" w:after="20"/>
              <w:jc w:val="right"/>
              <w:rPr>
                <w:sz w:val="19"/>
                <w:szCs w:val="19"/>
                <w:lang w:val="fr-FR"/>
              </w:rPr>
            </w:pPr>
            <w:r w:rsidRPr="000B3938">
              <w:rPr>
                <w:color w:val="000000" w:themeColor="text1"/>
                <w:sz w:val="19"/>
                <w:szCs w:val="19"/>
                <w:lang w:val="fr-FR"/>
              </w:rPr>
              <w:t>9 244 015</w:t>
            </w:r>
          </w:p>
        </w:tc>
      </w:tr>
      <w:tr w:rsidR="00C74282" w:rsidRPr="000B3938" w14:paraId="5C7D3D50" w14:textId="77777777" w:rsidTr="009322A0">
        <w:trPr>
          <w:trHeight w:val="60"/>
          <w:jc w:val="center"/>
        </w:trPr>
        <w:tc>
          <w:tcPr>
            <w:tcW w:w="989" w:type="pct"/>
            <w:vMerge/>
            <w:vAlign w:val="center"/>
          </w:tcPr>
          <w:p w14:paraId="3EA6ADC2" w14:textId="77777777" w:rsidR="00C74282" w:rsidRPr="000B3938" w:rsidRDefault="00C74282">
            <w:pPr>
              <w:tabs>
                <w:tab w:val="left" w:pos="8280"/>
              </w:tabs>
              <w:spacing w:before="20" w:after="20"/>
              <w:jc w:val="left"/>
              <w:rPr>
                <w:sz w:val="19"/>
                <w:szCs w:val="19"/>
                <w:lang w:val="fr-FR"/>
              </w:rPr>
            </w:pPr>
          </w:p>
        </w:tc>
        <w:tc>
          <w:tcPr>
            <w:tcW w:w="520" w:type="pct"/>
            <w:vMerge/>
            <w:vAlign w:val="center"/>
          </w:tcPr>
          <w:p w14:paraId="1B64B043" w14:textId="77777777" w:rsidR="00C74282" w:rsidRPr="000B3938" w:rsidRDefault="00C74282">
            <w:pPr>
              <w:tabs>
                <w:tab w:val="left" w:pos="8280"/>
              </w:tabs>
              <w:spacing w:before="20" w:after="20"/>
              <w:jc w:val="left"/>
              <w:rPr>
                <w:sz w:val="19"/>
                <w:szCs w:val="19"/>
                <w:lang w:val="fr-FR"/>
              </w:rPr>
            </w:pPr>
          </w:p>
        </w:tc>
        <w:tc>
          <w:tcPr>
            <w:tcW w:w="700" w:type="pct"/>
            <w:vAlign w:val="center"/>
          </w:tcPr>
          <w:p w14:paraId="00CACA71" w14:textId="77777777" w:rsidR="00C74282" w:rsidRPr="000B3938" w:rsidRDefault="00C74282">
            <w:pPr>
              <w:tabs>
                <w:tab w:val="left" w:pos="8280"/>
              </w:tabs>
              <w:spacing w:before="20" w:after="20"/>
              <w:jc w:val="left"/>
              <w:rPr>
                <w:sz w:val="19"/>
                <w:szCs w:val="19"/>
                <w:lang w:val="fr-FR"/>
              </w:rPr>
            </w:pPr>
            <w:r w:rsidRPr="000B3938">
              <w:rPr>
                <w:sz w:val="19"/>
                <w:szCs w:val="19"/>
                <w:lang w:val="fr-FR"/>
              </w:rPr>
              <w:t>Coûts d’appui</w:t>
            </w:r>
          </w:p>
        </w:tc>
        <w:tc>
          <w:tcPr>
            <w:tcW w:w="536" w:type="pct"/>
            <w:tcBorders>
              <w:top w:val="nil"/>
              <w:left w:val="single" w:sz="4" w:space="0" w:color="auto"/>
              <w:bottom w:val="single" w:sz="4" w:space="0" w:color="auto"/>
              <w:right w:val="single" w:sz="4" w:space="0" w:color="auto"/>
            </w:tcBorders>
            <w:vAlign w:val="center"/>
          </w:tcPr>
          <w:p w14:paraId="7EC50B31" w14:textId="77777777" w:rsidR="00C74282" w:rsidRPr="000B3938" w:rsidRDefault="00C74282">
            <w:pPr>
              <w:tabs>
                <w:tab w:val="left" w:pos="8280"/>
              </w:tabs>
              <w:spacing w:before="20" w:after="20"/>
              <w:jc w:val="right"/>
              <w:rPr>
                <w:sz w:val="19"/>
                <w:szCs w:val="19"/>
                <w:lang w:val="fr-FR"/>
              </w:rPr>
            </w:pPr>
            <w:r w:rsidRPr="000B3938">
              <w:rPr>
                <w:color w:val="000000" w:themeColor="text1"/>
                <w:sz w:val="19"/>
                <w:szCs w:val="19"/>
                <w:lang w:val="fr-FR"/>
              </w:rPr>
              <w:t>178 360</w:t>
            </w:r>
          </w:p>
        </w:tc>
        <w:tc>
          <w:tcPr>
            <w:tcW w:w="382" w:type="pct"/>
            <w:tcBorders>
              <w:top w:val="nil"/>
              <w:left w:val="nil"/>
              <w:bottom w:val="single" w:sz="4" w:space="0" w:color="auto"/>
              <w:right w:val="single" w:sz="4" w:space="0" w:color="auto"/>
            </w:tcBorders>
            <w:vAlign w:val="center"/>
          </w:tcPr>
          <w:p w14:paraId="684B5534" w14:textId="77777777" w:rsidR="00C74282" w:rsidRPr="000B3938" w:rsidRDefault="00C74282">
            <w:pPr>
              <w:tabs>
                <w:tab w:val="left" w:pos="8280"/>
              </w:tabs>
              <w:spacing w:before="20" w:after="20"/>
              <w:jc w:val="right"/>
              <w:rPr>
                <w:sz w:val="19"/>
                <w:szCs w:val="19"/>
                <w:lang w:val="fr-FR"/>
              </w:rPr>
            </w:pPr>
            <w:r w:rsidRPr="000B3938">
              <w:rPr>
                <w:color w:val="000000" w:themeColor="text1"/>
                <w:sz w:val="19"/>
                <w:szCs w:val="19"/>
                <w:lang w:val="fr-FR"/>
              </w:rPr>
              <w:t>0</w:t>
            </w:r>
          </w:p>
        </w:tc>
        <w:tc>
          <w:tcPr>
            <w:tcW w:w="491" w:type="pct"/>
            <w:tcBorders>
              <w:top w:val="nil"/>
              <w:left w:val="single" w:sz="4" w:space="0" w:color="auto"/>
              <w:bottom w:val="single" w:sz="4" w:space="0" w:color="auto"/>
              <w:right w:val="single" w:sz="4" w:space="0" w:color="auto"/>
            </w:tcBorders>
            <w:vAlign w:val="center"/>
          </w:tcPr>
          <w:p w14:paraId="2D10A1C1" w14:textId="77777777" w:rsidR="00C74282" w:rsidRPr="000B3938" w:rsidRDefault="00C74282">
            <w:pPr>
              <w:tabs>
                <w:tab w:val="left" w:pos="8280"/>
              </w:tabs>
              <w:spacing w:before="20" w:after="20"/>
              <w:jc w:val="right"/>
              <w:rPr>
                <w:sz w:val="19"/>
                <w:szCs w:val="19"/>
                <w:lang w:val="fr-FR"/>
              </w:rPr>
            </w:pPr>
            <w:r w:rsidRPr="000B3938">
              <w:rPr>
                <w:color w:val="000000" w:themeColor="text1"/>
                <w:sz w:val="19"/>
                <w:szCs w:val="19"/>
                <w:lang w:val="fr-FR"/>
              </w:rPr>
              <w:t>378 338</w:t>
            </w:r>
          </w:p>
        </w:tc>
        <w:tc>
          <w:tcPr>
            <w:tcW w:w="391" w:type="pct"/>
            <w:tcBorders>
              <w:top w:val="nil"/>
              <w:left w:val="nil"/>
              <w:bottom w:val="single" w:sz="4" w:space="0" w:color="auto"/>
              <w:right w:val="single" w:sz="4" w:space="0" w:color="auto"/>
            </w:tcBorders>
            <w:vAlign w:val="center"/>
          </w:tcPr>
          <w:p w14:paraId="721A383C" w14:textId="77777777" w:rsidR="00C74282" w:rsidRPr="000B3938" w:rsidRDefault="00C74282">
            <w:pPr>
              <w:tabs>
                <w:tab w:val="left" w:pos="8280"/>
              </w:tabs>
              <w:spacing w:before="20" w:after="20"/>
              <w:jc w:val="right"/>
              <w:rPr>
                <w:sz w:val="19"/>
                <w:szCs w:val="19"/>
                <w:lang w:val="fr-FR"/>
              </w:rPr>
            </w:pPr>
            <w:r w:rsidRPr="000B3938">
              <w:rPr>
                <w:color w:val="000000" w:themeColor="text1"/>
                <w:sz w:val="19"/>
                <w:szCs w:val="19"/>
                <w:lang w:val="fr-FR"/>
              </w:rPr>
              <w:t>0</w:t>
            </w:r>
          </w:p>
        </w:tc>
        <w:tc>
          <w:tcPr>
            <w:tcW w:w="491" w:type="pct"/>
            <w:tcBorders>
              <w:top w:val="nil"/>
              <w:left w:val="single" w:sz="4" w:space="0" w:color="auto"/>
              <w:bottom w:val="single" w:sz="4" w:space="0" w:color="auto"/>
              <w:right w:val="single" w:sz="4" w:space="0" w:color="auto"/>
            </w:tcBorders>
            <w:vAlign w:val="center"/>
          </w:tcPr>
          <w:p w14:paraId="72EC4ECE" w14:textId="77777777" w:rsidR="00C74282" w:rsidRPr="000B3938" w:rsidRDefault="00C74282">
            <w:pPr>
              <w:tabs>
                <w:tab w:val="left" w:pos="8280"/>
              </w:tabs>
              <w:spacing w:before="20" w:after="20"/>
              <w:jc w:val="right"/>
              <w:rPr>
                <w:sz w:val="19"/>
                <w:szCs w:val="19"/>
                <w:lang w:val="fr-FR"/>
              </w:rPr>
            </w:pPr>
            <w:r w:rsidRPr="000B3938">
              <w:rPr>
                <w:color w:val="000000" w:themeColor="text1"/>
                <w:sz w:val="19"/>
                <w:szCs w:val="19"/>
                <w:lang w:val="fr-FR"/>
              </w:rPr>
              <w:t>90 383</w:t>
            </w:r>
          </w:p>
        </w:tc>
        <w:tc>
          <w:tcPr>
            <w:tcW w:w="501" w:type="pct"/>
            <w:tcBorders>
              <w:top w:val="nil"/>
              <w:left w:val="nil"/>
              <w:bottom w:val="single" w:sz="4" w:space="0" w:color="auto"/>
              <w:right w:val="single" w:sz="4" w:space="0" w:color="auto"/>
            </w:tcBorders>
            <w:vAlign w:val="center"/>
          </w:tcPr>
          <w:p w14:paraId="6E981C29" w14:textId="77777777" w:rsidR="00C74282" w:rsidRPr="000B3938" w:rsidRDefault="00C74282">
            <w:pPr>
              <w:tabs>
                <w:tab w:val="left" w:pos="8280"/>
              </w:tabs>
              <w:spacing w:before="20" w:after="20"/>
              <w:jc w:val="right"/>
              <w:rPr>
                <w:sz w:val="19"/>
                <w:szCs w:val="19"/>
                <w:lang w:val="fr-FR"/>
              </w:rPr>
            </w:pPr>
            <w:r w:rsidRPr="000B3938">
              <w:rPr>
                <w:color w:val="000000" w:themeColor="text1"/>
                <w:sz w:val="19"/>
                <w:szCs w:val="19"/>
                <w:lang w:val="fr-FR"/>
              </w:rPr>
              <w:t>647 081</w:t>
            </w:r>
          </w:p>
        </w:tc>
      </w:tr>
      <w:tr w:rsidR="00C74282" w:rsidRPr="000B3938" w14:paraId="3CFDAE0B" w14:textId="77777777" w:rsidTr="009322A0">
        <w:trPr>
          <w:trHeight w:val="60"/>
          <w:jc w:val="center"/>
        </w:trPr>
        <w:tc>
          <w:tcPr>
            <w:tcW w:w="1508" w:type="pct"/>
            <w:gridSpan w:val="2"/>
            <w:vMerge w:val="restart"/>
            <w:vAlign w:val="center"/>
          </w:tcPr>
          <w:p w14:paraId="4BA61FF8" w14:textId="77777777" w:rsidR="00C74282" w:rsidRPr="000B3938" w:rsidRDefault="00C74282">
            <w:pPr>
              <w:jc w:val="left"/>
              <w:rPr>
                <w:sz w:val="19"/>
                <w:szCs w:val="19"/>
                <w:lang w:val="fr-FR"/>
              </w:rPr>
            </w:pPr>
            <w:r w:rsidRPr="000B3938">
              <w:rPr>
                <w:sz w:val="19"/>
                <w:szCs w:val="19"/>
                <w:lang w:val="fr-FR"/>
              </w:rPr>
              <w:t>Montants recommandés en principe ($US)</w:t>
            </w:r>
          </w:p>
        </w:tc>
        <w:tc>
          <w:tcPr>
            <w:tcW w:w="700" w:type="pct"/>
            <w:vAlign w:val="center"/>
          </w:tcPr>
          <w:p w14:paraId="3F255B3D" w14:textId="77777777" w:rsidR="00C74282" w:rsidRPr="000B3938" w:rsidRDefault="00C74282">
            <w:pPr>
              <w:jc w:val="left"/>
              <w:rPr>
                <w:sz w:val="19"/>
                <w:szCs w:val="19"/>
                <w:lang w:val="fr-FR"/>
              </w:rPr>
            </w:pPr>
            <w:r w:rsidRPr="000B3938">
              <w:rPr>
                <w:sz w:val="19"/>
                <w:szCs w:val="19"/>
                <w:lang w:val="fr-FR"/>
              </w:rPr>
              <w:t>Coûts du projet</w:t>
            </w:r>
          </w:p>
        </w:tc>
        <w:tc>
          <w:tcPr>
            <w:tcW w:w="536" w:type="pct"/>
            <w:tcBorders>
              <w:top w:val="single" w:sz="4" w:space="0" w:color="auto"/>
              <w:left w:val="single" w:sz="4" w:space="0" w:color="auto"/>
              <w:bottom w:val="single" w:sz="4" w:space="0" w:color="auto"/>
              <w:right w:val="single" w:sz="4" w:space="0" w:color="auto"/>
            </w:tcBorders>
            <w:vAlign w:val="center"/>
          </w:tcPr>
          <w:p w14:paraId="172A0D74" w14:textId="77777777" w:rsidR="00C74282" w:rsidRPr="000B3938" w:rsidRDefault="00C74282">
            <w:pPr>
              <w:jc w:val="right"/>
              <w:rPr>
                <w:sz w:val="19"/>
                <w:szCs w:val="19"/>
                <w:lang w:val="fr-FR"/>
              </w:rPr>
            </w:pPr>
            <w:r w:rsidRPr="000B3938">
              <w:rPr>
                <w:color w:val="000000" w:themeColor="text1"/>
                <w:sz w:val="19"/>
                <w:szCs w:val="19"/>
                <w:lang w:val="fr-FR"/>
              </w:rPr>
              <w:t>2 548 000</w:t>
            </w:r>
          </w:p>
        </w:tc>
        <w:tc>
          <w:tcPr>
            <w:tcW w:w="382" w:type="pct"/>
            <w:tcBorders>
              <w:top w:val="single" w:sz="4" w:space="0" w:color="auto"/>
              <w:left w:val="nil"/>
              <w:bottom w:val="single" w:sz="4" w:space="0" w:color="auto"/>
              <w:right w:val="single" w:sz="4" w:space="0" w:color="auto"/>
            </w:tcBorders>
            <w:vAlign w:val="center"/>
          </w:tcPr>
          <w:p w14:paraId="4352C9E5" w14:textId="77777777" w:rsidR="00C74282" w:rsidRPr="000B3938" w:rsidRDefault="00C74282">
            <w:pPr>
              <w:jc w:val="right"/>
              <w:rPr>
                <w:sz w:val="19"/>
                <w:szCs w:val="19"/>
                <w:lang w:val="fr-FR"/>
              </w:rPr>
            </w:pPr>
            <w:r w:rsidRPr="000B3938">
              <w:rPr>
                <w:color w:val="000000" w:themeColor="text1"/>
                <w:sz w:val="19"/>
                <w:szCs w:val="19"/>
                <w:lang w:val="fr-FR"/>
              </w:rPr>
              <w:t>0</w:t>
            </w:r>
          </w:p>
        </w:tc>
        <w:tc>
          <w:tcPr>
            <w:tcW w:w="491" w:type="pct"/>
            <w:tcBorders>
              <w:top w:val="single" w:sz="4" w:space="0" w:color="auto"/>
              <w:left w:val="single" w:sz="4" w:space="0" w:color="auto"/>
              <w:bottom w:val="single" w:sz="4" w:space="0" w:color="auto"/>
              <w:right w:val="single" w:sz="4" w:space="0" w:color="auto"/>
            </w:tcBorders>
            <w:vAlign w:val="center"/>
          </w:tcPr>
          <w:p w14:paraId="5A183D37" w14:textId="77777777" w:rsidR="00C74282" w:rsidRPr="000B3938" w:rsidRDefault="00C74282">
            <w:pPr>
              <w:jc w:val="right"/>
              <w:rPr>
                <w:sz w:val="19"/>
                <w:szCs w:val="19"/>
                <w:lang w:val="fr-FR"/>
              </w:rPr>
            </w:pPr>
            <w:r w:rsidRPr="000B3938">
              <w:rPr>
                <w:color w:val="000000" w:themeColor="text1"/>
                <w:sz w:val="19"/>
                <w:szCs w:val="19"/>
                <w:lang w:val="fr-FR"/>
              </w:rPr>
              <w:t>5 404 832</w:t>
            </w:r>
          </w:p>
        </w:tc>
        <w:tc>
          <w:tcPr>
            <w:tcW w:w="391" w:type="pct"/>
            <w:tcBorders>
              <w:top w:val="single" w:sz="4" w:space="0" w:color="auto"/>
              <w:left w:val="nil"/>
              <w:bottom w:val="single" w:sz="4" w:space="0" w:color="auto"/>
              <w:right w:val="single" w:sz="4" w:space="0" w:color="auto"/>
            </w:tcBorders>
            <w:vAlign w:val="center"/>
          </w:tcPr>
          <w:p w14:paraId="6EF15DD0" w14:textId="77777777" w:rsidR="00C74282" w:rsidRPr="000B3938" w:rsidRDefault="00C74282">
            <w:pPr>
              <w:jc w:val="right"/>
              <w:rPr>
                <w:sz w:val="19"/>
                <w:szCs w:val="19"/>
                <w:lang w:val="fr-FR"/>
              </w:rPr>
            </w:pPr>
            <w:r w:rsidRPr="000B3938">
              <w:rPr>
                <w:sz w:val="19"/>
                <w:szCs w:val="19"/>
                <w:lang w:val="fr-FR"/>
              </w:rPr>
              <w:t>0</w:t>
            </w:r>
          </w:p>
        </w:tc>
        <w:tc>
          <w:tcPr>
            <w:tcW w:w="491" w:type="pct"/>
            <w:tcBorders>
              <w:top w:val="single" w:sz="4" w:space="0" w:color="auto"/>
              <w:left w:val="nil"/>
              <w:bottom w:val="single" w:sz="4" w:space="0" w:color="auto"/>
              <w:right w:val="single" w:sz="4" w:space="0" w:color="auto"/>
            </w:tcBorders>
            <w:vAlign w:val="center"/>
          </w:tcPr>
          <w:p w14:paraId="3CA8F7EA" w14:textId="77777777" w:rsidR="00C74282" w:rsidRPr="000B3938" w:rsidRDefault="00C74282">
            <w:pPr>
              <w:jc w:val="right"/>
              <w:rPr>
                <w:sz w:val="19"/>
                <w:szCs w:val="19"/>
                <w:lang w:val="fr-FR"/>
              </w:rPr>
            </w:pPr>
            <w:r w:rsidRPr="000B3938">
              <w:rPr>
                <w:color w:val="000000" w:themeColor="text1"/>
                <w:sz w:val="19"/>
                <w:szCs w:val="19"/>
                <w:lang w:val="fr-FR"/>
              </w:rPr>
              <w:t>1 291 183</w:t>
            </w:r>
          </w:p>
        </w:tc>
        <w:tc>
          <w:tcPr>
            <w:tcW w:w="501" w:type="pct"/>
            <w:tcBorders>
              <w:top w:val="nil"/>
              <w:left w:val="single" w:sz="4" w:space="0" w:color="auto"/>
              <w:bottom w:val="single" w:sz="4" w:space="0" w:color="auto"/>
              <w:right w:val="single" w:sz="4" w:space="0" w:color="auto"/>
            </w:tcBorders>
            <w:vAlign w:val="center"/>
          </w:tcPr>
          <w:p w14:paraId="393B8F85" w14:textId="77777777" w:rsidR="00C74282" w:rsidRPr="000B3938" w:rsidRDefault="00C74282">
            <w:pPr>
              <w:jc w:val="right"/>
              <w:rPr>
                <w:sz w:val="19"/>
                <w:szCs w:val="19"/>
                <w:lang w:val="fr-FR"/>
              </w:rPr>
            </w:pPr>
            <w:r w:rsidRPr="000B3938">
              <w:rPr>
                <w:sz w:val="19"/>
                <w:szCs w:val="19"/>
                <w:lang w:val="fr-FR"/>
              </w:rPr>
              <w:t>9 244 015</w:t>
            </w:r>
          </w:p>
        </w:tc>
      </w:tr>
      <w:tr w:rsidR="00C74282" w:rsidRPr="000B3938" w14:paraId="60C33051" w14:textId="77777777" w:rsidTr="009322A0">
        <w:trPr>
          <w:trHeight w:val="60"/>
          <w:jc w:val="center"/>
        </w:trPr>
        <w:tc>
          <w:tcPr>
            <w:tcW w:w="1508" w:type="pct"/>
            <w:gridSpan w:val="2"/>
            <w:vMerge/>
            <w:vAlign w:val="center"/>
          </w:tcPr>
          <w:p w14:paraId="6B0AB5D5" w14:textId="77777777" w:rsidR="00C74282" w:rsidRPr="000B3938" w:rsidRDefault="00C74282">
            <w:pPr>
              <w:jc w:val="left"/>
              <w:rPr>
                <w:sz w:val="19"/>
                <w:szCs w:val="19"/>
                <w:lang w:val="fr-FR"/>
              </w:rPr>
            </w:pPr>
          </w:p>
        </w:tc>
        <w:tc>
          <w:tcPr>
            <w:tcW w:w="700" w:type="pct"/>
            <w:vAlign w:val="center"/>
          </w:tcPr>
          <w:p w14:paraId="14EEA46B" w14:textId="77777777" w:rsidR="00C74282" w:rsidRPr="000B3938" w:rsidRDefault="00C74282">
            <w:pPr>
              <w:jc w:val="left"/>
              <w:rPr>
                <w:sz w:val="19"/>
                <w:szCs w:val="19"/>
                <w:lang w:val="fr-FR"/>
              </w:rPr>
            </w:pPr>
            <w:r w:rsidRPr="000B3938">
              <w:rPr>
                <w:sz w:val="19"/>
                <w:szCs w:val="19"/>
                <w:lang w:val="fr-FR"/>
              </w:rPr>
              <w:t>Coûts d’appui</w:t>
            </w:r>
          </w:p>
        </w:tc>
        <w:tc>
          <w:tcPr>
            <w:tcW w:w="536" w:type="pct"/>
            <w:tcBorders>
              <w:top w:val="nil"/>
              <w:left w:val="single" w:sz="4" w:space="0" w:color="auto"/>
              <w:bottom w:val="single" w:sz="4" w:space="0" w:color="auto"/>
              <w:right w:val="single" w:sz="4" w:space="0" w:color="auto"/>
            </w:tcBorders>
            <w:vAlign w:val="center"/>
          </w:tcPr>
          <w:p w14:paraId="2226500D" w14:textId="77777777" w:rsidR="00C74282" w:rsidRPr="000B3938" w:rsidRDefault="00C74282">
            <w:pPr>
              <w:jc w:val="right"/>
              <w:rPr>
                <w:sz w:val="19"/>
                <w:szCs w:val="19"/>
                <w:lang w:val="fr-FR"/>
              </w:rPr>
            </w:pPr>
            <w:r w:rsidRPr="000B3938">
              <w:rPr>
                <w:color w:val="000000" w:themeColor="text1"/>
                <w:sz w:val="19"/>
                <w:szCs w:val="19"/>
                <w:lang w:val="fr-FR"/>
              </w:rPr>
              <w:t>178 360</w:t>
            </w:r>
          </w:p>
        </w:tc>
        <w:tc>
          <w:tcPr>
            <w:tcW w:w="382" w:type="pct"/>
            <w:tcBorders>
              <w:top w:val="nil"/>
              <w:left w:val="nil"/>
              <w:bottom w:val="single" w:sz="4" w:space="0" w:color="auto"/>
              <w:right w:val="single" w:sz="4" w:space="0" w:color="auto"/>
            </w:tcBorders>
            <w:vAlign w:val="center"/>
          </w:tcPr>
          <w:p w14:paraId="32D9B886" w14:textId="77777777" w:rsidR="00C74282" w:rsidRPr="000B3938" w:rsidRDefault="00C74282">
            <w:pPr>
              <w:jc w:val="right"/>
              <w:rPr>
                <w:sz w:val="19"/>
                <w:szCs w:val="19"/>
                <w:lang w:val="fr-FR"/>
              </w:rPr>
            </w:pPr>
            <w:r w:rsidRPr="000B3938">
              <w:rPr>
                <w:color w:val="000000" w:themeColor="text1"/>
                <w:sz w:val="19"/>
                <w:szCs w:val="19"/>
                <w:lang w:val="fr-FR"/>
              </w:rPr>
              <w:t>0</w:t>
            </w:r>
          </w:p>
        </w:tc>
        <w:tc>
          <w:tcPr>
            <w:tcW w:w="491" w:type="pct"/>
            <w:tcBorders>
              <w:top w:val="nil"/>
              <w:left w:val="single" w:sz="4" w:space="0" w:color="auto"/>
              <w:bottom w:val="single" w:sz="4" w:space="0" w:color="auto"/>
              <w:right w:val="single" w:sz="4" w:space="0" w:color="auto"/>
            </w:tcBorders>
            <w:vAlign w:val="center"/>
          </w:tcPr>
          <w:p w14:paraId="6588B030" w14:textId="77777777" w:rsidR="00C74282" w:rsidRPr="000B3938" w:rsidRDefault="00C74282">
            <w:pPr>
              <w:jc w:val="right"/>
              <w:rPr>
                <w:sz w:val="19"/>
                <w:szCs w:val="19"/>
                <w:lang w:val="fr-FR"/>
              </w:rPr>
            </w:pPr>
            <w:r w:rsidRPr="000B3938">
              <w:rPr>
                <w:color w:val="000000" w:themeColor="text1"/>
                <w:sz w:val="19"/>
                <w:szCs w:val="19"/>
                <w:lang w:val="fr-FR"/>
              </w:rPr>
              <w:t>378 338</w:t>
            </w:r>
          </w:p>
        </w:tc>
        <w:tc>
          <w:tcPr>
            <w:tcW w:w="391" w:type="pct"/>
            <w:tcBorders>
              <w:top w:val="nil"/>
              <w:left w:val="nil"/>
              <w:bottom w:val="single" w:sz="4" w:space="0" w:color="auto"/>
              <w:right w:val="single" w:sz="4" w:space="0" w:color="auto"/>
            </w:tcBorders>
            <w:vAlign w:val="center"/>
          </w:tcPr>
          <w:p w14:paraId="47DC1487" w14:textId="77777777" w:rsidR="00C74282" w:rsidRPr="000B3938" w:rsidRDefault="00C74282">
            <w:pPr>
              <w:jc w:val="right"/>
              <w:rPr>
                <w:sz w:val="19"/>
                <w:szCs w:val="19"/>
                <w:lang w:val="fr-FR"/>
              </w:rPr>
            </w:pPr>
            <w:r w:rsidRPr="000B3938">
              <w:rPr>
                <w:color w:val="000000" w:themeColor="text1"/>
                <w:sz w:val="19"/>
                <w:szCs w:val="19"/>
                <w:lang w:val="fr-FR"/>
              </w:rPr>
              <w:t>0</w:t>
            </w:r>
          </w:p>
        </w:tc>
        <w:tc>
          <w:tcPr>
            <w:tcW w:w="491" w:type="pct"/>
            <w:tcBorders>
              <w:top w:val="nil"/>
              <w:left w:val="nil"/>
              <w:bottom w:val="single" w:sz="4" w:space="0" w:color="auto"/>
              <w:right w:val="single" w:sz="4" w:space="0" w:color="auto"/>
            </w:tcBorders>
            <w:vAlign w:val="center"/>
          </w:tcPr>
          <w:p w14:paraId="610C58E1" w14:textId="77777777" w:rsidR="00C74282" w:rsidRPr="000B3938" w:rsidRDefault="00C74282">
            <w:pPr>
              <w:jc w:val="right"/>
              <w:rPr>
                <w:sz w:val="19"/>
                <w:szCs w:val="19"/>
                <w:lang w:val="fr-FR"/>
              </w:rPr>
            </w:pPr>
            <w:r w:rsidRPr="000B3938">
              <w:rPr>
                <w:color w:val="000000" w:themeColor="text1"/>
                <w:sz w:val="19"/>
                <w:szCs w:val="19"/>
                <w:lang w:val="fr-FR"/>
              </w:rPr>
              <w:t>90 383</w:t>
            </w:r>
          </w:p>
        </w:tc>
        <w:tc>
          <w:tcPr>
            <w:tcW w:w="501" w:type="pct"/>
            <w:tcBorders>
              <w:top w:val="nil"/>
              <w:left w:val="single" w:sz="4" w:space="0" w:color="auto"/>
              <w:bottom w:val="single" w:sz="4" w:space="0" w:color="auto"/>
              <w:right w:val="single" w:sz="4" w:space="0" w:color="auto"/>
            </w:tcBorders>
            <w:vAlign w:val="center"/>
          </w:tcPr>
          <w:p w14:paraId="31BAA7C6" w14:textId="77777777" w:rsidR="00C74282" w:rsidRPr="000B3938" w:rsidRDefault="00C74282">
            <w:pPr>
              <w:jc w:val="right"/>
              <w:rPr>
                <w:sz w:val="19"/>
                <w:szCs w:val="19"/>
                <w:lang w:val="fr-FR"/>
              </w:rPr>
            </w:pPr>
            <w:r w:rsidRPr="000B3938">
              <w:rPr>
                <w:sz w:val="19"/>
                <w:szCs w:val="19"/>
                <w:lang w:val="fr-FR"/>
              </w:rPr>
              <w:t>647 081</w:t>
            </w:r>
          </w:p>
        </w:tc>
      </w:tr>
      <w:tr w:rsidR="00C74282" w:rsidRPr="000B3938" w14:paraId="04725205" w14:textId="77777777" w:rsidTr="009322A0">
        <w:trPr>
          <w:trHeight w:val="60"/>
          <w:jc w:val="center"/>
        </w:trPr>
        <w:tc>
          <w:tcPr>
            <w:tcW w:w="1508" w:type="pct"/>
            <w:gridSpan w:val="2"/>
            <w:vMerge/>
            <w:vAlign w:val="center"/>
          </w:tcPr>
          <w:p w14:paraId="3B218804" w14:textId="77777777" w:rsidR="00C74282" w:rsidRPr="000B3938" w:rsidRDefault="00C74282">
            <w:pPr>
              <w:jc w:val="left"/>
              <w:rPr>
                <w:sz w:val="19"/>
                <w:szCs w:val="19"/>
                <w:lang w:val="fr-FR"/>
              </w:rPr>
            </w:pPr>
          </w:p>
        </w:tc>
        <w:tc>
          <w:tcPr>
            <w:tcW w:w="700" w:type="pct"/>
            <w:vAlign w:val="center"/>
          </w:tcPr>
          <w:p w14:paraId="106BCD35" w14:textId="77777777" w:rsidR="00C74282" w:rsidRPr="000B3938" w:rsidRDefault="00C74282">
            <w:pPr>
              <w:jc w:val="left"/>
              <w:rPr>
                <w:sz w:val="19"/>
                <w:szCs w:val="19"/>
                <w:lang w:val="fr-FR"/>
              </w:rPr>
            </w:pPr>
            <w:r w:rsidRPr="000B3938">
              <w:rPr>
                <w:sz w:val="19"/>
                <w:szCs w:val="19"/>
                <w:lang w:val="fr-FR"/>
              </w:rPr>
              <w:t>Total des fonds</w:t>
            </w:r>
          </w:p>
        </w:tc>
        <w:tc>
          <w:tcPr>
            <w:tcW w:w="536" w:type="pct"/>
            <w:tcBorders>
              <w:top w:val="single" w:sz="4" w:space="0" w:color="auto"/>
              <w:left w:val="single" w:sz="4" w:space="0" w:color="auto"/>
              <w:bottom w:val="single" w:sz="4" w:space="0" w:color="auto"/>
              <w:right w:val="single" w:sz="4" w:space="0" w:color="auto"/>
            </w:tcBorders>
            <w:vAlign w:val="center"/>
          </w:tcPr>
          <w:p w14:paraId="12AC363C" w14:textId="117B1299" w:rsidR="00C74282" w:rsidRPr="000B3938" w:rsidRDefault="00C74282">
            <w:pPr>
              <w:jc w:val="right"/>
              <w:rPr>
                <w:sz w:val="19"/>
                <w:szCs w:val="19"/>
                <w:lang w:val="fr-FR"/>
              </w:rPr>
            </w:pPr>
            <w:r w:rsidRPr="000B3938">
              <w:rPr>
                <w:color w:val="000000" w:themeColor="text1"/>
                <w:sz w:val="19"/>
                <w:szCs w:val="19"/>
                <w:lang w:val="fr-FR"/>
              </w:rPr>
              <w:t>2 726 360</w:t>
            </w:r>
          </w:p>
        </w:tc>
        <w:tc>
          <w:tcPr>
            <w:tcW w:w="382" w:type="pct"/>
            <w:tcBorders>
              <w:top w:val="single" w:sz="4" w:space="0" w:color="auto"/>
              <w:left w:val="nil"/>
              <w:bottom w:val="single" w:sz="4" w:space="0" w:color="auto"/>
              <w:right w:val="single" w:sz="4" w:space="0" w:color="auto"/>
            </w:tcBorders>
            <w:vAlign w:val="center"/>
          </w:tcPr>
          <w:p w14:paraId="73A95650" w14:textId="77777777" w:rsidR="00C74282" w:rsidRPr="000B3938" w:rsidRDefault="00C74282">
            <w:pPr>
              <w:jc w:val="right"/>
              <w:rPr>
                <w:sz w:val="19"/>
                <w:szCs w:val="19"/>
                <w:lang w:val="fr-FR"/>
              </w:rPr>
            </w:pPr>
            <w:r w:rsidRPr="000B3938">
              <w:rPr>
                <w:color w:val="000000" w:themeColor="text1"/>
                <w:sz w:val="19"/>
                <w:szCs w:val="19"/>
                <w:lang w:val="fr-FR"/>
              </w:rPr>
              <w:t>0</w:t>
            </w:r>
          </w:p>
        </w:tc>
        <w:tc>
          <w:tcPr>
            <w:tcW w:w="491" w:type="pct"/>
            <w:tcBorders>
              <w:top w:val="single" w:sz="4" w:space="0" w:color="auto"/>
              <w:left w:val="nil"/>
              <w:bottom w:val="single" w:sz="4" w:space="0" w:color="auto"/>
              <w:right w:val="single" w:sz="4" w:space="0" w:color="auto"/>
            </w:tcBorders>
            <w:vAlign w:val="center"/>
          </w:tcPr>
          <w:p w14:paraId="426135F2" w14:textId="77777777" w:rsidR="00C74282" w:rsidRPr="000B3938" w:rsidRDefault="00C74282">
            <w:pPr>
              <w:jc w:val="right"/>
              <w:rPr>
                <w:sz w:val="19"/>
                <w:szCs w:val="19"/>
                <w:lang w:val="fr-FR"/>
              </w:rPr>
            </w:pPr>
            <w:r w:rsidRPr="000B3938">
              <w:rPr>
                <w:color w:val="000000" w:themeColor="text1"/>
                <w:sz w:val="19"/>
                <w:szCs w:val="19"/>
                <w:lang w:val="fr-FR"/>
              </w:rPr>
              <w:t>5 783 170</w:t>
            </w:r>
          </w:p>
        </w:tc>
        <w:tc>
          <w:tcPr>
            <w:tcW w:w="391" w:type="pct"/>
            <w:tcBorders>
              <w:top w:val="single" w:sz="4" w:space="0" w:color="auto"/>
              <w:left w:val="nil"/>
              <w:bottom w:val="single" w:sz="4" w:space="0" w:color="auto"/>
              <w:right w:val="single" w:sz="4" w:space="0" w:color="auto"/>
            </w:tcBorders>
            <w:vAlign w:val="center"/>
          </w:tcPr>
          <w:p w14:paraId="265F5A8F" w14:textId="77777777" w:rsidR="00C74282" w:rsidRPr="000B3938" w:rsidRDefault="00C74282">
            <w:pPr>
              <w:jc w:val="right"/>
              <w:rPr>
                <w:sz w:val="19"/>
                <w:szCs w:val="19"/>
                <w:lang w:val="fr-FR"/>
              </w:rPr>
            </w:pPr>
            <w:r w:rsidRPr="000B3938">
              <w:rPr>
                <w:color w:val="000000" w:themeColor="text1"/>
                <w:sz w:val="19"/>
                <w:szCs w:val="19"/>
                <w:lang w:val="fr-FR"/>
              </w:rPr>
              <w:t>0</w:t>
            </w:r>
          </w:p>
        </w:tc>
        <w:tc>
          <w:tcPr>
            <w:tcW w:w="491" w:type="pct"/>
            <w:tcBorders>
              <w:top w:val="single" w:sz="4" w:space="0" w:color="auto"/>
              <w:left w:val="nil"/>
              <w:bottom w:val="single" w:sz="4" w:space="0" w:color="auto"/>
              <w:right w:val="single" w:sz="4" w:space="0" w:color="auto"/>
            </w:tcBorders>
            <w:vAlign w:val="center"/>
          </w:tcPr>
          <w:p w14:paraId="3321EB07" w14:textId="77777777" w:rsidR="00C74282" w:rsidRPr="000B3938" w:rsidRDefault="00C74282">
            <w:pPr>
              <w:jc w:val="right"/>
              <w:rPr>
                <w:sz w:val="19"/>
                <w:szCs w:val="19"/>
                <w:lang w:val="fr-FR"/>
              </w:rPr>
            </w:pPr>
            <w:r w:rsidRPr="000B3938">
              <w:rPr>
                <w:color w:val="000000" w:themeColor="text1"/>
                <w:sz w:val="19"/>
                <w:szCs w:val="19"/>
                <w:lang w:val="fr-FR"/>
              </w:rPr>
              <w:t>1 381 566</w:t>
            </w:r>
          </w:p>
        </w:tc>
        <w:tc>
          <w:tcPr>
            <w:tcW w:w="501" w:type="pct"/>
            <w:tcBorders>
              <w:top w:val="nil"/>
              <w:left w:val="single" w:sz="4" w:space="0" w:color="auto"/>
              <w:bottom w:val="single" w:sz="4" w:space="0" w:color="auto"/>
              <w:right w:val="single" w:sz="4" w:space="0" w:color="auto"/>
            </w:tcBorders>
            <w:vAlign w:val="center"/>
          </w:tcPr>
          <w:p w14:paraId="37424588" w14:textId="77777777" w:rsidR="00C74282" w:rsidRPr="000B3938" w:rsidRDefault="00C74282">
            <w:pPr>
              <w:jc w:val="right"/>
              <w:rPr>
                <w:sz w:val="19"/>
                <w:szCs w:val="19"/>
                <w:lang w:val="fr-FR"/>
              </w:rPr>
            </w:pPr>
            <w:r w:rsidRPr="000B3938">
              <w:rPr>
                <w:sz w:val="19"/>
                <w:szCs w:val="19"/>
                <w:lang w:val="fr-FR"/>
              </w:rPr>
              <w:t>9 891 096</w:t>
            </w:r>
          </w:p>
        </w:tc>
      </w:tr>
    </w:tbl>
    <w:p w14:paraId="30C1349A" w14:textId="77777777" w:rsidR="00C74282" w:rsidRPr="000B3938" w:rsidRDefault="00C74282" w:rsidP="00C74282">
      <w:pPr>
        <w:jc w:val="center"/>
        <w:rPr>
          <w:sz w:val="19"/>
          <w:szCs w:val="19"/>
          <w:lang w:val="fr-FR"/>
        </w:rPr>
      </w:pPr>
    </w:p>
    <w:tbl>
      <w:tblPr>
        <w:tblStyle w:val="TableGrid10"/>
        <w:tblW w:w="5534" w:type="pct"/>
        <w:jc w:val="center"/>
        <w:tblLook w:val="04A0" w:firstRow="1" w:lastRow="0" w:firstColumn="1" w:lastColumn="0" w:noHBand="0" w:noVBand="1"/>
      </w:tblPr>
      <w:tblGrid>
        <w:gridCol w:w="3142"/>
        <w:gridCol w:w="3653"/>
        <w:gridCol w:w="3653"/>
      </w:tblGrid>
      <w:tr w:rsidR="00C74282" w:rsidRPr="00CE7B9D" w14:paraId="01DB1073" w14:textId="77777777">
        <w:trPr>
          <w:trHeight w:val="261"/>
          <w:jc w:val="center"/>
        </w:trPr>
        <w:tc>
          <w:tcPr>
            <w:tcW w:w="5000" w:type="pct"/>
            <w:gridSpan w:val="3"/>
          </w:tcPr>
          <w:p w14:paraId="7F0BC6EB" w14:textId="77777777" w:rsidR="00C74282" w:rsidRPr="000B3938" w:rsidRDefault="00C74282">
            <w:pPr>
              <w:spacing w:before="20" w:after="20"/>
              <w:rPr>
                <w:b/>
                <w:color w:val="000000" w:themeColor="text1"/>
                <w:sz w:val="19"/>
                <w:szCs w:val="19"/>
                <w:lang w:val="fr-FR"/>
              </w:rPr>
            </w:pPr>
            <w:r w:rsidRPr="000B3938">
              <w:rPr>
                <w:b/>
                <w:color w:val="000000" w:themeColor="text1"/>
                <w:sz w:val="19"/>
                <w:szCs w:val="19"/>
                <w:lang w:val="fr-FR"/>
              </w:rPr>
              <w:t>VII) Demande de financement pour la première tranche (2025)</w:t>
            </w:r>
          </w:p>
        </w:tc>
      </w:tr>
      <w:tr w:rsidR="00C74282" w:rsidRPr="000B3938" w14:paraId="4DCDAB27" w14:textId="77777777">
        <w:trPr>
          <w:trHeight w:val="261"/>
          <w:jc w:val="center"/>
        </w:trPr>
        <w:tc>
          <w:tcPr>
            <w:tcW w:w="1504" w:type="pct"/>
          </w:tcPr>
          <w:p w14:paraId="4C12AE9E" w14:textId="77777777" w:rsidR="00C74282" w:rsidRPr="000B3938" w:rsidRDefault="00C74282">
            <w:pPr>
              <w:spacing w:before="20" w:after="20"/>
              <w:jc w:val="center"/>
              <w:rPr>
                <w:b/>
                <w:color w:val="000000" w:themeColor="text1"/>
                <w:sz w:val="19"/>
                <w:szCs w:val="19"/>
                <w:lang w:val="fr-FR"/>
              </w:rPr>
            </w:pPr>
            <w:r w:rsidRPr="000B3938">
              <w:rPr>
                <w:b/>
                <w:color w:val="000000" w:themeColor="text1"/>
                <w:sz w:val="19"/>
                <w:szCs w:val="19"/>
                <w:lang w:val="fr-FR"/>
              </w:rPr>
              <w:t>Agence d'exécution</w:t>
            </w:r>
          </w:p>
        </w:tc>
        <w:tc>
          <w:tcPr>
            <w:tcW w:w="1748" w:type="pct"/>
          </w:tcPr>
          <w:p w14:paraId="03C1CF00" w14:textId="77777777" w:rsidR="00C74282" w:rsidRPr="000B3938" w:rsidRDefault="00C74282">
            <w:pPr>
              <w:spacing w:before="20" w:after="20"/>
              <w:jc w:val="center"/>
              <w:rPr>
                <w:b/>
                <w:color w:val="000000" w:themeColor="text1"/>
                <w:sz w:val="19"/>
                <w:szCs w:val="19"/>
                <w:lang w:val="fr-FR"/>
              </w:rPr>
            </w:pPr>
            <w:r w:rsidRPr="000B3938">
              <w:rPr>
                <w:b/>
                <w:color w:val="000000" w:themeColor="text1"/>
                <w:sz w:val="19"/>
                <w:szCs w:val="19"/>
                <w:lang w:val="fr-FR"/>
              </w:rPr>
              <w:t>Fonds recommandés ($US)</w:t>
            </w:r>
          </w:p>
        </w:tc>
        <w:tc>
          <w:tcPr>
            <w:tcW w:w="1748" w:type="pct"/>
          </w:tcPr>
          <w:p w14:paraId="3D2EF72F" w14:textId="77777777" w:rsidR="00C74282" w:rsidRPr="000B3938" w:rsidRDefault="00C74282">
            <w:pPr>
              <w:spacing w:before="20" w:after="20"/>
              <w:jc w:val="center"/>
              <w:rPr>
                <w:b/>
                <w:color w:val="000000" w:themeColor="text1"/>
                <w:sz w:val="19"/>
                <w:szCs w:val="19"/>
                <w:lang w:val="fr-FR"/>
              </w:rPr>
            </w:pPr>
            <w:r w:rsidRPr="000B3938">
              <w:rPr>
                <w:b/>
                <w:color w:val="000000" w:themeColor="text1"/>
                <w:sz w:val="19"/>
                <w:szCs w:val="19"/>
                <w:lang w:val="fr-FR"/>
              </w:rPr>
              <w:t>Coûts d’appui ($US)</w:t>
            </w:r>
          </w:p>
        </w:tc>
      </w:tr>
      <w:tr w:rsidR="00C74282" w:rsidRPr="000B3938" w14:paraId="25093417" w14:textId="77777777">
        <w:trPr>
          <w:trHeight w:val="261"/>
          <w:jc w:val="center"/>
        </w:trPr>
        <w:tc>
          <w:tcPr>
            <w:tcW w:w="1504" w:type="pct"/>
          </w:tcPr>
          <w:p w14:paraId="662BD247" w14:textId="77777777" w:rsidR="00C74282" w:rsidRPr="000B3938" w:rsidRDefault="00C74282" w:rsidP="009322A0">
            <w:pPr>
              <w:spacing w:before="20" w:after="20"/>
              <w:jc w:val="center"/>
              <w:rPr>
                <w:color w:val="000000" w:themeColor="text1"/>
                <w:sz w:val="19"/>
                <w:szCs w:val="19"/>
                <w:lang w:val="fr-FR"/>
              </w:rPr>
            </w:pPr>
            <w:r w:rsidRPr="000B3938">
              <w:rPr>
                <w:color w:val="000000" w:themeColor="text1"/>
                <w:sz w:val="19"/>
                <w:szCs w:val="19"/>
                <w:lang w:val="fr-FR"/>
              </w:rPr>
              <w:t>ONUDI</w:t>
            </w:r>
          </w:p>
        </w:tc>
        <w:tc>
          <w:tcPr>
            <w:tcW w:w="1748" w:type="pct"/>
          </w:tcPr>
          <w:p w14:paraId="3A2EE933" w14:textId="77777777" w:rsidR="00C74282" w:rsidRPr="000B3938" w:rsidRDefault="00C74282" w:rsidP="009322A0">
            <w:pPr>
              <w:spacing w:before="20" w:after="20"/>
              <w:jc w:val="center"/>
              <w:rPr>
                <w:color w:val="000000" w:themeColor="text1"/>
                <w:sz w:val="19"/>
                <w:szCs w:val="19"/>
                <w:lang w:val="fr-FR"/>
              </w:rPr>
            </w:pPr>
            <w:r w:rsidRPr="000B3938">
              <w:rPr>
                <w:color w:val="000000" w:themeColor="text1"/>
                <w:sz w:val="19"/>
                <w:szCs w:val="19"/>
                <w:lang w:val="fr-FR"/>
              </w:rPr>
              <w:t>2 548 000</w:t>
            </w:r>
          </w:p>
        </w:tc>
        <w:tc>
          <w:tcPr>
            <w:tcW w:w="1748" w:type="pct"/>
          </w:tcPr>
          <w:p w14:paraId="34B52996" w14:textId="77777777" w:rsidR="00C74282" w:rsidRPr="000B3938" w:rsidRDefault="00C74282" w:rsidP="009322A0">
            <w:pPr>
              <w:spacing w:before="20" w:after="20"/>
              <w:jc w:val="center"/>
              <w:rPr>
                <w:color w:val="000000" w:themeColor="text1"/>
                <w:sz w:val="19"/>
                <w:szCs w:val="19"/>
                <w:lang w:val="fr-FR"/>
              </w:rPr>
            </w:pPr>
            <w:r w:rsidRPr="000B3938">
              <w:rPr>
                <w:color w:val="000000" w:themeColor="text1"/>
                <w:sz w:val="19"/>
                <w:szCs w:val="19"/>
                <w:lang w:val="fr-FR"/>
              </w:rPr>
              <w:t>178 360</w:t>
            </w:r>
          </w:p>
        </w:tc>
      </w:tr>
    </w:tbl>
    <w:p w14:paraId="6D200C9A" w14:textId="77777777" w:rsidR="00C74282" w:rsidRPr="000B3938" w:rsidRDefault="00C74282" w:rsidP="00C74282">
      <w:pPr>
        <w:jc w:val="center"/>
        <w:rPr>
          <w:sz w:val="19"/>
          <w:szCs w:val="19"/>
          <w:lang w:val="fr-FR"/>
        </w:rPr>
      </w:pPr>
    </w:p>
    <w:tbl>
      <w:tblPr>
        <w:tblStyle w:val="TableGrid"/>
        <w:tblW w:w="5534" w:type="pct"/>
        <w:jc w:val="center"/>
        <w:tblLook w:val="04A0" w:firstRow="1" w:lastRow="0" w:firstColumn="1" w:lastColumn="0" w:noHBand="0" w:noVBand="1"/>
      </w:tblPr>
      <w:tblGrid>
        <w:gridCol w:w="5224"/>
        <w:gridCol w:w="5224"/>
      </w:tblGrid>
      <w:tr w:rsidR="00C74282" w:rsidRPr="000B3938" w14:paraId="10154C23" w14:textId="77777777">
        <w:trPr>
          <w:trHeight w:hRule="exact" w:val="281"/>
          <w:jc w:val="center"/>
        </w:trPr>
        <w:tc>
          <w:tcPr>
            <w:tcW w:w="2500" w:type="pct"/>
          </w:tcPr>
          <w:p w14:paraId="01905D45" w14:textId="77777777" w:rsidR="00C74282" w:rsidRPr="000B3938" w:rsidRDefault="00C74282">
            <w:pPr>
              <w:jc w:val="left"/>
              <w:rPr>
                <w:b/>
                <w:color w:val="000000" w:themeColor="text1"/>
                <w:sz w:val="19"/>
                <w:szCs w:val="19"/>
                <w:lang w:val="fr-FR"/>
              </w:rPr>
            </w:pPr>
            <w:r w:rsidRPr="000B3938">
              <w:rPr>
                <w:b/>
                <w:color w:val="000000" w:themeColor="text1"/>
                <w:sz w:val="19"/>
                <w:szCs w:val="19"/>
                <w:lang w:val="fr-FR"/>
              </w:rPr>
              <w:t>Recommandation du Secrétariat :</w:t>
            </w:r>
          </w:p>
        </w:tc>
        <w:tc>
          <w:tcPr>
            <w:tcW w:w="2500" w:type="pct"/>
          </w:tcPr>
          <w:p w14:paraId="1A56D425" w14:textId="77777777" w:rsidR="00C74282" w:rsidRPr="000B3938" w:rsidRDefault="00C74282">
            <w:pPr>
              <w:jc w:val="center"/>
              <w:rPr>
                <w:color w:val="000000" w:themeColor="text1"/>
                <w:sz w:val="19"/>
                <w:szCs w:val="19"/>
                <w:lang w:val="fr-FR"/>
              </w:rPr>
            </w:pPr>
            <w:r w:rsidRPr="000B3938">
              <w:rPr>
                <w:color w:val="000000" w:themeColor="text1"/>
                <w:sz w:val="19"/>
                <w:szCs w:val="19"/>
                <w:lang w:val="fr-FR"/>
              </w:rPr>
              <w:t>Pour examen individuel</w:t>
            </w:r>
          </w:p>
        </w:tc>
      </w:tr>
    </w:tbl>
    <w:p w14:paraId="2AD0B316" w14:textId="77777777" w:rsidR="00C74282" w:rsidRPr="00EE0EF7" w:rsidRDefault="00C74282" w:rsidP="00C74282">
      <w:pPr>
        <w:keepNext/>
        <w:tabs>
          <w:tab w:val="left" w:pos="2880"/>
          <w:tab w:val="left" w:pos="5760"/>
        </w:tabs>
        <w:spacing w:before="240" w:after="240"/>
        <w:jc w:val="center"/>
        <w:rPr>
          <w:b/>
          <w:lang w:val="fr-FR"/>
        </w:rPr>
      </w:pPr>
      <w:r w:rsidRPr="00EE0EF7">
        <w:rPr>
          <w:b/>
          <w:lang w:val="fr-FR"/>
        </w:rPr>
        <w:lastRenderedPageBreak/>
        <w:t>DESCRIPTION DU PROJET</w:t>
      </w:r>
    </w:p>
    <w:p w14:paraId="23732959" w14:textId="77777777" w:rsidR="00C74282" w:rsidRPr="00EE0EF7" w:rsidRDefault="00C74282" w:rsidP="00C74282">
      <w:pPr>
        <w:keepNext/>
        <w:spacing w:after="240"/>
        <w:rPr>
          <w:b/>
          <w:lang w:val="fr-FR"/>
        </w:rPr>
      </w:pPr>
      <w:r w:rsidRPr="00EE0EF7">
        <w:rPr>
          <w:b/>
          <w:lang w:val="fr-FR"/>
        </w:rPr>
        <w:t>Contexte</w:t>
      </w:r>
    </w:p>
    <w:p w14:paraId="14060F11" w14:textId="3FF9EA3F" w:rsidR="00C74282" w:rsidRPr="00EE0EF7" w:rsidRDefault="00C74282" w:rsidP="00C74282">
      <w:pPr>
        <w:pStyle w:val="Heading1"/>
        <w:rPr>
          <w:lang w:val="fr-FR"/>
        </w:rPr>
      </w:pPr>
      <w:r w:rsidRPr="00EE0EF7">
        <w:rPr>
          <w:lang w:val="fr-FR"/>
        </w:rPr>
        <w:t xml:space="preserve">Au nom du Gouvernement de l'Argentine, </w:t>
      </w:r>
      <w:r w:rsidRPr="00EE0EF7">
        <w:rPr>
          <w:shd w:val="clear" w:color="auto" w:fill="FFFFFF" w:themeFill="background1"/>
          <w:lang w:val="fr-FR"/>
        </w:rPr>
        <w:t>l’ONUDI, a présenté</w:t>
      </w:r>
      <w:r w:rsidR="00EE0EF7">
        <w:rPr>
          <w:shd w:val="clear" w:color="auto" w:fill="FFFFFF" w:themeFill="background1"/>
          <w:lang w:val="fr-FR"/>
        </w:rPr>
        <w:t>,</w:t>
      </w:r>
      <w:r w:rsidRPr="00EE0EF7">
        <w:rPr>
          <w:lang w:val="fr-FR"/>
        </w:rPr>
        <w:t xml:space="preserve"> en sa qualité d’agence d’exécution désignée, une demande pour la phase III du plan de gestion de l’élimination des HCFC (PGEH), pour un montant de 9 639 994 $US, plus les coûts d’appui d’agence de 674 800 $US, tel que demandé initialement.</w:t>
      </w:r>
      <w:r w:rsidRPr="00EE0EF7">
        <w:rPr>
          <w:vertAlign w:val="superscript"/>
          <w:lang w:val="fr-FR"/>
        </w:rPr>
        <w:footnoteReference w:id="2"/>
      </w:r>
      <w:r w:rsidRPr="00EE0EF7">
        <w:rPr>
          <w:lang w:val="fr-FR"/>
        </w:rPr>
        <w:t xml:space="preserve"> La mise en œuvre de la phase III du PGEH éliminera la consommation restante de HCFC d’ici 2030.</w:t>
      </w:r>
    </w:p>
    <w:p w14:paraId="477CC532" w14:textId="6FE1FFEA" w:rsidR="00C74282" w:rsidRPr="00EE0EF7" w:rsidRDefault="00C74282" w:rsidP="00C74282">
      <w:pPr>
        <w:pStyle w:val="Heading1"/>
        <w:rPr>
          <w:lang w:val="fr-FR"/>
        </w:rPr>
      </w:pPr>
      <w:r w:rsidRPr="00EE0EF7">
        <w:rPr>
          <w:lang w:val="fr-FR"/>
        </w:rPr>
        <w:t>La première tranche de la phase III du PGEH demandée lors de cette réunion s’élève à 2</w:t>
      </w:r>
      <w:r w:rsidR="00EE0EF7">
        <w:rPr>
          <w:lang w:val="fr-FR"/>
        </w:rPr>
        <w:t> </w:t>
      </w:r>
      <w:r w:rsidRPr="00EE0EF7">
        <w:rPr>
          <w:lang w:val="fr-FR"/>
        </w:rPr>
        <w:t>809</w:t>
      </w:r>
      <w:r w:rsidR="00EE0EF7">
        <w:rPr>
          <w:lang w:val="fr-FR"/>
        </w:rPr>
        <w:t> </w:t>
      </w:r>
      <w:r w:rsidRPr="00EE0EF7">
        <w:rPr>
          <w:lang w:val="fr-FR"/>
        </w:rPr>
        <w:t xml:space="preserve">916 $US, plus </w:t>
      </w:r>
      <w:r w:rsidRPr="00EE0EF7">
        <w:rPr>
          <w:color w:val="000000" w:themeColor="text1"/>
          <w:lang w:val="fr-FR"/>
        </w:rPr>
        <w:t>les coûts</w:t>
      </w:r>
      <w:r w:rsidRPr="00EE0EF7">
        <w:rPr>
          <w:lang w:val="fr-FR"/>
        </w:rPr>
        <w:t xml:space="preserve"> d’appui d’agence de </w:t>
      </w:r>
      <w:r w:rsidRPr="00EE0EF7">
        <w:rPr>
          <w:shd w:val="clear" w:color="auto" w:fill="FFFFFF" w:themeFill="background1"/>
          <w:lang w:val="fr-FR"/>
        </w:rPr>
        <w:t>196 694 $US</w:t>
      </w:r>
      <w:r w:rsidRPr="00EE0EF7">
        <w:rPr>
          <w:lang w:val="fr-FR"/>
        </w:rPr>
        <w:t xml:space="preserve"> pour </w:t>
      </w:r>
      <w:r w:rsidRPr="00EE0EF7">
        <w:rPr>
          <w:color w:val="000000" w:themeColor="text1"/>
          <w:shd w:val="clear" w:color="auto" w:fill="FFFFFF" w:themeFill="background1"/>
          <w:lang w:val="fr-FR"/>
        </w:rPr>
        <w:t>l</w:t>
      </w:r>
      <w:r w:rsidRPr="00EE0EF7">
        <w:rPr>
          <w:shd w:val="clear" w:color="auto" w:fill="FFFFFF" w:themeFill="background1"/>
          <w:lang w:val="fr-FR"/>
        </w:rPr>
        <w:t xml:space="preserve">’ONUDI, tel </w:t>
      </w:r>
      <w:r w:rsidRPr="00EE0EF7">
        <w:rPr>
          <w:lang w:val="fr-FR"/>
        </w:rPr>
        <w:t>que demandé initialement.</w:t>
      </w:r>
    </w:p>
    <w:p w14:paraId="18A5F256" w14:textId="01137707" w:rsidR="00C74282" w:rsidRPr="00EE0EF7" w:rsidRDefault="00C74282" w:rsidP="00C74282">
      <w:pPr>
        <w:keepNext/>
        <w:spacing w:after="240"/>
        <w:outlineLvl w:val="0"/>
        <w:rPr>
          <w:b/>
          <w:lang w:val="fr-FR"/>
        </w:rPr>
      </w:pPr>
      <w:r w:rsidRPr="00EE0EF7">
        <w:rPr>
          <w:b/>
          <w:lang w:val="fr-FR"/>
        </w:rPr>
        <w:t>État de mise en œuvre de la phase</w:t>
      </w:r>
      <w:r w:rsidRPr="00EE0EF7">
        <w:rPr>
          <w:lang w:val="fr-FR"/>
        </w:rPr>
        <w:t xml:space="preserve"> </w:t>
      </w:r>
      <w:r w:rsidRPr="00EE0EF7">
        <w:rPr>
          <w:b/>
          <w:lang w:val="fr-FR"/>
        </w:rPr>
        <w:t>II du plan de gestion de l'élimination des HCFC</w:t>
      </w:r>
    </w:p>
    <w:p w14:paraId="314E7CE6" w14:textId="2EB25961" w:rsidR="00C74282" w:rsidRPr="00EE0EF7" w:rsidRDefault="00C74282" w:rsidP="00EE0EF7">
      <w:pPr>
        <w:pStyle w:val="Heading1"/>
        <w:rPr>
          <w:lang w:val="fr-FR"/>
        </w:rPr>
      </w:pPr>
      <w:r w:rsidRPr="00EE0EF7">
        <w:rPr>
          <w:lang w:val="fr-FR"/>
        </w:rPr>
        <w:t xml:space="preserve">La phase II du </w:t>
      </w:r>
      <w:r w:rsidR="00EE0EF7">
        <w:rPr>
          <w:lang w:val="fr-FR"/>
        </w:rPr>
        <w:t>PGEH</w:t>
      </w:r>
      <w:r w:rsidRPr="00EE0EF7">
        <w:rPr>
          <w:lang w:val="fr-FR"/>
        </w:rPr>
        <w:t xml:space="preserve"> pour l'Argentine a été initialement approuvée lors de la 79</w:t>
      </w:r>
      <w:r w:rsidRPr="00EE0EF7">
        <w:rPr>
          <w:vertAlign w:val="superscript"/>
          <w:lang w:val="fr-FR"/>
        </w:rPr>
        <w:t>e</w:t>
      </w:r>
      <w:r w:rsidRPr="00EE0EF7">
        <w:rPr>
          <w:lang w:val="fr-FR"/>
        </w:rPr>
        <w:t xml:space="preserve"> réunion</w:t>
      </w:r>
      <w:r w:rsidRPr="00EE0EF7">
        <w:rPr>
          <w:vertAlign w:val="superscript"/>
          <w:lang w:val="fr-FR"/>
        </w:rPr>
        <w:footnoteReference w:id="3"/>
      </w:r>
      <w:r w:rsidRPr="00EE0EF7">
        <w:rPr>
          <w:lang w:val="fr-FR"/>
        </w:rPr>
        <w:t xml:space="preserve"> et a ensuite été mis à jour et révisé lors des 80</w:t>
      </w:r>
      <w:r w:rsidRPr="00EE0EF7">
        <w:rPr>
          <w:vertAlign w:val="superscript"/>
          <w:lang w:val="fr-FR"/>
        </w:rPr>
        <w:t>e</w:t>
      </w:r>
      <w:r w:rsidRPr="00EE0EF7">
        <w:rPr>
          <w:lang w:val="fr-FR"/>
        </w:rPr>
        <w:t xml:space="preserve"> et 92</w:t>
      </w:r>
      <w:r w:rsidRPr="00EE0EF7">
        <w:rPr>
          <w:vertAlign w:val="superscript"/>
          <w:lang w:val="fr-FR"/>
        </w:rPr>
        <w:t>e</w:t>
      </w:r>
      <w:r w:rsidRPr="00EE0EF7">
        <w:rPr>
          <w:lang w:val="fr-FR"/>
        </w:rPr>
        <w:t xml:space="preserve"> réunions.</w:t>
      </w:r>
      <w:r w:rsidRPr="00EE0EF7">
        <w:rPr>
          <w:vertAlign w:val="superscript"/>
          <w:lang w:val="fr-FR"/>
        </w:rPr>
        <w:footnoteReference w:id="4"/>
      </w:r>
      <w:r w:rsidRPr="00EE0EF7">
        <w:rPr>
          <w:lang w:val="fr-FR"/>
        </w:rPr>
        <w:t xml:space="preserve"> </w:t>
      </w:r>
      <w:r w:rsidR="008A290B" w:rsidRPr="00EE0EF7">
        <w:rPr>
          <w:lang w:val="fr-FR"/>
        </w:rPr>
        <w:t>Elle</w:t>
      </w:r>
      <w:r w:rsidRPr="00EE0EF7">
        <w:rPr>
          <w:lang w:val="fr-FR"/>
        </w:rPr>
        <w:t xml:space="preserve"> visait à éliminer 115,19 tonnes SAO de HCFC utilisés dans le secteur de l'entretien des systèmes de réfrigération et de climatisation et celui de la fabrication de mousse</w:t>
      </w:r>
      <w:r w:rsidR="008A290B" w:rsidRPr="00EE0EF7">
        <w:rPr>
          <w:lang w:val="fr-FR"/>
        </w:rPr>
        <w:t>s</w:t>
      </w:r>
      <w:r w:rsidRPr="00EE0EF7">
        <w:rPr>
          <w:lang w:val="fr-FR"/>
        </w:rPr>
        <w:t xml:space="preserve"> de polystyrène extrudé (XPS) et de polyuréthane (PU) , et à atteindre une réduction de 50 % par rapport au niveau de référence d'ici 2022 (prolongée ultérieurement jusqu'en 2024), pour un coût total de 9 941 238 $US, plus les coûts d'appui d'agence. Un aperçu de la mise en œuvre de la phase II, comprenant l’analyse de la consommation de HCFC, les rapports d’avancement et financiers sur la mise en œuvre, ainsi que la demande de la quatrième et dernière tranche soumise à la présente réunion, est présenté aux alinéas 1 à 45 du document UNEP/OzL.Pro/ExCom/97/36.</w:t>
      </w:r>
    </w:p>
    <w:p w14:paraId="2B1A4B1D" w14:textId="77777777" w:rsidR="00C74282" w:rsidRPr="00EE0EF7" w:rsidRDefault="00C74282" w:rsidP="00C74282">
      <w:pPr>
        <w:keepNext/>
        <w:autoSpaceDE w:val="0"/>
        <w:autoSpaceDN w:val="0"/>
        <w:adjustRightInd w:val="0"/>
        <w:spacing w:after="240"/>
        <w:rPr>
          <w:b/>
          <w:lang w:val="fr-FR"/>
        </w:rPr>
      </w:pPr>
      <w:bookmarkStart w:id="0" w:name="_Hlk126915708"/>
      <w:r w:rsidRPr="00EE0EF7">
        <w:rPr>
          <w:b/>
          <w:lang w:val="fr-FR"/>
        </w:rPr>
        <w:t>Phase III du plan de gestion de l’élimination des HCFC</w:t>
      </w:r>
    </w:p>
    <w:p w14:paraId="2AC05CEC" w14:textId="77777777" w:rsidR="00C74282" w:rsidRPr="00EE0EF7" w:rsidRDefault="00C74282" w:rsidP="00C74282">
      <w:pPr>
        <w:keepNext/>
        <w:spacing w:after="240"/>
        <w:outlineLvl w:val="0"/>
        <w:rPr>
          <w:u w:val="single"/>
          <w:lang w:val="fr-FR"/>
        </w:rPr>
      </w:pPr>
      <w:r w:rsidRPr="00EE0EF7">
        <w:rPr>
          <w:u w:val="single"/>
          <w:lang w:val="fr-FR"/>
        </w:rPr>
        <w:t>Consommation restante admissible au financement</w:t>
      </w:r>
    </w:p>
    <w:bookmarkEnd w:id="0"/>
    <w:p w14:paraId="30B984DB" w14:textId="49521FED" w:rsidR="00C74282" w:rsidRPr="00EE0EF7" w:rsidRDefault="00C74282" w:rsidP="00C74282">
      <w:pPr>
        <w:pStyle w:val="Heading1"/>
        <w:rPr>
          <w:lang w:val="fr-FR"/>
        </w:rPr>
      </w:pPr>
      <w:r w:rsidRPr="00EE0EF7">
        <w:rPr>
          <w:lang w:val="fr-FR"/>
        </w:rPr>
        <w:t>Après déduction de 198,72 tonnes PAO de HCFC associés aux phases I et II du PGEH, la consommation restante admissible au financement au titre de la phase III s'élève à 178,79 tonnes PAO de HCFC.</w:t>
      </w:r>
    </w:p>
    <w:p w14:paraId="582A8519" w14:textId="77777777" w:rsidR="00C74282" w:rsidRPr="00EE0EF7" w:rsidRDefault="00C74282" w:rsidP="00C74282">
      <w:pPr>
        <w:keepNext/>
        <w:spacing w:after="240"/>
        <w:outlineLvl w:val="0"/>
        <w:rPr>
          <w:u w:val="single"/>
          <w:lang w:val="fr-FR"/>
        </w:rPr>
      </w:pPr>
      <w:bookmarkStart w:id="1" w:name="_Hlk126915728"/>
      <w:r w:rsidRPr="00EE0EF7">
        <w:rPr>
          <w:u w:val="single"/>
          <w:lang w:val="fr-FR"/>
        </w:rPr>
        <w:t>Répartition sectorielle des HCFC</w:t>
      </w:r>
    </w:p>
    <w:p w14:paraId="7240EB1E" w14:textId="2D0DD4FC" w:rsidR="00C74282" w:rsidRPr="00EE0EF7" w:rsidRDefault="00C74282" w:rsidP="009026AF">
      <w:pPr>
        <w:pStyle w:val="Heading1"/>
        <w:spacing w:after="120"/>
        <w:rPr>
          <w:lang w:val="fr-FR"/>
        </w:rPr>
      </w:pPr>
      <w:r w:rsidRPr="00EE0EF7">
        <w:rPr>
          <w:lang w:val="fr-FR"/>
        </w:rPr>
        <w:t xml:space="preserve">Le secteur de l'entretien des systèmes de réfrigération représente 63,2 % de la consommation de HCFC en Argentine. Après avoir éliminé la consommation de HCFC dans le secteur de la mousse, qui a fait l'objet de la phase II du </w:t>
      </w:r>
      <w:r w:rsidR="00EE0EF7">
        <w:rPr>
          <w:lang w:val="fr-FR"/>
        </w:rPr>
        <w:t>PGEH</w:t>
      </w:r>
      <w:r w:rsidRPr="00EE0EF7">
        <w:rPr>
          <w:lang w:val="fr-FR"/>
        </w:rPr>
        <w:t>, l'entretien représente 93 % de la consommation totale de HCFC à traiter dans le cadre de la phase III. Le tableau 1 présente la répartition de l’utilisation moyenne des HCFC par secteur pour les années 2022-2024 sur la base des données du programme de pays.</w:t>
      </w:r>
    </w:p>
    <w:p w14:paraId="3F88D256" w14:textId="3BAD1FED" w:rsidR="00C74282" w:rsidRPr="00EE0EF7" w:rsidRDefault="00C74282" w:rsidP="00C74282">
      <w:pPr>
        <w:keepNext/>
        <w:rPr>
          <w:b/>
          <w:bCs/>
          <w:lang w:val="fr-FR"/>
        </w:rPr>
      </w:pPr>
      <w:r w:rsidRPr="00EE0EF7">
        <w:rPr>
          <w:b/>
          <w:bCs/>
          <w:lang w:val="fr-FR"/>
        </w:rPr>
        <w:t>Tableau 1. Utilisation moyenne des HCFC par secteur en Argentine en 2022-2024 (données CP)</w:t>
      </w:r>
    </w:p>
    <w:tbl>
      <w:tblPr>
        <w:tblW w:w="5000" w:type="pct"/>
        <w:tblCellMar>
          <w:top w:w="28" w:type="dxa"/>
          <w:bottom w:w="28" w:type="dxa"/>
        </w:tblCellMar>
        <w:tblLook w:val="04A0" w:firstRow="1" w:lastRow="0" w:firstColumn="1" w:lastColumn="0" w:noHBand="0" w:noVBand="1"/>
      </w:tblPr>
      <w:tblGrid>
        <w:gridCol w:w="3266"/>
        <w:gridCol w:w="1839"/>
        <w:gridCol w:w="1257"/>
        <w:gridCol w:w="976"/>
        <w:gridCol w:w="1201"/>
        <w:gridCol w:w="901"/>
      </w:tblGrid>
      <w:tr w:rsidR="00C74282" w:rsidRPr="00EE0EF7" w14:paraId="44F02548" w14:textId="77777777" w:rsidTr="00C26B2E">
        <w:trPr>
          <w:trHeight w:val="45"/>
          <w:tblHeader/>
        </w:trPr>
        <w:tc>
          <w:tcPr>
            <w:tcW w:w="1730" w:type="pct"/>
            <w:vMerge w:val="restart"/>
            <w:tcBorders>
              <w:top w:val="single" w:sz="4" w:space="0" w:color="auto"/>
              <w:left w:val="single" w:sz="4" w:space="0" w:color="auto"/>
              <w:bottom w:val="single" w:sz="4" w:space="0" w:color="auto"/>
              <w:right w:val="single" w:sz="4" w:space="0" w:color="auto"/>
            </w:tcBorders>
            <w:vAlign w:val="center"/>
            <w:hideMark/>
          </w:tcPr>
          <w:p w14:paraId="7EFA1191" w14:textId="77777777" w:rsidR="00C74282" w:rsidRPr="00EE0EF7" w:rsidRDefault="00C74282">
            <w:pPr>
              <w:keepNext/>
              <w:jc w:val="center"/>
              <w:rPr>
                <w:b/>
                <w:bCs/>
                <w:color w:val="000000"/>
                <w:sz w:val="20"/>
                <w:szCs w:val="20"/>
                <w:lang w:val="fr-FR" w:eastAsia="en-CA"/>
              </w:rPr>
            </w:pPr>
            <w:r w:rsidRPr="00EE0EF7">
              <w:rPr>
                <w:b/>
                <w:bCs/>
                <w:color w:val="000000"/>
                <w:sz w:val="20"/>
                <w:szCs w:val="20"/>
                <w:lang w:val="fr-FR" w:eastAsia="fr"/>
              </w:rPr>
              <w:t>Secteur</w:t>
            </w:r>
          </w:p>
        </w:tc>
        <w:tc>
          <w:tcPr>
            <w:tcW w:w="974" w:type="pct"/>
            <w:vMerge w:val="restart"/>
            <w:tcBorders>
              <w:top w:val="single" w:sz="4" w:space="0" w:color="auto"/>
              <w:left w:val="single" w:sz="4" w:space="0" w:color="auto"/>
              <w:bottom w:val="single" w:sz="4" w:space="0" w:color="auto"/>
              <w:right w:val="single" w:sz="4" w:space="0" w:color="auto"/>
            </w:tcBorders>
            <w:vAlign w:val="center"/>
            <w:hideMark/>
          </w:tcPr>
          <w:p w14:paraId="5A80F032" w14:textId="77777777" w:rsidR="00C74282" w:rsidRPr="00EE0EF7" w:rsidRDefault="00C74282">
            <w:pPr>
              <w:jc w:val="center"/>
              <w:rPr>
                <w:b/>
                <w:bCs/>
                <w:color w:val="000000"/>
                <w:sz w:val="20"/>
                <w:szCs w:val="20"/>
                <w:lang w:val="fr-FR" w:eastAsia="en-CA"/>
              </w:rPr>
            </w:pPr>
            <w:r w:rsidRPr="00EE0EF7">
              <w:rPr>
                <w:b/>
                <w:bCs/>
                <w:color w:val="000000"/>
                <w:sz w:val="20"/>
                <w:szCs w:val="20"/>
                <w:lang w:val="fr-FR" w:eastAsia="fr"/>
              </w:rPr>
              <w:t>Substance</w:t>
            </w:r>
          </w:p>
        </w:tc>
        <w:tc>
          <w:tcPr>
            <w:tcW w:w="1183" w:type="pct"/>
            <w:gridSpan w:val="2"/>
            <w:tcBorders>
              <w:top w:val="single" w:sz="4" w:space="0" w:color="auto"/>
              <w:left w:val="nil"/>
              <w:bottom w:val="single" w:sz="4" w:space="0" w:color="auto"/>
              <w:right w:val="single" w:sz="4" w:space="0" w:color="auto"/>
            </w:tcBorders>
            <w:vAlign w:val="center"/>
            <w:hideMark/>
          </w:tcPr>
          <w:p w14:paraId="1F8B8635" w14:textId="77777777" w:rsidR="00C74282" w:rsidRPr="00EE0EF7" w:rsidRDefault="00C74282">
            <w:pPr>
              <w:jc w:val="center"/>
              <w:rPr>
                <w:b/>
                <w:bCs/>
                <w:color w:val="000000"/>
                <w:sz w:val="20"/>
                <w:szCs w:val="20"/>
                <w:lang w:val="fr-FR" w:eastAsia="en-CA"/>
              </w:rPr>
            </w:pPr>
            <w:r w:rsidRPr="00EE0EF7">
              <w:rPr>
                <w:b/>
                <w:bCs/>
                <w:color w:val="000000"/>
                <w:sz w:val="20"/>
                <w:szCs w:val="20"/>
                <w:lang w:val="fr-FR" w:eastAsia="fr"/>
              </w:rPr>
              <w:t>Tonnes métriques (tm)</w:t>
            </w:r>
          </w:p>
        </w:tc>
        <w:tc>
          <w:tcPr>
            <w:tcW w:w="1113" w:type="pct"/>
            <w:gridSpan w:val="2"/>
            <w:tcBorders>
              <w:top w:val="single" w:sz="4" w:space="0" w:color="auto"/>
              <w:left w:val="nil"/>
              <w:bottom w:val="single" w:sz="4" w:space="0" w:color="auto"/>
              <w:right w:val="single" w:sz="4" w:space="0" w:color="auto"/>
            </w:tcBorders>
            <w:vAlign w:val="center"/>
            <w:hideMark/>
          </w:tcPr>
          <w:p w14:paraId="46A86324" w14:textId="77777777" w:rsidR="00C74282" w:rsidRPr="00EE0EF7" w:rsidRDefault="00C74282">
            <w:pPr>
              <w:jc w:val="center"/>
              <w:rPr>
                <w:b/>
                <w:bCs/>
                <w:color w:val="000000"/>
                <w:sz w:val="20"/>
                <w:szCs w:val="20"/>
                <w:lang w:val="fr-FR" w:eastAsia="en-CA"/>
              </w:rPr>
            </w:pPr>
            <w:r w:rsidRPr="00EE0EF7">
              <w:rPr>
                <w:b/>
                <w:bCs/>
                <w:color w:val="000000"/>
                <w:sz w:val="20"/>
                <w:szCs w:val="20"/>
                <w:lang w:val="fr-FR" w:eastAsia="fr"/>
              </w:rPr>
              <w:t>Tonnes PAO</w:t>
            </w:r>
          </w:p>
        </w:tc>
      </w:tr>
      <w:tr w:rsidR="00C74282" w:rsidRPr="00EE0EF7" w14:paraId="180F340E" w14:textId="77777777" w:rsidTr="00C26B2E">
        <w:trPr>
          <w:trHeight w:val="45"/>
          <w:tblHeader/>
        </w:trPr>
        <w:tc>
          <w:tcPr>
            <w:tcW w:w="1730" w:type="pct"/>
            <w:vMerge/>
            <w:tcBorders>
              <w:top w:val="single" w:sz="4" w:space="0" w:color="auto"/>
              <w:left w:val="single" w:sz="4" w:space="0" w:color="auto"/>
              <w:bottom w:val="single" w:sz="4" w:space="0" w:color="auto"/>
              <w:right w:val="single" w:sz="4" w:space="0" w:color="auto"/>
            </w:tcBorders>
            <w:vAlign w:val="center"/>
            <w:hideMark/>
          </w:tcPr>
          <w:p w14:paraId="4BD326C1" w14:textId="77777777" w:rsidR="00C74282" w:rsidRPr="00EE0EF7" w:rsidRDefault="00C74282">
            <w:pPr>
              <w:jc w:val="left"/>
              <w:rPr>
                <w:b/>
                <w:bCs/>
                <w:color w:val="000000"/>
                <w:sz w:val="20"/>
                <w:szCs w:val="20"/>
                <w:lang w:val="fr-FR" w:eastAsia="en-CA"/>
              </w:rPr>
            </w:pPr>
          </w:p>
        </w:tc>
        <w:tc>
          <w:tcPr>
            <w:tcW w:w="974" w:type="pct"/>
            <w:vMerge/>
            <w:tcBorders>
              <w:top w:val="single" w:sz="4" w:space="0" w:color="auto"/>
              <w:left w:val="single" w:sz="4" w:space="0" w:color="auto"/>
              <w:bottom w:val="single" w:sz="4" w:space="0" w:color="auto"/>
              <w:right w:val="single" w:sz="4" w:space="0" w:color="auto"/>
            </w:tcBorders>
            <w:vAlign w:val="center"/>
            <w:hideMark/>
          </w:tcPr>
          <w:p w14:paraId="7E828DA8" w14:textId="77777777" w:rsidR="00C74282" w:rsidRPr="00EE0EF7" w:rsidRDefault="00C74282">
            <w:pPr>
              <w:jc w:val="left"/>
              <w:rPr>
                <w:b/>
                <w:bCs/>
                <w:color w:val="000000"/>
                <w:sz w:val="20"/>
                <w:szCs w:val="20"/>
                <w:lang w:val="fr-FR" w:eastAsia="en-CA"/>
              </w:rPr>
            </w:pPr>
          </w:p>
        </w:tc>
        <w:tc>
          <w:tcPr>
            <w:tcW w:w="666" w:type="pct"/>
            <w:tcBorders>
              <w:top w:val="nil"/>
              <w:left w:val="nil"/>
              <w:bottom w:val="single" w:sz="4" w:space="0" w:color="auto"/>
              <w:right w:val="single" w:sz="4" w:space="0" w:color="auto"/>
            </w:tcBorders>
            <w:vAlign w:val="center"/>
            <w:hideMark/>
          </w:tcPr>
          <w:p w14:paraId="7181542C" w14:textId="77777777" w:rsidR="00C74282" w:rsidRPr="00EE0EF7" w:rsidRDefault="00C74282">
            <w:pPr>
              <w:jc w:val="center"/>
              <w:rPr>
                <w:b/>
                <w:bCs/>
                <w:color w:val="000000"/>
                <w:sz w:val="20"/>
                <w:szCs w:val="20"/>
                <w:lang w:val="fr-FR" w:eastAsia="en-CA"/>
              </w:rPr>
            </w:pPr>
            <w:r w:rsidRPr="00EE0EF7">
              <w:rPr>
                <w:b/>
                <w:bCs/>
                <w:color w:val="000000"/>
                <w:sz w:val="20"/>
                <w:szCs w:val="20"/>
                <w:lang w:val="fr-FR" w:eastAsia="fr"/>
              </w:rPr>
              <w:t>tonnage</w:t>
            </w:r>
          </w:p>
        </w:tc>
        <w:tc>
          <w:tcPr>
            <w:tcW w:w="517" w:type="pct"/>
            <w:tcBorders>
              <w:top w:val="nil"/>
              <w:left w:val="nil"/>
              <w:bottom w:val="single" w:sz="4" w:space="0" w:color="auto"/>
              <w:right w:val="single" w:sz="4" w:space="0" w:color="auto"/>
            </w:tcBorders>
            <w:vAlign w:val="center"/>
            <w:hideMark/>
          </w:tcPr>
          <w:p w14:paraId="09871CCA" w14:textId="77777777" w:rsidR="00C74282" w:rsidRPr="00EE0EF7" w:rsidRDefault="00C74282">
            <w:pPr>
              <w:jc w:val="center"/>
              <w:rPr>
                <w:b/>
                <w:bCs/>
                <w:color w:val="000000"/>
                <w:sz w:val="20"/>
                <w:szCs w:val="20"/>
                <w:lang w:val="fr-FR" w:eastAsia="en-CA"/>
              </w:rPr>
            </w:pPr>
            <w:r w:rsidRPr="00EE0EF7">
              <w:rPr>
                <w:b/>
                <w:bCs/>
                <w:color w:val="000000"/>
                <w:sz w:val="20"/>
                <w:szCs w:val="20"/>
                <w:lang w:val="fr-FR" w:eastAsia="fr"/>
              </w:rPr>
              <w:t>%</w:t>
            </w:r>
          </w:p>
        </w:tc>
        <w:tc>
          <w:tcPr>
            <w:tcW w:w="636" w:type="pct"/>
            <w:tcBorders>
              <w:top w:val="nil"/>
              <w:left w:val="nil"/>
              <w:bottom w:val="single" w:sz="4" w:space="0" w:color="auto"/>
              <w:right w:val="single" w:sz="4" w:space="0" w:color="auto"/>
            </w:tcBorders>
            <w:vAlign w:val="center"/>
            <w:hideMark/>
          </w:tcPr>
          <w:p w14:paraId="1F682E27" w14:textId="77777777" w:rsidR="00C74282" w:rsidRPr="00EE0EF7" w:rsidRDefault="00C74282">
            <w:pPr>
              <w:jc w:val="center"/>
              <w:rPr>
                <w:b/>
                <w:bCs/>
                <w:color w:val="000000"/>
                <w:sz w:val="20"/>
                <w:szCs w:val="20"/>
                <w:lang w:val="fr-FR" w:eastAsia="en-CA"/>
              </w:rPr>
            </w:pPr>
            <w:r w:rsidRPr="00EE0EF7">
              <w:rPr>
                <w:b/>
                <w:bCs/>
                <w:color w:val="000000"/>
                <w:sz w:val="20"/>
                <w:szCs w:val="20"/>
                <w:lang w:val="fr-FR" w:eastAsia="fr"/>
              </w:rPr>
              <w:t>tonnage</w:t>
            </w:r>
          </w:p>
        </w:tc>
        <w:tc>
          <w:tcPr>
            <w:tcW w:w="477" w:type="pct"/>
            <w:tcBorders>
              <w:top w:val="nil"/>
              <w:left w:val="nil"/>
              <w:bottom w:val="single" w:sz="4" w:space="0" w:color="auto"/>
              <w:right w:val="single" w:sz="4" w:space="0" w:color="auto"/>
            </w:tcBorders>
            <w:vAlign w:val="center"/>
            <w:hideMark/>
          </w:tcPr>
          <w:p w14:paraId="7ABF4D8E" w14:textId="77777777" w:rsidR="00C74282" w:rsidRPr="00EE0EF7" w:rsidRDefault="00C74282">
            <w:pPr>
              <w:jc w:val="center"/>
              <w:rPr>
                <w:b/>
                <w:bCs/>
                <w:color w:val="000000"/>
                <w:sz w:val="20"/>
                <w:szCs w:val="20"/>
                <w:lang w:val="fr-FR" w:eastAsia="en-CA"/>
              </w:rPr>
            </w:pPr>
            <w:r w:rsidRPr="00EE0EF7">
              <w:rPr>
                <w:b/>
                <w:bCs/>
                <w:color w:val="000000"/>
                <w:sz w:val="20"/>
                <w:szCs w:val="20"/>
                <w:lang w:val="fr-FR" w:eastAsia="fr"/>
              </w:rPr>
              <w:t>%</w:t>
            </w:r>
          </w:p>
        </w:tc>
      </w:tr>
      <w:tr w:rsidR="00C74282" w:rsidRPr="00EE0EF7" w14:paraId="0A9A1BF0" w14:textId="77777777" w:rsidTr="00C26B2E">
        <w:trPr>
          <w:trHeight w:val="81"/>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1A4CAD1E" w14:textId="77777777" w:rsidR="00C74282" w:rsidRPr="00EE0EF7" w:rsidRDefault="00C74282">
            <w:pPr>
              <w:keepNext/>
              <w:jc w:val="left"/>
              <w:rPr>
                <w:b/>
                <w:bCs/>
                <w:color w:val="000000"/>
                <w:sz w:val="20"/>
                <w:szCs w:val="20"/>
                <w:lang w:val="fr-FR" w:eastAsia="en-CA"/>
              </w:rPr>
            </w:pPr>
            <w:r w:rsidRPr="00EE0EF7">
              <w:rPr>
                <w:b/>
                <w:bCs/>
                <w:color w:val="000000"/>
                <w:sz w:val="20"/>
                <w:szCs w:val="20"/>
                <w:lang w:val="fr-FR" w:eastAsia="fr"/>
              </w:rPr>
              <w:t>Fabrication</w:t>
            </w:r>
          </w:p>
        </w:tc>
      </w:tr>
      <w:tr w:rsidR="00C74282" w:rsidRPr="00EE0EF7" w14:paraId="21EA547E" w14:textId="77777777" w:rsidTr="00C26B2E">
        <w:trPr>
          <w:trHeight w:val="126"/>
        </w:trPr>
        <w:tc>
          <w:tcPr>
            <w:tcW w:w="1730" w:type="pct"/>
            <w:vMerge w:val="restart"/>
            <w:tcBorders>
              <w:top w:val="nil"/>
              <w:left w:val="single" w:sz="4" w:space="0" w:color="auto"/>
              <w:bottom w:val="single" w:sz="4" w:space="0" w:color="000000"/>
              <w:right w:val="single" w:sz="4" w:space="0" w:color="auto"/>
            </w:tcBorders>
            <w:vAlign w:val="center"/>
            <w:hideMark/>
          </w:tcPr>
          <w:p w14:paraId="552E76F7" w14:textId="77777777" w:rsidR="00C74282" w:rsidRPr="00EE0EF7" w:rsidRDefault="00C74282">
            <w:pPr>
              <w:jc w:val="left"/>
              <w:rPr>
                <w:color w:val="000000"/>
                <w:sz w:val="20"/>
                <w:szCs w:val="20"/>
                <w:lang w:val="fr-FR" w:eastAsia="en-CA"/>
              </w:rPr>
            </w:pPr>
            <w:r w:rsidRPr="00EE0EF7">
              <w:rPr>
                <w:color w:val="000000"/>
                <w:sz w:val="20"/>
                <w:szCs w:val="20"/>
                <w:lang w:val="fr-FR" w:eastAsia="fr"/>
              </w:rPr>
              <w:t>Aérosols</w:t>
            </w:r>
          </w:p>
        </w:tc>
        <w:tc>
          <w:tcPr>
            <w:tcW w:w="974" w:type="pct"/>
            <w:tcBorders>
              <w:top w:val="nil"/>
              <w:left w:val="nil"/>
              <w:bottom w:val="single" w:sz="4" w:space="0" w:color="auto"/>
              <w:right w:val="single" w:sz="4" w:space="0" w:color="auto"/>
            </w:tcBorders>
            <w:vAlign w:val="center"/>
            <w:hideMark/>
          </w:tcPr>
          <w:p w14:paraId="7296C515" w14:textId="77777777" w:rsidR="00C74282" w:rsidRPr="00EE0EF7" w:rsidRDefault="00C74282">
            <w:pPr>
              <w:jc w:val="left"/>
              <w:rPr>
                <w:color w:val="000000"/>
                <w:sz w:val="20"/>
                <w:szCs w:val="20"/>
                <w:lang w:val="fr-FR" w:eastAsia="en-CA"/>
              </w:rPr>
            </w:pPr>
            <w:r w:rsidRPr="00EE0EF7">
              <w:rPr>
                <w:color w:val="000000"/>
                <w:sz w:val="20"/>
                <w:szCs w:val="20"/>
                <w:lang w:val="fr-FR" w:eastAsia="fr"/>
              </w:rPr>
              <w:t>HCFC-22</w:t>
            </w:r>
          </w:p>
        </w:tc>
        <w:tc>
          <w:tcPr>
            <w:tcW w:w="666" w:type="pct"/>
            <w:tcBorders>
              <w:top w:val="nil"/>
              <w:left w:val="nil"/>
              <w:bottom w:val="single" w:sz="4" w:space="0" w:color="auto"/>
              <w:right w:val="single" w:sz="4" w:space="0" w:color="auto"/>
            </w:tcBorders>
            <w:vAlign w:val="center"/>
            <w:hideMark/>
          </w:tcPr>
          <w:p w14:paraId="1D13B14A" w14:textId="77777777" w:rsidR="00C74282" w:rsidRPr="00EE0EF7" w:rsidRDefault="00C74282">
            <w:pPr>
              <w:jc w:val="right"/>
              <w:rPr>
                <w:color w:val="000000"/>
                <w:sz w:val="20"/>
                <w:szCs w:val="20"/>
                <w:lang w:val="fr-FR" w:eastAsia="en-CA"/>
              </w:rPr>
            </w:pPr>
            <w:r w:rsidRPr="00EE0EF7">
              <w:rPr>
                <w:color w:val="000000"/>
                <w:sz w:val="20"/>
                <w:szCs w:val="20"/>
                <w:lang w:val="fr-FR" w:eastAsia="fr"/>
              </w:rPr>
              <w:t>1,07</w:t>
            </w:r>
          </w:p>
        </w:tc>
        <w:tc>
          <w:tcPr>
            <w:tcW w:w="517" w:type="pct"/>
            <w:tcBorders>
              <w:top w:val="nil"/>
              <w:left w:val="nil"/>
              <w:bottom w:val="single" w:sz="4" w:space="0" w:color="auto"/>
              <w:right w:val="single" w:sz="4" w:space="0" w:color="auto"/>
            </w:tcBorders>
            <w:vAlign w:val="center"/>
            <w:hideMark/>
          </w:tcPr>
          <w:p w14:paraId="178524B3" w14:textId="77777777" w:rsidR="00C74282" w:rsidRPr="00EE0EF7" w:rsidRDefault="00C74282">
            <w:pPr>
              <w:jc w:val="right"/>
              <w:rPr>
                <w:color w:val="000000"/>
                <w:sz w:val="20"/>
                <w:szCs w:val="20"/>
                <w:lang w:val="fr-FR" w:eastAsia="en-CA"/>
              </w:rPr>
            </w:pPr>
            <w:r w:rsidRPr="00EE0EF7">
              <w:rPr>
                <w:color w:val="000000"/>
                <w:sz w:val="20"/>
                <w:szCs w:val="20"/>
                <w:lang w:val="fr-FR" w:eastAsia="fr"/>
              </w:rPr>
              <w:t>0,0</w:t>
            </w:r>
          </w:p>
        </w:tc>
        <w:tc>
          <w:tcPr>
            <w:tcW w:w="636" w:type="pct"/>
            <w:tcBorders>
              <w:top w:val="nil"/>
              <w:left w:val="nil"/>
              <w:bottom w:val="single" w:sz="4" w:space="0" w:color="auto"/>
              <w:right w:val="single" w:sz="4" w:space="0" w:color="auto"/>
            </w:tcBorders>
            <w:vAlign w:val="center"/>
            <w:hideMark/>
          </w:tcPr>
          <w:p w14:paraId="69DD9F12" w14:textId="77777777" w:rsidR="00C74282" w:rsidRPr="00EE0EF7" w:rsidRDefault="00C74282">
            <w:pPr>
              <w:jc w:val="right"/>
              <w:rPr>
                <w:color w:val="000000"/>
                <w:sz w:val="20"/>
                <w:szCs w:val="20"/>
                <w:lang w:val="fr-FR" w:eastAsia="en-CA"/>
              </w:rPr>
            </w:pPr>
            <w:r w:rsidRPr="00EE0EF7">
              <w:rPr>
                <w:color w:val="000000"/>
                <w:sz w:val="20"/>
                <w:szCs w:val="20"/>
                <w:lang w:val="fr-FR" w:eastAsia="fr"/>
              </w:rPr>
              <w:t>0,06</w:t>
            </w:r>
          </w:p>
        </w:tc>
        <w:tc>
          <w:tcPr>
            <w:tcW w:w="477" w:type="pct"/>
            <w:tcBorders>
              <w:top w:val="nil"/>
              <w:left w:val="nil"/>
              <w:bottom w:val="single" w:sz="4" w:space="0" w:color="auto"/>
              <w:right w:val="single" w:sz="4" w:space="0" w:color="auto"/>
            </w:tcBorders>
            <w:vAlign w:val="center"/>
            <w:hideMark/>
          </w:tcPr>
          <w:p w14:paraId="762C70A5" w14:textId="77777777" w:rsidR="00C74282" w:rsidRPr="00EE0EF7" w:rsidRDefault="00C74282">
            <w:pPr>
              <w:jc w:val="right"/>
              <w:rPr>
                <w:color w:val="000000"/>
                <w:sz w:val="20"/>
                <w:szCs w:val="20"/>
                <w:lang w:val="fr-FR" w:eastAsia="en-CA"/>
              </w:rPr>
            </w:pPr>
            <w:r w:rsidRPr="00EE0EF7">
              <w:rPr>
                <w:color w:val="000000"/>
                <w:sz w:val="20"/>
                <w:szCs w:val="20"/>
                <w:lang w:val="fr-FR" w:eastAsia="fr"/>
              </w:rPr>
              <w:t>0,0</w:t>
            </w:r>
          </w:p>
        </w:tc>
      </w:tr>
      <w:tr w:rsidR="00C74282" w:rsidRPr="00EE0EF7" w14:paraId="237930F0" w14:textId="77777777" w:rsidTr="00C26B2E">
        <w:trPr>
          <w:trHeight w:val="45"/>
        </w:trPr>
        <w:tc>
          <w:tcPr>
            <w:tcW w:w="1730" w:type="pct"/>
            <w:vMerge/>
            <w:tcBorders>
              <w:top w:val="nil"/>
              <w:left w:val="single" w:sz="4" w:space="0" w:color="auto"/>
              <w:bottom w:val="single" w:sz="4" w:space="0" w:color="000000"/>
              <w:right w:val="single" w:sz="4" w:space="0" w:color="auto"/>
            </w:tcBorders>
            <w:vAlign w:val="center"/>
            <w:hideMark/>
          </w:tcPr>
          <w:p w14:paraId="35B824A4" w14:textId="77777777" w:rsidR="00C74282" w:rsidRPr="00EE0EF7" w:rsidRDefault="00C74282">
            <w:pPr>
              <w:jc w:val="left"/>
              <w:rPr>
                <w:color w:val="000000"/>
                <w:sz w:val="20"/>
                <w:szCs w:val="20"/>
                <w:lang w:val="fr-FR" w:eastAsia="en-CA"/>
              </w:rPr>
            </w:pPr>
          </w:p>
        </w:tc>
        <w:tc>
          <w:tcPr>
            <w:tcW w:w="974" w:type="pct"/>
            <w:tcBorders>
              <w:top w:val="nil"/>
              <w:left w:val="nil"/>
              <w:bottom w:val="single" w:sz="4" w:space="0" w:color="auto"/>
              <w:right w:val="single" w:sz="4" w:space="0" w:color="auto"/>
            </w:tcBorders>
            <w:vAlign w:val="center"/>
            <w:hideMark/>
          </w:tcPr>
          <w:p w14:paraId="74626A43" w14:textId="166A87A8" w:rsidR="00C74282" w:rsidRPr="00EE0EF7" w:rsidRDefault="00C74282">
            <w:pPr>
              <w:rPr>
                <w:color w:val="000000"/>
                <w:sz w:val="20"/>
                <w:szCs w:val="20"/>
                <w:lang w:val="fr-FR" w:eastAsia="en-CA"/>
              </w:rPr>
            </w:pPr>
            <w:r w:rsidRPr="00EE0EF7">
              <w:rPr>
                <w:color w:val="000000"/>
                <w:sz w:val="20"/>
                <w:szCs w:val="20"/>
                <w:lang w:val="fr-FR" w:eastAsia="fr"/>
              </w:rPr>
              <w:t>HCFC-141b</w:t>
            </w:r>
          </w:p>
        </w:tc>
        <w:tc>
          <w:tcPr>
            <w:tcW w:w="666" w:type="pct"/>
            <w:tcBorders>
              <w:top w:val="nil"/>
              <w:left w:val="nil"/>
              <w:bottom w:val="single" w:sz="4" w:space="0" w:color="auto"/>
              <w:right w:val="single" w:sz="4" w:space="0" w:color="auto"/>
            </w:tcBorders>
            <w:vAlign w:val="center"/>
            <w:hideMark/>
          </w:tcPr>
          <w:p w14:paraId="7E937F80" w14:textId="77777777" w:rsidR="00C74282" w:rsidRPr="00EE0EF7" w:rsidRDefault="00C74282">
            <w:pPr>
              <w:jc w:val="right"/>
              <w:rPr>
                <w:color w:val="000000"/>
                <w:sz w:val="20"/>
                <w:szCs w:val="20"/>
                <w:lang w:val="fr-FR" w:eastAsia="en-CA"/>
              </w:rPr>
            </w:pPr>
            <w:r w:rsidRPr="00EE0EF7">
              <w:rPr>
                <w:color w:val="000000"/>
                <w:sz w:val="20"/>
                <w:szCs w:val="20"/>
                <w:lang w:val="fr-FR" w:eastAsia="fr"/>
              </w:rPr>
              <w:t>28,81</w:t>
            </w:r>
          </w:p>
        </w:tc>
        <w:tc>
          <w:tcPr>
            <w:tcW w:w="517" w:type="pct"/>
            <w:tcBorders>
              <w:top w:val="nil"/>
              <w:left w:val="nil"/>
              <w:bottom w:val="single" w:sz="4" w:space="0" w:color="auto"/>
              <w:right w:val="single" w:sz="4" w:space="0" w:color="auto"/>
            </w:tcBorders>
            <w:vAlign w:val="center"/>
            <w:hideMark/>
          </w:tcPr>
          <w:p w14:paraId="7B8F58BE" w14:textId="77777777" w:rsidR="00C74282" w:rsidRPr="00EE0EF7" w:rsidRDefault="00C74282">
            <w:pPr>
              <w:jc w:val="right"/>
              <w:rPr>
                <w:color w:val="000000"/>
                <w:sz w:val="20"/>
                <w:szCs w:val="20"/>
                <w:lang w:val="fr-FR" w:eastAsia="en-CA"/>
              </w:rPr>
            </w:pPr>
            <w:r w:rsidRPr="00EE0EF7">
              <w:rPr>
                <w:color w:val="000000"/>
                <w:sz w:val="20"/>
                <w:szCs w:val="20"/>
                <w:lang w:val="fr-FR" w:eastAsia="fr"/>
              </w:rPr>
              <w:t>1,3</w:t>
            </w:r>
          </w:p>
        </w:tc>
        <w:tc>
          <w:tcPr>
            <w:tcW w:w="636" w:type="pct"/>
            <w:tcBorders>
              <w:top w:val="nil"/>
              <w:left w:val="nil"/>
              <w:bottom w:val="single" w:sz="4" w:space="0" w:color="auto"/>
              <w:right w:val="single" w:sz="4" w:space="0" w:color="auto"/>
            </w:tcBorders>
            <w:vAlign w:val="center"/>
            <w:hideMark/>
          </w:tcPr>
          <w:p w14:paraId="454C6BFB" w14:textId="77777777" w:rsidR="00C74282" w:rsidRPr="00EE0EF7" w:rsidRDefault="00C74282">
            <w:pPr>
              <w:jc w:val="right"/>
              <w:rPr>
                <w:color w:val="000000"/>
                <w:sz w:val="20"/>
                <w:szCs w:val="20"/>
                <w:lang w:val="fr-FR" w:eastAsia="en-CA"/>
              </w:rPr>
            </w:pPr>
            <w:r w:rsidRPr="00EE0EF7">
              <w:rPr>
                <w:color w:val="000000"/>
                <w:sz w:val="20"/>
                <w:szCs w:val="20"/>
                <w:lang w:val="fr-FR" w:eastAsia="fr"/>
              </w:rPr>
              <w:t>3,17</w:t>
            </w:r>
          </w:p>
        </w:tc>
        <w:tc>
          <w:tcPr>
            <w:tcW w:w="477" w:type="pct"/>
            <w:tcBorders>
              <w:top w:val="nil"/>
              <w:left w:val="nil"/>
              <w:bottom w:val="single" w:sz="4" w:space="0" w:color="auto"/>
              <w:right w:val="single" w:sz="4" w:space="0" w:color="auto"/>
            </w:tcBorders>
            <w:vAlign w:val="center"/>
            <w:hideMark/>
          </w:tcPr>
          <w:p w14:paraId="1FD758DF" w14:textId="77777777" w:rsidR="00C74282" w:rsidRPr="00EE0EF7" w:rsidRDefault="00C74282">
            <w:pPr>
              <w:jc w:val="right"/>
              <w:rPr>
                <w:color w:val="000000"/>
                <w:sz w:val="20"/>
                <w:szCs w:val="20"/>
                <w:lang w:val="fr-FR" w:eastAsia="en-CA"/>
              </w:rPr>
            </w:pPr>
            <w:r w:rsidRPr="00EE0EF7">
              <w:rPr>
                <w:color w:val="000000"/>
                <w:sz w:val="20"/>
                <w:szCs w:val="20"/>
                <w:lang w:val="fr-FR" w:eastAsia="fr"/>
              </w:rPr>
              <w:t>2,1</w:t>
            </w:r>
          </w:p>
        </w:tc>
      </w:tr>
      <w:tr w:rsidR="00C74282" w:rsidRPr="00EE0EF7" w14:paraId="722EB940" w14:textId="77777777" w:rsidTr="00C26B2E">
        <w:trPr>
          <w:trHeight w:val="63"/>
        </w:trPr>
        <w:tc>
          <w:tcPr>
            <w:tcW w:w="1730" w:type="pct"/>
            <w:vMerge w:val="restart"/>
            <w:tcBorders>
              <w:top w:val="nil"/>
              <w:left w:val="single" w:sz="4" w:space="0" w:color="auto"/>
              <w:bottom w:val="single" w:sz="4" w:space="0" w:color="000000"/>
              <w:right w:val="single" w:sz="4" w:space="0" w:color="auto"/>
            </w:tcBorders>
            <w:vAlign w:val="center"/>
            <w:hideMark/>
          </w:tcPr>
          <w:p w14:paraId="7B573D6D" w14:textId="77777777" w:rsidR="00C74282" w:rsidRPr="00EE0EF7" w:rsidRDefault="00C74282">
            <w:pPr>
              <w:jc w:val="left"/>
              <w:rPr>
                <w:color w:val="000000"/>
                <w:sz w:val="20"/>
                <w:szCs w:val="20"/>
                <w:lang w:val="fr-FR" w:eastAsia="en-CA"/>
              </w:rPr>
            </w:pPr>
            <w:r w:rsidRPr="00EE0EF7">
              <w:rPr>
                <w:color w:val="000000"/>
                <w:sz w:val="20"/>
                <w:szCs w:val="20"/>
                <w:lang w:val="fr-FR" w:eastAsia="fr"/>
              </w:rPr>
              <w:t>Réfrigération à usage commercial</w:t>
            </w:r>
          </w:p>
        </w:tc>
        <w:tc>
          <w:tcPr>
            <w:tcW w:w="974" w:type="pct"/>
            <w:tcBorders>
              <w:top w:val="nil"/>
              <w:left w:val="nil"/>
              <w:bottom w:val="single" w:sz="4" w:space="0" w:color="auto"/>
              <w:right w:val="single" w:sz="4" w:space="0" w:color="auto"/>
            </w:tcBorders>
            <w:vAlign w:val="center"/>
            <w:hideMark/>
          </w:tcPr>
          <w:p w14:paraId="5CDC816C" w14:textId="77777777" w:rsidR="00C74282" w:rsidRPr="00EE0EF7" w:rsidRDefault="00C74282">
            <w:pPr>
              <w:jc w:val="left"/>
              <w:rPr>
                <w:color w:val="000000"/>
                <w:sz w:val="20"/>
                <w:szCs w:val="20"/>
                <w:lang w:val="fr-FR" w:eastAsia="en-CA"/>
              </w:rPr>
            </w:pPr>
            <w:r w:rsidRPr="00EE0EF7">
              <w:rPr>
                <w:color w:val="000000"/>
                <w:sz w:val="20"/>
                <w:szCs w:val="20"/>
                <w:lang w:val="fr-FR" w:eastAsia="fr"/>
              </w:rPr>
              <w:t>HCFC-22</w:t>
            </w:r>
          </w:p>
        </w:tc>
        <w:tc>
          <w:tcPr>
            <w:tcW w:w="666" w:type="pct"/>
            <w:tcBorders>
              <w:top w:val="nil"/>
              <w:left w:val="nil"/>
              <w:bottom w:val="single" w:sz="4" w:space="0" w:color="auto"/>
              <w:right w:val="single" w:sz="4" w:space="0" w:color="auto"/>
            </w:tcBorders>
            <w:vAlign w:val="center"/>
            <w:hideMark/>
          </w:tcPr>
          <w:p w14:paraId="125DEBC5" w14:textId="77777777" w:rsidR="00C74282" w:rsidRPr="00EE0EF7" w:rsidRDefault="00C74282">
            <w:pPr>
              <w:jc w:val="right"/>
              <w:rPr>
                <w:color w:val="000000"/>
                <w:sz w:val="20"/>
                <w:szCs w:val="20"/>
                <w:lang w:val="fr-FR" w:eastAsia="en-CA"/>
              </w:rPr>
            </w:pPr>
            <w:r w:rsidRPr="00EE0EF7">
              <w:rPr>
                <w:color w:val="000000"/>
                <w:sz w:val="20"/>
                <w:szCs w:val="20"/>
                <w:lang w:val="fr-FR" w:eastAsia="fr"/>
              </w:rPr>
              <w:t>58,33</w:t>
            </w:r>
          </w:p>
        </w:tc>
        <w:tc>
          <w:tcPr>
            <w:tcW w:w="517" w:type="pct"/>
            <w:tcBorders>
              <w:top w:val="nil"/>
              <w:left w:val="nil"/>
              <w:bottom w:val="single" w:sz="4" w:space="0" w:color="auto"/>
              <w:right w:val="single" w:sz="4" w:space="0" w:color="auto"/>
            </w:tcBorders>
            <w:vAlign w:val="center"/>
            <w:hideMark/>
          </w:tcPr>
          <w:p w14:paraId="382AAEBF" w14:textId="77777777" w:rsidR="00C74282" w:rsidRPr="00EE0EF7" w:rsidRDefault="00C74282">
            <w:pPr>
              <w:jc w:val="right"/>
              <w:rPr>
                <w:color w:val="000000"/>
                <w:sz w:val="20"/>
                <w:szCs w:val="20"/>
                <w:lang w:val="fr-FR" w:eastAsia="en-CA"/>
              </w:rPr>
            </w:pPr>
            <w:r w:rsidRPr="00EE0EF7">
              <w:rPr>
                <w:color w:val="000000"/>
                <w:sz w:val="20"/>
                <w:szCs w:val="20"/>
                <w:lang w:val="fr-FR" w:eastAsia="fr"/>
              </w:rPr>
              <w:t>2,6</w:t>
            </w:r>
          </w:p>
        </w:tc>
        <w:tc>
          <w:tcPr>
            <w:tcW w:w="636" w:type="pct"/>
            <w:tcBorders>
              <w:top w:val="nil"/>
              <w:left w:val="nil"/>
              <w:bottom w:val="single" w:sz="4" w:space="0" w:color="auto"/>
              <w:right w:val="single" w:sz="4" w:space="0" w:color="auto"/>
            </w:tcBorders>
            <w:vAlign w:val="center"/>
            <w:hideMark/>
          </w:tcPr>
          <w:p w14:paraId="587EA87B" w14:textId="77777777" w:rsidR="00C74282" w:rsidRPr="00EE0EF7" w:rsidRDefault="00C74282">
            <w:pPr>
              <w:jc w:val="right"/>
              <w:rPr>
                <w:color w:val="000000"/>
                <w:sz w:val="20"/>
                <w:szCs w:val="20"/>
                <w:lang w:val="fr-FR" w:eastAsia="en-CA"/>
              </w:rPr>
            </w:pPr>
            <w:r w:rsidRPr="00EE0EF7">
              <w:rPr>
                <w:color w:val="000000"/>
                <w:sz w:val="20"/>
                <w:szCs w:val="20"/>
                <w:lang w:val="fr-FR" w:eastAsia="fr"/>
              </w:rPr>
              <w:t>3,21</w:t>
            </w:r>
          </w:p>
        </w:tc>
        <w:tc>
          <w:tcPr>
            <w:tcW w:w="477" w:type="pct"/>
            <w:tcBorders>
              <w:top w:val="nil"/>
              <w:left w:val="nil"/>
              <w:bottom w:val="single" w:sz="4" w:space="0" w:color="auto"/>
              <w:right w:val="single" w:sz="4" w:space="0" w:color="auto"/>
            </w:tcBorders>
            <w:vAlign w:val="center"/>
            <w:hideMark/>
          </w:tcPr>
          <w:p w14:paraId="0E126163" w14:textId="77777777" w:rsidR="00C74282" w:rsidRPr="00EE0EF7" w:rsidRDefault="00C74282">
            <w:pPr>
              <w:jc w:val="right"/>
              <w:rPr>
                <w:color w:val="000000"/>
                <w:sz w:val="20"/>
                <w:szCs w:val="20"/>
                <w:lang w:val="fr-FR" w:eastAsia="en-CA"/>
              </w:rPr>
            </w:pPr>
            <w:r w:rsidRPr="00EE0EF7">
              <w:rPr>
                <w:color w:val="000000"/>
                <w:sz w:val="20"/>
                <w:szCs w:val="20"/>
                <w:lang w:val="fr-FR" w:eastAsia="fr"/>
              </w:rPr>
              <w:t>2,1</w:t>
            </w:r>
          </w:p>
        </w:tc>
      </w:tr>
      <w:tr w:rsidR="00C74282" w:rsidRPr="00EE0EF7" w14:paraId="7521976D" w14:textId="77777777" w:rsidTr="00C26B2E">
        <w:trPr>
          <w:trHeight w:val="45"/>
        </w:trPr>
        <w:tc>
          <w:tcPr>
            <w:tcW w:w="1730" w:type="pct"/>
            <w:vMerge/>
            <w:tcBorders>
              <w:top w:val="nil"/>
              <w:left w:val="single" w:sz="4" w:space="0" w:color="auto"/>
              <w:bottom w:val="single" w:sz="4" w:space="0" w:color="000000"/>
              <w:right w:val="single" w:sz="4" w:space="0" w:color="auto"/>
            </w:tcBorders>
            <w:vAlign w:val="center"/>
            <w:hideMark/>
          </w:tcPr>
          <w:p w14:paraId="0585C57D" w14:textId="77777777" w:rsidR="00C74282" w:rsidRPr="00EE0EF7" w:rsidRDefault="00C74282">
            <w:pPr>
              <w:jc w:val="left"/>
              <w:rPr>
                <w:color w:val="000000"/>
                <w:sz w:val="20"/>
                <w:szCs w:val="20"/>
                <w:lang w:val="fr-FR" w:eastAsia="en-CA"/>
              </w:rPr>
            </w:pPr>
          </w:p>
        </w:tc>
        <w:tc>
          <w:tcPr>
            <w:tcW w:w="974" w:type="pct"/>
            <w:tcBorders>
              <w:top w:val="nil"/>
              <w:left w:val="nil"/>
              <w:bottom w:val="single" w:sz="4" w:space="0" w:color="auto"/>
              <w:right w:val="single" w:sz="4" w:space="0" w:color="auto"/>
            </w:tcBorders>
            <w:vAlign w:val="center"/>
            <w:hideMark/>
          </w:tcPr>
          <w:p w14:paraId="77F5FBFD" w14:textId="0FE2ED02" w:rsidR="00C74282" w:rsidRPr="00EE0EF7" w:rsidRDefault="00C74282">
            <w:pPr>
              <w:jc w:val="left"/>
              <w:rPr>
                <w:color w:val="000000"/>
                <w:sz w:val="20"/>
                <w:szCs w:val="20"/>
                <w:lang w:val="fr-FR" w:eastAsia="en-CA"/>
              </w:rPr>
            </w:pPr>
            <w:r w:rsidRPr="00EE0EF7">
              <w:rPr>
                <w:color w:val="000000"/>
                <w:sz w:val="20"/>
                <w:szCs w:val="20"/>
                <w:lang w:val="fr-FR" w:eastAsia="fr"/>
              </w:rPr>
              <w:t>HCFC-142b</w:t>
            </w:r>
          </w:p>
        </w:tc>
        <w:tc>
          <w:tcPr>
            <w:tcW w:w="666" w:type="pct"/>
            <w:tcBorders>
              <w:top w:val="nil"/>
              <w:left w:val="nil"/>
              <w:bottom w:val="single" w:sz="4" w:space="0" w:color="auto"/>
              <w:right w:val="single" w:sz="4" w:space="0" w:color="auto"/>
            </w:tcBorders>
            <w:vAlign w:val="center"/>
            <w:hideMark/>
          </w:tcPr>
          <w:p w14:paraId="32D0FFDD" w14:textId="77777777" w:rsidR="00C74282" w:rsidRPr="00EE0EF7" w:rsidRDefault="00C74282">
            <w:pPr>
              <w:jc w:val="right"/>
              <w:rPr>
                <w:color w:val="000000"/>
                <w:sz w:val="20"/>
                <w:szCs w:val="20"/>
                <w:lang w:val="fr-FR" w:eastAsia="en-CA"/>
              </w:rPr>
            </w:pPr>
            <w:r w:rsidRPr="00EE0EF7">
              <w:rPr>
                <w:color w:val="000000"/>
                <w:sz w:val="20"/>
                <w:szCs w:val="20"/>
                <w:lang w:val="fr-FR" w:eastAsia="fr"/>
              </w:rPr>
              <w:t>0,64</w:t>
            </w:r>
          </w:p>
        </w:tc>
        <w:tc>
          <w:tcPr>
            <w:tcW w:w="517" w:type="pct"/>
            <w:tcBorders>
              <w:top w:val="nil"/>
              <w:left w:val="nil"/>
              <w:bottom w:val="single" w:sz="4" w:space="0" w:color="auto"/>
              <w:right w:val="single" w:sz="4" w:space="0" w:color="auto"/>
            </w:tcBorders>
            <w:vAlign w:val="center"/>
            <w:hideMark/>
          </w:tcPr>
          <w:p w14:paraId="16F48AF1" w14:textId="77777777" w:rsidR="00C74282" w:rsidRPr="00EE0EF7" w:rsidRDefault="00C74282">
            <w:pPr>
              <w:jc w:val="right"/>
              <w:rPr>
                <w:color w:val="000000"/>
                <w:sz w:val="20"/>
                <w:szCs w:val="20"/>
                <w:lang w:val="fr-FR" w:eastAsia="en-CA"/>
              </w:rPr>
            </w:pPr>
            <w:r w:rsidRPr="00EE0EF7">
              <w:rPr>
                <w:color w:val="000000"/>
                <w:sz w:val="20"/>
                <w:szCs w:val="20"/>
                <w:lang w:val="fr-FR" w:eastAsia="fr"/>
              </w:rPr>
              <w:t>0,0</w:t>
            </w:r>
          </w:p>
        </w:tc>
        <w:tc>
          <w:tcPr>
            <w:tcW w:w="636" w:type="pct"/>
            <w:tcBorders>
              <w:top w:val="nil"/>
              <w:left w:val="nil"/>
              <w:bottom w:val="single" w:sz="4" w:space="0" w:color="auto"/>
              <w:right w:val="single" w:sz="4" w:space="0" w:color="auto"/>
            </w:tcBorders>
            <w:vAlign w:val="center"/>
            <w:hideMark/>
          </w:tcPr>
          <w:p w14:paraId="3E83083B" w14:textId="77777777" w:rsidR="00C74282" w:rsidRPr="00EE0EF7" w:rsidRDefault="00C74282">
            <w:pPr>
              <w:jc w:val="right"/>
              <w:rPr>
                <w:color w:val="000000"/>
                <w:sz w:val="20"/>
                <w:szCs w:val="20"/>
                <w:lang w:val="fr-FR" w:eastAsia="en-CA"/>
              </w:rPr>
            </w:pPr>
            <w:r w:rsidRPr="00EE0EF7">
              <w:rPr>
                <w:color w:val="000000"/>
                <w:sz w:val="20"/>
                <w:szCs w:val="20"/>
                <w:lang w:val="fr-FR" w:eastAsia="fr"/>
              </w:rPr>
              <w:t>0,04</w:t>
            </w:r>
          </w:p>
        </w:tc>
        <w:tc>
          <w:tcPr>
            <w:tcW w:w="477" w:type="pct"/>
            <w:tcBorders>
              <w:top w:val="nil"/>
              <w:left w:val="nil"/>
              <w:bottom w:val="single" w:sz="4" w:space="0" w:color="auto"/>
              <w:right w:val="single" w:sz="4" w:space="0" w:color="auto"/>
            </w:tcBorders>
            <w:vAlign w:val="center"/>
            <w:hideMark/>
          </w:tcPr>
          <w:p w14:paraId="43DFA09E" w14:textId="77777777" w:rsidR="00C74282" w:rsidRPr="00EE0EF7" w:rsidRDefault="00C74282">
            <w:pPr>
              <w:jc w:val="right"/>
              <w:rPr>
                <w:color w:val="000000"/>
                <w:sz w:val="20"/>
                <w:szCs w:val="20"/>
                <w:lang w:val="fr-FR" w:eastAsia="en-CA"/>
              </w:rPr>
            </w:pPr>
            <w:r w:rsidRPr="00EE0EF7">
              <w:rPr>
                <w:color w:val="000000"/>
                <w:sz w:val="20"/>
                <w:szCs w:val="20"/>
                <w:lang w:val="fr-FR" w:eastAsia="fr"/>
              </w:rPr>
              <w:t>0,0</w:t>
            </w:r>
          </w:p>
        </w:tc>
      </w:tr>
      <w:tr w:rsidR="00C74282" w:rsidRPr="00EE0EF7" w14:paraId="2649800A" w14:textId="77777777" w:rsidTr="00C26B2E">
        <w:trPr>
          <w:trHeight w:val="155"/>
        </w:trPr>
        <w:tc>
          <w:tcPr>
            <w:tcW w:w="1730" w:type="pct"/>
            <w:tcBorders>
              <w:top w:val="nil"/>
              <w:left w:val="single" w:sz="4" w:space="0" w:color="auto"/>
              <w:bottom w:val="single" w:sz="4" w:space="0" w:color="auto"/>
              <w:right w:val="single" w:sz="4" w:space="0" w:color="auto"/>
            </w:tcBorders>
            <w:vAlign w:val="center"/>
            <w:hideMark/>
          </w:tcPr>
          <w:p w14:paraId="24BB1C1F" w14:textId="77777777" w:rsidR="00C74282" w:rsidRPr="00EE0EF7" w:rsidRDefault="00C74282">
            <w:pPr>
              <w:rPr>
                <w:color w:val="000000"/>
                <w:sz w:val="20"/>
                <w:szCs w:val="20"/>
                <w:lang w:val="fr-FR" w:eastAsia="en-CA"/>
              </w:rPr>
            </w:pPr>
            <w:r w:rsidRPr="00EE0EF7">
              <w:rPr>
                <w:color w:val="000000"/>
                <w:sz w:val="20"/>
                <w:szCs w:val="20"/>
                <w:lang w:val="fr-FR" w:eastAsia="fr"/>
              </w:rPr>
              <w:t>Lutte contre l'incendie</w:t>
            </w:r>
          </w:p>
        </w:tc>
        <w:tc>
          <w:tcPr>
            <w:tcW w:w="974" w:type="pct"/>
            <w:tcBorders>
              <w:top w:val="nil"/>
              <w:left w:val="nil"/>
              <w:bottom w:val="single" w:sz="4" w:space="0" w:color="auto"/>
              <w:right w:val="single" w:sz="4" w:space="0" w:color="auto"/>
            </w:tcBorders>
            <w:vAlign w:val="center"/>
            <w:hideMark/>
          </w:tcPr>
          <w:p w14:paraId="39329DEA" w14:textId="77777777" w:rsidR="00C74282" w:rsidRPr="00EE0EF7" w:rsidRDefault="00C74282">
            <w:pPr>
              <w:jc w:val="left"/>
              <w:rPr>
                <w:color w:val="000000"/>
                <w:sz w:val="20"/>
                <w:szCs w:val="20"/>
                <w:lang w:val="fr-FR" w:eastAsia="en-CA"/>
              </w:rPr>
            </w:pPr>
            <w:r w:rsidRPr="00EE0EF7">
              <w:rPr>
                <w:color w:val="000000"/>
                <w:sz w:val="20"/>
                <w:szCs w:val="20"/>
                <w:lang w:val="fr-FR" w:eastAsia="fr"/>
              </w:rPr>
              <w:t>HCFC-123</w:t>
            </w:r>
          </w:p>
        </w:tc>
        <w:tc>
          <w:tcPr>
            <w:tcW w:w="666" w:type="pct"/>
            <w:tcBorders>
              <w:top w:val="nil"/>
              <w:left w:val="nil"/>
              <w:bottom w:val="single" w:sz="4" w:space="0" w:color="auto"/>
              <w:right w:val="single" w:sz="4" w:space="0" w:color="auto"/>
            </w:tcBorders>
            <w:vAlign w:val="center"/>
            <w:hideMark/>
          </w:tcPr>
          <w:p w14:paraId="65E0ECE0" w14:textId="77777777" w:rsidR="00C74282" w:rsidRPr="00EE0EF7" w:rsidRDefault="00C74282">
            <w:pPr>
              <w:jc w:val="right"/>
              <w:rPr>
                <w:color w:val="000000"/>
                <w:sz w:val="20"/>
                <w:szCs w:val="20"/>
                <w:lang w:val="fr-FR" w:eastAsia="en-CA"/>
              </w:rPr>
            </w:pPr>
            <w:r w:rsidRPr="00EE0EF7">
              <w:rPr>
                <w:color w:val="000000"/>
                <w:sz w:val="20"/>
                <w:szCs w:val="20"/>
                <w:lang w:val="fr-FR" w:eastAsia="fr"/>
              </w:rPr>
              <w:t>47,22</w:t>
            </w:r>
          </w:p>
        </w:tc>
        <w:tc>
          <w:tcPr>
            <w:tcW w:w="517" w:type="pct"/>
            <w:tcBorders>
              <w:top w:val="nil"/>
              <w:left w:val="nil"/>
              <w:bottom w:val="single" w:sz="4" w:space="0" w:color="auto"/>
              <w:right w:val="single" w:sz="4" w:space="0" w:color="auto"/>
            </w:tcBorders>
            <w:vAlign w:val="center"/>
            <w:hideMark/>
          </w:tcPr>
          <w:p w14:paraId="00EC4989" w14:textId="77777777" w:rsidR="00C74282" w:rsidRPr="00EE0EF7" w:rsidRDefault="00C74282">
            <w:pPr>
              <w:jc w:val="right"/>
              <w:rPr>
                <w:color w:val="000000"/>
                <w:sz w:val="20"/>
                <w:szCs w:val="20"/>
                <w:lang w:val="fr-FR" w:eastAsia="en-CA"/>
              </w:rPr>
            </w:pPr>
            <w:r w:rsidRPr="00EE0EF7">
              <w:rPr>
                <w:color w:val="000000"/>
                <w:sz w:val="20"/>
                <w:szCs w:val="20"/>
                <w:lang w:val="fr-FR" w:eastAsia="fr"/>
              </w:rPr>
              <w:t>2,1</w:t>
            </w:r>
          </w:p>
        </w:tc>
        <w:tc>
          <w:tcPr>
            <w:tcW w:w="636" w:type="pct"/>
            <w:tcBorders>
              <w:top w:val="nil"/>
              <w:left w:val="nil"/>
              <w:bottom w:val="single" w:sz="4" w:space="0" w:color="auto"/>
              <w:right w:val="single" w:sz="4" w:space="0" w:color="auto"/>
            </w:tcBorders>
            <w:vAlign w:val="center"/>
            <w:hideMark/>
          </w:tcPr>
          <w:p w14:paraId="03CDBF6D" w14:textId="77777777" w:rsidR="00C74282" w:rsidRPr="00EE0EF7" w:rsidRDefault="00C74282">
            <w:pPr>
              <w:jc w:val="right"/>
              <w:rPr>
                <w:color w:val="000000"/>
                <w:sz w:val="20"/>
                <w:szCs w:val="20"/>
                <w:lang w:val="fr-FR" w:eastAsia="en-CA"/>
              </w:rPr>
            </w:pPr>
            <w:r w:rsidRPr="00EE0EF7">
              <w:rPr>
                <w:color w:val="000000"/>
                <w:sz w:val="20"/>
                <w:szCs w:val="20"/>
                <w:lang w:val="fr-FR" w:eastAsia="fr"/>
              </w:rPr>
              <w:t>0,94</w:t>
            </w:r>
          </w:p>
        </w:tc>
        <w:tc>
          <w:tcPr>
            <w:tcW w:w="477" w:type="pct"/>
            <w:tcBorders>
              <w:top w:val="nil"/>
              <w:left w:val="nil"/>
              <w:bottom w:val="single" w:sz="4" w:space="0" w:color="auto"/>
              <w:right w:val="single" w:sz="4" w:space="0" w:color="auto"/>
            </w:tcBorders>
            <w:vAlign w:val="center"/>
            <w:hideMark/>
          </w:tcPr>
          <w:p w14:paraId="073563FC" w14:textId="77777777" w:rsidR="00C74282" w:rsidRPr="00EE0EF7" w:rsidRDefault="00C74282">
            <w:pPr>
              <w:jc w:val="right"/>
              <w:rPr>
                <w:color w:val="000000"/>
                <w:sz w:val="20"/>
                <w:szCs w:val="20"/>
                <w:lang w:val="fr-FR" w:eastAsia="en-CA"/>
              </w:rPr>
            </w:pPr>
            <w:r w:rsidRPr="00EE0EF7">
              <w:rPr>
                <w:color w:val="000000"/>
                <w:sz w:val="20"/>
                <w:szCs w:val="20"/>
                <w:lang w:val="fr-FR" w:eastAsia="fr"/>
              </w:rPr>
              <w:t>0,6</w:t>
            </w:r>
          </w:p>
        </w:tc>
      </w:tr>
      <w:tr w:rsidR="00C74282" w:rsidRPr="00EE0EF7" w14:paraId="27DEBB34" w14:textId="77777777" w:rsidTr="00C26B2E">
        <w:trPr>
          <w:trHeight w:val="91"/>
        </w:trPr>
        <w:tc>
          <w:tcPr>
            <w:tcW w:w="1730" w:type="pct"/>
            <w:tcBorders>
              <w:top w:val="nil"/>
              <w:left w:val="single" w:sz="4" w:space="0" w:color="auto"/>
              <w:bottom w:val="single" w:sz="4" w:space="0" w:color="auto"/>
              <w:right w:val="single" w:sz="4" w:space="0" w:color="auto"/>
            </w:tcBorders>
            <w:vAlign w:val="center"/>
            <w:hideMark/>
          </w:tcPr>
          <w:p w14:paraId="6CC1D0C2" w14:textId="77777777" w:rsidR="00C74282" w:rsidRPr="00EE0EF7" w:rsidRDefault="00C74282">
            <w:pPr>
              <w:rPr>
                <w:color w:val="000000"/>
                <w:sz w:val="20"/>
                <w:szCs w:val="20"/>
                <w:lang w:val="fr-FR" w:eastAsia="en-CA"/>
              </w:rPr>
            </w:pPr>
            <w:r w:rsidRPr="00EE0EF7">
              <w:rPr>
                <w:color w:val="000000"/>
                <w:sz w:val="20"/>
                <w:szCs w:val="20"/>
                <w:lang w:val="fr-FR" w:eastAsia="fr"/>
              </w:rPr>
              <w:t>Mousses XPS</w:t>
            </w:r>
          </w:p>
        </w:tc>
        <w:tc>
          <w:tcPr>
            <w:tcW w:w="974" w:type="pct"/>
            <w:tcBorders>
              <w:top w:val="nil"/>
              <w:left w:val="nil"/>
              <w:bottom w:val="single" w:sz="4" w:space="0" w:color="auto"/>
              <w:right w:val="single" w:sz="4" w:space="0" w:color="auto"/>
            </w:tcBorders>
            <w:vAlign w:val="center"/>
            <w:hideMark/>
          </w:tcPr>
          <w:p w14:paraId="62729FAE" w14:textId="77777777" w:rsidR="00C74282" w:rsidRPr="00EE0EF7" w:rsidRDefault="00C74282">
            <w:pPr>
              <w:jc w:val="left"/>
              <w:rPr>
                <w:color w:val="000000"/>
                <w:sz w:val="20"/>
                <w:szCs w:val="20"/>
                <w:lang w:val="fr-FR" w:eastAsia="en-CA"/>
              </w:rPr>
            </w:pPr>
            <w:r w:rsidRPr="00EE0EF7">
              <w:rPr>
                <w:color w:val="000000"/>
                <w:sz w:val="20"/>
                <w:szCs w:val="20"/>
                <w:lang w:val="fr-FR" w:eastAsia="fr"/>
              </w:rPr>
              <w:t>HCFC-22</w:t>
            </w:r>
          </w:p>
        </w:tc>
        <w:tc>
          <w:tcPr>
            <w:tcW w:w="666" w:type="pct"/>
            <w:tcBorders>
              <w:top w:val="nil"/>
              <w:left w:val="nil"/>
              <w:bottom w:val="single" w:sz="4" w:space="0" w:color="auto"/>
              <w:right w:val="single" w:sz="4" w:space="0" w:color="auto"/>
            </w:tcBorders>
            <w:vAlign w:val="center"/>
            <w:hideMark/>
          </w:tcPr>
          <w:p w14:paraId="6264C421" w14:textId="77777777" w:rsidR="00C74282" w:rsidRPr="00EE0EF7" w:rsidRDefault="00C74282">
            <w:pPr>
              <w:jc w:val="right"/>
              <w:rPr>
                <w:color w:val="000000"/>
                <w:sz w:val="20"/>
                <w:szCs w:val="20"/>
                <w:lang w:val="fr-FR" w:eastAsia="en-CA"/>
              </w:rPr>
            </w:pPr>
            <w:r w:rsidRPr="00EE0EF7">
              <w:rPr>
                <w:color w:val="000000"/>
                <w:sz w:val="20"/>
                <w:szCs w:val="20"/>
                <w:lang w:val="fr-FR" w:eastAsia="fr"/>
              </w:rPr>
              <w:t>11,20</w:t>
            </w:r>
          </w:p>
        </w:tc>
        <w:tc>
          <w:tcPr>
            <w:tcW w:w="517" w:type="pct"/>
            <w:tcBorders>
              <w:top w:val="nil"/>
              <w:left w:val="nil"/>
              <w:bottom w:val="single" w:sz="4" w:space="0" w:color="auto"/>
              <w:right w:val="single" w:sz="4" w:space="0" w:color="auto"/>
            </w:tcBorders>
            <w:vAlign w:val="center"/>
            <w:hideMark/>
          </w:tcPr>
          <w:p w14:paraId="4EC511BC" w14:textId="77777777" w:rsidR="00C74282" w:rsidRPr="00EE0EF7" w:rsidRDefault="00C74282">
            <w:pPr>
              <w:jc w:val="right"/>
              <w:rPr>
                <w:color w:val="000000"/>
                <w:sz w:val="20"/>
                <w:szCs w:val="20"/>
                <w:lang w:val="fr-FR" w:eastAsia="en-CA"/>
              </w:rPr>
            </w:pPr>
            <w:r w:rsidRPr="00EE0EF7">
              <w:rPr>
                <w:color w:val="000000"/>
                <w:sz w:val="20"/>
                <w:szCs w:val="20"/>
                <w:lang w:val="fr-FR" w:eastAsia="fr"/>
              </w:rPr>
              <w:t>0,5</w:t>
            </w:r>
          </w:p>
        </w:tc>
        <w:tc>
          <w:tcPr>
            <w:tcW w:w="636" w:type="pct"/>
            <w:tcBorders>
              <w:top w:val="nil"/>
              <w:left w:val="nil"/>
              <w:bottom w:val="single" w:sz="4" w:space="0" w:color="auto"/>
              <w:right w:val="single" w:sz="4" w:space="0" w:color="auto"/>
            </w:tcBorders>
            <w:vAlign w:val="center"/>
            <w:hideMark/>
          </w:tcPr>
          <w:p w14:paraId="79463AC7" w14:textId="77777777" w:rsidR="00C74282" w:rsidRPr="00EE0EF7" w:rsidRDefault="00C74282">
            <w:pPr>
              <w:jc w:val="right"/>
              <w:rPr>
                <w:color w:val="000000"/>
                <w:sz w:val="20"/>
                <w:szCs w:val="20"/>
                <w:lang w:val="fr-FR" w:eastAsia="en-CA"/>
              </w:rPr>
            </w:pPr>
            <w:r w:rsidRPr="00EE0EF7">
              <w:rPr>
                <w:color w:val="000000"/>
                <w:sz w:val="20"/>
                <w:szCs w:val="20"/>
                <w:lang w:val="fr-FR" w:eastAsia="fr"/>
              </w:rPr>
              <w:t>0,62</w:t>
            </w:r>
          </w:p>
        </w:tc>
        <w:tc>
          <w:tcPr>
            <w:tcW w:w="477" w:type="pct"/>
            <w:tcBorders>
              <w:top w:val="nil"/>
              <w:left w:val="nil"/>
              <w:bottom w:val="single" w:sz="4" w:space="0" w:color="auto"/>
              <w:right w:val="single" w:sz="4" w:space="0" w:color="auto"/>
            </w:tcBorders>
            <w:vAlign w:val="center"/>
            <w:hideMark/>
          </w:tcPr>
          <w:p w14:paraId="1649CA33" w14:textId="77777777" w:rsidR="00C74282" w:rsidRPr="00EE0EF7" w:rsidRDefault="00C74282">
            <w:pPr>
              <w:jc w:val="right"/>
              <w:rPr>
                <w:color w:val="000000"/>
                <w:sz w:val="20"/>
                <w:szCs w:val="20"/>
                <w:lang w:val="fr-FR" w:eastAsia="en-CA"/>
              </w:rPr>
            </w:pPr>
            <w:r w:rsidRPr="00EE0EF7">
              <w:rPr>
                <w:color w:val="000000"/>
                <w:sz w:val="20"/>
                <w:szCs w:val="20"/>
                <w:lang w:val="fr-FR" w:eastAsia="fr"/>
              </w:rPr>
              <w:t>0,4</w:t>
            </w:r>
          </w:p>
        </w:tc>
      </w:tr>
      <w:tr w:rsidR="00C74282" w:rsidRPr="00EE0EF7" w14:paraId="35168D42" w14:textId="77777777" w:rsidTr="00C26B2E">
        <w:trPr>
          <w:trHeight w:val="59"/>
        </w:trPr>
        <w:tc>
          <w:tcPr>
            <w:tcW w:w="1730" w:type="pct"/>
            <w:tcBorders>
              <w:top w:val="nil"/>
              <w:left w:val="single" w:sz="4" w:space="0" w:color="auto"/>
              <w:bottom w:val="single" w:sz="4" w:space="0" w:color="auto"/>
              <w:right w:val="single" w:sz="4" w:space="0" w:color="auto"/>
            </w:tcBorders>
            <w:vAlign w:val="center"/>
            <w:hideMark/>
          </w:tcPr>
          <w:p w14:paraId="26C087F8" w14:textId="77777777" w:rsidR="00C74282" w:rsidRPr="00EE0EF7" w:rsidRDefault="00C74282" w:rsidP="00807FC8">
            <w:pPr>
              <w:widowControl w:val="0"/>
              <w:rPr>
                <w:color w:val="000000"/>
                <w:sz w:val="20"/>
                <w:szCs w:val="20"/>
                <w:lang w:val="fr-FR" w:eastAsia="en-CA"/>
              </w:rPr>
            </w:pPr>
            <w:r w:rsidRPr="00EE0EF7">
              <w:rPr>
                <w:color w:val="000000"/>
                <w:sz w:val="20"/>
                <w:szCs w:val="20"/>
                <w:lang w:val="fr-FR" w:eastAsia="fr"/>
              </w:rPr>
              <w:t>Mousses PU</w:t>
            </w:r>
          </w:p>
        </w:tc>
        <w:tc>
          <w:tcPr>
            <w:tcW w:w="974" w:type="pct"/>
            <w:tcBorders>
              <w:top w:val="nil"/>
              <w:left w:val="nil"/>
              <w:bottom w:val="single" w:sz="4" w:space="0" w:color="auto"/>
              <w:right w:val="single" w:sz="4" w:space="0" w:color="auto"/>
            </w:tcBorders>
            <w:vAlign w:val="center"/>
            <w:hideMark/>
          </w:tcPr>
          <w:p w14:paraId="432CF2E9" w14:textId="77777777" w:rsidR="00C74282" w:rsidRPr="00EE0EF7" w:rsidRDefault="00C74282">
            <w:pPr>
              <w:rPr>
                <w:color w:val="000000"/>
                <w:sz w:val="20"/>
                <w:szCs w:val="20"/>
                <w:lang w:val="fr-FR" w:eastAsia="en-CA"/>
              </w:rPr>
            </w:pPr>
            <w:r w:rsidRPr="00EE0EF7">
              <w:rPr>
                <w:color w:val="000000"/>
                <w:sz w:val="20"/>
                <w:szCs w:val="20"/>
                <w:lang w:val="fr-FR" w:eastAsia="fr"/>
              </w:rPr>
              <w:t>HCFC-141b*</w:t>
            </w:r>
          </w:p>
        </w:tc>
        <w:tc>
          <w:tcPr>
            <w:tcW w:w="666" w:type="pct"/>
            <w:tcBorders>
              <w:top w:val="nil"/>
              <w:left w:val="nil"/>
              <w:bottom w:val="single" w:sz="4" w:space="0" w:color="auto"/>
              <w:right w:val="single" w:sz="4" w:space="0" w:color="auto"/>
            </w:tcBorders>
            <w:vAlign w:val="center"/>
            <w:hideMark/>
          </w:tcPr>
          <w:p w14:paraId="2E6FA8DE" w14:textId="77777777" w:rsidR="00C74282" w:rsidRPr="00EE0EF7" w:rsidRDefault="00C74282">
            <w:pPr>
              <w:jc w:val="right"/>
              <w:rPr>
                <w:color w:val="000000"/>
                <w:sz w:val="20"/>
                <w:szCs w:val="20"/>
                <w:lang w:val="fr-FR" w:eastAsia="en-CA"/>
              </w:rPr>
            </w:pPr>
            <w:r w:rsidRPr="00EE0EF7">
              <w:rPr>
                <w:color w:val="000000"/>
                <w:sz w:val="20"/>
                <w:szCs w:val="20"/>
                <w:lang w:val="fr-FR" w:eastAsia="fr"/>
              </w:rPr>
              <w:t>440,38</w:t>
            </w:r>
          </w:p>
        </w:tc>
        <w:tc>
          <w:tcPr>
            <w:tcW w:w="517" w:type="pct"/>
            <w:tcBorders>
              <w:top w:val="nil"/>
              <w:left w:val="nil"/>
              <w:bottom w:val="single" w:sz="4" w:space="0" w:color="auto"/>
              <w:right w:val="single" w:sz="4" w:space="0" w:color="auto"/>
            </w:tcBorders>
            <w:vAlign w:val="center"/>
            <w:hideMark/>
          </w:tcPr>
          <w:p w14:paraId="0CAE066C" w14:textId="77777777" w:rsidR="00C74282" w:rsidRPr="00EE0EF7" w:rsidRDefault="00C74282">
            <w:pPr>
              <w:jc w:val="right"/>
              <w:rPr>
                <w:color w:val="000000"/>
                <w:sz w:val="20"/>
                <w:szCs w:val="20"/>
                <w:lang w:val="fr-FR" w:eastAsia="en-CA"/>
              </w:rPr>
            </w:pPr>
            <w:r w:rsidRPr="00EE0EF7">
              <w:rPr>
                <w:color w:val="000000"/>
                <w:sz w:val="20"/>
                <w:szCs w:val="20"/>
                <w:lang w:val="fr-FR" w:eastAsia="fr"/>
              </w:rPr>
              <w:t>19,4</w:t>
            </w:r>
          </w:p>
        </w:tc>
        <w:tc>
          <w:tcPr>
            <w:tcW w:w="636" w:type="pct"/>
            <w:tcBorders>
              <w:top w:val="nil"/>
              <w:left w:val="nil"/>
              <w:bottom w:val="single" w:sz="4" w:space="0" w:color="auto"/>
              <w:right w:val="single" w:sz="4" w:space="0" w:color="auto"/>
            </w:tcBorders>
            <w:vAlign w:val="center"/>
            <w:hideMark/>
          </w:tcPr>
          <w:p w14:paraId="0B391270" w14:textId="77777777" w:rsidR="00C74282" w:rsidRPr="00EE0EF7" w:rsidRDefault="00C74282">
            <w:pPr>
              <w:jc w:val="right"/>
              <w:rPr>
                <w:color w:val="000000"/>
                <w:sz w:val="20"/>
                <w:szCs w:val="20"/>
                <w:lang w:val="fr-FR" w:eastAsia="en-CA"/>
              </w:rPr>
            </w:pPr>
            <w:r w:rsidRPr="00EE0EF7">
              <w:rPr>
                <w:color w:val="000000"/>
                <w:sz w:val="20"/>
                <w:szCs w:val="20"/>
                <w:lang w:val="fr-FR" w:eastAsia="fr"/>
              </w:rPr>
              <w:t>48,44</w:t>
            </w:r>
          </w:p>
        </w:tc>
        <w:tc>
          <w:tcPr>
            <w:tcW w:w="477" w:type="pct"/>
            <w:tcBorders>
              <w:top w:val="nil"/>
              <w:left w:val="nil"/>
              <w:bottom w:val="single" w:sz="4" w:space="0" w:color="auto"/>
              <w:right w:val="single" w:sz="4" w:space="0" w:color="auto"/>
            </w:tcBorders>
            <w:vAlign w:val="center"/>
            <w:hideMark/>
          </w:tcPr>
          <w:p w14:paraId="278504D1" w14:textId="77777777" w:rsidR="00C74282" w:rsidRPr="00EE0EF7" w:rsidRDefault="00C74282">
            <w:pPr>
              <w:jc w:val="right"/>
              <w:rPr>
                <w:color w:val="000000"/>
                <w:sz w:val="20"/>
                <w:szCs w:val="20"/>
                <w:lang w:val="fr-FR" w:eastAsia="en-CA"/>
              </w:rPr>
            </w:pPr>
            <w:r w:rsidRPr="00EE0EF7">
              <w:rPr>
                <w:color w:val="000000"/>
                <w:sz w:val="20"/>
                <w:szCs w:val="20"/>
                <w:lang w:val="fr-FR" w:eastAsia="fr"/>
              </w:rPr>
              <w:t>31,5</w:t>
            </w:r>
          </w:p>
        </w:tc>
      </w:tr>
      <w:tr w:rsidR="00C74282" w:rsidRPr="00EE0EF7" w14:paraId="2CA67C3D" w14:textId="77777777" w:rsidTr="00C26B2E">
        <w:trPr>
          <w:trHeight w:val="137"/>
        </w:trPr>
        <w:tc>
          <w:tcPr>
            <w:tcW w:w="2704" w:type="pct"/>
            <w:gridSpan w:val="2"/>
            <w:tcBorders>
              <w:top w:val="single" w:sz="4" w:space="0" w:color="auto"/>
              <w:left w:val="single" w:sz="4" w:space="0" w:color="auto"/>
              <w:bottom w:val="single" w:sz="4" w:space="0" w:color="auto"/>
              <w:right w:val="single" w:sz="4" w:space="0" w:color="auto"/>
            </w:tcBorders>
            <w:vAlign w:val="center"/>
            <w:hideMark/>
          </w:tcPr>
          <w:p w14:paraId="3D35F3D2" w14:textId="77777777" w:rsidR="00C74282" w:rsidRPr="00EE0EF7" w:rsidRDefault="00C74282">
            <w:pPr>
              <w:jc w:val="left"/>
              <w:rPr>
                <w:b/>
                <w:bCs/>
                <w:color w:val="000000"/>
                <w:sz w:val="20"/>
                <w:szCs w:val="20"/>
                <w:lang w:val="fr-FR" w:eastAsia="en-CA"/>
              </w:rPr>
            </w:pPr>
            <w:r w:rsidRPr="00EE0EF7">
              <w:rPr>
                <w:b/>
                <w:bCs/>
                <w:color w:val="000000"/>
                <w:sz w:val="20"/>
                <w:szCs w:val="20"/>
                <w:lang w:val="fr-FR" w:eastAsia="fr"/>
              </w:rPr>
              <w:t>Sous-total dans le secteur manufacturier</w:t>
            </w:r>
          </w:p>
        </w:tc>
        <w:tc>
          <w:tcPr>
            <w:tcW w:w="666" w:type="pct"/>
            <w:tcBorders>
              <w:top w:val="nil"/>
              <w:left w:val="nil"/>
              <w:bottom w:val="single" w:sz="4" w:space="0" w:color="auto"/>
              <w:right w:val="single" w:sz="4" w:space="0" w:color="auto"/>
            </w:tcBorders>
            <w:vAlign w:val="center"/>
            <w:hideMark/>
          </w:tcPr>
          <w:p w14:paraId="59D786C5" w14:textId="77777777" w:rsidR="00C74282" w:rsidRPr="00EE0EF7" w:rsidRDefault="00C74282">
            <w:pPr>
              <w:jc w:val="right"/>
              <w:rPr>
                <w:b/>
                <w:bCs/>
                <w:color w:val="000000"/>
                <w:sz w:val="20"/>
                <w:szCs w:val="20"/>
                <w:lang w:val="fr-FR" w:eastAsia="en-CA"/>
              </w:rPr>
            </w:pPr>
            <w:r w:rsidRPr="00EE0EF7">
              <w:rPr>
                <w:b/>
                <w:bCs/>
                <w:color w:val="000000"/>
                <w:sz w:val="20"/>
                <w:szCs w:val="20"/>
                <w:lang w:val="fr-FR" w:eastAsia="fr"/>
              </w:rPr>
              <w:t>587,65</w:t>
            </w:r>
          </w:p>
        </w:tc>
        <w:tc>
          <w:tcPr>
            <w:tcW w:w="517" w:type="pct"/>
            <w:tcBorders>
              <w:top w:val="nil"/>
              <w:left w:val="nil"/>
              <w:bottom w:val="single" w:sz="4" w:space="0" w:color="auto"/>
              <w:right w:val="single" w:sz="4" w:space="0" w:color="auto"/>
            </w:tcBorders>
            <w:vAlign w:val="center"/>
            <w:hideMark/>
          </w:tcPr>
          <w:p w14:paraId="3C5A1858" w14:textId="77777777" w:rsidR="00C74282" w:rsidRPr="00EE0EF7" w:rsidRDefault="00C74282">
            <w:pPr>
              <w:jc w:val="right"/>
              <w:rPr>
                <w:b/>
                <w:bCs/>
                <w:color w:val="000000"/>
                <w:sz w:val="20"/>
                <w:szCs w:val="20"/>
                <w:lang w:val="fr-FR" w:eastAsia="en-CA"/>
              </w:rPr>
            </w:pPr>
            <w:r w:rsidRPr="00EE0EF7">
              <w:rPr>
                <w:b/>
                <w:bCs/>
                <w:color w:val="000000"/>
                <w:sz w:val="20"/>
                <w:szCs w:val="20"/>
                <w:lang w:val="fr-FR" w:eastAsia="fr"/>
              </w:rPr>
              <w:t>25,9</w:t>
            </w:r>
          </w:p>
        </w:tc>
        <w:tc>
          <w:tcPr>
            <w:tcW w:w="636" w:type="pct"/>
            <w:tcBorders>
              <w:top w:val="nil"/>
              <w:left w:val="nil"/>
              <w:bottom w:val="single" w:sz="4" w:space="0" w:color="auto"/>
              <w:right w:val="single" w:sz="4" w:space="0" w:color="auto"/>
            </w:tcBorders>
            <w:vAlign w:val="center"/>
            <w:hideMark/>
          </w:tcPr>
          <w:p w14:paraId="6764CD92" w14:textId="77777777" w:rsidR="00C74282" w:rsidRPr="00EE0EF7" w:rsidRDefault="00C74282">
            <w:pPr>
              <w:jc w:val="right"/>
              <w:rPr>
                <w:b/>
                <w:bCs/>
                <w:color w:val="000000"/>
                <w:sz w:val="20"/>
                <w:szCs w:val="20"/>
                <w:lang w:val="fr-FR" w:eastAsia="en-CA"/>
              </w:rPr>
            </w:pPr>
            <w:r w:rsidRPr="00EE0EF7">
              <w:rPr>
                <w:b/>
                <w:bCs/>
                <w:color w:val="000000"/>
                <w:sz w:val="20"/>
                <w:szCs w:val="20"/>
                <w:lang w:val="fr-FR" w:eastAsia="fr"/>
              </w:rPr>
              <w:t>56,48</w:t>
            </w:r>
          </w:p>
        </w:tc>
        <w:tc>
          <w:tcPr>
            <w:tcW w:w="477" w:type="pct"/>
            <w:tcBorders>
              <w:top w:val="nil"/>
              <w:left w:val="nil"/>
              <w:bottom w:val="single" w:sz="4" w:space="0" w:color="auto"/>
              <w:right w:val="single" w:sz="4" w:space="0" w:color="auto"/>
            </w:tcBorders>
            <w:vAlign w:val="center"/>
            <w:hideMark/>
          </w:tcPr>
          <w:p w14:paraId="212F3F92" w14:textId="77777777" w:rsidR="00C74282" w:rsidRPr="00EE0EF7" w:rsidRDefault="00C74282">
            <w:pPr>
              <w:jc w:val="right"/>
              <w:rPr>
                <w:b/>
                <w:bCs/>
                <w:color w:val="000000"/>
                <w:sz w:val="20"/>
                <w:szCs w:val="20"/>
                <w:lang w:val="fr-FR" w:eastAsia="en-CA"/>
              </w:rPr>
            </w:pPr>
            <w:r w:rsidRPr="00EE0EF7">
              <w:rPr>
                <w:b/>
                <w:bCs/>
                <w:color w:val="000000"/>
                <w:sz w:val="20"/>
                <w:szCs w:val="20"/>
                <w:lang w:val="fr-FR" w:eastAsia="fr"/>
              </w:rPr>
              <w:t>36,8</w:t>
            </w:r>
          </w:p>
        </w:tc>
      </w:tr>
      <w:tr w:rsidR="00C74282" w:rsidRPr="00EE0EF7" w14:paraId="2D94E6A1" w14:textId="77777777" w:rsidTr="00C26B2E">
        <w:trPr>
          <w:trHeight w:val="4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09F8EC7B" w14:textId="77777777" w:rsidR="00C74282" w:rsidRPr="00EE0EF7" w:rsidRDefault="00C74282">
            <w:pPr>
              <w:keepNext/>
              <w:jc w:val="left"/>
              <w:rPr>
                <w:b/>
                <w:bCs/>
                <w:color w:val="000000"/>
                <w:sz w:val="20"/>
                <w:szCs w:val="20"/>
                <w:lang w:val="fr-FR" w:eastAsia="en-CA"/>
              </w:rPr>
            </w:pPr>
            <w:r w:rsidRPr="00EE0EF7">
              <w:rPr>
                <w:b/>
                <w:bCs/>
                <w:color w:val="000000"/>
                <w:sz w:val="20"/>
                <w:szCs w:val="20"/>
                <w:lang w:val="fr-FR" w:eastAsia="fr"/>
              </w:rPr>
              <w:t>Entretien</w:t>
            </w:r>
          </w:p>
        </w:tc>
      </w:tr>
      <w:tr w:rsidR="00C74282" w:rsidRPr="00EE0EF7" w14:paraId="4F206214" w14:textId="77777777" w:rsidTr="00C26B2E">
        <w:trPr>
          <w:trHeight w:val="87"/>
        </w:trPr>
        <w:tc>
          <w:tcPr>
            <w:tcW w:w="1730" w:type="pct"/>
            <w:vMerge w:val="restart"/>
            <w:tcBorders>
              <w:top w:val="nil"/>
              <w:left w:val="single" w:sz="4" w:space="0" w:color="auto"/>
              <w:bottom w:val="single" w:sz="4" w:space="0" w:color="000000"/>
              <w:right w:val="single" w:sz="4" w:space="0" w:color="auto"/>
            </w:tcBorders>
            <w:vAlign w:val="center"/>
            <w:hideMark/>
          </w:tcPr>
          <w:p w14:paraId="44606DF4" w14:textId="77777777" w:rsidR="00C74282" w:rsidRPr="00EE0EF7" w:rsidRDefault="00C74282">
            <w:pPr>
              <w:keepNext/>
              <w:keepLines/>
              <w:jc w:val="left"/>
              <w:rPr>
                <w:color w:val="000000"/>
                <w:sz w:val="20"/>
                <w:szCs w:val="20"/>
                <w:lang w:val="fr-FR" w:eastAsia="en-CA"/>
              </w:rPr>
            </w:pPr>
            <w:r w:rsidRPr="00EE0EF7">
              <w:rPr>
                <w:color w:val="000000"/>
                <w:sz w:val="20"/>
                <w:szCs w:val="20"/>
                <w:lang w:val="fr-FR" w:eastAsia="fr"/>
              </w:rPr>
              <w:t>Secteur de l’entretien en réfrigération</w:t>
            </w:r>
          </w:p>
        </w:tc>
        <w:tc>
          <w:tcPr>
            <w:tcW w:w="974" w:type="pct"/>
            <w:tcBorders>
              <w:top w:val="nil"/>
              <w:left w:val="nil"/>
              <w:bottom w:val="single" w:sz="4" w:space="0" w:color="auto"/>
              <w:right w:val="single" w:sz="4" w:space="0" w:color="auto"/>
            </w:tcBorders>
            <w:vAlign w:val="center"/>
            <w:hideMark/>
          </w:tcPr>
          <w:p w14:paraId="4266FDB6" w14:textId="77777777" w:rsidR="00C74282" w:rsidRPr="00EE0EF7" w:rsidRDefault="00C74282">
            <w:pPr>
              <w:keepNext/>
              <w:keepLines/>
              <w:rPr>
                <w:color w:val="000000"/>
                <w:sz w:val="20"/>
                <w:szCs w:val="20"/>
                <w:lang w:val="fr-FR" w:eastAsia="en-CA"/>
              </w:rPr>
            </w:pPr>
            <w:r w:rsidRPr="00EE0EF7">
              <w:rPr>
                <w:color w:val="000000"/>
                <w:sz w:val="20"/>
                <w:szCs w:val="20"/>
                <w:lang w:val="fr-FR" w:eastAsia="fr"/>
              </w:rPr>
              <w:t>HCFC-22</w:t>
            </w:r>
          </w:p>
        </w:tc>
        <w:tc>
          <w:tcPr>
            <w:tcW w:w="666" w:type="pct"/>
            <w:tcBorders>
              <w:top w:val="nil"/>
              <w:left w:val="nil"/>
              <w:bottom w:val="single" w:sz="4" w:space="0" w:color="auto"/>
              <w:right w:val="single" w:sz="4" w:space="0" w:color="auto"/>
            </w:tcBorders>
            <w:vAlign w:val="center"/>
            <w:hideMark/>
          </w:tcPr>
          <w:p w14:paraId="04200151" w14:textId="77777777" w:rsidR="00C74282" w:rsidRPr="00EE0EF7" w:rsidRDefault="00C74282">
            <w:pPr>
              <w:jc w:val="right"/>
              <w:rPr>
                <w:color w:val="000000"/>
                <w:sz w:val="20"/>
                <w:szCs w:val="20"/>
                <w:lang w:val="fr-FR" w:eastAsia="en-CA"/>
              </w:rPr>
            </w:pPr>
            <w:r w:rsidRPr="00EE0EF7">
              <w:rPr>
                <w:color w:val="000000"/>
                <w:sz w:val="20"/>
                <w:szCs w:val="20"/>
                <w:lang w:val="fr-FR" w:eastAsia="fr"/>
              </w:rPr>
              <w:t>1 598,81</w:t>
            </w:r>
          </w:p>
        </w:tc>
        <w:tc>
          <w:tcPr>
            <w:tcW w:w="517" w:type="pct"/>
            <w:tcBorders>
              <w:top w:val="nil"/>
              <w:left w:val="nil"/>
              <w:bottom w:val="single" w:sz="4" w:space="0" w:color="auto"/>
              <w:right w:val="single" w:sz="4" w:space="0" w:color="auto"/>
            </w:tcBorders>
            <w:vAlign w:val="center"/>
            <w:hideMark/>
          </w:tcPr>
          <w:p w14:paraId="5ADF3DDE" w14:textId="77777777" w:rsidR="00C74282" w:rsidRPr="00EE0EF7" w:rsidRDefault="00C74282">
            <w:pPr>
              <w:jc w:val="right"/>
              <w:rPr>
                <w:color w:val="000000"/>
                <w:sz w:val="20"/>
                <w:szCs w:val="20"/>
                <w:lang w:val="fr-FR" w:eastAsia="en-CA"/>
              </w:rPr>
            </w:pPr>
            <w:r w:rsidRPr="00EE0EF7">
              <w:rPr>
                <w:color w:val="000000"/>
                <w:sz w:val="20"/>
                <w:szCs w:val="20"/>
                <w:lang w:val="fr-FR" w:eastAsia="fr"/>
              </w:rPr>
              <w:t>70,3</w:t>
            </w:r>
          </w:p>
        </w:tc>
        <w:tc>
          <w:tcPr>
            <w:tcW w:w="636" w:type="pct"/>
            <w:tcBorders>
              <w:top w:val="nil"/>
              <w:left w:val="nil"/>
              <w:bottom w:val="single" w:sz="4" w:space="0" w:color="auto"/>
              <w:right w:val="single" w:sz="4" w:space="0" w:color="auto"/>
            </w:tcBorders>
            <w:vAlign w:val="center"/>
            <w:hideMark/>
          </w:tcPr>
          <w:p w14:paraId="41554564" w14:textId="77777777" w:rsidR="00C74282" w:rsidRPr="00EE0EF7" w:rsidRDefault="00C74282">
            <w:pPr>
              <w:jc w:val="right"/>
              <w:rPr>
                <w:color w:val="000000"/>
                <w:sz w:val="20"/>
                <w:szCs w:val="20"/>
                <w:lang w:val="fr-FR" w:eastAsia="en-CA"/>
              </w:rPr>
            </w:pPr>
            <w:r w:rsidRPr="00EE0EF7">
              <w:rPr>
                <w:color w:val="000000"/>
                <w:sz w:val="20"/>
                <w:szCs w:val="20"/>
                <w:lang w:val="fr-FR" w:eastAsia="fr"/>
              </w:rPr>
              <w:t>87,93</w:t>
            </w:r>
          </w:p>
        </w:tc>
        <w:tc>
          <w:tcPr>
            <w:tcW w:w="477" w:type="pct"/>
            <w:tcBorders>
              <w:top w:val="nil"/>
              <w:left w:val="nil"/>
              <w:bottom w:val="single" w:sz="4" w:space="0" w:color="auto"/>
              <w:right w:val="single" w:sz="4" w:space="0" w:color="auto"/>
            </w:tcBorders>
            <w:vAlign w:val="center"/>
            <w:hideMark/>
          </w:tcPr>
          <w:p w14:paraId="7F53DBB3" w14:textId="77777777" w:rsidR="00C74282" w:rsidRPr="00EE0EF7" w:rsidRDefault="00C74282">
            <w:pPr>
              <w:jc w:val="right"/>
              <w:rPr>
                <w:color w:val="000000"/>
                <w:sz w:val="20"/>
                <w:szCs w:val="20"/>
                <w:lang w:val="fr-FR" w:eastAsia="en-CA"/>
              </w:rPr>
            </w:pPr>
            <w:r w:rsidRPr="00EE0EF7">
              <w:rPr>
                <w:color w:val="000000"/>
                <w:sz w:val="20"/>
                <w:szCs w:val="20"/>
                <w:lang w:val="fr-FR" w:eastAsia="fr"/>
              </w:rPr>
              <w:t>57,3</w:t>
            </w:r>
          </w:p>
        </w:tc>
      </w:tr>
      <w:tr w:rsidR="00C74282" w:rsidRPr="00EE0EF7" w14:paraId="4EAA27C2" w14:textId="77777777" w:rsidTr="00C26B2E">
        <w:trPr>
          <w:trHeight w:val="45"/>
        </w:trPr>
        <w:tc>
          <w:tcPr>
            <w:tcW w:w="1730" w:type="pct"/>
            <w:vMerge/>
            <w:tcBorders>
              <w:top w:val="nil"/>
              <w:left w:val="single" w:sz="4" w:space="0" w:color="auto"/>
              <w:bottom w:val="single" w:sz="4" w:space="0" w:color="000000"/>
              <w:right w:val="single" w:sz="4" w:space="0" w:color="auto"/>
            </w:tcBorders>
            <w:vAlign w:val="center"/>
            <w:hideMark/>
          </w:tcPr>
          <w:p w14:paraId="285F8371" w14:textId="77777777" w:rsidR="00C74282" w:rsidRPr="00EE0EF7" w:rsidRDefault="00C74282">
            <w:pPr>
              <w:keepNext/>
              <w:keepLines/>
              <w:jc w:val="left"/>
              <w:rPr>
                <w:color w:val="000000"/>
                <w:sz w:val="20"/>
                <w:szCs w:val="20"/>
                <w:lang w:val="fr-FR" w:eastAsia="en-CA"/>
              </w:rPr>
            </w:pPr>
          </w:p>
        </w:tc>
        <w:tc>
          <w:tcPr>
            <w:tcW w:w="974" w:type="pct"/>
            <w:tcBorders>
              <w:top w:val="nil"/>
              <w:left w:val="nil"/>
              <w:bottom w:val="single" w:sz="4" w:space="0" w:color="auto"/>
              <w:right w:val="single" w:sz="4" w:space="0" w:color="auto"/>
            </w:tcBorders>
            <w:vAlign w:val="center"/>
            <w:hideMark/>
          </w:tcPr>
          <w:p w14:paraId="73424849" w14:textId="77777777" w:rsidR="00C74282" w:rsidRPr="00EE0EF7" w:rsidRDefault="00C74282">
            <w:pPr>
              <w:keepNext/>
              <w:keepLines/>
              <w:rPr>
                <w:color w:val="000000"/>
                <w:sz w:val="20"/>
                <w:szCs w:val="20"/>
                <w:lang w:val="fr-FR" w:eastAsia="en-CA"/>
              </w:rPr>
            </w:pPr>
            <w:r w:rsidRPr="00EE0EF7">
              <w:rPr>
                <w:color w:val="000000"/>
                <w:sz w:val="20"/>
                <w:szCs w:val="20"/>
                <w:lang w:val="fr-FR" w:eastAsia="fr"/>
              </w:rPr>
              <w:t>HCFC-123</w:t>
            </w:r>
          </w:p>
        </w:tc>
        <w:tc>
          <w:tcPr>
            <w:tcW w:w="666" w:type="pct"/>
            <w:tcBorders>
              <w:top w:val="nil"/>
              <w:left w:val="nil"/>
              <w:bottom w:val="single" w:sz="4" w:space="0" w:color="auto"/>
              <w:right w:val="single" w:sz="4" w:space="0" w:color="auto"/>
            </w:tcBorders>
            <w:vAlign w:val="center"/>
            <w:hideMark/>
          </w:tcPr>
          <w:p w14:paraId="50DC083D" w14:textId="77777777" w:rsidR="00C74282" w:rsidRPr="00EE0EF7" w:rsidRDefault="00C74282">
            <w:pPr>
              <w:jc w:val="right"/>
              <w:rPr>
                <w:color w:val="000000"/>
                <w:sz w:val="20"/>
                <w:szCs w:val="20"/>
                <w:lang w:val="fr-FR" w:eastAsia="en-CA"/>
              </w:rPr>
            </w:pPr>
            <w:r w:rsidRPr="00EE0EF7">
              <w:rPr>
                <w:color w:val="000000"/>
                <w:sz w:val="20"/>
                <w:szCs w:val="20"/>
                <w:lang w:val="fr-FR" w:eastAsia="fr"/>
              </w:rPr>
              <w:t>3,73</w:t>
            </w:r>
          </w:p>
        </w:tc>
        <w:tc>
          <w:tcPr>
            <w:tcW w:w="517" w:type="pct"/>
            <w:tcBorders>
              <w:top w:val="nil"/>
              <w:left w:val="nil"/>
              <w:bottom w:val="single" w:sz="4" w:space="0" w:color="auto"/>
              <w:right w:val="single" w:sz="4" w:space="0" w:color="auto"/>
            </w:tcBorders>
            <w:vAlign w:val="center"/>
            <w:hideMark/>
          </w:tcPr>
          <w:p w14:paraId="2434DF68" w14:textId="77777777" w:rsidR="00C74282" w:rsidRPr="00EE0EF7" w:rsidRDefault="00C74282">
            <w:pPr>
              <w:jc w:val="right"/>
              <w:rPr>
                <w:color w:val="000000"/>
                <w:sz w:val="20"/>
                <w:szCs w:val="20"/>
                <w:lang w:val="fr-FR" w:eastAsia="en-CA"/>
              </w:rPr>
            </w:pPr>
            <w:r w:rsidRPr="00EE0EF7">
              <w:rPr>
                <w:color w:val="000000"/>
                <w:sz w:val="20"/>
                <w:szCs w:val="20"/>
                <w:lang w:val="fr-FR" w:eastAsia="fr"/>
              </w:rPr>
              <w:t>0,2</w:t>
            </w:r>
          </w:p>
        </w:tc>
        <w:tc>
          <w:tcPr>
            <w:tcW w:w="636" w:type="pct"/>
            <w:tcBorders>
              <w:top w:val="nil"/>
              <w:left w:val="nil"/>
              <w:bottom w:val="single" w:sz="4" w:space="0" w:color="auto"/>
              <w:right w:val="single" w:sz="4" w:space="0" w:color="auto"/>
            </w:tcBorders>
            <w:vAlign w:val="center"/>
            <w:hideMark/>
          </w:tcPr>
          <w:p w14:paraId="1B6B6B0E" w14:textId="77777777" w:rsidR="00C74282" w:rsidRPr="00EE0EF7" w:rsidRDefault="00C74282">
            <w:pPr>
              <w:jc w:val="right"/>
              <w:rPr>
                <w:color w:val="000000"/>
                <w:sz w:val="20"/>
                <w:szCs w:val="20"/>
                <w:lang w:val="fr-FR" w:eastAsia="en-CA"/>
              </w:rPr>
            </w:pPr>
            <w:r w:rsidRPr="00EE0EF7">
              <w:rPr>
                <w:color w:val="000000"/>
                <w:sz w:val="20"/>
                <w:szCs w:val="20"/>
                <w:lang w:val="fr-FR" w:eastAsia="fr"/>
              </w:rPr>
              <w:t>0,07</w:t>
            </w:r>
          </w:p>
        </w:tc>
        <w:tc>
          <w:tcPr>
            <w:tcW w:w="477" w:type="pct"/>
            <w:tcBorders>
              <w:top w:val="nil"/>
              <w:left w:val="nil"/>
              <w:bottom w:val="single" w:sz="4" w:space="0" w:color="auto"/>
              <w:right w:val="single" w:sz="4" w:space="0" w:color="auto"/>
            </w:tcBorders>
            <w:vAlign w:val="center"/>
            <w:hideMark/>
          </w:tcPr>
          <w:p w14:paraId="02F6BC80" w14:textId="77777777" w:rsidR="00C74282" w:rsidRPr="00EE0EF7" w:rsidRDefault="00C74282">
            <w:pPr>
              <w:jc w:val="right"/>
              <w:rPr>
                <w:color w:val="000000"/>
                <w:sz w:val="20"/>
                <w:szCs w:val="20"/>
                <w:lang w:val="fr-FR" w:eastAsia="en-CA"/>
              </w:rPr>
            </w:pPr>
            <w:r w:rsidRPr="00EE0EF7">
              <w:rPr>
                <w:color w:val="000000"/>
                <w:sz w:val="20"/>
                <w:szCs w:val="20"/>
                <w:lang w:val="fr-FR" w:eastAsia="fr"/>
              </w:rPr>
              <w:t>0,0</w:t>
            </w:r>
          </w:p>
        </w:tc>
      </w:tr>
      <w:tr w:rsidR="00C74282" w:rsidRPr="00EE0EF7" w14:paraId="5C441BF1" w14:textId="77777777" w:rsidTr="00C26B2E">
        <w:trPr>
          <w:trHeight w:val="79"/>
        </w:trPr>
        <w:tc>
          <w:tcPr>
            <w:tcW w:w="1730" w:type="pct"/>
            <w:vMerge/>
            <w:tcBorders>
              <w:top w:val="nil"/>
              <w:left w:val="single" w:sz="4" w:space="0" w:color="auto"/>
              <w:bottom w:val="single" w:sz="4" w:space="0" w:color="000000"/>
              <w:right w:val="single" w:sz="4" w:space="0" w:color="auto"/>
            </w:tcBorders>
            <w:vAlign w:val="center"/>
            <w:hideMark/>
          </w:tcPr>
          <w:p w14:paraId="70C40C3A" w14:textId="77777777" w:rsidR="00C74282" w:rsidRPr="00EE0EF7" w:rsidRDefault="00C74282">
            <w:pPr>
              <w:keepNext/>
              <w:keepLines/>
              <w:jc w:val="left"/>
              <w:rPr>
                <w:color w:val="000000"/>
                <w:sz w:val="20"/>
                <w:szCs w:val="20"/>
                <w:lang w:val="fr-FR" w:eastAsia="en-CA"/>
              </w:rPr>
            </w:pPr>
          </w:p>
        </w:tc>
        <w:tc>
          <w:tcPr>
            <w:tcW w:w="974" w:type="pct"/>
            <w:tcBorders>
              <w:top w:val="nil"/>
              <w:left w:val="nil"/>
              <w:bottom w:val="single" w:sz="4" w:space="0" w:color="auto"/>
              <w:right w:val="single" w:sz="4" w:space="0" w:color="auto"/>
            </w:tcBorders>
            <w:vAlign w:val="center"/>
            <w:hideMark/>
          </w:tcPr>
          <w:p w14:paraId="2C15FA3E" w14:textId="0FAB2951" w:rsidR="00C74282" w:rsidRPr="00EE0EF7" w:rsidRDefault="00C74282">
            <w:pPr>
              <w:keepNext/>
              <w:keepLines/>
              <w:rPr>
                <w:color w:val="000000"/>
                <w:sz w:val="20"/>
                <w:szCs w:val="20"/>
                <w:lang w:val="fr-FR" w:eastAsia="en-CA"/>
              </w:rPr>
            </w:pPr>
            <w:r w:rsidRPr="00EE0EF7">
              <w:rPr>
                <w:color w:val="000000"/>
                <w:sz w:val="20"/>
                <w:szCs w:val="20"/>
                <w:lang w:val="fr-FR" w:eastAsia="fr"/>
              </w:rPr>
              <w:t>HCFC-141b</w:t>
            </w:r>
          </w:p>
        </w:tc>
        <w:tc>
          <w:tcPr>
            <w:tcW w:w="666" w:type="pct"/>
            <w:tcBorders>
              <w:top w:val="nil"/>
              <w:left w:val="nil"/>
              <w:bottom w:val="single" w:sz="4" w:space="0" w:color="auto"/>
              <w:right w:val="single" w:sz="4" w:space="0" w:color="auto"/>
            </w:tcBorders>
            <w:vAlign w:val="center"/>
            <w:hideMark/>
          </w:tcPr>
          <w:p w14:paraId="622DE906" w14:textId="77777777" w:rsidR="00C74282" w:rsidRPr="00EE0EF7" w:rsidRDefault="00C74282">
            <w:pPr>
              <w:jc w:val="right"/>
              <w:rPr>
                <w:color w:val="000000"/>
                <w:sz w:val="20"/>
                <w:szCs w:val="20"/>
                <w:lang w:val="fr-FR" w:eastAsia="en-CA"/>
              </w:rPr>
            </w:pPr>
            <w:r w:rsidRPr="00EE0EF7">
              <w:rPr>
                <w:color w:val="000000"/>
                <w:sz w:val="20"/>
                <w:szCs w:val="20"/>
                <w:lang w:val="fr-FR" w:eastAsia="fr"/>
              </w:rPr>
              <w:t>81,38</w:t>
            </w:r>
          </w:p>
        </w:tc>
        <w:tc>
          <w:tcPr>
            <w:tcW w:w="517" w:type="pct"/>
            <w:tcBorders>
              <w:top w:val="nil"/>
              <w:left w:val="nil"/>
              <w:bottom w:val="single" w:sz="4" w:space="0" w:color="auto"/>
              <w:right w:val="single" w:sz="4" w:space="0" w:color="auto"/>
            </w:tcBorders>
            <w:vAlign w:val="center"/>
            <w:hideMark/>
          </w:tcPr>
          <w:p w14:paraId="1651767B" w14:textId="77777777" w:rsidR="00C74282" w:rsidRPr="00EE0EF7" w:rsidRDefault="00C74282">
            <w:pPr>
              <w:jc w:val="right"/>
              <w:rPr>
                <w:color w:val="000000"/>
                <w:sz w:val="20"/>
                <w:szCs w:val="20"/>
                <w:lang w:val="fr-FR" w:eastAsia="en-CA"/>
              </w:rPr>
            </w:pPr>
            <w:r w:rsidRPr="00EE0EF7">
              <w:rPr>
                <w:color w:val="000000"/>
                <w:sz w:val="20"/>
                <w:szCs w:val="20"/>
                <w:lang w:val="fr-FR" w:eastAsia="fr"/>
              </w:rPr>
              <w:t>3.6</w:t>
            </w:r>
          </w:p>
        </w:tc>
        <w:tc>
          <w:tcPr>
            <w:tcW w:w="636" w:type="pct"/>
            <w:tcBorders>
              <w:top w:val="nil"/>
              <w:left w:val="nil"/>
              <w:bottom w:val="single" w:sz="4" w:space="0" w:color="auto"/>
              <w:right w:val="single" w:sz="4" w:space="0" w:color="auto"/>
            </w:tcBorders>
            <w:vAlign w:val="center"/>
            <w:hideMark/>
          </w:tcPr>
          <w:p w14:paraId="4E3B045B" w14:textId="77777777" w:rsidR="00C74282" w:rsidRPr="00EE0EF7" w:rsidRDefault="00C74282">
            <w:pPr>
              <w:jc w:val="right"/>
              <w:rPr>
                <w:color w:val="000000"/>
                <w:sz w:val="20"/>
                <w:szCs w:val="20"/>
                <w:lang w:val="fr-FR" w:eastAsia="en-CA"/>
              </w:rPr>
            </w:pPr>
            <w:r w:rsidRPr="00EE0EF7">
              <w:rPr>
                <w:color w:val="000000"/>
                <w:sz w:val="20"/>
                <w:szCs w:val="20"/>
                <w:lang w:val="fr-FR" w:eastAsia="fr"/>
              </w:rPr>
              <w:t>8,95</w:t>
            </w:r>
          </w:p>
        </w:tc>
        <w:tc>
          <w:tcPr>
            <w:tcW w:w="477" w:type="pct"/>
            <w:tcBorders>
              <w:top w:val="nil"/>
              <w:left w:val="nil"/>
              <w:bottom w:val="single" w:sz="4" w:space="0" w:color="auto"/>
              <w:right w:val="single" w:sz="4" w:space="0" w:color="auto"/>
            </w:tcBorders>
            <w:vAlign w:val="center"/>
            <w:hideMark/>
          </w:tcPr>
          <w:p w14:paraId="4922EF53" w14:textId="77777777" w:rsidR="00C74282" w:rsidRPr="00EE0EF7" w:rsidRDefault="00C74282">
            <w:pPr>
              <w:jc w:val="right"/>
              <w:rPr>
                <w:color w:val="000000"/>
                <w:sz w:val="20"/>
                <w:szCs w:val="20"/>
                <w:lang w:val="fr-FR" w:eastAsia="en-CA"/>
              </w:rPr>
            </w:pPr>
            <w:r w:rsidRPr="00EE0EF7">
              <w:rPr>
                <w:color w:val="000000"/>
                <w:sz w:val="20"/>
                <w:szCs w:val="20"/>
                <w:lang w:val="fr-FR" w:eastAsia="fr"/>
              </w:rPr>
              <w:t>5,8</w:t>
            </w:r>
          </w:p>
        </w:tc>
      </w:tr>
      <w:tr w:rsidR="00C74282" w:rsidRPr="00EE0EF7" w14:paraId="70E6C514" w14:textId="77777777" w:rsidTr="00C26B2E">
        <w:trPr>
          <w:trHeight w:val="79"/>
        </w:trPr>
        <w:tc>
          <w:tcPr>
            <w:tcW w:w="1730" w:type="pct"/>
            <w:vMerge/>
            <w:tcBorders>
              <w:top w:val="nil"/>
              <w:left w:val="single" w:sz="4" w:space="0" w:color="auto"/>
              <w:bottom w:val="single" w:sz="4" w:space="0" w:color="000000"/>
              <w:right w:val="single" w:sz="4" w:space="0" w:color="auto"/>
            </w:tcBorders>
            <w:vAlign w:val="center"/>
            <w:hideMark/>
          </w:tcPr>
          <w:p w14:paraId="3BF0CFC2" w14:textId="77777777" w:rsidR="00C74282" w:rsidRPr="00EE0EF7" w:rsidRDefault="00C74282">
            <w:pPr>
              <w:keepNext/>
              <w:keepLines/>
              <w:jc w:val="left"/>
              <w:rPr>
                <w:color w:val="000000"/>
                <w:sz w:val="20"/>
                <w:szCs w:val="20"/>
                <w:lang w:val="fr-FR" w:eastAsia="en-CA"/>
              </w:rPr>
            </w:pPr>
          </w:p>
        </w:tc>
        <w:tc>
          <w:tcPr>
            <w:tcW w:w="974" w:type="pct"/>
            <w:tcBorders>
              <w:top w:val="nil"/>
              <w:left w:val="nil"/>
              <w:bottom w:val="single" w:sz="4" w:space="0" w:color="auto"/>
              <w:right w:val="single" w:sz="4" w:space="0" w:color="auto"/>
            </w:tcBorders>
            <w:vAlign w:val="center"/>
            <w:hideMark/>
          </w:tcPr>
          <w:p w14:paraId="205F0BD6" w14:textId="345CB5C2" w:rsidR="00C74282" w:rsidRPr="00EE0EF7" w:rsidRDefault="00C74282">
            <w:pPr>
              <w:keepNext/>
              <w:keepLines/>
              <w:rPr>
                <w:color w:val="000000"/>
                <w:sz w:val="20"/>
                <w:szCs w:val="20"/>
                <w:lang w:val="fr-FR" w:eastAsia="en-CA"/>
              </w:rPr>
            </w:pPr>
            <w:r w:rsidRPr="00EE0EF7">
              <w:rPr>
                <w:color w:val="000000"/>
                <w:sz w:val="20"/>
                <w:szCs w:val="20"/>
                <w:lang w:val="fr-FR" w:eastAsia="fr"/>
              </w:rPr>
              <w:t>HCFC-142b</w:t>
            </w:r>
          </w:p>
        </w:tc>
        <w:tc>
          <w:tcPr>
            <w:tcW w:w="666" w:type="pct"/>
            <w:tcBorders>
              <w:top w:val="nil"/>
              <w:left w:val="nil"/>
              <w:bottom w:val="single" w:sz="4" w:space="0" w:color="auto"/>
              <w:right w:val="single" w:sz="4" w:space="0" w:color="auto"/>
            </w:tcBorders>
            <w:vAlign w:val="center"/>
            <w:hideMark/>
          </w:tcPr>
          <w:p w14:paraId="7955D9B8" w14:textId="77777777" w:rsidR="00C74282" w:rsidRPr="00EE0EF7" w:rsidRDefault="00C74282">
            <w:pPr>
              <w:jc w:val="right"/>
              <w:rPr>
                <w:color w:val="000000"/>
                <w:sz w:val="20"/>
                <w:szCs w:val="20"/>
                <w:lang w:val="fr-FR" w:eastAsia="en-CA"/>
              </w:rPr>
            </w:pPr>
            <w:r w:rsidRPr="00EE0EF7">
              <w:rPr>
                <w:color w:val="000000"/>
                <w:sz w:val="20"/>
                <w:szCs w:val="20"/>
                <w:lang w:val="fr-FR" w:eastAsia="fr"/>
              </w:rPr>
              <w:t>1,59</w:t>
            </w:r>
          </w:p>
        </w:tc>
        <w:tc>
          <w:tcPr>
            <w:tcW w:w="517" w:type="pct"/>
            <w:tcBorders>
              <w:top w:val="nil"/>
              <w:left w:val="nil"/>
              <w:bottom w:val="single" w:sz="4" w:space="0" w:color="auto"/>
              <w:right w:val="single" w:sz="4" w:space="0" w:color="auto"/>
            </w:tcBorders>
            <w:vAlign w:val="center"/>
            <w:hideMark/>
          </w:tcPr>
          <w:p w14:paraId="6D8E64E6" w14:textId="77777777" w:rsidR="00C74282" w:rsidRPr="00EE0EF7" w:rsidRDefault="00C74282">
            <w:pPr>
              <w:jc w:val="right"/>
              <w:rPr>
                <w:color w:val="000000"/>
                <w:sz w:val="20"/>
                <w:szCs w:val="20"/>
                <w:lang w:val="fr-FR" w:eastAsia="en-CA"/>
              </w:rPr>
            </w:pPr>
            <w:r w:rsidRPr="00EE0EF7">
              <w:rPr>
                <w:color w:val="000000"/>
                <w:sz w:val="20"/>
                <w:szCs w:val="20"/>
                <w:lang w:val="fr-FR" w:eastAsia="fr"/>
              </w:rPr>
              <w:t>0,1</w:t>
            </w:r>
          </w:p>
        </w:tc>
        <w:tc>
          <w:tcPr>
            <w:tcW w:w="636" w:type="pct"/>
            <w:tcBorders>
              <w:top w:val="nil"/>
              <w:left w:val="nil"/>
              <w:bottom w:val="single" w:sz="4" w:space="0" w:color="auto"/>
              <w:right w:val="single" w:sz="4" w:space="0" w:color="auto"/>
            </w:tcBorders>
            <w:vAlign w:val="center"/>
            <w:hideMark/>
          </w:tcPr>
          <w:p w14:paraId="0AC1AB8B" w14:textId="77777777" w:rsidR="00C74282" w:rsidRPr="00EE0EF7" w:rsidRDefault="00C74282">
            <w:pPr>
              <w:jc w:val="right"/>
              <w:rPr>
                <w:color w:val="000000"/>
                <w:sz w:val="20"/>
                <w:szCs w:val="20"/>
                <w:lang w:val="fr-FR" w:eastAsia="en-CA"/>
              </w:rPr>
            </w:pPr>
            <w:r w:rsidRPr="00EE0EF7">
              <w:rPr>
                <w:color w:val="000000"/>
                <w:sz w:val="20"/>
                <w:szCs w:val="20"/>
                <w:lang w:val="fr-FR" w:eastAsia="fr"/>
              </w:rPr>
              <w:t>0,10</w:t>
            </w:r>
          </w:p>
        </w:tc>
        <w:tc>
          <w:tcPr>
            <w:tcW w:w="477" w:type="pct"/>
            <w:tcBorders>
              <w:top w:val="nil"/>
              <w:left w:val="nil"/>
              <w:bottom w:val="single" w:sz="4" w:space="0" w:color="auto"/>
              <w:right w:val="single" w:sz="4" w:space="0" w:color="auto"/>
            </w:tcBorders>
            <w:vAlign w:val="center"/>
            <w:hideMark/>
          </w:tcPr>
          <w:p w14:paraId="42DE9AD5" w14:textId="77777777" w:rsidR="00C74282" w:rsidRPr="00EE0EF7" w:rsidRDefault="00C74282">
            <w:pPr>
              <w:jc w:val="right"/>
              <w:rPr>
                <w:color w:val="000000"/>
                <w:sz w:val="20"/>
                <w:szCs w:val="20"/>
                <w:lang w:val="fr-FR" w:eastAsia="en-CA"/>
              </w:rPr>
            </w:pPr>
            <w:r w:rsidRPr="00EE0EF7">
              <w:rPr>
                <w:color w:val="000000"/>
                <w:sz w:val="20"/>
                <w:szCs w:val="20"/>
                <w:lang w:val="fr-FR" w:eastAsia="fr"/>
              </w:rPr>
              <w:t>0,1</w:t>
            </w:r>
          </w:p>
        </w:tc>
      </w:tr>
      <w:tr w:rsidR="00C74282" w:rsidRPr="00EE0EF7" w14:paraId="6FF020A8" w14:textId="77777777" w:rsidTr="00C26B2E">
        <w:trPr>
          <w:trHeight w:val="139"/>
        </w:trPr>
        <w:tc>
          <w:tcPr>
            <w:tcW w:w="2704" w:type="pct"/>
            <w:gridSpan w:val="2"/>
            <w:tcBorders>
              <w:top w:val="single" w:sz="4" w:space="0" w:color="auto"/>
              <w:left w:val="single" w:sz="4" w:space="0" w:color="auto"/>
              <w:bottom w:val="single" w:sz="4" w:space="0" w:color="auto"/>
              <w:right w:val="single" w:sz="4" w:space="0" w:color="auto"/>
            </w:tcBorders>
            <w:vAlign w:val="center"/>
            <w:hideMark/>
          </w:tcPr>
          <w:p w14:paraId="60237917" w14:textId="77777777" w:rsidR="00C74282" w:rsidRPr="00EE0EF7" w:rsidRDefault="00C74282">
            <w:pPr>
              <w:keepNext/>
              <w:keepLines/>
              <w:rPr>
                <w:b/>
                <w:bCs/>
                <w:color w:val="000000"/>
                <w:sz w:val="20"/>
                <w:szCs w:val="20"/>
                <w:lang w:val="fr-FR" w:eastAsia="en-CA"/>
              </w:rPr>
            </w:pPr>
            <w:r w:rsidRPr="00EE0EF7">
              <w:rPr>
                <w:b/>
                <w:bCs/>
                <w:color w:val="000000"/>
                <w:sz w:val="20"/>
                <w:szCs w:val="20"/>
                <w:lang w:val="fr-FR" w:eastAsia="fr"/>
              </w:rPr>
              <w:t>Total partiel: entretien</w:t>
            </w:r>
          </w:p>
        </w:tc>
        <w:tc>
          <w:tcPr>
            <w:tcW w:w="666" w:type="pct"/>
            <w:tcBorders>
              <w:top w:val="nil"/>
              <w:left w:val="nil"/>
              <w:bottom w:val="single" w:sz="4" w:space="0" w:color="auto"/>
              <w:right w:val="single" w:sz="4" w:space="0" w:color="auto"/>
            </w:tcBorders>
            <w:vAlign w:val="center"/>
            <w:hideMark/>
          </w:tcPr>
          <w:p w14:paraId="4BE945B1" w14:textId="77777777" w:rsidR="00C74282" w:rsidRPr="00EE0EF7" w:rsidRDefault="00C74282">
            <w:pPr>
              <w:jc w:val="right"/>
              <w:rPr>
                <w:b/>
                <w:bCs/>
                <w:color w:val="000000"/>
                <w:sz w:val="20"/>
                <w:szCs w:val="20"/>
                <w:lang w:val="fr-FR" w:eastAsia="en-CA"/>
              </w:rPr>
            </w:pPr>
            <w:r w:rsidRPr="00EE0EF7">
              <w:rPr>
                <w:b/>
                <w:bCs/>
                <w:color w:val="000000"/>
                <w:sz w:val="20"/>
                <w:szCs w:val="20"/>
                <w:lang w:val="fr-FR" w:eastAsia="fr"/>
              </w:rPr>
              <w:t>1 685,51</w:t>
            </w:r>
          </w:p>
        </w:tc>
        <w:tc>
          <w:tcPr>
            <w:tcW w:w="517" w:type="pct"/>
            <w:tcBorders>
              <w:top w:val="nil"/>
              <w:left w:val="nil"/>
              <w:bottom w:val="single" w:sz="4" w:space="0" w:color="auto"/>
              <w:right w:val="single" w:sz="4" w:space="0" w:color="auto"/>
            </w:tcBorders>
            <w:vAlign w:val="center"/>
            <w:hideMark/>
          </w:tcPr>
          <w:p w14:paraId="4F236513" w14:textId="77777777" w:rsidR="00C74282" w:rsidRPr="00EE0EF7" w:rsidRDefault="00C74282">
            <w:pPr>
              <w:jc w:val="right"/>
              <w:rPr>
                <w:b/>
                <w:bCs/>
                <w:color w:val="000000"/>
                <w:sz w:val="20"/>
                <w:szCs w:val="20"/>
                <w:lang w:val="fr-FR" w:eastAsia="en-CA"/>
              </w:rPr>
            </w:pPr>
            <w:r w:rsidRPr="00EE0EF7">
              <w:rPr>
                <w:b/>
                <w:bCs/>
                <w:color w:val="000000"/>
                <w:sz w:val="20"/>
                <w:szCs w:val="20"/>
                <w:lang w:val="fr-FR" w:eastAsia="fr"/>
              </w:rPr>
              <w:t>74,1</w:t>
            </w:r>
          </w:p>
        </w:tc>
        <w:tc>
          <w:tcPr>
            <w:tcW w:w="636" w:type="pct"/>
            <w:tcBorders>
              <w:top w:val="nil"/>
              <w:left w:val="nil"/>
              <w:bottom w:val="single" w:sz="4" w:space="0" w:color="auto"/>
              <w:right w:val="single" w:sz="4" w:space="0" w:color="auto"/>
            </w:tcBorders>
            <w:vAlign w:val="center"/>
            <w:hideMark/>
          </w:tcPr>
          <w:p w14:paraId="1BE97893" w14:textId="77777777" w:rsidR="00C74282" w:rsidRPr="00EE0EF7" w:rsidRDefault="00C74282">
            <w:pPr>
              <w:jc w:val="right"/>
              <w:rPr>
                <w:b/>
                <w:bCs/>
                <w:color w:val="000000"/>
                <w:sz w:val="20"/>
                <w:szCs w:val="20"/>
                <w:lang w:val="fr-FR" w:eastAsia="en-CA"/>
              </w:rPr>
            </w:pPr>
            <w:r w:rsidRPr="00EE0EF7">
              <w:rPr>
                <w:b/>
                <w:bCs/>
                <w:color w:val="000000"/>
                <w:sz w:val="20"/>
                <w:szCs w:val="20"/>
                <w:lang w:val="fr-FR" w:eastAsia="fr"/>
              </w:rPr>
              <w:t>97,06</w:t>
            </w:r>
          </w:p>
        </w:tc>
        <w:tc>
          <w:tcPr>
            <w:tcW w:w="477" w:type="pct"/>
            <w:tcBorders>
              <w:top w:val="nil"/>
              <w:left w:val="nil"/>
              <w:bottom w:val="single" w:sz="4" w:space="0" w:color="auto"/>
              <w:right w:val="single" w:sz="4" w:space="0" w:color="auto"/>
            </w:tcBorders>
            <w:vAlign w:val="center"/>
            <w:hideMark/>
          </w:tcPr>
          <w:p w14:paraId="66C35DBE" w14:textId="77777777" w:rsidR="00C74282" w:rsidRPr="00EE0EF7" w:rsidRDefault="00C74282">
            <w:pPr>
              <w:jc w:val="right"/>
              <w:rPr>
                <w:b/>
                <w:bCs/>
                <w:color w:val="000000"/>
                <w:sz w:val="20"/>
                <w:szCs w:val="20"/>
                <w:lang w:val="fr-FR" w:eastAsia="en-CA"/>
              </w:rPr>
            </w:pPr>
            <w:r w:rsidRPr="00EE0EF7">
              <w:rPr>
                <w:b/>
                <w:bCs/>
                <w:color w:val="000000"/>
                <w:sz w:val="20"/>
                <w:szCs w:val="20"/>
                <w:lang w:val="fr-FR" w:eastAsia="fr"/>
              </w:rPr>
              <w:t>63,2</w:t>
            </w:r>
          </w:p>
        </w:tc>
      </w:tr>
      <w:tr w:rsidR="00C74282" w:rsidRPr="00EE0EF7" w14:paraId="192C0974" w14:textId="77777777" w:rsidTr="00C26B2E">
        <w:trPr>
          <w:trHeight w:val="45"/>
        </w:trPr>
        <w:tc>
          <w:tcPr>
            <w:tcW w:w="2704" w:type="pct"/>
            <w:gridSpan w:val="2"/>
            <w:tcBorders>
              <w:top w:val="single" w:sz="4" w:space="0" w:color="auto"/>
              <w:left w:val="single" w:sz="4" w:space="0" w:color="auto"/>
              <w:bottom w:val="single" w:sz="4" w:space="0" w:color="auto"/>
              <w:right w:val="single" w:sz="4" w:space="0" w:color="auto"/>
            </w:tcBorders>
            <w:vAlign w:val="center"/>
            <w:hideMark/>
          </w:tcPr>
          <w:p w14:paraId="6A21B6AE" w14:textId="77777777" w:rsidR="00C74282" w:rsidRPr="00EE0EF7" w:rsidRDefault="00C74282">
            <w:pPr>
              <w:keepNext/>
              <w:keepLines/>
              <w:jc w:val="left"/>
              <w:rPr>
                <w:b/>
                <w:bCs/>
                <w:color w:val="000000"/>
                <w:sz w:val="20"/>
                <w:szCs w:val="20"/>
                <w:lang w:val="fr-FR" w:eastAsia="en-CA"/>
              </w:rPr>
            </w:pPr>
            <w:r w:rsidRPr="00EE0EF7">
              <w:rPr>
                <w:b/>
                <w:bCs/>
                <w:color w:val="000000"/>
                <w:sz w:val="20"/>
                <w:szCs w:val="20"/>
                <w:lang w:val="fr-FR" w:eastAsia="fr"/>
              </w:rPr>
              <w:t>Total</w:t>
            </w:r>
          </w:p>
        </w:tc>
        <w:tc>
          <w:tcPr>
            <w:tcW w:w="666" w:type="pct"/>
            <w:tcBorders>
              <w:top w:val="nil"/>
              <w:left w:val="nil"/>
              <w:bottom w:val="single" w:sz="4" w:space="0" w:color="auto"/>
              <w:right w:val="single" w:sz="4" w:space="0" w:color="auto"/>
            </w:tcBorders>
            <w:vAlign w:val="center"/>
            <w:hideMark/>
          </w:tcPr>
          <w:p w14:paraId="2A6A0F8C" w14:textId="77777777" w:rsidR="00C74282" w:rsidRPr="00EE0EF7" w:rsidRDefault="00C74282">
            <w:pPr>
              <w:jc w:val="right"/>
              <w:rPr>
                <w:b/>
                <w:bCs/>
                <w:color w:val="000000"/>
                <w:sz w:val="20"/>
                <w:szCs w:val="20"/>
                <w:lang w:val="fr-FR" w:eastAsia="en-CA"/>
              </w:rPr>
            </w:pPr>
            <w:r w:rsidRPr="00EE0EF7">
              <w:rPr>
                <w:b/>
                <w:bCs/>
                <w:color w:val="000000"/>
                <w:sz w:val="20"/>
                <w:szCs w:val="20"/>
                <w:lang w:val="fr-FR" w:eastAsia="fr"/>
              </w:rPr>
              <w:t>2 273,16</w:t>
            </w:r>
          </w:p>
        </w:tc>
        <w:tc>
          <w:tcPr>
            <w:tcW w:w="517" w:type="pct"/>
            <w:tcBorders>
              <w:top w:val="nil"/>
              <w:left w:val="nil"/>
              <w:bottom w:val="single" w:sz="4" w:space="0" w:color="auto"/>
              <w:right w:val="single" w:sz="4" w:space="0" w:color="auto"/>
            </w:tcBorders>
            <w:vAlign w:val="center"/>
            <w:hideMark/>
          </w:tcPr>
          <w:p w14:paraId="41E33BA3" w14:textId="77777777" w:rsidR="00C74282" w:rsidRPr="00EE0EF7" w:rsidRDefault="00C74282">
            <w:pPr>
              <w:jc w:val="right"/>
              <w:rPr>
                <w:b/>
                <w:bCs/>
                <w:color w:val="000000"/>
                <w:sz w:val="20"/>
                <w:szCs w:val="20"/>
                <w:lang w:val="fr-FR" w:eastAsia="en-CA"/>
              </w:rPr>
            </w:pPr>
            <w:r w:rsidRPr="00EE0EF7">
              <w:rPr>
                <w:b/>
                <w:bCs/>
                <w:color w:val="000000"/>
                <w:sz w:val="20"/>
                <w:szCs w:val="20"/>
                <w:lang w:val="fr-FR" w:eastAsia="fr"/>
              </w:rPr>
              <w:t>100,0</w:t>
            </w:r>
          </w:p>
        </w:tc>
        <w:tc>
          <w:tcPr>
            <w:tcW w:w="636" w:type="pct"/>
            <w:tcBorders>
              <w:top w:val="nil"/>
              <w:left w:val="nil"/>
              <w:bottom w:val="single" w:sz="4" w:space="0" w:color="auto"/>
              <w:right w:val="single" w:sz="4" w:space="0" w:color="auto"/>
            </w:tcBorders>
            <w:vAlign w:val="center"/>
            <w:hideMark/>
          </w:tcPr>
          <w:p w14:paraId="4573A485" w14:textId="77777777" w:rsidR="00C74282" w:rsidRPr="00EE0EF7" w:rsidRDefault="00C74282">
            <w:pPr>
              <w:jc w:val="right"/>
              <w:rPr>
                <w:b/>
                <w:bCs/>
                <w:color w:val="000000"/>
                <w:sz w:val="20"/>
                <w:szCs w:val="20"/>
                <w:lang w:val="fr-FR" w:eastAsia="en-CA"/>
              </w:rPr>
            </w:pPr>
            <w:r w:rsidRPr="00EE0EF7">
              <w:rPr>
                <w:b/>
                <w:bCs/>
                <w:color w:val="000000"/>
                <w:sz w:val="20"/>
                <w:szCs w:val="20"/>
                <w:lang w:val="fr-FR" w:eastAsia="fr"/>
              </w:rPr>
              <w:t>153,54</w:t>
            </w:r>
          </w:p>
        </w:tc>
        <w:tc>
          <w:tcPr>
            <w:tcW w:w="477" w:type="pct"/>
            <w:tcBorders>
              <w:top w:val="nil"/>
              <w:left w:val="nil"/>
              <w:bottom w:val="single" w:sz="4" w:space="0" w:color="auto"/>
              <w:right w:val="single" w:sz="4" w:space="0" w:color="auto"/>
            </w:tcBorders>
            <w:vAlign w:val="center"/>
            <w:hideMark/>
          </w:tcPr>
          <w:p w14:paraId="007B6706" w14:textId="77777777" w:rsidR="00C74282" w:rsidRPr="00EE0EF7" w:rsidRDefault="00C74282">
            <w:pPr>
              <w:jc w:val="right"/>
              <w:rPr>
                <w:b/>
                <w:bCs/>
                <w:color w:val="000000"/>
                <w:sz w:val="20"/>
                <w:szCs w:val="20"/>
                <w:lang w:val="fr-FR" w:eastAsia="en-CA"/>
              </w:rPr>
            </w:pPr>
            <w:r w:rsidRPr="00EE0EF7">
              <w:rPr>
                <w:b/>
                <w:bCs/>
                <w:color w:val="000000"/>
                <w:sz w:val="20"/>
                <w:szCs w:val="20"/>
                <w:lang w:val="fr-FR" w:eastAsia="fr"/>
              </w:rPr>
              <w:t>100,0</w:t>
            </w:r>
          </w:p>
        </w:tc>
      </w:tr>
    </w:tbl>
    <w:p w14:paraId="49736A6D" w14:textId="77777777" w:rsidR="00C74282" w:rsidRPr="00EE0EF7" w:rsidRDefault="00C74282" w:rsidP="00C74282">
      <w:pPr>
        <w:widowControl w:val="0"/>
        <w:spacing w:after="240"/>
        <w:rPr>
          <w:sz w:val="18"/>
          <w:szCs w:val="18"/>
          <w:lang w:val="fr-FR"/>
        </w:rPr>
      </w:pPr>
      <w:r w:rsidRPr="00EE0EF7">
        <w:rPr>
          <w:sz w:val="18"/>
          <w:szCs w:val="18"/>
          <w:lang w:val="fr-FR"/>
        </w:rPr>
        <w:t>*Y compris 389,89 tonnes (42,89 tonnes PAO) de HCFC-141b pur et 50,49 tonnes (5,55 tonnes PAO) de HCFC-141b contenu dans les polyols prémélangés importés</w:t>
      </w:r>
    </w:p>
    <w:p w14:paraId="6BC6C148" w14:textId="77777777" w:rsidR="00C74282" w:rsidRPr="00EE0EF7" w:rsidRDefault="00C74282" w:rsidP="00C74282">
      <w:pPr>
        <w:spacing w:before="240" w:after="240"/>
        <w:rPr>
          <w:i/>
          <w:iCs/>
          <w:lang w:val="fr-FR"/>
        </w:rPr>
      </w:pPr>
      <w:r w:rsidRPr="00EE0EF7">
        <w:rPr>
          <w:i/>
          <w:iCs/>
          <w:lang w:val="fr-FR"/>
        </w:rPr>
        <w:t>Secteur des aérosols</w:t>
      </w:r>
    </w:p>
    <w:p w14:paraId="42F1DC0B" w14:textId="57C1C7E7" w:rsidR="00C74282" w:rsidRPr="00EE0EF7" w:rsidRDefault="00C74282" w:rsidP="00C74282">
      <w:pPr>
        <w:pStyle w:val="Heading1"/>
        <w:rPr>
          <w:lang w:val="fr-FR"/>
        </w:rPr>
      </w:pPr>
      <w:r w:rsidRPr="00EE0EF7">
        <w:rPr>
          <w:lang w:val="fr-FR"/>
        </w:rPr>
        <w:t>Parmi les quelque 20 entreprises répertoriées comme productrices d'aérosols, 10 consomment encore du HCFC</w:t>
      </w:r>
      <w:r w:rsidRPr="00EE0EF7">
        <w:rPr>
          <w:lang w:val="fr-FR"/>
        </w:rPr>
        <w:noBreakHyphen/>
        <w:t>22 et du HCFC</w:t>
      </w:r>
      <w:r w:rsidRPr="00EE0EF7">
        <w:rPr>
          <w:lang w:val="fr-FR"/>
        </w:rPr>
        <w:noBreakHyphen/>
        <w:t xml:space="preserve">141b, principalement dans les sous-secteurs de l'électricité, de l'électronique et de l'automobile, l'application principale étant les produits de nettoyage conçus pour dissoudre des ingrédients actifs comme les lubrifiants, les isolants et les adhésifs. Les souffleurs pour l'élimination des particules utilisent généralement du HCFC-22 pur, tandis que les produits tels que les </w:t>
      </w:r>
      <w:r w:rsidR="008A290B" w:rsidRPr="00EE0EF7">
        <w:rPr>
          <w:lang w:val="fr-FR"/>
        </w:rPr>
        <w:t>vaporisateurs</w:t>
      </w:r>
      <w:r w:rsidRPr="00EE0EF7">
        <w:rPr>
          <w:lang w:val="fr-FR"/>
        </w:rPr>
        <w:t xml:space="preserve"> nasaux utilisent des mélanges de HCFC-141b et de HCFC-22. La neige artificielle sous forme d'aérosol (mousse aqueuse) est fabriquée à partir d'un mélange de HCFC-22, de butane et d'éther diméthylique. Les aérosols domestiques, cependant, utilisent déjà des hydrocarbures (HC) comme gaz propulseur. À ce jour, le secteur des aérosols n'a reçu aucune aide pour éliminer les HCFC.</w:t>
      </w:r>
    </w:p>
    <w:p w14:paraId="5393799F" w14:textId="77777777" w:rsidR="00C74282" w:rsidRPr="00EE0EF7" w:rsidRDefault="00C74282" w:rsidP="00C74282">
      <w:pPr>
        <w:keepNext/>
        <w:spacing w:after="240"/>
        <w:rPr>
          <w:i/>
          <w:iCs/>
          <w:lang w:val="fr-FR"/>
        </w:rPr>
      </w:pPr>
      <w:r w:rsidRPr="00EE0EF7">
        <w:rPr>
          <w:i/>
          <w:iCs/>
          <w:lang w:val="fr-FR"/>
        </w:rPr>
        <w:t>Réfrigération à usage commercial</w:t>
      </w:r>
    </w:p>
    <w:p w14:paraId="5BADAA9E" w14:textId="5B3D6699" w:rsidR="00C74282" w:rsidRPr="00EE0EF7" w:rsidRDefault="00C74282" w:rsidP="00C74282">
      <w:pPr>
        <w:pStyle w:val="Heading1"/>
        <w:rPr>
          <w:lang w:val="fr-FR"/>
        </w:rPr>
      </w:pPr>
      <w:r w:rsidRPr="00EE0EF7">
        <w:rPr>
          <w:lang w:val="fr-FR"/>
        </w:rPr>
        <w:t>Les grands fabricants de réfrigération domestique et commerciale (Bambi, Briket ou Mabe par exemple) ont déjà reçu une aide pour éliminer progressivement les HFC, mais de nombreuses petites et moyennes entreprises (PME) dépendent encore du HCFC</w:t>
      </w:r>
      <w:r w:rsidRPr="00EE0EF7">
        <w:rPr>
          <w:lang w:val="fr-FR"/>
        </w:rPr>
        <w:noBreakHyphen/>
        <w:t>22 pour fabriquer des équipements tels que des vitrines, des congélateurs, des armoires à vins, des comptoirs frigorifiques et des vitrines horizontales et verticales pour desservir des niches de marché locales tels que magasins de quartier, boulangeries, cafés, pâtisseries et magasins spécialisés en province. Ces exigences ne peuvent être satisfaites par les grands fabricants situés loin des utilisateurs finaux. Plus de 80 entreprises de fabrication de systèmes de réfrigération commerciale ont été recensées dans le secteur, consommant environ 40 tonnes de HCFC</w:t>
      </w:r>
      <w:r w:rsidRPr="00EE0EF7">
        <w:rPr>
          <w:lang w:val="fr-FR"/>
        </w:rPr>
        <w:noBreakHyphen/>
        <w:t>22 en 2024.</w:t>
      </w:r>
    </w:p>
    <w:p w14:paraId="307751C8" w14:textId="77777777" w:rsidR="00C74282" w:rsidRPr="00EE0EF7" w:rsidRDefault="00C74282" w:rsidP="00C74282">
      <w:pPr>
        <w:pStyle w:val="Heading1"/>
        <w:numPr>
          <w:ilvl w:val="0"/>
          <w:numId w:val="0"/>
        </w:numPr>
        <w:rPr>
          <w:i/>
          <w:iCs/>
          <w:lang w:val="fr-FR"/>
        </w:rPr>
      </w:pPr>
      <w:r w:rsidRPr="00EE0EF7">
        <w:rPr>
          <w:i/>
          <w:iCs/>
          <w:lang w:val="fr-FR"/>
        </w:rPr>
        <w:t>Secteur de la lutte contre les incendies</w:t>
      </w:r>
    </w:p>
    <w:p w14:paraId="6C892C16" w14:textId="401018D8" w:rsidR="00C74282" w:rsidRPr="00EE0EF7" w:rsidRDefault="00C74282" w:rsidP="00C74282">
      <w:pPr>
        <w:pStyle w:val="Heading1"/>
        <w:rPr>
          <w:lang w:val="fr-FR"/>
        </w:rPr>
      </w:pPr>
      <w:r w:rsidRPr="00EE0EF7">
        <w:rPr>
          <w:lang w:val="fr-FR"/>
        </w:rPr>
        <w:t xml:space="preserve">Les 12 fabricants d'extincteurs identifiés utilisent principalement du HCFC </w:t>
      </w:r>
      <w:r w:rsidRPr="00EE0EF7">
        <w:rPr>
          <w:lang w:val="fr-FR"/>
        </w:rPr>
        <w:noBreakHyphen/>
        <w:t>123, du HFC</w:t>
      </w:r>
      <w:r w:rsidRPr="00EE0EF7">
        <w:rPr>
          <w:lang w:val="fr-FR"/>
        </w:rPr>
        <w:noBreakHyphen/>
        <w:t xml:space="preserve">227ea et du HFC </w:t>
      </w:r>
      <w:r w:rsidRPr="00EE0EF7">
        <w:rPr>
          <w:lang w:val="fr-FR"/>
        </w:rPr>
        <w:noBreakHyphen/>
        <w:t>236fa dans leurs processus de production ; six de ces entreprises consomment près de 80 % du total du HCFC</w:t>
      </w:r>
      <w:r w:rsidRPr="00EE0EF7">
        <w:rPr>
          <w:lang w:val="fr-FR"/>
        </w:rPr>
        <w:noBreakHyphen/>
        <w:t>123 utilisé dans le secteur. Le secteur de la lutte contre l'incendie n'a pas encore bénéficié d'un soutien pour l'élimination progressive des HCFC.</w:t>
      </w:r>
    </w:p>
    <w:p w14:paraId="656D3E4D" w14:textId="77777777" w:rsidR="00C74282" w:rsidRPr="00EE0EF7" w:rsidRDefault="00C74282" w:rsidP="00C74282">
      <w:pPr>
        <w:keepNext/>
        <w:spacing w:before="240" w:after="240"/>
        <w:rPr>
          <w:i/>
          <w:iCs/>
          <w:lang w:val="fr-FR"/>
        </w:rPr>
      </w:pPr>
      <w:r w:rsidRPr="00EE0EF7">
        <w:rPr>
          <w:i/>
          <w:iCs/>
          <w:lang w:val="fr-FR"/>
        </w:rPr>
        <w:t>Secteur de la fabrication de mousses</w:t>
      </w:r>
    </w:p>
    <w:p w14:paraId="2AFC08FC" w14:textId="190DD352" w:rsidR="00C74282" w:rsidRPr="00EE0EF7" w:rsidRDefault="00C74282" w:rsidP="00C74282">
      <w:pPr>
        <w:pStyle w:val="Heading1"/>
        <w:rPr>
          <w:lang w:val="fr-FR"/>
        </w:rPr>
      </w:pPr>
      <w:r w:rsidRPr="00EE0EF7">
        <w:rPr>
          <w:lang w:val="fr-FR"/>
        </w:rPr>
        <w:t xml:space="preserve">Le HCFC-141b est largement utilisé dans le secteur de la fabrication de mousse PU en Argentine, principalement par de nombreuses PME, et de petites quantités de HCFC-22 et de HCFC-142b ont été utilisées dans la fabrication de panneaux d'isolation en </w:t>
      </w:r>
      <w:r w:rsidR="00EE0EF7">
        <w:rPr>
          <w:lang w:val="fr-FR"/>
        </w:rPr>
        <w:t xml:space="preserve">mousse </w:t>
      </w:r>
      <w:r w:rsidRPr="00EE0EF7">
        <w:rPr>
          <w:lang w:val="fr-FR"/>
        </w:rPr>
        <w:t xml:space="preserve">XPS. La phase II du PGEH comprenait des </w:t>
      </w:r>
      <w:r w:rsidRPr="00EE0EF7">
        <w:rPr>
          <w:lang w:val="fr-FR"/>
        </w:rPr>
        <w:lastRenderedPageBreak/>
        <w:t>activités visant à éliminer progressivement l'utilisation des HCFC dans les secteurs des mousses PU et XPS. La reconversion du secteur de la mousse XPS vers des solutions de remplacement à faible potentiel de réchauffement planétaire (PRP) est terminée ; la reconversion du secteur de la mousse PU est toujours en cours et devrait être menée à bien d'ici fin 2027. À compter de 2025, aucun quota d'importation n'a été établi pour l'utilisation des HCFC dans la fabrication de mousses PU ni XPS.</w:t>
      </w:r>
    </w:p>
    <w:p w14:paraId="21F16C70" w14:textId="77777777" w:rsidR="00C74282" w:rsidRPr="00EE0EF7" w:rsidRDefault="00C74282" w:rsidP="00C26B2E">
      <w:pPr>
        <w:keepNext/>
        <w:spacing w:after="240"/>
        <w:outlineLvl w:val="0"/>
        <w:rPr>
          <w:i/>
          <w:iCs/>
          <w:lang w:val="fr-FR"/>
        </w:rPr>
      </w:pPr>
      <w:r w:rsidRPr="00EE0EF7">
        <w:rPr>
          <w:i/>
          <w:iCs/>
          <w:lang w:val="fr-FR"/>
        </w:rPr>
        <w:t>Secteur de l’entretien en réfrigération</w:t>
      </w:r>
    </w:p>
    <w:bookmarkEnd w:id="1"/>
    <w:p w14:paraId="45D9C3B4" w14:textId="7D54CF9B" w:rsidR="00C74282" w:rsidRPr="00EE0EF7" w:rsidRDefault="00C74282" w:rsidP="00C74282">
      <w:pPr>
        <w:pStyle w:val="Heading1"/>
        <w:keepNext/>
        <w:rPr>
          <w:b/>
          <w:lang w:val="fr-FR"/>
        </w:rPr>
      </w:pPr>
      <w:r w:rsidRPr="00EE0EF7">
        <w:rPr>
          <w:lang w:val="fr-FR"/>
        </w:rPr>
        <w:t>Il existe plus de 10 000 techniciens et 6 500 ateliers opérant dans le secteur de l'entretien en Argentine, consommant principalement du HCFC</w:t>
      </w:r>
      <w:r w:rsidRPr="00EE0EF7">
        <w:rPr>
          <w:lang w:val="fr-FR"/>
        </w:rPr>
        <w:noBreakHyphen/>
        <w:t xml:space="preserve">22 et de petites quantités de HCFC-123 pour entretenir les unités de climatisation résidentielles , les refroidisseurs, une gamme de systèmes </w:t>
      </w:r>
      <w:r w:rsidR="008A290B" w:rsidRPr="00EE0EF7">
        <w:rPr>
          <w:lang w:val="fr-FR"/>
        </w:rPr>
        <w:t>de réfrigération ou de climatisation</w:t>
      </w:r>
      <w:r w:rsidRPr="00EE0EF7">
        <w:rPr>
          <w:lang w:val="fr-FR"/>
        </w:rPr>
        <w:t xml:space="preserve"> dans les supermarchés (vitrines réfrigérées, refroidisseurs de bouteilles, unités de condensation, systèmes de réfrigération centralisés</w:t>
      </w:r>
      <w:r w:rsidR="008A290B" w:rsidRPr="00EE0EF7">
        <w:rPr>
          <w:lang w:val="fr-FR"/>
        </w:rPr>
        <w:t>, par exemple</w:t>
      </w:r>
      <w:r w:rsidRPr="00EE0EF7">
        <w:rPr>
          <w:lang w:val="fr-FR"/>
        </w:rPr>
        <w:t xml:space="preserve">) et les systèmes de réfrigération </w:t>
      </w:r>
      <w:r w:rsidR="008A290B" w:rsidRPr="00EE0EF7">
        <w:rPr>
          <w:lang w:val="fr-FR"/>
        </w:rPr>
        <w:t xml:space="preserve">utilisés </w:t>
      </w:r>
      <w:r w:rsidRPr="00EE0EF7">
        <w:rPr>
          <w:lang w:val="fr-FR"/>
        </w:rPr>
        <w:t xml:space="preserve">dans des </w:t>
      </w:r>
      <w:r w:rsidR="008A290B" w:rsidRPr="00EE0EF7">
        <w:rPr>
          <w:lang w:val="fr-FR"/>
        </w:rPr>
        <w:t>secteurs</w:t>
      </w:r>
      <w:r w:rsidRPr="00EE0EF7">
        <w:rPr>
          <w:lang w:val="fr-FR"/>
        </w:rPr>
        <w:t xml:space="preserve"> tels que les usines de crème glacée, les fermes laitières, les vignobles et les navires de pêche, comme le montre le tableau 2. Les plus gros consommateurs de HCFC parmi les sous-secteurs desservis par </w:t>
      </w:r>
      <w:r w:rsidR="008A290B" w:rsidRPr="00EE0EF7">
        <w:rPr>
          <w:lang w:val="fr-FR"/>
        </w:rPr>
        <w:t>l’industrie du froid</w:t>
      </w:r>
      <w:r w:rsidRPr="00EE0EF7">
        <w:rPr>
          <w:lang w:val="fr-FR"/>
        </w:rPr>
        <w:t xml:space="preserve"> sont les supermarchés (44,1 % de la consommation totale de HCFC), suivis des </w:t>
      </w:r>
      <w:r w:rsidR="008A290B" w:rsidRPr="00EE0EF7">
        <w:rPr>
          <w:lang w:val="fr-FR"/>
        </w:rPr>
        <w:t>bateaux</w:t>
      </w:r>
      <w:r w:rsidRPr="00EE0EF7">
        <w:rPr>
          <w:lang w:val="fr-FR"/>
        </w:rPr>
        <w:t xml:space="preserve"> de pêche (32,1 %) et des petits magasins de </w:t>
      </w:r>
      <w:r w:rsidR="008A290B" w:rsidRPr="00EE0EF7">
        <w:rPr>
          <w:lang w:val="fr-FR"/>
        </w:rPr>
        <w:t xml:space="preserve">vente au </w:t>
      </w:r>
      <w:r w:rsidRPr="00EE0EF7">
        <w:rPr>
          <w:lang w:val="fr-FR"/>
        </w:rPr>
        <w:t>détail (14,6 %).</w:t>
      </w:r>
    </w:p>
    <w:p w14:paraId="4E35A103" w14:textId="769D1AA1" w:rsidR="00C74282" w:rsidRPr="00EE0EF7" w:rsidRDefault="00C74282" w:rsidP="00C74282">
      <w:pPr>
        <w:pStyle w:val="Heading1"/>
        <w:keepNext/>
        <w:numPr>
          <w:ilvl w:val="0"/>
          <w:numId w:val="0"/>
        </w:numPr>
        <w:spacing w:after="0"/>
        <w:rPr>
          <w:b/>
          <w:lang w:val="fr-FR"/>
        </w:rPr>
      </w:pPr>
      <w:r w:rsidRPr="00EE0EF7">
        <w:rPr>
          <w:b/>
          <w:lang w:val="fr-FR"/>
        </w:rPr>
        <w:t>Tableau 2. Estimation de la demande de HCFC dans le secteur de l'entretien en réfrigération et climatisation au Argentine</w:t>
      </w:r>
    </w:p>
    <w:tbl>
      <w:tblPr>
        <w:tblW w:w="4997" w:type="pct"/>
        <w:tblLayout w:type="fixed"/>
        <w:tblCellMar>
          <w:top w:w="28" w:type="dxa"/>
          <w:bottom w:w="28" w:type="dxa"/>
        </w:tblCellMar>
        <w:tblLook w:val="04A0" w:firstRow="1" w:lastRow="0" w:firstColumn="1" w:lastColumn="0" w:noHBand="0" w:noVBand="1"/>
      </w:tblPr>
      <w:tblGrid>
        <w:gridCol w:w="3001"/>
        <w:gridCol w:w="1717"/>
        <w:gridCol w:w="1861"/>
        <w:gridCol w:w="1574"/>
        <w:gridCol w:w="1283"/>
      </w:tblGrid>
      <w:tr w:rsidR="00C74282" w:rsidRPr="00EE0EF7" w14:paraId="70928FEA" w14:textId="77777777" w:rsidTr="00C26B2E">
        <w:trPr>
          <w:trHeight w:val="45"/>
        </w:trPr>
        <w:tc>
          <w:tcPr>
            <w:tcW w:w="1590" w:type="pct"/>
            <w:vMerge w:val="restart"/>
            <w:tcBorders>
              <w:top w:val="single" w:sz="4" w:space="0" w:color="auto"/>
              <w:left w:val="single" w:sz="4" w:space="0" w:color="auto"/>
              <w:right w:val="single" w:sz="4" w:space="0" w:color="auto"/>
            </w:tcBorders>
            <w:noWrap/>
            <w:vAlign w:val="center"/>
            <w:hideMark/>
          </w:tcPr>
          <w:p w14:paraId="7A6EDB02" w14:textId="77777777" w:rsidR="00C74282" w:rsidRPr="00EE0EF7" w:rsidRDefault="00C74282">
            <w:pPr>
              <w:jc w:val="center"/>
              <w:rPr>
                <w:b/>
                <w:bCs/>
                <w:color w:val="000000"/>
                <w:sz w:val="20"/>
                <w:szCs w:val="20"/>
                <w:lang w:val="fr-FR" w:eastAsia="en-CA"/>
              </w:rPr>
            </w:pPr>
            <w:r w:rsidRPr="00EE0EF7">
              <w:rPr>
                <w:b/>
                <w:bCs/>
                <w:color w:val="000000"/>
                <w:sz w:val="20"/>
                <w:szCs w:val="20"/>
                <w:lang w:val="fr-FR" w:eastAsia="fr"/>
              </w:rPr>
              <w:t>Secteur/Applications</w:t>
            </w:r>
          </w:p>
        </w:tc>
        <w:tc>
          <w:tcPr>
            <w:tcW w:w="910" w:type="pct"/>
            <w:vMerge w:val="restart"/>
            <w:tcBorders>
              <w:top w:val="single" w:sz="4" w:space="0" w:color="auto"/>
              <w:left w:val="nil"/>
              <w:right w:val="single" w:sz="4" w:space="0" w:color="auto"/>
            </w:tcBorders>
            <w:noWrap/>
            <w:vAlign w:val="center"/>
            <w:hideMark/>
          </w:tcPr>
          <w:p w14:paraId="09D4E3A6" w14:textId="77777777" w:rsidR="00C74282" w:rsidRPr="00EE0EF7" w:rsidRDefault="00C74282">
            <w:pPr>
              <w:jc w:val="center"/>
              <w:rPr>
                <w:b/>
                <w:bCs/>
                <w:color w:val="000000"/>
                <w:sz w:val="20"/>
                <w:szCs w:val="20"/>
                <w:lang w:val="fr-FR" w:eastAsia="en-CA"/>
              </w:rPr>
            </w:pPr>
            <w:r w:rsidRPr="00EE0EF7">
              <w:rPr>
                <w:b/>
                <w:bCs/>
                <w:color w:val="000000"/>
                <w:sz w:val="20"/>
                <w:szCs w:val="20"/>
                <w:lang w:val="fr-FR" w:eastAsia="fr"/>
              </w:rPr>
              <w:t>Capacité installée (tm)</w:t>
            </w:r>
          </w:p>
        </w:tc>
        <w:tc>
          <w:tcPr>
            <w:tcW w:w="986" w:type="pct"/>
            <w:vMerge w:val="restart"/>
            <w:tcBorders>
              <w:top w:val="single" w:sz="4" w:space="0" w:color="auto"/>
              <w:left w:val="nil"/>
              <w:right w:val="single" w:sz="2" w:space="0" w:color="auto"/>
            </w:tcBorders>
            <w:noWrap/>
            <w:vAlign w:val="center"/>
            <w:hideMark/>
          </w:tcPr>
          <w:p w14:paraId="472E1DF6" w14:textId="77777777" w:rsidR="00C74282" w:rsidRPr="00EE0EF7" w:rsidRDefault="00C74282">
            <w:pPr>
              <w:jc w:val="center"/>
              <w:rPr>
                <w:b/>
                <w:bCs/>
                <w:color w:val="000000"/>
                <w:sz w:val="20"/>
                <w:szCs w:val="20"/>
                <w:lang w:val="fr-FR" w:eastAsia="en-CA"/>
              </w:rPr>
            </w:pPr>
            <w:r w:rsidRPr="00EE0EF7">
              <w:rPr>
                <w:b/>
                <w:bCs/>
                <w:color w:val="000000"/>
                <w:sz w:val="20"/>
                <w:szCs w:val="20"/>
                <w:lang w:val="fr-FR" w:eastAsia="fr"/>
              </w:rPr>
              <w:t>Capacité installée remplie/an (%)</w:t>
            </w:r>
          </w:p>
        </w:tc>
        <w:tc>
          <w:tcPr>
            <w:tcW w:w="1514" w:type="pct"/>
            <w:gridSpan w:val="2"/>
            <w:tcBorders>
              <w:top w:val="single" w:sz="2" w:space="0" w:color="auto"/>
              <w:left w:val="single" w:sz="2" w:space="0" w:color="auto"/>
              <w:bottom w:val="single" w:sz="2" w:space="0" w:color="auto"/>
              <w:right w:val="single" w:sz="2" w:space="0" w:color="auto"/>
            </w:tcBorders>
            <w:noWrap/>
            <w:vAlign w:val="center"/>
            <w:hideMark/>
          </w:tcPr>
          <w:p w14:paraId="4F404B38" w14:textId="77777777" w:rsidR="00C74282" w:rsidRPr="00EE0EF7" w:rsidRDefault="00C74282">
            <w:pPr>
              <w:jc w:val="center"/>
              <w:rPr>
                <w:b/>
                <w:bCs/>
                <w:color w:val="000000"/>
                <w:sz w:val="20"/>
                <w:szCs w:val="20"/>
                <w:lang w:val="fr-FR" w:eastAsia="en-CA"/>
              </w:rPr>
            </w:pPr>
            <w:r w:rsidRPr="00EE0EF7">
              <w:rPr>
                <w:b/>
                <w:bCs/>
                <w:color w:val="000000"/>
                <w:sz w:val="20"/>
                <w:szCs w:val="20"/>
                <w:lang w:val="fr-FR" w:eastAsia="fr"/>
              </w:rPr>
              <w:t>Demande estimée en HCFC</w:t>
            </w:r>
          </w:p>
        </w:tc>
      </w:tr>
      <w:tr w:rsidR="00C74282" w:rsidRPr="00EE0EF7" w14:paraId="5F861873" w14:textId="77777777" w:rsidTr="00C26B2E">
        <w:trPr>
          <w:trHeight w:val="138"/>
        </w:trPr>
        <w:tc>
          <w:tcPr>
            <w:tcW w:w="1590" w:type="pct"/>
            <w:vMerge/>
            <w:tcBorders>
              <w:left w:val="single" w:sz="4" w:space="0" w:color="auto"/>
              <w:bottom w:val="single" w:sz="4" w:space="0" w:color="auto"/>
              <w:right w:val="single" w:sz="4" w:space="0" w:color="auto"/>
            </w:tcBorders>
            <w:noWrap/>
            <w:vAlign w:val="center"/>
          </w:tcPr>
          <w:p w14:paraId="41A7E56A" w14:textId="77777777" w:rsidR="00C74282" w:rsidRPr="00EE0EF7" w:rsidRDefault="00C74282">
            <w:pPr>
              <w:jc w:val="center"/>
              <w:rPr>
                <w:b/>
                <w:bCs/>
                <w:color w:val="000000"/>
                <w:sz w:val="20"/>
                <w:szCs w:val="20"/>
                <w:lang w:val="fr-FR" w:eastAsia="en-CA"/>
              </w:rPr>
            </w:pPr>
          </w:p>
        </w:tc>
        <w:tc>
          <w:tcPr>
            <w:tcW w:w="910" w:type="pct"/>
            <w:vMerge/>
            <w:tcBorders>
              <w:left w:val="nil"/>
              <w:bottom w:val="single" w:sz="4" w:space="0" w:color="auto"/>
              <w:right w:val="single" w:sz="4" w:space="0" w:color="auto"/>
            </w:tcBorders>
            <w:noWrap/>
            <w:vAlign w:val="center"/>
          </w:tcPr>
          <w:p w14:paraId="6118F271" w14:textId="77777777" w:rsidR="00C74282" w:rsidRPr="00EE0EF7" w:rsidRDefault="00C74282">
            <w:pPr>
              <w:jc w:val="center"/>
              <w:rPr>
                <w:b/>
                <w:bCs/>
                <w:color w:val="000000"/>
                <w:sz w:val="20"/>
                <w:szCs w:val="20"/>
                <w:lang w:val="fr-FR" w:eastAsia="en-CA"/>
              </w:rPr>
            </w:pPr>
          </w:p>
        </w:tc>
        <w:tc>
          <w:tcPr>
            <w:tcW w:w="986" w:type="pct"/>
            <w:vMerge/>
            <w:tcBorders>
              <w:left w:val="nil"/>
              <w:bottom w:val="single" w:sz="4" w:space="0" w:color="auto"/>
              <w:right w:val="single" w:sz="2" w:space="0" w:color="auto"/>
            </w:tcBorders>
            <w:noWrap/>
            <w:vAlign w:val="center"/>
          </w:tcPr>
          <w:p w14:paraId="1519B836" w14:textId="77777777" w:rsidR="00C74282" w:rsidRPr="00EE0EF7" w:rsidRDefault="00C74282">
            <w:pPr>
              <w:jc w:val="center"/>
              <w:rPr>
                <w:b/>
                <w:bCs/>
                <w:color w:val="000000"/>
                <w:sz w:val="20"/>
                <w:szCs w:val="20"/>
                <w:lang w:val="fr-FR" w:eastAsia="en-CA"/>
              </w:rPr>
            </w:pPr>
          </w:p>
        </w:tc>
        <w:tc>
          <w:tcPr>
            <w:tcW w:w="834" w:type="pct"/>
            <w:tcBorders>
              <w:top w:val="single" w:sz="4" w:space="0" w:color="auto"/>
              <w:left w:val="single" w:sz="2" w:space="0" w:color="auto"/>
              <w:bottom w:val="single" w:sz="4" w:space="0" w:color="auto"/>
              <w:right w:val="single" w:sz="2" w:space="0" w:color="auto"/>
            </w:tcBorders>
            <w:noWrap/>
            <w:vAlign w:val="center"/>
          </w:tcPr>
          <w:p w14:paraId="16BCBD52" w14:textId="77777777" w:rsidR="00C74282" w:rsidRPr="00EE0EF7" w:rsidRDefault="00C74282">
            <w:pPr>
              <w:jc w:val="center"/>
              <w:rPr>
                <w:b/>
                <w:bCs/>
                <w:color w:val="000000"/>
                <w:sz w:val="20"/>
                <w:szCs w:val="20"/>
                <w:lang w:val="fr-FR" w:eastAsia="en-CA"/>
              </w:rPr>
            </w:pPr>
            <w:r w:rsidRPr="00EE0EF7">
              <w:rPr>
                <w:b/>
                <w:bCs/>
                <w:color w:val="000000"/>
                <w:sz w:val="20"/>
                <w:szCs w:val="20"/>
                <w:lang w:val="fr-FR" w:eastAsia="fr"/>
              </w:rPr>
              <w:t>(tm)</w:t>
            </w:r>
          </w:p>
        </w:tc>
        <w:tc>
          <w:tcPr>
            <w:tcW w:w="680" w:type="pct"/>
            <w:tcBorders>
              <w:top w:val="single" w:sz="2" w:space="0" w:color="auto"/>
              <w:left w:val="single" w:sz="2" w:space="0" w:color="auto"/>
              <w:bottom w:val="single" w:sz="2" w:space="0" w:color="auto"/>
              <w:right w:val="single" w:sz="2" w:space="0" w:color="auto"/>
            </w:tcBorders>
            <w:vAlign w:val="center"/>
          </w:tcPr>
          <w:p w14:paraId="61B7B420" w14:textId="77777777" w:rsidR="00C74282" w:rsidRPr="00EE0EF7" w:rsidRDefault="00C74282">
            <w:pPr>
              <w:jc w:val="center"/>
              <w:rPr>
                <w:b/>
                <w:bCs/>
                <w:color w:val="000000"/>
                <w:sz w:val="20"/>
                <w:szCs w:val="20"/>
                <w:lang w:val="fr-FR" w:eastAsia="en-CA"/>
              </w:rPr>
            </w:pPr>
            <w:r w:rsidRPr="00EE0EF7">
              <w:rPr>
                <w:b/>
                <w:bCs/>
                <w:color w:val="000000"/>
                <w:sz w:val="20"/>
                <w:szCs w:val="20"/>
                <w:lang w:val="fr-FR" w:eastAsia="fr"/>
              </w:rPr>
              <w:t>(%)</w:t>
            </w:r>
          </w:p>
        </w:tc>
      </w:tr>
      <w:tr w:rsidR="00C74282" w:rsidRPr="00EE0EF7" w14:paraId="54DA9070" w14:textId="77777777" w:rsidTr="00C26B2E">
        <w:trPr>
          <w:trHeight w:val="283"/>
        </w:trPr>
        <w:tc>
          <w:tcPr>
            <w:tcW w:w="5000" w:type="pct"/>
            <w:gridSpan w:val="5"/>
            <w:tcBorders>
              <w:top w:val="nil"/>
              <w:left w:val="single" w:sz="4" w:space="0" w:color="auto"/>
              <w:bottom w:val="single" w:sz="4" w:space="0" w:color="auto"/>
              <w:right w:val="single" w:sz="2" w:space="0" w:color="auto"/>
            </w:tcBorders>
            <w:noWrap/>
            <w:hideMark/>
          </w:tcPr>
          <w:p w14:paraId="3664D20A" w14:textId="77777777" w:rsidR="00C74282" w:rsidRPr="00EE0EF7" w:rsidRDefault="00C74282">
            <w:pPr>
              <w:jc w:val="center"/>
              <w:rPr>
                <w:b/>
                <w:bCs/>
                <w:color w:val="000000"/>
                <w:sz w:val="20"/>
                <w:szCs w:val="20"/>
                <w:lang w:val="fr-FR" w:eastAsia="en-CA"/>
              </w:rPr>
            </w:pPr>
            <w:r w:rsidRPr="00EE0EF7">
              <w:rPr>
                <w:b/>
                <w:bCs/>
                <w:color w:val="000000"/>
                <w:sz w:val="20"/>
                <w:szCs w:val="20"/>
                <w:lang w:val="fr-FR" w:eastAsia="fr"/>
              </w:rPr>
              <w:t>Climatisation</w:t>
            </w:r>
          </w:p>
        </w:tc>
      </w:tr>
      <w:tr w:rsidR="00C74282" w:rsidRPr="00EE0EF7" w14:paraId="554887B3" w14:textId="77777777" w:rsidTr="00C26B2E">
        <w:trPr>
          <w:trHeight w:val="45"/>
        </w:trPr>
        <w:tc>
          <w:tcPr>
            <w:tcW w:w="1590" w:type="pct"/>
            <w:tcBorders>
              <w:top w:val="nil"/>
              <w:left w:val="single" w:sz="4" w:space="0" w:color="auto"/>
              <w:bottom w:val="single" w:sz="4" w:space="0" w:color="auto"/>
              <w:right w:val="single" w:sz="4" w:space="0" w:color="auto"/>
            </w:tcBorders>
            <w:noWrap/>
            <w:hideMark/>
          </w:tcPr>
          <w:p w14:paraId="5FE40B7A" w14:textId="77777777" w:rsidR="00C74282" w:rsidRPr="00EE0EF7" w:rsidRDefault="00C74282">
            <w:pPr>
              <w:jc w:val="left"/>
              <w:rPr>
                <w:color w:val="000000"/>
                <w:sz w:val="20"/>
                <w:szCs w:val="20"/>
                <w:lang w:val="fr-FR" w:eastAsia="en-CA"/>
              </w:rPr>
            </w:pPr>
            <w:r w:rsidRPr="00EE0EF7">
              <w:rPr>
                <w:color w:val="000000"/>
                <w:sz w:val="20"/>
                <w:szCs w:val="20"/>
                <w:lang w:val="fr-FR" w:eastAsia="fr"/>
              </w:rPr>
              <w:t>Climatisation résidentielle</w:t>
            </w:r>
          </w:p>
        </w:tc>
        <w:tc>
          <w:tcPr>
            <w:tcW w:w="910" w:type="pct"/>
            <w:tcBorders>
              <w:top w:val="nil"/>
              <w:left w:val="nil"/>
              <w:bottom w:val="single" w:sz="4" w:space="0" w:color="auto"/>
              <w:right w:val="single" w:sz="4" w:space="0" w:color="auto"/>
            </w:tcBorders>
            <w:noWrap/>
            <w:hideMark/>
          </w:tcPr>
          <w:p w14:paraId="4A992BA6" w14:textId="77777777" w:rsidR="00C74282" w:rsidRPr="00EE0EF7" w:rsidRDefault="00C74282">
            <w:pPr>
              <w:jc w:val="right"/>
              <w:rPr>
                <w:color w:val="000000"/>
                <w:sz w:val="20"/>
                <w:szCs w:val="20"/>
                <w:lang w:val="fr-FR" w:eastAsia="en-CA"/>
              </w:rPr>
            </w:pPr>
            <w:r w:rsidRPr="00EE0EF7">
              <w:rPr>
                <w:color w:val="000000"/>
                <w:sz w:val="20"/>
                <w:szCs w:val="20"/>
                <w:lang w:val="fr-FR" w:eastAsia="fr"/>
              </w:rPr>
              <w:t>7 500,00</w:t>
            </w:r>
          </w:p>
        </w:tc>
        <w:tc>
          <w:tcPr>
            <w:tcW w:w="986" w:type="pct"/>
            <w:tcBorders>
              <w:top w:val="nil"/>
              <w:left w:val="nil"/>
              <w:bottom w:val="single" w:sz="4" w:space="0" w:color="auto"/>
              <w:right w:val="single" w:sz="4" w:space="0" w:color="auto"/>
            </w:tcBorders>
            <w:noWrap/>
            <w:vAlign w:val="center"/>
            <w:hideMark/>
          </w:tcPr>
          <w:p w14:paraId="712C6175" w14:textId="77777777" w:rsidR="00C74282" w:rsidRPr="00EE0EF7" w:rsidRDefault="00C74282">
            <w:pPr>
              <w:jc w:val="center"/>
              <w:rPr>
                <w:color w:val="000000"/>
                <w:sz w:val="20"/>
                <w:szCs w:val="20"/>
                <w:lang w:val="fr-FR" w:eastAsia="en-CA"/>
              </w:rPr>
            </w:pPr>
            <w:r w:rsidRPr="00EE0EF7">
              <w:rPr>
                <w:color w:val="000000"/>
                <w:sz w:val="20"/>
                <w:szCs w:val="20"/>
                <w:lang w:val="fr-FR" w:eastAsia="fr"/>
              </w:rPr>
              <w:t>2</w:t>
            </w:r>
          </w:p>
        </w:tc>
        <w:tc>
          <w:tcPr>
            <w:tcW w:w="834" w:type="pct"/>
            <w:tcBorders>
              <w:top w:val="nil"/>
              <w:left w:val="nil"/>
              <w:bottom w:val="single" w:sz="4" w:space="0" w:color="auto"/>
              <w:right w:val="single" w:sz="2" w:space="0" w:color="auto"/>
            </w:tcBorders>
            <w:noWrap/>
            <w:hideMark/>
          </w:tcPr>
          <w:p w14:paraId="4EA3C3C2" w14:textId="77777777" w:rsidR="00C74282" w:rsidRPr="00EE0EF7" w:rsidRDefault="00C74282">
            <w:pPr>
              <w:jc w:val="right"/>
              <w:rPr>
                <w:color w:val="000000"/>
                <w:sz w:val="20"/>
                <w:szCs w:val="20"/>
                <w:lang w:val="fr-FR" w:eastAsia="en-CA"/>
              </w:rPr>
            </w:pPr>
            <w:r w:rsidRPr="00EE0EF7">
              <w:rPr>
                <w:color w:val="000000"/>
                <w:sz w:val="20"/>
                <w:szCs w:val="20"/>
                <w:lang w:val="fr-FR" w:eastAsia="fr"/>
              </w:rPr>
              <w:t>150,00</w:t>
            </w:r>
          </w:p>
        </w:tc>
        <w:tc>
          <w:tcPr>
            <w:tcW w:w="680" w:type="pct"/>
            <w:tcBorders>
              <w:top w:val="single" w:sz="2" w:space="0" w:color="auto"/>
              <w:left w:val="single" w:sz="2" w:space="0" w:color="auto"/>
              <w:bottom w:val="single" w:sz="2" w:space="0" w:color="auto"/>
              <w:right w:val="single" w:sz="2" w:space="0" w:color="auto"/>
            </w:tcBorders>
            <w:vAlign w:val="center"/>
          </w:tcPr>
          <w:p w14:paraId="7B99C5DC" w14:textId="77777777" w:rsidR="00C74282" w:rsidRPr="00EE0EF7" w:rsidRDefault="00C74282">
            <w:pPr>
              <w:jc w:val="center"/>
              <w:rPr>
                <w:color w:val="000000"/>
                <w:sz w:val="20"/>
                <w:szCs w:val="20"/>
                <w:lang w:val="fr-FR" w:eastAsia="en-CA"/>
              </w:rPr>
            </w:pPr>
            <w:r w:rsidRPr="00EE0EF7">
              <w:rPr>
                <w:color w:val="000000"/>
                <w:sz w:val="20"/>
                <w:szCs w:val="20"/>
                <w:lang w:val="fr-FR" w:eastAsia="fr"/>
              </w:rPr>
              <w:t>8,8</w:t>
            </w:r>
          </w:p>
        </w:tc>
      </w:tr>
      <w:tr w:rsidR="00C74282" w:rsidRPr="00EE0EF7" w14:paraId="0A682971" w14:textId="77777777" w:rsidTr="00C26B2E">
        <w:trPr>
          <w:trHeight w:val="171"/>
        </w:trPr>
        <w:tc>
          <w:tcPr>
            <w:tcW w:w="1590" w:type="pct"/>
            <w:tcBorders>
              <w:top w:val="nil"/>
              <w:left w:val="single" w:sz="4" w:space="0" w:color="auto"/>
              <w:bottom w:val="single" w:sz="4" w:space="0" w:color="auto"/>
              <w:right w:val="single" w:sz="4" w:space="0" w:color="auto"/>
            </w:tcBorders>
            <w:noWrap/>
            <w:hideMark/>
          </w:tcPr>
          <w:p w14:paraId="5A8AC4C1" w14:textId="77777777" w:rsidR="00C74282" w:rsidRPr="00EE0EF7" w:rsidRDefault="00C74282">
            <w:pPr>
              <w:jc w:val="left"/>
              <w:rPr>
                <w:color w:val="000000"/>
                <w:sz w:val="20"/>
                <w:szCs w:val="20"/>
                <w:lang w:val="fr-FR" w:eastAsia="en-CA"/>
              </w:rPr>
            </w:pPr>
            <w:r w:rsidRPr="00EE0EF7">
              <w:rPr>
                <w:color w:val="000000"/>
                <w:sz w:val="20"/>
                <w:szCs w:val="20"/>
                <w:lang w:val="fr-FR" w:eastAsia="fr"/>
              </w:rPr>
              <w:t>Refroidisseurs</w:t>
            </w:r>
          </w:p>
        </w:tc>
        <w:tc>
          <w:tcPr>
            <w:tcW w:w="910" w:type="pct"/>
            <w:tcBorders>
              <w:top w:val="nil"/>
              <w:left w:val="nil"/>
              <w:bottom w:val="single" w:sz="4" w:space="0" w:color="auto"/>
              <w:right w:val="single" w:sz="4" w:space="0" w:color="auto"/>
            </w:tcBorders>
            <w:noWrap/>
            <w:hideMark/>
          </w:tcPr>
          <w:p w14:paraId="18AAFB14" w14:textId="77777777" w:rsidR="00C74282" w:rsidRPr="00EE0EF7" w:rsidRDefault="00C74282">
            <w:pPr>
              <w:jc w:val="right"/>
              <w:rPr>
                <w:color w:val="000000"/>
                <w:sz w:val="20"/>
                <w:szCs w:val="20"/>
                <w:lang w:val="fr-FR" w:eastAsia="en-CA"/>
              </w:rPr>
            </w:pPr>
            <w:r w:rsidRPr="00EE0EF7">
              <w:rPr>
                <w:color w:val="000000"/>
                <w:sz w:val="20"/>
                <w:szCs w:val="20"/>
                <w:lang w:val="fr-FR" w:eastAsia="fr"/>
              </w:rPr>
              <w:t>232,77</w:t>
            </w:r>
          </w:p>
        </w:tc>
        <w:tc>
          <w:tcPr>
            <w:tcW w:w="986" w:type="pct"/>
            <w:tcBorders>
              <w:top w:val="nil"/>
              <w:left w:val="nil"/>
              <w:bottom w:val="single" w:sz="4" w:space="0" w:color="auto"/>
              <w:right w:val="single" w:sz="4" w:space="0" w:color="auto"/>
            </w:tcBorders>
            <w:noWrap/>
            <w:vAlign w:val="center"/>
            <w:hideMark/>
          </w:tcPr>
          <w:p w14:paraId="726EF55F" w14:textId="77777777" w:rsidR="00C74282" w:rsidRPr="00EE0EF7" w:rsidRDefault="00C74282">
            <w:pPr>
              <w:jc w:val="center"/>
              <w:rPr>
                <w:color w:val="000000"/>
                <w:sz w:val="20"/>
                <w:szCs w:val="20"/>
                <w:lang w:val="fr-FR" w:eastAsia="en-CA"/>
              </w:rPr>
            </w:pPr>
            <w:r w:rsidRPr="00EE0EF7">
              <w:rPr>
                <w:color w:val="000000"/>
                <w:sz w:val="20"/>
                <w:szCs w:val="20"/>
                <w:lang w:val="fr-FR" w:eastAsia="fr"/>
              </w:rPr>
              <w:t>2</w:t>
            </w:r>
          </w:p>
        </w:tc>
        <w:tc>
          <w:tcPr>
            <w:tcW w:w="834" w:type="pct"/>
            <w:tcBorders>
              <w:top w:val="nil"/>
              <w:left w:val="nil"/>
              <w:bottom w:val="single" w:sz="4" w:space="0" w:color="auto"/>
              <w:right w:val="single" w:sz="2" w:space="0" w:color="auto"/>
            </w:tcBorders>
            <w:noWrap/>
            <w:hideMark/>
          </w:tcPr>
          <w:p w14:paraId="25C825D0" w14:textId="77777777" w:rsidR="00C74282" w:rsidRPr="00EE0EF7" w:rsidRDefault="00C74282">
            <w:pPr>
              <w:jc w:val="right"/>
              <w:rPr>
                <w:color w:val="000000"/>
                <w:sz w:val="20"/>
                <w:szCs w:val="20"/>
                <w:lang w:val="fr-FR" w:eastAsia="en-CA"/>
              </w:rPr>
            </w:pPr>
            <w:r w:rsidRPr="00EE0EF7">
              <w:rPr>
                <w:color w:val="000000"/>
                <w:sz w:val="20"/>
                <w:szCs w:val="20"/>
                <w:lang w:val="fr-FR" w:eastAsia="fr"/>
              </w:rPr>
              <w:t>*4,66</w:t>
            </w:r>
          </w:p>
        </w:tc>
        <w:tc>
          <w:tcPr>
            <w:tcW w:w="680" w:type="pct"/>
            <w:tcBorders>
              <w:top w:val="single" w:sz="2" w:space="0" w:color="auto"/>
              <w:left w:val="single" w:sz="2" w:space="0" w:color="auto"/>
              <w:bottom w:val="single" w:sz="2" w:space="0" w:color="auto"/>
              <w:right w:val="single" w:sz="2" w:space="0" w:color="auto"/>
            </w:tcBorders>
            <w:vAlign w:val="center"/>
          </w:tcPr>
          <w:p w14:paraId="0A5F7069" w14:textId="77777777" w:rsidR="00C74282" w:rsidRPr="00EE0EF7" w:rsidRDefault="00C74282">
            <w:pPr>
              <w:jc w:val="center"/>
              <w:rPr>
                <w:color w:val="000000"/>
                <w:sz w:val="20"/>
                <w:szCs w:val="20"/>
                <w:lang w:val="fr-FR" w:eastAsia="en-CA"/>
              </w:rPr>
            </w:pPr>
            <w:r w:rsidRPr="00EE0EF7">
              <w:rPr>
                <w:color w:val="000000"/>
                <w:sz w:val="20"/>
                <w:szCs w:val="20"/>
                <w:lang w:val="fr-FR" w:eastAsia="fr"/>
              </w:rPr>
              <w:t>0,3</w:t>
            </w:r>
          </w:p>
        </w:tc>
      </w:tr>
      <w:tr w:rsidR="00C74282" w:rsidRPr="00EE0EF7" w14:paraId="68A1DF27" w14:textId="77777777" w:rsidTr="00C26B2E">
        <w:trPr>
          <w:trHeight w:val="96"/>
        </w:trPr>
        <w:tc>
          <w:tcPr>
            <w:tcW w:w="1590" w:type="pct"/>
            <w:tcBorders>
              <w:top w:val="single" w:sz="4" w:space="0" w:color="auto"/>
              <w:left w:val="single" w:sz="4" w:space="0" w:color="auto"/>
              <w:bottom w:val="single" w:sz="4" w:space="0" w:color="auto"/>
            </w:tcBorders>
            <w:noWrap/>
            <w:hideMark/>
          </w:tcPr>
          <w:p w14:paraId="590A777E" w14:textId="77777777" w:rsidR="00C74282" w:rsidRPr="00EE0EF7" w:rsidRDefault="00C74282">
            <w:pPr>
              <w:jc w:val="left"/>
              <w:rPr>
                <w:b/>
                <w:bCs/>
                <w:color w:val="000000"/>
                <w:sz w:val="20"/>
                <w:szCs w:val="20"/>
                <w:lang w:val="fr-FR" w:eastAsia="en-CA"/>
              </w:rPr>
            </w:pPr>
            <w:r w:rsidRPr="00EE0EF7">
              <w:rPr>
                <w:b/>
                <w:bCs/>
                <w:color w:val="000000"/>
                <w:sz w:val="20"/>
                <w:szCs w:val="20"/>
                <w:lang w:val="fr-FR" w:eastAsia="fr"/>
              </w:rPr>
              <w:t>Total partiel (climatisation)</w:t>
            </w:r>
          </w:p>
        </w:tc>
        <w:tc>
          <w:tcPr>
            <w:tcW w:w="910" w:type="pct"/>
            <w:tcBorders>
              <w:top w:val="single" w:sz="4" w:space="0" w:color="auto"/>
              <w:bottom w:val="single" w:sz="4" w:space="0" w:color="auto"/>
            </w:tcBorders>
            <w:noWrap/>
            <w:hideMark/>
          </w:tcPr>
          <w:p w14:paraId="0196F365" w14:textId="77777777" w:rsidR="00C74282" w:rsidRPr="00EE0EF7" w:rsidRDefault="00C74282">
            <w:pPr>
              <w:jc w:val="right"/>
              <w:rPr>
                <w:b/>
                <w:bCs/>
                <w:color w:val="000000"/>
                <w:sz w:val="20"/>
                <w:szCs w:val="20"/>
                <w:lang w:val="fr-FR" w:eastAsia="en-CA"/>
              </w:rPr>
            </w:pPr>
          </w:p>
        </w:tc>
        <w:tc>
          <w:tcPr>
            <w:tcW w:w="986" w:type="pct"/>
            <w:tcBorders>
              <w:top w:val="single" w:sz="4" w:space="0" w:color="auto"/>
              <w:bottom w:val="single" w:sz="4" w:space="0" w:color="auto"/>
              <w:right w:val="single" w:sz="4" w:space="0" w:color="auto"/>
            </w:tcBorders>
            <w:noWrap/>
            <w:vAlign w:val="center"/>
            <w:hideMark/>
          </w:tcPr>
          <w:p w14:paraId="17041C45" w14:textId="77777777" w:rsidR="00C74282" w:rsidRPr="00EE0EF7" w:rsidRDefault="00C74282">
            <w:pPr>
              <w:jc w:val="center"/>
              <w:rPr>
                <w:b/>
                <w:bCs/>
                <w:color w:val="000000"/>
                <w:sz w:val="20"/>
                <w:szCs w:val="20"/>
                <w:lang w:val="fr-FR" w:eastAsia="en-CA"/>
              </w:rPr>
            </w:pPr>
          </w:p>
        </w:tc>
        <w:tc>
          <w:tcPr>
            <w:tcW w:w="834" w:type="pct"/>
            <w:tcBorders>
              <w:top w:val="nil"/>
              <w:left w:val="single" w:sz="4" w:space="0" w:color="auto"/>
              <w:bottom w:val="single" w:sz="4" w:space="0" w:color="auto"/>
              <w:right w:val="single" w:sz="2" w:space="0" w:color="auto"/>
            </w:tcBorders>
            <w:noWrap/>
            <w:hideMark/>
          </w:tcPr>
          <w:p w14:paraId="13BD4DD9" w14:textId="77777777" w:rsidR="00C74282" w:rsidRPr="00EE0EF7" w:rsidRDefault="00C74282">
            <w:pPr>
              <w:jc w:val="right"/>
              <w:rPr>
                <w:b/>
                <w:bCs/>
                <w:color w:val="000000"/>
                <w:sz w:val="20"/>
                <w:szCs w:val="20"/>
                <w:lang w:val="fr-FR" w:eastAsia="en-CA"/>
              </w:rPr>
            </w:pPr>
            <w:r w:rsidRPr="00EE0EF7">
              <w:rPr>
                <w:b/>
                <w:bCs/>
                <w:color w:val="000000"/>
                <w:sz w:val="20"/>
                <w:szCs w:val="20"/>
                <w:lang w:val="fr-FR" w:eastAsia="fr"/>
              </w:rPr>
              <w:t>154,66</w:t>
            </w:r>
          </w:p>
        </w:tc>
        <w:tc>
          <w:tcPr>
            <w:tcW w:w="680" w:type="pct"/>
            <w:tcBorders>
              <w:top w:val="single" w:sz="2" w:space="0" w:color="auto"/>
              <w:left w:val="single" w:sz="2" w:space="0" w:color="auto"/>
              <w:bottom w:val="single" w:sz="2" w:space="0" w:color="auto"/>
              <w:right w:val="single" w:sz="2" w:space="0" w:color="auto"/>
            </w:tcBorders>
            <w:vAlign w:val="center"/>
          </w:tcPr>
          <w:p w14:paraId="60604773" w14:textId="77777777" w:rsidR="00C74282" w:rsidRPr="00EE0EF7" w:rsidRDefault="00C74282">
            <w:pPr>
              <w:jc w:val="center"/>
              <w:rPr>
                <w:b/>
                <w:bCs/>
                <w:color w:val="000000"/>
                <w:sz w:val="20"/>
                <w:szCs w:val="20"/>
                <w:lang w:val="fr-FR" w:eastAsia="en-CA"/>
              </w:rPr>
            </w:pPr>
            <w:r w:rsidRPr="00EE0EF7">
              <w:rPr>
                <w:b/>
                <w:bCs/>
                <w:color w:val="000000"/>
                <w:sz w:val="20"/>
                <w:szCs w:val="20"/>
                <w:lang w:val="fr-FR" w:eastAsia="fr"/>
              </w:rPr>
              <w:t>9,0</w:t>
            </w:r>
          </w:p>
        </w:tc>
      </w:tr>
      <w:tr w:rsidR="00C74282" w:rsidRPr="00CE7B9D" w14:paraId="45460E20" w14:textId="77777777" w:rsidTr="00C26B2E">
        <w:trPr>
          <w:trHeight w:val="283"/>
        </w:trPr>
        <w:tc>
          <w:tcPr>
            <w:tcW w:w="5000" w:type="pct"/>
            <w:gridSpan w:val="5"/>
            <w:tcBorders>
              <w:top w:val="nil"/>
              <w:left w:val="single" w:sz="4" w:space="0" w:color="auto"/>
              <w:bottom w:val="single" w:sz="4" w:space="0" w:color="auto"/>
              <w:right w:val="single" w:sz="2" w:space="0" w:color="auto"/>
            </w:tcBorders>
            <w:noWrap/>
            <w:vAlign w:val="center"/>
            <w:hideMark/>
          </w:tcPr>
          <w:p w14:paraId="24FAD18F" w14:textId="77777777" w:rsidR="00C74282" w:rsidRPr="00EE0EF7" w:rsidRDefault="00C74282">
            <w:pPr>
              <w:jc w:val="center"/>
              <w:rPr>
                <w:b/>
                <w:bCs/>
                <w:color w:val="000000"/>
                <w:sz w:val="20"/>
                <w:szCs w:val="20"/>
                <w:lang w:val="fr-FR" w:eastAsia="en-CA"/>
              </w:rPr>
            </w:pPr>
            <w:r w:rsidRPr="00EE0EF7">
              <w:rPr>
                <w:b/>
                <w:bCs/>
                <w:color w:val="000000"/>
                <w:sz w:val="20"/>
                <w:szCs w:val="20"/>
                <w:lang w:val="fr-FR" w:eastAsia="fr"/>
              </w:rPr>
              <w:t>Réfrigération à usage commercial et industriel</w:t>
            </w:r>
          </w:p>
        </w:tc>
      </w:tr>
      <w:tr w:rsidR="00C74282" w:rsidRPr="00EE0EF7" w14:paraId="49B1006C" w14:textId="77777777" w:rsidTr="00C26B2E">
        <w:trPr>
          <w:trHeight w:val="175"/>
        </w:trPr>
        <w:tc>
          <w:tcPr>
            <w:tcW w:w="1590" w:type="pct"/>
            <w:tcBorders>
              <w:top w:val="nil"/>
              <w:left w:val="single" w:sz="4" w:space="0" w:color="auto"/>
              <w:bottom w:val="single" w:sz="4" w:space="0" w:color="auto"/>
              <w:right w:val="single" w:sz="4" w:space="0" w:color="auto"/>
            </w:tcBorders>
            <w:noWrap/>
            <w:hideMark/>
          </w:tcPr>
          <w:p w14:paraId="2B98BDCA" w14:textId="77777777" w:rsidR="00C74282" w:rsidRPr="00EE0EF7" w:rsidRDefault="00C74282">
            <w:pPr>
              <w:jc w:val="left"/>
              <w:rPr>
                <w:color w:val="000000"/>
                <w:sz w:val="20"/>
                <w:szCs w:val="20"/>
                <w:lang w:val="fr-FR" w:eastAsia="en-CA"/>
              </w:rPr>
            </w:pPr>
            <w:r w:rsidRPr="00EE0EF7">
              <w:rPr>
                <w:color w:val="000000"/>
                <w:sz w:val="20"/>
                <w:szCs w:val="20"/>
                <w:lang w:val="fr-FR" w:eastAsia="fr"/>
              </w:rPr>
              <w:t>Supermarchés</w:t>
            </w:r>
          </w:p>
        </w:tc>
        <w:tc>
          <w:tcPr>
            <w:tcW w:w="910" w:type="pct"/>
            <w:tcBorders>
              <w:top w:val="nil"/>
              <w:left w:val="nil"/>
              <w:bottom w:val="single" w:sz="4" w:space="0" w:color="auto"/>
              <w:right w:val="single" w:sz="4" w:space="0" w:color="auto"/>
            </w:tcBorders>
            <w:noWrap/>
            <w:hideMark/>
          </w:tcPr>
          <w:p w14:paraId="1DB5B1E5" w14:textId="77777777" w:rsidR="00C74282" w:rsidRPr="00EE0EF7" w:rsidRDefault="00C74282">
            <w:pPr>
              <w:jc w:val="right"/>
              <w:rPr>
                <w:color w:val="000000"/>
                <w:sz w:val="20"/>
                <w:szCs w:val="20"/>
                <w:lang w:val="fr-FR" w:eastAsia="en-CA"/>
              </w:rPr>
            </w:pPr>
            <w:r w:rsidRPr="00EE0EF7">
              <w:rPr>
                <w:color w:val="000000"/>
                <w:sz w:val="20"/>
                <w:szCs w:val="20"/>
                <w:lang w:val="fr-FR" w:eastAsia="fr"/>
              </w:rPr>
              <w:t>1 833 304</w:t>
            </w:r>
          </w:p>
        </w:tc>
        <w:tc>
          <w:tcPr>
            <w:tcW w:w="986" w:type="pct"/>
            <w:tcBorders>
              <w:top w:val="nil"/>
              <w:left w:val="nil"/>
              <w:bottom w:val="single" w:sz="4" w:space="0" w:color="auto"/>
              <w:right w:val="single" w:sz="4" w:space="0" w:color="auto"/>
            </w:tcBorders>
            <w:noWrap/>
            <w:vAlign w:val="center"/>
            <w:hideMark/>
          </w:tcPr>
          <w:p w14:paraId="5E766AEB" w14:textId="77777777" w:rsidR="00C74282" w:rsidRPr="00EE0EF7" w:rsidRDefault="00C74282">
            <w:pPr>
              <w:jc w:val="center"/>
              <w:rPr>
                <w:color w:val="000000"/>
                <w:sz w:val="20"/>
                <w:szCs w:val="20"/>
                <w:lang w:val="fr-FR" w:eastAsia="en-CA"/>
              </w:rPr>
            </w:pPr>
            <w:r w:rsidRPr="00EE0EF7">
              <w:rPr>
                <w:color w:val="000000"/>
                <w:sz w:val="20"/>
                <w:szCs w:val="20"/>
                <w:lang w:val="fr-FR" w:eastAsia="fr"/>
              </w:rPr>
              <w:t>40</w:t>
            </w:r>
          </w:p>
        </w:tc>
        <w:tc>
          <w:tcPr>
            <w:tcW w:w="834" w:type="pct"/>
            <w:tcBorders>
              <w:top w:val="nil"/>
              <w:left w:val="nil"/>
              <w:bottom w:val="single" w:sz="4" w:space="0" w:color="auto"/>
              <w:right w:val="single" w:sz="2" w:space="0" w:color="auto"/>
            </w:tcBorders>
            <w:noWrap/>
            <w:hideMark/>
          </w:tcPr>
          <w:p w14:paraId="7FF09335" w14:textId="77777777" w:rsidR="00C74282" w:rsidRPr="00EE0EF7" w:rsidRDefault="00C74282">
            <w:pPr>
              <w:jc w:val="right"/>
              <w:rPr>
                <w:color w:val="000000"/>
                <w:sz w:val="20"/>
                <w:szCs w:val="20"/>
                <w:lang w:val="fr-FR" w:eastAsia="en-CA"/>
              </w:rPr>
            </w:pPr>
            <w:r w:rsidRPr="00EE0EF7">
              <w:rPr>
                <w:color w:val="000000"/>
                <w:sz w:val="20"/>
                <w:szCs w:val="20"/>
                <w:lang w:val="fr-FR" w:eastAsia="fr"/>
              </w:rPr>
              <w:t>753,00</w:t>
            </w:r>
          </w:p>
        </w:tc>
        <w:tc>
          <w:tcPr>
            <w:tcW w:w="680" w:type="pct"/>
            <w:tcBorders>
              <w:top w:val="single" w:sz="2" w:space="0" w:color="auto"/>
              <w:left w:val="single" w:sz="2" w:space="0" w:color="auto"/>
              <w:bottom w:val="single" w:sz="2" w:space="0" w:color="auto"/>
              <w:right w:val="single" w:sz="2" w:space="0" w:color="auto"/>
            </w:tcBorders>
            <w:vAlign w:val="center"/>
          </w:tcPr>
          <w:p w14:paraId="4B4C504A" w14:textId="77777777" w:rsidR="00C74282" w:rsidRPr="00EE0EF7" w:rsidRDefault="00C74282">
            <w:pPr>
              <w:jc w:val="center"/>
              <w:rPr>
                <w:color w:val="000000"/>
                <w:sz w:val="20"/>
                <w:szCs w:val="20"/>
                <w:lang w:val="fr-FR" w:eastAsia="en-CA"/>
              </w:rPr>
            </w:pPr>
            <w:r w:rsidRPr="00EE0EF7">
              <w:rPr>
                <w:color w:val="000000"/>
                <w:sz w:val="20"/>
                <w:szCs w:val="20"/>
                <w:lang w:val="fr-FR" w:eastAsia="fr"/>
              </w:rPr>
              <w:t>44,1</w:t>
            </w:r>
          </w:p>
        </w:tc>
      </w:tr>
      <w:tr w:rsidR="00C74282" w:rsidRPr="00EE0EF7" w14:paraId="0E7C69B3" w14:textId="77777777" w:rsidTr="00C26B2E">
        <w:trPr>
          <w:trHeight w:val="78"/>
        </w:trPr>
        <w:tc>
          <w:tcPr>
            <w:tcW w:w="1590" w:type="pct"/>
            <w:tcBorders>
              <w:top w:val="nil"/>
              <w:left w:val="single" w:sz="4" w:space="0" w:color="auto"/>
              <w:bottom w:val="single" w:sz="4" w:space="0" w:color="auto"/>
              <w:right w:val="single" w:sz="4" w:space="0" w:color="auto"/>
            </w:tcBorders>
            <w:noWrap/>
            <w:hideMark/>
          </w:tcPr>
          <w:p w14:paraId="266A0B66" w14:textId="77777777" w:rsidR="00C74282" w:rsidRPr="00EE0EF7" w:rsidRDefault="00C74282">
            <w:pPr>
              <w:jc w:val="left"/>
              <w:rPr>
                <w:color w:val="000000"/>
                <w:sz w:val="20"/>
                <w:szCs w:val="20"/>
                <w:lang w:val="fr-FR" w:eastAsia="en-CA"/>
              </w:rPr>
            </w:pPr>
            <w:r w:rsidRPr="00EE0EF7">
              <w:rPr>
                <w:color w:val="000000"/>
                <w:sz w:val="20"/>
                <w:szCs w:val="20"/>
                <w:lang w:val="fr-FR" w:eastAsia="fr"/>
              </w:rPr>
              <w:t>petits magasins de détail</w:t>
            </w:r>
          </w:p>
        </w:tc>
        <w:tc>
          <w:tcPr>
            <w:tcW w:w="910" w:type="pct"/>
            <w:tcBorders>
              <w:top w:val="nil"/>
              <w:left w:val="nil"/>
              <w:bottom w:val="single" w:sz="4" w:space="0" w:color="auto"/>
              <w:right w:val="single" w:sz="4" w:space="0" w:color="auto"/>
            </w:tcBorders>
            <w:noWrap/>
            <w:hideMark/>
          </w:tcPr>
          <w:p w14:paraId="4D440B91" w14:textId="77777777" w:rsidR="00C74282" w:rsidRPr="00EE0EF7" w:rsidRDefault="00C74282">
            <w:pPr>
              <w:jc w:val="right"/>
              <w:rPr>
                <w:color w:val="000000"/>
                <w:sz w:val="20"/>
                <w:szCs w:val="20"/>
                <w:lang w:val="fr-FR" w:eastAsia="en-CA"/>
              </w:rPr>
            </w:pPr>
            <w:r w:rsidRPr="00EE0EF7">
              <w:rPr>
                <w:color w:val="000000"/>
                <w:sz w:val="20"/>
                <w:szCs w:val="20"/>
                <w:lang w:val="fr-FR" w:eastAsia="fr"/>
              </w:rPr>
              <w:t>s.o.</w:t>
            </w:r>
          </w:p>
        </w:tc>
        <w:tc>
          <w:tcPr>
            <w:tcW w:w="986" w:type="pct"/>
            <w:tcBorders>
              <w:top w:val="nil"/>
              <w:left w:val="nil"/>
              <w:bottom w:val="single" w:sz="4" w:space="0" w:color="auto"/>
              <w:right w:val="single" w:sz="4" w:space="0" w:color="auto"/>
            </w:tcBorders>
            <w:noWrap/>
            <w:vAlign w:val="center"/>
            <w:hideMark/>
          </w:tcPr>
          <w:p w14:paraId="467C8667" w14:textId="77777777" w:rsidR="00C74282" w:rsidRPr="00EE0EF7" w:rsidRDefault="00C74282">
            <w:pPr>
              <w:jc w:val="center"/>
              <w:rPr>
                <w:color w:val="000000"/>
                <w:sz w:val="20"/>
                <w:szCs w:val="20"/>
                <w:lang w:val="fr-FR" w:eastAsia="en-CA"/>
              </w:rPr>
            </w:pPr>
            <w:r w:rsidRPr="00EE0EF7">
              <w:rPr>
                <w:color w:val="000000"/>
                <w:sz w:val="20"/>
                <w:szCs w:val="20"/>
                <w:lang w:val="fr-FR" w:eastAsia="fr"/>
              </w:rPr>
              <w:t>s.o.</w:t>
            </w:r>
          </w:p>
        </w:tc>
        <w:tc>
          <w:tcPr>
            <w:tcW w:w="834" w:type="pct"/>
            <w:tcBorders>
              <w:top w:val="nil"/>
              <w:left w:val="nil"/>
              <w:bottom w:val="single" w:sz="4" w:space="0" w:color="auto"/>
              <w:right w:val="single" w:sz="2" w:space="0" w:color="auto"/>
            </w:tcBorders>
            <w:noWrap/>
            <w:hideMark/>
          </w:tcPr>
          <w:p w14:paraId="323CF742" w14:textId="77777777" w:rsidR="00C74282" w:rsidRPr="00EE0EF7" w:rsidRDefault="00C74282">
            <w:pPr>
              <w:jc w:val="right"/>
              <w:rPr>
                <w:color w:val="000000"/>
                <w:sz w:val="20"/>
                <w:szCs w:val="20"/>
                <w:lang w:val="fr-FR" w:eastAsia="en-CA"/>
              </w:rPr>
            </w:pPr>
            <w:r w:rsidRPr="00EE0EF7">
              <w:rPr>
                <w:color w:val="000000"/>
                <w:sz w:val="20"/>
                <w:szCs w:val="20"/>
                <w:lang w:val="fr-FR" w:eastAsia="fr"/>
              </w:rPr>
              <w:t>250,00</w:t>
            </w:r>
          </w:p>
        </w:tc>
        <w:tc>
          <w:tcPr>
            <w:tcW w:w="680" w:type="pct"/>
            <w:tcBorders>
              <w:top w:val="single" w:sz="2" w:space="0" w:color="auto"/>
              <w:left w:val="single" w:sz="2" w:space="0" w:color="auto"/>
              <w:bottom w:val="single" w:sz="2" w:space="0" w:color="auto"/>
              <w:right w:val="single" w:sz="2" w:space="0" w:color="auto"/>
            </w:tcBorders>
            <w:vAlign w:val="center"/>
          </w:tcPr>
          <w:p w14:paraId="67E670A5" w14:textId="77777777" w:rsidR="00C74282" w:rsidRPr="00EE0EF7" w:rsidRDefault="00C74282">
            <w:pPr>
              <w:jc w:val="center"/>
              <w:rPr>
                <w:color w:val="000000"/>
                <w:sz w:val="20"/>
                <w:szCs w:val="20"/>
                <w:lang w:val="fr-FR" w:eastAsia="en-CA"/>
              </w:rPr>
            </w:pPr>
            <w:r w:rsidRPr="00EE0EF7">
              <w:rPr>
                <w:color w:val="000000"/>
                <w:sz w:val="20"/>
                <w:szCs w:val="20"/>
                <w:lang w:val="fr-FR" w:eastAsia="fr"/>
              </w:rPr>
              <w:t>14,6</w:t>
            </w:r>
          </w:p>
        </w:tc>
      </w:tr>
      <w:tr w:rsidR="00C74282" w:rsidRPr="00EE0EF7" w14:paraId="6AF6D4CD" w14:textId="77777777" w:rsidTr="00C26B2E">
        <w:trPr>
          <w:trHeight w:val="45"/>
        </w:trPr>
        <w:tc>
          <w:tcPr>
            <w:tcW w:w="1590" w:type="pct"/>
            <w:tcBorders>
              <w:top w:val="nil"/>
              <w:left w:val="single" w:sz="4" w:space="0" w:color="auto"/>
              <w:bottom w:val="single" w:sz="4" w:space="0" w:color="auto"/>
              <w:right w:val="single" w:sz="4" w:space="0" w:color="auto"/>
            </w:tcBorders>
            <w:noWrap/>
            <w:hideMark/>
          </w:tcPr>
          <w:p w14:paraId="55EF9FE3" w14:textId="77777777" w:rsidR="00C74282" w:rsidRPr="00EE0EF7" w:rsidRDefault="00C74282">
            <w:pPr>
              <w:jc w:val="left"/>
              <w:rPr>
                <w:color w:val="000000"/>
                <w:sz w:val="20"/>
                <w:szCs w:val="20"/>
                <w:lang w:val="fr-FR" w:eastAsia="en-CA"/>
              </w:rPr>
            </w:pPr>
            <w:r w:rsidRPr="00EE0EF7">
              <w:rPr>
                <w:color w:val="000000"/>
                <w:sz w:val="20"/>
                <w:szCs w:val="20"/>
                <w:lang w:val="fr-FR" w:eastAsia="fr"/>
              </w:rPr>
              <w:t>Pêches</w:t>
            </w:r>
          </w:p>
        </w:tc>
        <w:tc>
          <w:tcPr>
            <w:tcW w:w="910" w:type="pct"/>
            <w:tcBorders>
              <w:top w:val="nil"/>
              <w:left w:val="nil"/>
              <w:bottom w:val="single" w:sz="4" w:space="0" w:color="auto"/>
              <w:right w:val="single" w:sz="4" w:space="0" w:color="auto"/>
            </w:tcBorders>
            <w:noWrap/>
            <w:hideMark/>
          </w:tcPr>
          <w:p w14:paraId="64D5B994" w14:textId="77777777" w:rsidR="00C74282" w:rsidRPr="00EE0EF7" w:rsidRDefault="00C74282">
            <w:pPr>
              <w:jc w:val="right"/>
              <w:rPr>
                <w:color w:val="000000"/>
                <w:sz w:val="20"/>
                <w:szCs w:val="20"/>
                <w:lang w:val="fr-FR" w:eastAsia="en-CA"/>
              </w:rPr>
            </w:pPr>
            <w:r w:rsidRPr="00EE0EF7">
              <w:rPr>
                <w:color w:val="000000"/>
                <w:sz w:val="20"/>
                <w:szCs w:val="20"/>
                <w:lang w:val="fr-FR" w:eastAsia="fr"/>
              </w:rPr>
              <w:t>217,99</w:t>
            </w:r>
          </w:p>
        </w:tc>
        <w:tc>
          <w:tcPr>
            <w:tcW w:w="986" w:type="pct"/>
            <w:tcBorders>
              <w:top w:val="nil"/>
              <w:left w:val="nil"/>
              <w:bottom w:val="single" w:sz="4" w:space="0" w:color="auto"/>
              <w:right w:val="single" w:sz="4" w:space="0" w:color="auto"/>
            </w:tcBorders>
            <w:noWrap/>
            <w:vAlign w:val="center"/>
            <w:hideMark/>
          </w:tcPr>
          <w:p w14:paraId="763D551A" w14:textId="77777777" w:rsidR="00C74282" w:rsidRPr="00EE0EF7" w:rsidRDefault="00C74282">
            <w:pPr>
              <w:jc w:val="center"/>
              <w:rPr>
                <w:color w:val="000000"/>
                <w:sz w:val="20"/>
                <w:szCs w:val="20"/>
                <w:lang w:val="fr-FR" w:eastAsia="en-CA"/>
              </w:rPr>
            </w:pPr>
            <w:r w:rsidRPr="00EE0EF7">
              <w:rPr>
                <w:color w:val="000000"/>
                <w:sz w:val="20"/>
                <w:szCs w:val="20"/>
                <w:lang w:val="fr-FR" w:eastAsia="fr"/>
              </w:rPr>
              <w:t>252</w:t>
            </w:r>
          </w:p>
        </w:tc>
        <w:tc>
          <w:tcPr>
            <w:tcW w:w="834" w:type="pct"/>
            <w:tcBorders>
              <w:top w:val="nil"/>
              <w:left w:val="nil"/>
              <w:bottom w:val="single" w:sz="4" w:space="0" w:color="auto"/>
              <w:right w:val="single" w:sz="2" w:space="0" w:color="auto"/>
            </w:tcBorders>
            <w:noWrap/>
            <w:hideMark/>
          </w:tcPr>
          <w:p w14:paraId="29F6CDB1" w14:textId="77777777" w:rsidR="00C74282" w:rsidRPr="00EE0EF7" w:rsidRDefault="00C74282">
            <w:pPr>
              <w:jc w:val="right"/>
              <w:rPr>
                <w:color w:val="000000"/>
                <w:sz w:val="20"/>
                <w:szCs w:val="20"/>
                <w:lang w:val="fr-FR" w:eastAsia="en-CA"/>
              </w:rPr>
            </w:pPr>
            <w:r w:rsidRPr="00EE0EF7">
              <w:rPr>
                <w:color w:val="000000"/>
                <w:sz w:val="20"/>
                <w:szCs w:val="20"/>
                <w:lang w:val="fr-FR" w:eastAsia="fr"/>
              </w:rPr>
              <w:t>549,00</w:t>
            </w:r>
          </w:p>
        </w:tc>
        <w:tc>
          <w:tcPr>
            <w:tcW w:w="680" w:type="pct"/>
            <w:tcBorders>
              <w:top w:val="single" w:sz="2" w:space="0" w:color="auto"/>
              <w:left w:val="single" w:sz="2" w:space="0" w:color="auto"/>
              <w:bottom w:val="single" w:sz="2" w:space="0" w:color="auto"/>
              <w:right w:val="single" w:sz="2" w:space="0" w:color="auto"/>
            </w:tcBorders>
            <w:vAlign w:val="center"/>
          </w:tcPr>
          <w:p w14:paraId="7C3DD3E4" w14:textId="77777777" w:rsidR="00C74282" w:rsidRPr="00EE0EF7" w:rsidRDefault="00C74282">
            <w:pPr>
              <w:jc w:val="center"/>
              <w:rPr>
                <w:color w:val="000000"/>
                <w:sz w:val="20"/>
                <w:szCs w:val="20"/>
                <w:lang w:val="fr-FR" w:eastAsia="en-CA"/>
              </w:rPr>
            </w:pPr>
            <w:r w:rsidRPr="00EE0EF7">
              <w:rPr>
                <w:color w:val="000000"/>
                <w:sz w:val="20"/>
                <w:szCs w:val="20"/>
                <w:lang w:val="fr-FR" w:eastAsia="fr"/>
              </w:rPr>
              <w:t>32,1</w:t>
            </w:r>
          </w:p>
        </w:tc>
      </w:tr>
      <w:tr w:rsidR="00C74282" w:rsidRPr="00EE0EF7" w14:paraId="775CA81C" w14:textId="77777777" w:rsidTr="00C26B2E">
        <w:trPr>
          <w:trHeight w:val="45"/>
        </w:trPr>
        <w:tc>
          <w:tcPr>
            <w:tcW w:w="1590" w:type="pct"/>
            <w:tcBorders>
              <w:top w:val="nil"/>
              <w:left w:val="single" w:sz="4" w:space="0" w:color="auto"/>
              <w:bottom w:val="single" w:sz="4" w:space="0" w:color="auto"/>
              <w:right w:val="single" w:sz="4" w:space="0" w:color="auto"/>
            </w:tcBorders>
            <w:noWrap/>
            <w:hideMark/>
          </w:tcPr>
          <w:p w14:paraId="1A4EA9CC" w14:textId="77777777" w:rsidR="00C74282" w:rsidRPr="00EE0EF7" w:rsidRDefault="00C74282">
            <w:pPr>
              <w:jc w:val="left"/>
              <w:rPr>
                <w:color w:val="000000"/>
                <w:sz w:val="20"/>
                <w:szCs w:val="20"/>
                <w:lang w:val="fr-FR" w:eastAsia="en-CA"/>
              </w:rPr>
            </w:pPr>
            <w:r w:rsidRPr="00EE0EF7">
              <w:rPr>
                <w:color w:val="000000"/>
                <w:sz w:val="20"/>
                <w:szCs w:val="20"/>
                <w:lang w:val="fr-FR" w:eastAsia="fr"/>
              </w:rPr>
              <w:t>Crèmes glacées, vignobles, fermes laitières</w:t>
            </w:r>
          </w:p>
        </w:tc>
        <w:tc>
          <w:tcPr>
            <w:tcW w:w="910" w:type="pct"/>
            <w:tcBorders>
              <w:top w:val="nil"/>
              <w:left w:val="nil"/>
              <w:bottom w:val="single" w:sz="4" w:space="0" w:color="auto"/>
              <w:right w:val="single" w:sz="4" w:space="0" w:color="auto"/>
            </w:tcBorders>
            <w:noWrap/>
            <w:hideMark/>
          </w:tcPr>
          <w:p w14:paraId="56D4AB2F" w14:textId="77777777" w:rsidR="00C74282" w:rsidRPr="00EE0EF7" w:rsidRDefault="00C74282">
            <w:pPr>
              <w:jc w:val="right"/>
              <w:rPr>
                <w:color w:val="000000"/>
                <w:sz w:val="20"/>
                <w:szCs w:val="20"/>
                <w:lang w:val="fr-FR" w:eastAsia="en-CA"/>
              </w:rPr>
            </w:pPr>
            <w:r w:rsidRPr="00EE0EF7">
              <w:rPr>
                <w:color w:val="000000"/>
                <w:sz w:val="20"/>
                <w:szCs w:val="20"/>
                <w:lang w:val="fr-FR" w:eastAsia="fr"/>
              </w:rPr>
              <w:t>132,96</w:t>
            </w:r>
          </w:p>
        </w:tc>
        <w:tc>
          <w:tcPr>
            <w:tcW w:w="986" w:type="pct"/>
            <w:tcBorders>
              <w:top w:val="nil"/>
              <w:left w:val="nil"/>
              <w:bottom w:val="single" w:sz="4" w:space="0" w:color="auto"/>
              <w:right w:val="single" w:sz="4" w:space="0" w:color="auto"/>
            </w:tcBorders>
            <w:noWrap/>
            <w:vAlign w:val="center"/>
            <w:hideMark/>
          </w:tcPr>
          <w:p w14:paraId="37B80D21" w14:textId="77777777" w:rsidR="00C74282" w:rsidRPr="00EE0EF7" w:rsidRDefault="00C74282">
            <w:pPr>
              <w:jc w:val="center"/>
              <w:rPr>
                <w:color w:val="000000"/>
                <w:sz w:val="20"/>
                <w:szCs w:val="20"/>
                <w:lang w:val="fr-FR" w:eastAsia="en-CA"/>
              </w:rPr>
            </w:pPr>
            <w:r w:rsidRPr="00EE0EF7">
              <w:rPr>
                <w:color w:val="000000"/>
                <w:sz w:val="20"/>
                <w:szCs w:val="20"/>
                <w:lang w:val="fr-FR" w:eastAsia="fr"/>
              </w:rPr>
              <w:t>2</w:t>
            </w:r>
          </w:p>
        </w:tc>
        <w:tc>
          <w:tcPr>
            <w:tcW w:w="834" w:type="pct"/>
            <w:tcBorders>
              <w:top w:val="nil"/>
              <w:left w:val="nil"/>
              <w:bottom w:val="single" w:sz="4" w:space="0" w:color="auto"/>
              <w:right w:val="single" w:sz="2" w:space="0" w:color="auto"/>
            </w:tcBorders>
            <w:noWrap/>
            <w:hideMark/>
          </w:tcPr>
          <w:p w14:paraId="2ADC89C6" w14:textId="77777777" w:rsidR="00C74282" w:rsidRPr="00EE0EF7" w:rsidRDefault="00C74282">
            <w:pPr>
              <w:jc w:val="right"/>
              <w:rPr>
                <w:color w:val="000000"/>
                <w:sz w:val="20"/>
                <w:szCs w:val="20"/>
                <w:lang w:val="fr-FR" w:eastAsia="en-CA"/>
              </w:rPr>
            </w:pPr>
            <w:r w:rsidRPr="00EE0EF7">
              <w:rPr>
                <w:color w:val="000000"/>
                <w:sz w:val="20"/>
                <w:szCs w:val="20"/>
                <w:lang w:val="fr-FR" w:eastAsia="fr"/>
              </w:rPr>
              <w:t>2,66</w:t>
            </w:r>
          </w:p>
        </w:tc>
        <w:tc>
          <w:tcPr>
            <w:tcW w:w="680" w:type="pct"/>
            <w:tcBorders>
              <w:top w:val="single" w:sz="2" w:space="0" w:color="auto"/>
              <w:left w:val="single" w:sz="2" w:space="0" w:color="auto"/>
              <w:bottom w:val="single" w:sz="2" w:space="0" w:color="auto"/>
              <w:right w:val="single" w:sz="2" w:space="0" w:color="auto"/>
            </w:tcBorders>
            <w:vAlign w:val="center"/>
          </w:tcPr>
          <w:p w14:paraId="699E4226" w14:textId="77777777" w:rsidR="00C74282" w:rsidRPr="00EE0EF7" w:rsidRDefault="00C74282">
            <w:pPr>
              <w:jc w:val="center"/>
              <w:rPr>
                <w:color w:val="000000"/>
                <w:sz w:val="20"/>
                <w:szCs w:val="20"/>
                <w:lang w:val="fr-FR" w:eastAsia="en-CA"/>
              </w:rPr>
            </w:pPr>
            <w:r w:rsidRPr="00EE0EF7">
              <w:rPr>
                <w:color w:val="000000"/>
                <w:sz w:val="20"/>
                <w:szCs w:val="20"/>
                <w:lang w:val="fr-FR" w:eastAsia="fr"/>
              </w:rPr>
              <w:t>0,2</w:t>
            </w:r>
          </w:p>
        </w:tc>
      </w:tr>
      <w:tr w:rsidR="00C74282" w:rsidRPr="00EE0EF7" w14:paraId="7E42EEED" w14:textId="77777777" w:rsidTr="00C26B2E">
        <w:trPr>
          <w:trHeight w:val="75"/>
        </w:trPr>
        <w:tc>
          <w:tcPr>
            <w:tcW w:w="1590" w:type="pct"/>
            <w:tcBorders>
              <w:top w:val="single" w:sz="4" w:space="0" w:color="auto"/>
              <w:left w:val="single" w:sz="4" w:space="0" w:color="auto"/>
              <w:bottom w:val="single" w:sz="4" w:space="0" w:color="auto"/>
            </w:tcBorders>
            <w:noWrap/>
            <w:hideMark/>
          </w:tcPr>
          <w:p w14:paraId="38AA2120" w14:textId="77777777" w:rsidR="00C74282" w:rsidRPr="00EE0EF7" w:rsidRDefault="00C74282">
            <w:pPr>
              <w:jc w:val="left"/>
              <w:rPr>
                <w:b/>
                <w:bCs/>
                <w:color w:val="000000"/>
                <w:sz w:val="20"/>
                <w:szCs w:val="20"/>
                <w:lang w:val="fr-FR" w:eastAsia="en-CA"/>
              </w:rPr>
            </w:pPr>
            <w:r w:rsidRPr="00EE0EF7">
              <w:rPr>
                <w:b/>
                <w:bCs/>
                <w:color w:val="000000"/>
                <w:sz w:val="20"/>
                <w:szCs w:val="20"/>
                <w:lang w:val="fr-FR" w:eastAsia="fr"/>
              </w:rPr>
              <w:t xml:space="preserve">Total partiel Réfrigération </w:t>
            </w:r>
          </w:p>
        </w:tc>
        <w:tc>
          <w:tcPr>
            <w:tcW w:w="910" w:type="pct"/>
            <w:tcBorders>
              <w:top w:val="single" w:sz="4" w:space="0" w:color="auto"/>
              <w:bottom w:val="single" w:sz="4" w:space="0" w:color="auto"/>
            </w:tcBorders>
            <w:noWrap/>
            <w:hideMark/>
          </w:tcPr>
          <w:p w14:paraId="71C59247" w14:textId="77777777" w:rsidR="00C74282" w:rsidRPr="00EE0EF7" w:rsidRDefault="00C74282">
            <w:pPr>
              <w:jc w:val="right"/>
              <w:rPr>
                <w:b/>
                <w:bCs/>
                <w:color w:val="000000"/>
                <w:sz w:val="20"/>
                <w:szCs w:val="20"/>
                <w:lang w:val="fr-FR" w:eastAsia="en-CA"/>
              </w:rPr>
            </w:pPr>
          </w:p>
        </w:tc>
        <w:tc>
          <w:tcPr>
            <w:tcW w:w="986" w:type="pct"/>
            <w:tcBorders>
              <w:top w:val="single" w:sz="4" w:space="0" w:color="auto"/>
              <w:bottom w:val="single" w:sz="4" w:space="0" w:color="auto"/>
              <w:right w:val="single" w:sz="4" w:space="0" w:color="auto"/>
            </w:tcBorders>
            <w:noWrap/>
            <w:vAlign w:val="center"/>
            <w:hideMark/>
          </w:tcPr>
          <w:p w14:paraId="43899CD6" w14:textId="77777777" w:rsidR="00C74282" w:rsidRPr="00EE0EF7" w:rsidRDefault="00C74282">
            <w:pPr>
              <w:jc w:val="center"/>
              <w:rPr>
                <w:b/>
                <w:bCs/>
                <w:color w:val="000000"/>
                <w:sz w:val="20"/>
                <w:szCs w:val="20"/>
                <w:lang w:val="fr-FR" w:eastAsia="en-CA"/>
              </w:rPr>
            </w:pPr>
          </w:p>
        </w:tc>
        <w:tc>
          <w:tcPr>
            <w:tcW w:w="834" w:type="pct"/>
            <w:tcBorders>
              <w:top w:val="nil"/>
              <w:left w:val="single" w:sz="4" w:space="0" w:color="auto"/>
              <w:bottom w:val="single" w:sz="4" w:space="0" w:color="auto"/>
              <w:right w:val="single" w:sz="2" w:space="0" w:color="auto"/>
            </w:tcBorders>
            <w:noWrap/>
            <w:hideMark/>
          </w:tcPr>
          <w:p w14:paraId="11529F14" w14:textId="77777777" w:rsidR="00C74282" w:rsidRPr="00EE0EF7" w:rsidRDefault="00C74282">
            <w:pPr>
              <w:jc w:val="right"/>
              <w:rPr>
                <w:b/>
                <w:bCs/>
                <w:color w:val="000000"/>
                <w:sz w:val="20"/>
                <w:szCs w:val="20"/>
                <w:lang w:val="fr-FR" w:eastAsia="en-CA"/>
              </w:rPr>
            </w:pPr>
            <w:r w:rsidRPr="00EE0EF7">
              <w:rPr>
                <w:b/>
                <w:bCs/>
                <w:color w:val="000000"/>
                <w:sz w:val="20"/>
                <w:szCs w:val="20"/>
                <w:lang w:val="fr-FR" w:eastAsia="fr"/>
              </w:rPr>
              <w:t>1 554,66</w:t>
            </w:r>
          </w:p>
        </w:tc>
        <w:tc>
          <w:tcPr>
            <w:tcW w:w="680" w:type="pct"/>
            <w:tcBorders>
              <w:top w:val="single" w:sz="2" w:space="0" w:color="auto"/>
              <w:left w:val="single" w:sz="2" w:space="0" w:color="auto"/>
              <w:bottom w:val="single" w:sz="2" w:space="0" w:color="auto"/>
              <w:right w:val="single" w:sz="2" w:space="0" w:color="auto"/>
            </w:tcBorders>
            <w:vAlign w:val="center"/>
          </w:tcPr>
          <w:p w14:paraId="29AD73DF" w14:textId="77777777" w:rsidR="00C74282" w:rsidRPr="00EE0EF7" w:rsidRDefault="00C74282">
            <w:pPr>
              <w:jc w:val="center"/>
              <w:rPr>
                <w:b/>
                <w:bCs/>
                <w:color w:val="000000"/>
                <w:sz w:val="20"/>
                <w:szCs w:val="20"/>
                <w:lang w:val="fr-FR" w:eastAsia="en-CA"/>
              </w:rPr>
            </w:pPr>
            <w:r w:rsidRPr="00EE0EF7">
              <w:rPr>
                <w:b/>
                <w:bCs/>
                <w:color w:val="000000"/>
                <w:sz w:val="20"/>
                <w:szCs w:val="20"/>
                <w:lang w:val="fr-FR" w:eastAsia="fr"/>
              </w:rPr>
              <w:t>91,0</w:t>
            </w:r>
          </w:p>
        </w:tc>
      </w:tr>
      <w:tr w:rsidR="00C74282" w:rsidRPr="00EE0EF7" w14:paraId="44F894EA" w14:textId="77777777" w:rsidTr="00C26B2E">
        <w:trPr>
          <w:trHeight w:val="120"/>
        </w:trPr>
        <w:tc>
          <w:tcPr>
            <w:tcW w:w="1590" w:type="pct"/>
            <w:tcBorders>
              <w:top w:val="single" w:sz="4" w:space="0" w:color="auto"/>
              <w:left w:val="single" w:sz="4" w:space="0" w:color="auto"/>
              <w:bottom w:val="single" w:sz="4" w:space="0" w:color="auto"/>
            </w:tcBorders>
            <w:noWrap/>
            <w:hideMark/>
          </w:tcPr>
          <w:p w14:paraId="68D4EDC9" w14:textId="77777777" w:rsidR="00C74282" w:rsidRPr="00EE0EF7" w:rsidRDefault="00C74282">
            <w:pPr>
              <w:jc w:val="left"/>
              <w:rPr>
                <w:b/>
                <w:bCs/>
                <w:color w:val="000000"/>
                <w:sz w:val="20"/>
                <w:szCs w:val="20"/>
                <w:lang w:val="fr-FR" w:eastAsia="en-CA"/>
              </w:rPr>
            </w:pPr>
            <w:r w:rsidRPr="00EE0EF7">
              <w:rPr>
                <w:b/>
                <w:bCs/>
                <w:color w:val="000000"/>
                <w:sz w:val="20"/>
                <w:szCs w:val="20"/>
                <w:lang w:val="fr-FR" w:eastAsia="fr"/>
              </w:rPr>
              <w:t>Total général</w:t>
            </w:r>
          </w:p>
        </w:tc>
        <w:tc>
          <w:tcPr>
            <w:tcW w:w="910" w:type="pct"/>
            <w:tcBorders>
              <w:top w:val="single" w:sz="4" w:space="0" w:color="auto"/>
              <w:bottom w:val="single" w:sz="4" w:space="0" w:color="auto"/>
            </w:tcBorders>
            <w:noWrap/>
            <w:hideMark/>
          </w:tcPr>
          <w:p w14:paraId="4BB3233E" w14:textId="77777777" w:rsidR="00C74282" w:rsidRPr="00EE0EF7" w:rsidRDefault="00C74282">
            <w:pPr>
              <w:jc w:val="right"/>
              <w:rPr>
                <w:b/>
                <w:bCs/>
                <w:color w:val="000000"/>
                <w:sz w:val="20"/>
                <w:szCs w:val="20"/>
                <w:lang w:val="fr-FR" w:eastAsia="en-CA"/>
              </w:rPr>
            </w:pPr>
          </w:p>
        </w:tc>
        <w:tc>
          <w:tcPr>
            <w:tcW w:w="986" w:type="pct"/>
            <w:tcBorders>
              <w:top w:val="single" w:sz="4" w:space="0" w:color="auto"/>
              <w:bottom w:val="single" w:sz="4" w:space="0" w:color="auto"/>
              <w:right w:val="single" w:sz="4" w:space="0" w:color="auto"/>
            </w:tcBorders>
            <w:noWrap/>
            <w:vAlign w:val="center"/>
            <w:hideMark/>
          </w:tcPr>
          <w:p w14:paraId="325BD897" w14:textId="77777777" w:rsidR="00C74282" w:rsidRPr="00EE0EF7" w:rsidRDefault="00C74282">
            <w:pPr>
              <w:jc w:val="center"/>
              <w:rPr>
                <w:b/>
                <w:bCs/>
                <w:color w:val="000000"/>
                <w:sz w:val="20"/>
                <w:szCs w:val="20"/>
                <w:lang w:val="fr-FR" w:eastAsia="en-CA"/>
              </w:rPr>
            </w:pPr>
          </w:p>
        </w:tc>
        <w:tc>
          <w:tcPr>
            <w:tcW w:w="834" w:type="pct"/>
            <w:tcBorders>
              <w:top w:val="nil"/>
              <w:left w:val="single" w:sz="4" w:space="0" w:color="auto"/>
              <w:bottom w:val="single" w:sz="4" w:space="0" w:color="auto"/>
              <w:right w:val="single" w:sz="2" w:space="0" w:color="auto"/>
            </w:tcBorders>
            <w:noWrap/>
            <w:hideMark/>
          </w:tcPr>
          <w:p w14:paraId="0890F53F" w14:textId="77777777" w:rsidR="00C74282" w:rsidRPr="00EE0EF7" w:rsidRDefault="00C74282">
            <w:pPr>
              <w:jc w:val="right"/>
              <w:rPr>
                <w:b/>
                <w:bCs/>
                <w:color w:val="000000"/>
                <w:sz w:val="20"/>
                <w:szCs w:val="20"/>
                <w:lang w:val="fr-FR" w:eastAsia="en-CA"/>
              </w:rPr>
            </w:pPr>
            <w:r w:rsidRPr="00EE0EF7">
              <w:rPr>
                <w:b/>
                <w:bCs/>
                <w:color w:val="000000"/>
                <w:sz w:val="20"/>
                <w:szCs w:val="20"/>
                <w:lang w:val="fr-FR" w:eastAsia="fr"/>
              </w:rPr>
              <w:t>1 709,32</w:t>
            </w:r>
          </w:p>
        </w:tc>
        <w:tc>
          <w:tcPr>
            <w:tcW w:w="680" w:type="pct"/>
            <w:tcBorders>
              <w:top w:val="single" w:sz="2" w:space="0" w:color="auto"/>
              <w:left w:val="single" w:sz="2" w:space="0" w:color="auto"/>
              <w:bottom w:val="single" w:sz="2" w:space="0" w:color="auto"/>
              <w:right w:val="single" w:sz="2" w:space="0" w:color="auto"/>
            </w:tcBorders>
            <w:vAlign w:val="center"/>
          </w:tcPr>
          <w:p w14:paraId="3C1D23F0" w14:textId="77777777" w:rsidR="00C74282" w:rsidRPr="00EE0EF7" w:rsidRDefault="00C74282">
            <w:pPr>
              <w:jc w:val="center"/>
              <w:rPr>
                <w:b/>
                <w:bCs/>
                <w:color w:val="000000"/>
                <w:sz w:val="20"/>
                <w:szCs w:val="20"/>
                <w:lang w:val="fr-FR" w:eastAsia="en-CA"/>
              </w:rPr>
            </w:pPr>
            <w:r w:rsidRPr="00EE0EF7">
              <w:rPr>
                <w:b/>
                <w:bCs/>
                <w:color w:val="000000"/>
                <w:sz w:val="20"/>
                <w:szCs w:val="20"/>
                <w:lang w:val="fr-FR" w:eastAsia="fr"/>
              </w:rPr>
              <w:t>100</w:t>
            </w:r>
          </w:p>
        </w:tc>
      </w:tr>
    </w:tbl>
    <w:p w14:paraId="051EF465" w14:textId="77777777" w:rsidR="009026AF" w:rsidRPr="00EE0EF7" w:rsidRDefault="00C74282" w:rsidP="009026AF">
      <w:pPr>
        <w:rPr>
          <w:sz w:val="18"/>
          <w:szCs w:val="18"/>
          <w:u w:val="single"/>
          <w:lang w:val="fr-FR"/>
        </w:rPr>
      </w:pPr>
      <w:r w:rsidRPr="00EE0EF7">
        <w:rPr>
          <w:sz w:val="18"/>
          <w:szCs w:val="18"/>
          <w:lang w:val="fr-FR"/>
        </w:rPr>
        <w:t>* Dont 2,7 tm de HCFC-123</w:t>
      </w:r>
      <w:r w:rsidR="009026AF" w:rsidRPr="00EE0EF7">
        <w:rPr>
          <w:sz w:val="18"/>
          <w:szCs w:val="18"/>
          <w:u w:val="single"/>
          <w:lang w:val="fr-FR"/>
        </w:rPr>
        <w:t xml:space="preserve"> </w:t>
      </w:r>
    </w:p>
    <w:p w14:paraId="73AA8B3B" w14:textId="78A4FBFD" w:rsidR="009026AF" w:rsidRPr="00EE0EF7" w:rsidRDefault="009026AF" w:rsidP="009026AF">
      <w:pPr>
        <w:ind w:left="142"/>
        <w:rPr>
          <w:sz w:val="18"/>
          <w:szCs w:val="18"/>
          <w:lang w:val="fr-FR"/>
        </w:rPr>
      </w:pPr>
      <w:r w:rsidRPr="00EE0EF7">
        <w:rPr>
          <w:sz w:val="18"/>
          <w:szCs w:val="18"/>
          <w:u w:val="single"/>
          <w:lang w:val="fr-FR"/>
        </w:rPr>
        <w:t>Note</w:t>
      </w:r>
      <w:r w:rsidR="00EE0EF7">
        <w:rPr>
          <w:sz w:val="18"/>
          <w:szCs w:val="18"/>
          <w:u w:val="single"/>
          <w:lang w:val="fr-FR"/>
        </w:rPr>
        <w:t> :</w:t>
      </w:r>
      <w:r w:rsidRPr="00EE0EF7">
        <w:rPr>
          <w:sz w:val="18"/>
          <w:szCs w:val="18"/>
          <w:lang w:val="fr-FR"/>
        </w:rPr>
        <w:t xml:space="preserve"> La demande estimée de HCFC diffère de la consommation enregistrée en 2024, qui était inférieure à celle des années précédentes en raison de la contraction économique. Cette estimation est globalement cohérente avec la consommation moyenne de 1 685,51 tonnes pour l’entretien entre 2022 et 2024, d’après les données du programme de pays.</w:t>
      </w:r>
    </w:p>
    <w:p w14:paraId="02583E9E" w14:textId="77777777" w:rsidR="00C74282" w:rsidRPr="00EE0EF7" w:rsidRDefault="00C74282" w:rsidP="00C74282">
      <w:pPr>
        <w:pStyle w:val="Heading1"/>
        <w:numPr>
          <w:ilvl w:val="0"/>
          <w:numId w:val="0"/>
        </w:numPr>
        <w:spacing w:before="240"/>
        <w:rPr>
          <w:i/>
          <w:iCs/>
          <w:u w:val="single"/>
          <w:lang w:val="fr-FR"/>
        </w:rPr>
      </w:pPr>
      <w:bookmarkStart w:id="2" w:name="_Hlk126915738"/>
      <w:r w:rsidRPr="00EE0EF7">
        <w:rPr>
          <w:i/>
          <w:iCs/>
          <w:u w:val="single"/>
          <w:lang w:val="fr-FR"/>
        </w:rPr>
        <w:t xml:space="preserve">Réfrigération à usage commercial et industriel </w:t>
      </w:r>
    </w:p>
    <w:p w14:paraId="0E66E0E2" w14:textId="6EB05715" w:rsidR="00C74282" w:rsidRPr="00EE0EF7" w:rsidRDefault="00C74282" w:rsidP="00C74282">
      <w:pPr>
        <w:pStyle w:val="Heading1"/>
        <w:rPr>
          <w:lang w:val="fr-FR"/>
        </w:rPr>
      </w:pPr>
      <w:r w:rsidRPr="00EE0EF7">
        <w:rPr>
          <w:lang w:val="fr-FR"/>
        </w:rPr>
        <w:t>En Argentine, les services d'entretien des systèmes de réfrigération commerciale comprennent les équipements de refroidissement pour les supermarchés et les magasins, les usines de crèmes glacées, ainsi que les installations de refroidissement des exploitations vinicoles et laitières. Les frigorigènes les plus couramment utilisés sont le HFC-134a, le HCFC-22 et le R</w:t>
      </w:r>
      <w:r w:rsidRPr="00EE0EF7">
        <w:rPr>
          <w:lang w:val="fr-FR"/>
        </w:rPr>
        <w:noBreakHyphen/>
        <w:t>404A, le HCFC</w:t>
      </w:r>
      <w:r w:rsidRPr="00EE0EF7">
        <w:rPr>
          <w:lang w:val="fr-FR"/>
        </w:rPr>
        <w:noBreakHyphen/>
        <w:t>22 étant progressivement remplacé par le R</w:t>
      </w:r>
      <w:r w:rsidRPr="00EE0EF7">
        <w:rPr>
          <w:lang w:val="fr-FR"/>
        </w:rPr>
        <w:noBreakHyphen/>
        <w:t>404A et, plus récemment, par des techniques de refroidissement à base de CO</w:t>
      </w:r>
      <w:r w:rsidRPr="00EE0EF7">
        <w:rPr>
          <w:vertAlign w:val="subscript"/>
          <w:lang w:val="fr-FR"/>
        </w:rPr>
        <w:t>2</w:t>
      </w:r>
      <w:r w:rsidRPr="00EE0EF7">
        <w:rPr>
          <w:lang w:val="fr-FR"/>
        </w:rPr>
        <w:t>. Les supermarchés sont les principaux utilisateurs de HCFC. Les taux de fuites varient entre les systèmes directs et indirects et selon la taille de l'entreprise. Dans la grande de distribution, des équipes chargées de l'entretien peuvent le faire de manière rapide et efficace; les petits commerces indépendants, quant à eux, manquent souvent d'expertise spécialisée, ce qui conduit à des interventions moins efficaces. On estime à 40 % la perte moyenne de frigorigènes due aux fuites.</w:t>
      </w:r>
    </w:p>
    <w:p w14:paraId="1BCDFB66" w14:textId="7E09AB06" w:rsidR="00C74282" w:rsidRPr="00EE0EF7" w:rsidRDefault="00C74282" w:rsidP="00C74282">
      <w:pPr>
        <w:pStyle w:val="Heading1"/>
        <w:rPr>
          <w:lang w:val="fr-FR"/>
        </w:rPr>
      </w:pPr>
      <w:r w:rsidRPr="00EE0EF7">
        <w:rPr>
          <w:lang w:val="fr-FR"/>
        </w:rPr>
        <w:lastRenderedPageBreak/>
        <w:t>La flotte de pêche argentine a en moyenne 35 ans; la plupart des bateaux sont équipés de systèmes de réfrigération vétustes. La majorité fonctionne au HCFC-22 (environ 585 bateaux), et à dans une moindre mesure le R-404A, le R-507A ou l'ammoniac (R-717/NH</w:t>
      </w:r>
      <w:r w:rsidRPr="00EE0EF7">
        <w:rPr>
          <w:vertAlign w:val="subscript"/>
          <w:lang w:val="fr-FR"/>
        </w:rPr>
        <w:t>3</w:t>
      </w:r>
      <w:r w:rsidRPr="00EE0EF7">
        <w:rPr>
          <w:lang w:val="fr-FR"/>
        </w:rPr>
        <w:t>). Les pertes de frigorigènes dans ce sous-secteur sont importantes en raison des mouvements constants et souvent brusques (tangage et roulis) des embarcations lors de campagnes de pêche prolongées, lesquelles peuvent durer des semaines</w:t>
      </w:r>
      <w:r w:rsidR="008A290B" w:rsidRPr="00EE0EF7">
        <w:rPr>
          <w:lang w:val="fr-FR"/>
        </w:rPr>
        <w:t>,</w:t>
      </w:r>
      <w:r w:rsidRPr="00EE0EF7">
        <w:rPr>
          <w:lang w:val="fr-FR"/>
        </w:rPr>
        <w:t xml:space="preserve"> voire des mois. En cas de fuite ou de panne, le frigorigène doit être immédiatement complété ou remplacé afin de préserver la cargaison de poissons et de fruits de mer. Le taux de fuite moyen par navire lors d'une campagne est d'environ 30 %. Selon le navire, le nombre de voyages par an varie de 8 à 20, ce qui entraîne une consommation de HCFC</w:t>
      </w:r>
      <w:r w:rsidRPr="00EE0EF7">
        <w:rPr>
          <w:lang w:val="fr-FR"/>
        </w:rPr>
        <w:noBreakHyphen/>
        <w:t>22 deux à six fois supérieure à la charge initiale de frigorigène.</w:t>
      </w:r>
    </w:p>
    <w:p w14:paraId="48323280" w14:textId="77777777" w:rsidR="00C74282" w:rsidRPr="00EE0EF7" w:rsidRDefault="00C74282" w:rsidP="00C74282">
      <w:pPr>
        <w:pStyle w:val="Heading1"/>
        <w:rPr>
          <w:lang w:val="fr-FR"/>
        </w:rPr>
      </w:pPr>
      <w:r w:rsidRPr="00EE0EF7">
        <w:rPr>
          <w:lang w:val="fr-FR"/>
        </w:rPr>
        <w:t>De petites quantités de HCFC-22 sont utilisées par les exploitations laitières, les vignobles et les fabricants de crèmes glacées. Les entreprises de ces secteurs utilisent également le R-717 et le R-407A. Le secteur du froid industriel utilise principalement le R-717, notamment dans les installations dédiées au stockage des fruits, à la transformation de la viande et à la conservation des fruits de mer.</w:t>
      </w:r>
    </w:p>
    <w:p w14:paraId="48C8260D" w14:textId="77777777" w:rsidR="00C74282" w:rsidRPr="00EE0EF7" w:rsidRDefault="00C74282" w:rsidP="00C74282">
      <w:pPr>
        <w:keepNext/>
        <w:spacing w:before="240" w:after="240"/>
        <w:rPr>
          <w:i/>
          <w:iCs/>
          <w:u w:val="single"/>
          <w:lang w:val="fr-FR"/>
        </w:rPr>
      </w:pPr>
      <w:r w:rsidRPr="00EE0EF7">
        <w:rPr>
          <w:i/>
          <w:iCs/>
          <w:u w:val="single"/>
          <w:lang w:val="fr-FR"/>
        </w:rPr>
        <w:t>Climatisation</w:t>
      </w:r>
    </w:p>
    <w:p w14:paraId="41689A7D" w14:textId="60D86EB1" w:rsidR="00C74282" w:rsidRPr="00EE0EF7" w:rsidRDefault="00C74282" w:rsidP="00C74282">
      <w:pPr>
        <w:pStyle w:val="Heading1"/>
        <w:rPr>
          <w:lang w:val="fr-FR"/>
        </w:rPr>
      </w:pPr>
      <w:r w:rsidRPr="00EE0EF7">
        <w:rPr>
          <w:rFonts w:eastAsia="Calibri"/>
          <w:lang w:val="fr-FR"/>
        </w:rPr>
        <w:t>Le principal frigorigène utilisé dans les climatiseurs résidentiels est le R</w:t>
      </w:r>
      <w:r w:rsidRPr="00EE0EF7">
        <w:rPr>
          <w:lang w:val="fr-FR"/>
        </w:rPr>
        <w:noBreakHyphen/>
      </w:r>
      <w:r w:rsidRPr="00EE0EF7">
        <w:rPr>
          <w:rFonts w:eastAsia="Calibri"/>
          <w:lang w:val="fr-FR"/>
        </w:rPr>
        <w:t>410A. L'utilisation du HCFC-22 dans le secteur de la fabrication des climatiseurs résidentiels a été progressivement éliminée lors de la première étape du PGEH et suivie d'une interdiction d'importation d'équipements utilisant cette substance. On estime toutefois que 9,4 millions de climatiseurs résidentielles fonctionnant au HCFC</w:t>
      </w:r>
      <w:r w:rsidRPr="00EE0EF7">
        <w:rPr>
          <w:lang w:val="fr-FR"/>
        </w:rPr>
        <w:noBreakHyphen/>
        <w:t>22</w:t>
      </w:r>
      <w:r w:rsidRPr="00EE0EF7">
        <w:rPr>
          <w:rFonts w:eastAsia="Calibri"/>
          <w:lang w:val="fr-FR"/>
        </w:rPr>
        <w:t xml:space="preserve"> sont actuellement en service dans le pays et doivent être entretenus. On estime qu'ils seront remplacés à un taux annuel de 5 % </w:t>
      </w:r>
      <w:r w:rsidR="008A290B" w:rsidRPr="00EE0EF7">
        <w:rPr>
          <w:rFonts w:eastAsia="Calibri"/>
          <w:lang w:val="fr-FR"/>
        </w:rPr>
        <w:t xml:space="preserve">au fur et </w:t>
      </w:r>
      <w:r w:rsidRPr="00EE0EF7">
        <w:rPr>
          <w:rFonts w:eastAsia="Calibri"/>
          <w:lang w:val="fr-FR"/>
        </w:rPr>
        <w:t>à mesure qu'ils arriveront en fin de vie.</w:t>
      </w:r>
    </w:p>
    <w:p w14:paraId="64FB781D" w14:textId="4EA6A734" w:rsidR="00C74282" w:rsidRPr="00EE0EF7" w:rsidRDefault="00C74282" w:rsidP="00C74282">
      <w:pPr>
        <w:pStyle w:val="Heading1"/>
        <w:rPr>
          <w:rFonts w:eastAsia="Calibri"/>
          <w:lang w:val="fr-FR"/>
        </w:rPr>
      </w:pPr>
      <w:r w:rsidRPr="00EE0EF7">
        <w:rPr>
          <w:rFonts w:eastAsia="Calibri"/>
          <w:lang w:val="fr-FR"/>
        </w:rPr>
        <w:t>L'Argentine compte 12 importateurs ou fabricants de refroidisseurs. L'utilisation des HCFC-22 et HCFC</w:t>
      </w:r>
      <w:r w:rsidRPr="00EE0EF7">
        <w:rPr>
          <w:rFonts w:eastAsia="Calibri"/>
          <w:lang w:val="fr-FR"/>
        </w:rPr>
        <w:noBreakHyphen/>
        <w:t>123 dans la fabrication des refroidisseurs a diminué de façon constante, et aucun fabricant du pays n'utilise plus de HCFC. La plupart des refroidisseurs importés fonctionnent désormais avec des frigorigènes HFC; on estime qu'il existe encore 2 232 refroidisseurs fonctionnant au HCFC-22 et au HCFC-123 qui nécessitent toujours des HCFC pour leur entretien.</w:t>
      </w:r>
    </w:p>
    <w:p w14:paraId="1E3BCE0C" w14:textId="77777777" w:rsidR="00C74282" w:rsidRPr="00EE0EF7" w:rsidRDefault="00C74282" w:rsidP="00C74282">
      <w:pPr>
        <w:pStyle w:val="Heading1"/>
        <w:keepNext/>
        <w:numPr>
          <w:ilvl w:val="0"/>
          <w:numId w:val="0"/>
        </w:numPr>
        <w:rPr>
          <w:lang w:val="fr-FR"/>
        </w:rPr>
      </w:pPr>
      <w:r w:rsidRPr="00EE0EF7">
        <w:rPr>
          <w:u w:val="single"/>
          <w:lang w:val="fr-FR"/>
        </w:rPr>
        <w:t>Stratégie d’élimination progressive</w:t>
      </w:r>
    </w:p>
    <w:p w14:paraId="775C7035" w14:textId="6A69519A" w:rsidR="00C74282" w:rsidRPr="00EE0EF7" w:rsidRDefault="00C74282" w:rsidP="00C74282">
      <w:pPr>
        <w:pStyle w:val="Heading1"/>
        <w:rPr>
          <w:lang w:val="fr-FR"/>
        </w:rPr>
      </w:pPr>
      <w:bookmarkStart w:id="3" w:name="_Hlk125636542"/>
      <w:bookmarkEnd w:id="2"/>
      <w:r w:rsidRPr="00EE0EF7">
        <w:rPr>
          <w:shd w:val="clear" w:color="auto" w:fill="FFFFFF" w:themeFill="background1"/>
          <w:lang w:val="fr-FR"/>
        </w:rPr>
        <w:t>La phase III</w:t>
      </w:r>
      <w:bookmarkEnd w:id="3"/>
      <w:r w:rsidR="008A290B" w:rsidRPr="00EE0EF7">
        <w:rPr>
          <w:shd w:val="clear" w:color="auto" w:fill="FFFFFF" w:themeFill="background1"/>
          <w:lang w:val="fr-FR"/>
        </w:rPr>
        <w:t xml:space="preserve"> </w:t>
      </w:r>
      <w:r w:rsidRPr="00EE0EF7">
        <w:rPr>
          <w:shd w:val="clear" w:color="auto" w:fill="FFFFFF" w:themeFill="background1"/>
          <w:lang w:val="fr-FR"/>
        </w:rPr>
        <w:t>du</w:t>
      </w:r>
      <w:r w:rsidRPr="00EE0EF7">
        <w:rPr>
          <w:lang w:val="fr-FR"/>
        </w:rPr>
        <w:t xml:space="preserve"> PGEH vise à éliminer complètement la consommation de HCFC</w:t>
      </w:r>
      <w:r w:rsidRPr="00EE0EF7">
        <w:rPr>
          <w:rStyle w:val="FootnoteReference"/>
          <w:lang w:val="fr-FR"/>
        </w:rPr>
        <w:footnoteReference w:id="5"/>
      </w:r>
      <w:r w:rsidRPr="00EE0EF7">
        <w:rPr>
          <w:lang w:val="fr-FR"/>
        </w:rPr>
        <w:t xml:space="preserve"> par le biais d’activités dans les secteurs des aérosols, de la lutte contre l'incendie, de la fabrication de systèmes de réfrigération commerciale et de l’entretien des systèmes de réfrigération, ainsi que par le renforcement des capacités nationales en matière de contrôle des échanges, de diffusion et de sensibilisation, et de coordination et de suivi des programmes.</w:t>
      </w:r>
    </w:p>
    <w:p w14:paraId="304996E5" w14:textId="77777777" w:rsidR="00C74282" w:rsidRPr="00EE0EF7" w:rsidRDefault="00C74282" w:rsidP="00C74282">
      <w:pPr>
        <w:keepNext/>
        <w:spacing w:after="240"/>
        <w:rPr>
          <w:i/>
          <w:iCs/>
          <w:lang w:val="fr-FR"/>
        </w:rPr>
      </w:pPr>
      <w:r w:rsidRPr="00EE0EF7">
        <w:rPr>
          <w:i/>
          <w:iCs/>
          <w:lang w:val="fr-FR"/>
        </w:rPr>
        <w:t>Activités proposées</w:t>
      </w:r>
      <w:bookmarkStart w:id="4" w:name="_Hlk126915743"/>
    </w:p>
    <w:p w14:paraId="122E8990" w14:textId="77777777" w:rsidR="00C74282" w:rsidRPr="00EE0EF7" w:rsidRDefault="00C74282" w:rsidP="00C74282">
      <w:pPr>
        <w:shd w:val="clear" w:color="auto" w:fill="FFFFFF" w:themeFill="background1"/>
        <w:spacing w:after="240"/>
        <w:outlineLvl w:val="0"/>
        <w:rPr>
          <w:i/>
          <w:iCs/>
          <w:u w:val="single"/>
          <w:lang w:val="fr-FR"/>
        </w:rPr>
      </w:pPr>
      <w:r w:rsidRPr="00EE0EF7">
        <w:rPr>
          <w:i/>
          <w:iCs/>
          <w:u w:val="single"/>
          <w:lang w:val="fr-FR"/>
        </w:rPr>
        <w:t>Aérosols</w:t>
      </w:r>
    </w:p>
    <w:p w14:paraId="1E601FE6" w14:textId="6F91C8E2" w:rsidR="00C74282" w:rsidRPr="00EE0EF7" w:rsidRDefault="00C74282" w:rsidP="00C74282">
      <w:pPr>
        <w:pStyle w:val="Heading1"/>
        <w:rPr>
          <w:lang w:val="fr-FR"/>
        </w:rPr>
      </w:pPr>
      <w:r w:rsidRPr="00EE0EF7">
        <w:rPr>
          <w:lang w:val="fr-FR"/>
        </w:rPr>
        <w:t>La phase III propose de fournir une assistance technique aux fabricants d'aérosols qui passent de l'utilisation des HCFC à d'autres gaz propulseurs. Les activités comprennent l'examen technologique des procédés actuels utilisés par les entreprises d'aérosols ; des conseils sur les meilleures pratiques de l'industrie</w:t>
      </w:r>
      <w:r w:rsidR="008A290B" w:rsidRPr="00EE0EF7">
        <w:rPr>
          <w:lang w:val="fr-FR"/>
        </w:rPr>
        <w:t> </w:t>
      </w:r>
      <w:r w:rsidRPr="00EE0EF7">
        <w:rPr>
          <w:lang w:val="fr-FR"/>
        </w:rPr>
        <w:t xml:space="preserve">; des ateliers et des consultations individuelles pour répertorier et sélectionner les gaz propulseurs ou les solvants de remplacement les mieux appropriés (de préférence des hydrocarbures ou des hydrofluoro-oléfines (HFO)) pour certains usages particuliers, tout en tenant compte des </w:t>
      </w:r>
      <w:r w:rsidR="008A290B" w:rsidRPr="00EE0EF7">
        <w:rPr>
          <w:lang w:val="fr-FR"/>
        </w:rPr>
        <w:t>contraintes</w:t>
      </w:r>
      <w:r w:rsidRPr="00EE0EF7">
        <w:rPr>
          <w:lang w:val="fr-FR"/>
        </w:rPr>
        <w:t xml:space="preserve"> liées à l</w:t>
      </w:r>
      <w:r w:rsidR="008A290B" w:rsidRPr="00EE0EF7">
        <w:rPr>
          <w:lang w:val="fr-FR"/>
        </w:rPr>
        <w:t xml:space="preserve">eur </w:t>
      </w:r>
      <w:r w:rsidRPr="00EE0EF7">
        <w:rPr>
          <w:lang w:val="fr-FR"/>
        </w:rPr>
        <w:t xml:space="preserve">inflammabilité ; des modifications techniques des équipements de l'usine lorsque cela est nécessaire ; des </w:t>
      </w:r>
      <w:r w:rsidRPr="00EE0EF7">
        <w:rPr>
          <w:lang w:val="fr-FR"/>
        </w:rPr>
        <w:lastRenderedPageBreak/>
        <w:t>essais pilotes avec des solutions de remplacement sélectionnées ; et une production sans HCFC à l'échelle commerciale.</w:t>
      </w:r>
    </w:p>
    <w:p w14:paraId="68B47213" w14:textId="2C159D48" w:rsidR="00C74282" w:rsidRPr="00EE0EF7" w:rsidRDefault="00C74282" w:rsidP="00C74282">
      <w:pPr>
        <w:pStyle w:val="Heading1"/>
        <w:rPr>
          <w:lang w:val="fr-FR"/>
        </w:rPr>
      </w:pPr>
      <w:r w:rsidRPr="00EE0EF7">
        <w:rPr>
          <w:lang w:val="fr-FR"/>
        </w:rPr>
        <w:t xml:space="preserve">Le </w:t>
      </w:r>
      <w:r w:rsidR="008A290B" w:rsidRPr="00EE0EF7">
        <w:rPr>
          <w:lang w:val="fr-FR"/>
        </w:rPr>
        <w:t>montant</w:t>
      </w:r>
      <w:r w:rsidRPr="00EE0EF7">
        <w:rPr>
          <w:lang w:val="fr-FR"/>
        </w:rPr>
        <w:t xml:space="preserve"> demandé pour ce secteur s'élève à 138 500 $US pour financer le soutien d'experts internationaux (14 500 $US, frais de déplacement inclus), des ateliers et des consultations individuelles avec les entreprises (18 000 $US), ainsi que des modifications d'équipement et des ajustements de processus pour adopter des solutions de remplacement à faible PRP dans quatre entreprises (106 000 $US).</w:t>
      </w:r>
    </w:p>
    <w:p w14:paraId="6D893398" w14:textId="77777777" w:rsidR="00C74282" w:rsidRPr="00EE0EF7" w:rsidRDefault="00C74282" w:rsidP="00C74282">
      <w:pPr>
        <w:pStyle w:val="Heading1"/>
        <w:numPr>
          <w:ilvl w:val="0"/>
          <w:numId w:val="0"/>
        </w:numPr>
        <w:rPr>
          <w:i/>
          <w:iCs/>
          <w:u w:val="single"/>
          <w:lang w:val="fr-FR"/>
        </w:rPr>
      </w:pPr>
      <w:r w:rsidRPr="00EE0EF7">
        <w:rPr>
          <w:i/>
          <w:iCs/>
          <w:u w:val="single"/>
          <w:lang w:val="fr-FR"/>
        </w:rPr>
        <w:t>Fabrication de systèmes de réfrigération à usage commercial</w:t>
      </w:r>
    </w:p>
    <w:p w14:paraId="438D2F40" w14:textId="20EE1D6B" w:rsidR="00C74282" w:rsidRPr="00EE0EF7" w:rsidRDefault="00C74282" w:rsidP="00C74282">
      <w:pPr>
        <w:pStyle w:val="Heading1"/>
        <w:rPr>
          <w:lang w:val="fr-FR"/>
        </w:rPr>
      </w:pPr>
      <w:r w:rsidRPr="00EE0EF7">
        <w:rPr>
          <w:lang w:val="fr-FR"/>
        </w:rPr>
        <w:t>La phase III propose d'éliminer progressivement 46,91 tonnes (2,58 tonnes SAO) de HCFC-22 en reconvertissant les 10 plus grandes PME du secteur de la fabrication commerciale à des solutions de remplacement à faible PRP (R</w:t>
      </w:r>
      <w:r w:rsidRPr="00EE0EF7">
        <w:rPr>
          <w:lang w:val="fr-FR"/>
        </w:rPr>
        <w:noBreakHyphen/>
        <w:t>600a et R</w:t>
      </w:r>
      <w:r w:rsidR="0039190B" w:rsidRPr="00EE0EF7">
        <w:rPr>
          <w:lang w:val="fr-FR"/>
        </w:rPr>
        <w:noBreakHyphen/>
      </w:r>
      <w:r w:rsidRPr="00EE0EF7">
        <w:rPr>
          <w:lang w:val="fr-FR"/>
        </w:rPr>
        <w:t>290) dans la fabrication de vitrines, de congélateurs, de refroidisseurs et d'autres équipements fabriqués et chargés sur place.</w:t>
      </w:r>
    </w:p>
    <w:p w14:paraId="1A5A8CC9" w14:textId="281C187C" w:rsidR="00C74282" w:rsidRPr="00EE0EF7" w:rsidRDefault="00C74282" w:rsidP="00C74282">
      <w:pPr>
        <w:pStyle w:val="Heading1"/>
        <w:rPr>
          <w:lang w:val="fr-FR"/>
        </w:rPr>
      </w:pPr>
      <w:r w:rsidRPr="00EE0EF7">
        <w:rPr>
          <w:lang w:val="fr-FR"/>
        </w:rPr>
        <w:t>Le financement demandé pour ce secteur s'élève à 713 000 $US, comprenant l'acquisition d'outils et d'équipements (unités de charge, détecteurs portatifs et outils de verrouillage), des mesures de sécurité (capteurs, alarmes, ventilation et conduits), l'installation d'équipements, les essais et le démarrage pour 10</w:t>
      </w:r>
      <w:r w:rsidR="008A290B" w:rsidRPr="00EE0EF7">
        <w:rPr>
          <w:lang w:val="fr-FR"/>
        </w:rPr>
        <w:t> </w:t>
      </w:r>
      <w:r w:rsidRPr="00EE0EF7">
        <w:rPr>
          <w:lang w:val="fr-FR"/>
        </w:rPr>
        <w:t>entreprises (650 000 $US) ; et une assistance technique, comprenant un atelier pour les PME sur les questions de sécurité liées aux processus de fabrication lors de l'utilisation de frigorigènes inflammables, des visites pour soutenir les reconversions aux hydrocarbures et des audits de sécurité (63 000 $US). Aucun surcoût d'exploitation n'a été demandé. 25 autres PME, présentant une consommation d'environ 9,1 tm de HCFC-22, passeront à des solutions de remplacement exemptes de HCFC sans l'aide du Fonds multilatéral.</w:t>
      </w:r>
    </w:p>
    <w:p w14:paraId="1ED7A907" w14:textId="77777777" w:rsidR="00C74282" w:rsidRPr="00EE0EF7" w:rsidRDefault="00C74282" w:rsidP="00C74282">
      <w:pPr>
        <w:keepNext/>
        <w:shd w:val="clear" w:color="auto" w:fill="FFFFFF" w:themeFill="background1"/>
        <w:spacing w:after="240"/>
        <w:outlineLvl w:val="0"/>
        <w:rPr>
          <w:i/>
          <w:iCs/>
          <w:u w:val="single"/>
          <w:lang w:val="fr-FR"/>
        </w:rPr>
      </w:pPr>
      <w:r w:rsidRPr="00EE0EF7">
        <w:rPr>
          <w:i/>
          <w:iCs/>
          <w:u w:val="single"/>
          <w:lang w:val="fr-FR"/>
        </w:rPr>
        <w:t>Lutte contre l'incendie</w:t>
      </w:r>
    </w:p>
    <w:p w14:paraId="527C3940" w14:textId="77777777" w:rsidR="00C74282" w:rsidRPr="00EE0EF7" w:rsidRDefault="00C74282" w:rsidP="00C74282">
      <w:pPr>
        <w:pStyle w:val="Heading1"/>
        <w:shd w:val="clear" w:color="auto" w:fill="FFFFFF" w:themeFill="background1"/>
        <w:rPr>
          <w:lang w:val="fr-FR"/>
        </w:rPr>
      </w:pPr>
      <w:r w:rsidRPr="00EE0EF7">
        <w:rPr>
          <w:lang w:val="fr-FR"/>
        </w:rPr>
        <w:t>La phase III propose d'aider 12 fabricants d'extincteurs à éliminer progressivement 48,23 tonnes (0,96 tonne PAO) de HCFC-123 grâce à un soutien technique, au renforcement des capacités et à la modernisation des équipements afin d'assurer une transition durable vers des solutions de remplacement exemptes de HCFC. On préconise comme technologie de remplacement le HFC</w:t>
      </w:r>
      <w:r w:rsidRPr="00EE0EF7">
        <w:rPr>
          <w:lang w:val="fr-FR"/>
        </w:rPr>
        <w:noBreakHyphen/>
        <w:t>236fa, très efficace contre les incendies de classe A, B et C, ainsi que contre les incendies d'origine électrique, et qui ne laisse aucun résidu nocif, ce qui en fait une solution idéale pour protéger les équipements sensibles et coûteux, dans les salles de serveurs, les installations de télécommunications et autres environnements électroniques. Cependant, le HFC-236fa a un PRP élevé de 9 810 et une pression de vapeur plus élevée que le HCFC-123. Ces facteurs nécessitent des réservoirs de stockage spécialisés, des machines de remplissage améliorées capables de résister à des pressions élevées et des systèmes de charge et de récupération en circuit fermé.</w:t>
      </w:r>
    </w:p>
    <w:p w14:paraId="02AD1F93" w14:textId="555B9BAC" w:rsidR="00C74282" w:rsidRPr="00EE0EF7" w:rsidRDefault="00C74282" w:rsidP="00C74282">
      <w:pPr>
        <w:pStyle w:val="Heading1"/>
        <w:shd w:val="clear" w:color="auto" w:fill="FFFFFF" w:themeFill="background1"/>
        <w:rPr>
          <w:lang w:val="fr-FR"/>
        </w:rPr>
      </w:pPr>
      <w:r w:rsidRPr="00EE0EF7">
        <w:rPr>
          <w:lang w:val="fr-FR"/>
        </w:rPr>
        <w:t>Le financement demandé pour ce secteur, d'un montant de 231 500 $US, comprend des conseils techniques d'un expert international (14 500 $US), des ateliers et des discussions individuelles avec les entreprises pour trouver les solutions de remplacement les mieux appropriées à leurs applications (17</w:t>
      </w:r>
      <w:r w:rsidR="008A290B" w:rsidRPr="00EE0EF7">
        <w:rPr>
          <w:lang w:val="fr-FR"/>
        </w:rPr>
        <w:t> </w:t>
      </w:r>
      <w:r w:rsidRPr="00EE0EF7">
        <w:rPr>
          <w:lang w:val="fr-FR"/>
        </w:rPr>
        <w:t>000</w:t>
      </w:r>
      <w:r w:rsidR="008A290B" w:rsidRPr="00EE0EF7">
        <w:rPr>
          <w:lang w:val="fr-FR"/>
        </w:rPr>
        <w:t> </w:t>
      </w:r>
      <w:r w:rsidRPr="00EE0EF7">
        <w:rPr>
          <w:lang w:val="fr-FR"/>
        </w:rPr>
        <w:t>$US) et des ajustements aux processus de fabrication pour remplacer les HCFC dans au moins huit entreprises (200 000 $US).</w:t>
      </w:r>
    </w:p>
    <w:p w14:paraId="46A0FD47" w14:textId="77777777" w:rsidR="00C74282" w:rsidRPr="00EE0EF7" w:rsidRDefault="00C74282" w:rsidP="00C74282">
      <w:pPr>
        <w:shd w:val="clear" w:color="auto" w:fill="FFFFFF" w:themeFill="background1"/>
        <w:spacing w:after="240"/>
        <w:outlineLvl w:val="0"/>
        <w:rPr>
          <w:i/>
          <w:iCs/>
          <w:u w:val="single"/>
          <w:lang w:val="fr-FR"/>
        </w:rPr>
      </w:pPr>
      <w:r w:rsidRPr="00EE0EF7">
        <w:rPr>
          <w:i/>
          <w:iCs/>
          <w:u w:val="single"/>
          <w:lang w:val="fr-FR"/>
        </w:rPr>
        <w:t>Secteur de l’entretien en réfrigération</w:t>
      </w:r>
    </w:p>
    <w:p w14:paraId="29217373" w14:textId="77777777" w:rsidR="00C74282" w:rsidRPr="00EE0EF7" w:rsidRDefault="00C74282" w:rsidP="00C74282">
      <w:pPr>
        <w:pStyle w:val="Heading1"/>
        <w:rPr>
          <w:lang w:val="fr-FR"/>
        </w:rPr>
      </w:pPr>
      <w:r w:rsidRPr="00EE0EF7">
        <w:rPr>
          <w:lang w:val="fr-FR"/>
        </w:rPr>
        <w:t>Les activités de ce volet comprennent le renforcement du cadre juridique et des capacités nationales de contrôle du commerce, le renforcement du secteur de l'entretien en réfrigération, les activités de diffusion et de sensibilisation, la coordination et le suivi , ainsi qu'un volet spécial de contingence. Les activités et leur ventilation des coûts pour l'étape et la première tranche sont présentées dans le tableau 3.</w:t>
      </w:r>
    </w:p>
    <w:p w14:paraId="0356C76A" w14:textId="7EBEFBB6" w:rsidR="00C74282" w:rsidRPr="00EE0EF7" w:rsidRDefault="00C74282" w:rsidP="00C74282">
      <w:pPr>
        <w:keepNext/>
        <w:shd w:val="clear" w:color="auto" w:fill="FFFFFF" w:themeFill="background1"/>
        <w:rPr>
          <w:b/>
          <w:bCs/>
          <w:lang w:val="fr-FR"/>
        </w:rPr>
      </w:pPr>
      <w:r w:rsidRPr="00EE0EF7">
        <w:rPr>
          <w:b/>
          <w:bCs/>
          <w:lang w:val="fr-FR"/>
        </w:rPr>
        <w:lastRenderedPageBreak/>
        <w:t xml:space="preserve">Tableau 3. Activités et coûts du secteur de </w:t>
      </w:r>
      <w:r w:rsidR="008A290B" w:rsidRPr="00EE0EF7">
        <w:rPr>
          <w:b/>
          <w:bCs/>
          <w:lang w:val="fr-FR"/>
        </w:rPr>
        <w:t>l’entretien</w:t>
      </w:r>
      <w:r w:rsidRPr="00EE0EF7">
        <w:rPr>
          <w:b/>
          <w:bCs/>
          <w:lang w:val="fr-FR"/>
        </w:rPr>
        <w:t xml:space="preserve"> dans le cadre de la phase </w:t>
      </w:r>
      <w:r w:rsidR="00EE0EF7" w:rsidRPr="00EE0EF7">
        <w:rPr>
          <w:b/>
          <w:bCs/>
          <w:lang w:val="fr-FR"/>
        </w:rPr>
        <w:t xml:space="preserve">III </w:t>
      </w:r>
      <w:r w:rsidR="00EE0EF7" w:rsidRPr="00EE0EF7">
        <w:rPr>
          <w:lang w:val="fr-FR"/>
        </w:rPr>
        <w:t>du</w:t>
      </w:r>
      <w:r w:rsidRPr="00EE0EF7">
        <w:rPr>
          <w:b/>
          <w:bCs/>
          <w:lang w:val="fr-FR"/>
        </w:rPr>
        <w:t xml:space="preserve"> PGEH pour l'Argentine, tel</w:t>
      </w:r>
      <w:r w:rsidR="008A290B" w:rsidRPr="00EE0EF7">
        <w:rPr>
          <w:b/>
          <w:bCs/>
          <w:lang w:val="fr-FR"/>
        </w:rPr>
        <w:t>le</w:t>
      </w:r>
      <w:r w:rsidRPr="00EE0EF7">
        <w:rPr>
          <w:b/>
          <w:bCs/>
          <w:lang w:val="fr-FR"/>
        </w:rPr>
        <w:t xml:space="preserve"> que soumis</w:t>
      </w:r>
      <w:r w:rsidR="008A290B" w:rsidRPr="00EE0EF7">
        <w:rPr>
          <w:b/>
          <w:bCs/>
          <w:lang w:val="fr-FR"/>
        </w:rPr>
        <w:t>e</w:t>
      </w:r>
    </w:p>
    <w:tbl>
      <w:tblPr>
        <w:tblStyle w:val="TableGrid"/>
        <w:tblW w:w="5000" w:type="pct"/>
        <w:tblCellMar>
          <w:top w:w="28" w:type="dxa"/>
          <w:bottom w:w="28" w:type="dxa"/>
        </w:tblCellMar>
        <w:tblLook w:val="04A0" w:firstRow="1" w:lastRow="0" w:firstColumn="1" w:lastColumn="0" w:noHBand="0" w:noVBand="1"/>
      </w:tblPr>
      <w:tblGrid>
        <w:gridCol w:w="3502"/>
        <w:gridCol w:w="3504"/>
        <w:gridCol w:w="1144"/>
        <w:gridCol w:w="1290"/>
      </w:tblGrid>
      <w:tr w:rsidR="00C74282" w:rsidRPr="00EE0EF7" w14:paraId="5C18514D" w14:textId="77777777" w:rsidTr="00A86FCC">
        <w:trPr>
          <w:trHeight w:val="53"/>
          <w:tblHeader/>
        </w:trPr>
        <w:tc>
          <w:tcPr>
            <w:tcW w:w="3711" w:type="pct"/>
            <w:gridSpan w:val="2"/>
            <w:vMerge w:val="restart"/>
            <w:vAlign w:val="center"/>
          </w:tcPr>
          <w:p w14:paraId="332CEFAC" w14:textId="77777777" w:rsidR="00C74282" w:rsidRPr="00EE0EF7" w:rsidRDefault="00C74282">
            <w:pPr>
              <w:shd w:val="clear" w:color="auto" w:fill="FFFFFF" w:themeFill="background1"/>
              <w:jc w:val="center"/>
              <w:rPr>
                <w:b/>
                <w:bCs/>
                <w:sz w:val="20"/>
                <w:szCs w:val="20"/>
                <w:lang w:val="fr-FR"/>
              </w:rPr>
            </w:pPr>
            <w:r w:rsidRPr="00EE0EF7">
              <w:rPr>
                <w:b/>
                <w:bCs/>
                <w:sz w:val="20"/>
                <w:szCs w:val="20"/>
                <w:lang w:val="fr-FR"/>
              </w:rPr>
              <w:t>Activité</w:t>
            </w:r>
          </w:p>
        </w:tc>
        <w:tc>
          <w:tcPr>
            <w:tcW w:w="1289" w:type="pct"/>
            <w:gridSpan w:val="2"/>
            <w:vAlign w:val="center"/>
          </w:tcPr>
          <w:p w14:paraId="5DF35BDF" w14:textId="77777777" w:rsidR="00C74282" w:rsidRPr="00EE0EF7" w:rsidRDefault="00C74282">
            <w:pPr>
              <w:shd w:val="clear" w:color="auto" w:fill="FFFFFF" w:themeFill="background1"/>
              <w:jc w:val="center"/>
              <w:rPr>
                <w:b/>
                <w:bCs/>
                <w:sz w:val="20"/>
                <w:szCs w:val="20"/>
                <w:lang w:val="fr-FR"/>
              </w:rPr>
            </w:pPr>
            <w:r w:rsidRPr="00EE0EF7">
              <w:rPr>
                <w:b/>
                <w:bCs/>
                <w:sz w:val="20"/>
                <w:szCs w:val="20"/>
                <w:lang w:val="fr-FR"/>
              </w:rPr>
              <w:t>Coûts ($US)</w:t>
            </w:r>
          </w:p>
        </w:tc>
      </w:tr>
      <w:tr w:rsidR="00C74282" w:rsidRPr="00EE0EF7" w14:paraId="10D0DF22" w14:textId="77777777" w:rsidTr="00A86FCC">
        <w:trPr>
          <w:trHeight w:val="98"/>
          <w:tblHeader/>
        </w:trPr>
        <w:tc>
          <w:tcPr>
            <w:tcW w:w="3711" w:type="pct"/>
            <w:gridSpan w:val="2"/>
            <w:vMerge/>
            <w:vAlign w:val="center"/>
          </w:tcPr>
          <w:p w14:paraId="2BF3E844" w14:textId="77777777" w:rsidR="00C74282" w:rsidRPr="00EE0EF7" w:rsidRDefault="00C74282">
            <w:pPr>
              <w:shd w:val="clear" w:color="auto" w:fill="FFFFFF" w:themeFill="background1"/>
              <w:jc w:val="center"/>
              <w:rPr>
                <w:b/>
                <w:bCs/>
                <w:sz w:val="20"/>
                <w:szCs w:val="20"/>
                <w:lang w:val="fr-FR"/>
              </w:rPr>
            </w:pPr>
          </w:p>
        </w:tc>
        <w:tc>
          <w:tcPr>
            <w:tcW w:w="606" w:type="pct"/>
            <w:shd w:val="clear" w:color="auto" w:fill="FFFFFF" w:themeFill="background1"/>
            <w:vAlign w:val="center"/>
          </w:tcPr>
          <w:p w14:paraId="472244C1" w14:textId="77777777" w:rsidR="00C74282" w:rsidRPr="00EE0EF7" w:rsidRDefault="00C74282">
            <w:pPr>
              <w:shd w:val="clear" w:color="auto" w:fill="FFFFFF" w:themeFill="background1"/>
              <w:jc w:val="center"/>
              <w:rPr>
                <w:b/>
                <w:bCs/>
                <w:sz w:val="20"/>
                <w:szCs w:val="20"/>
                <w:lang w:val="fr-FR"/>
              </w:rPr>
            </w:pPr>
            <w:r w:rsidRPr="00EE0EF7">
              <w:rPr>
                <w:b/>
                <w:bCs/>
                <w:sz w:val="20"/>
                <w:szCs w:val="20"/>
                <w:lang w:val="fr-FR"/>
              </w:rPr>
              <w:t>Phase III</w:t>
            </w:r>
          </w:p>
        </w:tc>
        <w:tc>
          <w:tcPr>
            <w:tcW w:w="682" w:type="pct"/>
            <w:vAlign w:val="center"/>
          </w:tcPr>
          <w:p w14:paraId="08B487F8" w14:textId="77777777" w:rsidR="00C74282" w:rsidRPr="00EE0EF7" w:rsidRDefault="00C74282">
            <w:pPr>
              <w:shd w:val="clear" w:color="auto" w:fill="FFFFFF" w:themeFill="background1"/>
              <w:ind w:left="-106" w:right="-109"/>
              <w:jc w:val="center"/>
              <w:rPr>
                <w:b/>
                <w:bCs/>
                <w:sz w:val="20"/>
                <w:szCs w:val="20"/>
                <w:lang w:val="fr-FR"/>
              </w:rPr>
            </w:pPr>
            <w:r w:rsidRPr="00EE0EF7">
              <w:rPr>
                <w:b/>
                <w:bCs/>
                <w:sz w:val="20"/>
                <w:szCs w:val="20"/>
                <w:lang w:val="fr-FR"/>
              </w:rPr>
              <w:t>1</w:t>
            </w:r>
            <w:r w:rsidRPr="00EE0EF7">
              <w:rPr>
                <w:b/>
                <w:bCs/>
                <w:sz w:val="20"/>
                <w:szCs w:val="20"/>
                <w:vertAlign w:val="superscript"/>
                <w:lang w:val="fr-FR"/>
              </w:rPr>
              <w:t>re</w:t>
            </w:r>
            <w:r w:rsidRPr="00EE0EF7">
              <w:rPr>
                <w:b/>
                <w:bCs/>
                <w:sz w:val="20"/>
                <w:szCs w:val="20"/>
                <w:lang w:val="fr-FR"/>
              </w:rPr>
              <w:t> tranche</w:t>
            </w:r>
          </w:p>
        </w:tc>
      </w:tr>
      <w:tr w:rsidR="00C74282" w:rsidRPr="00CE7B9D" w14:paraId="5DD4D348" w14:textId="77777777" w:rsidTr="00A86FCC">
        <w:trPr>
          <w:trHeight w:val="217"/>
        </w:trPr>
        <w:tc>
          <w:tcPr>
            <w:tcW w:w="5000" w:type="pct"/>
            <w:gridSpan w:val="4"/>
          </w:tcPr>
          <w:p w14:paraId="380CCB02" w14:textId="77777777" w:rsidR="00C74282" w:rsidRPr="00EE0EF7" w:rsidRDefault="00C74282">
            <w:pPr>
              <w:shd w:val="clear" w:color="auto" w:fill="FFFFFF" w:themeFill="background1"/>
              <w:jc w:val="left"/>
              <w:rPr>
                <w:b/>
                <w:bCs/>
                <w:sz w:val="20"/>
                <w:szCs w:val="20"/>
                <w:lang w:val="fr-FR"/>
              </w:rPr>
            </w:pPr>
            <w:r w:rsidRPr="00EE0EF7">
              <w:rPr>
                <w:b/>
                <w:bCs/>
                <w:sz w:val="20"/>
                <w:szCs w:val="20"/>
                <w:lang w:val="fr-FR"/>
              </w:rPr>
              <w:t>Renforcement des capacités nationales de contrôle douanier et commercial</w:t>
            </w:r>
          </w:p>
        </w:tc>
      </w:tr>
      <w:tr w:rsidR="00C74282" w:rsidRPr="00EE0EF7" w14:paraId="24D3CB0B" w14:textId="77777777" w:rsidTr="00A86FCC">
        <w:trPr>
          <w:trHeight w:val="217"/>
        </w:trPr>
        <w:tc>
          <w:tcPr>
            <w:tcW w:w="3711" w:type="pct"/>
            <w:gridSpan w:val="2"/>
          </w:tcPr>
          <w:p w14:paraId="48BA5CE7" w14:textId="0FD7F95A" w:rsidR="00C74282" w:rsidRPr="00EE0EF7" w:rsidRDefault="00C74282">
            <w:pPr>
              <w:jc w:val="left"/>
              <w:rPr>
                <w:sz w:val="20"/>
                <w:szCs w:val="20"/>
                <w:lang w:val="fr-FR"/>
              </w:rPr>
            </w:pPr>
            <w:r w:rsidRPr="00EE0EF7">
              <w:rPr>
                <w:b/>
                <w:bCs/>
                <w:i/>
                <w:iCs/>
                <w:sz w:val="20"/>
                <w:szCs w:val="20"/>
                <w:u w:val="single"/>
                <w:lang w:val="fr-FR"/>
              </w:rPr>
              <w:t>Renforcer le cadre institutionnel et juridique</w:t>
            </w:r>
            <w:r w:rsidR="008A290B" w:rsidRPr="00EE0EF7">
              <w:rPr>
                <w:b/>
                <w:bCs/>
                <w:i/>
                <w:iCs/>
                <w:sz w:val="20"/>
                <w:szCs w:val="20"/>
                <w:u w:val="single"/>
                <w:lang w:val="fr-FR"/>
              </w:rPr>
              <w:t> :</w:t>
            </w:r>
            <w:r w:rsidRPr="00EE0EF7">
              <w:rPr>
                <w:sz w:val="20"/>
                <w:szCs w:val="20"/>
                <w:lang w:val="fr-FR"/>
              </w:rPr>
              <w:t xml:space="preserve"> Interdire l’importation d’équipements frigorifiques commerciaux contenant des HCFC d’ici le 1</w:t>
            </w:r>
            <w:r w:rsidRPr="00EE0EF7">
              <w:rPr>
                <w:sz w:val="20"/>
                <w:szCs w:val="20"/>
                <w:vertAlign w:val="superscript"/>
                <w:lang w:val="fr-FR"/>
              </w:rPr>
              <w:t>er</w:t>
            </w:r>
            <w:r w:rsidRPr="00EE0EF7">
              <w:rPr>
                <w:sz w:val="20"/>
                <w:szCs w:val="20"/>
                <w:lang w:val="fr-FR"/>
              </w:rPr>
              <w:t xml:space="preserve"> janvier 2027 et leur fabrication d’ici le 1</w:t>
            </w:r>
            <w:r w:rsidRPr="00EE0EF7">
              <w:rPr>
                <w:sz w:val="20"/>
                <w:szCs w:val="20"/>
                <w:vertAlign w:val="superscript"/>
                <w:lang w:val="fr-FR"/>
              </w:rPr>
              <w:t>er</w:t>
            </w:r>
            <w:r w:rsidRPr="00EE0EF7">
              <w:rPr>
                <w:sz w:val="20"/>
                <w:szCs w:val="20"/>
                <w:lang w:val="fr-FR"/>
              </w:rPr>
              <w:t xml:space="preserve"> janvier 2028 ; réglementer et contrôler la production de HCFC conformément au calendrier d’élimination progressive, une interdiction totale de la production et de l’importation de tous les HCFC étant promulguée avant le 1</w:t>
            </w:r>
            <w:r w:rsidRPr="00EE0EF7">
              <w:rPr>
                <w:sz w:val="20"/>
                <w:szCs w:val="20"/>
                <w:vertAlign w:val="superscript"/>
                <w:lang w:val="fr-FR"/>
              </w:rPr>
              <w:t>er</w:t>
            </w:r>
            <w:r w:rsidR="008A290B" w:rsidRPr="00EE0EF7">
              <w:rPr>
                <w:sz w:val="20"/>
                <w:szCs w:val="20"/>
                <w:lang w:val="fr-FR"/>
              </w:rPr>
              <w:t xml:space="preserve"> </w:t>
            </w:r>
            <w:r w:rsidRPr="00EE0EF7">
              <w:rPr>
                <w:sz w:val="20"/>
                <w:szCs w:val="20"/>
                <w:lang w:val="fr-FR"/>
              </w:rPr>
              <w:t>janvier 2030, à l’exception des équipements destinés à l'entretien.</w:t>
            </w:r>
          </w:p>
        </w:tc>
        <w:tc>
          <w:tcPr>
            <w:tcW w:w="606" w:type="pct"/>
          </w:tcPr>
          <w:p w14:paraId="308AEB67" w14:textId="77777777" w:rsidR="00C74282" w:rsidRPr="00EE0EF7" w:rsidRDefault="00C74282">
            <w:pPr>
              <w:shd w:val="clear" w:color="auto" w:fill="FFFFFF" w:themeFill="background1"/>
              <w:jc w:val="right"/>
              <w:rPr>
                <w:sz w:val="20"/>
                <w:szCs w:val="20"/>
                <w:lang w:val="fr-FR"/>
              </w:rPr>
            </w:pPr>
            <w:r w:rsidRPr="00EE0EF7">
              <w:rPr>
                <w:sz w:val="20"/>
                <w:szCs w:val="20"/>
                <w:lang w:val="fr-FR"/>
              </w:rPr>
              <w:t>*</w:t>
            </w:r>
          </w:p>
        </w:tc>
        <w:tc>
          <w:tcPr>
            <w:tcW w:w="682" w:type="pct"/>
          </w:tcPr>
          <w:p w14:paraId="5C758DF5" w14:textId="77777777" w:rsidR="00C74282" w:rsidRPr="00EE0EF7" w:rsidRDefault="00C74282">
            <w:pPr>
              <w:shd w:val="clear" w:color="auto" w:fill="FFFFFF" w:themeFill="background1"/>
              <w:jc w:val="right"/>
              <w:rPr>
                <w:sz w:val="20"/>
                <w:szCs w:val="20"/>
                <w:lang w:val="fr-FR"/>
              </w:rPr>
            </w:pPr>
            <w:r w:rsidRPr="00EE0EF7">
              <w:rPr>
                <w:sz w:val="20"/>
                <w:szCs w:val="20"/>
                <w:lang w:val="fr-FR"/>
              </w:rPr>
              <w:t>*</w:t>
            </w:r>
          </w:p>
        </w:tc>
      </w:tr>
      <w:tr w:rsidR="00C74282" w:rsidRPr="00EE0EF7" w14:paraId="388255D1" w14:textId="77777777" w:rsidTr="00A86FCC">
        <w:trPr>
          <w:trHeight w:val="217"/>
        </w:trPr>
        <w:tc>
          <w:tcPr>
            <w:tcW w:w="3711" w:type="pct"/>
            <w:gridSpan w:val="2"/>
          </w:tcPr>
          <w:p w14:paraId="6C213312" w14:textId="77777777" w:rsidR="00C74282" w:rsidRPr="00EE0EF7" w:rsidRDefault="00C74282">
            <w:pPr>
              <w:jc w:val="left"/>
              <w:rPr>
                <w:sz w:val="20"/>
                <w:szCs w:val="20"/>
                <w:lang w:val="fr-FR"/>
              </w:rPr>
            </w:pPr>
            <w:r w:rsidRPr="00EE0EF7">
              <w:rPr>
                <w:b/>
                <w:bCs/>
                <w:i/>
                <w:iCs/>
                <w:sz w:val="20"/>
                <w:szCs w:val="20"/>
                <w:u w:val="single"/>
                <w:lang w:val="fr-FR"/>
              </w:rPr>
              <w:t>Renforcement des capacités nationales de contrôle et de surveillance du commerce des HCFC :</w:t>
            </w:r>
            <w:r w:rsidRPr="00EE0EF7">
              <w:rPr>
                <w:sz w:val="20"/>
                <w:szCs w:val="20"/>
                <w:lang w:val="fr-FR"/>
              </w:rPr>
              <w:t xml:space="preserve"> Formation de 60 à 90 agents des douanes et des forces de l'ordre, importateurs et intermédiaires à l'identification et au contrôle des substances et équipements liés aux HCFC.</w:t>
            </w:r>
          </w:p>
        </w:tc>
        <w:tc>
          <w:tcPr>
            <w:tcW w:w="606" w:type="pct"/>
          </w:tcPr>
          <w:p w14:paraId="50B11DB8" w14:textId="77777777" w:rsidR="00C74282" w:rsidRPr="00EE0EF7" w:rsidRDefault="00C74282">
            <w:pPr>
              <w:shd w:val="clear" w:color="auto" w:fill="FFFFFF" w:themeFill="background1"/>
              <w:jc w:val="right"/>
              <w:rPr>
                <w:sz w:val="20"/>
                <w:szCs w:val="20"/>
                <w:lang w:val="fr-FR"/>
              </w:rPr>
            </w:pPr>
            <w:r w:rsidRPr="00EE0EF7">
              <w:rPr>
                <w:sz w:val="20"/>
                <w:szCs w:val="20"/>
                <w:lang w:val="fr-FR"/>
              </w:rPr>
              <w:t>42 000</w:t>
            </w:r>
          </w:p>
        </w:tc>
        <w:tc>
          <w:tcPr>
            <w:tcW w:w="682" w:type="pct"/>
          </w:tcPr>
          <w:p w14:paraId="35CDF024" w14:textId="77777777" w:rsidR="00C74282" w:rsidRPr="00EE0EF7" w:rsidRDefault="00C74282">
            <w:pPr>
              <w:shd w:val="clear" w:color="auto" w:fill="FFFFFF" w:themeFill="background1"/>
              <w:jc w:val="right"/>
              <w:rPr>
                <w:sz w:val="20"/>
                <w:szCs w:val="20"/>
                <w:lang w:val="fr-FR"/>
              </w:rPr>
            </w:pPr>
            <w:r w:rsidRPr="00EE0EF7">
              <w:rPr>
                <w:sz w:val="20"/>
                <w:szCs w:val="20"/>
                <w:lang w:val="fr-FR"/>
              </w:rPr>
              <w:t>16 800</w:t>
            </w:r>
          </w:p>
        </w:tc>
      </w:tr>
      <w:tr w:rsidR="00C74282" w:rsidRPr="00CE7B9D" w14:paraId="0A519104" w14:textId="77777777" w:rsidTr="00A86FCC">
        <w:trPr>
          <w:trHeight w:val="217"/>
        </w:trPr>
        <w:tc>
          <w:tcPr>
            <w:tcW w:w="5000" w:type="pct"/>
            <w:gridSpan w:val="4"/>
          </w:tcPr>
          <w:p w14:paraId="7B230A5D" w14:textId="77777777" w:rsidR="00C74282" w:rsidRPr="00EE0EF7" w:rsidRDefault="00C74282">
            <w:pPr>
              <w:shd w:val="clear" w:color="auto" w:fill="FFFFFF" w:themeFill="background1"/>
              <w:jc w:val="left"/>
              <w:rPr>
                <w:sz w:val="20"/>
                <w:szCs w:val="20"/>
                <w:lang w:val="fr-FR"/>
              </w:rPr>
            </w:pPr>
            <w:r w:rsidRPr="00EE0EF7">
              <w:rPr>
                <w:b/>
                <w:bCs/>
                <w:sz w:val="20"/>
                <w:szCs w:val="20"/>
                <w:lang w:val="fr-FR"/>
              </w:rPr>
              <w:t>Renforcement du secteur de l'entretien des équipements frigorifiques</w:t>
            </w:r>
          </w:p>
        </w:tc>
      </w:tr>
      <w:tr w:rsidR="00C74282" w:rsidRPr="00EE0EF7" w14:paraId="053CB9AD" w14:textId="77777777" w:rsidTr="00A86FCC">
        <w:trPr>
          <w:trHeight w:val="1099"/>
        </w:trPr>
        <w:tc>
          <w:tcPr>
            <w:tcW w:w="3711" w:type="pct"/>
            <w:gridSpan w:val="2"/>
          </w:tcPr>
          <w:p w14:paraId="76350A69" w14:textId="7FEDA85C" w:rsidR="00C74282" w:rsidRPr="00EE0EF7" w:rsidRDefault="00C74282">
            <w:pPr>
              <w:jc w:val="left"/>
              <w:rPr>
                <w:sz w:val="20"/>
                <w:szCs w:val="20"/>
                <w:lang w:val="fr-FR"/>
              </w:rPr>
            </w:pPr>
            <w:r w:rsidRPr="00EE0EF7">
              <w:rPr>
                <w:b/>
                <w:bCs/>
                <w:i/>
                <w:iCs/>
                <w:sz w:val="20"/>
                <w:szCs w:val="20"/>
                <w:u w:val="single"/>
                <w:lang w:val="fr-FR"/>
              </w:rPr>
              <w:t>Formation et certification des techniciens</w:t>
            </w:r>
            <w:r w:rsidR="008A290B" w:rsidRPr="00EE0EF7">
              <w:rPr>
                <w:b/>
                <w:bCs/>
                <w:i/>
                <w:iCs/>
                <w:sz w:val="20"/>
                <w:szCs w:val="20"/>
                <w:u w:val="single"/>
                <w:lang w:val="fr-FR"/>
              </w:rPr>
              <w:t> :</w:t>
            </w:r>
            <w:r w:rsidRPr="00EE0EF7">
              <w:rPr>
                <w:sz w:val="20"/>
                <w:szCs w:val="20"/>
                <w:lang w:val="fr-FR"/>
              </w:rPr>
              <w:t xml:space="preserve"> Dans le cadre du programme de formation et de certification continue des techniciens, former 1 000 techniciens supplémentaires (242 704 $US) et certifier 400 techniciens (48 400 $US) aux bonnes pratiques d’entretien, à la manipulation en toute sécurité des produits inflammables et à la récupération des frigorigènes ; et fournir 500 panoplies d'outils</w:t>
            </w:r>
            <w:r w:rsidRPr="00EE0EF7">
              <w:rPr>
                <w:rStyle w:val="FootnoteReference"/>
                <w:sz w:val="20"/>
                <w:szCs w:val="20"/>
                <w:lang w:val="fr-FR"/>
              </w:rPr>
              <w:footnoteReference w:id="6"/>
            </w:r>
            <w:r w:rsidRPr="00EE0EF7">
              <w:rPr>
                <w:sz w:val="20"/>
                <w:szCs w:val="20"/>
                <w:lang w:val="fr-FR"/>
              </w:rPr>
              <w:t>aux techniciens certifiés (750 500 $US)</w:t>
            </w:r>
          </w:p>
        </w:tc>
        <w:tc>
          <w:tcPr>
            <w:tcW w:w="606" w:type="pct"/>
          </w:tcPr>
          <w:p w14:paraId="6BDD54AE" w14:textId="77777777" w:rsidR="00C74282" w:rsidRPr="00EE0EF7" w:rsidRDefault="00C74282">
            <w:pPr>
              <w:shd w:val="clear" w:color="auto" w:fill="FFFFFF" w:themeFill="background1"/>
              <w:jc w:val="right"/>
              <w:rPr>
                <w:sz w:val="20"/>
                <w:szCs w:val="20"/>
                <w:lang w:val="fr-FR"/>
              </w:rPr>
            </w:pPr>
            <w:r w:rsidRPr="00EE0EF7">
              <w:rPr>
                <w:sz w:val="20"/>
                <w:szCs w:val="20"/>
                <w:lang w:val="fr-FR"/>
              </w:rPr>
              <w:t>1 041 204</w:t>
            </w:r>
          </w:p>
        </w:tc>
        <w:tc>
          <w:tcPr>
            <w:tcW w:w="682" w:type="pct"/>
          </w:tcPr>
          <w:p w14:paraId="25067ED7" w14:textId="77777777" w:rsidR="00C74282" w:rsidRPr="00EE0EF7" w:rsidRDefault="00C74282">
            <w:pPr>
              <w:shd w:val="clear" w:color="auto" w:fill="FFFFFF" w:themeFill="background1"/>
              <w:jc w:val="right"/>
              <w:rPr>
                <w:sz w:val="20"/>
                <w:szCs w:val="20"/>
                <w:lang w:val="fr-FR"/>
              </w:rPr>
            </w:pPr>
            <w:r w:rsidRPr="00EE0EF7">
              <w:rPr>
                <w:sz w:val="20"/>
                <w:szCs w:val="20"/>
                <w:lang w:val="fr-FR"/>
              </w:rPr>
              <w:t>397 800</w:t>
            </w:r>
          </w:p>
        </w:tc>
      </w:tr>
      <w:tr w:rsidR="00C74282" w:rsidRPr="00EE0EF7" w14:paraId="134F1832" w14:textId="77777777" w:rsidTr="00A86FCC">
        <w:trPr>
          <w:trHeight w:val="225"/>
        </w:trPr>
        <w:tc>
          <w:tcPr>
            <w:tcW w:w="3711" w:type="pct"/>
            <w:gridSpan w:val="2"/>
            <w:shd w:val="clear" w:color="auto" w:fill="FFFFFF" w:themeFill="background1"/>
          </w:tcPr>
          <w:p w14:paraId="05ABE4D6" w14:textId="70683111" w:rsidR="00C74282" w:rsidRPr="00EE0EF7" w:rsidRDefault="00C74282">
            <w:pPr>
              <w:jc w:val="left"/>
              <w:rPr>
                <w:sz w:val="20"/>
                <w:szCs w:val="20"/>
                <w:lang w:val="fr-FR"/>
              </w:rPr>
            </w:pPr>
            <w:r w:rsidRPr="00EE0EF7">
              <w:rPr>
                <w:b/>
                <w:bCs/>
                <w:i/>
                <w:iCs/>
                <w:sz w:val="20"/>
                <w:szCs w:val="20"/>
                <w:u w:val="single"/>
                <w:lang w:val="fr-FR"/>
              </w:rPr>
              <w:t>Programme d'incitation visant à accélérer l'élimination progressive des HCFC dans les supermarchés</w:t>
            </w:r>
            <w:r w:rsidRPr="00EE0EF7">
              <w:rPr>
                <w:sz w:val="20"/>
                <w:szCs w:val="20"/>
                <w:lang w:val="fr-FR"/>
              </w:rPr>
              <w:t xml:space="preserve"> : Aider certaines chaînes d'hypermarchés et de supermarchés appartenant à des propriétaires locaux et promouvoir la demande de réfrigérateurs, de refroidisseurs de bouteilles et d'autres unités de climatisation fabriqués localement à base d'hydrocarbures, lorsque cela est techniquement possible, en remplaçant 380</w:t>
            </w:r>
            <w:r w:rsidRPr="00EE0EF7">
              <w:rPr>
                <w:sz w:val="20"/>
                <w:szCs w:val="20"/>
                <w:lang w:val="fr-FR"/>
              </w:rPr>
              <w:noBreakHyphen/>
              <w:t xml:space="preserve">réfrigérateurs, congélateurs et vitrines autonomes </w:t>
            </w:r>
            <w:r w:rsidR="008A290B" w:rsidRPr="00EE0EF7">
              <w:rPr>
                <w:sz w:val="20"/>
                <w:szCs w:val="20"/>
                <w:lang w:val="fr-FR"/>
              </w:rPr>
              <w:t>fonctionnant</w:t>
            </w:r>
            <w:r w:rsidRPr="00EE0EF7">
              <w:rPr>
                <w:sz w:val="20"/>
                <w:szCs w:val="20"/>
                <w:lang w:val="fr-FR"/>
              </w:rPr>
              <w:t xml:space="preserve"> aux HCFC (1 900 000 $US) et 125 systèmes de réfrigération centralisés (1</w:t>
            </w:r>
            <w:r w:rsidR="008A290B" w:rsidRPr="00EE0EF7">
              <w:rPr>
                <w:sz w:val="20"/>
                <w:szCs w:val="20"/>
                <w:lang w:val="fr-FR"/>
              </w:rPr>
              <w:t> </w:t>
            </w:r>
            <w:r w:rsidRPr="00EE0EF7">
              <w:rPr>
                <w:sz w:val="20"/>
                <w:szCs w:val="20"/>
                <w:lang w:val="fr-FR"/>
              </w:rPr>
              <w:t>500</w:t>
            </w:r>
            <w:r w:rsidR="008A290B" w:rsidRPr="00EE0EF7">
              <w:rPr>
                <w:sz w:val="20"/>
                <w:szCs w:val="20"/>
                <w:lang w:val="fr-FR"/>
              </w:rPr>
              <w:t> </w:t>
            </w:r>
            <w:r w:rsidRPr="00EE0EF7">
              <w:rPr>
                <w:sz w:val="20"/>
                <w:szCs w:val="20"/>
                <w:lang w:val="fr-FR"/>
              </w:rPr>
              <w:t>000</w:t>
            </w:r>
            <w:r w:rsidR="008A290B" w:rsidRPr="00EE0EF7">
              <w:rPr>
                <w:sz w:val="20"/>
                <w:szCs w:val="20"/>
                <w:lang w:val="fr-FR"/>
              </w:rPr>
              <w:t> </w:t>
            </w:r>
            <w:r w:rsidRPr="00EE0EF7">
              <w:rPr>
                <w:sz w:val="20"/>
                <w:szCs w:val="20"/>
                <w:lang w:val="fr-FR"/>
              </w:rPr>
              <w:t>$US)</w:t>
            </w:r>
            <w:r w:rsidR="002D590E" w:rsidRPr="00EE0EF7">
              <w:rPr>
                <w:sz w:val="20"/>
                <w:szCs w:val="20"/>
                <w:lang w:val="fr-FR"/>
              </w:rPr>
              <w:t xml:space="preserve"> aux solutions de remplacement à faible PRP pour les bénéficiaires capables de remplacer l'équipement supplémentaire à leurs frais. Les coûts du projet couvrent également les consultations avec les associations industrielles, l'organisation d'ateliers, les publications, la coordination du processus d'appel d'offres, la sélection des bénéficiaires, le suivi de l'installation du nouvel équipement, la mise au rebut de l'équipement existant et le versement de la prime (200 000 $US).</w:t>
            </w:r>
          </w:p>
        </w:tc>
        <w:tc>
          <w:tcPr>
            <w:tcW w:w="606" w:type="pct"/>
            <w:shd w:val="clear" w:color="auto" w:fill="FFFFFF" w:themeFill="background1"/>
          </w:tcPr>
          <w:p w14:paraId="2E76A80E" w14:textId="77777777" w:rsidR="00C74282" w:rsidRPr="00EE0EF7" w:rsidRDefault="00C74282">
            <w:pPr>
              <w:shd w:val="clear" w:color="auto" w:fill="FFFFFF" w:themeFill="background1"/>
              <w:jc w:val="right"/>
              <w:rPr>
                <w:sz w:val="20"/>
                <w:szCs w:val="20"/>
                <w:lang w:val="fr-FR"/>
              </w:rPr>
            </w:pPr>
            <w:r w:rsidRPr="00EE0EF7">
              <w:rPr>
                <w:sz w:val="20"/>
                <w:szCs w:val="20"/>
                <w:lang w:val="fr-FR"/>
              </w:rPr>
              <w:t>3 600 000</w:t>
            </w:r>
          </w:p>
        </w:tc>
        <w:tc>
          <w:tcPr>
            <w:tcW w:w="682" w:type="pct"/>
            <w:shd w:val="clear" w:color="auto" w:fill="FFFFFF" w:themeFill="background1"/>
          </w:tcPr>
          <w:p w14:paraId="1919F169" w14:textId="77777777" w:rsidR="00C74282" w:rsidRPr="00EE0EF7" w:rsidRDefault="00C74282">
            <w:pPr>
              <w:shd w:val="clear" w:color="auto" w:fill="FFFFFF" w:themeFill="background1"/>
              <w:jc w:val="right"/>
              <w:rPr>
                <w:sz w:val="20"/>
                <w:szCs w:val="20"/>
                <w:lang w:val="fr-FR"/>
              </w:rPr>
            </w:pPr>
            <w:r w:rsidRPr="00EE0EF7">
              <w:rPr>
                <w:sz w:val="20"/>
                <w:szCs w:val="20"/>
                <w:lang w:val="fr-FR"/>
              </w:rPr>
              <w:t>800 000</w:t>
            </w:r>
          </w:p>
        </w:tc>
      </w:tr>
      <w:tr w:rsidR="00C74282" w:rsidRPr="00EE0EF7" w14:paraId="7E0A1D4B" w14:textId="77777777" w:rsidTr="00A86FCC">
        <w:trPr>
          <w:trHeight w:val="225"/>
        </w:trPr>
        <w:tc>
          <w:tcPr>
            <w:tcW w:w="3711" w:type="pct"/>
            <w:gridSpan w:val="2"/>
          </w:tcPr>
          <w:p w14:paraId="5C6001D7" w14:textId="173031A3" w:rsidR="00C74282" w:rsidRPr="00EE0EF7" w:rsidRDefault="00C74282">
            <w:pPr>
              <w:jc w:val="left"/>
              <w:rPr>
                <w:sz w:val="20"/>
                <w:szCs w:val="20"/>
                <w:lang w:val="fr-FR"/>
              </w:rPr>
            </w:pPr>
            <w:r w:rsidRPr="00EE0EF7">
              <w:rPr>
                <w:b/>
                <w:bCs/>
                <w:i/>
                <w:iCs/>
                <w:sz w:val="20"/>
                <w:szCs w:val="20"/>
                <w:u w:val="single"/>
                <w:lang w:val="fr-FR" w:eastAsia="fr"/>
              </w:rPr>
              <w:t xml:space="preserve">Assistance technique et financière pour accélérer l'élimination progressive du HCFC-22 dans les </w:t>
            </w:r>
            <w:r w:rsidR="008A290B" w:rsidRPr="00EE0EF7">
              <w:rPr>
                <w:b/>
                <w:bCs/>
                <w:i/>
                <w:iCs/>
                <w:sz w:val="20"/>
                <w:szCs w:val="20"/>
                <w:u w:val="single"/>
                <w:lang w:val="fr-FR" w:eastAsia="fr"/>
              </w:rPr>
              <w:t>bateaux</w:t>
            </w:r>
            <w:r w:rsidRPr="00EE0EF7">
              <w:rPr>
                <w:b/>
                <w:bCs/>
                <w:i/>
                <w:iCs/>
                <w:sz w:val="20"/>
                <w:szCs w:val="20"/>
                <w:u w:val="single"/>
                <w:lang w:val="fr-FR" w:eastAsia="fr"/>
              </w:rPr>
              <w:t xml:space="preserve"> de pêche :</w:t>
            </w:r>
            <w:r w:rsidRPr="00EE0EF7">
              <w:rPr>
                <w:sz w:val="20"/>
                <w:szCs w:val="20"/>
                <w:lang w:val="fr-FR"/>
              </w:rPr>
              <w:t xml:space="preserve"> Organiser 9 ateliers au bénéfice de 180</w:t>
            </w:r>
            <w:r w:rsidR="00FB4890" w:rsidRPr="00EE0EF7">
              <w:rPr>
                <w:sz w:val="20"/>
                <w:szCs w:val="20"/>
                <w:lang w:val="fr-FR"/>
              </w:rPr>
              <w:t> </w:t>
            </w:r>
            <w:r w:rsidRPr="00EE0EF7">
              <w:rPr>
                <w:sz w:val="20"/>
                <w:szCs w:val="20"/>
                <w:lang w:val="fr-FR"/>
              </w:rPr>
              <w:t>acteurs du secteur de la pêche afin de présenter, discuter et sélectionner les frigorigènes de remplacement les mieux adaptés (127 000 $US) ; réaliser 8 essais de démonstration avec les solutions de remplacement sélectionnées sur différents navires dans diverses régions (56 232 $US)</w:t>
            </w:r>
            <w:r w:rsidRPr="00EE0EF7">
              <w:rPr>
                <w:b/>
                <w:bCs/>
                <w:i/>
                <w:iCs/>
                <w:sz w:val="20"/>
                <w:szCs w:val="20"/>
                <w:u w:val="single"/>
                <w:lang w:val="fr-FR" w:eastAsia="fr"/>
              </w:rPr>
              <w:t> </w:t>
            </w:r>
            <w:r w:rsidRPr="00EE0EF7">
              <w:rPr>
                <w:sz w:val="20"/>
                <w:szCs w:val="20"/>
                <w:lang w:val="fr-FR" w:eastAsia="fr"/>
              </w:rPr>
              <w:t>; acquérir 10 machines de récupération et de recyclage à haute capacité ainsi que de grands réservoirs de stockage pour permettre aux associations de pêche de récupérer le HCFC</w:t>
            </w:r>
            <w:r w:rsidRPr="00EE0EF7">
              <w:rPr>
                <w:sz w:val="20"/>
                <w:szCs w:val="20"/>
                <w:lang w:val="fr-FR"/>
              </w:rPr>
              <w:noBreakHyphen/>
              <w:t>22 des bateaux de pêche avant la modernisation (100 000 $US) ; et mettre en place un programme d’incitation au bénéfice des pêcheries afin de compenser partiellement et d’accélérer la modernisation vers des frigorigènes de remplacement, sur la base des conclusions de l’atelier (2 164 768 $US). Les solutions de remplacement envisagées comprennent le R-417A, le R-422D, le R-424A, le R-434A, le R-438A et le R-453A.</w:t>
            </w:r>
          </w:p>
        </w:tc>
        <w:tc>
          <w:tcPr>
            <w:tcW w:w="606" w:type="pct"/>
          </w:tcPr>
          <w:p w14:paraId="6A33807A" w14:textId="77777777" w:rsidR="00C74282" w:rsidRPr="00EE0EF7" w:rsidRDefault="00C74282">
            <w:pPr>
              <w:shd w:val="clear" w:color="auto" w:fill="FFFFFF" w:themeFill="background1"/>
              <w:jc w:val="right"/>
              <w:rPr>
                <w:sz w:val="20"/>
                <w:szCs w:val="20"/>
                <w:lang w:val="fr-FR"/>
              </w:rPr>
            </w:pPr>
            <w:r w:rsidRPr="00EE0EF7">
              <w:rPr>
                <w:sz w:val="20"/>
                <w:szCs w:val="20"/>
                <w:lang w:val="fr-FR"/>
              </w:rPr>
              <w:t>2 448 000</w:t>
            </w:r>
          </w:p>
        </w:tc>
        <w:tc>
          <w:tcPr>
            <w:tcW w:w="682" w:type="pct"/>
          </w:tcPr>
          <w:p w14:paraId="54D4AD53" w14:textId="77777777" w:rsidR="00C74282" w:rsidRPr="00EE0EF7" w:rsidRDefault="00C74282">
            <w:pPr>
              <w:shd w:val="clear" w:color="auto" w:fill="FFFFFF" w:themeFill="background1"/>
              <w:jc w:val="right"/>
              <w:rPr>
                <w:sz w:val="20"/>
                <w:szCs w:val="20"/>
                <w:lang w:val="fr-FR"/>
              </w:rPr>
            </w:pPr>
            <w:r w:rsidRPr="00EE0EF7">
              <w:rPr>
                <w:sz w:val="20"/>
                <w:szCs w:val="20"/>
                <w:lang w:val="fr-FR"/>
              </w:rPr>
              <w:t>500 000</w:t>
            </w:r>
          </w:p>
        </w:tc>
      </w:tr>
      <w:tr w:rsidR="00C74282" w:rsidRPr="00CE7B9D" w14:paraId="1C3A1CC4" w14:textId="77777777" w:rsidTr="00A86FCC">
        <w:trPr>
          <w:trHeight w:val="225"/>
        </w:trPr>
        <w:tc>
          <w:tcPr>
            <w:tcW w:w="5000" w:type="pct"/>
            <w:gridSpan w:val="4"/>
          </w:tcPr>
          <w:p w14:paraId="6512C5C6" w14:textId="77777777" w:rsidR="00C74282" w:rsidRPr="00EE0EF7" w:rsidRDefault="00C74282">
            <w:pPr>
              <w:shd w:val="clear" w:color="auto" w:fill="FFFFFF" w:themeFill="background1"/>
              <w:jc w:val="left"/>
              <w:rPr>
                <w:b/>
                <w:bCs/>
                <w:sz w:val="20"/>
                <w:szCs w:val="20"/>
                <w:lang w:val="fr-FR"/>
              </w:rPr>
            </w:pPr>
            <w:r w:rsidRPr="00EE0EF7">
              <w:rPr>
                <w:b/>
                <w:bCs/>
                <w:sz w:val="20"/>
                <w:szCs w:val="20"/>
                <w:lang w:val="fr-FR"/>
              </w:rPr>
              <w:t>Activités de diffusion et de sensibilisation</w:t>
            </w:r>
          </w:p>
        </w:tc>
      </w:tr>
      <w:tr w:rsidR="00C74282" w:rsidRPr="00EE0EF7" w14:paraId="505055EB" w14:textId="77777777" w:rsidTr="00A86FCC">
        <w:trPr>
          <w:trHeight w:val="225"/>
        </w:trPr>
        <w:tc>
          <w:tcPr>
            <w:tcW w:w="3711" w:type="pct"/>
            <w:gridSpan w:val="2"/>
          </w:tcPr>
          <w:p w14:paraId="7C6E4AE4" w14:textId="1E0CB4F5" w:rsidR="00C74282" w:rsidRPr="00EE0EF7" w:rsidRDefault="00C74282">
            <w:pPr>
              <w:keepNext/>
              <w:jc w:val="left"/>
              <w:rPr>
                <w:sz w:val="20"/>
                <w:szCs w:val="20"/>
                <w:lang w:val="fr-FR"/>
              </w:rPr>
            </w:pPr>
            <w:r w:rsidRPr="00EE0EF7">
              <w:rPr>
                <w:sz w:val="20"/>
                <w:szCs w:val="20"/>
                <w:lang w:val="fr-FR"/>
              </w:rPr>
              <w:lastRenderedPageBreak/>
              <w:t>Poursuivre les activités de sensibilisation du public afin d'informer les consommateurs sur la question des rejets de frigorigènes et sur les avantages de l'utilisation de produits sans HCFC, notamment par le biais de campagnes médiatiques, de la diffusion d'informations, de conférences de presse et d'expositions destinées aux experts du secteur et aux principaux acteurs concernés.</w:t>
            </w:r>
          </w:p>
        </w:tc>
        <w:tc>
          <w:tcPr>
            <w:tcW w:w="606" w:type="pct"/>
          </w:tcPr>
          <w:p w14:paraId="2E3BF5CE" w14:textId="77777777" w:rsidR="00C74282" w:rsidRPr="00EE0EF7" w:rsidRDefault="00C74282">
            <w:pPr>
              <w:keepNext/>
              <w:shd w:val="clear" w:color="auto" w:fill="FFFFFF" w:themeFill="background1"/>
              <w:jc w:val="right"/>
              <w:rPr>
                <w:sz w:val="20"/>
                <w:szCs w:val="20"/>
                <w:lang w:val="fr-FR"/>
              </w:rPr>
            </w:pPr>
            <w:r w:rsidRPr="00EE0EF7">
              <w:rPr>
                <w:sz w:val="20"/>
                <w:szCs w:val="20"/>
                <w:lang w:val="fr-FR"/>
              </w:rPr>
              <w:t>96 000</w:t>
            </w:r>
          </w:p>
        </w:tc>
        <w:tc>
          <w:tcPr>
            <w:tcW w:w="682" w:type="pct"/>
          </w:tcPr>
          <w:p w14:paraId="4D51A5BE" w14:textId="77777777" w:rsidR="00C74282" w:rsidRPr="00EE0EF7" w:rsidRDefault="00C74282">
            <w:pPr>
              <w:keepNext/>
              <w:shd w:val="clear" w:color="auto" w:fill="FFFFFF" w:themeFill="background1"/>
              <w:jc w:val="right"/>
              <w:rPr>
                <w:sz w:val="20"/>
                <w:szCs w:val="20"/>
                <w:lang w:val="fr-FR"/>
              </w:rPr>
            </w:pPr>
            <w:r w:rsidRPr="00EE0EF7">
              <w:rPr>
                <w:sz w:val="20"/>
                <w:szCs w:val="20"/>
                <w:lang w:val="fr-FR"/>
              </w:rPr>
              <w:t>38 400</w:t>
            </w:r>
          </w:p>
        </w:tc>
      </w:tr>
      <w:tr w:rsidR="00C74282" w:rsidRPr="00CE7B9D" w14:paraId="6A20AE0A" w14:textId="77777777" w:rsidTr="00A86FCC">
        <w:trPr>
          <w:trHeight w:val="225"/>
        </w:trPr>
        <w:tc>
          <w:tcPr>
            <w:tcW w:w="5000" w:type="pct"/>
            <w:gridSpan w:val="4"/>
          </w:tcPr>
          <w:p w14:paraId="34FD07CA" w14:textId="77777777" w:rsidR="00C74282" w:rsidRPr="00EE0EF7" w:rsidRDefault="00C74282">
            <w:pPr>
              <w:keepNext/>
              <w:shd w:val="clear" w:color="auto" w:fill="FFFFFF" w:themeFill="background1"/>
              <w:jc w:val="left"/>
              <w:rPr>
                <w:b/>
                <w:bCs/>
                <w:sz w:val="20"/>
                <w:szCs w:val="20"/>
                <w:lang w:val="fr-FR"/>
              </w:rPr>
            </w:pPr>
            <w:r w:rsidRPr="00EE0EF7">
              <w:rPr>
                <w:b/>
                <w:bCs/>
                <w:sz w:val="20"/>
                <w:szCs w:val="20"/>
                <w:lang w:val="fr-FR"/>
              </w:rPr>
              <w:t>Coordination et surveillance du projet</w:t>
            </w:r>
          </w:p>
        </w:tc>
      </w:tr>
      <w:tr w:rsidR="00C74282" w:rsidRPr="00EE0EF7" w14:paraId="7727350D" w14:textId="77777777" w:rsidTr="00A86FCC">
        <w:trPr>
          <w:trHeight w:val="225"/>
        </w:trPr>
        <w:tc>
          <w:tcPr>
            <w:tcW w:w="3711" w:type="pct"/>
            <w:gridSpan w:val="2"/>
          </w:tcPr>
          <w:p w14:paraId="02C1B7CA" w14:textId="77777777" w:rsidR="00C74282" w:rsidRPr="00EE0EF7" w:rsidRDefault="00C74282">
            <w:pPr>
              <w:jc w:val="left"/>
              <w:rPr>
                <w:sz w:val="20"/>
                <w:szCs w:val="20"/>
                <w:lang w:val="fr-FR"/>
              </w:rPr>
            </w:pPr>
            <w:r w:rsidRPr="00EE0EF7">
              <w:rPr>
                <w:sz w:val="20"/>
                <w:szCs w:val="20"/>
                <w:lang w:val="fr-FR"/>
              </w:rPr>
              <w:t>Activités de gestion de projet, y compris les experts et consultants techniques et juridiques (230 400 $US), les déplacements et le suivi (204 000 $US), les coûts d’exploitation et autres dépenses (21 170 $US)</w:t>
            </w:r>
          </w:p>
        </w:tc>
        <w:tc>
          <w:tcPr>
            <w:tcW w:w="606" w:type="pct"/>
          </w:tcPr>
          <w:p w14:paraId="5CB4610D" w14:textId="77777777" w:rsidR="00C74282" w:rsidRPr="00EE0EF7" w:rsidRDefault="00C74282">
            <w:pPr>
              <w:shd w:val="clear" w:color="auto" w:fill="FFFFFF" w:themeFill="background1"/>
              <w:jc w:val="right"/>
              <w:rPr>
                <w:sz w:val="20"/>
                <w:szCs w:val="20"/>
                <w:lang w:val="fr-FR"/>
              </w:rPr>
            </w:pPr>
            <w:r w:rsidRPr="00EE0EF7">
              <w:rPr>
                <w:sz w:val="20"/>
                <w:szCs w:val="20"/>
                <w:lang w:val="fr-FR"/>
              </w:rPr>
              <w:t>455 570</w:t>
            </w:r>
          </w:p>
        </w:tc>
        <w:tc>
          <w:tcPr>
            <w:tcW w:w="682" w:type="pct"/>
          </w:tcPr>
          <w:p w14:paraId="0EFC110F" w14:textId="77777777" w:rsidR="00C74282" w:rsidRPr="00EE0EF7" w:rsidRDefault="00C74282">
            <w:pPr>
              <w:shd w:val="clear" w:color="auto" w:fill="FFFFFF" w:themeFill="background1"/>
              <w:jc w:val="right"/>
              <w:rPr>
                <w:sz w:val="20"/>
                <w:szCs w:val="20"/>
                <w:lang w:val="fr-FR"/>
              </w:rPr>
            </w:pPr>
            <w:r w:rsidRPr="00EE0EF7">
              <w:rPr>
                <w:sz w:val="20"/>
                <w:szCs w:val="20"/>
                <w:lang w:val="fr-FR"/>
              </w:rPr>
              <w:t>182 228</w:t>
            </w:r>
          </w:p>
        </w:tc>
      </w:tr>
      <w:tr w:rsidR="00C74282" w:rsidRPr="00EE0EF7" w14:paraId="1E6AF83F" w14:textId="77777777" w:rsidTr="00A86FCC">
        <w:trPr>
          <w:trHeight w:val="225"/>
        </w:trPr>
        <w:tc>
          <w:tcPr>
            <w:tcW w:w="3711" w:type="pct"/>
            <w:gridSpan w:val="2"/>
          </w:tcPr>
          <w:p w14:paraId="362B344D" w14:textId="77777777" w:rsidR="00C74282" w:rsidRPr="00EE0EF7" w:rsidRDefault="00C74282">
            <w:pPr>
              <w:jc w:val="left"/>
              <w:rPr>
                <w:b/>
                <w:sz w:val="20"/>
                <w:lang w:val="fr-FR"/>
              </w:rPr>
            </w:pPr>
            <w:r w:rsidRPr="00EE0EF7">
              <w:rPr>
                <w:b/>
                <w:bCs/>
                <w:sz w:val="20"/>
                <w:szCs w:val="20"/>
                <w:lang w:val="fr-FR"/>
              </w:rPr>
              <w:t>Total</w:t>
            </w:r>
          </w:p>
        </w:tc>
        <w:tc>
          <w:tcPr>
            <w:tcW w:w="606" w:type="pct"/>
          </w:tcPr>
          <w:p w14:paraId="32823C20" w14:textId="77777777" w:rsidR="00C74282" w:rsidRPr="00EE0EF7" w:rsidRDefault="00C74282">
            <w:pPr>
              <w:shd w:val="clear" w:color="auto" w:fill="FFFFFF" w:themeFill="background1"/>
              <w:jc w:val="right"/>
              <w:rPr>
                <w:b/>
                <w:bCs/>
                <w:sz w:val="20"/>
                <w:szCs w:val="20"/>
                <w:lang w:val="fr-FR"/>
              </w:rPr>
            </w:pPr>
            <w:r w:rsidRPr="00EE0EF7">
              <w:rPr>
                <w:b/>
                <w:bCs/>
                <w:sz w:val="20"/>
                <w:szCs w:val="20"/>
                <w:lang w:val="fr-FR"/>
              </w:rPr>
              <w:t>7 682 774</w:t>
            </w:r>
          </w:p>
        </w:tc>
        <w:tc>
          <w:tcPr>
            <w:tcW w:w="682" w:type="pct"/>
          </w:tcPr>
          <w:p w14:paraId="49495C69" w14:textId="77777777" w:rsidR="00C74282" w:rsidRPr="00EE0EF7" w:rsidRDefault="00C74282">
            <w:pPr>
              <w:shd w:val="clear" w:color="auto" w:fill="FFFFFF" w:themeFill="background1"/>
              <w:jc w:val="right"/>
              <w:rPr>
                <w:b/>
                <w:bCs/>
                <w:sz w:val="20"/>
                <w:szCs w:val="20"/>
                <w:lang w:val="fr-FR"/>
              </w:rPr>
            </w:pPr>
            <w:r w:rsidRPr="00EE0EF7">
              <w:rPr>
                <w:b/>
                <w:bCs/>
                <w:sz w:val="20"/>
                <w:szCs w:val="20"/>
                <w:lang w:val="fr-FR"/>
              </w:rPr>
              <w:t>1 935 228</w:t>
            </w:r>
          </w:p>
        </w:tc>
      </w:tr>
      <w:tr w:rsidR="00C74282" w:rsidRPr="00EE0EF7" w14:paraId="2D3BE177" w14:textId="77777777" w:rsidTr="00A86FCC">
        <w:trPr>
          <w:trHeight w:val="225"/>
        </w:trPr>
        <w:tc>
          <w:tcPr>
            <w:tcW w:w="1855" w:type="pct"/>
            <w:vMerge w:val="restart"/>
          </w:tcPr>
          <w:p w14:paraId="08C24309" w14:textId="77777777" w:rsidR="00C74282" w:rsidRPr="00EE0EF7" w:rsidRDefault="00C74282">
            <w:pPr>
              <w:jc w:val="left"/>
              <w:rPr>
                <w:sz w:val="20"/>
                <w:szCs w:val="20"/>
                <w:lang w:val="fr-FR"/>
              </w:rPr>
            </w:pPr>
            <w:r w:rsidRPr="00EE0EF7">
              <w:rPr>
                <w:sz w:val="20"/>
                <w:szCs w:val="20"/>
                <w:lang w:val="fr-FR"/>
              </w:rPr>
              <w:t>Élimination des HCFC</w:t>
            </w:r>
          </w:p>
        </w:tc>
        <w:tc>
          <w:tcPr>
            <w:tcW w:w="1856" w:type="pct"/>
          </w:tcPr>
          <w:p w14:paraId="1F9261F3" w14:textId="569C845E" w:rsidR="00C74282" w:rsidRPr="00EE0EF7" w:rsidRDefault="00EE0EF7">
            <w:pPr>
              <w:jc w:val="left"/>
              <w:rPr>
                <w:sz w:val="20"/>
                <w:szCs w:val="20"/>
                <w:lang w:val="fr-FR"/>
              </w:rPr>
            </w:pPr>
            <w:r>
              <w:rPr>
                <w:sz w:val="20"/>
                <w:szCs w:val="20"/>
                <w:lang w:val="fr-FR"/>
              </w:rPr>
              <w:t>tonnes métriques</w:t>
            </w:r>
          </w:p>
        </w:tc>
        <w:tc>
          <w:tcPr>
            <w:tcW w:w="606" w:type="pct"/>
          </w:tcPr>
          <w:p w14:paraId="4DC46B29" w14:textId="77777777" w:rsidR="00C74282" w:rsidRPr="00EE0EF7" w:rsidRDefault="00C74282">
            <w:pPr>
              <w:shd w:val="clear" w:color="auto" w:fill="FFFFFF" w:themeFill="background1"/>
              <w:jc w:val="right"/>
              <w:rPr>
                <w:sz w:val="20"/>
                <w:szCs w:val="20"/>
                <w:lang w:val="fr-FR"/>
              </w:rPr>
            </w:pPr>
            <w:r w:rsidRPr="00EE0EF7">
              <w:rPr>
                <w:sz w:val="20"/>
                <w:szCs w:val="20"/>
                <w:lang w:val="fr-FR"/>
              </w:rPr>
              <w:t>1 599,40</w:t>
            </w:r>
          </w:p>
        </w:tc>
        <w:tc>
          <w:tcPr>
            <w:tcW w:w="682" w:type="pct"/>
          </w:tcPr>
          <w:p w14:paraId="034FF377" w14:textId="77777777" w:rsidR="00C74282" w:rsidRPr="00EE0EF7" w:rsidRDefault="00C74282">
            <w:pPr>
              <w:shd w:val="clear" w:color="auto" w:fill="FFFFFF" w:themeFill="background1"/>
              <w:jc w:val="right"/>
              <w:rPr>
                <w:sz w:val="20"/>
                <w:szCs w:val="20"/>
                <w:lang w:val="fr-FR"/>
              </w:rPr>
            </w:pPr>
            <w:r w:rsidRPr="00EE0EF7">
              <w:rPr>
                <w:sz w:val="20"/>
                <w:szCs w:val="20"/>
                <w:lang w:val="fr-FR"/>
              </w:rPr>
              <w:t>s.o.</w:t>
            </w:r>
          </w:p>
        </w:tc>
      </w:tr>
      <w:tr w:rsidR="00C74282" w:rsidRPr="00EE0EF7" w14:paraId="35C0B48A" w14:textId="77777777" w:rsidTr="00A86FCC">
        <w:trPr>
          <w:trHeight w:val="225"/>
        </w:trPr>
        <w:tc>
          <w:tcPr>
            <w:tcW w:w="1855" w:type="pct"/>
            <w:vMerge/>
          </w:tcPr>
          <w:p w14:paraId="6D4565C7" w14:textId="77777777" w:rsidR="00C74282" w:rsidRPr="00EE0EF7" w:rsidRDefault="00C74282">
            <w:pPr>
              <w:jc w:val="left"/>
              <w:rPr>
                <w:sz w:val="20"/>
                <w:szCs w:val="20"/>
                <w:lang w:val="fr-FR"/>
              </w:rPr>
            </w:pPr>
          </w:p>
        </w:tc>
        <w:tc>
          <w:tcPr>
            <w:tcW w:w="1856" w:type="pct"/>
          </w:tcPr>
          <w:p w14:paraId="1A5E6214" w14:textId="57917A5E" w:rsidR="00C74282" w:rsidRPr="00EE0EF7" w:rsidRDefault="00EE0EF7">
            <w:pPr>
              <w:jc w:val="left"/>
              <w:rPr>
                <w:sz w:val="20"/>
                <w:szCs w:val="20"/>
                <w:lang w:val="fr-FR"/>
              </w:rPr>
            </w:pPr>
            <w:r>
              <w:rPr>
                <w:sz w:val="20"/>
                <w:szCs w:val="20"/>
                <w:lang w:val="fr-FR"/>
              </w:rPr>
              <w:t>t</w:t>
            </w:r>
            <w:r w:rsidR="00C74282" w:rsidRPr="00EE0EF7">
              <w:rPr>
                <w:sz w:val="20"/>
                <w:szCs w:val="20"/>
                <w:lang w:val="fr-FR"/>
              </w:rPr>
              <w:t>onnes PAO</w:t>
            </w:r>
          </w:p>
        </w:tc>
        <w:tc>
          <w:tcPr>
            <w:tcW w:w="606" w:type="pct"/>
          </w:tcPr>
          <w:p w14:paraId="31E56A90" w14:textId="77777777" w:rsidR="00C74282" w:rsidRPr="00EE0EF7" w:rsidRDefault="00C74282">
            <w:pPr>
              <w:shd w:val="clear" w:color="auto" w:fill="FFFFFF" w:themeFill="background1"/>
              <w:jc w:val="right"/>
              <w:rPr>
                <w:sz w:val="20"/>
                <w:szCs w:val="20"/>
                <w:lang w:val="fr-FR"/>
              </w:rPr>
            </w:pPr>
            <w:r w:rsidRPr="00EE0EF7">
              <w:rPr>
                <w:sz w:val="20"/>
                <w:szCs w:val="20"/>
                <w:lang w:val="fr-FR"/>
              </w:rPr>
              <w:t>87,97</w:t>
            </w:r>
          </w:p>
        </w:tc>
        <w:tc>
          <w:tcPr>
            <w:tcW w:w="682" w:type="pct"/>
          </w:tcPr>
          <w:p w14:paraId="4935F339" w14:textId="77777777" w:rsidR="00C74282" w:rsidRPr="00EE0EF7" w:rsidRDefault="00C74282">
            <w:pPr>
              <w:shd w:val="clear" w:color="auto" w:fill="FFFFFF" w:themeFill="background1"/>
              <w:jc w:val="right"/>
              <w:rPr>
                <w:sz w:val="20"/>
                <w:szCs w:val="20"/>
                <w:lang w:val="fr-FR"/>
              </w:rPr>
            </w:pPr>
            <w:r w:rsidRPr="00EE0EF7">
              <w:rPr>
                <w:sz w:val="20"/>
                <w:szCs w:val="20"/>
                <w:lang w:val="fr-FR"/>
              </w:rPr>
              <w:t>s.o.</w:t>
            </w:r>
          </w:p>
        </w:tc>
      </w:tr>
      <w:tr w:rsidR="00C74282" w:rsidRPr="00EE0EF7" w14:paraId="7A8AA445" w14:textId="77777777" w:rsidTr="00A86FCC">
        <w:trPr>
          <w:trHeight w:val="225"/>
        </w:trPr>
        <w:tc>
          <w:tcPr>
            <w:tcW w:w="3711" w:type="pct"/>
            <w:gridSpan w:val="2"/>
          </w:tcPr>
          <w:p w14:paraId="3CDADC03" w14:textId="77777777" w:rsidR="00C74282" w:rsidRPr="00EE0EF7" w:rsidRDefault="00C74282">
            <w:pPr>
              <w:jc w:val="left"/>
              <w:rPr>
                <w:sz w:val="20"/>
                <w:szCs w:val="20"/>
                <w:lang w:val="fr-FR"/>
              </w:rPr>
            </w:pPr>
            <w:r w:rsidRPr="00EE0EF7">
              <w:rPr>
                <w:sz w:val="20"/>
                <w:szCs w:val="20"/>
                <w:lang w:val="fr-FR"/>
              </w:rPr>
              <w:t>Rapport coût-efficacité ($ US/kg)</w:t>
            </w:r>
          </w:p>
        </w:tc>
        <w:tc>
          <w:tcPr>
            <w:tcW w:w="606" w:type="pct"/>
          </w:tcPr>
          <w:p w14:paraId="33373CAD" w14:textId="77777777" w:rsidR="00C74282" w:rsidRPr="00EE0EF7" w:rsidRDefault="00C74282">
            <w:pPr>
              <w:shd w:val="clear" w:color="auto" w:fill="FFFFFF" w:themeFill="background1"/>
              <w:jc w:val="right"/>
              <w:rPr>
                <w:sz w:val="20"/>
                <w:szCs w:val="20"/>
                <w:lang w:val="fr-FR"/>
              </w:rPr>
            </w:pPr>
            <w:r w:rsidRPr="00EE0EF7">
              <w:rPr>
                <w:sz w:val="20"/>
                <w:szCs w:val="20"/>
                <w:lang w:val="fr-FR"/>
              </w:rPr>
              <w:t>4,80</w:t>
            </w:r>
          </w:p>
        </w:tc>
        <w:tc>
          <w:tcPr>
            <w:tcW w:w="682" w:type="pct"/>
          </w:tcPr>
          <w:p w14:paraId="691F8DAA" w14:textId="77777777" w:rsidR="00C74282" w:rsidRPr="00EE0EF7" w:rsidRDefault="00C74282">
            <w:pPr>
              <w:shd w:val="clear" w:color="auto" w:fill="FFFFFF" w:themeFill="background1"/>
              <w:jc w:val="right"/>
              <w:rPr>
                <w:sz w:val="20"/>
                <w:szCs w:val="20"/>
                <w:lang w:val="fr-FR"/>
              </w:rPr>
            </w:pPr>
          </w:p>
        </w:tc>
      </w:tr>
      <w:tr w:rsidR="00C74282" w:rsidRPr="00EE0EF7" w14:paraId="2CB952FE" w14:textId="77777777" w:rsidTr="00A86FCC">
        <w:trPr>
          <w:trHeight w:val="225"/>
        </w:trPr>
        <w:tc>
          <w:tcPr>
            <w:tcW w:w="3711" w:type="pct"/>
            <w:gridSpan w:val="2"/>
          </w:tcPr>
          <w:p w14:paraId="33CCF263" w14:textId="3C187E7E" w:rsidR="00C74282" w:rsidRPr="00EE0EF7" w:rsidRDefault="00FB4890">
            <w:pPr>
              <w:jc w:val="left"/>
              <w:rPr>
                <w:sz w:val="20"/>
                <w:szCs w:val="20"/>
                <w:lang w:val="fr-FR"/>
              </w:rPr>
            </w:pPr>
            <w:r w:rsidRPr="00EE0EF7">
              <w:rPr>
                <w:sz w:val="20"/>
                <w:szCs w:val="20"/>
                <w:lang w:val="fr-FR"/>
              </w:rPr>
              <w:t>Imprévus</w:t>
            </w:r>
          </w:p>
        </w:tc>
        <w:tc>
          <w:tcPr>
            <w:tcW w:w="606" w:type="pct"/>
          </w:tcPr>
          <w:p w14:paraId="587B9B9A" w14:textId="77777777" w:rsidR="00C74282" w:rsidRPr="00EE0EF7" w:rsidRDefault="00C74282">
            <w:pPr>
              <w:shd w:val="clear" w:color="auto" w:fill="FFFFFF" w:themeFill="background1"/>
              <w:jc w:val="right"/>
              <w:rPr>
                <w:sz w:val="20"/>
                <w:szCs w:val="20"/>
                <w:lang w:val="fr-FR"/>
              </w:rPr>
            </w:pPr>
            <w:r w:rsidRPr="00EE0EF7">
              <w:rPr>
                <w:sz w:val="20"/>
                <w:szCs w:val="20"/>
                <w:lang w:val="fr-FR"/>
              </w:rPr>
              <w:t>874 220</w:t>
            </w:r>
          </w:p>
        </w:tc>
        <w:tc>
          <w:tcPr>
            <w:tcW w:w="682" w:type="pct"/>
          </w:tcPr>
          <w:p w14:paraId="190D4268" w14:textId="77777777" w:rsidR="00C74282" w:rsidRPr="00EE0EF7" w:rsidRDefault="00C74282">
            <w:pPr>
              <w:shd w:val="clear" w:color="auto" w:fill="FFFFFF" w:themeFill="background1"/>
              <w:jc w:val="right"/>
              <w:rPr>
                <w:sz w:val="20"/>
                <w:szCs w:val="20"/>
                <w:lang w:val="fr-FR"/>
              </w:rPr>
            </w:pPr>
            <w:r w:rsidRPr="00EE0EF7">
              <w:rPr>
                <w:sz w:val="20"/>
                <w:szCs w:val="20"/>
                <w:lang w:val="fr-FR"/>
              </w:rPr>
              <w:t>349 688</w:t>
            </w:r>
          </w:p>
        </w:tc>
      </w:tr>
    </w:tbl>
    <w:p w14:paraId="5CB1B17D" w14:textId="0B8AC2FF" w:rsidR="00C74282" w:rsidRPr="00EE0EF7" w:rsidRDefault="00C74282" w:rsidP="00C74282">
      <w:pPr>
        <w:pStyle w:val="ListParagraph"/>
        <w:keepNext/>
        <w:spacing w:after="240"/>
        <w:ind w:left="0"/>
        <w:rPr>
          <w:sz w:val="18"/>
          <w:szCs w:val="18"/>
          <w:lang w:val="fr-FR"/>
        </w:rPr>
      </w:pPr>
      <w:bookmarkStart w:id="5" w:name="_Hlk126915749"/>
      <w:bookmarkEnd w:id="4"/>
      <w:r w:rsidRPr="00EE0EF7">
        <w:rPr>
          <w:sz w:val="18"/>
          <w:szCs w:val="18"/>
          <w:lang w:val="fr-FR"/>
        </w:rPr>
        <w:t xml:space="preserve">*57 200 $US (dont 20 000 $US pour la première tranche) inclus dans la ligne </w:t>
      </w:r>
      <w:r w:rsidR="00EE0EF7">
        <w:rPr>
          <w:sz w:val="18"/>
          <w:szCs w:val="18"/>
          <w:lang w:val="fr-FR"/>
        </w:rPr>
        <w:t>Imprévus</w:t>
      </w:r>
    </w:p>
    <w:p w14:paraId="27F2F2BC" w14:textId="77777777" w:rsidR="00C74282" w:rsidRPr="00EE0EF7" w:rsidRDefault="00C74282" w:rsidP="00C74282">
      <w:pPr>
        <w:keepNext/>
        <w:spacing w:before="240" w:after="240"/>
        <w:rPr>
          <w:i/>
          <w:iCs/>
          <w:lang w:val="fr-FR"/>
        </w:rPr>
      </w:pPr>
      <w:r w:rsidRPr="00EE0EF7">
        <w:rPr>
          <w:i/>
          <w:iCs/>
          <w:lang w:val="fr-FR"/>
        </w:rPr>
        <w:t>Mise en œuvre et suivi du projet</w:t>
      </w:r>
    </w:p>
    <w:bookmarkEnd w:id="5"/>
    <w:p w14:paraId="2E56E679" w14:textId="604199F4" w:rsidR="00C74282" w:rsidRPr="00EE0EF7" w:rsidRDefault="00C74282" w:rsidP="00C74282">
      <w:pPr>
        <w:pStyle w:val="Heading1"/>
        <w:rPr>
          <w:lang w:val="fr-FR"/>
        </w:rPr>
      </w:pPr>
      <w:r w:rsidRPr="00EE0EF7">
        <w:rPr>
          <w:lang w:val="fr-FR"/>
        </w:rPr>
        <w:t xml:space="preserve">Le système mis en place dans le cadre des phases I et II du PGEH se poursuivra au cours de la </w:t>
      </w:r>
      <w:bookmarkStart w:id="6" w:name="_Hlk125636825"/>
      <w:r w:rsidRPr="00EE0EF7">
        <w:rPr>
          <w:lang w:val="fr-FR"/>
        </w:rPr>
        <w:t>phase</w:t>
      </w:r>
      <w:r w:rsidR="00FB4890" w:rsidRPr="00EE0EF7">
        <w:rPr>
          <w:lang w:val="fr-FR"/>
        </w:rPr>
        <w:t> </w:t>
      </w:r>
      <w:r w:rsidRPr="00EE0EF7">
        <w:rPr>
          <w:lang w:val="fr-FR"/>
        </w:rPr>
        <w:t>III</w:t>
      </w:r>
      <w:bookmarkEnd w:id="6"/>
      <w:r w:rsidRPr="00EE0EF7">
        <w:rPr>
          <w:lang w:val="fr-FR"/>
        </w:rPr>
        <w:t xml:space="preserve">, l'Unité nationale argentine de l'ozone (OPROZ) et l'ONUDI continuant à surveiller les activités, à rendre compte des progrès accomplis et à travailler avec les parties prenantes pour éliminer progressivement les HCFC. Le coût de ces activités s’élève à 455 570 $US pour l’ONUDI, comme indiqué </w:t>
      </w:r>
      <w:r w:rsidR="00EE0EF7">
        <w:rPr>
          <w:lang w:val="fr-FR"/>
        </w:rPr>
        <w:t>au</w:t>
      </w:r>
      <w:r w:rsidRPr="00EE0EF7">
        <w:rPr>
          <w:lang w:val="fr-FR"/>
        </w:rPr>
        <w:t xml:space="preserve"> tableau 3 ci-dessus.</w:t>
      </w:r>
    </w:p>
    <w:p w14:paraId="56D47112" w14:textId="5613CF44" w:rsidR="00C74282" w:rsidRPr="00EE0EF7" w:rsidRDefault="00C74282" w:rsidP="00C74282">
      <w:pPr>
        <w:pStyle w:val="Heading1"/>
        <w:rPr>
          <w:lang w:val="fr-FR"/>
        </w:rPr>
      </w:pPr>
      <w:r w:rsidRPr="00EE0EF7">
        <w:rPr>
          <w:lang w:val="fr-FR"/>
        </w:rPr>
        <w:t>Comme le montre le tableau 3, la phase III de la proposition de PGEH comprenait une ligne budgétaire d'environ 9 % de la valeur totale du projet pour les imprévus non liés à des réductions de HCFC. Le Gouvernement argentin a expliqué que, bien que la consommation admissible restante dans l'Accord soit de 178,79 tonnes PAO, la consommation de 2024 qui reste à prendre en compte n'est que de 62,92 tonnes PAO en raison de la contraction économique, et que la consommation moyenne en 2022-2024 était de 93,10</w:t>
      </w:r>
      <w:r w:rsidR="00FB4890" w:rsidRPr="00EE0EF7">
        <w:rPr>
          <w:lang w:val="fr-FR"/>
        </w:rPr>
        <w:t> </w:t>
      </w:r>
      <w:r w:rsidRPr="00EE0EF7">
        <w:rPr>
          <w:lang w:val="fr-FR"/>
        </w:rPr>
        <w:t xml:space="preserve">tonnes PAO. La ligne budgétaire dédiée aux </w:t>
      </w:r>
      <w:r w:rsidR="00FB4890" w:rsidRPr="00EE0EF7">
        <w:rPr>
          <w:lang w:val="fr-FR"/>
        </w:rPr>
        <w:t>imprévus</w:t>
      </w:r>
      <w:r w:rsidRPr="00EE0EF7">
        <w:rPr>
          <w:lang w:val="fr-FR"/>
        </w:rPr>
        <w:t xml:space="preserve"> a été proposée afin d'offrir la souplesse nécessaire pour renforcer les activités déjà prévues pour chaque secteur et pour répondre aux besoins supplémentaires qui pourraient survenir à mesure que la demande de HCFC reviendra progressivement à ses niveaux habituels.</w:t>
      </w:r>
    </w:p>
    <w:p w14:paraId="2F029376" w14:textId="77777777" w:rsidR="00C74282" w:rsidRPr="00EE0EF7" w:rsidRDefault="00C74282" w:rsidP="00C74282">
      <w:pPr>
        <w:keepNext/>
        <w:spacing w:before="240" w:after="240"/>
        <w:outlineLvl w:val="0"/>
        <w:rPr>
          <w:u w:val="single"/>
          <w:lang w:val="fr-FR"/>
        </w:rPr>
      </w:pPr>
      <w:bookmarkStart w:id="7" w:name="_Hlk126915819"/>
      <w:r w:rsidRPr="00EE0EF7">
        <w:rPr>
          <w:u w:val="single"/>
          <w:lang w:val="fr-FR"/>
        </w:rPr>
        <w:t>Coût total de la phase III du plan de gestion de l'élimination des HCFC</w:t>
      </w:r>
    </w:p>
    <w:bookmarkEnd w:id="7"/>
    <w:p w14:paraId="10DFDA21" w14:textId="4DC66891" w:rsidR="00C74282" w:rsidRPr="00EE0EF7" w:rsidRDefault="00C74282" w:rsidP="00C74282">
      <w:pPr>
        <w:pStyle w:val="Heading1"/>
        <w:rPr>
          <w:lang w:val="fr-FR"/>
        </w:rPr>
      </w:pPr>
      <w:r w:rsidRPr="00EE0EF7">
        <w:rPr>
          <w:lang w:val="fr-FR"/>
        </w:rPr>
        <w:t>Le coût total de la phase III du PGEH pour l'Argentine a été estimé à 9</w:t>
      </w:r>
      <w:r w:rsidR="00FB4890" w:rsidRPr="00EE0EF7">
        <w:rPr>
          <w:lang w:val="fr-FR"/>
        </w:rPr>
        <w:t xml:space="preserve"> </w:t>
      </w:r>
      <w:r w:rsidRPr="00EE0EF7">
        <w:rPr>
          <w:lang w:val="fr-FR"/>
        </w:rPr>
        <w:t>639</w:t>
      </w:r>
      <w:r w:rsidR="00FB4890" w:rsidRPr="00EE0EF7">
        <w:rPr>
          <w:lang w:val="fr-FR"/>
        </w:rPr>
        <w:t xml:space="preserve"> </w:t>
      </w:r>
      <w:r w:rsidRPr="00EE0EF7">
        <w:rPr>
          <w:lang w:val="fr-FR"/>
        </w:rPr>
        <w:t>994 $US (coûts d'appui d'agence en sus), conformément à la présentation initiale, pour atteindre une réduction de 100 % d’ici 2030. Les activités proposées et la ventilation des coûts sont résumées dans le tableau 4.</w:t>
      </w:r>
    </w:p>
    <w:p w14:paraId="76BFE9AB" w14:textId="2ECF7F02" w:rsidR="00C74282" w:rsidRPr="00EE0EF7" w:rsidRDefault="00C74282" w:rsidP="00C74282">
      <w:pPr>
        <w:keepNext/>
        <w:keepLines/>
        <w:rPr>
          <w:b/>
          <w:lang w:val="fr-FR"/>
        </w:rPr>
      </w:pPr>
      <w:r w:rsidRPr="00EE0EF7">
        <w:rPr>
          <w:b/>
          <w:lang w:val="fr-FR"/>
        </w:rPr>
        <w:t xml:space="preserve">Tableau 4. </w:t>
      </w:r>
      <w:bookmarkStart w:id="8" w:name="_Hlk189671354"/>
      <w:r w:rsidRPr="00EE0EF7">
        <w:rPr>
          <w:b/>
          <w:lang w:val="fr-FR"/>
        </w:rPr>
        <w:t xml:space="preserve">Coût de la phase III et de la première tranche de la phase III du </w:t>
      </w:r>
      <w:r w:rsidR="00FB4890" w:rsidRPr="00EE0EF7">
        <w:rPr>
          <w:b/>
          <w:lang w:val="fr-FR"/>
        </w:rPr>
        <w:t>PGEH</w:t>
      </w:r>
      <w:r w:rsidRPr="00EE0EF7">
        <w:rPr>
          <w:b/>
          <w:lang w:val="fr-FR"/>
        </w:rPr>
        <w:t xml:space="preserve"> pour l'Argentine, tel que soumis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bottom w:w="28" w:type="dxa"/>
        </w:tblCellMar>
        <w:tblLook w:val="04A0" w:firstRow="1" w:lastRow="0" w:firstColumn="1" w:lastColumn="0" w:noHBand="0" w:noVBand="1"/>
      </w:tblPr>
      <w:tblGrid>
        <w:gridCol w:w="3543"/>
        <w:gridCol w:w="1135"/>
        <w:gridCol w:w="1108"/>
        <w:gridCol w:w="1182"/>
        <w:gridCol w:w="1394"/>
        <w:gridCol w:w="1080"/>
      </w:tblGrid>
      <w:tr w:rsidR="00C74282" w:rsidRPr="00EE0EF7" w14:paraId="43C5FFC5" w14:textId="77777777" w:rsidTr="00FB4890">
        <w:trPr>
          <w:trHeight w:val="22"/>
          <w:tblHeader/>
        </w:trPr>
        <w:tc>
          <w:tcPr>
            <w:tcW w:w="1876" w:type="pct"/>
            <w:vMerge w:val="restart"/>
            <w:noWrap/>
            <w:vAlign w:val="center"/>
            <w:hideMark/>
          </w:tcPr>
          <w:p w14:paraId="3B74427A" w14:textId="77777777" w:rsidR="00C74282" w:rsidRPr="00EE0EF7" w:rsidRDefault="00C74282">
            <w:pPr>
              <w:keepNext/>
              <w:keepLines/>
              <w:jc w:val="center"/>
              <w:rPr>
                <w:b/>
                <w:bCs/>
                <w:color w:val="000000"/>
                <w:sz w:val="20"/>
                <w:szCs w:val="20"/>
                <w:lang w:val="fr-FR" w:eastAsia="en-CA"/>
              </w:rPr>
            </w:pPr>
            <w:r w:rsidRPr="00EE0EF7">
              <w:rPr>
                <w:b/>
                <w:bCs/>
                <w:color w:val="000000"/>
                <w:sz w:val="20"/>
                <w:szCs w:val="20"/>
                <w:lang w:val="fr-FR" w:eastAsia="fr"/>
              </w:rPr>
              <w:t>Activité</w:t>
            </w:r>
          </w:p>
        </w:tc>
        <w:tc>
          <w:tcPr>
            <w:tcW w:w="1188" w:type="pct"/>
            <w:gridSpan w:val="2"/>
            <w:tcBorders>
              <w:right w:val="single" w:sz="4" w:space="0" w:color="auto"/>
            </w:tcBorders>
            <w:noWrap/>
            <w:vAlign w:val="center"/>
          </w:tcPr>
          <w:p w14:paraId="762717CF" w14:textId="77777777" w:rsidR="00C74282" w:rsidRPr="00EE0EF7" w:rsidRDefault="00C74282">
            <w:pPr>
              <w:keepNext/>
              <w:keepLines/>
              <w:jc w:val="center"/>
              <w:rPr>
                <w:b/>
                <w:bCs/>
                <w:color w:val="000000"/>
                <w:sz w:val="20"/>
                <w:szCs w:val="20"/>
                <w:lang w:val="fr-FR" w:eastAsia="en-CA"/>
              </w:rPr>
            </w:pPr>
            <w:r w:rsidRPr="00EE0EF7">
              <w:rPr>
                <w:b/>
                <w:bCs/>
                <w:color w:val="000000"/>
                <w:sz w:val="20"/>
                <w:szCs w:val="20"/>
                <w:lang w:val="fr-FR" w:eastAsia="fr"/>
              </w:rPr>
              <w:t>Élimination</w:t>
            </w:r>
          </w:p>
        </w:tc>
        <w:tc>
          <w:tcPr>
            <w:tcW w:w="626" w:type="pct"/>
            <w:tcBorders>
              <w:top w:val="single" w:sz="4" w:space="0" w:color="auto"/>
              <w:left w:val="single" w:sz="4" w:space="0" w:color="auto"/>
              <w:bottom w:val="nil"/>
              <w:right w:val="single" w:sz="4" w:space="0" w:color="auto"/>
            </w:tcBorders>
            <w:noWrap/>
            <w:vAlign w:val="bottom"/>
            <w:hideMark/>
          </w:tcPr>
          <w:p w14:paraId="54C96A11" w14:textId="1A6F68D1" w:rsidR="00C74282" w:rsidRPr="00EE0EF7" w:rsidRDefault="00C74282" w:rsidP="00A86FCC">
            <w:pPr>
              <w:keepNext/>
              <w:keepLines/>
              <w:jc w:val="center"/>
              <w:rPr>
                <w:b/>
                <w:bCs/>
                <w:color w:val="000000"/>
                <w:sz w:val="20"/>
                <w:szCs w:val="20"/>
                <w:lang w:val="fr-FR" w:eastAsia="en-CA"/>
              </w:rPr>
            </w:pPr>
            <w:r w:rsidRPr="00EE0EF7">
              <w:rPr>
                <w:b/>
                <w:bCs/>
                <w:color w:val="000000"/>
                <w:sz w:val="20"/>
                <w:szCs w:val="20"/>
                <w:lang w:val="fr-FR" w:eastAsia="fr"/>
              </w:rPr>
              <w:t xml:space="preserve">Coût de </w:t>
            </w:r>
            <w:r w:rsidR="00FB4890" w:rsidRPr="00EE0EF7">
              <w:rPr>
                <w:b/>
                <w:bCs/>
                <w:color w:val="000000"/>
                <w:sz w:val="20"/>
                <w:szCs w:val="20"/>
                <w:lang w:val="fr-FR" w:eastAsia="fr"/>
              </w:rPr>
              <w:t>la phase</w:t>
            </w:r>
          </w:p>
        </w:tc>
        <w:tc>
          <w:tcPr>
            <w:tcW w:w="738" w:type="pct"/>
            <w:tcBorders>
              <w:top w:val="single" w:sz="4" w:space="0" w:color="auto"/>
              <w:left w:val="single" w:sz="4" w:space="0" w:color="auto"/>
              <w:bottom w:val="nil"/>
              <w:right w:val="single" w:sz="4" w:space="0" w:color="auto"/>
            </w:tcBorders>
            <w:noWrap/>
            <w:vAlign w:val="bottom"/>
            <w:hideMark/>
          </w:tcPr>
          <w:p w14:paraId="4DF6F068" w14:textId="369BEB40" w:rsidR="00C74282" w:rsidRPr="00EE0EF7" w:rsidRDefault="00C74282" w:rsidP="00A86FCC">
            <w:pPr>
              <w:keepNext/>
              <w:keepLines/>
              <w:jc w:val="center"/>
              <w:rPr>
                <w:b/>
                <w:bCs/>
                <w:color w:val="000000"/>
                <w:sz w:val="20"/>
                <w:szCs w:val="20"/>
                <w:lang w:val="fr-FR" w:eastAsia="en-CA"/>
              </w:rPr>
            </w:pPr>
            <w:r w:rsidRPr="00EE0EF7">
              <w:rPr>
                <w:b/>
                <w:bCs/>
                <w:color w:val="000000"/>
                <w:sz w:val="20"/>
                <w:szCs w:val="20"/>
                <w:lang w:val="fr-FR" w:eastAsia="fr"/>
              </w:rPr>
              <w:t>Rapport coût-efficacité</w:t>
            </w:r>
          </w:p>
        </w:tc>
        <w:tc>
          <w:tcPr>
            <w:tcW w:w="572" w:type="pct"/>
            <w:tcBorders>
              <w:top w:val="single" w:sz="4" w:space="0" w:color="auto"/>
              <w:left w:val="single" w:sz="4" w:space="0" w:color="auto"/>
              <w:bottom w:val="nil"/>
              <w:right w:val="single" w:sz="4" w:space="0" w:color="auto"/>
            </w:tcBorders>
            <w:vAlign w:val="bottom"/>
          </w:tcPr>
          <w:p w14:paraId="1571A4A5" w14:textId="3971021C" w:rsidR="00C74282" w:rsidRPr="00EE0EF7" w:rsidRDefault="00FB4890" w:rsidP="00A86FCC">
            <w:pPr>
              <w:keepNext/>
              <w:keepLines/>
              <w:jc w:val="center"/>
              <w:rPr>
                <w:b/>
                <w:bCs/>
                <w:color w:val="000000"/>
                <w:sz w:val="20"/>
                <w:szCs w:val="20"/>
                <w:lang w:val="fr-FR" w:eastAsia="en-CA"/>
              </w:rPr>
            </w:pPr>
            <w:r w:rsidRPr="00EE0EF7">
              <w:rPr>
                <w:b/>
                <w:bCs/>
                <w:color w:val="000000"/>
                <w:sz w:val="20"/>
                <w:szCs w:val="20"/>
                <w:lang w:val="fr-FR" w:eastAsia="fr"/>
              </w:rPr>
              <w:t>C</w:t>
            </w:r>
            <w:r w:rsidR="00C74282" w:rsidRPr="00EE0EF7">
              <w:rPr>
                <w:b/>
                <w:bCs/>
                <w:color w:val="000000"/>
                <w:sz w:val="20"/>
                <w:szCs w:val="20"/>
                <w:lang w:val="fr-FR" w:eastAsia="fr"/>
              </w:rPr>
              <w:t>oût de la tranche</w:t>
            </w:r>
          </w:p>
        </w:tc>
      </w:tr>
      <w:tr w:rsidR="00C74282" w:rsidRPr="00EE0EF7" w14:paraId="68C573F3" w14:textId="77777777" w:rsidTr="00FB4890">
        <w:trPr>
          <w:trHeight w:val="27"/>
          <w:tblHeader/>
        </w:trPr>
        <w:tc>
          <w:tcPr>
            <w:tcW w:w="1876" w:type="pct"/>
            <w:vMerge/>
            <w:noWrap/>
            <w:vAlign w:val="center"/>
          </w:tcPr>
          <w:p w14:paraId="1DF1FA64" w14:textId="77777777" w:rsidR="00C74282" w:rsidRPr="00EE0EF7" w:rsidRDefault="00C74282">
            <w:pPr>
              <w:keepNext/>
              <w:keepLines/>
              <w:jc w:val="center"/>
              <w:rPr>
                <w:b/>
                <w:bCs/>
                <w:color w:val="000000"/>
                <w:sz w:val="20"/>
                <w:szCs w:val="20"/>
                <w:lang w:val="fr-FR" w:eastAsia="en-CA"/>
              </w:rPr>
            </w:pPr>
          </w:p>
        </w:tc>
        <w:tc>
          <w:tcPr>
            <w:tcW w:w="601" w:type="pct"/>
            <w:noWrap/>
            <w:vAlign w:val="center"/>
          </w:tcPr>
          <w:p w14:paraId="671F8F4A" w14:textId="77777777" w:rsidR="00C74282" w:rsidRPr="00EE0EF7" w:rsidRDefault="00C74282">
            <w:pPr>
              <w:keepNext/>
              <w:keepLines/>
              <w:jc w:val="center"/>
              <w:rPr>
                <w:b/>
                <w:bCs/>
                <w:color w:val="000000"/>
                <w:sz w:val="20"/>
                <w:szCs w:val="20"/>
                <w:lang w:val="fr-FR" w:eastAsia="en-CA"/>
              </w:rPr>
            </w:pPr>
            <w:r w:rsidRPr="00EE0EF7">
              <w:rPr>
                <w:b/>
                <w:bCs/>
                <w:color w:val="000000"/>
                <w:sz w:val="20"/>
                <w:szCs w:val="20"/>
                <w:lang w:val="fr-FR" w:eastAsia="fr"/>
              </w:rPr>
              <w:t>tm</w:t>
            </w:r>
          </w:p>
        </w:tc>
        <w:tc>
          <w:tcPr>
            <w:tcW w:w="587" w:type="pct"/>
            <w:tcBorders>
              <w:right w:val="single" w:sz="4" w:space="0" w:color="auto"/>
            </w:tcBorders>
            <w:noWrap/>
            <w:vAlign w:val="center"/>
          </w:tcPr>
          <w:p w14:paraId="40C8F63B" w14:textId="6E5B5D5F" w:rsidR="00C74282" w:rsidRPr="00EE0EF7" w:rsidRDefault="00EE0EF7">
            <w:pPr>
              <w:keepNext/>
              <w:keepLines/>
              <w:jc w:val="center"/>
              <w:rPr>
                <w:b/>
                <w:bCs/>
                <w:color w:val="000000"/>
                <w:sz w:val="20"/>
                <w:szCs w:val="20"/>
                <w:lang w:val="fr-FR" w:eastAsia="en-CA"/>
              </w:rPr>
            </w:pPr>
            <w:r>
              <w:rPr>
                <w:b/>
                <w:bCs/>
                <w:color w:val="000000"/>
                <w:sz w:val="20"/>
                <w:szCs w:val="20"/>
                <w:lang w:val="fr-FR" w:eastAsia="fr"/>
              </w:rPr>
              <w:t>t</w:t>
            </w:r>
            <w:r w:rsidR="00C74282" w:rsidRPr="00EE0EF7">
              <w:rPr>
                <w:b/>
                <w:bCs/>
                <w:color w:val="000000"/>
                <w:sz w:val="20"/>
                <w:szCs w:val="20"/>
                <w:lang w:val="fr-FR" w:eastAsia="fr"/>
              </w:rPr>
              <w:t xml:space="preserve"> PAO</w:t>
            </w:r>
          </w:p>
        </w:tc>
        <w:tc>
          <w:tcPr>
            <w:tcW w:w="626" w:type="pct"/>
            <w:tcBorders>
              <w:top w:val="nil"/>
              <w:left w:val="single" w:sz="4" w:space="0" w:color="auto"/>
              <w:bottom w:val="single" w:sz="4" w:space="0" w:color="auto"/>
              <w:right w:val="single" w:sz="4" w:space="0" w:color="auto"/>
            </w:tcBorders>
            <w:noWrap/>
          </w:tcPr>
          <w:p w14:paraId="789B01EF" w14:textId="77777777" w:rsidR="00C74282" w:rsidRPr="00EE0EF7" w:rsidRDefault="00C74282" w:rsidP="00A86FCC">
            <w:pPr>
              <w:keepNext/>
              <w:keepLines/>
              <w:jc w:val="center"/>
              <w:rPr>
                <w:b/>
                <w:bCs/>
                <w:color w:val="000000"/>
                <w:sz w:val="20"/>
                <w:szCs w:val="20"/>
                <w:lang w:val="fr-FR" w:eastAsia="en-CA"/>
              </w:rPr>
            </w:pPr>
            <w:r w:rsidRPr="00EE0EF7">
              <w:rPr>
                <w:b/>
                <w:bCs/>
                <w:color w:val="000000"/>
                <w:sz w:val="20"/>
                <w:szCs w:val="20"/>
                <w:lang w:val="fr-FR" w:eastAsia="fr"/>
              </w:rPr>
              <w:t>($US)</w:t>
            </w:r>
          </w:p>
        </w:tc>
        <w:tc>
          <w:tcPr>
            <w:tcW w:w="738" w:type="pct"/>
            <w:tcBorders>
              <w:top w:val="nil"/>
              <w:left w:val="single" w:sz="4" w:space="0" w:color="auto"/>
              <w:bottom w:val="single" w:sz="4" w:space="0" w:color="auto"/>
              <w:right w:val="single" w:sz="4" w:space="0" w:color="auto"/>
            </w:tcBorders>
            <w:noWrap/>
          </w:tcPr>
          <w:p w14:paraId="6DA6191E" w14:textId="77777777" w:rsidR="00C74282" w:rsidRPr="00EE0EF7" w:rsidRDefault="00C74282" w:rsidP="00A86FCC">
            <w:pPr>
              <w:keepNext/>
              <w:keepLines/>
              <w:jc w:val="center"/>
              <w:rPr>
                <w:b/>
                <w:bCs/>
                <w:color w:val="000000"/>
                <w:sz w:val="20"/>
                <w:szCs w:val="20"/>
                <w:lang w:val="fr-FR" w:eastAsia="en-CA"/>
              </w:rPr>
            </w:pPr>
            <w:r w:rsidRPr="00EE0EF7">
              <w:rPr>
                <w:b/>
                <w:bCs/>
                <w:color w:val="000000"/>
                <w:sz w:val="20"/>
                <w:szCs w:val="20"/>
                <w:lang w:val="fr-FR" w:eastAsia="fr"/>
              </w:rPr>
              <w:t>($US/kg)</w:t>
            </w:r>
          </w:p>
        </w:tc>
        <w:tc>
          <w:tcPr>
            <w:tcW w:w="572" w:type="pct"/>
            <w:tcBorders>
              <w:top w:val="nil"/>
              <w:left w:val="single" w:sz="4" w:space="0" w:color="auto"/>
              <w:bottom w:val="single" w:sz="4" w:space="0" w:color="auto"/>
              <w:right w:val="single" w:sz="4" w:space="0" w:color="auto"/>
            </w:tcBorders>
          </w:tcPr>
          <w:p w14:paraId="181E984D" w14:textId="77777777" w:rsidR="00C74282" w:rsidRPr="00EE0EF7" w:rsidRDefault="00C74282" w:rsidP="00A86FCC">
            <w:pPr>
              <w:keepNext/>
              <w:keepLines/>
              <w:jc w:val="center"/>
              <w:rPr>
                <w:b/>
                <w:bCs/>
                <w:color w:val="000000"/>
                <w:sz w:val="20"/>
                <w:szCs w:val="20"/>
                <w:lang w:val="fr-FR" w:eastAsia="en-CA"/>
              </w:rPr>
            </w:pPr>
            <w:r w:rsidRPr="00EE0EF7">
              <w:rPr>
                <w:b/>
                <w:bCs/>
                <w:color w:val="000000"/>
                <w:sz w:val="20"/>
                <w:szCs w:val="20"/>
                <w:lang w:val="fr-FR" w:eastAsia="fr"/>
              </w:rPr>
              <w:t>($US)</w:t>
            </w:r>
          </w:p>
        </w:tc>
      </w:tr>
      <w:tr w:rsidR="00C74282" w:rsidRPr="00EE0EF7" w14:paraId="2F48A1BF" w14:textId="77777777" w:rsidTr="00FB4890">
        <w:trPr>
          <w:trHeight w:val="175"/>
        </w:trPr>
        <w:tc>
          <w:tcPr>
            <w:tcW w:w="1876" w:type="pct"/>
            <w:noWrap/>
            <w:hideMark/>
          </w:tcPr>
          <w:p w14:paraId="79FE1108" w14:textId="77777777" w:rsidR="00C74282" w:rsidRPr="00EE0EF7" w:rsidRDefault="00C74282">
            <w:pPr>
              <w:keepNext/>
              <w:keepLines/>
              <w:jc w:val="left"/>
              <w:rPr>
                <w:color w:val="000000"/>
                <w:sz w:val="20"/>
                <w:szCs w:val="20"/>
                <w:lang w:val="fr-FR" w:eastAsia="en-CA"/>
              </w:rPr>
            </w:pPr>
            <w:r w:rsidRPr="00EE0EF7">
              <w:rPr>
                <w:color w:val="000000"/>
                <w:sz w:val="20"/>
                <w:szCs w:val="20"/>
                <w:lang w:val="fr-FR" w:eastAsia="fr"/>
              </w:rPr>
              <w:t>Fabrication de systèmes de réfrigération à usage commercial</w:t>
            </w:r>
          </w:p>
        </w:tc>
        <w:tc>
          <w:tcPr>
            <w:tcW w:w="601" w:type="pct"/>
            <w:noWrap/>
            <w:hideMark/>
          </w:tcPr>
          <w:p w14:paraId="22E0655B" w14:textId="77777777" w:rsidR="00C74282" w:rsidRPr="00EE0EF7" w:rsidRDefault="00C74282">
            <w:pPr>
              <w:keepNext/>
              <w:keepLines/>
              <w:jc w:val="right"/>
              <w:rPr>
                <w:color w:val="000000"/>
                <w:sz w:val="20"/>
                <w:szCs w:val="20"/>
                <w:lang w:val="fr-FR" w:eastAsia="en-CA"/>
              </w:rPr>
            </w:pPr>
            <w:r w:rsidRPr="00EE0EF7">
              <w:rPr>
                <w:color w:val="000000"/>
                <w:sz w:val="20"/>
                <w:szCs w:val="20"/>
                <w:lang w:val="fr-FR" w:eastAsia="fr"/>
              </w:rPr>
              <w:t>46,91</w:t>
            </w:r>
          </w:p>
        </w:tc>
        <w:tc>
          <w:tcPr>
            <w:tcW w:w="587" w:type="pct"/>
            <w:noWrap/>
            <w:hideMark/>
          </w:tcPr>
          <w:p w14:paraId="159D1ADE" w14:textId="77777777" w:rsidR="00C74282" w:rsidRPr="00EE0EF7" w:rsidRDefault="00C74282">
            <w:pPr>
              <w:keepNext/>
              <w:keepLines/>
              <w:jc w:val="right"/>
              <w:rPr>
                <w:color w:val="000000"/>
                <w:sz w:val="20"/>
                <w:szCs w:val="20"/>
                <w:lang w:val="fr-FR" w:eastAsia="en-CA"/>
              </w:rPr>
            </w:pPr>
            <w:r w:rsidRPr="00EE0EF7">
              <w:rPr>
                <w:color w:val="000000"/>
                <w:sz w:val="20"/>
                <w:szCs w:val="20"/>
                <w:lang w:val="fr-FR" w:eastAsia="fr"/>
              </w:rPr>
              <w:t>2,58</w:t>
            </w:r>
          </w:p>
        </w:tc>
        <w:tc>
          <w:tcPr>
            <w:tcW w:w="626" w:type="pct"/>
            <w:tcBorders>
              <w:top w:val="single" w:sz="4" w:space="0" w:color="auto"/>
            </w:tcBorders>
            <w:noWrap/>
            <w:hideMark/>
          </w:tcPr>
          <w:p w14:paraId="471C8313" w14:textId="77777777" w:rsidR="00C74282" w:rsidRPr="00EE0EF7" w:rsidRDefault="00C74282">
            <w:pPr>
              <w:keepNext/>
              <w:keepLines/>
              <w:jc w:val="right"/>
              <w:rPr>
                <w:color w:val="000000"/>
                <w:sz w:val="20"/>
                <w:szCs w:val="20"/>
                <w:lang w:val="fr-FR" w:eastAsia="en-CA"/>
              </w:rPr>
            </w:pPr>
            <w:r w:rsidRPr="00EE0EF7">
              <w:rPr>
                <w:color w:val="000000"/>
                <w:sz w:val="20"/>
                <w:szCs w:val="20"/>
                <w:lang w:val="fr-FR" w:eastAsia="fr"/>
              </w:rPr>
              <w:t>713 000</w:t>
            </w:r>
          </w:p>
        </w:tc>
        <w:tc>
          <w:tcPr>
            <w:tcW w:w="738" w:type="pct"/>
            <w:tcBorders>
              <w:top w:val="single" w:sz="4" w:space="0" w:color="auto"/>
            </w:tcBorders>
            <w:noWrap/>
            <w:hideMark/>
          </w:tcPr>
          <w:p w14:paraId="2BDD543C" w14:textId="77777777" w:rsidR="00C74282" w:rsidRPr="00EE0EF7" w:rsidRDefault="00C74282">
            <w:pPr>
              <w:keepNext/>
              <w:keepLines/>
              <w:jc w:val="right"/>
              <w:rPr>
                <w:color w:val="000000"/>
                <w:sz w:val="20"/>
                <w:szCs w:val="20"/>
                <w:lang w:val="fr-FR" w:eastAsia="en-CA"/>
              </w:rPr>
            </w:pPr>
            <w:r w:rsidRPr="00EE0EF7">
              <w:rPr>
                <w:color w:val="000000"/>
                <w:sz w:val="20"/>
                <w:szCs w:val="20"/>
                <w:lang w:val="fr-FR" w:eastAsia="fr"/>
              </w:rPr>
              <w:t>15,20</w:t>
            </w:r>
          </w:p>
        </w:tc>
        <w:tc>
          <w:tcPr>
            <w:tcW w:w="572" w:type="pct"/>
            <w:tcBorders>
              <w:top w:val="single" w:sz="4" w:space="0" w:color="auto"/>
            </w:tcBorders>
          </w:tcPr>
          <w:p w14:paraId="64F53D96" w14:textId="77777777" w:rsidR="00C74282" w:rsidRPr="00EE0EF7" w:rsidRDefault="00C74282">
            <w:pPr>
              <w:keepNext/>
              <w:keepLines/>
              <w:jc w:val="right"/>
              <w:rPr>
                <w:color w:val="000000"/>
                <w:sz w:val="20"/>
                <w:szCs w:val="20"/>
                <w:lang w:val="fr-FR" w:eastAsia="en-CA"/>
              </w:rPr>
            </w:pPr>
            <w:r w:rsidRPr="00EE0EF7">
              <w:rPr>
                <w:color w:val="000000"/>
                <w:sz w:val="20"/>
                <w:szCs w:val="20"/>
                <w:lang w:val="fr-FR" w:eastAsia="fr"/>
              </w:rPr>
              <w:t>324 000</w:t>
            </w:r>
          </w:p>
        </w:tc>
      </w:tr>
      <w:tr w:rsidR="00C74282" w:rsidRPr="00EE0EF7" w14:paraId="55B1034D" w14:textId="77777777" w:rsidTr="00FB4890">
        <w:trPr>
          <w:trHeight w:val="94"/>
        </w:trPr>
        <w:tc>
          <w:tcPr>
            <w:tcW w:w="1876" w:type="pct"/>
            <w:noWrap/>
            <w:hideMark/>
          </w:tcPr>
          <w:p w14:paraId="1071F8B4" w14:textId="77777777" w:rsidR="00C74282" w:rsidRPr="00EE0EF7" w:rsidRDefault="00C74282">
            <w:pPr>
              <w:jc w:val="left"/>
              <w:rPr>
                <w:color w:val="000000"/>
                <w:sz w:val="20"/>
                <w:szCs w:val="20"/>
                <w:lang w:val="fr-FR" w:eastAsia="en-CA"/>
              </w:rPr>
            </w:pPr>
            <w:r w:rsidRPr="00EE0EF7">
              <w:rPr>
                <w:color w:val="000000"/>
                <w:sz w:val="20"/>
                <w:szCs w:val="20"/>
                <w:lang w:val="fr-FR" w:eastAsia="fr"/>
              </w:rPr>
              <w:t>Aérosols</w:t>
            </w:r>
          </w:p>
        </w:tc>
        <w:tc>
          <w:tcPr>
            <w:tcW w:w="601" w:type="pct"/>
            <w:noWrap/>
            <w:hideMark/>
          </w:tcPr>
          <w:p w14:paraId="7F5EBC79" w14:textId="77777777" w:rsidR="00C74282" w:rsidRPr="00EE0EF7" w:rsidRDefault="00C74282">
            <w:pPr>
              <w:jc w:val="right"/>
              <w:rPr>
                <w:color w:val="000000"/>
                <w:sz w:val="20"/>
                <w:szCs w:val="20"/>
                <w:lang w:val="fr-FR" w:eastAsia="en-CA"/>
              </w:rPr>
            </w:pPr>
            <w:r w:rsidRPr="00EE0EF7">
              <w:rPr>
                <w:color w:val="000000"/>
                <w:sz w:val="20"/>
                <w:szCs w:val="20"/>
                <w:lang w:val="fr-FR" w:eastAsia="fr"/>
              </w:rPr>
              <w:t>28,85</w:t>
            </w:r>
          </w:p>
        </w:tc>
        <w:tc>
          <w:tcPr>
            <w:tcW w:w="587" w:type="pct"/>
            <w:noWrap/>
            <w:hideMark/>
          </w:tcPr>
          <w:p w14:paraId="707158CD" w14:textId="77777777" w:rsidR="00C74282" w:rsidRPr="00EE0EF7" w:rsidRDefault="00C74282">
            <w:pPr>
              <w:jc w:val="right"/>
              <w:rPr>
                <w:color w:val="000000"/>
                <w:sz w:val="20"/>
                <w:szCs w:val="20"/>
                <w:lang w:val="fr-FR" w:eastAsia="en-CA"/>
              </w:rPr>
            </w:pPr>
            <w:r w:rsidRPr="00EE0EF7">
              <w:rPr>
                <w:color w:val="000000"/>
                <w:sz w:val="20"/>
                <w:szCs w:val="20"/>
                <w:lang w:val="fr-FR" w:eastAsia="fr"/>
              </w:rPr>
              <w:t>1,59</w:t>
            </w:r>
          </w:p>
        </w:tc>
        <w:tc>
          <w:tcPr>
            <w:tcW w:w="626" w:type="pct"/>
            <w:noWrap/>
            <w:hideMark/>
          </w:tcPr>
          <w:p w14:paraId="4768B193" w14:textId="77777777" w:rsidR="00C74282" w:rsidRPr="00EE0EF7" w:rsidRDefault="00C74282">
            <w:pPr>
              <w:jc w:val="right"/>
              <w:rPr>
                <w:color w:val="000000"/>
                <w:sz w:val="20"/>
                <w:szCs w:val="20"/>
                <w:lang w:val="fr-FR" w:eastAsia="en-CA"/>
              </w:rPr>
            </w:pPr>
            <w:r w:rsidRPr="00EE0EF7">
              <w:rPr>
                <w:color w:val="000000"/>
                <w:sz w:val="20"/>
                <w:szCs w:val="20"/>
                <w:lang w:val="fr-FR" w:eastAsia="fr"/>
              </w:rPr>
              <w:t>138 500</w:t>
            </w:r>
          </w:p>
        </w:tc>
        <w:tc>
          <w:tcPr>
            <w:tcW w:w="738" w:type="pct"/>
            <w:noWrap/>
            <w:hideMark/>
          </w:tcPr>
          <w:p w14:paraId="16712D0C" w14:textId="77777777" w:rsidR="00C74282" w:rsidRPr="00EE0EF7" w:rsidRDefault="00C74282">
            <w:pPr>
              <w:jc w:val="right"/>
              <w:rPr>
                <w:color w:val="000000"/>
                <w:sz w:val="20"/>
                <w:szCs w:val="20"/>
                <w:lang w:val="fr-FR" w:eastAsia="en-CA"/>
              </w:rPr>
            </w:pPr>
            <w:r w:rsidRPr="00EE0EF7">
              <w:rPr>
                <w:color w:val="000000"/>
                <w:sz w:val="20"/>
                <w:szCs w:val="20"/>
                <w:lang w:val="fr-FR" w:eastAsia="fr"/>
              </w:rPr>
              <w:t>4,80</w:t>
            </w:r>
          </w:p>
        </w:tc>
        <w:tc>
          <w:tcPr>
            <w:tcW w:w="572" w:type="pct"/>
          </w:tcPr>
          <w:p w14:paraId="0ED9D445" w14:textId="77777777" w:rsidR="00C74282" w:rsidRPr="00EE0EF7" w:rsidRDefault="00C74282">
            <w:pPr>
              <w:jc w:val="right"/>
              <w:rPr>
                <w:color w:val="000000"/>
                <w:sz w:val="20"/>
                <w:szCs w:val="20"/>
                <w:lang w:val="fr-FR" w:eastAsia="en-CA"/>
              </w:rPr>
            </w:pPr>
            <w:r w:rsidRPr="00EE0EF7">
              <w:rPr>
                <w:color w:val="000000"/>
                <w:sz w:val="20"/>
                <w:szCs w:val="20"/>
                <w:lang w:val="fr-FR" w:eastAsia="fr"/>
              </w:rPr>
              <w:t>60 000</w:t>
            </w:r>
          </w:p>
        </w:tc>
      </w:tr>
      <w:tr w:rsidR="00C74282" w:rsidRPr="00EE0EF7" w14:paraId="06C81FBF" w14:textId="77777777" w:rsidTr="00FB4890">
        <w:trPr>
          <w:trHeight w:val="189"/>
        </w:trPr>
        <w:tc>
          <w:tcPr>
            <w:tcW w:w="1876" w:type="pct"/>
            <w:noWrap/>
            <w:hideMark/>
          </w:tcPr>
          <w:p w14:paraId="02D88F92" w14:textId="77777777" w:rsidR="00C74282" w:rsidRPr="00EE0EF7" w:rsidRDefault="00C74282">
            <w:pPr>
              <w:jc w:val="left"/>
              <w:rPr>
                <w:color w:val="000000"/>
                <w:sz w:val="20"/>
                <w:szCs w:val="20"/>
                <w:lang w:val="fr-FR" w:eastAsia="en-CA"/>
              </w:rPr>
            </w:pPr>
            <w:r w:rsidRPr="00EE0EF7">
              <w:rPr>
                <w:color w:val="000000"/>
                <w:sz w:val="20"/>
                <w:szCs w:val="20"/>
                <w:lang w:val="fr-FR" w:eastAsia="fr"/>
              </w:rPr>
              <w:t>Lutte contre l'incendie</w:t>
            </w:r>
          </w:p>
        </w:tc>
        <w:tc>
          <w:tcPr>
            <w:tcW w:w="601" w:type="pct"/>
            <w:noWrap/>
            <w:hideMark/>
          </w:tcPr>
          <w:p w14:paraId="49088B69" w14:textId="77777777" w:rsidR="00C74282" w:rsidRPr="00EE0EF7" w:rsidRDefault="00C74282">
            <w:pPr>
              <w:jc w:val="right"/>
              <w:rPr>
                <w:color w:val="000000"/>
                <w:sz w:val="20"/>
                <w:szCs w:val="20"/>
                <w:lang w:val="fr-FR" w:eastAsia="en-CA"/>
              </w:rPr>
            </w:pPr>
            <w:r w:rsidRPr="00EE0EF7">
              <w:rPr>
                <w:color w:val="000000"/>
                <w:sz w:val="20"/>
                <w:szCs w:val="20"/>
                <w:lang w:val="fr-FR" w:eastAsia="fr"/>
              </w:rPr>
              <w:t>48,23</w:t>
            </w:r>
          </w:p>
        </w:tc>
        <w:tc>
          <w:tcPr>
            <w:tcW w:w="587" w:type="pct"/>
            <w:noWrap/>
            <w:hideMark/>
          </w:tcPr>
          <w:p w14:paraId="67D91DE6" w14:textId="77777777" w:rsidR="00C74282" w:rsidRPr="00EE0EF7" w:rsidRDefault="00C74282">
            <w:pPr>
              <w:jc w:val="right"/>
              <w:rPr>
                <w:color w:val="000000"/>
                <w:sz w:val="20"/>
                <w:szCs w:val="20"/>
                <w:lang w:val="fr-FR" w:eastAsia="en-CA"/>
              </w:rPr>
            </w:pPr>
            <w:r w:rsidRPr="00EE0EF7">
              <w:rPr>
                <w:color w:val="000000"/>
                <w:sz w:val="20"/>
                <w:szCs w:val="20"/>
                <w:lang w:val="fr-FR" w:eastAsia="fr"/>
              </w:rPr>
              <w:t>0,96</w:t>
            </w:r>
          </w:p>
        </w:tc>
        <w:tc>
          <w:tcPr>
            <w:tcW w:w="626" w:type="pct"/>
            <w:noWrap/>
            <w:hideMark/>
          </w:tcPr>
          <w:p w14:paraId="0F5D00D6" w14:textId="77777777" w:rsidR="00C74282" w:rsidRPr="00EE0EF7" w:rsidRDefault="00C74282">
            <w:pPr>
              <w:jc w:val="right"/>
              <w:rPr>
                <w:color w:val="000000"/>
                <w:sz w:val="20"/>
                <w:szCs w:val="20"/>
                <w:lang w:val="fr-FR" w:eastAsia="en-CA"/>
              </w:rPr>
            </w:pPr>
            <w:r w:rsidRPr="00EE0EF7">
              <w:rPr>
                <w:color w:val="000000"/>
                <w:sz w:val="20"/>
                <w:szCs w:val="20"/>
                <w:lang w:val="fr-FR" w:eastAsia="fr"/>
              </w:rPr>
              <w:t>231 500</w:t>
            </w:r>
          </w:p>
        </w:tc>
        <w:tc>
          <w:tcPr>
            <w:tcW w:w="738" w:type="pct"/>
            <w:noWrap/>
            <w:hideMark/>
          </w:tcPr>
          <w:p w14:paraId="7DF5C404" w14:textId="77777777" w:rsidR="00C74282" w:rsidRPr="00EE0EF7" w:rsidRDefault="00C74282">
            <w:pPr>
              <w:jc w:val="right"/>
              <w:rPr>
                <w:color w:val="000000"/>
                <w:sz w:val="20"/>
                <w:szCs w:val="20"/>
                <w:lang w:val="fr-FR" w:eastAsia="en-CA"/>
              </w:rPr>
            </w:pPr>
            <w:r w:rsidRPr="00EE0EF7">
              <w:rPr>
                <w:color w:val="000000"/>
                <w:sz w:val="20"/>
                <w:szCs w:val="20"/>
                <w:lang w:val="fr-FR" w:eastAsia="fr"/>
              </w:rPr>
              <w:t>4,80</w:t>
            </w:r>
          </w:p>
        </w:tc>
        <w:tc>
          <w:tcPr>
            <w:tcW w:w="572" w:type="pct"/>
          </w:tcPr>
          <w:p w14:paraId="586DC915" w14:textId="77777777" w:rsidR="00C74282" w:rsidRPr="00EE0EF7" w:rsidRDefault="00C74282">
            <w:pPr>
              <w:jc w:val="right"/>
              <w:rPr>
                <w:color w:val="000000"/>
                <w:sz w:val="20"/>
                <w:szCs w:val="20"/>
                <w:lang w:val="fr-FR" w:eastAsia="en-CA"/>
              </w:rPr>
            </w:pPr>
            <w:r w:rsidRPr="00EE0EF7">
              <w:rPr>
                <w:color w:val="000000"/>
                <w:sz w:val="20"/>
                <w:szCs w:val="20"/>
                <w:lang w:val="fr-FR" w:eastAsia="fr"/>
              </w:rPr>
              <w:t>141 000</w:t>
            </w:r>
          </w:p>
        </w:tc>
      </w:tr>
      <w:tr w:rsidR="00C74282" w:rsidRPr="00EE0EF7" w14:paraId="50037355" w14:textId="77777777" w:rsidTr="00FB4890">
        <w:trPr>
          <w:trHeight w:val="50"/>
        </w:trPr>
        <w:tc>
          <w:tcPr>
            <w:tcW w:w="1876" w:type="pct"/>
            <w:noWrap/>
            <w:hideMark/>
          </w:tcPr>
          <w:p w14:paraId="46769231" w14:textId="77777777" w:rsidR="00C74282" w:rsidRPr="00EE0EF7" w:rsidRDefault="00C74282">
            <w:pPr>
              <w:jc w:val="left"/>
              <w:rPr>
                <w:color w:val="000000"/>
                <w:sz w:val="20"/>
                <w:szCs w:val="20"/>
                <w:lang w:val="fr-FR" w:eastAsia="en-CA"/>
              </w:rPr>
            </w:pPr>
            <w:r w:rsidRPr="00EE0EF7">
              <w:rPr>
                <w:color w:val="000000"/>
                <w:sz w:val="20"/>
                <w:szCs w:val="20"/>
                <w:lang w:val="fr-FR" w:eastAsia="fr"/>
              </w:rPr>
              <w:lastRenderedPageBreak/>
              <w:t>Activités du secteur de l'entretien des systèmes de réfrigération</w:t>
            </w:r>
          </w:p>
        </w:tc>
        <w:tc>
          <w:tcPr>
            <w:tcW w:w="601" w:type="pct"/>
            <w:noWrap/>
            <w:hideMark/>
          </w:tcPr>
          <w:p w14:paraId="4DD3374B" w14:textId="77777777" w:rsidR="00C74282" w:rsidRPr="00EE0EF7" w:rsidRDefault="00C74282">
            <w:pPr>
              <w:jc w:val="right"/>
              <w:rPr>
                <w:color w:val="000000"/>
                <w:sz w:val="20"/>
                <w:szCs w:val="20"/>
                <w:lang w:val="fr-FR" w:eastAsia="en-CA"/>
              </w:rPr>
            </w:pPr>
            <w:r w:rsidRPr="00EE0EF7">
              <w:rPr>
                <w:color w:val="000000"/>
                <w:sz w:val="20"/>
                <w:szCs w:val="20"/>
                <w:lang w:val="fr-FR" w:eastAsia="fr"/>
              </w:rPr>
              <w:t>1 599,00</w:t>
            </w:r>
          </w:p>
        </w:tc>
        <w:tc>
          <w:tcPr>
            <w:tcW w:w="587" w:type="pct"/>
            <w:noWrap/>
            <w:hideMark/>
          </w:tcPr>
          <w:p w14:paraId="3AFD1BC0" w14:textId="77777777" w:rsidR="00C74282" w:rsidRPr="00EE0EF7" w:rsidRDefault="00C74282">
            <w:pPr>
              <w:jc w:val="right"/>
              <w:rPr>
                <w:color w:val="000000"/>
                <w:sz w:val="20"/>
                <w:szCs w:val="20"/>
                <w:lang w:val="fr-FR" w:eastAsia="en-CA"/>
              </w:rPr>
            </w:pPr>
            <w:r w:rsidRPr="00EE0EF7">
              <w:rPr>
                <w:color w:val="000000"/>
                <w:sz w:val="20"/>
                <w:szCs w:val="20"/>
                <w:lang w:val="fr-FR" w:eastAsia="fr"/>
              </w:rPr>
              <w:t>87,97</w:t>
            </w:r>
          </w:p>
        </w:tc>
        <w:tc>
          <w:tcPr>
            <w:tcW w:w="626" w:type="pct"/>
            <w:noWrap/>
            <w:hideMark/>
          </w:tcPr>
          <w:p w14:paraId="1B1E76FC" w14:textId="77777777" w:rsidR="00C74282" w:rsidRPr="00EE0EF7" w:rsidRDefault="00C74282">
            <w:pPr>
              <w:jc w:val="right"/>
              <w:rPr>
                <w:color w:val="000000"/>
                <w:sz w:val="20"/>
                <w:szCs w:val="20"/>
                <w:lang w:val="fr-FR" w:eastAsia="en-CA"/>
              </w:rPr>
            </w:pPr>
            <w:r w:rsidRPr="00EE0EF7">
              <w:rPr>
                <w:color w:val="000000"/>
                <w:sz w:val="20"/>
                <w:szCs w:val="20"/>
                <w:lang w:val="fr-FR" w:eastAsia="fr"/>
              </w:rPr>
              <w:t>7 682 774</w:t>
            </w:r>
          </w:p>
        </w:tc>
        <w:tc>
          <w:tcPr>
            <w:tcW w:w="738" w:type="pct"/>
            <w:noWrap/>
            <w:hideMark/>
          </w:tcPr>
          <w:p w14:paraId="7AC75A0A" w14:textId="77777777" w:rsidR="00C74282" w:rsidRPr="00EE0EF7" w:rsidRDefault="00C74282">
            <w:pPr>
              <w:jc w:val="right"/>
              <w:rPr>
                <w:color w:val="000000"/>
                <w:sz w:val="20"/>
                <w:szCs w:val="20"/>
                <w:lang w:val="fr-FR" w:eastAsia="en-CA"/>
              </w:rPr>
            </w:pPr>
            <w:r w:rsidRPr="00EE0EF7">
              <w:rPr>
                <w:color w:val="000000"/>
                <w:sz w:val="20"/>
                <w:szCs w:val="20"/>
                <w:lang w:val="fr-FR" w:eastAsia="fr"/>
              </w:rPr>
              <w:t>4,80</w:t>
            </w:r>
          </w:p>
        </w:tc>
        <w:tc>
          <w:tcPr>
            <w:tcW w:w="572" w:type="pct"/>
          </w:tcPr>
          <w:p w14:paraId="4CD63030" w14:textId="77777777" w:rsidR="00C74282" w:rsidRPr="00EE0EF7" w:rsidRDefault="00C74282">
            <w:pPr>
              <w:jc w:val="right"/>
              <w:rPr>
                <w:color w:val="000000"/>
                <w:sz w:val="20"/>
                <w:szCs w:val="20"/>
                <w:lang w:val="fr-FR" w:eastAsia="en-CA"/>
              </w:rPr>
            </w:pPr>
            <w:r w:rsidRPr="00EE0EF7">
              <w:rPr>
                <w:color w:val="000000"/>
                <w:sz w:val="20"/>
                <w:szCs w:val="20"/>
                <w:lang w:val="fr-FR" w:eastAsia="fr"/>
              </w:rPr>
              <w:t>1 935 228</w:t>
            </w:r>
          </w:p>
        </w:tc>
      </w:tr>
      <w:tr w:rsidR="00C74282" w:rsidRPr="00EE0EF7" w14:paraId="71DF39C9" w14:textId="77777777" w:rsidTr="00FB4890">
        <w:trPr>
          <w:trHeight w:val="38"/>
        </w:trPr>
        <w:tc>
          <w:tcPr>
            <w:tcW w:w="1876" w:type="pct"/>
            <w:noWrap/>
            <w:hideMark/>
          </w:tcPr>
          <w:p w14:paraId="2F6C722D" w14:textId="77777777" w:rsidR="00C74282" w:rsidRPr="00EE0EF7" w:rsidRDefault="00C74282">
            <w:pPr>
              <w:jc w:val="left"/>
              <w:rPr>
                <w:color w:val="000000"/>
                <w:sz w:val="20"/>
                <w:szCs w:val="20"/>
                <w:lang w:val="fr-FR" w:eastAsia="en-CA"/>
              </w:rPr>
            </w:pPr>
            <w:r w:rsidRPr="00EE0EF7">
              <w:rPr>
                <w:color w:val="000000"/>
                <w:sz w:val="20"/>
                <w:szCs w:val="20"/>
                <w:lang w:val="fr-FR" w:eastAsia="fr"/>
              </w:rPr>
              <w:t>Imprévus</w:t>
            </w:r>
          </w:p>
        </w:tc>
        <w:tc>
          <w:tcPr>
            <w:tcW w:w="601" w:type="pct"/>
            <w:noWrap/>
            <w:hideMark/>
          </w:tcPr>
          <w:p w14:paraId="6E64EA35" w14:textId="77777777" w:rsidR="00C74282" w:rsidRPr="00EE0EF7" w:rsidRDefault="00C74282">
            <w:pPr>
              <w:jc w:val="right"/>
              <w:rPr>
                <w:color w:val="000000"/>
                <w:sz w:val="20"/>
                <w:szCs w:val="20"/>
                <w:lang w:val="fr-FR" w:eastAsia="en-CA"/>
              </w:rPr>
            </w:pPr>
            <w:r w:rsidRPr="00EE0EF7">
              <w:rPr>
                <w:color w:val="000000"/>
                <w:sz w:val="20"/>
                <w:szCs w:val="20"/>
                <w:lang w:val="fr-FR" w:eastAsia="fr"/>
              </w:rPr>
              <w:t>s.o.</w:t>
            </w:r>
          </w:p>
        </w:tc>
        <w:tc>
          <w:tcPr>
            <w:tcW w:w="587" w:type="pct"/>
            <w:noWrap/>
            <w:hideMark/>
          </w:tcPr>
          <w:p w14:paraId="3079E67F" w14:textId="77777777" w:rsidR="00C74282" w:rsidRPr="00EE0EF7" w:rsidRDefault="00C74282">
            <w:pPr>
              <w:jc w:val="right"/>
              <w:rPr>
                <w:sz w:val="20"/>
                <w:szCs w:val="20"/>
                <w:lang w:val="fr-FR" w:eastAsia="en-CA"/>
              </w:rPr>
            </w:pPr>
            <w:r w:rsidRPr="00EE0EF7">
              <w:rPr>
                <w:sz w:val="20"/>
                <w:szCs w:val="20"/>
                <w:lang w:val="fr-FR" w:eastAsia="fr"/>
              </w:rPr>
              <w:t>s.o.</w:t>
            </w:r>
          </w:p>
        </w:tc>
        <w:tc>
          <w:tcPr>
            <w:tcW w:w="626" w:type="pct"/>
            <w:noWrap/>
            <w:hideMark/>
          </w:tcPr>
          <w:p w14:paraId="4F8C57B3" w14:textId="77777777" w:rsidR="00C74282" w:rsidRPr="00EE0EF7" w:rsidRDefault="00C74282">
            <w:pPr>
              <w:jc w:val="right"/>
              <w:rPr>
                <w:color w:val="000000"/>
                <w:sz w:val="20"/>
                <w:szCs w:val="20"/>
                <w:lang w:val="fr-FR" w:eastAsia="en-CA"/>
              </w:rPr>
            </w:pPr>
            <w:r w:rsidRPr="00EE0EF7">
              <w:rPr>
                <w:color w:val="000000"/>
                <w:sz w:val="20"/>
                <w:szCs w:val="20"/>
                <w:lang w:val="fr-FR" w:eastAsia="fr"/>
              </w:rPr>
              <w:t>874 220</w:t>
            </w:r>
          </w:p>
        </w:tc>
        <w:tc>
          <w:tcPr>
            <w:tcW w:w="738" w:type="pct"/>
            <w:noWrap/>
            <w:hideMark/>
          </w:tcPr>
          <w:p w14:paraId="560D4565" w14:textId="77777777" w:rsidR="00C74282" w:rsidRPr="00EE0EF7" w:rsidRDefault="00C74282">
            <w:pPr>
              <w:jc w:val="right"/>
              <w:rPr>
                <w:color w:val="000000"/>
                <w:sz w:val="20"/>
                <w:szCs w:val="20"/>
                <w:lang w:val="fr-FR" w:eastAsia="en-CA"/>
              </w:rPr>
            </w:pPr>
          </w:p>
        </w:tc>
        <w:tc>
          <w:tcPr>
            <w:tcW w:w="572" w:type="pct"/>
          </w:tcPr>
          <w:p w14:paraId="562C0596" w14:textId="77777777" w:rsidR="00C74282" w:rsidRPr="00EE0EF7" w:rsidRDefault="00C74282">
            <w:pPr>
              <w:jc w:val="right"/>
              <w:rPr>
                <w:color w:val="000000"/>
                <w:sz w:val="20"/>
                <w:szCs w:val="20"/>
                <w:lang w:val="fr-FR" w:eastAsia="en-CA"/>
              </w:rPr>
            </w:pPr>
            <w:r w:rsidRPr="00EE0EF7">
              <w:rPr>
                <w:color w:val="000000"/>
                <w:sz w:val="20"/>
                <w:szCs w:val="20"/>
                <w:lang w:val="fr-FR" w:eastAsia="fr"/>
              </w:rPr>
              <w:t>349 688</w:t>
            </w:r>
          </w:p>
        </w:tc>
      </w:tr>
      <w:tr w:rsidR="00C74282" w:rsidRPr="00EE0EF7" w14:paraId="2961234B" w14:textId="77777777" w:rsidTr="00FB4890">
        <w:trPr>
          <w:trHeight w:val="168"/>
        </w:trPr>
        <w:tc>
          <w:tcPr>
            <w:tcW w:w="1876" w:type="pct"/>
            <w:noWrap/>
            <w:hideMark/>
          </w:tcPr>
          <w:p w14:paraId="1BB8BC3F" w14:textId="77777777" w:rsidR="00C74282" w:rsidRPr="00EE0EF7" w:rsidRDefault="00C74282">
            <w:pPr>
              <w:jc w:val="left"/>
              <w:rPr>
                <w:b/>
                <w:bCs/>
                <w:color w:val="000000"/>
                <w:sz w:val="20"/>
                <w:szCs w:val="20"/>
                <w:lang w:val="fr-FR" w:eastAsia="en-CA"/>
              </w:rPr>
            </w:pPr>
            <w:r w:rsidRPr="00EE0EF7">
              <w:rPr>
                <w:b/>
                <w:bCs/>
                <w:color w:val="000000"/>
                <w:sz w:val="20"/>
                <w:szCs w:val="20"/>
                <w:lang w:val="fr-FR" w:eastAsia="fr"/>
              </w:rPr>
              <w:t>Total</w:t>
            </w:r>
          </w:p>
        </w:tc>
        <w:tc>
          <w:tcPr>
            <w:tcW w:w="601" w:type="pct"/>
            <w:noWrap/>
            <w:hideMark/>
          </w:tcPr>
          <w:p w14:paraId="191A89D7" w14:textId="77777777" w:rsidR="00C74282" w:rsidRPr="00EE0EF7" w:rsidRDefault="00C74282">
            <w:pPr>
              <w:jc w:val="right"/>
              <w:rPr>
                <w:b/>
                <w:bCs/>
                <w:color w:val="000000"/>
                <w:sz w:val="20"/>
                <w:szCs w:val="20"/>
                <w:lang w:val="fr-FR" w:eastAsia="en-CA"/>
              </w:rPr>
            </w:pPr>
            <w:r w:rsidRPr="00EE0EF7">
              <w:rPr>
                <w:b/>
                <w:bCs/>
                <w:color w:val="000000"/>
                <w:sz w:val="20"/>
                <w:szCs w:val="20"/>
                <w:lang w:val="fr-FR" w:eastAsia="fr"/>
              </w:rPr>
              <w:t>1 723,39</w:t>
            </w:r>
          </w:p>
        </w:tc>
        <w:tc>
          <w:tcPr>
            <w:tcW w:w="587" w:type="pct"/>
            <w:noWrap/>
            <w:hideMark/>
          </w:tcPr>
          <w:p w14:paraId="2A26C57D" w14:textId="77777777" w:rsidR="00C74282" w:rsidRPr="00EE0EF7" w:rsidRDefault="00C74282">
            <w:pPr>
              <w:jc w:val="right"/>
              <w:rPr>
                <w:b/>
                <w:bCs/>
                <w:color w:val="000000"/>
                <w:sz w:val="20"/>
                <w:szCs w:val="20"/>
                <w:lang w:val="fr-FR" w:eastAsia="en-CA"/>
              </w:rPr>
            </w:pPr>
            <w:r w:rsidRPr="00EE0EF7">
              <w:rPr>
                <w:b/>
                <w:bCs/>
                <w:color w:val="000000"/>
                <w:sz w:val="20"/>
                <w:szCs w:val="20"/>
                <w:lang w:val="fr-FR" w:eastAsia="fr"/>
              </w:rPr>
              <w:t>93,10</w:t>
            </w:r>
          </w:p>
        </w:tc>
        <w:tc>
          <w:tcPr>
            <w:tcW w:w="626" w:type="pct"/>
            <w:noWrap/>
            <w:hideMark/>
          </w:tcPr>
          <w:p w14:paraId="2C7311B8" w14:textId="77777777" w:rsidR="00C74282" w:rsidRPr="00EE0EF7" w:rsidRDefault="00C74282">
            <w:pPr>
              <w:jc w:val="right"/>
              <w:rPr>
                <w:b/>
                <w:bCs/>
                <w:color w:val="000000"/>
                <w:sz w:val="20"/>
                <w:szCs w:val="20"/>
                <w:lang w:val="fr-FR" w:eastAsia="en-CA"/>
              </w:rPr>
            </w:pPr>
            <w:r w:rsidRPr="00EE0EF7">
              <w:rPr>
                <w:b/>
                <w:bCs/>
                <w:color w:val="000000"/>
                <w:sz w:val="20"/>
                <w:szCs w:val="20"/>
                <w:lang w:val="fr-FR" w:eastAsia="fr"/>
              </w:rPr>
              <w:t>9 639 994</w:t>
            </w:r>
          </w:p>
        </w:tc>
        <w:tc>
          <w:tcPr>
            <w:tcW w:w="738" w:type="pct"/>
            <w:noWrap/>
            <w:hideMark/>
          </w:tcPr>
          <w:p w14:paraId="557B9A5B" w14:textId="77777777" w:rsidR="00C74282" w:rsidRPr="00EE0EF7" w:rsidRDefault="00C74282">
            <w:pPr>
              <w:jc w:val="right"/>
              <w:rPr>
                <w:b/>
                <w:bCs/>
                <w:color w:val="000000"/>
                <w:sz w:val="20"/>
                <w:szCs w:val="20"/>
                <w:lang w:val="fr-FR" w:eastAsia="en-CA"/>
              </w:rPr>
            </w:pPr>
            <w:r w:rsidRPr="00EE0EF7">
              <w:rPr>
                <w:b/>
                <w:bCs/>
                <w:color w:val="000000"/>
                <w:sz w:val="20"/>
                <w:szCs w:val="20"/>
                <w:lang w:val="fr-FR" w:eastAsia="fr"/>
              </w:rPr>
              <w:t>5,59</w:t>
            </w:r>
          </w:p>
        </w:tc>
        <w:tc>
          <w:tcPr>
            <w:tcW w:w="572" w:type="pct"/>
          </w:tcPr>
          <w:p w14:paraId="01DD7F16" w14:textId="77777777" w:rsidR="00C74282" w:rsidRPr="00EE0EF7" w:rsidRDefault="00C74282">
            <w:pPr>
              <w:jc w:val="right"/>
              <w:rPr>
                <w:b/>
                <w:bCs/>
                <w:color w:val="000000"/>
                <w:sz w:val="20"/>
                <w:szCs w:val="20"/>
                <w:lang w:val="fr-FR" w:eastAsia="en-CA"/>
              </w:rPr>
            </w:pPr>
            <w:r w:rsidRPr="00EE0EF7">
              <w:rPr>
                <w:b/>
                <w:bCs/>
                <w:color w:val="000000"/>
                <w:sz w:val="20"/>
                <w:szCs w:val="20"/>
                <w:lang w:val="fr-FR" w:eastAsia="fr"/>
              </w:rPr>
              <w:t>2 809 916</w:t>
            </w:r>
          </w:p>
        </w:tc>
      </w:tr>
    </w:tbl>
    <w:p w14:paraId="5619D8E4" w14:textId="77777777" w:rsidR="00C74282" w:rsidRPr="00EE0EF7" w:rsidRDefault="00C74282" w:rsidP="00C74282">
      <w:pPr>
        <w:keepNext/>
        <w:spacing w:before="240" w:after="240"/>
        <w:rPr>
          <w:lang w:val="fr-FR"/>
        </w:rPr>
      </w:pPr>
      <w:bookmarkStart w:id="9" w:name="_Hlk126915832"/>
      <w:bookmarkEnd w:id="8"/>
      <w:r w:rsidRPr="00EE0EF7">
        <w:rPr>
          <w:u w:val="single"/>
          <w:lang w:val="fr-FR"/>
        </w:rPr>
        <w:t>Plan de mise en œuvre de la première tranche de la phase III du plan de gestion de l'élimination des HCFC</w:t>
      </w:r>
    </w:p>
    <w:bookmarkEnd w:id="9"/>
    <w:p w14:paraId="38A29279" w14:textId="77777777" w:rsidR="00C74282" w:rsidRPr="00EE0EF7" w:rsidRDefault="00C74282" w:rsidP="00C74282">
      <w:pPr>
        <w:pStyle w:val="Heading1"/>
        <w:rPr>
          <w:lang w:val="fr-FR"/>
        </w:rPr>
      </w:pPr>
      <w:r w:rsidRPr="00EE0EF7">
        <w:rPr>
          <w:lang w:val="fr-FR"/>
        </w:rPr>
        <w:t>La première tranche de financement de la phase III du PGEH, d'un montant total de 2,809,916 $US, sera mise en œuvre entre janvier 2026 et décembre 2028. Des informations détaillées sur les activités incluses dans la première tranche, indiquant les ajustements effectués et le niveau des fonds convenus, sont présentées dans le tableau 6 ci-dessous.</w:t>
      </w:r>
    </w:p>
    <w:p w14:paraId="4FD9F829" w14:textId="77777777" w:rsidR="00C74282" w:rsidRPr="00EE0EF7" w:rsidRDefault="00C74282" w:rsidP="00C74282">
      <w:pPr>
        <w:keepNext/>
        <w:spacing w:before="360" w:after="240"/>
        <w:jc w:val="center"/>
        <w:rPr>
          <w:b/>
          <w:lang w:val="fr-FR"/>
        </w:rPr>
      </w:pPr>
      <w:bookmarkStart w:id="10" w:name="_Hlk126916095"/>
      <w:r w:rsidRPr="00EE0EF7">
        <w:rPr>
          <w:b/>
          <w:lang w:val="fr-FR"/>
        </w:rPr>
        <w:t>COMMENTAIRES ET RECOMMANDATIONS DU SECRÉTARIAT</w:t>
      </w:r>
    </w:p>
    <w:p w14:paraId="78120C51" w14:textId="77777777" w:rsidR="00C74282" w:rsidRPr="00EE0EF7" w:rsidRDefault="00C74282" w:rsidP="00CC2461">
      <w:pPr>
        <w:shd w:val="clear" w:color="auto" w:fill="FFFFFF" w:themeFill="background1"/>
        <w:spacing w:after="240"/>
        <w:rPr>
          <w:b/>
          <w:lang w:val="fr-FR"/>
        </w:rPr>
      </w:pPr>
      <w:r w:rsidRPr="00EE0EF7">
        <w:rPr>
          <w:b/>
          <w:lang w:val="fr-FR"/>
        </w:rPr>
        <w:t>OBSERVATIONS</w:t>
      </w:r>
    </w:p>
    <w:bookmarkEnd w:id="10"/>
    <w:p w14:paraId="676F6DF1" w14:textId="3744D118" w:rsidR="00C74282" w:rsidRPr="00EE0EF7" w:rsidRDefault="00C74282" w:rsidP="00CC2461">
      <w:pPr>
        <w:pStyle w:val="Heading1"/>
        <w:shd w:val="clear" w:color="auto" w:fill="FFFFFF" w:themeFill="background1"/>
        <w:rPr>
          <w:lang w:val="fr-FR"/>
        </w:rPr>
      </w:pPr>
      <w:r w:rsidRPr="00EE0EF7">
        <w:rPr>
          <w:lang w:val="fr-FR"/>
        </w:rPr>
        <w:t>Le Secrétariat a examiné la phase III du PGEH à la lumière de la phase II, des règlements et directives du Fonds multilatéral, y compris les critères de financement de l'élimination des HCFC dans le secteur de la consommation pour la phase II des PGEH (décision 74/50), et du Plan d'activités du Fonds multilatéral pour 2025-2027. En raison du temps nécessaire pour combler les lacunes de plusieurs composantes relevées lors des discussions et pour permettre la soumission d'une proposition révisée, le processus d'examen a été prolongé.</w:t>
      </w:r>
    </w:p>
    <w:p w14:paraId="38D9B3C2" w14:textId="77777777" w:rsidR="00C74282" w:rsidRPr="00EE0EF7" w:rsidRDefault="00C74282" w:rsidP="00C74282">
      <w:pPr>
        <w:keepNext/>
        <w:spacing w:after="240"/>
        <w:rPr>
          <w:u w:val="single"/>
          <w:lang w:val="fr-FR"/>
        </w:rPr>
      </w:pPr>
      <w:bookmarkStart w:id="11" w:name="_Hlk126916105"/>
      <w:r w:rsidRPr="00EE0EF7">
        <w:rPr>
          <w:u w:val="single"/>
          <w:lang w:val="fr-FR"/>
        </w:rPr>
        <w:t>Stratégie globale</w:t>
      </w:r>
    </w:p>
    <w:p w14:paraId="12D1E0F6" w14:textId="77777777" w:rsidR="00C74282" w:rsidRPr="00EE0EF7" w:rsidRDefault="00C74282" w:rsidP="00C74282">
      <w:pPr>
        <w:tabs>
          <w:tab w:val="left" w:pos="720"/>
        </w:tabs>
        <w:spacing w:after="240"/>
        <w:outlineLvl w:val="0"/>
        <w:rPr>
          <w:i/>
          <w:iCs/>
          <w:lang w:val="fr-FR"/>
        </w:rPr>
      </w:pPr>
      <w:bookmarkStart w:id="12" w:name="_Hlk214275364"/>
      <w:bookmarkEnd w:id="11"/>
      <w:r w:rsidRPr="00EE0EF7">
        <w:rPr>
          <w:i/>
          <w:iCs/>
          <w:lang w:val="fr-FR"/>
        </w:rPr>
        <w:t>Élimination totale des HCFC et entretien des équipements</w:t>
      </w:r>
    </w:p>
    <w:p w14:paraId="18AFFBC9" w14:textId="5ED0AF15" w:rsidR="00C74282" w:rsidRPr="00EE0EF7" w:rsidRDefault="00C74282" w:rsidP="0089197A">
      <w:pPr>
        <w:pStyle w:val="Heading1"/>
        <w:rPr>
          <w:lang w:val="fr-FR"/>
        </w:rPr>
      </w:pPr>
      <w:r w:rsidRPr="00EE0EF7">
        <w:rPr>
          <w:lang w:val="fr-FR"/>
        </w:rPr>
        <w:t>Le Gouvernement argentin propose de réduire de 100 % sa consommation de référence de HCFC d’ici 2030 et de maintenir une consommation annuelle maximale de HCFC entre 2030 et 2040, conforme à l’article 5, alinéa 8 ter(e)(i) du Protocole de Montréal.</w:t>
      </w:r>
      <w:r w:rsidRPr="00EE0EF7">
        <w:rPr>
          <w:vertAlign w:val="superscript"/>
          <w:lang w:val="fr-FR"/>
        </w:rPr>
        <w:footnoteReference w:id="7"/>
      </w:r>
    </w:p>
    <w:p w14:paraId="325B0D43" w14:textId="605DC3D3" w:rsidR="00C74282" w:rsidRPr="00EE0EF7" w:rsidRDefault="00C74282" w:rsidP="0089197A">
      <w:pPr>
        <w:pStyle w:val="Heading1"/>
        <w:rPr>
          <w:lang w:val="fr-FR"/>
        </w:rPr>
      </w:pPr>
      <w:r w:rsidRPr="00EE0EF7">
        <w:rPr>
          <w:lang w:val="fr-FR"/>
        </w:rPr>
        <w:t xml:space="preserve">Conformément à la décision 86/51, pour permettre une demande d’examen de la tranche finale de son PGEH, le Gouvernement de l'Argentine a accepté de soumettre une description détaillée du cadre réglementaire et politique en place pour mettre en œuvre les mesures afin de garantir que la consommation de HCFC soit conforme </w:t>
      </w:r>
      <w:r w:rsidR="00FB4890" w:rsidRPr="00EE0EF7">
        <w:rPr>
          <w:lang w:val="fr-FR"/>
        </w:rPr>
        <w:t xml:space="preserve">à l’alinéa </w:t>
      </w:r>
      <w:r w:rsidRPr="00EE0EF7">
        <w:rPr>
          <w:lang w:val="fr-FR"/>
        </w:rPr>
        <w:t>8 ter</w:t>
      </w:r>
      <w:r w:rsidR="00FB4890" w:rsidRPr="00EE0EF7">
        <w:rPr>
          <w:lang w:val="fr-FR"/>
        </w:rPr>
        <w:t xml:space="preserve"> </w:t>
      </w:r>
      <w:r w:rsidRPr="00EE0EF7">
        <w:rPr>
          <w:lang w:val="fr-FR"/>
        </w:rPr>
        <w:t>e)</w:t>
      </w:r>
      <w:r w:rsidR="00FB4890" w:rsidRPr="00EE0EF7">
        <w:rPr>
          <w:lang w:val="fr-FR"/>
        </w:rPr>
        <w:t xml:space="preserve"> </w:t>
      </w:r>
      <w:r w:rsidRPr="00EE0EF7">
        <w:rPr>
          <w:lang w:val="fr-FR"/>
        </w:rPr>
        <w:t>i) de l’Article 5 du Protocole de Montréal pour la période 2030-2040, et si l'Argentine prévoit une consommation pour la période 2030-2040, conformément à l'alinéa 8 ter</w:t>
      </w:r>
      <w:r w:rsidR="00FB4890" w:rsidRPr="00EE0EF7">
        <w:rPr>
          <w:lang w:val="fr-FR"/>
        </w:rPr>
        <w:t> </w:t>
      </w:r>
      <w:r w:rsidRPr="00EE0EF7">
        <w:rPr>
          <w:lang w:val="fr-FR"/>
        </w:rPr>
        <w:t>e)</w:t>
      </w:r>
      <w:r w:rsidR="00FB4890" w:rsidRPr="00EE0EF7">
        <w:rPr>
          <w:lang w:val="fr-FR"/>
        </w:rPr>
        <w:t xml:space="preserve"> </w:t>
      </w:r>
      <w:r w:rsidRPr="00EE0EF7">
        <w:rPr>
          <w:lang w:val="fr-FR"/>
        </w:rPr>
        <w:t>i) de l’Article 5 du Protocole de Montréal, de soumettre des suggestions de modification de son Accord avec le Comité exécutif couvrant la période postérieure à 2030.</w:t>
      </w:r>
    </w:p>
    <w:bookmarkEnd w:id="12"/>
    <w:p w14:paraId="6A188281" w14:textId="77777777" w:rsidR="00C74282" w:rsidRPr="00EE0EF7" w:rsidRDefault="00C74282" w:rsidP="00C26B2E">
      <w:pPr>
        <w:keepNext/>
        <w:spacing w:before="240" w:after="240"/>
        <w:rPr>
          <w:i/>
          <w:iCs/>
          <w:lang w:val="fr-FR"/>
        </w:rPr>
      </w:pPr>
      <w:r w:rsidRPr="00EE0EF7">
        <w:rPr>
          <w:i/>
          <w:iCs/>
          <w:lang w:val="fr-FR"/>
        </w:rPr>
        <w:t>Base de calcul de la consommation restante à financer</w:t>
      </w:r>
    </w:p>
    <w:p w14:paraId="2099AAEB" w14:textId="736A496B" w:rsidR="00C74282" w:rsidRPr="00EE0EF7" w:rsidRDefault="00C74282" w:rsidP="0089197A">
      <w:pPr>
        <w:pStyle w:val="Heading1"/>
        <w:rPr>
          <w:lang w:val="fr-FR"/>
        </w:rPr>
      </w:pPr>
      <w:r w:rsidRPr="00EE0EF7">
        <w:rPr>
          <w:lang w:val="fr-FR"/>
        </w:rPr>
        <w:t xml:space="preserve">Conformément aux directives, l’Argentine a choisi de baser sa consommation de référence sur la consommation moyenne de HCFC des trois dernières années (2022-2024), ce qui a entraîné une demande de financement pour éliminer 93,01 tonnes PAO, soit nettement moins que la consommation admissible restante (178,79 tonnes PAO). Le Secrétariat relève que le calcul est basé uniquement sur le HCFC-22, le </w:t>
      </w:r>
      <w:r w:rsidRPr="00EE0EF7">
        <w:rPr>
          <w:lang w:val="fr-FR"/>
        </w:rPr>
        <w:lastRenderedPageBreak/>
        <w:t>HCFC-123 et le HCFC-142b, car l’élimination progressive du HCFC</w:t>
      </w:r>
      <w:r w:rsidRPr="00EE0EF7">
        <w:rPr>
          <w:lang w:val="fr-FR"/>
        </w:rPr>
        <w:noBreakHyphen/>
        <w:t>141b a déjà été financée au titre de la phase II. Sur la base des rapports du Programme de pays, le Secrétariat a fait des calculs et abouti à 92,36 tonnes PAO, ce qui est très proche, l'écart minime étant probablement à attribuer à la consommation de HCFC</w:t>
      </w:r>
      <w:r w:rsidR="002C17B3" w:rsidRPr="00EE0EF7">
        <w:rPr>
          <w:lang w:val="fr-FR"/>
        </w:rPr>
        <w:noBreakHyphen/>
      </w:r>
      <w:r w:rsidRPr="00EE0EF7">
        <w:rPr>
          <w:lang w:val="fr-FR"/>
        </w:rPr>
        <w:t>22 dans le secteur des mousses de polystyrène extrudé, que le Secrétariat avait déduite, car toute la consommation de HCFC dans les secteurs mousses avait d'ores et déjà été financée dans le cadre de la phase</w:t>
      </w:r>
      <w:r w:rsidR="00FB4890" w:rsidRPr="00EE0EF7">
        <w:rPr>
          <w:lang w:val="fr-FR"/>
        </w:rPr>
        <w:t> </w:t>
      </w:r>
      <w:r w:rsidRPr="00EE0EF7">
        <w:rPr>
          <w:lang w:val="fr-FR"/>
        </w:rPr>
        <w:t>II. Pour examiner le projet, on a retenu comme valeur de référence 92,36 tonnes PAO.</w:t>
      </w:r>
    </w:p>
    <w:p w14:paraId="423EB550" w14:textId="77777777" w:rsidR="00C74282" w:rsidRPr="00EE0EF7" w:rsidRDefault="00C74282" w:rsidP="00C77EDE">
      <w:pPr>
        <w:keepNext/>
        <w:spacing w:after="120"/>
        <w:rPr>
          <w:lang w:val="fr-FR"/>
        </w:rPr>
      </w:pPr>
      <w:bookmarkStart w:id="14" w:name="_Hlk126916116"/>
      <w:r w:rsidRPr="00EE0EF7">
        <w:rPr>
          <w:u w:val="single"/>
          <w:lang w:val="fr-FR"/>
        </w:rPr>
        <w:t>Problèmes techniques et questions liées aux coûts</w:t>
      </w:r>
    </w:p>
    <w:p w14:paraId="7ABEA3E3" w14:textId="77777777" w:rsidR="00C74282" w:rsidRPr="00EE0EF7" w:rsidRDefault="00C74282" w:rsidP="00C74282">
      <w:pPr>
        <w:spacing w:after="240"/>
        <w:outlineLvl w:val="0"/>
        <w:rPr>
          <w:i/>
          <w:iCs/>
          <w:lang w:val="fr-FR"/>
        </w:rPr>
      </w:pPr>
      <w:r w:rsidRPr="00EE0EF7">
        <w:rPr>
          <w:i/>
          <w:iCs/>
          <w:lang w:val="fr-FR"/>
        </w:rPr>
        <w:t>Aérosols</w:t>
      </w:r>
    </w:p>
    <w:p w14:paraId="7EA235E5" w14:textId="7BE7BE1B" w:rsidR="00C74282" w:rsidRPr="00EE0EF7" w:rsidRDefault="00C74282" w:rsidP="0089197A">
      <w:pPr>
        <w:pStyle w:val="Heading1"/>
        <w:rPr>
          <w:lang w:val="fr-FR"/>
        </w:rPr>
      </w:pPr>
      <w:r w:rsidRPr="00EE0EF7">
        <w:rPr>
          <w:lang w:val="fr-FR"/>
        </w:rPr>
        <w:t>Le Secrétariat relève que, selon les rapports du programme de pays, l’utilisation moyenne de HCFC-22 dans les aérosols au cours de la période 2022-2024 était de 1,07 tm (0,06 tonne PAO), tandis que la consommation moyenne de HCFC-141b était de 28,81 tm (3,17 tonnes PAO). La consommation de HCFC-141b a néanmoins été intégralement prise en compte dans les étapes précédentes du PGEH; en vertu de l'Accord, il n'y a plus aucune consommation admissible. Par conséquent, le financement de cette activité serait, en principe, limité à environ 5 000 $US, découlant uniquement de la consommation de HCFC-22, ce qui ne suffit pas pour soutenir une intervention d'importance dans le secteur.</w:t>
      </w:r>
    </w:p>
    <w:p w14:paraId="2FFA8AE7" w14:textId="4D860311" w:rsidR="00C74282" w:rsidRPr="00EE0EF7" w:rsidRDefault="00C74282" w:rsidP="0089197A">
      <w:pPr>
        <w:pStyle w:val="Heading1"/>
        <w:rPr>
          <w:lang w:val="fr-FR"/>
        </w:rPr>
      </w:pPr>
      <w:r w:rsidRPr="00EE0EF7">
        <w:rPr>
          <w:lang w:val="fr-FR"/>
        </w:rPr>
        <w:t>Le Secrétariat et l'ONUDI en ont discuté et se sont accordés sur l'importance d'aider les fabricants locaux d'aérosols à éliminer les HCFC. L’ONUDI a indiqué que, bien que le Gouvernement argentin soit conscient de cette contrainte, la consommation actuelle de HCFC-141b dans le secteur des aérosols constituait une utilisation industrielle constante et qui n’était pas couverte par les engagements ou l’assistance technique des étapes précédentes. Le Secrétariat note que l’Argentine a systématiquement signalé l’utilisation du HCFC-141b dans les aérosols depuis les années de référence pour les niveaux de HCFC. Il juge utile d’explorer une interprétation souple dans les lignes directrices pour aider les entreprises à passer à des technologies de remplacement.</w:t>
      </w:r>
    </w:p>
    <w:p w14:paraId="39AF8B5F" w14:textId="20DB0F67" w:rsidR="00C74282" w:rsidRPr="00EE0EF7" w:rsidRDefault="00C74282" w:rsidP="0089197A">
      <w:pPr>
        <w:pStyle w:val="Heading1"/>
        <w:rPr>
          <w:lang w:val="fr-FR"/>
        </w:rPr>
      </w:pPr>
      <w:r w:rsidRPr="00EE0EF7">
        <w:rPr>
          <w:lang w:val="fr-FR"/>
        </w:rPr>
        <w:t>Étant donné que le financement demandé pour cette activité est relativement faible par rapport au budget global de la phase III, qu'il apporterait une aide essentielle à un secteur encore dépendant des HCFC, et que, dans le cadre des activités précédentes du secteur de l'entretien d</w:t>
      </w:r>
      <w:r w:rsidR="00FB4890" w:rsidRPr="00EE0EF7">
        <w:rPr>
          <w:lang w:val="fr-FR"/>
        </w:rPr>
        <w:t>ans le secteur du froid</w:t>
      </w:r>
      <w:r w:rsidRPr="00EE0EF7">
        <w:rPr>
          <w:lang w:val="fr-FR"/>
        </w:rPr>
        <w:t>, une aide avait été fournie pour l'élimination progressive du HCFC</w:t>
      </w:r>
      <w:r w:rsidR="005D189D" w:rsidRPr="00EE0EF7">
        <w:rPr>
          <w:lang w:val="fr-FR"/>
        </w:rPr>
        <w:noBreakHyphen/>
      </w:r>
      <w:r w:rsidRPr="00EE0EF7">
        <w:rPr>
          <w:lang w:val="fr-FR"/>
        </w:rPr>
        <w:t>141b utilisé comme solvant dans le rinçage des systèmes de réfrigération, mais pas pour d'autres applications d'aérosols/solvants, le Secrétariat a proposé d'intégrer le faible tonnage de HCFC-22 pour les aérosols (0,06 tonne PAO) dans le volet « secteur de l'entretien » et d'autoriser l'utilisation d'un maximum de 130 000 $US provenant de ce volet pour de l'assistance technique aux entreprises fabriquant des aérosols. Des ajustements ont été apportés à d'autres activités pour tenir compte de cette allocation tout en laissant le rapport coût-efficacité à 4,80 $ US/kg.</w:t>
      </w:r>
    </w:p>
    <w:p w14:paraId="1E8291FB" w14:textId="77777777" w:rsidR="00C74282" w:rsidRPr="00EE0EF7" w:rsidRDefault="00C74282" w:rsidP="005D189D">
      <w:pPr>
        <w:spacing w:after="240"/>
        <w:rPr>
          <w:i/>
          <w:iCs/>
          <w:lang w:val="fr-FR"/>
        </w:rPr>
      </w:pPr>
      <w:r w:rsidRPr="00EE0EF7">
        <w:rPr>
          <w:i/>
          <w:iCs/>
          <w:lang w:val="fr-FR"/>
        </w:rPr>
        <w:t>Fabrication de systèmes de réfrigération à usage commercial</w:t>
      </w:r>
    </w:p>
    <w:p w14:paraId="0064A576" w14:textId="05DEE514" w:rsidR="00C74282" w:rsidRPr="00EE0EF7" w:rsidRDefault="00590025" w:rsidP="0089197A">
      <w:pPr>
        <w:pStyle w:val="Heading1"/>
        <w:rPr>
          <w:lang w:val="fr-FR"/>
        </w:rPr>
      </w:pPr>
      <w:r w:rsidRPr="00EE0EF7">
        <w:rPr>
          <w:lang w:val="fr-FR"/>
        </w:rPr>
        <w:t>On estime à 80 le nombre de PME opérant dans le secteur de la fabrication de réfrigération commerciale ; elles consomment 58,97 tm (3,25 tonnes PAO) de HCFC (moyenne 2022-2024). L’ONUDI a fourni une liste de 35 entreprises admissibles, indiquant que les 10 plus importantes bénéficieraient d’une aide directe du projet, complétée par un volet d’assistance technique au bénéfice du secteur. En examinant la liste des bénéficiaires répertoriés, le Secrétariat a relevé qu’il y avait 11 entreprises dont la consommation dépassait 1 tm et que les surcoûts de reconversion de ces 11 entreprises, calculés conformément au seuil coût-efficacité convenu et à la décision 19/32</w:t>
      </w:r>
      <w:r w:rsidR="00FB4890" w:rsidRPr="00EE0EF7">
        <w:rPr>
          <w:lang w:val="fr-FR"/>
        </w:rPr>
        <w:t xml:space="preserve"> </w:t>
      </w:r>
      <w:r w:rsidRPr="00EE0EF7">
        <w:rPr>
          <w:lang w:val="fr-FR"/>
        </w:rPr>
        <w:t>a)</w:t>
      </w:r>
      <w:r w:rsidR="00FB4890" w:rsidRPr="00EE0EF7">
        <w:rPr>
          <w:lang w:val="fr-FR"/>
        </w:rPr>
        <w:t xml:space="preserve"> </w:t>
      </w:r>
      <w:r w:rsidRPr="00EE0EF7">
        <w:rPr>
          <w:lang w:val="fr-FR"/>
        </w:rPr>
        <w:t>iv),</w:t>
      </w:r>
      <w:r w:rsidR="00C74282" w:rsidRPr="00EE0EF7">
        <w:rPr>
          <w:vertAlign w:val="superscript"/>
          <w:lang w:val="fr-FR"/>
        </w:rPr>
        <w:footnoteReference w:id="8"/>
      </w:r>
      <w:r w:rsidRPr="00EE0EF7">
        <w:rPr>
          <w:lang w:val="fr-FR"/>
        </w:rPr>
        <w:t xml:space="preserve"> s'élevaient à 657 683 $US, soit légèrement plus que le coût de reconversion de 10 entreprises, tel que présenté. En conséquence, le Secrétariat et l'ONUDI ont convenu d'inclure 11 entreprises dans le projet et d'ajuster la composante d'assistance technique de 63 000</w:t>
      </w:r>
      <w:r w:rsidR="00FB4890" w:rsidRPr="00EE0EF7">
        <w:rPr>
          <w:lang w:val="fr-FR"/>
        </w:rPr>
        <w:t> </w:t>
      </w:r>
      <w:r w:rsidRPr="00EE0EF7">
        <w:rPr>
          <w:lang w:val="fr-FR"/>
        </w:rPr>
        <w:t>$US à 55 317 $US afin de maintenir le financement à 713 000 $US, comme proposé.</w:t>
      </w:r>
    </w:p>
    <w:p w14:paraId="302C5D3C" w14:textId="0CCA1E80" w:rsidR="00C74282" w:rsidRPr="00EE0EF7" w:rsidRDefault="00C74282" w:rsidP="0089197A">
      <w:pPr>
        <w:pStyle w:val="Heading1"/>
        <w:rPr>
          <w:lang w:val="fr-FR"/>
        </w:rPr>
      </w:pPr>
      <w:r w:rsidRPr="00EE0EF7">
        <w:rPr>
          <w:lang w:val="fr-FR"/>
        </w:rPr>
        <w:lastRenderedPageBreak/>
        <w:t>À la demande de l'ONUDI, celle-ci a confirmé que l'association nationale des frigoristes, la Cámara Argentina de industrias de refrigeración y aire acondicionado (CAIRAA), qui a déjà participé à des initiatives nationales et à d'autres projets liés au Protocole de Montréal, serait impliquée pour faciliter l'engagement des PME et soutenir la mise en œuvre d'activités d'assistance technique dans le cadre de ce projet.</w:t>
      </w:r>
    </w:p>
    <w:p w14:paraId="31019793" w14:textId="6E12453D" w:rsidR="00C74282" w:rsidRPr="00EE0EF7" w:rsidRDefault="00C74282" w:rsidP="0089197A">
      <w:pPr>
        <w:pStyle w:val="Heading1"/>
        <w:rPr>
          <w:lang w:val="fr-FR"/>
        </w:rPr>
      </w:pPr>
      <w:r w:rsidRPr="00EE0EF7">
        <w:rPr>
          <w:lang w:val="fr-FR"/>
        </w:rPr>
        <w:t>L’ONUDI a également confirmé l’engagement du Gouvernement argentin à interdire l’importation de tous les équipements contenant des HCFC et nécessitant des HCFC pour leur fonctionnement, leur entretien et leur maintenance d’ici le 1</w:t>
      </w:r>
      <w:r w:rsidRPr="00EE0EF7">
        <w:rPr>
          <w:vertAlign w:val="superscript"/>
          <w:lang w:val="fr-FR"/>
        </w:rPr>
        <w:t>er</w:t>
      </w:r>
      <w:r w:rsidRPr="00EE0EF7">
        <w:rPr>
          <w:lang w:val="fr-FR"/>
        </w:rPr>
        <w:t xml:space="preserve"> janvier 2027, ainsi que la fabrication d’équipements de réfrigération commerciale à base de HCFC d’ici le 1</w:t>
      </w:r>
      <w:r w:rsidRPr="00EE0EF7">
        <w:rPr>
          <w:vertAlign w:val="superscript"/>
          <w:lang w:val="fr-FR"/>
        </w:rPr>
        <w:t>er</w:t>
      </w:r>
      <w:r w:rsidRPr="00EE0EF7">
        <w:rPr>
          <w:lang w:val="fr-FR"/>
        </w:rPr>
        <w:t xml:space="preserve"> janvier 2028, afin d'inscrire dans le long terme les reconversions dans ce secteur. Sachant que la mise en œuvre de ce projet et la promulgation de deux interdictions entraîneront l'élimination complète de la consommation de HCFC dans le secteur de la fabrication de réfrigération commerciale (58,97 tm), le rapport coût-efficacité du projet est de 12,09 $US/kg.</w:t>
      </w:r>
    </w:p>
    <w:p w14:paraId="25209CEC" w14:textId="77777777" w:rsidR="00C74282" w:rsidRPr="00EE0EF7" w:rsidRDefault="00C74282" w:rsidP="00C74282">
      <w:pPr>
        <w:spacing w:after="240"/>
        <w:outlineLvl w:val="0"/>
        <w:rPr>
          <w:i/>
          <w:iCs/>
          <w:lang w:val="fr-FR"/>
        </w:rPr>
      </w:pPr>
      <w:r w:rsidRPr="00EE0EF7">
        <w:rPr>
          <w:i/>
          <w:iCs/>
          <w:lang w:val="fr-FR"/>
        </w:rPr>
        <w:t>Lutte contre l'incendie</w:t>
      </w:r>
    </w:p>
    <w:p w14:paraId="30AD4FDE" w14:textId="6DD3DD48" w:rsidR="00F84E3C" w:rsidRPr="00EE0EF7" w:rsidRDefault="00C74282" w:rsidP="0089197A">
      <w:pPr>
        <w:pStyle w:val="Heading1"/>
        <w:rPr>
          <w:lang w:val="fr-FR"/>
        </w:rPr>
      </w:pPr>
      <w:r w:rsidRPr="00EE0EF7">
        <w:rPr>
          <w:lang w:val="fr-FR"/>
        </w:rPr>
        <w:t xml:space="preserve">Constatant que la seule solution de remplacement viable au HCFC-123 </w:t>
      </w:r>
      <w:r w:rsidR="00FB4890" w:rsidRPr="00EE0EF7">
        <w:rPr>
          <w:lang w:val="fr-FR"/>
        </w:rPr>
        <w:t>répertoriée</w:t>
      </w:r>
      <w:r w:rsidRPr="00EE0EF7">
        <w:rPr>
          <w:lang w:val="fr-FR"/>
        </w:rPr>
        <w:t xml:space="preserve"> dans le pays est le HFC-236fa, qui présente un PRP très élevé de 9 810, le Secrétariat a suggéré une stratégie alternative axée non pas sur l’adoption de HFC à PRP élevé mais sur la mise en œuvre d’activités visant à assurer la bonne manipulation et la gestion des stocks de HCFC-123, à surveiller la disponibilité de solutions de remplacement à faible PRP tout en envisageant une interdiction potentielle si de telles solutions de remplacement devenaient disponibles avant 2030, et à évaluer l’impact potentiel des besoins en entretien sur la consommation du pays au cours de la période 2030-2040. Le Secrétariat a relevé que la consommation de HCFC-123 dans la lutte contre l'incendie était restée faible au cours des trois dernières années (0,94 </w:t>
      </w:r>
      <w:r w:rsidR="00FB4890" w:rsidRPr="00EE0EF7">
        <w:rPr>
          <w:lang w:val="fr-FR"/>
        </w:rPr>
        <w:t>t</w:t>
      </w:r>
      <w:r w:rsidRPr="00EE0EF7">
        <w:rPr>
          <w:lang w:val="fr-FR"/>
        </w:rPr>
        <w:t xml:space="preserve"> PAO) et a rappelé la décision XXX/2 de la Réunion des Parties, par laquelle celles-ci ont notamment décidé d'inclure l'entretien des équipements de lutte contre l'incendie et de protection contre l'incendie existants au 1</w:t>
      </w:r>
      <w:r w:rsidRPr="00EE0EF7">
        <w:rPr>
          <w:vertAlign w:val="superscript"/>
          <w:lang w:val="fr-FR"/>
        </w:rPr>
        <w:t>er</w:t>
      </w:r>
      <w:r w:rsidRPr="00EE0EF7">
        <w:rPr>
          <w:lang w:val="fr-FR"/>
        </w:rPr>
        <w:t xml:space="preserve"> janvier 2030 dans les utilisations autorisées pour la période d'entretien 2030-2040 dans les pays visés à l'article 5.</w:t>
      </w:r>
    </w:p>
    <w:p w14:paraId="40CB3942" w14:textId="78FA23FC" w:rsidR="00C74282" w:rsidRPr="00EE0EF7" w:rsidRDefault="00C74282" w:rsidP="0089197A">
      <w:pPr>
        <w:pStyle w:val="Heading1"/>
        <w:rPr>
          <w:lang w:val="fr-FR"/>
        </w:rPr>
      </w:pPr>
      <w:r w:rsidRPr="00EE0EF7">
        <w:rPr>
          <w:lang w:val="fr-FR"/>
        </w:rPr>
        <w:t>L’ONUDI a informé le Secrétariat que la consommation de HCFC-123 devrait augmenter avec la reprise économique et qu’une assistance technique et un soutien financier étaient nécessaires pour adopter des technologies de remplacement viables. Toutefois, l’ONUDI et le Gouvernement ont tous deux approuvé l’approche consistant à maintenir la production, la réparation et la recharge des équipements de lutte contre l’incendie contenant du HCFC-123 pendant la période de transition, jusqu’à ce que des solutions de remplacement à faible PRP soient disponibles sur le marché et que la reconversion puisse avoir lieu dans de bonnes conditions. D’ici là, certaines importations de HCFC-123 devront être maintenues pour recharger les extincteurs en vue d’une utilisation régulière et suite à des fuites ou des pertes lors des opérations de récupération.</w:t>
      </w:r>
    </w:p>
    <w:p w14:paraId="4F606421" w14:textId="0650FD35" w:rsidR="00C74282" w:rsidRPr="00EE0EF7" w:rsidRDefault="00C74282" w:rsidP="0089197A">
      <w:pPr>
        <w:pStyle w:val="Heading1"/>
        <w:rPr>
          <w:lang w:val="fr-FR"/>
        </w:rPr>
      </w:pPr>
      <w:r w:rsidRPr="00EE0EF7">
        <w:rPr>
          <w:lang w:val="fr-FR"/>
        </w:rPr>
        <w:t>La stratégie alternative convenue se concentre sur la fourniture d'une assistance technique pour le rechargement et l'entretien des extincteurs portatifs utilisant du HCFC-123 (31 000 $US), l'élaboration de lignes directrices sur les bonnes pratiques environnementales en matière d'entretien, de recharge et d'utilisation de ces extincteurs (8 000 $US), la fourniture d'outils pour l'analyse, le test et la réutilisation du HCFC-123 récupéré à partir des équipements de protection contre l'incendie et la formation y relative (140 000 $US),</w:t>
      </w:r>
      <w:r w:rsidR="00B73D3E" w:rsidRPr="00EE0EF7">
        <w:rPr>
          <w:rStyle w:val="FootnoteReference"/>
          <w:lang w:val="fr-FR"/>
        </w:rPr>
        <w:footnoteReference w:id="9"/>
      </w:r>
      <w:r w:rsidRPr="00EE0EF7">
        <w:rPr>
          <w:lang w:val="fr-FR"/>
        </w:rPr>
        <w:t xml:space="preserve"> la surveillance de la disponibilité de solutions de remplacement à faible PRP en vue de promulguer une interdiction si de telles solutions de remplacement se trouvent disponibles avant 2030 (8 000 $US), et l'évaluation de l’impact potentiel des besoins en entretien sur la consommation du pays au cours de la période 2030-2040, y compris des consultations des parties prenantes, des ateliers et une campagne de sensibilisation pour diffuser les résultats de l’évaluation mentionnée (39 500 $US). Le niveau de financement a été convenu à 226 500 $US, avec un rapport coût-efficacité de 4,80 $US/kg.</w:t>
      </w:r>
    </w:p>
    <w:p w14:paraId="3FEE26F2" w14:textId="47EF8FB5" w:rsidR="00C74282" w:rsidRPr="00EE0EF7" w:rsidRDefault="00C74282" w:rsidP="00CF7F76">
      <w:pPr>
        <w:keepNext/>
        <w:spacing w:after="240"/>
        <w:outlineLvl w:val="0"/>
        <w:rPr>
          <w:i/>
          <w:iCs/>
          <w:lang w:val="fr-FR"/>
        </w:rPr>
      </w:pPr>
      <w:r w:rsidRPr="00EE0EF7">
        <w:rPr>
          <w:i/>
          <w:iCs/>
          <w:lang w:val="fr-FR"/>
        </w:rPr>
        <w:lastRenderedPageBreak/>
        <w:t>Secteur de l’entretien en réfrigération</w:t>
      </w:r>
    </w:p>
    <w:p w14:paraId="2E58ED67" w14:textId="77777777" w:rsidR="00C74282" w:rsidRPr="00EE0EF7" w:rsidRDefault="00C74282" w:rsidP="00C74282">
      <w:pPr>
        <w:spacing w:after="240"/>
        <w:outlineLvl w:val="0"/>
        <w:rPr>
          <w:i/>
          <w:iCs/>
          <w:u w:val="single"/>
          <w:lang w:val="fr-FR"/>
        </w:rPr>
      </w:pPr>
      <w:r w:rsidRPr="00EE0EF7">
        <w:rPr>
          <w:i/>
          <w:iCs/>
          <w:u w:val="single"/>
          <w:lang w:val="fr-FR"/>
        </w:rPr>
        <w:t>Supermarchés</w:t>
      </w:r>
    </w:p>
    <w:p w14:paraId="249859F1" w14:textId="3768ED8A" w:rsidR="00C74282" w:rsidRPr="00EE0EF7" w:rsidRDefault="00C74282" w:rsidP="0089197A">
      <w:pPr>
        <w:pStyle w:val="Heading1"/>
        <w:rPr>
          <w:lang w:val="fr-FR"/>
        </w:rPr>
      </w:pPr>
      <w:r w:rsidRPr="00EE0EF7">
        <w:rPr>
          <w:lang w:val="fr-FR"/>
        </w:rPr>
        <w:t xml:space="preserve">Pour expliquer le taux de fuite de 40 % dans les systèmes de climatisation des supermarchés, l'ONUDI a indiqué qu'avant 2013, presque toutes les stations de refroidissement du pays étaient à détente directe, avec de longs </w:t>
      </w:r>
      <w:r w:rsidR="00FB4890" w:rsidRPr="00EE0EF7">
        <w:rPr>
          <w:lang w:val="fr-FR"/>
        </w:rPr>
        <w:t>conduits</w:t>
      </w:r>
      <w:r w:rsidRPr="00EE0EF7">
        <w:rPr>
          <w:lang w:val="fr-FR"/>
        </w:rPr>
        <w:t xml:space="preserve"> remplis de frigorigène et de nombreuses connexions </w:t>
      </w:r>
      <w:r w:rsidR="00FB4890" w:rsidRPr="00EE0EF7">
        <w:rPr>
          <w:lang w:val="fr-FR"/>
        </w:rPr>
        <w:t>où</w:t>
      </w:r>
      <w:r w:rsidRPr="00EE0EF7">
        <w:rPr>
          <w:lang w:val="fr-FR"/>
        </w:rPr>
        <w:t xml:space="preserve"> des fuites</w:t>
      </w:r>
      <w:r w:rsidR="00FB4890" w:rsidRPr="00EE0EF7">
        <w:rPr>
          <w:lang w:val="fr-FR"/>
        </w:rPr>
        <w:t xml:space="preserve"> peuvent se produire</w:t>
      </w:r>
      <w:r w:rsidRPr="00EE0EF7">
        <w:rPr>
          <w:lang w:val="fr-FR"/>
        </w:rPr>
        <w:t>. Bien que des systèmes de réfrigération indirecte utilisant de l'eau ou du glycol aient été introduits depuis, leur taux d'adoption reste faible en raison de leur coût élevé. Le taux de fuite moyen de 40 % estimé dans la phase III est inférieur aux taux observés dans les deux projets précédents en Argentine, y compris un projet où le taux de fuite de référence était de 103 %.</w:t>
      </w:r>
    </w:p>
    <w:p w14:paraId="03BF3E02" w14:textId="38D683FC" w:rsidR="00C74282" w:rsidRPr="00EE0EF7" w:rsidRDefault="00F65B93" w:rsidP="0089197A">
      <w:pPr>
        <w:pStyle w:val="Heading1"/>
        <w:rPr>
          <w:lang w:val="fr-FR"/>
        </w:rPr>
      </w:pPr>
      <w:r w:rsidRPr="00EE0EF7">
        <w:rPr>
          <w:lang w:val="fr-FR"/>
        </w:rPr>
        <w:t>En ayant conféré avec l’ONUDI, le Secrétariat a examiné le programme d’incitation destiné aux supermarchés à la lumière de la décision 84/84 applicable aux programmes d’incitation destinés aux utilisateurs finaux, et a formulé les conclusions suivantes :</w:t>
      </w:r>
    </w:p>
    <w:p w14:paraId="5ABA82D4" w14:textId="253BD5C1" w:rsidR="00C74282" w:rsidRPr="00EE0EF7" w:rsidRDefault="00C74282" w:rsidP="009322A0">
      <w:pPr>
        <w:pStyle w:val="Heading2"/>
        <w:tabs>
          <w:tab w:val="left" w:pos="1440"/>
        </w:tabs>
        <w:ind w:left="1440" w:hanging="720"/>
        <w:rPr>
          <w:lang w:val="fr-FR"/>
        </w:rPr>
      </w:pPr>
      <w:r w:rsidRPr="00EE0EF7">
        <w:rPr>
          <w:u w:val="single"/>
          <w:lang w:val="fr-FR"/>
        </w:rPr>
        <w:t>Potentiel du projet et soutien réglementaire :</w:t>
      </w:r>
      <w:r w:rsidRPr="00EE0EF7">
        <w:rPr>
          <w:lang w:val="fr-FR"/>
        </w:rPr>
        <w:t xml:space="preserve"> Cette mesure incitative vise principalement six chaînes d'hypermarchés comptant 120 succursales, exploitant 112 systèmes de réfrigération centralisés et 388 unités autonomes, ainsi que 14 chaînes de supermarchés comptant 936</w:t>
      </w:r>
      <w:r w:rsidR="00FB4890" w:rsidRPr="00EE0EF7">
        <w:rPr>
          <w:lang w:val="fr-FR"/>
        </w:rPr>
        <w:t> </w:t>
      </w:r>
      <w:r w:rsidRPr="00EE0EF7">
        <w:rPr>
          <w:lang w:val="fr-FR"/>
        </w:rPr>
        <w:t>succursales, exploitant 1 062 systèmes centralisés et 289 unités autonomes, présentant une consommation combinée estimée à 274,18 tonnes de HCFC</w:t>
      </w:r>
      <w:r w:rsidR="00C122F0" w:rsidRPr="00EE0EF7">
        <w:rPr>
          <w:lang w:val="fr-FR"/>
        </w:rPr>
        <w:noBreakHyphen/>
      </w:r>
      <w:r w:rsidRPr="00EE0EF7">
        <w:rPr>
          <w:lang w:val="fr-FR"/>
        </w:rPr>
        <w:t xml:space="preserve">22, sur une consommation totale de 753 tm dans les supermarchés. Il est proposé, dans le cadre de la phase III, d'interdire les importations d'équipements de réfrigération commerciale </w:t>
      </w:r>
      <w:r w:rsidR="00FB4890" w:rsidRPr="00EE0EF7">
        <w:rPr>
          <w:lang w:val="fr-FR"/>
        </w:rPr>
        <w:t>fonctionnant</w:t>
      </w:r>
      <w:r w:rsidRPr="00EE0EF7">
        <w:rPr>
          <w:lang w:val="fr-FR"/>
        </w:rPr>
        <w:t xml:space="preserve"> au HCFC-22 en 2027 et de leur fabrication en 2028, ce qui fournira un soutien réglementaire et une incitation supplémentaire à l'adoption d'équipements basés sur des solutions de remplacement ;</w:t>
      </w:r>
    </w:p>
    <w:p w14:paraId="4039F062" w14:textId="18F5FD22" w:rsidR="00C74282" w:rsidRPr="00EE0EF7" w:rsidRDefault="00AF08E8" w:rsidP="009322A0">
      <w:pPr>
        <w:pStyle w:val="Heading2"/>
        <w:tabs>
          <w:tab w:val="left" w:pos="1440"/>
        </w:tabs>
        <w:ind w:left="1440" w:hanging="720"/>
        <w:rPr>
          <w:lang w:val="fr-FR"/>
        </w:rPr>
      </w:pPr>
      <w:r w:rsidRPr="00EE0EF7">
        <w:rPr>
          <w:u w:val="single"/>
          <w:lang w:val="fr-FR"/>
        </w:rPr>
        <w:t>Cofinancement par les bénéficiaires :</w:t>
      </w:r>
      <w:r w:rsidR="00C74282" w:rsidRPr="00EE0EF7">
        <w:rPr>
          <w:lang w:val="fr-FR"/>
        </w:rPr>
        <w:t xml:space="preserve"> Le projet prévoit de remplacer 380 unités autonomes et 125 systèmes centralisés actuellement en service. L'ONUDI a expliqué que cette prime ne sera accordée qu'aux supermarchés qui pourront démontrer qu'en bénéficiant d'un soutien pour un système, ils autofinanceront simultanément le remplacement de deux à quatre systèmes supplémentaires, ce qui représente un niveau de cofinancement de 66 à 80 %. De ce fait, les bénéficiaires remplaceront 1</w:t>
      </w:r>
      <w:r w:rsidR="00FB4890" w:rsidRPr="00EE0EF7">
        <w:rPr>
          <w:lang w:val="fr-FR"/>
        </w:rPr>
        <w:t> </w:t>
      </w:r>
      <w:r w:rsidR="00C74282" w:rsidRPr="00EE0EF7">
        <w:rPr>
          <w:lang w:val="fr-FR"/>
        </w:rPr>
        <w:t>010 à 2</w:t>
      </w:r>
      <w:r w:rsidR="00FB4890" w:rsidRPr="00EE0EF7">
        <w:rPr>
          <w:lang w:val="fr-FR"/>
        </w:rPr>
        <w:t> </w:t>
      </w:r>
      <w:r w:rsidR="00C74282" w:rsidRPr="00EE0EF7">
        <w:rPr>
          <w:lang w:val="fr-FR"/>
        </w:rPr>
        <w:t>020 systèmes ou appareils de réfrigération et de climatisation que les 505 mentionnés par le projet ;</w:t>
      </w:r>
    </w:p>
    <w:p w14:paraId="09C7B2A0" w14:textId="6DE9A552" w:rsidR="00C74282" w:rsidRPr="00EE0EF7" w:rsidRDefault="00C74282" w:rsidP="009322A0">
      <w:pPr>
        <w:pStyle w:val="Heading2"/>
        <w:tabs>
          <w:tab w:val="left" w:pos="1440"/>
        </w:tabs>
        <w:ind w:left="1440" w:hanging="720"/>
        <w:rPr>
          <w:lang w:val="fr-FR"/>
        </w:rPr>
      </w:pPr>
      <w:r w:rsidRPr="00EE0EF7">
        <w:rPr>
          <w:u w:val="single"/>
          <w:lang w:val="fr-FR"/>
        </w:rPr>
        <w:t>Disponibilité et prix des technologies et composants sélectionnés :</w:t>
      </w:r>
      <w:r w:rsidRPr="00EE0EF7">
        <w:rPr>
          <w:lang w:val="fr-FR"/>
        </w:rPr>
        <w:t xml:space="preserve"> L’ONUDI a indiqué que les technologies basées sur les hydrocarbures, le dioxyde de carbone (CO</w:t>
      </w:r>
      <w:r w:rsidRPr="00EE0EF7">
        <w:rPr>
          <w:vertAlign w:val="subscript"/>
          <w:lang w:val="fr-FR"/>
        </w:rPr>
        <w:t>2</w:t>
      </w:r>
      <w:r w:rsidRPr="00EE0EF7">
        <w:rPr>
          <w:lang w:val="fr-FR"/>
        </w:rPr>
        <w:t>) et les HFC, lorsque cela était nécessaire, étaient largement disponibles en Argentine. Les équipements autonomes fonctionnant aux hydrocarbures (refroidisseurs de bouteilles, congélateurs et réfrigérateurs</w:t>
      </w:r>
      <w:r w:rsidR="00FB4890" w:rsidRPr="00EE0EF7">
        <w:rPr>
          <w:lang w:val="fr-FR"/>
        </w:rPr>
        <w:t xml:space="preserve"> par exemple</w:t>
      </w:r>
      <w:r w:rsidRPr="00EE0EF7">
        <w:rPr>
          <w:lang w:val="fr-FR"/>
        </w:rPr>
        <w:t xml:space="preserve">) sont fabriqués </w:t>
      </w:r>
      <w:r w:rsidR="00FB4890" w:rsidRPr="00EE0EF7">
        <w:rPr>
          <w:lang w:val="fr-FR"/>
        </w:rPr>
        <w:t>sur place</w:t>
      </w:r>
      <w:r w:rsidRPr="00EE0EF7">
        <w:rPr>
          <w:lang w:val="fr-FR"/>
        </w:rPr>
        <w:t xml:space="preserve"> par des entreprises bénéficiant du soutien du Fonds multilatéral (Bambi, Bricket et Mabe), des systèmes de réfrigération centralisés directs et indirects, avec comptoirs d'exposition connectés et autonomes et équipements de chambres froides pour supermarchés, fonctionnant au CO</w:t>
      </w:r>
      <w:r w:rsidRPr="00EE0EF7">
        <w:rPr>
          <w:vertAlign w:val="subscript"/>
          <w:lang w:val="fr-FR"/>
        </w:rPr>
        <w:t>2</w:t>
      </w:r>
      <w:r w:rsidRPr="00EE0EF7">
        <w:rPr>
          <w:lang w:val="fr-FR"/>
        </w:rPr>
        <w:t xml:space="preserve"> ou aux HFC, </w:t>
      </w:r>
      <w:r w:rsidR="00FB4890" w:rsidRPr="00EE0EF7">
        <w:rPr>
          <w:lang w:val="fr-FR"/>
        </w:rPr>
        <w:t>étant</w:t>
      </w:r>
      <w:r w:rsidRPr="00EE0EF7">
        <w:rPr>
          <w:lang w:val="fr-FR"/>
        </w:rPr>
        <w:t xml:space="preserve"> également disponibles </w:t>
      </w:r>
      <w:r w:rsidR="00FB4890" w:rsidRPr="00EE0EF7">
        <w:rPr>
          <w:lang w:val="fr-FR"/>
        </w:rPr>
        <w:t>sur place</w:t>
      </w:r>
      <w:r w:rsidRPr="00EE0EF7">
        <w:rPr>
          <w:lang w:val="fr-FR"/>
        </w:rPr>
        <w:t xml:space="preserve"> ;</w:t>
      </w:r>
    </w:p>
    <w:p w14:paraId="4D1C617E" w14:textId="19E009FC" w:rsidR="00C74282" w:rsidRPr="00EE0EF7" w:rsidRDefault="00C74282" w:rsidP="009322A0">
      <w:pPr>
        <w:pStyle w:val="Heading2"/>
        <w:tabs>
          <w:tab w:val="left" w:pos="1440"/>
        </w:tabs>
        <w:ind w:left="1440" w:hanging="720"/>
        <w:rPr>
          <w:lang w:val="fr-FR"/>
        </w:rPr>
      </w:pPr>
      <w:r w:rsidRPr="00EE0EF7">
        <w:rPr>
          <w:u w:val="single"/>
          <w:lang w:val="fr-FR"/>
        </w:rPr>
        <w:t>Liens avec d'autres activités du PGEH :</w:t>
      </w:r>
      <w:r w:rsidRPr="00EE0EF7">
        <w:rPr>
          <w:lang w:val="fr-FR"/>
        </w:rPr>
        <w:t xml:space="preserve"> Les activités de formation et de certification des techniciens en matière de manipulation des frigorigènes inflammables et de récupération et de recyclage des frigorigènes, qui soutiendront ce projet, ont été renforcées dans le cadre de la phase II du PGEH. La mise hors service de nombreux systèmes de climatisation ou de réfrigération fonctionnant au HCFC-22, prévue dans le cadre de ce projet, fournira un flux de frigorigènes susceptible d'être récupéré et réutilisé, réduisant ainsi davantage la demande en HCFC-22 neuf et rendant inutilisables les équipements remplacés.</w:t>
      </w:r>
    </w:p>
    <w:p w14:paraId="54D4EF8C" w14:textId="19907A3B" w:rsidR="00C74282" w:rsidRPr="00EE0EF7" w:rsidRDefault="00C74282" w:rsidP="0089197A">
      <w:pPr>
        <w:pStyle w:val="Heading1"/>
        <w:rPr>
          <w:lang w:val="fr-FR"/>
        </w:rPr>
      </w:pPr>
      <w:r w:rsidRPr="00EE0EF7">
        <w:rPr>
          <w:lang w:val="fr-FR"/>
        </w:rPr>
        <w:lastRenderedPageBreak/>
        <w:t xml:space="preserve">Conformément à la décision 84/84 relative aux dispositifs d’incitation </w:t>
      </w:r>
      <w:r w:rsidR="00FB4890" w:rsidRPr="00EE0EF7">
        <w:rPr>
          <w:lang w:val="fr-FR"/>
        </w:rPr>
        <w:t>aux bénéfice des</w:t>
      </w:r>
      <w:r w:rsidRPr="00EE0EF7">
        <w:rPr>
          <w:lang w:val="fr-FR"/>
        </w:rPr>
        <w:t xml:space="preserve"> </w:t>
      </w:r>
      <w:r w:rsidR="00FB4890" w:rsidRPr="00EE0EF7">
        <w:rPr>
          <w:lang w:val="fr-FR"/>
        </w:rPr>
        <w:t>utilisateurs</w:t>
      </w:r>
      <w:r w:rsidRPr="00EE0EF7">
        <w:rPr>
          <w:lang w:val="fr-FR"/>
        </w:rPr>
        <w:t xml:space="preserve"> fina</w:t>
      </w:r>
      <w:r w:rsidR="00FB4890" w:rsidRPr="00EE0EF7">
        <w:rPr>
          <w:lang w:val="fr-FR"/>
        </w:rPr>
        <w:t>ux,</w:t>
      </w:r>
      <w:r w:rsidRPr="00EE0EF7">
        <w:rPr>
          <w:lang w:val="fr-FR"/>
        </w:rPr>
        <w:t xml:space="preserve"> le projet de supermarché est intégré à d’autres activités du PGEH et comprend des détails sur le nombre estimé d’utilisateurs qui pourraient reproduire la démonstration, le cofinancement par les bénéficiaires et la disponibilité de technologies de remplacement. Le PGEH intègre également des mesures réglementaires visant à assurer le remplacement continu des équipements. Compte tenu de l’ampleur et de la complexité du projet, de son impact potentiel et de la valeur des informations qu’il pourrait fournir aux autres pays visés à l’article 5 qui traitent avec les utilisateurs finaux, le Secrétariat recommande de demander à l’ONUDI d’inclure, dans sa proposition pour la deuxième tranche de la phase III du PGEH un rapport d’étape sur le développement et la mise en œuvre du programme de mécanisme d’incitation.</w:t>
      </w:r>
    </w:p>
    <w:p w14:paraId="07F6A05C" w14:textId="77777777" w:rsidR="00C74282" w:rsidRPr="00EE0EF7" w:rsidRDefault="00C74282" w:rsidP="00103F25">
      <w:pPr>
        <w:keepNext/>
        <w:spacing w:after="240"/>
        <w:outlineLvl w:val="0"/>
        <w:rPr>
          <w:i/>
          <w:iCs/>
          <w:u w:val="single"/>
          <w:lang w:val="fr-FR"/>
        </w:rPr>
      </w:pPr>
      <w:r w:rsidRPr="00EE0EF7">
        <w:rPr>
          <w:i/>
          <w:iCs/>
          <w:u w:val="single"/>
          <w:lang w:val="fr-FR"/>
        </w:rPr>
        <w:t>Pêches</w:t>
      </w:r>
    </w:p>
    <w:p w14:paraId="1B729C60" w14:textId="56ADF110" w:rsidR="00C74282" w:rsidRPr="00EE0EF7" w:rsidRDefault="00C74282" w:rsidP="0089197A">
      <w:pPr>
        <w:pStyle w:val="Heading1"/>
        <w:rPr>
          <w:lang w:val="fr-FR"/>
        </w:rPr>
      </w:pPr>
      <w:r w:rsidRPr="00EE0EF7">
        <w:rPr>
          <w:lang w:val="fr-FR"/>
        </w:rPr>
        <w:t>Le Secrétariat a demandé des éclaircissements sur les taux de fuite anormalement élevés dans ce secteur, notant que les systèmes de réfrigération des bateaux de pêche étaient entièrement rechargés au moins deux fois et, dans certains cas, jusqu'à six fois par an. L’ONUDI a expliqué que les bateaux de pêche opéraient dans des conditions météorologiques extrêmes, notamment des températures fluctuantes, et étaient soumis à des mouvements et des vibrations intenses pendant les campagnes en mer qui peuvent durer des semaines</w:t>
      </w:r>
      <w:r w:rsidR="00FB4890" w:rsidRPr="00EE0EF7">
        <w:rPr>
          <w:lang w:val="fr-FR"/>
        </w:rPr>
        <w:t>,</w:t>
      </w:r>
      <w:r w:rsidRPr="00EE0EF7">
        <w:rPr>
          <w:lang w:val="fr-FR"/>
        </w:rPr>
        <w:t xml:space="preserve"> voire des mois. Ces facteurs entraînent une usure prématurée, le desserrement ou le déplacement des joints, des garnitures et des tuyauteries, voire des ruptures. De plus, le milieu marin est très humide et corrosif. En Argentine, le parc d'équipements frigorifiques a en moyenne 35 ans, contre 10 à 15 ans pour les équipements de réfrigération des supermarchés. La plupart des embarcations ne disposent pas de frigoristes à bord, et comme les coûts du frigorigènes sont négligeables par rapport à la valeur des prises et ne représentent qu'une faible part des coûts d'exploitation, on ne consacre guère de temps à la maintenance préventive ; au lieu de cela, après des réparations rudimentaires, les systèmes de réfrigération sont simplement rechargés. Rappelant que le Fonds multilatéral dispose d’une expérience limitée en matière de projets de grande envergure dans ce secteur, le Secrétariat estime important de suivre la consommation pendant la mise en œuvre du projet proposé afin de mieux comprendre les tendances de consommation dans ce contexte.</w:t>
      </w:r>
    </w:p>
    <w:p w14:paraId="16E5D622" w14:textId="368559CD" w:rsidR="00C74282" w:rsidRPr="00EE0EF7" w:rsidRDefault="00FD289D" w:rsidP="0089197A">
      <w:pPr>
        <w:pStyle w:val="Heading1"/>
        <w:rPr>
          <w:lang w:val="fr-FR"/>
        </w:rPr>
      </w:pPr>
      <w:r w:rsidRPr="00EE0EF7">
        <w:rPr>
          <w:lang w:val="fr-FR"/>
        </w:rPr>
        <w:t>Constatant que les solutions de rechange potentielles envisagées pour ce projet de reconversion comprenaient le R</w:t>
      </w:r>
      <w:r w:rsidRPr="00EE0EF7">
        <w:rPr>
          <w:lang w:val="fr-FR"/>
        </w:rPr>
        <w:noBreakHyphen/>
        <w:t xml:space="preserve">417A, le R </w:t>
      </w:r>
      <w:r w:rsidRPr="00EE0EF7">
        <w:rPr>
          <w:lang w:val="fr-FR"/>
        </w:rPr>
        <w:noBreakHyphen/>
        <w:t xml:space="preserve">422D, le R-424A, le R-434A, le R-438A et le R-453A, le Secrétariat a exprimé des inquiétudes quant à la viabilité de ces options, qui présentent toutes, à l’exception du R-453A, un PRP supérieur à celui du HCFC-22. Le Secrétariat s'est enquis si les armateurs </w:t>
      </w:r>
      <w:r w:rsidR="00EE0EF7" w:rsidRPr="00EE0EF7">
        <w:rPr>
          <w:lang w:val="fr-FR"/>
        </w:rPr>
        <w:t>pouvaient</w:t>
      </w:r>
      <w:r w:rsidRPr="00EE0EF7">
        <w:rPr>
          <w:lang w:val="fr-FR"/>
        </w:rPr>
        <w:t xml:space="preserve"> envisager de privilégier la réduction des fuites plutôt que la modernisation des systèmes, étant donné que les taux actuels de fuite de frigorigènes laissent à penser qu'investir dans les réparations pourrait réduire les pertes et entraîner des économies d'énergie. L’ONUDI a expliqué qu’il était difficile de réduire sensiblement les taux de fuite en raison de l’âge des bateaux; elle a souligné l’importance de remplacer le HCFC-22 chaque fois que cela est possible afin de se conformer à l’élimination complète d’ici 2030. Compte tenu du peu d'expérience dont on dispose concernant les solutions de remplacement, le projet comprend des ateliers au bénéfice des parties prenantes ainsi que des essais, l'objectif étant de repérer les options les plus adaptées aux conditions locales.</w:t>
      </w:r>
    </w:p>
    <w:p w14:paraId="0A54A63B" w14:textId="581DB401" w:rsidR="00C74282" w:rsidRPr="00EE0EF7" w:rsidRDefault="00C74282" w:rsidP="0089197A">
      <w:pPr>
        <w:pStyle w:val="Heading1"/>
        <w:rPr>
          <w:lang w:val="fr-FR"/>
        </w:rPr>
      </w:pPr>
      <w:r w:rsidRPr="00EE0EF7">
        <w:rPr>
          <w:lang w:val="fr-FR"/>
        </w:rPr>
        <w:t xml:space="preserve">L’ONUDI a convenu que, lors de la reconversion des systèmes à base de HCFC-22, la priorité serait accordée aux bateaux de pêche choisissant l’option ayant le PRP le plus faible, comme le R-453A. Ce remplacement est relativement peu coûteux, ne nécessitant qu'une simple mise à niveau, ce qui permet de couvrir un grand nombre de bateaux de pêche. Pour répondre aux préoccupations du Secrétariat quant au risque de taux de fuite élevés persistant dans les systèmes modernisés, l'ONUDI a expliqué que le projet fournirait une formation et une assistance technique aux entreprises bénéficiaires sur les bonnes pratiques de modernisation et d'entretien, les méthodes d'inspection des systèmes et l'élimination des sources potentielles de fuites avant même la reconversion. Lors des travaux de modernisation, les techniciens remplaceront les joints, les garnitures, les lubrifiants et autres composants nécessaires, contribuant ainsi à réduire les fuites. Toutes les modernisations renforceront en outre la fiabilité renforcée </w:t>
      </w:r>
      <w:r w:rsidR="00FB4890" w:rsidRPr="00EE0EF7">
        <w:rPr>
          <w:lang w:val="fr-FR"/>
        </w:rPr>
        <w:t>(é</w:t>
      </w:r>
      <w:r w:rsidRPr="00EE0EF7">
        <w:rPr>
          <w:lang w:val="fr-FR"/>
        </w:rPr>
        <w:t>tant donné que les réparations majeures ne sont pas possibles en mer</w:t>
      </w:r>
      <w:r w:rsidR="00FB4890" w:rsidRPr="00EE0EF7">
        <w:rPr>
          <w:lang w:val="fr-FR"/>
        </w:rPr>
        <w:t>)</w:t>
      </w:r>
      <w:r w:rsidRPr="00EE0EF7">
        <w:rPr>
          <w:lang w:val="fr-FR"/>
        </w:rPr>
        <w:t xml:space="preserve"> ainsi que des conditions de mouvement du navire (tangage </w:t>
      </w:r>
      <w:r w:rsidRPr="00EE0EF7">
        <w:rPr>
          <w:lang w:val="fr-FR"/>
        </w:rPr>
        <w:lastRenderedPageBreak/>
        <w:t>et roulis), des exigences de sécurité élevées dues aux contraintes d'évacuation, de la corrosivité du milieu marin et de la compatibilité des matériaux avec l'eau de mer.</w:t>
      </w:r>
    </w:p>
    <w:p w14:paraId="6C79CAAC" w14:textId="11FD2966" w:rsidR="00C74282" w:rsidRPr="00EE0EF7" w:rsidRDefault="00C74282" w:rsidP="0089197A">
      <w:pPr>
        <w:pStyle w:val="Heading1"/>
        <w:rPr>
          <w:lang w:val="fr-FR"/>
        </w:rPr>
      </w:pPr>
      <w:r w:rsidRPr="00EE0EF7">
        <w:rPr>
          <w:lang w:val="fr-FR"/>
        </w:rPr>
        <w:t>L’ONUDI prévoit de moderniser autant de bateaux de pêche que possible dont la durée de vie dépasse 2030, dans le but d’éliminer toute utilisation de HCFC-22 neuf d’ici là et de garantir la conformité. En ce qui concerne le cofinancement, le projet couvrira les coûts des pièces de modernisation, de la main-d'œuvre, des filtres, de l'huile, des joints et autres composants, ainsi qu'environ 30 à 35 % du coût du frigorigène de remplacement. Les contributions des bénéficiaires sont estimées à environ 50 % des coûts de rénovation, pour un total compris entre 1,8 et 2,2 millions de $US pour l'ensemble du projet.</w:t>
      </w:r>
    </w:p>
    <w:p w14:paraId="17610CE4" w14:textId="2DBB3081" w:rsidR="00C74282" w:rsidRPr="00EE0EF7" w:rsidRDefault="00C74282" w:rsidP="0089197A">
      <w:pPr>
        <w:pStyle w:val="Heading1"/>
        <w:rPr>
          <w:lang w:val="fr-FR"/>
        </w:rPr>
      </w:pPr>
      <w:r w:rsidRPr="00EE0EF7">
        <w:rPr>
          <w:lang w:val="fr-FR"/>
        </w:rPr>
        <w:t xml:space="preserve">Conformément à la décision 84/84 relative aux programmes d’incitation au bénéfice des utilisateurs finaux, l’ONUDI a fourni des informations sur les liens du projet avec d’autres activités du </w:t>
      </w:r>
      <w:r w:rsidR="00FB4890" w:rsidRPr="00EE0EF7">
        <w:rPr>
          <w:lang w:val="fr-FR"/>
        </w:rPr>
        <w:t>P</w:t>
      </w:r>
      <w:r w:rsidRPr="00EE0EF7">
        <w:rPr>
          <w:lang w:val="fr-FR"/>
        </w:rPr>
        <w:t xml:space="preserve">GEH, notamment les composants de formation et de récupération et valorisation des frigorigènes, le nombre estimé d’utilisateurs qui pourraient reproduire la démonstration, les modalités de cofinancement et la disponibilité de technologies de remplacement. Compte tenu du peu d’expérience du Fonds dans ce secteur, des taux de fuite extrêmement élevés et des possibilités de les réduire </w:t>
      </w:r>
      <w:r w:rsidR="00FB4890" w:rsidRPr="00EE0EF7">
        <w:rPr>
          <w:lang w:val="fr-FR"/>
        </w:rPr>
        <w:t>(</w:t>
      </w:r>
      <w:r w:rsidRPr="00EE0EF7">
        <w:rPr>
          <w:lang w:val="fr-FR"/>
        </w:rPr>
        <w:t>qui nécessitent un examen plus approfondi</w:t>
      </w:r>
      <w:r w:rsidR="00FB4890" w:rsidRPr="00EE0EF7">
        <w:rPr>
          <w:lang w:val="fr-FR"/>
        </w:rPr>
        <w:t>),</w:t>
      </w:r>
      <w:r w:rsidRPr="00EE0EF7">
        <w:rPr>
          <w:lang w:val="fr-FR"/>
        </w:rPr>
        <w:t xml:space="preserve"> le Secrétariat recommande d’approuver en principe le financement d’ateliers, d’essais et de l’acquisition d’équipements de récupération et de valorisation, et de demander à l’ONUDI de soumettre à la 99</w:t>
      </w:r>
      <w:r w:rsidRPr="00EE0EF7">
        <w:rPr>
          <w:vertAlign w:val="superscript"/>
          <w:lang w:val="fr-FR"/>
        </w:rPr>
        <w:t>e</w:t>
      </w:r>
      <w:r w:rsidRPr="00EE0EF7">
        <w:rPr>
          <w:lang w:val="fr-FR"/>
        </w:rPr>
        <w:t xml:space="preserve"> réunion un rapport détaillé comprenant des données à jour sur les taux de fuite de frigorigènes dans le secteur des pêches ; les possibilités d’interventions supplémentaires pour réduire les fuites à bord des bateaux de pêche ; les progrès accomplis dans l’élaboration du mécanisme d’incitation à la modernisation ; et des informations sur les technologies à faible PRP qui pourraient être intégrées au projet.</w:t>
      </w:r>
    </w:p>
    <w:p w14:paraId="01384998" w14:textId="4253231E" w:rsidR="00C74282" w:rsidRPr="00EE0EF7" w:rsidRDefault="00C74282" w:rsidP="0089197A">
      <w:pPr>
        <w:pStyle w:val="Heading1"/>
        <w:rPr>
          <w:lang w:val="fr-FR"/>
        </w:rPr>
      </w:pPr>
      <w:r w:rsidRPr="00EE0EF7">
        <w:rPr>
          <w:lang w:val="fr-FR"/>
        </w:rPr>
        <w:t>En outre, conformément à la décision 92/36(g), l’ONUDI est priée de soumettre les rapports finaux sur la mise en œuvre des projets destinés aux utilisateurs finaux dans les secteurs des supermarchés et des pêches une fois le projet achevé, y compris l’élimination progressive des HCFC et les gains d’efficacité énergétique réalisés.</w:t>
      </w:r>
    </w:p>
    <w:bookmarkEnd w:id="14"/>
    <w:p w14:paraId="676BF9A0" w14:textId="45276815" w:rsidR="00C74282" w:rsidRPr="00EE0EF7" w:rsidRDefault="00C74282" w:rsidP="00C74282">
      <w:pPr>
        <w:keepNext/>
        <w:spacing w:after="240"/>
        <w:rPr>
          <w:i/>
          <w:iCs/>
          <w:lang w:val="fr-FR"/>
        </w:rPr>
      </w:pPr>
      <w:r w:rsidRPr="00EE0EF7">
        <w:rPr>
          <w:i/>
          <w:iCs/>
          <w:lang w:val="fr-FR"/>
        </w:rPr>
        <w:t>Coûts spéciaux liés à la mise en œuvre et au suivi du projet et aux imprévus</w:t>
      </w:r>
    </w:p>
    <w:p w14:paraId="34544BD0" w14:textId="00728A0C" w:rsidR="00C74282" w:rsidRPr="00EE0EF7" w:rsidRDefault="00C74282" w:rsidP="0089197A">
      <w:pPr>
        <w:pStyle w:val="Heading1"/>
        <w:rPr>
          <w:lang w:val="fr-FR"/>
        </w:rPr>
      </w:pPr>
      <w:r w:rsidRPr="00EE0EF7">
        <w:rPr>
          <w:lang w:val="fr-FR"/>
        </w:rPr>
        <w:t>L’inclusion des coûts imprévus sans réduction correspondante du tonnage n’est pas conforme aux politiques et directives du Fonds ; par conséquent, le Secrétariat ne peut la recommander. À la suite de discussions, il a été convenu</w:t>
      </w:r>
      <w:r w:rsidR="000321E8" w:rsidRPr="00EE0EF7">
        <w:rPr>
          <w:lang w:val="fr-FR"/>
        </w:rPr>
        <w:t xml:space="preserve">, </w:t>
      </w:r>
      <w:r w:rsidRPr="00EE0EF7">
        <w:rPr>
          <w:lang w:val="fr-FR"/>
        </w:rPr>
        <w:t>conformément à l’approche adoptée dans d’autres PGEH approuvés</w:t>
      </w:r>
      <w:r w:rsidR="000321E8" w:rsidRPr="00EE0EF7">
        <w:rPr>
          <w:lang w:val="fr-FR"/>
        </w:rPr>
        <w:t>,</w:t>
      </w:r>
      <w:r w:rsidRPr="00EE0EF7">
        <w:rPr>
          <w:lang w:val="fr-FR"/>
        </w:rPr>
        <w:t xml:space="preserve"> que les coûts de l’unité de gestion de projet (UGP) seraient séparés des activités du secteur de l'entretien et feraient l'objet d'une recommandation distincte, comme l'indique le tableau 5 ci-dessous. Le retrait du composant UGP du secteur de l'entretien permet l'inclusion du composant d'assistance technique dans le projet du secteur des aérosols et l'ajustement du projet de formation et de certification des techniciens.</w:t>
      </w:r>
    </w:p>
    <w:p w14:paraId="20ED43F4" w14:textId="6079E0B0" w:rsidR="00C74282" w:rsidRPr="00EE0EF7" w:rsidRDefault="00C74282" w:rsidP="0089197A">
      <w:pPr>
        <w:pStyle w:val="Heading1"/>
        <w:rPr>
          <w:lang w:val="fr-FR"/>
        </w:rPr>
      </w:pPr>
      <w:r w:rsidRPr="00EE0EF7">
        <w:rPr>
          <w:lang w:val="fr-FR"/>
        </w:rPr>
        <w:t>Le coût de l’UGP a été convenu à hauteur de 364 000 $US. Les fonds seront utilisés pour le personnel et les experts techniques et juridiques (269 000 $US) ; les déplacements, la coordination et le suivi (310 000 $US) ; et les coûts opérationnels, y compris les fournitures de bureau, la communication et les dépenses diverses (21 000 $US).</w:t>
      </w:r>
    </w:p>
    <w:p w14:paraId="4954B5DE" w14:textId="77777777" w:rsidR="00C74282" w:rsidRPr="00EE0EF7" w:rsidRDefault="00C74282" w:rsidP="00C74282">
      <w:pPr>
        <w:pStyle w:val="Heading1"/>
        <w:numPr>
          <w:ilvl w:val="0"/>
          <w:numId w:val="0"/>
        </w:numPr>
        <w:rPr>
          <w:u w:val="single"/>
          <w:lang w:val="fr-FR"/>
        </w:rPr>
      </w:pPr>
      <w:r w:rsidRPr="00EE0EF7">
        <w:rPr>
          <w:u w:val="single"/>
          <w:lang w:val="fr-FR"/>
        </w:rPr>
        <w:t>Coût total du projet</w:t>
      </w:r>
    </w:p>
    <w:p w14:paraId="51D1D166" w14:textId="3E7CE871" w:rsidR="00C74282" w:rsidRDefault="00C74282" w:rsidP="00C74282">
      <w:pPr>
        <w:pStyle w:val="Heading1"/>
        <w:rPr>
          <w:lang w:val="fr-FR"/>
        </w:rPr>
      </w:pPr>
      <w:r w:rsidRPr="00EE0EF7">
        <w:rPr>
          <w:lang w:val="fr-FR"/>
        </w:rPr>
        <w:t>Le coût total de la phase III du PGEH s'élève à 9 244 015 $US. Le projet permettra d'éliminer progressivement 92,36 tonnes PAO (1 711,30 tm) de HCFC, plus 86,43 tonnes PAO supplémentaires (1</w:t>
      </w:r>
      <w:r w:rsidR="000321E8" w:rsidRPr="00EE0EF7">
        <w:rPr>
          <w:lang w:val="fr-FR"/>
        </w:rPr>
        <w:t> </w:t>
      </w:r>
      <w:r w:rsidRPr="00EE0EF7">
        <w:rPr>
          <w:lang w:val="fr-FR"/>
        </w:rPr>
        <w:t>576,78 tm) de HCFC à déduire de la consommation restante de HCFC du pays admissible au financement, à un rapport coût-efficacité global de 2,81 $US/kg. Le détail du budget ajusté et les informations associées sont présentés dans le tableau 5, qui présente également les ajustements convenus pour chaque composant.</w:t>
      </w:r>
    </w:p>
    <w:p w14:paraId="58EE0D71" w14:textId="3F869273" w:rsidR="001A1185" w:rsidRDefault="001A1185" w:rsidP="001A1185">
      <w:pPr>
        <w:rPr>
          <w:lang w:val="fr-FR"/>
        </w:rPr>
      </w:pPr>
    </w:p>
    <w:p w14:paraId="28AD1CEC" w14:textId="77777777" w:rsidR="001A1185" w:rsidRPr="001A1185" w:rsidRDefault="001A1185" w:rsidP="001A1185">
      <w:pPr>
        <w:rPr>
          <w:lang w:val="fr-FR"/>
        </w:rPr>
      </w:pPr>
    </w:p>
    <w:p w14:paraId="795B2864" w14:textId="125A90D9" w:rsidR="00C74282" w:rsidRPr="00EE0EF7" w:rsidRDefault="00C74282" w:rsidP="00C74282">
      <w:pPr>
        <w:rPr>
          <w:lang w:val="fr-FR"/>
        </w:rPr>
      </w:pPr>
      <w:r w:rsidRPr="00EE0EF7">
        <w:rPr>
          <w:b/>
          <w:bCs/>
          <w:lang w:val="fr-FR"/>
        </w:rPr>
        <w:lastRenderedPageBreak/>
        <w:t>Tableau 5. Ajustements à la phase III du PGEH pour l'Argentine, tels que convenus</w:t>
      </w:r>
    </w:p>
    <w:tbl>
      <w:tblPr>
        <w:tblW w:w="5000" w:type="pct"/>
        <w:tblLayout w:type="fixed"/>
        <w:tblCellMar>
          <w:top w:w="28" w:type="dxa"/>
          <w:bottom w:w="28" w:type="dxa"/>
        </w:tblCellMar>
        <w:tblLook w:val="04A0" w:firstRow="1" w:lastRow="0" w:firstColumn="1" w:lastColumn="0" w:noHBand="0" w:noVBand="1"/>
      </w:tblPr>
      <w:tblGrid>
        <w:gridCol w:w="3624"/>
        <w:gridCol w:w="1446"/>
        <w:gridCol w:w="1446"/>
        <w:gridCol w:w="1461"/>
        <w:gridCol w:w="1463"/>
      </w:tblGrid>
      <w:tr w:rsidR="006C713D" w:rsidRPr="00CE7B9D" w14:paraId="7EBCEF7B" w14:textId="77777777" w:rsidTr="00A86FCC">
        <w:trPr>
          <w:trHeight w:val="300"/>
        </w:trPr>
        <w:tc>
          <w:tcPr>
            <w:tcW w:w="1919" w:type="pct"/>
            <w:vMerge w:val="restart"/>
            <w:tcBorders>
              <w:top w:val="single" w:sz="4" w:space="0" w:color="auto"/>
              <w:left w:val="single" w:sz="4" w:space="0" w:color="auto"/>
              <w:right w:val="single" w:sz="4" w:space="0" w:color="auto"/>
            </w:tcBorders>
            <w:noWrap/>
            <w:vAlign w:val="center"/>
            <w:hideMark/>
          </w:tcPr>
          <w:p w14:paraId="39298B93" w14:textId="6662180B" w:rsidR="009A4514" w:rsidRPr="00EE0EF7" w:rsidRDefault="009A4514" w:rsidP="00E72E4F">
            <w:pPr>
              <w:jc w:val="center"/>
              <w:rPr>
                <w:b/>
                <w:bCs/>
                <w:color w:val="000000"/>
                <w:sz w:val="20"/>
                <w:szCs w:val="20"/>
                <w:lang w:val="fr-FR" w:eastAsia="en-CA"/>
              </w:rPr>
            </w:pPr>
            <w:r w:rsidRPr="00EE0EF7">
              <w:rPr>
                <w:b/>
                <w:bCs/>
                <w:color w:val="000000"/>
                <w:sz w:val="20"/>
                <w:szCs w:val="20"/>
                <w:lang w:val="fr-FR" w:eastAsia="fr"/>
              </w:rPr>
              <w:t>Composant du projet</w:t>
            </w:r>
          </w:p>
        </w:tc>
        <w:tc>
          <w:tcPr>
            <w:tcW w:w="1532" w:type="pct"/>
            <w:gridSpan w:val="2"/>
            <w:tcBorders>
              <w:top w:val="single" w:sz="4" w:space="0" w:color="auto"/>
              <w:left w:val="nil"/>
              <w:bottom w:val="single" w:sz="4" w:space="0" w:color="auto"/>
              <w:right w:val="single" w:sz="4" w:space="0" w:color="auto"/>
            </w:tcBorders>
            <w:noWrap/>
            <w:vAlign w:val="center"/>
          </w:tcPr>
          <w:p w14:paraId="659BC53F" w14:textId="29C47D7F" w:rsidR="009A4514" w:rsidRPr="00EE0EF7" w:rsidRDefault="00EE0EF7" w:rsidP="00E72E4F">
            <w:pPr>
              <w:jc w:val="center"/>
              <w:rPr>
                <w:b/>
                <w:bCs/>
                <w:color w:val="000000"/>
                <w:sz w:val="20"/>
                <w:szCs w:val="20"/>
                <w:lang w:val="fr-FR" w:eastAsia="en-CA"/>
              </w:rPr>
            </w:pPr>
            <w:r w:rsidRPr="00EE0EF7">
              <w:rPr>
                <w:b/>
                <w:bCs/>
                <w:color w:val="000000"/>
                <w:sz w:val="20"/>
                <w:szCs w:val="20"/>
                <w:lang w:val="fr-FR" w:eastAsia="fr"/>
              </w:rPr>
              <w:t>Élimination</w:t>
            </w:r>
            <w:r w:rsidR="009A4514" w:rsidRPr="00EE0EF7">
              <w:rPr>
                <w:b/>
                <w:bCs/>
                <w:color w:val="000000"/>
                <w:sz w:val="20"/>
                <w:szCs w:val="20"/>
                <w:lang w:val="fr-FR" w:eastAsia="fr"/>
              </w:rPr>
              <w:t xml:space="preserve"> à réaliser</w:t>
            </w:r>
          </w:p>
        </w:tc>
        <w:tc>
          <w:tcPr>
            <w:tcW w:w="774" w:type="pct"/>
            <w:vMerge w:val="restart"/>
            <w:tcBorders>
              <w:top w:val="single" w:sz="4" w:space="0" w:color="auto"/>
              <w:left w:val="nil"/>
              <w:right w:val="single" w:sz="4" w:space="0" w:color="auto"/>
            </w:tcBorders>
            <w:noWrap/>
            <w:vAlign w:val="center"/>
            <w:hideMark/>
          </w:tcPr>
          <w:p w14:paraId="23EAEF36" w14:textId="7A4BC441" w:rsidR="009A4514" w:rsidRPr="00EE0EF7" w:rsidRDefault="009A4514" w:rsidP="009A4514">
            <w:pPr>
              <w:jc w:val="center"/>
              <w:rPr>
                <w:b/>
                <w:bCs/>
                <w:color w:val="000000"/>
                <w:sz w:val="20"/>
                <w:szCs w:val="20"/>
                <w:lang w:val="fr-FR" w:eastAsia="en-CA"/>
              </w:rPr>
            </w:pPr>
            <w:r w:rsidRPr="00EE0EF7">
              <w:rPr>
                <w:b/>
                <w:bCs/>
                <w:color w:val="000000"/>
                <w:sz w:val="20"/>
                <w:szCs w:val="20"/>
                <w:lang w:val="fr-FR" w:eastAsia="fr"/>
              </w:rPr>
              <w:t>Coût</w:t>
            </w:r>
            <w:r w:rsidRPr="00EE0EF7">
              <w:rPr>
                <w:b/>
                <w:bCs/>
                <w:color w:val="000000"/>
                <w:sz w:val="20"/>
                <w:szCs w:val="20"/>
                <w:lang w:val="fr-FR" w:eastAsia="fr"/>
              </w:rPr>
              <w:br/>
              <w:t>($US)</w:t>
            </w:r>
          </w:p>
        </w:tc>
        <w:tc>
          <w:tcPr>
            <w:tcW w:w="775" w:type="pct"/>
            <w:vMerge w:val="restart"/>
            <w:tcBorders>
              <w:top w:val="single" w:sz="4" w:space="0" w:color="auto"/>
              <w:left w:val="nil"/>
              <w:right w:val="single" w:sz="4" w:space="0" w:color="auto"/>
            </w:tcBorders>
            <w:noWrap/>
            <w:vAlign w:val="center"/>
            <w:hideMark/>
          </w:tcPr>
          <w:p w14:paraId="06E79E9F" w14:textId="472B1A9A" w:rsidR="009A4514" w:rsidRPr="00EE0EF7" w:rsidRDefault="009A4514" w:rsidP="009A4514">
            <w:pPr>
              <w:jc w:val="center"/>
              <w:rPr>
                <w:b/>
                <w:bCs/>
                <w:color w:val="000000"/>
                <w:sz w:val="20"/>
                <w:szCs w:val="20"/>
                <w:lang w:val="fr-FR" w:eastAsia="en-CA"/>
              </w:rPr>
            </w:pPr>
            <w:r w:rsidRPr="00EE0EF7">
              <w:rPr>
                <w:b/>
                <w:bCs/>
                <w:color w:val="000000"/>
                <w:sz w:val="20"/>
                <w:szCs w:val="20"/>
                <w:lang w:val="fr-FR" w:eastAsia="fr"/>
              </w:rPr>
              <w:t>Rapport coût-efficacité</w:t>
            </w:r>
            <w:r w:rsidRPr="00EE0EF7">
              <w:rPr>
                <w:b/>
                <w:bCs/>
                <w:color w:val="000000"/>
                <w:sz w:val="20"/>
                <w:szCs w:val="20"/>
                <w:lang w:val="fr-FR" w:eastAsia="fr"/>
              </w:rPr>
              <w:br/>
              <w:t>($US/kg)</w:t>
            </w:r>
          </w:p>
        </w:tc>
      </w:tr>
      <w:tr w:rsidR="006C713D" w:rsidRPr="00EE0EF7" w14:paraId="698D5D9D" w14:textId="77777777" w:rsidTr="00A86FCC">
        <w:trPr>
          <w:trHeight w:val="300"/>
        </w:trPr>
        <w:tc>
          <w:tcPr>
            <w:tcW w:w="1919" w:type="pct"/>
            <w:vMerge/>
            <w:tcBorders>
              <w:left w:val="single" w:sz="4" w:space="0" w:color="auto"/>
              <w:bottom w:val="single" w:sz="4" w:space="0" w:color="auto"/>
              <w:right w:val="single" w:sz="4" w:space="0" w:color="auto"/>
            </w:tcBorders>
            <w:noWrap/>
            <w:vAlign w:val="center"/>
          </w:tcPr>
          <w:p w14:paraId="3449BEC3" w14:textId="77777777" w:rsidR="009A4514" w:rsidRPr="00EE0EF7" w:rsidRDefault="009A4514" w:rsidP="00E72E4F">
            <w:pPr>
              <w:jc w:val="center"/>
              <w:rPr>
                <w:b/>
                <w:bCs/>
                <w:color w:val="000000"/>
                <w:sz w:val="20"/>
                <w:szCs w:val="20"/>
                <w:lang w:val="fr-FR" w:eastAsia="en-CA"/>
              </w:rPr>
            </w:pPr>
          </w:p>
        </w:tc>
        <w:tc>
          <w:tcPr>
            <w:tcW w:w="766" w:type="pct"/>
            <w:tcBorders>
              <w:top w:val="single" w:sz="4" w:space="0" w:color="auto"/>
              <w:left w:val="nil"/>
              <w:bottom w:val="single" w:sz="4" w:space="0" w:color="auto"/>
              <w:right w:val="single" w:sz="4" w:space="0" w:color="auto"/>
            </w:tcBorders>
            <w:noWrap/>
            <w:vAlign w:val="center"/>
          </w:tcPr>
          <w:p w14:paraId="0C2802F4" w14:textId="56E4CC22" w:rsidR="009A4514" w:rsidRPr="00EE0EF7" w:rsidRDefault="009A4514" w:rsidP="00E72E4F">
            <w:pPr>
              <w:jc w:val="center"/>
              <w:rPr>
                <w:b/>
                <w:bCs/>
                <w:color w:val="000000"/>
                <w:sz w:val="20"/>
                <w:szCs w:val="20"/>
                <w:lang w:val="fr-FR" w:eastAsia="en-CA"/>
              </w:rPr>
            </w:pPr>
            <w:r w:rsidRPr="00EE0EF7">
              <w:rPr>
                <w:b/>
                <w:bCs/>
                <w:color w:val="000000"/>
                <w:sz w:val="20"/>
                <w:szCs w:val="20"/>
                <w:lang w:val="fr-FR" w:eastAsia="fr"/>
              </w:rPr>
              <w:t>tm</w:t>
            </w:r>
          </w:p>
        </w:tc>
        <w:tc>
          <w:tcPr>
            <w:tcW w:w="766" w:type="pct"/>
            <w:tcBorders>
              <w:top w:val="single" w:sz="4" w:space="0" w:color="auto"/>
              <w:left w:val="nil"/>
              <w:bottom w:val="single" w:sz="4" w:space="0" w:color="auto"/>
              <w:right w:val="single" w:sz="4" w:space="0" w:color="auto"/>
            </w:tcBorders>
            <w:noWrap/>
            <w:vAlign w:val="center"/>
          </w:tcPr>
          <w:p w14:paraId="76060262" w14:textId="3DD5BE70" w:rsidR="009A4514" w:rsidRPr="00EE0EF7" w:rsidRDefault="009A4514" w:rsidP="00E72E4F">
            <w:pPr>
              <w:jc w:val="center"/>
              <w:rPr>
                <w:b/>
                <w:bCs/>
                <w:color w:val="000000"/>
                <w:sz w:val="20"/>
                <w:szCs w:val="20"/>
                <w:lang w:val="fr-FR" w:eastAsia="en-CA"/>
              </w:rPr>
            </w:pPr>
            <w:r w:rsidRPr="00EE0EF7">
              <w:rPr>
                <w:b/>
                <w:bCs/>
                <w:color w:val="000000"/>
                <w:sz w:val="20"/>
                <w:szCs w:val="20"/>
                <w:lang w:val="fr-FR" w:eastAsia="fr"/>
              </w:rPr>
              <w:t>tonnes PAO</w:t>
            </w:r>
          </w:p>
        </w:tc>
        <w:tc>
          <w:tcPr>
            <w:tcW w:w="774" w:type="pct"/>
            <w:vMerge/>
            <w:tcBorders>
              <w:left w:val="nil"/>
              <w:bottom w:val="single" w:sz="4" w:space="0" w:color="auto"/>
              <w:right w:val="single" w:sz="4" w:space="0" w:color="auto"/>
            </w:tcBorders>
            <w:noWrap/>
            <w:vAlign w:val="center"/>
          </w:tcPr>
          <w:p w14:paraId="5F966F32" w14:textId="68439BD5" w:rsidR="009A4514" w:rsidRPr="00EE0EF7" w:rsidRDefault="009A4514" w:rsidP="00E72E4F">
            <w:pPr>
              <w:jc w:val="center"/>
              <w:rPr>
                <w:b/>
                <w:bCs/>
                <w:color w:val="000000"/>
                <w:sz w:val="20"/>
                <w:szCs w:val="20"/>
                <w:lang w:val="fr-FR" w:eastAsia="en-CA"/>
              </w:rPr>
            </w:pPr>
          </w:p>
        </w:tc>
        <w:tc>
          <w:tcPr>
            <w:tcW w:w="775" w:type="pct"/>
            <w:vMerge/>
            <w:tcBorders>
              <w:left w:val="nil"/>
              <w:bottom w:val="single" w:sz="4" w:space="0" w:color="auto"/>
              <w:right w:val="single" w:sz="4" w:space="0" w:color="auto"/>
            </w:tcBorders>
            <w:noWrap/>
            <w:vAlign w:val="center"/>
          </w:tcPr>
          <w:p w14:paraId="2934CC46" w14:textId="03E7DB61" w:rsidR="009A4514" w:rsidRPr="00EE0EF7" w:rsidRDefault="009A4514" w:rsidP="00E72E4F">
            <w:pPr>
              <w:jc w:val="center"/>
              <w:rPr>
                <w:b/>
                <w:bCs/>
                <w:color w:val="000000"/>
                <w:sz w:val="20"/>
                <w:szCs w:val="20"/>
                <w:lang w:val="fr-FR" w:eastAsia="en-CA"/>
              </w:rPr>
            </w:pPr>
          </w:p>
        </w:tc>
      </w:tr>
      <w:tr w:rsidR="006C713D" w:rsidRPr="00EE0EF7" w14:paraId="32B41B9E" w14:textId="77777777" w:rsidTr="00A86FCC">
        <w:trPr>
          <w:trHeight w:val="88"/>
        </w:trPr>
        <w:tc>
          <w:tcPr>
            <w:tcW w:w="1919" w:type="pct"/>
            <w:tcBorders>
              <w:top w:val="nil"/>
              <w:left w:val="single" w:sz="4" w:space="0" w:color="auto"/>
              <w:bottom w:val="single" w:sz="4" w:space="0" w:color="auto"/>
              <w:right w:val="single" w:sz="4" w:space="0" w:color="auto"/>
            </w:tcBorders>
            <w:noWrap/>
            <w:hideMark/>
          </w:tcPr>
          <w:p w14:paraId="313C4AF4" w14:textId="77777777" w:rsidR="00E72E4F" w:rsidRPr="00EE0EF7" w:rsidRDefault="00E72E4F" w:rsidP="00E72E4F">
            <w:pPr>
              <w:jc w:val="left"/>
              <w:rPr>
                <w:color w:val="000000"/>
                <w:sz w:val="20"/>
                <w:szCs w:val="20"/>
                <w:lang w:val="fr-FR" w:eastAsia="en-CA"/>
              </w:rPr>
            </w:pPr>
            <w:r w:rsidRPr="00EE0EF7">
              <w:rPr>
                <w:color w:val="000000"/>
                <w:sz w:val="20"/>
                <w:szCs w:val="20"/>
                <w:lang w:val="fr-FR" w:eastAsia="fr"/>
              </w:rPr>
              <w:t>Réfrigération à usage commercial</w:t>
            </w:r>
          </w:p>
        </w:tc>
        <w:tc>
          <w:tcPr>
            <w:tcW w:w="766" w:type="pct"/>
            <w:tcBorders>
              <w:top w:val="nil"/>
              <w:left w:val="nil"/>
              <w:bottom w:val="single" w:sz="4" w:space="0" w:color="auto"/>
              <w:right w:val="single" w:sz="4" w:space="0" w:color="auto"/>
            </w:tcBorders>
            <w:noWrap/>
            <w:vAlign w:val="center"/>
            <w:hideMark/>
          </w:tcPr>
          <w:p w14:paraId="7114437C" w14:textId="77777777" w:rsidR="00E72E4F" w:rsidRPr="00EE0EF7" w:rsidRDefault="00E72E4F" w:rsidP="006C713D">
            <w:pPr>
              <w:jc w:val="right"/>
              <w:rPr>
                <w:color w:val="000000"/>
                <w:sz w:val="20"/>
                <w:szCs w:val="20"/>
                <w:lang w:val="fr-FR" w:eastAsia="en-CA"/>
              </w:rPr>
            </w:pPr>
            <w:r w:rsidRPr="00EE0EF7">
              <w:rPr>
                <w:color w:val="000000"/>
                <w:sz w:val="20"/>
                <w:szCs w:val="20"/>
                <w:lang w:val="fr-FR" w:eastAsia="fr"/>
              </w:rPr>
              <w:t>58,97</w:t>
            </w:r>
          </w:p>
        </w:tc>
        <w:tc>
          <w:tcPr>
            <w:tcW w:w="766" w:type="pct"/>
            <w:tcBorders>
              <w:top w:val="nil"/>
              <w:left w:val="nil"/>
              <w:bottom w:val="single" w:sz="4" w:space="0" w:color="auto"/>
              <w:right w:val="single" w:sz="4" w:space="0" w:color="auto"/>
            </w:tcBorders>
            <w:noWrap/>
            <w:vAlign w:val="center"/>
            <w:hideMark/>
          </w:tcPr>
          <w:p w14:paraId="316DEBE0" w14:textId="77777777" w:rsidR="00E72E4F" w:rsidRPr="00EE0EF7" w:rsidRDefault="00E72E4F" w:rsidP="006C713D">
            <w:pPr>
              <w:jc w:val="right"/>
              <w:rPr>
                <w:color w:val="000000"/>
                <w:sz w:val="20"/>
                <w:szCs w:val="20"/>
                <w:lang w:val="fr-FR" w:eastAsia="en-CA"/>
              </w:rPr>
            </w:pPr>
            <w:r w:rsidRPr="00EE0EF7">
              <w:rPr>
                <w:color w:val="000000"/>
                <w:sz w:val="20"/>
                <w:szCs w:val="20"/>
                <w:lang w:val="fr-FR" w:eastAsia="fr"/>
              </w:rPr>
              <w:t>3,25</w:t>
            </w:r>
          </w:p>
        </w:tc>
        <w:tc>
          <w:tcPr>
            <w:tcW w:w="774" w:type="pct"/>
            <w:tcBorders>
              <w:top w:val="nil"/>
              <w:left w:val="nil"/>
              <w:bottom w:val="single" w:sz="4" w:space="0" w:color="auto"/>
              <w:right w:val="single" w:sz="4" w:space="0" w:color="auto"/>
            </w:tcBorders>
            <w:noWrap/>
            <w:vAlign w:val="center"/>
            <w:hideMark/>
          </w:tcPr>
          <w:p w14:paraId="60FEC5B7" w14:textId="77777777" w:rsidR="00E72E4F" w:rsidRPr="00EE0EF7" w:rsidRDefault="00E72E4F" w:rsidP="006C713D">
            <w:pPr>
              <w:jc w:val="right"/>
              <w:rPr>
                <w:color w:val="000000"/>
                <w:sz w:val="20"/>
                <w:szCs w:val="20"/>
                <w:lang w:val="fr-FR" w:eastAsia="en-CA"/>
              </w:rPr>
            </w:pPr>
            <w:r w:rsidRPr="00EE0EF7">
              <w:rPr>
                <w:color w:val="000000"/>
                <w:sz w:val="20"/>
                <w:szCs w:val="20"/>
                <w:lang w:val="fr-FR" w:eastAsia="fr"/>
              </w:rPr>
              <w:t>713 000</w:t>
            </w:r>
          </w:p>
        </w:tc>
        <w:tc>
          <w:tcPr>
            <w:tcW w:w="775" w:type="pct"/>
            <w:tcBorders>
              <w:top w:val="nil"/>
              <w:left w:val="nil"/>
              <w:bottom w:val="single" w:sz="4" w:space="0" w:color="auto"/>
              <w:right w:val="single" w:sz="4" w:space="0" w:color="auto"/>
            </w:tcBorders>
            <w:noWrap/>
            <w:vAlign w:val="center"/>
            <w:hideMark/>
          </w:tcPr>
          <w:p w14:paraId="28F3F96A" w14:textId="77777777" w:rsidR="00E72E4F" w:rsidRPr="00EE0EF7" w:rsidRDefault="00E72E4F" w:rsidP="006C713D">
            <w:pPr>
              <w:jc w:val="right"/>
              <w:rPr>
                <w:color w:val="000000"/>
                <w:sz w:val="20"/>
                <w:szCs w:val="20"/>
                <w:lang w:val="fr-FR" w:eastAsia="en-CA"/>
              </w:rPr>
            </w:pPr>
            <w:r w:rsidRPr="00EE0EF7">
              <w:rPr>
                <w:color w:val="000000"/>
                <w:sz w:val="20"/>
                <w:szCs w:val="20"/>
                <w:lang w:val="fr-FR" w:eastAsia="fr"/>
              </w:rPr>
              <w:t>12,09</w:t>
            </w:r>
          </w:p>
        </w:tc>
      </w:tr>
      <w:tr w:rsidR="006C713D" w:rsidRPr="00EE0EF7" w14:paraId="4DAD5C40" w14:textId="77777777" w:rsidTr="00A86FCC">
        <w:trPr>
          <w:trHeight w:val="180"/>
        </w:trPr>
        <w:tc>
          <w:tcPr>
            <w:tcW w:w="1919" w:type="pct"/>
            <w:tcBorders>
              <w:top w:val="nil"/>
              <w:left w:val="single" w:sz="4" w:space="0" w:color="auto"/>
              <w:bottom w:val="single" w:sz="4" w:space="0" w:color="auto"/>
              <w:right w:val="single" w:sz="4" w:space="0" w:color="auto"/>
            </w:tcBorders>
            <w:noWrap/>
            <w:hideMark/>
          </w:tcPr>
          <w:p w14:paraId="03B0CD03" w14:textId="77777777" w:rsidR="00E72E4F" w:rsidRPr="00EE0EF7" w:rsidRDefault="00E72E4F" w:rsidP="00E72E4F">
            <w:pPr>
              <w:jc w:val="left"/>
              <w:rPr>
                <w:color w:val="000000"/>
                <w:sz w:val="20"/>
                <w:szCs w:val="20"/>
                <w:lang w:val="fr-FR" w:eastAsia="en-CA"/>
              </w:rPr>
            </w:pPr>
            <w:r w:rsidRPr="00EE0EF7">
              <w:rPr>
                <w:color w:val="000000"/>
                <w:sz w:val="20"/>
                <w:szCs w:val="20"/>
                <w:lang w:val="fr-FR" w:eastAsia="fr"/>
              </w:rPr>
              <w:t>Lutte contre l'incendie</w:t>
            </w:r>
          </w:p>
        </w:tc>
        <w:tc>
          <w:tcPr>
            <w:tcW w:w="766" w:type="pct"/>
            <w:tcBorders>
              <w:top w:val="nil"/>
              <w:left w:val="nil"/>
              <w:bottom w:val="single" w:sz="4" w:space="0" w:color="auto"/>
              <w:right w:val="single" w:sz="4" w:space="0" w:color="auto"/>
            </w:tcBorders>
            <w:noWrap/>
            <w:vAlign w:val="center"/>
            <w:hideMark/>
          </w:tcPr>
          <w:p w14:paraId="30B59407" w14:textId="77777777" w:rsidR="00E72E4F" w:rsidRPr="00EE0EF7" w:rsidRDefault="00E72E4F" w:rsidP="006C713D">
            <w:pPr>
              <w:jc w:val="right"/>
              <w:rPr>
                <w:color w:val="000000"/>
                <w:sz w:val="20"/>
                <w:szCs w:val="20"/>
                <w:lang w:val="fr-FR" w:eastAsia="en-CA"/>
              </w:rPr>
            </w:pPr>
            <w:r w:rsidRPr="00EE0EF7">
              <w:rPr>
                <w:color w:val="000000"/>
                <w:sz w:val="20"/>
                <w:szCs w:val="20"/>
                <w:lang w:val="fr-FR" w:eastAsia="fr"/>
              </w:rPr>
              <w:t>47,22</w:t>
            </w:r>
          </w:p>
        </w:tc>
        <w:tc>
          <w:tcPr>
            <w:tcW w:w="766" w:type="pct"/>
            <w:tcBorders>
              <w:top w:val="nil"/>
              <w:left w:val="nil"/>
              <w:bottom w:val="single" w:sz="4" w:space="0" w:color="auto"/>
              <w:right w:val="single" w:sz="4" w:space="0" w:color="auto"/>
            </w:tcBorders>
            <w:noWrap/>
            <w:vAlign w:val="center"/>
            <w:hideMark/>
          </w:tcPr>
          <w:p w14:paraId="40FCA344" w14:textId="77777777" w:rsidR="00E72E4F" w:rsidRPr="00EE0EF7" w:rsidRDefault="00E72E4F" w:rsidP="006C713D">
            <w:pPr>
              <w:jc w:val="right"/>
              <w:rPr>
                <w:color w:val="000000"/>
                <w:sz w:val="20"/>
                <w:szCs w:val="20"/>
                <w:lang w:val="fr-FR" w:eastAsia="en-CA"/>
              </w:rPr>
            </w:pPr>
            <w:r w:rsidRPr="00EE0EF7">
              <w:rPr>
                <w:color w:val="000000"/>
                <w:sz w:val="20"/>
                <w:szCs w:val="20"/>
                <w:lang w:val="fr-FR" w:eastAsia="fr"/>
              </w:rPr>
              <w:t>0,94</w:t>
            </w:r>
          </w:p>
        </w:tc>
        <w:tc>
          <w:tcPr>
            <w:tcW w:w="774" w:type="pct"/>
            <w:tcBorders>
              <w:top w:val="nil"/>
              <w:left w:val="nil"/>
              <w:bottom w:val="single" w:sz="4" w:space="0" w:color="auto"/>
              <w:right w:val="single" w:sz="4" w:space="0" w:color="auto"/>
            </w:tcBorders>
            <w:noWrap/>
            <w:vAlign w:val="center"/>
            <w:hideMark/>
          </w:tcPr>
          <w:p w14:paraId="37102F8F" w14:textId="77777777" w:rsidR="00E72E4F" w:rsidRPr="00EE0EF7" w:rsidRDefault="00E72E4F" w:rsidP="006C713D">
            <w:pPr>
              <w:jc w:val="right"/>
              <w:rPr>
                <w:color w:val="000000"/>
                <w:sz w:val="20"/>
                <w:szCs w:val="20"/>
                <w:lang w:val="fr-FR" w:eastAsia="en-CA"/>
              </w:rPr>
            </w:pPr>
            <w:r w:rsidRPr="00EE0EF7">
              <w:rPr>
                <w:color w:val="000000"/>
                <w:sz w:val="20"/>
                <w:szCs w:val="20"/>
                <w:lang w:val="fr-FR" w:eastAsia="fr"/>
              </w:rPr>
              <w:t>226 500</w:t>
            </w:r>
          </w:p>
        </w:tc>
        <w:tc>
          <w:tcPr>
            <w:tcW w:w="775" w:type="pct"/>
            <w:tcBorders>
              <w:top w:val="nil"/>
              <w:left w:val="nil"/>
              <w:bottom w:val="single" w:sz="4" w:space="0" w:color="auto"/>
              <w:right w:val="single" w:sz="4" w:space="0" w:color="auto"/>
            </w:tcBorders>
            <w:noWrap/>
            <w:vAlign w:val="center"/>
            <w:hideMark/>
          </w:tcPr>
          <w:p w14:paraId="02FD6236" w14:textId="77777777" w:rsidR="00E72E4F" w:rsidRPr="00EE0EF7" w:rsidRDefault="00E72E4F" w:rsidP="006C713D">
            <w:pPr>
              <w:jc w:val="right"/>
              <w:rPr>
                <w:color w:val="000000"/>
                <w:sz w:val="20"/>
                <w:szCs w:val="20"/>
                <w:lang w:val="fr-FR" w:eastAsia="en-CA"/>
              </w:rPr>
            </w:pPr>
            <w:r w:rsidRPr="00EE0EF7">
              <w:rPr>
                <w:color w:val="000000"/>
                <w:sz w:val="20"/>
                <w:szCs w:val="20"/>
                <w:lang w:val="fr-FR" w:eastAsia="fr"/>
              </w:rPr>
              <w:t>4,80</w:t>
            </w:r>
          </w:p>
        </w:tc>
      </w:tr>
      <w:tr w:rsidR="006C713D" w:rsidRPr="00EE0EF7" w14:paraId="00AF1BB9" w14:textId="77777777" w:rsidTr="00A86FCC">
        <w:trPr>
          <w:trHeight w:val="212"/>
        </w:trPr>
        <w:tc>
          <w:tcPr>
            <w:tcW w:w="1919" w:type="pct"/>
            <w:tcBorders>
              <w:top w:val="nil"/>
              <w:left w:val="single" w:sz="4" w:space="0" w:color="auto"/>
              <w:bottom w:val="single" w:sz="4" w:space="0" w:color="auto"/>
              <w:right w:val="single" w:sz="4" w:space="0" w:color="auto"/>
            </w:tcBorders>
            <w:noWrap/>
            <w:hideMark/>
          </w:tcPr>
          <w:p w14:paraId="0EB8EAA8" w14:textId="10FEC631" w:rsidR="00E72E4F" w:rsidRPr="00EE0EF7" w:rsidRDefault="00E72E4F" w:rsidP="00E72E4F">
            <w:pPr>
              <w:jc w:val="left"/>
              <w:rPr>
                <w:color w:val="000000"/>
                <w:sz w:val="20"/>
                <w:szCs w:val="20"/>
                <w:lang w:val="fr-FR" w:eastAsia="en-CA"/>
              </w:rPr>
            </w:pPr>
            <w:r w:rsidRPr="00EE0EF7">
              <w:rPr>
                <w:color w:val="000000"/>
                <w:sz w:val="20"/>
                <w:szCs w:val="20"/>
                <w:lang w:val="fr-FR" w:eastAsia="fr"/>
              </w:rPr>
              <w:t>Entretien (y compris les aérosols)</w:t>
            </w:r>
          </w:p>
        </w:tc>
        <w:tc>
          <w:tcPr>
            <w:tcW w:w="766" w:type="pct"/>
            <w:tcBorders>
              <w:top w:val="nil"/>
              <w:left w:val="nil"/>
              <w:bottom w:val="single" w:sz="4" w:space="0" w:color="auto"/>
              <w:right w:val="single" w:sz="4" w:space="0" w:color="auto"/>
            </w:tcBorders>
            <w:noWrap/>
            <w:vAlign w:val="center"/>
            <w:hideMark/>
          </w:tcPr>
          <w:p w14:paraId="670EEC9F" w14:textId="77777777" w:rsidR="00E72E4F" w:rsidRPr="00EE0EF7" w:rsidRDefault="00E72E4F" w:rsidP="006C713D">
            <w:pPr>
              <w:jc w:val="right"/>
              <w:rPr>
                <w:color w:val="000000"/>
                <w:sz w:val="20"/>
                <w:szCs w:val="20"/>
                <w:lang w:val="fr-FR" w:eastAsia="en-CA"/>
              </w:rPr>
            </w:pPr>
            <w:r w:rsidRPr="00EE0EF7">
              <w:rPr>
                <w:color w:val="000000"/>
                <w:sz w:val="20"/>
                <w:szCs w:val="20"/>
                <w:lang w:val="fr-FR" w:eastAsia="fr"/>
              </w:rPr>
              <w:t>1 605,11</w:t>
            </w:r>
          </w:p>
        </w:tc>
        <w:tc>
          <w:tcPr>
            <w:tcW w:w="766" w:type="pct"/>
            <w:tcBorders>
              <w:top w:val="nil"/>
              <w:left w:val="nil"/>
              <w:bottom w:val="single" w:sz="4" w:space="0" w:color="auto"/>
              <w:right w:val="single" w:sz="4" w:space="0" w:color="auto"/>
            </w:tcBorders>
            <w:noWrap/>
            <w:vAlign w:val="center"/>
            <w:hideMark/>
          </w:tcPr>
          <w:p w14:paraId="42987571" w14:textId="77777777" w:rsidR="00E72E4F" w:rsidRPr="00EE0EF7" w:rsidRDefault="00E72E4F" w:rsidP="006C713D">
            <w:pPr>
              <w:jc w:val="right"/>
              <w:rPr>
                <w:color w:val="000000"/>
                <w:sz w:val="20"/>
                <w:szCs w:val="20"/>
                <w:lang w:val="fr-FR" w:eastAsia="en-CA"/>
              </w:rPr>
            </w:pPr>
            <w:r w:rsidRPr="00EE0EF7">
              <w:rPr>
                <w:color w:val="000000"/>
                <w:sz w:val="20"/>
                <w:szCs w:val="20"/>
                <w:lang w:val="fr-FR" w:eastAsia="fr"/>
              </w:rPr>
              <w:t>88,17</w:t>
            </w:r>
          </w:p>
        </w:tc>
        <w:tc>
          <w:tcPr>
            <w:tcW w:w="774" w:type="pct"/>
            <w:tcBorders>
              <w:top w:val="nil"/>
              <w:left w:val="nil"/>
              <w:bottom w:val="single" w:sz="4" w:space="0" w:color="auto"/>
              <w:right w:val="single" w:sz="4" w:space="0" w:color="auto"/>
            </w:tcBorders>
            <w:noWrap/>
            <w:vAlign w:val="center"/>
            <w:hideMark/>
          </w:tcPr>
          <w:p w14:paraId="6DDE362E" w14:textId="77777777" w:rsidR="00E72E4F" w:rsidRPr="00EE0EF7" w:rsidRDefault="00E72E4F" w:rsidP="006C713D">
            <w:pPr>
              <w:jc w:val="right"/>
              <w:rPr>
                <w:color w:val="000000"/>
                <w:sz w:val="20"/>
                <w:szCs w:val="20"/>
                <w:lang w:val="fr-FR" w:eastAsia="en-CA"/>
              </w:rPr>
            </w:pPr>
            <w:r w:rsidRPr="00EE0EF7">
              <w:rPr>
                <w:color w:val="000000"/>
                <w:sz w:val="20"/>
                <w:szCs w:val="20"/>
                <w:lang w:val="fr-FR" w:eastAsia="fr"/>
              </w:rPr>
              <w:t>7 704 515</w:t>
            </w:r>
          </w:p>
        </w:tc>
        <w:tc>
          <w:tcPr>
            <w:tcW w:w="775" w:type="pct"/>
            <w:tcBorders>
              <w:top w:val="nil"/>
              <w:left w:val="nil"/>
              <w:bottom w:val="single" w:sz="4" w:space="0" w:color="auto"/>
              <w:right w:val="single" w:sz="4" w:space="0" w:color="auto"/>
            </w:tcBorders>
            <w:noWrap/>
            <w:vAlign w:val="center"/>
            <w:hideMark/>
          </w:tcPr>
          <w:p w14:paraId="00D18384" w14:textId="77777777" w:rsidR="00E72E4F" w:rsidRPr="00EE0EF7" w:rsidRDefault="00E72E4F" w:rsidP="006C713D">
            <w:pPr>
              <w:jc w:val="right"/>
              <w:rPr>
                <w:color w:val="000000"/>
                <w:sz w:val="20"/>
                <w:szCs w:val="20"/>
                <w:lang w:val="fr-FR" w:eastAsia="en-CA"/>
              </w:rPr>
            </w:pPr>
            <w:r w:rsidRPr="00EE0EF7">
              <w:rPr>
                <w:color w:val="000000"/>
                <w:sz w:val="20"/>
                <w:szCs w:val="20"/>
                <w:lang w:val="fr-FR" w:eastAsia="fr"/>
              </w:rPr>
              <w:t>4,80</w:t>
            </w:r>
          </w:p>
        </w:tc>
      </w:tr>
      <w:tr w:rsidR="006C713D" w:rsidRPr="00EE0EF7" w14:paraId="09F1CF07" w14:textId="77777777" w:rsidTr="00A86FCC">
        <w:trPr>
          <w:trHeight w:val="117"/>
        </w:trPr>
        <w:tc>
          <w:tcPr>
            <w:tcW w:w="1919" w:type="pct"/>
            <w:tcBorders>
              <w:top w:val="nil"/>
              <w:left w:val="single" w:sz="4" w:space="0" w:color="auto"/>
              <w:bottom w:val="single" w:sz="4" w:space="0" w:color="auto"/>
              <w:right w:val="single" w:sz="4" w:space="0" w:color="auto"/>
            </w:tcBorders>
            <w:noWrap/>
            <w:hideMark/>
          </w:tcPr>
          <w:p w14:paraId="58C74799" w14:textId="77777777" w:rsidR="00E72E4F" w:rsidRPr="00EE0EF7" w:rsidRDefault="00E72E4F" w:rsidP="00E72E4F">
            <w:pPr>
              <w:jc w:val="left"/>
              <w:rPr>
                <w:color w:val="000000"/>
                <w:sz w:val="20"/>
                <w:szCs w:val="20"/>
                <w:lang w:val="fr-FR" w:eastAsia="en-CA"/>
              </w:rPr>
            </w:pPr>
            <w:r w:rsidRPr="00EE0EF7">
              <w:rPr>
                <w:color w:val="000000"/>
                <w:sz w:val="20"/>
                <w:szCs w:val="20"/>
                <w:lang w:val="fr-FR" w:eastAsia="fr"/>
              </w:rPr>
              <w:t>UGP</w:t>
            </w:r>
          </w:p>
        </w:tc>
        <w:tc>
          <w:tcPr>
            <w:tcW w:w="766" w:type="pct"/>
            <w:tcBorders>
              <w:top w:val="nil"/>
              <w:left w:val="nil"/>
              <w:bottom w:val="single" w:sz="4" w:space="0" w:color="auto"/>
              <w:right w:val="single" w:sz="4" w:space="0" w:color="auto"/>
            </w:tcBorders>
            <w:noWrap/>
            <w:vAlign w:val="center"/>
            <w:hideMark/>
          </w:tcPr>
          <w:p w14:paraId="7012912E" w14:textId="77777777" w:rsidR="00E72E4F" w:rsidRPr="00EE0EF7" w:rsidRDefault="00E72E4F" w:rsidP="006C713D">
            <w:pPr>
              <w:jc w:val="right"/>
              <w:rPr>
                <w:color w:val="000000"/>
                <w:sz w:val="20"/>
                <w:szCs w:val="20"/>
                <w:lang w:val="fr-FR" w:eastAsia="en-CA"/>
              </w:rPr>
            </w:pPr>
            <w:r w:rsidRPr="00EE0EF7">
              <w:rPr>
                <w:color w:val="000000"/>
                <w:sz w:val="20"/>
                <w:szCs w:val="20"/>
                <w:lang w:val="fr-FR" w:eastAsia="fr"/>
              </w:rPr>
              <w:t>s.o.</w:t>
            </w:r>
          </w:p>
        </w:tc>
        <w:tc>
          <w:tcPr>
            <w:tcW w:w="766" w:type="pct"/>
            <w:tcBorders>
              <w:top w:val="nil"/>
              <w:left w:val="nil"/>
              <w:bottom w:val="single" w:sz="4" w:space="0" w:color="auto"/>
              <w:right w:val="single" w:sz="4" w:space="0" w:color="auto"/>
            </w:tcBorders>
            <w:noWrap/>
            <w:vAlign w:val="center"/>
            <w:hideMark/>
          </w:tcPr>
          <w:p w14:paraId="13588614" w14:textId="77777777" w:rsidR="00E72E4F" w:rsidRPr="00EE0EF7" w:rsidRDefault="00E72E4F" w:rsidP="006C713D">
            <w:pPr>
              <w:jc w:val="right"/>
              <w:rPr>
                <w:color w:val="000000"/>
                <w:sz w:val="20"/>
                <w:szCs w:val="20"/>
                <w:lang w:val="fr-FR" w:eastAsia="en-CA"/>
              </w:rPr>
            </w:pPr>
            <w:r w:rsidRPr="00EE0EF7">
              <w:rPr>
                <w:color w:val="000000"/>
                <w:sz w:val="20"/>
                <w:szCs w:val="20"/>
                <w:lang w:val="fr-FR" w:eastAsia="fr"/>
              </w:rPr>
              <w:t>s.o.</w:t>
            </w:r>
          </w:p>
        </w:tc>
        <w:tc>
          <w:tcPr>
            <w:tcW w:w="774" w:type="pct"/>
            <w:tcBorders>
              <w:top w:val="nil"/>
              <w:left w:val="nil"/>
              <w:bottom w:val="single" w:sz="4" w:space="0" w:color="auto"/>
              <w:right w:val="single" w:sz="4" w:space="0" w:color="auto"/>
            </w:tcBorders>
            <w:noWrap/>
            <w:vAlign w:val="center"/>
            <w:hideMark/>
          </w:tcPr>
          <w:p w14:paraId="461C6430" w14:textId="77777777" w:rsidR="00E72E4F" w:rsidRPr="00EE0EF7" w:rsidRDefault="00E72E4F" w:rsidP="006C713D">
            <w:pPr>
              <w:jc w:val="right"/>
              <w:rPr>
                <w:color w:val="000000"/>
                <w:sz w:val="20"/>
                <w:szCs w:val="20"/>
                <w:lang w:val="fr-FR" w:eastAsia="en-CA"/>
              </w:rPr>
            </w:pPr>
            <w:r w:rsidRPr="00EE0EF7">
              <w:rPr>
                <w:color w:val="000000"/>
                <w:sz w:val="20"/>
                <w:szCs w:val="20"/>
                <w:lang w:val="fr-FR" w:eastAsia="fr"/>
              </w:rPr>
              <w:t>600 000</w:t>
            </w:r>
          </w:p>
        </w:tc>
        <w:tc>
          <w:tcPr>
            <w:tcW w:w="775" w:type="pct"/>
            <w:tcBorders>
              <w:top w:val="nil"/>
              <w:left w:val="nil"/>
              <w:bottom w:val="single" w:sz="2" w:space="0" w:color="auto"/>
              <w:right w:val="single" w:sz="4" w:space="0" w:color="auto"/>
            </w:tcBorders>
            <w:noWrap/>
            <w:vAlign w:val="center"/>
            <w:hideMark/>
          </w:tcPr>
          <w:p w14:paraId="4A3C64BF" w14:textId="77777777" w:rsidR="00E72E4F" w:rsidRPr="00EE0EF7" w:rsidRDefault="00E72E4F" w:rsidP="006C713D">
            <w:pPr>
              <w:jc w:val="right"/>
              <w:rPr>
                <w:color w:val="000000"/>
                <w:sz w:val="20"/>
                <w:szCs w:val="20"/>
                <w:lang w:val="fr-FR" w:eastAsia="en-CA"/>
              </w:rPr>
            </w:pPr>
            <w:r w:rsidRPr="00EE0EF7">
              <w:rPr>
                <w:color w:val="000000"/>
                <w:sz w:val="20"/>
                <w:szCs w:val="20"/>
                <w:lang w:val="fr-FR" w:eastAsia="fr"/>
              </w:rPr>
              <w:t>s.o.</w:t>
            </w:r>
          </w:p>
        </w:tc>
      </w:tr>
      <w:tr w:rsidR="006C713D" w:rsidRPr="00EE0EF7" w14:paraId="7C43369D" w14:textId="77777777" w:rsidTr="00A86FCC">
        <w:trPr>
          <w:trHeight w:val="162"/>
        </w:trPr>
        <w:tc>
          <w:tcPr>
            <w:tcW w:w="1919" w:type="pct"/>
            <w:tcBorders>
              <w:top w:val="nil"/>
              <w:left w:val="single" w:sz="4" w:space="0" w:color="auto"/>
              <w:bottom w:val="single" w:sz="2" w:space="0" w:color="auto"/>
              <w:right w:val="single" w:sz="4" w:space="0" w:color="auto"/>
            </w:tcBorders>
            <w:noWrap/>
            <w:hideMark/>
          </w:tcPr>
          <w:p w14:paraId="1C9FF8A4" w14:textId="73415F1D" w:rsidR="00E72E4F" w:rsidRPr="00EE0EF7" w:rsidRDefault="00897C08" w:rsidP="00E72E4F">
            <w:pPr>
              <w:jc w:val="left"/>
              <w:rPr>
                <w:b/>
                <w:bCs/>
                <w:color w:val="000000"/>
                <w:sz w:val="20"/>
                <w:szCs w:val="20"/>
                <w:lang w:val="fr-FR" w:eastAsia="en-CA"/>
              </w:rPr>
            </w:pPr>
            <w:r w:rsidRPr="00EE0EF7">
              <w:rPr>
                <w:b/>
                <w:bCs/>
                <w:color w:val="000000"/>
                <w:sz w:val="20"/>
                <w:szCs w:val="20"/>
                <w:lang w:val="fr-FR" w:eastAsia="fr"/>
              </w:rPr>
              <w:t>Total des activités financées</w:t>
            </w:r>
          </w:p>
        </w:tc>
        <w:tc>
          <w:tcPr>
            <w:tcW w:w="766" w:type="pct"/>
            <w:tcBorders>
              <w:top w:val="nil"/>
              <w:left w:val="nil"/>
              <w:bottom w:val="single" w:sz="2" w:space="0" w:color="auto"/>
              <w:right w:val="single" w:sz="4" w:space="0" w:color="auto"/>
            </w:tcBorders>
            <w:noWrap/>
            <w:vAlign w:val="center"/>
            <w:hideMark/>
          </w:tcPr>
          <w:p w14:paraId="40126ECA" w14:textId="77777777" w:rsidR="00E72E4F" w:rsidRPr="00EE0EF7" w:rsidRDefault="00E72E4F" w:rsidP="006C713D">
            <w:pPr>
              <w:jc w:val="right"/>
              <w:rPr>
                <w:b/>
                <w:bCs/>
                <w:color w:val="000000"/>
                <w:sz w:val="20"/>
                <w:szCs w:val="20"/>
                <w:lang w:val="fr-FR" w:eastAsia="en-CA"/>
              </w:rPr>
            </w:pPr>
            <w:r w:rsidRPr="00EE0EF7">
              <w:rPr>
                <w:b/>
                <w:bCs/>
                <w:color w:val="000000"/>
                <w:sz w:val="20"/>
                <w:szCs w:val="20"/>
                <w:lang w:val="fr-FR" w:eastAsia="fr"/>
              </w:rPr>
              <w:t>1 711,30</w:t>
            </w:r>
          </w:p>
        </w:tc>
        <w:tc>
          <w:tcPr>
            <w:tcW w:w="766" w:type="pct"/>
            <w:tcBorders>
              <w:top w:val="nil"/>
              <w:left w:val="nil"/>
              <w:bottom w:val="single" w:sz="2" w:space="0" w:color="auto"/>
              <w:right w:val="single" w:sz="4" w:space="0" w:color="auto"/>
            </w:tcBorders>
            <w:noWrap/>
            <w:vAlign w:val="center"/>
            <w:hideMark/>
          </w:tcPr>
          <w:p w14:paraId="1E31129A" w14:textId="77777777" w:rsidR="00E72E4F" w:rsidRPr="00EE0EF7" w:rsidRDefault="00E72E4F" w:rsidP="006C713D">
            <w:pPr>
              <w:jc w:val="right"/>
              <w:rPr>
                <w:b/>
                <w:bCs/>
                <w:color w:val="000000"/>
                <w:sz w:val="20"/>
                <w:szCs w:val="20"/>
                <w:lang w:val="fr-FR" w:eastAsia="en-CA"/>
              </w:rPr>
            </w:pPr>
            <w:r w:rsidRPr="00EE0EF7">
              <w:rPr>
                <w:b/>
                <w:bCs/>
                <w:color w:val="000000"/>
                <w:sz w:val="20"/>
                <w:szCs w:val="20"/>
                <w:lang w:val="fr-FR" w:eastAsia="fr"/>
              </w:rPr>
              <w:t>92,36</w:t>
            </w:r>
          </w:p>
        </w:tc>
        <w:tc>
          <w:tcPr>
            <w:tcW w:w="774" w:type="pct"/>
            <w:tcBorders>
              <w:top w:val="nil"/>
              <w:left w:val="nil"/>
              <w:bottom w:val="single" w:sz="2" w:space="0" w:color="auto"/>
              <w:right w:val="single" w:sz="2" w:space="0" w:color="auto"/>
            </w:tcBorders>
            <w:noWrap/>
            <w:vAlign w:val="center"/>
            <w:hideMark/>
          </w:tcPr>
          <w:p w14:paraId="5BA361E7" w14:textId="77777777" w:rsidR="00E72E4F" w:rsidRPr="00EE0EF7" w:rsidRDefault="00E72E4F" w:rsidP="006C713D">
            <w:pPr>
              <w:jc w:val="right"/>
              <w:rPr>
                <w:b/>
                <w:bCs/>
                <w:color w:val="000000"/>
                <w:sz w:val="20"/>
                <w:szCs w:val="20"/>
                <w:lang w:val="fr-FR" w:eastAsia="en-CA"/>
              </w:rPr>
            </w:pPr>
            <w:r w:rsidRPr="00EE0EF7">
              <w:rPr>
                <w:b/>
                <w:bCs/>
                <w:color w:val="000000"/>
                <w:sz w:val="20"/>
                <w:szCs w:val="20"/>
                <w:lang w:val="fr-FR" w:eastAsia="fr"/>
              </w:rPr>
              <w:t>9 244 015</w:t>
            </w:r>
          </w:p>
        </w:tc>
        <w:tc>
          <w:tcPr>
            <w:tcW w:w="775" w:type="pct"/>
            <w:tcBorders>
              <w:top w:val="single" w:sz="2" w:space="0" w:color="auto"/>
              <w:left w:val="single" w:sz="2" w:space="0" w:color="auto"/>
              <w:bottom w:val="single" w:sz="2" w:space="0" w:color="auto"/>
              <w:right w:val="single" w:sz="2" w:space="0" w:color="auto"/>
            </w:tcBorders>
            <w:noWrap/>
            <w:vAlign w:val="center"/>
            <w:hideMark/>
          </w:tcPr>
          <w:p w14:paraId="25EFD175" w14:textId="77777777" w:rsidR="00E72E4F" w:rsidRPr="00EE0EF7" w:rsidRDefault="00E72E4F" w:rsidP="006C713D">
            <w:pPr>
              <w:jc w:val="right"/>
              <w:rPr>
                <w:b/>
                <w:bCs/>
                <w:color w:val="000000"/>
                <w:sz w:val="20"/>
                <w:szCs w:val="20"/>
                <w:lang w:val="fr-FR" w:eastAsia="en-CA"/>
              </w:rPr>
            </w:pPr>
            <w:r w:rsidRPr="00EE0EF7">
              <w:rPr>
                <w:b/>
                <w:bCs/>
                <w:color w:val="000000"/>
                <w:sz w:val="20"/>
                <w:szCs w:val="20"/>
                <w:lang w:val="fr-FR" w:eastAsia="fr"/>
              </w:rPr>
              <w:t>5,40</w:t>
            </w:r>
          </w:p>
        </w:tc>
      </w:tr>
      <w:tr w:rsidR="006C713D" w:rsidRPr="00EE0EF7" w14:paraId="52BCEF00" w14:textId="77777777" w:rsidTr="00A86FCC">
        <w:trPr>
          <w:trHeight w:val="162"/>
        </w:trPr>
        <w:tc>
          <w:tcPr>
            <w:tcW w:w="1919" w:type="pct"/>
            <w:tcBorders>
              <w:top w:val="single" w:sz="2" w:space="0" w:color="auto"/>
              <w:left w:val="single" w:sz="2" w:space="0" w:color="auto"/>
              <w:bottom w:val="single" w:sz="2" w:space="0" w:color="auto"/>
              <w:right w:val="single" w:sz="2" w:space="0" w:color="auto"/>
            </w:tcBorders>
            <w:noWrap/>
          </w:tcPr>
          <w:p w14:paraId="5C25510C" w14:textId="169E4FFD" w:rsidR="00E72E4F" w:rsidRPr="00EE0EF7" w:rsidRDefault="00E72E4F" w:rsidP="00411553">
            <w:pPr>
              <w:jc w:val="left"/>
              <w:rPr>
                <w:color w:val="000000"/>
                <w:sz w:val="20"/>
                <w:szCs w:val="20"/>
                <w:lang w:val="fr-FR" w:eastAsia="en-CA"/>
              </w:rPr>
            </w:pPr>
            <w:r w:rsidRPr="00EE0EF7">
              <w:rPr>
                <w:color w:val="000000"/>
                <w:sz w:val="20"/>
                <w:szCs w:val="20"/>
                <w:lang w:val="fr-FR" w:eastAsia="fr"/>
              </w:rPr>
              <w:t>Réductions supplémentaires sur le reste</w:t>
            </w:r>
            <w:r w:rsidRPr="00EE0EF7">
              <w:rPr>
                <w:color w:val="000000"/>
                <w:sz w:val="20"/>
                <w:szCs w:val="20"/>
                <w:lang w:val="fr-FR" w:eastAsia="fr"/>
              </w:rPr>
              <w:br/>
              <w:t>Consommation admissible au financement</w:t>
            </w:r>
          </w:p>
        </w:tc>
        <w:tc>
          <w:tcPr>
            <w:tcW w:w="766" w:type="pct"/>
            <w:tcBorders>
              <w:top w:val="single" w:sz="2" w:space="0" w:color="auto"/>
              <w:left w:val="single" w:sz="2" w:space="0" w:color="auto"/>
              <w:bottom w:val="single" w:sz="2" w:space="0" w:color="auto"/>
              <w:right w:val="single" w:sz="2" w:space="0" w:color="auto"/>
            </w:tcBorders>
            <w:noWrap/>
            <w:vAlign w:val="center"/>
          </w:tcPr>
          <w:p w14:paraId="1EA32569" w14:textId="77777777" w:rsidR="00E72E4F" w:rsidRPr="00EE0EF7" w:rsidRDefault="00E72E4F" w:rsidP="006C713D">
            <w:pPr>
              <w:jc w:val="right"/>
              <w:rPr>
                <w:color w:val="000000"/>
                <w:sz w:val="20"/>
                <w:szCs w:val="20"/>
                <w:lang w:val="fr-FR" w:eastAsia="en-CA"/>
              </w:rPr>
            </w:pPr>
            <w:r w:rsidRPr="00EE0EF7">
              <w:rPr>
                <w:color w:val="000000"/>
                <w:sz w:val="20"/>
                <w:szCs w:val="20"/>
                <w:lang w:val="fr-FR" w:eastAsia="fr"/>
              </w:rPr>
              <w:t>1 576,78</w:t>
            </w:r>
          </w:p>
        </w:tc>
        <w:tc>
          <w:tcPr>
            <w:tcW w:w="766" w:type="pct"/>
            <w:tcBorders>
              <w:top w:val="single" w:sz="2" w:space="0" w:color="auto"/>
              <w:left w:val="single" w:sz="2" w:space="0" w:color="auto"/>
              <w:bottom w:val="single" w:sz="2" w:space="0" w:color="auto"/>
              <w:right w:val="single" w:sz="2" w:space="0" w:color="auto"/>
            </w:tcBorders>
            <w:noWrap/>
            <w:vAlign w:val="center"/>
          </w:tcPr>
          <w:p w14:paraId="73DEDDC5" w14:textId="77777777" w:rsidR="00E72E4F" w:rsidRPr="00EE0EF7" w:rsidRDefault="00E72E4F" w:rsidP="006C713D">
            <w:pPr>
              <w:jc w:val="right"/>
              <w:rPr>
                <w:color w:val="000000"/>
                <w:sz w:val="20"/>
                <w:szCs w:val="20"/>
                <w:lang w:val="fr-FR" w:eastAsia="en-CA"/>
              </w:rPr>
            </w:pPr>
            <w:r w:rsidRPr="00EE0EF7">
              <w:rPr>
                <w:color w:val="000000"/>
                <w:sz w:val="20"/>
                <w:szCs w:val="20"/>
                <w:lang w:val="fr-FR" w:eastAsia="fr"/>
              </w:rPr>
              <w:t>86,43</w:t>
            </w:r>
          </w:p>
        </w:tc>
        <w:tc>
          <w:tcPr>
            <w:tcW w:w="774" w:type="pct"/>
            <w:tcBorders>
              <w:top w:val="single" w:sz="2" w:space="0" w:color="auto"/>
              <w:left w:val="single" w:sz="2" w:space="0" w:color="auto"/>
              <w:bottom w:val="single" w:sz="2" w:space="0" w:color="auto"/>
              <w:right w:val="single" w:sz="2" w:space="0" w:color="auto"/>
            </w:tcBorders>
            <w:noWrap/>
            <w:vAlign w:val="center"/>
          </w:tcPr>
          <w:p w14:paraId="47EECA59" w14:textId="77777777" w:rsidR="00E72E4F" w:rsidRPr="00EE0EF7" w:rsidRDefault="00E72E4F" w:rsidP="006C713D">
            <w:pPr>
              <w:jc w:val="right"/>
              <w:rPr>
                <w:color w:val="000000"/>
                <w:sz w:val="20"/>
                <w:szCs w:val="20"/>
                <w:lang w:val="fr-FR" w:eastAsia="en-CA"/>
              </w:rPr>
            </w:pPr>
            <w:r w:rsidRPr="00EE0EF7">
              <w:rPr>
                <w:color w:val="000000"/>
                <w:sz w:val="20"/>
                <w:szCs w:val="20"/>
                <w:lang w:val="fr-FR" w:eastAsia="fr"/>
              </w:rPr>
              <w:t>0</w:t>
            </w:r>
          </w:p>
        </w:tc>
        <w:tc>
          <w:tcPr>
            <w:tcW w:w="775" w:type="pct"/>
            <w:tcBorders>
              <w:top w:val="single" w:sz="2" w:space="0" w:color="auto"/>
              <w:left w:val="single" w:sz="2" w:space="0" w:color="auto"/>
              <w:bottom w:val="single" w:sz="2" w:space="0" w:color="auto"/>
              <w:right w:val="single" w:sz="2" w:space="0" w:color="auto"/>
            </w:tcBorders>
            <w:noWrap/>
            <w:vAlign w:val="center"/>
          </w:tcPr>
          <w:p w14:paraId="2ED594DF" w14:textId="77777777" w:rsidR="00E72E4F" w:rsidRPr="00EE0EF7" w:rsidRDefault="00E72E4F" w:rsidP="006C713D">
            <w:pPr>
              <w:jc w:val="right"/>
              <w:rPr>
                <w:color w:val="000000"/>
                <w:sz w:val="20"/>
                <w:szCs w:val="20"/>
                <w:lang w:val="fr-FR" w:eastAsia="en-CA"/>
              </w:rPr>
            </w:pPr>
            <w:r w:rsidRPr="00EE0EF7">
              <w:rPr>
                <w:color w:val="000000"/>
                <w:sz w:val="20"/>
                <w:szCs w:val="20"/>
                <w:lang w:val="fr-FR" w:eastAsia="fr"/>
              </w:rPr>
              <w:t>s.o.</w:t>
            </w:r>
          </w:p>
        </w:tc>
      </w:tr>
      <w:tr w:rsidR="006C713D" w:rsidRPr="00EE0EF7" w14:paraId="49C5103F" w14:textId="77777777" w:rsidTr="00A86FCC">
        <w:trPr>
          <w:trHeight w:val="162"/>
        </w:trPr>
        <w:tc>
          <w:tcPr>
            <w:tcW w:w="1919" w:type="pct"/>
            <w:tcBorders>
              <w:top w:val="single" w:sz="2" w:space="0" w:color="auto"/>
              <w:left w:val="single" w:sz="2" w:space="0" w:color="auto"/>
              <w:bottom w:val="single" w:sz="2" w:space="0" w:color="auto"/>
              <w:right w:val="single" w:sz="2" w:space="0" w:color="auto"/>
            </w:tcBorders>
            <w:noWrap/>
          </w:tcPr>
          <w:p w14:paraId="3529B17C" w14:textId="597636EE" w:rsidR="00E72E4F" w:rsidRPr="00EE0EF7" w:rsidRDefault="0088424E" w:rsidP="00E72E4F">
            <w:pPr>
              <w:jc w:val="left"/>
              <w:rPr>
                <w:b/>
                <w:bCs/>
                <w:color w:val="000000"/>
                <w:sz w:val="20"/>
                <w:szCs w:val="20"/>
                <w:lang w:val="fr-FR" w:eastAsia="en-CA"/>
              </w:rPr>
            </w:pPr>
            <w:r w:rsidRPr="00EE0EF7">
              <w:rPr>
                <w:b/>
                <w:bCs/>
                <w:color w:val="000000"/>
                <w:sz w:val="20"/>
                <w:szCs w:val="20"/>
                <w:lang w:val="fr-FR" w:eastAsia="fr"/>
              </w:rPr>
              <w:t>Total</w:t>
            </w:r>
          </w:p>
        </w:tc>
        <w:tc>
          <w:tcPr>
            <w:tcW w:w="766" w:type="pct"/>
            <w:tcBorders>
              <w:top w:val="single" w:sz="2" w:space="0" w:color="auto"/>
              <w:left w:val="single" w:sz="2" w:space="0" w:color="auto"/>
              <w:bottom w:val="single" w:sz="2" w:space="0" w:color="auto"/>
              <w:right w:val="single" w:sz="2" w:space="0" w:color="auto"/>
            </w:tcBorders>
            <w:noWrap/>
            <w:vAlign w:val="center"/>
          </w:tcPr>
          <w:p w14:paraId="1B8ABDC3" w14:textId="77777777" w:rsidR="00E72E4F" w:rsidRPr="00EE0EF7" w:rsidRDefault="00E72E4F" w:rsidP="006C713D">
            <w:pPr>
              <w:jc w:val="right"/>
              <w:rPr>
                <w:b/>
                <w:bCs/>
                <w:color w:val="000000"/>
                <w:sz w:val="20"/>
                <w:szCs w:val="20"/>
                <w:lang w:val="fr-FR" w:eastAsia="en-CA"/>
              </w:rPr>
            </w:pPr>
            <w:r w:rsidRPr="00EE0EF7">
              <w:rPr>
                <w:b/>
                <w:bCs/>
                <w:color w:val="000000"/>
                <w:sz w:val="20"/>
                <w:szCs w:val="20"/>
                <w:lang w:val="fr-FR" w:eastAsia="fr"/>
              </w:rPr>
              <w:t>3 288,08</w:t>
            </w:r>
          </w:p>
        </w:tc>
        <w:tc>
          <w:tcPr>
            <w:tcW w:w="766" w:type="pct"/>
            <w:tcBorders>
              <w:top w:val="single" w:sz="2" w:space="0" w:color="auto"/>
              <w:left w:val="single" w:sz="2" w:space="0" w:color="auto"/>
              <w:bottom w:val="single" w:sz="2" w:space="0" w:color="auto"/>
              <w:right w:val="single" w:sz="2" w:space="0" w:color="auto"/>
            </w:tcBorders>
            <w:noWrap/>
            <w:vAlign w:val="center"/>
          </w:tcPr>
          <w:p w14:paraId="349EA1E8" w14:textId="77777777" w:rsidR="00E72E4F" w:rsidRPr="00EE0EF7" w:rsidRDefault="00E72E4F" w:rsidP="006C713D">
            <w:pPr>
              <w:jc w:val="right"/>
              <w:rPr>
                <w:b/>
                <w:bCs/>
                <w:color w:val="000000"/>
                <w:sz w:val="20"/>
                <w:szCs w:val="20"/>
                <w:lang w:val="fr-FR" w:eastAsia="en-CA"/>
              </w:rPr>
            </w:pPr>
            <w:r w:rsidRPr="00EE0EF7">
              <w:rPr>
                <w:b/>
                <w:bCs/>
                <w:color w:val="000000"/>
                <w:sz w:val="20"/>
                <w:szCs w:val="20"/>
                <w:lang w:val="fr-FR" w:eastAsia="fr"/>
              </w:rPr>
              <w:t>178,79</w:t>
            </w:r>
          </w:p>
        </w:tc>
        <w:tc>
          <w:tcPr>
            <w:tcW w:w="774" w:type="pct"/>
            <w:tcBorders>
              <w:top w:val="single" w:sz="2" w:space="0" w:color="auto"/>
              <w:left w:val="single" w:sz="2" w:space="0" w:color="auto"/>
              <w:bottom w:val="single" w:sz="2" w:space="0" w:color="auto"/>
              <w:right w:val="single" w:sz="2" w:space="0" w:color="auto"/>
            </w:tcBorders>
            <w:noWrap/>
            <w:vAlign w:val="center"/>
          </w:tcPr>
          <w:p w14:paraId="44B6005F" w14:textId="77777777" w:rsidR="00E72E4F" w:rsidRPr="00EE0EF7" w:rsidRDefault="00E72E4F" w:rsidP="006C713D">
            <w:pPr>
              <w:jc w:val="right"/>
              <w:rPr>
                <w:b/>
                <w:bCs/>
                <w:color w:val="000000"/>
                <w:sz w:val="20"/>
                <w:szCs w:val="20"/>
                <w:lang w:val="fr-FR" w:eastAsia="en-CA"/>
              </w:rPr>
            </w:pPr>
            <w:r w:rsidRPr="00EE0EF7">
              <w:rPr>
                <w:b/>
                <w:bCs/>
                <w:color w:val="000000"/>
                <w:sz w:val="20"/>
                <w:szCs w:val="20"/>
                <w:lang w:val="fr-FR" w:eastAsia="fr"/>
              </w:rPr>
              <w:t>9 244 015</w:t>
            </w:r>
          </w:p>
        </w:tc>
        <w:tc>
          <w:tcPr>
            <w:tcW w:w="775" w:type="pct"/>
            <w:tcBorders>
              <w:top w:val="single" w:sz="2" w:space="0" w:color="auto"/>
              <w:left w:val="single" w:sz="2" w:space="0" w:color="auto"/>
              <w:bottom w:val="single" w:sz="2" w:space="0" w:color="auto"/>
              <w:right w:val="single" w:sz="2" w:space="0" w:color="auto"/>
            </w:tcBorders>
            <w:noWrap/>
            <w:vAlign w:val="center"/>
          </w:tcPr>
          <w:p w14:paraId="1539141B" w14:textId="77777777" w:rsidR="00E72E4F" w:rsidRPr="00EE0EF7" w:rsidRDefault="00E72E4F" w:rsidP="006C713D">
            <w:pPr>
              <w:jc w:val="right"/>
              <w:rPr>
                <w:b/>
                <w:bCs/>
                <w:color w:val="000000"/>
                <w:sz w:val="20"/>
                <w:szCs w:val="20"/>
                <w:lang w:val="fr-FR" w:eastAsia="en-CA"/>
              </w:rPr>
            </w:pPr>
            <w:r w:rsidRPr="00EE0EF7">
              <w:rPr>
                <w:b/>
                <w:bCs/>
                <w:color w:val="000000"/>
                <w:sz w:val="20"/>
                <w:szCs w:val="20"/>
                <w:lang w:val="fr-FR" w:eastAsia="fr"/>
              </w:rPr>
              <w:t>2,81</w:t>
            </w:r>
          </w:p>
        </w:tc>
      </w:tr>
    </w:tbl>
    <w:p w14:paraId="280D22D2" w14:textId="77777777" w:rsidR="00C74282" w:rsidRPr="00EE0EF7" w:rsidRDefault="00C74282" w:rsidP="00C74282">
      <w:pPr>
        <w:keepNext/>
        <w:spacing w:before="240" w:after="240"/>
        <w:rPr>
          <w:lang w:val="fr-FR"/>
        </w:rPr>
      </w:pPr>
      <w:bookmarkStart w:id="15" w:name="_Hlk126916178"/>
      <w:r w:rsidRPr="00EE0EF7">
        <w:rPr>
          <w:u w:val="single"/>
          <w:lang w:val="fr-FR"/>
        </w:rPr>
        <w:t>Plan de mise en œuvre de la première tranche de la phase III du plan de gestion de l'élimination des HCFC, tel que convenu</w:t>
      </w:r>
    </w:p>
    <w:p w14:paraId="1AFD9547" w14:textId="2F4928DB" w:rsidR="00C74282" w:rsidRPr="00EE0EF7" w:rsidRDefault="00C74282" w:rsidP="00C74282">
      <w:pPr>
        <w:spacing w:after="240"/>
        <w:rPr>
          <w:lang w:val="fr-FR"/>
        </w:rPr>
      </w:pPr>
      <w:r w:rsidRPr="00267679">
        <w:rPr>
          <w:lang w:val="fr-FR"/>
        </w:rPr>
        <w:t>36.</w:t>
      </w:r>
      <w:r w:rsidRPr="00EE0EF7">
        <w:rPr>
          <w:lang w:val="fr-FR"/>
        </w:rPr>
        <w:tab/>
        <w:t>Le plan d’action convenu pour la première tranche est inclus dans le tableau 6.</w:t>
      </w:r>
    </w:p>
    <w:p w14:paraId="0D54871C" w14:textId="4909C2FF" w:rsidR="00C74282" w:rsidRPr="00EE0EF7" w:rsidRDefault="00C74282" w:rsidP="00CF7F76">
      <w:pPr>
        <w:keepNext/>
        <w:spacing w:before="240"/>
        <w:rPr>
          <w:b/>
          <w:bCs/>
          <w:lang w:val="fr-FR"/>
        </w:rPr>
      </w:pPr>
      <w:r w:rsidRPr="00EE0EF7">
        <w:rPr>
          <w:b/>
          <w:bCs/>
          <w:sz w:val="24"/>
          <w:szCs w:val="24"/>
          <w:lang w:val="fr-FR" w:eastAsia="fr"/>
        </w:rPr>
        <w:t xml:space="preserve">Tableau 6. Plan de mise en œuvre convenu pour la première tranche de la phase III du </w:t>
      </w:r>
      <w:r w:rsidR="00EE0EF7">
        <w:rPr>
          <w:b/>
          <w:bCs/>
          <w:sz w:val="24"/>
          <w:szCs w:val="24"/>
          <w:lang w:val="fr-FR" w:eastAsia="fr"/>
        </w:rPr>
        <w:t>PGEH</w:t>
      </w:r>
    </w:p>
    <w:tbl>
      <w:tblPr>
        <w:tblStyle w:val="1"/>
        <w:tblW w:w="5000" w:type="pct"/>
        <w:tblCellMar>
          <w:top w:w="28" w:type="dxa"/>
          <w:bottom w:w="28" w:type="dxa"/>
        </w:tblCellMar>
        <w:tblLook w:val="04A0" w:firstRow="1" w:lastRow="0" w:firstColumn="1" w:lastColumn="0" w:noHBand="0" w:noVBand="1"/>
      </w:tblPr>
      <w:tblGrid>
        <w:gridCol w:w="8415"/>
        <w:gridCol w:w="1025"/>
      </w:tblGrid>
      <w:tr w:rsidR="00C74282" w:rsidRPr="00EE0EF7" w14:paraId="00AE852D" w14:textId="77777777" w:rsidTr="00CF7F76">
        <w:trPr>
          <w:trHeight w:val="23"/>
          <w:tblHeader/>
        </w:trPr>
        <w:tc>
          <w:tcPr>
            <w:tcW w:w="4457" w:type="pct"/>
            <w:tcBorders>
              <w:top w:val="single" w:sz="4" w:space="0" w:color="auto"/>
              <w:left w:val="single" w:sz="4" w:space="0" w:color="auto"/>
              <w:bottom w:val="single" w:sz="4" w:space="0" w:color="auto"/>
              <w:right w:val="single" w:sz="4" w:space="0" w:color="auto"/>
            </w:tcBorders>
            <w:tcMar>
              <w:top w:w="57" w:type="dxa"/>
              <w:bottom w:w="57" w:type="dxa"/>
            </w:tcMar>
            <w:vAlign w:val="center"/>
            <w:hideMark/>
          </w:tcPr>
          <w:p w14:paraId="7ECFE721" w14:textId="10EC09B5" w:rsidR="00C74282" w:rsidRPr="00EE0EF7" w:rsidRDefault="00F6053B" w:rsidP="00CF7F76">
            <w:pPr>
              <w:keepNext/>
              <w:jc w:val="center"/>
              <w:rPr>
                <w:b/>
                <w:bCs/>
                <w:sz w:val="20"/>
                <w:szCs w:val="20"/>
                <w:lang w:val="fr-FR" w:eastAsia="en-GB"/>
              </w:rPr>
            </w:pPr>
            <w:bookmarkStart w:id="16" w:name="_Hlk214234251"/>
            <w:r w:rsidRPr="00EE0EF7">
              <w:rPr>
                <w:b/>
                <w:bCs/>
                <w:sz w:val="20"/>
                <w:szCs w:val="20"/>
                <w:lang w:val="fr-FR" w:eastAsia="fr"/>
              </w:rPr>
              <w:t>Composant / Activité</w:t>
            </w:r>
          </w:p>
        </w:tc>
        <w:tc>
          <w:tcPr>
            <w:tcW w:w="543" w:type="pct"/>
            <w:tcBorders>
              <w:top w:val="single" w:sz="4" w:space="0" w:color="auto"/>
              <w:left w:val="single" w:sz="4" w:space="0" w:color="auto"/>
              <w:bottom w:val="single" w:sz="4" w:space="0" w:color="auto"/>
              <w:right w:val="single" w:sz="4" w:space="0" w:color="auto"/>
            </w:tcBorders>
            <w:tcMar>
              <w:top w:w="57" w:type="dxa"/>
              <w:bottom w:w="57" w:type="dxa"/>
            </w:tcMar>
            <w:vAlign w:val="center"/>
            <w:hideMark/>
          </w:tcPr>
          <w:p w14:paraId="08E2D268" w14:textId="77777777" w:rsidR="00C74282" w:rsidRPr="00EE0EF7" w:rsidRDefault="00C74282" w:rsidP="00CF7F76">
            <w:pPr>
              <w:keepNext/>
              <w:jc w:val="center"/>
              <w:rPr>
                <w:b/>
                <w:bCs/>
                <w:sz w:val="20"/>
                <w:szCs w:val="20"/>
                <w:lang w:val="fr-FR" w:eastAsia="en-GB"/>
              </w:rPr>
            </w:pPr>
            <w:r w:rsidRPr="00EE0EF7">
              <w:rPr>
                <w:b/>
                <w:bCs/>
                <w:sz w:val="20"/>
                <w:szCs w:val="20"/>
                <w:lang w:val="fr-FR" w:eastAsia="fr"/>
              </w:rPr>
              <w:t>Coûts ($US)</w:t>
            </w:r>
          </w:p>
        </w:tc>
      </w:tr>
      <w:tr w:rsidR="00C74282" w:rsidRPr="00CE7B9D" w14:paraId="6E262240" w14:textId="77777777" w:rsidTr="00CF7F76">
        <w:trPr>
          <w:trHeight w:val="227"/>
        </w:trPr>
        <w:tc>
          <w:tcPr>
            <w:tcW w:w="5000" w:type="pct"/>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hideMark/>
          </w:tcPr>
          <w:p w14:paraId="4237B4F6" w14:textId="77777777" w:rsidR="00C74282" w:rsidRPr="00EE0EF7" w:rsidRDefault="00C74282" w:rsidP="00CF7F76">
            <w:pPr>
              <w:keepNext/>
              <w:shd w:val="clear" w:color="auto" w:fill="FFFFFF" w:themeFill="background1"/>
              <w:contextualSpacing/>
              <w:jc w:val="left"/>
              <w:rPr>
                <w:b/>
                <w:bCs/>
                <w:i/>
                <w:iCs/>
                <w:sz w:val="20"/>
                <w:szCs w:val="20"/>
                <w:lang w:val="fr-FR" w:eastAsia="en-GB"/>
              </w:rPr>
            </w:pPr>
            <w:r w:rsidRPr="00EE0EF7">
              <w:rPr>
                <w:b/>
                <w:bCs/>
                <w:i/>
                <w:iCs/>
                <w:sz w:val="20"/>
                <w:szCs w:val="20"/>
                <w:lang w:val="fr-FR" w:eastAsia="fr"/>
              </w:rPr>
              <w:t>Fabrication de systèmes de réfrigération à usage commercial</w:t>
            </w:r>
          </w:p>
        </w:tc>
      </w:tr>
      <w:tr w:rsidR="00C74282" w:rsidRPr="00EE0EF7" w14:paraId="48F9C7D6" w14:textId="77777777" w:rsidTr="00CF7F76">
        <w:tc>
          <w:tcPr>
            <w:tcW w:w="4457" w:type="pct"/>
            <w:tcBorders>
              <w:top w:val="single" w:sz="4" w:space="0" w:color="auto"/>
              <w:left w:val="single" w:sz="4" w:space="0" w:color="auto"/>
              <w:bottom w:val="single" w:sz="4" w:space="0" w:color="auto"/>
              <w:right w:val="single" w:sz="4" w:space="0" w:color="auto"/>
            </w:tcBorders>
            <w:tcMar>
              <w:top w:w="57" w:type="dxa"/>
              <w:bottom w:w="57" w:type="dxa"/>
            </w:tcMar>
            <w:vAlign w:val="center"/>
            <w:hideMark/>
          </w:tcPr>
          <w:p w14:paraId="47FCD13C" w14:textId="1468310D" w:rsidR="00C74282" w:rsidRPr="00EE0EF7" w:rsidRDefault="00C74282" w:rsidP="0039023A">
            <w:pPr>
              <w:rPr>
                <w:sz w:val="20"/>
                <w:szCs w:val="20"/>
                <w:lang w:val="fr-FR" w:eastAsia="en-GB"/>
              </w:rPr>
            </w:pPr>
            <w:r w:rsidRPr="00EE0EF7">
              <w:rPr>
                <w:sz w:val="20"/>
                <w:szCs w:val="20"/>
                <w:lang w:val="fr-FR" w:eastAsia="fr"/>
              </w:rPr>
              <w:t>Fournir une assistance technique à 11 PME par l'intermédiaire d'experts nationaux ; réaliser des visites de diagnostic et un accompagnement sur site ; organiser 4 ateliers sur la manipulation en toute sécurité des frigorigènes inflammables ; dispenser des formations sur mesure ; élaborer un cahier des charges ; et lancer l'acquisition d'équipements</w:t>
            </w:r>
          </w:p>
        </w:tc>
        <w:tc>
          <w:tcPr>
            <w:tcW w:w="543"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8F3B87F" w14:textId="77777777" w:rsidR="00C74282" w:rsidRPr="00EE0EF7" w:rsidRDefault="00C74282">
            <w:pPr>
              <w:jc w:val="right"/>
              <w:rPr>
                <w:b/>
                <w:bCs/>
                <w:sz w:val="20"/>
                <w:szCs w:val="20"/>
                <w:lang w:val="fr-FR" w:eastAsia="en-GB"/>
              </w:rPr>
            </w:pPr>
            <w:r w:rsidRPr="00EE0EF7">
              <w:rPr>
                <w:b/>
                <w:bCs/>
                <w:sz w:val="20"/>
                <w:szCs w:val="20"/>
                <w:lang w:val="fr-FR" w:eastAsia="fr"/>
              </w:rPr>
              <w:t>324 000</w:t>
            </w:r>
          </w:p>
        </w:tc>
      </w:tr>
      <w:tr w:rsidR="00C74282" w:rsidRPr="00EE0EF7" w14:paraId="549DA9EF" w14:textId="77777777" w:rsidTr="00CF7F76">
        <w:trPr>
          <w:trHeight w:val="227"/>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themeFill="background1"/>
            <w:tcMar>
              <w:top w:w="57" w:type="dxa"/>
              <w:bottom w:w="57" w:type="dxa"/>
            </w:tcMar>
            <w:vAlign w:val="center"/>
            <w:hideMark/>
          </w:tcPr>
          <w:p w14:paraId="31744591" w14:textId="7C5E9D63" w:rsidR="00C74282" w:rsidRPr="00EE0EF7" w:rsidRDefault="00C74282">
            <w:pPr>
              <w:shd w:val="clear" w:color="auto" w:fill="FFFFFF" w:themeFill="background1"/>
              <w:contextualSpacing/>
              <w:jc w:val="left"/>
              <w:rPr>
                <w:i/>
                <w:iCs/>
                <w:sz w:val="20"/>
                <w:szCs w:val="20"/>
                <w:lang w:val="fr-FR" w:eastAsia="en-GB"/>
              </w:rPr>
            </w:pPr>
            <w:r w:rsidRPr="00EE0EF7">
              <w:rPr>
                <w:b/>
                <w:bCs/>
                <w:i/>
                <w:iCs/>
                <w:sz w:val="20"/>
                <w:szCs w:val="20"/>
                <w:lang w:val="fr-FR" w:eastAsia="fr"/>
              </w:rPr>
              <w:t>Lutte contre l'incendie</w:t>
            </w:r>
          </w:p>
        </w:tc>
      </w:tr>
      <w:tr w:rsidR="00C74282" w:rsidRPr="00EE0EF7" w14:paraId="04F31325" w14:textId="77777777" w:rsidTr="00CF7F76">
        <w:tc>
          <w:tcPr>
            <w:tcW w:w="4457" w:type="pct"/>
            <w:tcBorders>
              <w:top w:val="single" w:sz="4" w:space="0" w:color="auto"/>
              <w:left w:val="single" w:sz="4" w:space="0" w:color="auto"/>
              <w:bottom w:val="single" w:sz="4" w:space="0" w:color="auto"/>
              <w:right w:val="single" w:sz="4" w:space="0" w:color="auto"/>
            </w:tcBorders>
            <w:tcMar>
              <w:top w:w="57" w:type="dxa"/>
              <w:bottom w:w="57" w:type="dxa"/>
            </w:tcMar>
            <w:vAlign w:val="center"/>
            <w:hideMark/>
          </w:tcPr>
          <w:p w14:paraId="3F8D22FF" w14:textId="01E3BB57" w:rsidR="00C74282" w:rsidRPr="00EE0EF7" w:rsidRDefault="00A16D70" w:rsidP="0039023A">
            <w:pPr>
              <w:rPr>
                <w:sz w:val="20"/>
                <w:szCs w:val="20"/>
                <w:lang w:val="fr-FR" w:eastAsia="en-GB"/>
              </w:rPr>
            </w:pPr>
            <w:r w:rsidRPr="00EE0EF7">
              <w:rPr>
                <w:sz w:val="20"/>
                <w:szCs w:val="20"/>
                <w:lang w:val="fr-FR" w:eastAsia="fr"/>
              </w:rPr>
              <w:t>Réaliser une évaluation technique et préparer des documents d'orientation ; former les fabricants ; moderniser les équipements des installations ; tester des prototypes d'extincteurs ; préparer des rapports de validation ; et lancer la fabrication d'</w:t>
            </w:r>
            <w:r w:rsidR="00C74282" w:rsidRPr="00EE0EF7">
              <w:rPr>
                <w:sz w:val="20"/>
                <w:szCs w:val="20"/>
                <w:lang w:val="fr-FR" w:eastAsia="fr"/>
              </w:rPr>
              <w:t>extincteurs sans</w:t>
            </w:r>
            <w:r w:rsidRPr="00EE0EF7">
              <w:rPr>
                <w:sz w:val="20"/>
                <w:szCs w:val="20"/>
                <w:lang w:val="fr-FR" w:eastAsia="fr"/>
              </w:rPr>
              <w:t xml:space="preserve"> HCFC.</w:t>
            </w:r>
          </w:p>
        </w:tc>
        <w:tc>
          <w:tcPr>
            <w:tcW w:w="543"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4845D11" w14:textId="77777777" w:rsidR="00C74282" w:rsidRPr="00EE0EF7" w:rsidRDefault="00C74282">
            <w:pPr>
              <w:jc w:val="right"/>
              <w:rPr>
                <w:b/>
                <w:bCs/>
                <w:sz w:val="20"/>
                <w:szCs w:val="20"/>
                <w:lang w:val="fr-FR" w:eastAsia="en-GB"/>
              </w:rPr>
            </w:pPr>
            <w:r w:rsidRPr="00EE0EF7">
              <w:rPr>
                <w:b/>
                <w:bCs/>
                <w:sz w:val="20"/>
                <w:szCs w:val="20"/>
                <w:lang w:val="fr-FR" w:eastAsia="fr"/>
              </w:rPr>
              <w:t>141 000</w:t>
            </w:r>
          </w:p>
        </w:tc>
      </w:tr>
      <w:tr w:rsidR="00C74282" w:rsidRPr="00CE7B9D" w14:paraId="2C248BB0" w14:textId="77777777" w:rsidTr="00CF7F76">
        <w:trPr>
          <w:trHeight w:val="227"/>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themeFill="background1"/>
            <w:tcMar>
              <w:top w:w="57" w:type="dxa"/>
              <w:bottom w:w="57" w:type="dxa"/>
            </w:tcMar>
            <w:vAlign w:val="center"/>
            <w:hideMark/>
          </w:tcPr>
          <w:p w14:paraId="7C322E3B" w14:textId="77777777" w:rsidR="00C74282" w:rsidRPr="00EE0EF7" w:rsidRDefault="00C74282" w:rsidP="00A86FCC">
            <w:pPr>
              <w:keepNext/>
              <w:shd w:val="clear" w:color="auto" w:fill="FFFFFF" w:themeFill="background1"/>
              <w:contextualSpacing/>
              <w:jc w:val="left"/>
              <w:rPr>
                <w:b/>
                <w:bCs/>
                <w:i/>
                <w:iCs/>
                <w:sz w:val="20"/>
                <w:szCs w:val="20"/>
                <w:lang w:val="fr-FR" w:eastAsia="en-GB"/>
              </w:rPr>
            </w:pPr>
            <w:r w:rsidRPr="00EE0EF7">
              <w:rPr>
                <w:b/>
                <w:bCs/>
                <w:i/>
                <w:iCs/>
                <w:sz w:val="20"/>
                <w:szCs w:val="20"/>
                <w:lang w:val="fr-FR" w:eastAsia="fr"/>
              </w:rPr>
              <w:t>Secteur des services (y compris les aérosols)</w:t>
            </w:r>
          </w:p>
        </w:tc>
      </w:tr>
      <w:tr w:rsidR="00C74282" w:rsidRPr="00EE0EF7" w14:paraId="3B6A9C67" w14:textId="77777777" w:rsidTr="00CF7F76">
        <w:tc>
          <w:tcPr>
            <w:tcW w:w="4457"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10FBB54" w14:textId="76BBAE51" w:rsidR="00C74282" w:rsidRPr="00EE0EF7" w:rsidRDefault="00C74282" w:rsidP="0039023A">
            <w:pPr>
              <w:rPr>
                <w:sz w:val="20"/>
                <w:szCs w:val="20"/>
                <w:lang w:val="fr-FR" w:eastAsia="en-GB"/>
              </w:rPr>
            </w:pPr>
            <w:r w:rsidRPr="00EE0EF7">
              <w:rPr>
                <w:b/>
                <w:bCs/>
                <w:i/>
                <w:iCs/>
                <w:sz w:val="20"/>
                <w:szCs w:val="20"/>
                <w:u w:val="single"/>
                <w:lang w:val="fr-FR" w:eastAsia="fr"/>
              </w:rPr>
              <w:t>Renforcement du cadre juridique et institutionnel :</w:t>
            </w:r>
            <w:r w:rsidRPr="00EE0EF7">
              <w:rPr>
                <w:sz w:val="24"/>
                <w:szCs w:val="24"/>
                <w:lang w:val="fr-FR" w:eastAsia="fr"/>
              </w:rPr>
              <w:t xml:space="preserve"> </w:t>
            </w:r>
            <w:r w:rsidRPr="00EE0EF7">
              <w:rPr>
                <w:sz w:val="20"/>
                <w:szCs w:val="20"/>
                <w:lang w:val="fr-FR" w:eastAsia="fr"/>
              </w:rPr>
              <w:t>Élaborer, adopter et appliquer des interdictions concernant</w:t>
            </w:r>
            <w:r w:rsidR="0039023A" w:rsidRPr="00EE0EF7">
              <w:rPr>
                <w:sz w:val="20"/>
                <w:szCs w:val="20"/>
                <w:lang w:val="fr-FR" w:eastAsia="fr"/>
              </w:rPr>
              <w:noBreakHyphen/>
            </w:r>
            <w:r w:rsidRPr="00EE0EF7">
              <w:rPr>
                <w:sz w:val="20"/>
                <w:szCs w:val="20"/>
                <w:lang w:val="fr-FR" w:eastAsia="fr"/>
              </w:rPr>
              <w:t>les équipements à base de HCFC ; réglementer et contrôler la production de HCFC conformément au calendrier d’élimination progressive ; et mener des consultations auprès des parties prenantes.</w:t>
            </w:r>
          </w:p>
        </w:tc>
        <w:tc>
          <w:tcPr>
            <w:tcW w:w="543"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3923792" w14:textId="77777777" w:rsidR="00C74282" w:rsidRPr="00EE0EF7" w:rsidRDefault="00C74282">
            <w:pPr>
              <w:jc w:val="right"/>
              <w:rPr>
                <w:sz w:val="20"/>
                <w:szCs w:val="20"/>
                <w:lang w:val="fr-FR" w:eastAsia="en-GB"/>
              </w:rPr>
            </w:pPr>
            <w:r w:rsidRPr="00EE0EF7">
              <w:rPr>
                <w:sz w:val="20"/>
                <w:szCs w:val="20"/>
                <w:lang w:val="fr-FR" w:eastAsia="fr"/>
              </w:rPr>
              <w:t>20 000</w:t>
            </w:r>
          </w:p>
        </w:tc>
      </w:tr>
      <w:tr w:rsidR="00C74282" w:rsidRPr="00EE0EF7" w14:paraId="70730C0D" w14:textId="77777777" w:rsidTr="00CF7F76">
        <w:tc>
          <w:tcPr>
            <w:tcW w:w="4457"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3FEF663" w14:textId="2E0EC9D5" w:rsidR="00C74282" w:rsidRPr="00EE0EF7" w:rsidRDefault="00C74282" w:rsidP="0039023A">
            <w:pPr>
              <w:rPr>
                <w:sz w:val="20"/>
                <w:szCs w:val="20"/>
                <w:lang w:val="fr-FR" w:eastAsia="en-GB"/>
              </w:rPr>
            </w:pPr>
            <w:r w:rsidRPr="00EE0EF7">
              <w:rPr>
                <w:b/>
                <w:bCs/>
                <w:i/>
                <w:iCs/>
                <w:sz w:val="20"/>
                <w:szCs w:val="20"/>
                <w:u w:val="single"/>
                <w:lang w:val="fr-FR" w:eastAsia="fr"/>
              </w:rPr>
              <w:t>Renforcement des capacités nationales de contrôle des douanes et du commerce</w:t>
            </w:r>
            <w:r w:rsidRPr="00EE0EF7">
              <w:rPr>
                <w:i/>
                <w:iCs/>
                <w:sz w:val="20"/>
                <w:szCs w:val="20"/>
                <w:u w:val="single"/>
                <w:lang w:val="fr-FR" w:eastAsia="fr"/>
              </w:rPr>
              <w:t>:</w:t>
            </w:r>
            <w:r w:rsidR="000321E8" w:rsidRPr="00EE0EF7">
              <w:rPr>
                <w:i/>
                <w:iCs/>
                <w:sz w:val="20"/>
                <w:szCs w:val="20"/>
                <w:u w:val="single"/>
                <w:lang w:val="fr-FR" w:eastAsia="fr"/>
              </w:rPr>
              <w:t xml:space="preserve"> </w:t>
            </w:r>
            <w:r w:rsidRPr="00EE0EF7">
              <w:rPr>
                <w:sz w:val="20"/>
                <w:szCs w:val="20"/>
                <w:lang w:val="fr-FR" w:eastAsia="fr"/>
              </w:rPr>
              <w:t xml:space="preserve">Organiser des sessions de formation actualisées dans les principaux ports et villes ; organiser des réunions de coordination avec les institutions chargées de l’application de la loi ; former au moins 50 agents des douanes et </w:t>
            </w:r>
            <w:r w:rsidR="000321E8" w:rsidRPr="00EE0EF7">
              <w:rPr>
                <w:sz w:val="20"/>
                <w:szCs w:val="20"/>
                <w:lang w:val="fr-FR" w:eastAsia="fr"/>
              </w:rPr>
              <w:t>des forces de l’ordre</w:t>
            </w:r>
            <w:r w:rsidRPr="00EE0EF7">
              <w:rPr>
                <w:sz w:val="20"/>
                <w:szCs w:val="20"/>
                <w:lang w:val="fr-FR" w:eastAsia="fr"/>
              </w:rPr>
              <w:t> ; et élaborer un plan d’action conjoint pour prévenir l</w:t>
            </w:r>
            <w:r w:rsidR="000321E8" w:rsidRPr="00EE0EF7">
              <w:rPr>
                <w:sz w:val="20"/>
                <w:szCs w:val="20"/>
                <w:lang w:val="fr-FR" w:eastAsia="fr"/>
              </w:rPr>
              <w:t>a contrebande.</w:t>
            </w:r>
          </w:p>
        </w:tc>
        <w:tc>
          <w:tcPr>
            <w:tcW w:w="543"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73ED4B5" w14:textId="77777777" w:rsidR="00C74282" w:rsidRPr="00EE0EF7" w:rsidRDefault="00C74282">
            <w:pPr>
              <w:jc w:val="right"/>
              <w:rPr>
                <w:sz w:val="20"/>
                <w:szCs w:val="20"/>
                <w:lang w:val="fr-FR" w:eastAsia="en-GB"/>
              </w:rPr>
            </w:pPr>
            <w:r w:rsidRPr="00EE0EF7">
              <w:rPr>
                <w:sz w:val="20"/>
                <w:szCs w:val="20"/>
                <w:lang w:val="fr-FR" w:eastAsia="fr"/>
              </w:rPr>
              <w:t>16 800</w:t>
            </w:r>
          </w:p>
        </w:tc>
      </w:tr>
      <w:tr w:rsidR="00C74282" w:rsidRPr="00EE0EF7" w14:paraId="7F5E4692" w14:textId="77777777" w:rsidTr="00CF7F76">
        <w:tc>
          <w:tcPr>
            <w:tcW w:w="4457"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8A248EF" w14:textId="0861BBE9" w:rsidR="00C74282" w:rsidRPr="00EE0EF7" w:rsidRDefault="00C74282" w:rsidP="0039023A">
            <w:pPr>
              <w:rPr>
                <w:sz w:val="20"/>
                <w:szCs w:val="20"/>
                <w:lang w:val="fr-FR" w:eastAsia="en-GB"/>
              </w:rPr>
            </w:pPr>
            <w:r w:rsidRPr="00EE0EF7">
              <w:rPr>
                <w:b/>
                <w:bCs/>
                <w:i/>
                <w:iCs/>
                <w:sz w:val="20"/>
                <w:szCs w:val="20"/>
                <w:u w:val="single"/>
                <w:lang w:val="fr-FR" w:eastAsia="fr"/>
              </w:rPr>
              <w:t xml:space="preserve">Formation, certification et équipement des techniciens </w:t>
            </w:r>
            <w:r w:rsidRPr="00EE0EF7">
              <w:rPr>
                <w:b/>
                <w:bCs/>
                <w:i/>
                <w:iCs/>
                <w:sz w:val="20"/>
                <w:szCs w:val="20"/>
                <w:lang w:val="fr-FR" w:eastAsia="fr"/>
              </w:rPr>
              <w:t>:</w:t>
            </w:r>
            <w:r w:rsidRPr="00EE0EF7">
              <w:rPr>
                <w:i/>
                <w:iCs/>
                <w:sz w:val="20"/>
                <w:szCs w:val="20"/>
                <w:lang w:val="fr-FR" w:eastAsia="fr"/>
              </w:rPr>
              <w:t xml:space="preserve"> </w:t>
            </w:r>
            <w:r w:rsidRPr="00EE0EF7">
              <w:rPr>
                <w:sz w:val="20"/>
                <w:szCs w:val="20"/>
                <w:lang w:val="fr-FR" w:eastAsia="fr"/>
              </w:rPr>
              <w:t>Former et certifier 400 techniciens ; distribuer 100 panoplies d'outils d'entretien ; et assurer le suivi des activités de formation et de certification.</w:t>
            </w:r>
          </w:p>
        </w:tc>
        <w:tc>
          <w:tcPr>
            <w:tcW w:w="543"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4D4B631" w14:textId="77777777" w:rsidR="00C74282" w:rsidRPr="00EE0EF7" w:rsidRDefault="00C74282">
            <w:pPr>
              <w:jc w:val="right"/>
              <w:rPr>
                <w:sz w:val="20"/>
                <w:szCs w:val="20"/>
                <w:lang w:val="fr-FR" w:eastAsia="en-GB"/>
              </w:rPr>
            </w:pPr>
            <w:r w:rsidRPr="00EE0EF7">
              <w:rPr>
                <w:sz w:val="20"/>
                <w:szCs w:val="20"/>
                <w:lang w:val="fr-FR" w:eastAsia="fr"/>
              </w:rPr>
              <w:t>397 800</w:t>
            </w:r>
          </w:p>
        </w:tc>
      </w:tr>
      <w:tr w:rsidR="00C74282" w:rsidRPr="00EE0EF7" w14:paraId="4659E124" w14:textId="77777777" w:rsidTr="00CF7F76">
        <w:tc>
          <w:tcPr>
            <w:tcW w:w="4457"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EC647E6" w14:textId="1D312AF4" w:rsidR="00C74282" w:rsidRPr="00EE0EF7" w:rsidRDefault="00C74282">
            <w:pPr>
              <w:rPr>
                <w:sz w:val="20"/>
                <w:szCs w:val="20"/>
                <w:lang w:val="fr-FR" w:eastAsia="en-GB"/>
              </w:rPr>
            </w:pPr>
            <w:r w:rsidRPr="00EE0EF7">
              <w:rPr>
                <w:b/>
                <w:bCs/>
                <w:i/>
                <w:iCs/>
                <w:sz w:val="20"/>
                <w:szCs w:val="20"/>
                <w:u w:val="single"/>
                <w:lang w:val="fr-FR" w:eastAsia="fr"/>
              </w:rPr>
              <w:t>Programme d'incitation pour accélérer l'élimination progressive des HCFC dans les supermarchés :</w:t>
            </w:r>
            <w:r w:rsidRPr="00EE0EF7">
              <w:rPr>
                <w:sz w:val="20"/>
                <w:szCs w:val="20"/>
                <w:lang w:val="fr-FR" w:eastAsia="fr"/>
              </w:rPr>
              <w:t xml:space="preserve"> Mener des consultations avec les parties prenantes ; organiser un atelier ; publier l'annonce du programme ; recueillir et évaluer les offres des supermarchés ; préparer les cahiers des charges ; recevoir et évaluer les offres relatives à l'acquisition d'équipements.</w:t>
            </w:r>
          </w:p>
        </w:tc>
        <w:tc>
          <w:tcPr>
            <w:tcW w:w="543"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7C11BF1" w14:textId="77777777" w:rsidR="00C74282" w:rsidRPr="00EE0EF7" w:rsidRDefault="00C74282">
            <w:pPr>
              <w:jc w:val="right"/>
              <w:rPr>
                <w:sz w:val="20"/>
                <w:szCs w:val="20"/>
                <w:lang w:val="fr-FR" w:eastAsia="en-GB"/>
              </w:rPr>
            </w:pPr>
            <w:r w:rsidRPr="00EE0EF7">
              <w:rPr>
                <w:sz w:val="20"/>
                <w:szCs w:val="20"/>
                <w:lang w:val="fr-FR" w:eastAsia="fr"/>
              </w:rPr>
              <w:t>800 000</w:t>
            </w:r>
          </w:p>
        </w:tc>
      </w:tr>
      <w:tr w:rsidR="00C74282" w:rsidRPr="00EE0EF7" w14:paraId="26C413F2" w14:textId="77777777" w:rsidTr="00CF7F76">
        <w:tc>
          <w:tcPr>
            <w:tcW w:w="4457"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11EEDD6" w14:textId="16295FB9" w:rsidR="00C74282" w:rsidRPr="00EE0EF7" w:rsidRDefault="00C74282">
            <w:pPr>
              <w:rPr>
                <w:sz w:val="20"/>
                <w:szCs w:val="20"/>
                <w:lang w:val="fr-FR" w:eastAsia="en-GB"/>
              </w:rPr>
            </w:pPr>
            <w:r w:rsidRPr="00EE0EF7">
              <w:rPr>
                <w:b/>
                <w:bCs/>
                <w:i/>
                <w:iCs/>
                <w:sz w:val="20"/>
                <w:szCs w:val="20"/>
                <w:u w:val="single"/>
                <w:lang w:val="fr-FR" w:eastAsia="fr"/>
              </w:rPr>
              <w:t>Assistance technique pour accélérer l'élimination progressive du HCFC-22 dans les bateaux de pêche</w:t>
            </w:r>
            <w:r w:rsidRPr="00EE0EF7">
              <w:rPr>
                <w:b/>
                <w:bCs/>
                <w:i/>
                <w:iCs/>
                <w:sz w:val="20"/>
                <w:szCs w:val="20"/>
                <w:lang w:val="fr-FR"/>
              </w:rPr>
              <w:t>:</w:t>
            </w:r>
            <w:r w:rsidR="000321E8" w:rsidRPr="00EE0EF7">
              <w:rPr>
                <w:b/>
                <w:bCs/>
                <w:i/>
                <w:iCs/>
                <w:sz w:val="20"/>
                <w:szCs w:val="20"/>
                <w:lang w:val="fr-FR"/>
              </w:rPr>
              <w:t xml:space="preserve"> </w:t>
            </w:r>
            <w:r w:rsidRPr="00EE0EF7">
              <w:rPr>
                <w:sz w:val="20"/>
                <w:szCs w:val="20"/>
                <w:lang w:val="fr-FR"/>
              </w:rPr>
              <w:t>Organiser 9 ateliers dans les principaux ports de pêche ; faire appel à un consultant international</w:t>
            </w:r>
            <w:r w:rsidR="000321E8" w:rsidRPr="00EE0EF7">
              <w:rPr>
                <w:sz w:val="20"/>
                <w:szCs w:val="20"/>
                <w:lang w:val="fr-FR"/>
              </w:rPr>
              <w:t> ;</w:t>
            </w:r>
            <w:r w:rsidRPr="00EE0EF7">
              <w:rPr>
                <w:sz w:val="20"/>
                <w:szCs w:val="20"/>
                <w:lang w:val="fr-FR"/>
              </w:rPr>
              <w:t xml:space="preserve"> mener 8 essais de démonstration à bord ; préparer le cahier des charges ; et recevoir et évaluer les offres relatives à l'acquisition de 10 machines de récupération et de valorisation en bouteilles.</w:t>
            </w:r>
          </w:p>
        </w:tc>
        <w:tc>
          <w:tcPr>
            <w:tcW w:w="543"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A96D05C" w14:textId="77777777" w:rsidR="00C74282" w:rsidRPr="00EE0EF7" w:rsidRDefault="00C74282">
            <w:pPr>
              <w:jc w:val="right"/>
              <w:rPr>
                <w:sz w:val="20"/>
                <w:szCs w:val="20"/>
                <w:lang w:val="fr-FR" w:eastAsia="en-GB"/>
              </w:rPr>
            </w:pPr>
            <w:r w:rsidRPr="00EE0EF7">
              <w:rPr>
                <w:sz w:val="20"/>
                <w:szCs w:val="20"/>
                <w:lang w:val="fr-FR" w:eastAsia="fr"/>
              </w:rPr>
              <w:t>500 000</w:t>
            </w:r>
          </w:p>
        </w:tc>
      </w:tr>
      <w:tr w:rsidR="00C74282" w:rsidRPr="00EE0EF7" w14:paraId="00E51D69" w14:textId="77777777" w:rsidTr="00CF7F76">
        <w:tc>
          <w:tcPr>
            <w:tcW w:w="4457"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B3DE492" w14:textId="4ADA9D8F" w:rsidR="00C74282" w:rsidRPr="00EE0EF7" w:rsidRDefault="00C74282">
            <w:pPr>
              <w:rPr>
                <w:sz w:val="20"/>
                <w:szCs w:val="20"/>
                <w:lang w:val="fr-FR" w:eastAsia="en-GB"/>
              </w:rPr>
            </w:pPr>
            <w:r w:rsidRPr="00EE0EF7">
              <w:rPr>
                <w:b/>
                <w:bCs/>
                <w:i/>
                <w:iCs/>
                <w:sz w:val="20"/>
                <w:szCs w:val="20"/>
                <w:u w:val="single"/>
                <w:lang w:val="fr-FR" w:eastAsia="fr"/>
              </w:rPr>
              <w:lastRenderedPageBreak/>
              <w:t>Activités de sensibilisation :</w:t>
            </w:r>
            <w:r w:rsidRPr="00EE0EF7">
              <w:rPr>
                <w:b/>
                <w:bCs/>
                <w:sz w:val="20"/>
                <w:szCs w:val="20"/>
                <w:lang w:val="fr-FR" w:eastAsia="fr"/>
              </w:rPr>
              <w:t xml:space="preserve"> </w:t>
            </w:r>
            <w:r w:rsidRPr="00EE0EF7">
              <w:rPr>
                <w:sz w:val="20"/>
                <w:szCs w:val="20"/>
                <w:lang w:val="fr-FR" w:eastAsia="fr"/>
              </w:rPr>
              <w:t>Mener des campagnes médiatiques nationales ; mettre en œuvre des actions de diffusion (brochures, guides, notes techniques) ; participer à des salons et foires spécialisés ; produire des spots publicitaires et des rapports de communication ; diffuser des supports de sensibilisation, des communiqués de presse et des comptes rendus d’événements ; organiser des stands d’exposition ; et réaliser des démonstrations.</w:t>
            </w:r>
          </w:p>
        </w:tc>
        <w:tc>
          <w:tcPr>
            <w:tcW w:w="543"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0769955" w14:textId="77777777" w:rsidR="00C74282" w:rsidRPr="00EE0EF7" w:rsidRDefault="00C74282">
            <w:pPr>
              <w:jc w:val="right"/>
              <w:rPr>
                <w:sz w:val="20"/>
                <w:szCs w:val="20"/>
                <w:lang w:val="fr-FR" w:eastAsia="en-GB"/>
              </w:rPr>
            </w:pPr>
            <w:r w:rsidRPr="00EE0EF7">
              <w:rPr>
                <w:sz w:val="20"/>
                <w:szCs w:val="20"/>
                <w:lang w:val="fr-FR" w:eastAsia="fr"/>
              </w:rPr>
              <w:t>38 400</w:t>
            </w:r>
          </w:p>
        </w:tc>
      </w:tr>
      <w:tr w:rsidR="00C74282" w:rsidRPr="00EE0EF7" w14:paraId="17870B02" w14:textId="77777777" w:rsidTr="00CF7F76">
        <w:tc>
          <w:tcPr>
            <w:tcW w:w="4457"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0A5FC37" w14:textId="4C49EA37" w:rsidR="00C74282" w:rsidRPr="00EE0EF7" w:rsidRDefault="00C74282">
            <w:pPr>
              <w:rPr>
                <w:sz w:val="20"/>
                <w:szCs w:val="20"/>
                <w:lang w:val="fr-FR" w:eastAsia="en-GB"/>
              </w:rPr>
            </w:pPr>
            <w:r w:rsidRPr="00EE0EF7">
              <w:rPr>
                <w:b/>
                <w:bCs/>
                <w:i/>
                <w:iCs/>
                <w:sz w:val="20"/>
                <w:szCs w:val="20"/>
                <w:u w:val="single"/>
                <w:lang w:val="fr-FR" w:eastAsia="fr"/>
              </w:rPr>
              <w:t>Assistance technique pour le secteur des aérosols :</w:t>
            </w:r>
            <w:r w:rsidRPr="00EE0EF7">
              <w:rPr>
                <w:i/>
                <w:iCs/>
                <w:sz w:val="24"/>
                <w:szCs w:val="24"/>
                <w:lang w:val="fr-FR" w:eastAsia="fr"/>
              </w:rPr>
              <w:t xml:space="preserve"> </w:t>
            </w:r>
            <w:r w:rsidRPr="00EE0EF7">
              <w:rPr>
                <w:sz w:val="20"/>
                <w:szCs w:val="20"/>
                <w:lang w:val="fr-FR" w:eastAsia="fr"/>
              </w:rPr>
              <w:t>Faire appel à un consultant international pour examiner les technologies et proposer des solutions de remplacement ; organiser des consultations individuelles avec chaque entreprise ; organiser des ateliers pour accompagner les modifications techniques ; réaliser des essais et des études de marché ; préparer des rapports d’évaluation, de validation de marché et de recommandations ; élaborer des plans d’action spécifiques à chaque entreprise ; et moderniser les équipements de 4 usines</w:t>
            </w:r>
            <w:r w:rsidR="000321E8" w:rsidRPr="00EE0EF7">
              <w:rPr>
                <w:sz w:val="20"/>
                <w:szCs w:val="20"/>
                <w:lang w:val="fr-FR" w:eastAsia="fr"/>
              </w:rPr>
              <w:t>.</w:t>
            </w:r>
          </w:p>
        </w:tc>
        <w:tc>
          <w:tcPr>
            <w:tcW w:w="543"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AC9B73B" w14:textId="77777777" w:rsidR="00C74282" w:rsidRPr="00EE0EF7" w:rsidRDefault="00C74282">
            <w:pPr>
              <w:jc w:val="right"/>
              <w:rPr>
                <w:sz w:val="20"/>
                <w:szCs w:val="20"/>
                <w:lang w:val="fr-FR" w:eastAsia="en-GB"/>
              </w:rPr>
            </w:pPr>
            <w:r w:rsidRPr="00EE0EF7">
              <w:rPr>
                <w:sz w:val="20"/>
                <w:szCs w:val="20"/>
                <w:lang w:val="fr-FR" w:eastAsia="fr"/>
              </w:rPr>
              <w:t>60 000</w:t>
            </w:r>
          </w:p>
        </w:tc>
      </w:tr>
      <w:tr w:rsidR="00C74282" w:rsidRPr="00EE0EF7" w14:paraId="73BEAEF0" w14:textId="77777777" w:rsidTr="00CF7F76">
        <w:trPr>
          <w:trHeight w:val="227"/>
        </w:trPr>
        <w:tc>
          <w:tcPr>
            <w:tcW w:w="4457"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2BE0486" w14:textId="77777777" w:rsidR="00C74282" w:rsidRPr="00EE0EF7" w:rsidRDefault="00C74282">
            <w:pPr>
              <w:rPr>
                <w:b/>
                <w:bCs/>
                <w:i/>
                <w:iCs/>
                <w:sz w:val="20"/>
                <w:szCs w:val="20"/>
                <w:lang w:val="fr-FR" w:eastAsia="en-GB"/>
              </w:rPr>
            </w:pPr>
            <w:r w:rsidRPr="00EE0EF7">
              <w:rPr>
                <w:b/>
                <w:bCs/>
                <w:i/>
                <w:iCs/>
                <w:sz w:val="20"/>
                <w:szCs w:val="20"/>
                <w:lang w:val="fr-FR" w:eastAsia="fr"/>
              </w:rPr>
              <w:t>Total partiel: entretien</w:t>
            </w:r>
          </w:p>
        </w:tc>
        <w:tc>
          <w:tcPr>
            <w:tcW w:w="543"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EC05661" w14:textId="189B574D" w:rsidR="00C74282" w:rsidRPr="00EE0EF7" w:rsidRDefault="00DC00A9">
            <w:pPr>
              <w:jc w:val="right"/>
              <w:rPr>
                <w:b/>
                <w:bCs/>
                <w:sz w:val="20"/>
                <w:szCs w:val="20"/>
                <w:lang w:val="fr-FR" w:eastAsia="en-GB"/>
              </w:rPr>
            </w:pPr>
            <w:r w:rsidRPr="00EE0EF7">
              <w:rPr>
                <w:b/>
                <w:bCs/>
                <w:sz w:val="20"/>
                <w:szCs w:val="20"/>
                <w:lang w:val="fr-FR" w:eastAsia="fr"/>
              </w:rPr>
              <w:fldChar w:fldCharType="begin"/>
            </w:r>
            <w:r w:rsidRPr="00EE0EF7">
              <w:rPr>
                <w:b/>
                <w:bCs/>
                <w:sz w:val="20"/>
                <w:szCs w:val="20"/>
                <w:lang w:val="fr-FR" w:eastAsia="fr"/>
              </w:rPr>
              <w:instrText xml:space="preserve"> =SUM(ABOVE) </w:instrText>
            </w:r>
            <w:r w:rsidRPr="00EE0EF7">
              <w:rPr>
                <w:b/>
                <w:bCs/>
                <w:sz w:val="20"/>
                <w:szCs w:val="20"/>
                <w:lang w:val="fr-FR" w:eastAsia="fr"/>
              </w:rPr>
              <w:fldChar w:fldCharType="separate"/>
            </w:r>
            <w:r w:rsidRPr="00EE0EF7">
              <w:rPr>
                <w:b/>
                <w:bCs/>
                <w:noProof/>
                <w:sz w:val="20"/>
                <w:szCs w:val="20"/>
                <w:lang w:val="fr-FR" w:eastAsia="fr"/>
              </w:rPr>
              <w:t>1</w:t>
            </w:r>
            <w:r w:rsidR="000321E8" w:rsidRPr="00EE0EF7">
              <w:rPr>
                <w:b/>
                <w:bCs/>
                <w:noProof/>
                <w:sz w:val="20"/>
                <w:szCs w:val="20"/>
                <w:lang w:val="fr-FR" w:eastAsia="fr"/>
              </w:rPr>
              <w:t xml:space="preserve"> </w:t>
            </w:r>
            <w:r w:rsidRPr="00EE0EF7">
              <w:rPr>
                <w:b/>
                <w:bCs/>
                <w:noProof/>
                <w:sz w:val="20"/>
                <w:szCs w:val="20"/>
                <w:lang w:val="fr-FR" w:eastAsia="fr"/>
              </w:rPr>
              <w:t>833</w:t>
            </w:r>
            <w:r w:rsidR="000321E8" w:rsidRPr="00EE0EF7">
              <w:rPr>
                <w:b/>
                <w:bCs/>
                <w:noProof/>
                <w:sz w:val="20"/>
                <w:szCs w:val="20"/>
                <w:lang w:val="fr-FR" w:eastAsia="fr"/>
              </w:rPr>
              <w:t xml:space="preserve"> </w:t>
            </w:r>
            <w:r w:rsidRPr="00EE0EF7">
              <w:rPr>
                <w:b/>
                <w:bCs/>
                <w:noProof/>
                <w:sz w:val="20"/>
                <w:szCs w:val="20"/>
                <w:lang w:val="fr-FR" w:eastAsia="fr"/>
              </w:rPr>
              <w:t>000</w:t>
            </w:r>
            <w:r w:rsidRPr="00EE0EF7">
              <w:rPr>
                <w:b/>
                <w:bCs/>
                <w:sz w:val="20"/>
                <w:szCs w:val="20"/>
                <w:lang w:val="fr-FR" w:eastAsia="fr"/>
              </w:rPr>
              <w:fldChar w:fldCharType="end"/>
            </w:r>
          </w:p>
        </w:tc>
      </w:tr>
      <w:tr w:rsidR="00712D5D" w:rsidRPr="00EE0EF7" w14:paraId="1C62D673" w14:textId="77777777" w:rsidTr="00CF7F76">
        <w:trPr>
          <w:trHeight w:val="227"/>
        </w:trPr>
        <w:tc>
          <w:tcPr>
            <w:tcW w:w="5000" w:type="pct"/>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63B4F6D" w14:textId="60EF2ED9" w:rsidR="00712D5D" w:rsidRPr="00EE0EF7" w:rsidRDefault="00D84B1A" w:rsidP="00712D5D">
            <w:pPr>
              <w:jc w:val="left"/>
              <w:rPr>
                <w:b/>
                <w:bCs/>
                <w:i/>
                <w:iCs/>
                <w:sz w:val="20"/>
                <w:szCs w:val="20"/>
                <w:lang w:val="fr-FR" w:eastAsia="en-GB"/>
              </w:rPr>
            </w:pPr>
            <w:r w:rsidRPr="00EE0EF7">
              <w:rPr>
                <w:b/>
                <w:bCs/>
                <w:i/>
                <w:iCs/>
                <w:sz w:val="20"/>
                <w:szCs w:val="20"/>
                <w:lang w:val="fr-FR" w:eastAsia="fr"/>
              </w:rPr>
              <w:t>UGP</w:t>
            </w:r>
          </w:p>
        </w:tc>
      </w:tr>
      <w:tr w:rsidR="00C74282" w:rsidRPr="00EE0EF7" w14:paraId="77A10758" w14:textId="77777777" w:rsidTr="00CF7F76">
        <w:trPr>
          <w:trHeight w:val="544"/>
        </w:trPr>
        <w:tc>
          <w:tcPr>
            <w:tcW w:w="4457" w:type="pct"/>
            <w:tcBorders>
              <w:top w:val="single" w:sz="4" w:space="0" w:color="auto"/>
              <w:left w:val="single" w:sz="4" w:space="0" w:color="auto"/>
              <w:bottom w:val="single" w:sz="4" w:space="0" w:color="auto"/>
              <w:right w:val="single" w:sz="4" w:space="0" w:color="auto"/>
            </w:tcBorders>
            <w:tcMar>
              <w:top w:w="57" w:type="dxa"/>
              <w:bottom w:w="57" w:type="dxa"/>
            </w:tcMar>
            <w:vAlign w:val="center"/>
            <w:hideMark/>
          </w:tcPr>
          <w:p w14:paraId="16C9C90E" w14:textId="6EA5BFCB" w:rsidR="00C74282" w:rsidRPr="00EE0EF7" w:rsidRDefault="00C74282" w:rsidP="0039023A">
            <w:pPr>
              <w:ind w:right="17"/>
              <w:rPr>
                <w:sz w:val="20"/>
                <w:szCs w:val="20"/>
                <w:lang w:val="fr-FR" w:eastAsia="en-GB"/>
              </w:rPr>
            </w:pPr>
            <w:r w:rsidRPr="00EE0EF7">
              <w:rPr>
                <w:sz w:val="20"/>
                <w:szCs w:val="20"/>
                <w:lang w:val="fr-FR" w:eastAsia="fr"/>
              </w:rPr>
              <w:t>Organiser des réunions de coordination régulières avec les parties prenantes ; recruter du personnel technique, juridique et d'assistance ; mener des missions de suivi et des visites d'inspection ; gérer les tâches de rapport et de communication ; et assurer le contrôle financier et administratif, y compris les coûts liés au personnel, aux experts et aux assistants (112 000 $US), aux déplacements, à la coordination et au suivi (129 000 $US) et aux opérations (9 000 $US).</w:t>
            </w:r>
          </w:p>
        </w:tc>
        <w:tc>
          <w:tcPr>
            <w:tcW w:w="543"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632D84E" w14:textId="77777777" w:rsidR="00C74282" w:rsidRPr="00EE0EF7" w:rsidRDefault="00C74282">
            <w:pPr>
              <w:jc w:val="right"/>
              <w:rPr>
                <w:b/>
                <w:bCs/>
                <w:sz w:val="20"/>
                <w:szCs w:val="20"/>
                <w:lang w:val="fr-FR" w:eastAsia="en-GB"/>
              </w:rPr>
            </w:pPr>
            <w:r w:rsidRPr="00EE0EF7">
              <w:rPr>
                <w:b/>
                <w:bCs/>
                <w:sz w:val="20"/>
                <w:szCs w:val="20"/>
                <w:lang w:val="fr-FR" w:eastAsia="fr"/>
              </w:rPr>
              <w:t>250 000</w:t>
            </w:r>
          </w:p>
        </w:tc>
      </w:tr>
      <w:tr w:rsidR="00AE0CC7" w:rsidRPr="00EE0EF7" w14:paraId="40B0EC6A" w14:textId="77777777" w:rsidTr="00CF7F76">
        <w:trPr>
          <w:trHeight w:val="227"/>
        </w:trPr>
        <w:tc>
          <w:tcPr>
            <w:tcW w:w="4457" w:type="pct"/>
            <w:tcBorders>
              <w:top w:val="single" w:sz="4" w:space="0" w:color="auto"/>
              <w:left w:val="single" w:sz="4" w:space="0" w:color="auto"/>
              <w:bottom w:val="single" w:sz="4" w:space="0" w:color="auto"/>
              <w:right w:val="single" w:sz="4" w:space="0" w:color="auto"/>
            </w:tcBorders>
            <w:tcMar>
              <w:top w:w="57" w:type="dxa"/>
              <w:bottom w:w="57" w:type="dxa"/>
            </w:tcMar>
            <w:vAlign w:val="center"/>
            <w:hideMark/>
          </w:tcPr>
          <w:p w14:paraId="77A3A118" w14:textId="77777777" w:rsidR="00AE0CC7" w:rsidRPr="00EE0EF7" w:rsidRDefault="00AE0CC7" w:rsidP="00AE0CC7">
            <w:pPr>
              <w:jc w:val="left"/>
              <w:rPr>
                <w:b/>
                <w:bCs/>
                <w:sz w:val="20"/>
                <w:szCs w:val="20"/>
                <w:lang w:val="fr-FR" w:eastAsia="en-GB"/>
              </w:rPr>
            </w:pPr>
            <w:r w:rsidRPr="00EE0EF7">
              <w:rPr>
                <w:b/>
                <w:bCs/>
                <w:sz w:val="20"/>
                <w:szCs w:val="20"/>
                <w:lang w:val="fr-FR" w:eastAsia="fr"/>
              </w:rPr>
              <w:t>Total</w:t>
            </w:r>
          </w:p>
        </w:tc>
        <w:tc>
          <w:tcPr>
            <w:tcW w:w="543"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B6805BC" w14:textId="77777777" w:rsidR="00AE0CC7" w:rsidRPr="00EE0EF7" w:rsidRDefault="00AE0CC7" w:rsidP="00AE0CC7">
            <w:pPr>
              <w:jc w:val="right"/>
              <w:rPr>
                <w:b/>
                <w:bCs/>
                <w:sz w:val="20"/>
                <w:szCs w:val="20"/>
                <w:lang w:val="fr-FR" w:eastAsia="en-GB"/>
              </w:rPr>
            </w:pPr>
            <w:r w:rsidRPr="00EE0EF7">
              <w:rPr>
                <w:b/>
                <w:bCs/>
                <w:sz w:val="20"/>
                <w:szCs w:val="20"/>
                <w:lang w:val="fr-FR" w:eastAsia="fr"/>
              </w:rPr>
              <w:t>2 548 000</w:t>
            </w:r>
          </w:p>
        </w:tc>
      </w:tr>
    </w:tbl>
    <w:bookmarkEnd w:id="16"/>
    <w:p w14:paraId="37BCC74E" w14:textId="77777777" w:rsidR="00C74282" w:rsidRPr="00EE0EF7" w:rsidRDefault="00C74282" w:rsidP="00D84B1A">
      <w:pPr>
        <w:pStyle w:val="Heading1"/>
        <w:numPr>
          <w:ilvl w:val="0"/>
          <w:numId w:val="0"/>
        </w:numPr>
        <w:spacing w:before="240"/>
        <w:rPr>
          <w:bCs/>
          <w:u w:val="single"/>
          <w:lang w:val="fr-FR"/>
        </w:rPr>
      </w:pPr>
      <w:r w:rsidRPr="00EE0EF7">
        <w:rPr>
          <w:bCs/>
          <w:u w:val="single"/>
          <w:lang w:val="fr-FR"/>
        </w:rPr>
        <w:t>Cofinancement</w:t>
      </w:r>
    </w:p>
    <w:p w14:paraId="6036C0DE" w14:textId="28AE781E" w:rsidR="00C74282" w:rsidRPr="00EE0EF7" w:rsidRDefault="00C74282" w:rsidP="00C74282">
      <w:pPr>
        <w:pStyle w:val="Heading1"/>
        <w:rPr>
          <w:bCs/>
          <w:lang w:val="fr-FR"/>
        </w:rPr>
      </w:pPr>
      <w:r w:rsidRPr="00EE0EF7">
        <w:rPr>
          <w:bCs/>
          <w:lang w:val="fr-FR"/>
        </w:rPr>
        <w:t>Le Gouvernement argentin, par l’intermédiaire des institutions chargées de la mise en œuvre de la phase III du PGEH, fournit des contributions en nature sous forme d’espaces de travail, de soutien logistique, de personnel qualifié, de ressources techniques et de soutien institutionnel pour renforcer la coordination, l’application des politiques et l’engagement des parties prenantes. Le Gouvernement et l'ONUDI restent déterminés à répertorier et à promouvoir les possibilités de cofinancement afin d'assurer la mise en œuvre rapide et réussie du plan, notamment par le biais de mécanismes de partage des coûts permettant aux entreprises bénéficiaires de contribuer directement aux investissements nécessaires à l'adoption de technologies à faible PRP, renforçant ainsi l'appropriation nationale et favorisant la durabilité à long terme et le potentiel de réplication.</w:t>
      </w:r>
    </w:p>
    <w:p w14:paraId="2F91F411" w14:textId="77777777" w:rsidR="00C74282" w:rsidRPr="00EE0EF7" w:rsidRDefault="00C74282" w:rsidP="00C74282">
      <w:pPr>
        <w:pStyle w:val="Heading1"/>
        <w:numPr>
          <w:ilvl w:val="0"/>
          <w:numId w:val="0"/>
        </w:numPr>
        <w:rPr>
          <w:bCs/>
          <w:u w:val="single"/>
          <w:lang w:val="fr-FR"/>
        </w:rPr>
      </w:pPr>
      <w:r w:rsidRPr="00EE0EF7">
        <w:rPr>
          <w:bCs/>
          <w:u w:val="single"/>
          <w:lang w:val="fr-FR"/>
        </w:rPr>
        <w:t>Projet de plan d’activités du Fonds multilatéral pour la période 2025-2027</w:t>
      </w:r>
    </w:p>
    <w:p w14:paraId="0D4D0DD7" w14:textId="1A70D24F" w:rsidR="00C74282" w:rsidRPr="00EE0EF7" w:rsidRDefault="00C74282" w:rsidP="00C74282">
      <w:pPr>
        <w:pStyle w:val="Heading1"/>
        <w:rPr>
          <w:lang w:val="fr-FR"/>
        </w:rPr>
      </w:pPr>
      <w:r w:rsidRPr="00EE0EF7">
        <w:rPr>
          <w:lang w:val="fr-FR"/>
        </w:rPr>
        <w:t>L’ONUDI demande 9 244 015 $US, plus les coûts d’appui d’agence, pour la mise en œuvre de la phase III du PGEH pour l'Argentine. Le financement total demandé se monte à 8 509 530 $US, y compris les coûts d'appui d'agence, pour la période 2025-2027, soit 6 509 530 $US de plus que le montant fixé par le plan d'activités du Fonds.</w:t>
      </w:r>
    </w:p>
    <w:p w14:paraId="6018A687" w14:textId="77777777" w:rsidR="00C74282" w:rsidRPr="00EE0EF7" w:rsidRDefault="00C74282" w:rsidP="00C74282">
      <w:pPr>
        <w:keepNext/>
        <w:spacing w:after="240"/>
        <w:rPr>
          <w:iCs/>
          <w:u w:val="single"/>
          <w:lang w:val="fr-FR"/>
        </w:rPr>
      </w:pPr>
      <w:r w:rsidRPr="00EE0EF7">
        <w:rPr>
          <w:iCs/>
          <w:u w:val="single"/>
          <w:lang w:val="fr-FR"/>
        </w:rPr>
        <w:t>Mise en œuvre de la politique d'égalité des sexes</w:t>
      </w:r>
    </w:p>
    <w:p w14:paraId="2CB97671" w14:textId="377BC387" w:rsidR="00C74282" w:rsidRPr="00EE0EF7" w:rsidRDefault="00C74282" w:rsidP="003B4F06">
      <w:pPr>
        <w:pStyle w:val="Heading1"/>
        <w:spacing w:before="220" w:after="220"/>
        <w:rPr>
          <w:lang w:val="fr-FR" w:eastAsia="en-CA"/>
        </w:rPr>
      </w:pPr>
      <w:r w:rsidRPr="00EE0EF7">
        <w:rPr>
          <w:lang w:val="fr-FR"/>
        </w:rPr>
        <w:t>Conformément aux décisions 84/92(d), 90/48(c) et 92/40(b), la politique de promotion de l'égalité des sexes du Fonds multilatéral continuera d'être appliquée au cours de la mise en œuvre de la phase III du PGEH en collectant des données désagrégées, en veillant à ce que les femmes et les hommes aient accès aux activités du projet et y participent, en sensibilisant le personnel du projet et les parties prenantes à la participation des femmes à toutes les activités, en effectuant un recrutement équilibré du personnel du projet et en assurant une représentation équilibrée au sein des conseils d’administration et des comités de pilotage du projet.</w:t>
      </w:r>
    </w:p>
    <w:p w14:paraId="62018805" w14:textId="77777777" w:rsidR="00C74282" w:rsidRPr="00EE0EF7" w:rsidRDefault="00C74282" w:rsidP="00C74282">
      <w:pPr>
        <w:keepNext/>
        <w:spacing w:after="240"/>
        <w:rPr>
          <w:u w:val="single"/>
          <w:lang w:val="fr-FR"/>
        </w:rPr>
      </w:pPr>
      <w:r w:rsidRPr="00EE0EF7">
        <w:rPr>
          <w:u w:val="single"/>
          <w:lang w:val="fr-FR"/>
        </w:rPr>
        <w:lastRenderedPageBreak/>
        <w:t>Durabilité de l'élimination des HCFC et évaluation des risques</w:t>
      </w:r>
    </w:p>
    <w:p w14:paraId="6FCBFFC8" w14:textId="7D642F41" w:rsidR="00C74282" w:rsidRPr="00EE0EF7" w:rsidRDefault="00C74282" w:rsidP="00C74282">
      <w:pPr>
        <w:pStyle w:val="Heading1"/>
        <w:rPr>
          <w:lang w:val="fr-FR"/>
        </w:rPr>
      </w:pPr>
      <w:r w:rsidRPr="00EE0EF7">
        <w:rPr>
          <w:lang w:val="fr-FR"/>
        </w:rPr>
        <w:t>Cette question est abordée dans la section portant sur la durabilité de la demande relative à la quatrième tranche de la phase II du PGEH pour l’Argentine (alinéas 41 à 43 du document UNEP/OzL.Pro/ExCom/97/36).</w:t>
      </w:r>
    </w:p>
    <w:p w14:paraId="00207EF1" w14:textId="77777777" w:rsidR="00C74282" w:rsidRPr="00EE0EF7" w:rsidRDefault="00C74282" w:rsidP="00C74282">
      <w:pPr>
        <w:keepNext/>
        <w:spacing w:after="240"/>
        <w:rPr>
          <w:u w:val="single"/>
          <w:lang w:val="fr-FR"/>
        </w:rPr>
      </w:pPr>
      <w:r w:rsidRPr="00EE0EF7">
        <w:rPr>
          <w:u w:val="single"/>
          <w:lang w:val="fr-FR"/>
        </w:rPr>
        <w:t>Incidences sur le climat</w:t>
      </w:r>
    </w:p>
    <w:bookmarkEnd w:id="15"/>
    <w:p w14:paraId="79B28A96" w14:textId="73BBCB21" w:rsidR="00C74282" w:rsidRPr="00EE0EF7" w:rsidRDefault="00C74282" w:rsidP="00C74282">
      <w:pPr>
        <w:pStyle w:val="Heading1"/>
        <w:rPr>
          <w:lang w:val="fr-FR"/>
        </w:rPr>
      </w:pPr>
      <w:r w:rsidRPr="00EE0EF7">
        <w:rPr>
          <w:lang w:val="fr-FR"/>
        </w:rPr>
        <w:t>Le remplacement du HCFC-22 par le R-600a et le R-290 dans la fabrication des systèmes de réfrigération commerciale permettra d’éviter les émissions d’environ 179 853 tonnes d’équivalent-CO</w:t>
      </w:r>
      <w:r w:rsidRPr="00EE0EF7">
        <w:rPr>
          <w:vertAlign w:val="subscript"/>
          <w:lang w:val="fr-FR"/>
        </w:rPr>
        <w:t>2</w:t>
      </w:r>
      <w:r w:rsidRPr="00EE0EF7">
        <w:rPr>
          <w:lang w:val="fr-FR"/>
        </w:rPr>
        <w:t xml:space="preserve"> (éq.CO</w:t>
      </w:r>
      <w:r w:rsidR="002A4A5E" w:rsidRPr="00EE0EF7">
        <w:rPr>
          <w:vertAlign w:val="subscript"/>
          <w:lang w:val="fr-FR"/>
        </w:rPr>
        <w:t>2</w:t>
      </w:r>
      <w:r w:rsidRPr="00EE0EF7">
        <w:rPr>
          <w:lang w:val="fr-FR"/>
        </w:rPr>
        <w:t>), selon l’indicateur d’impact climatique révisé du Fonds multilatéral (MCII). Les activités proposées dans le secteur de l'entretien, notamment une meilleure maîtrise du confinement du frigorigène grâce à la formation et à la fourniture d'équipements, permettront de réduire l'utilisation du HCFC</w:t>
      </w:r>
      <w:r w:rsidRPr="00EE0EF7">
        <w:rPr>
          <w:lang w:val="fr-FR"/>
        </w:rPr>
        <w:noBreakHyphen/>
        <w:t>22. Chaque kg de HCFC-22 non émis grâce à de meilleures pratiques de réfrigération entraîne des économies d’environ 1,8</w:t>
      </w:r>
      <w:r w:rsidR="000321E8" w:rsidRPr="00EE0EF7">
        <w:rPr>
          <w:lang w:val="fr-FR"/>
        </w:rPr>
        <w:t> </w:t>
      </w:r>
      <w:r w:rsidRPr="00EE0EF7">
        <w:rPr>
          <w:lang w:val="fr-FR"/>
        </w:rPr>
        <w:t>t</w:t>
      </w:r>
      <w:r w:rsidR="000321E8" w:rsidRPr="00EE0EF7">
        <w:rPr>
          <w:lang w:val="fr-FR"/>
        </w:rPr>
        <w:t> </w:t>
      </w:r>
      <w:r w:rsidRPr="00EE0EF7">
        <w:rPr>
          <w:lang w:val="fr-FR"/>
        </w:rPr>
        <w:t>éq.CO</w:t>
      </w:r>
      <w:r w:rsidRPr="00EE0EF7">
        <w:rPr>
          <w:vertAlign w:val="subscript"/>
          <w:lang w:val="fr-FR"/>
        </w:rPr>
        <w:t>2</w:t>
      </w:r>
      <w:r w:rsidRPr="00EE0EF7">
        <w:rPr>
          <w:lang w:val="fr-FR"/>
        </w:rPr>
        <w:t>. De même, chaque kg de HCFC-123 non émis en raison de meilleures pratiques d'entretien, de recharge et d'utilisation des extincteurs portatifs au HCFC-123, et la récupération du HCFC-123 à partir des équipements de protection contre l'incendie, se traduira par des économies d'environ 77 kg de CO</w:t>
      </w:r>
      <w:r w:rsidR="004569F2" w:rsidRPr="00EE0EF7">
        <w:rPr>
          <w:vertAlign w:val="subscript"/>
          <w:lang w:val="fr-FR"/>
        </w:rPr>
        <w:t>2</w:t>
      </w:r>
      <w:r w:rsidRPr="00EE0EF7">
        <w:rPr>
          <w:lang w:val="fr-FR"/>
        </w:rPr>
        <w:t>. Les activités prévues par l'Argentine, notamment les efforts qu'elle déploie pour promouvoir des solutions de remplacement à faible PRP, ainsi que la récupération, la réutilisation et la valorisation des frigorigènes montrent que la mise en œuvre du PGEH réduira les émissions de frigorigènes dans l'atmosphère, ce qui est positif pour le climat.</w:t>
      </w:r>
    </w:p>
    <w:p w14:paraId="517B8EAF" w14:textId="77777777" w:rsidR="00C74282" w:rsidRPr="00EE0EF7" w:rsidRDefault="00C74282" w:rsidP="00C74282">
      <w:pPr>
        <w:spacing w:after="240"/>
        <w:outlineLvl w:val="0"/>
        <w:rPr>
          <w:bCs/>
          <w:u w:val="single"/>
          <w:lang w:val="fr-FR"/>
        </w:rPr>
      </w:pPr>
      <w:bookmarkStart w:id="17" w:name="_Hlk126916245"/>
      <w:r w:rsidRPr="00EE0EF7">
        <w:rPr>
          <w:bCs/>
          <w:u w:val="single"/>
          <w:lang w:val="fr-FR"/>
        </w:rPr>
        <w:t>Projet d'accord</w:t>
      </w:r>
    </w:p>
    <w:bookmarkEnd w:id="17"/>
    <w:p w14:paraId="0C1DB0E9" w14:textId="77777777" w:rsidR="00C74282" w:rsidRPr="00EE0EF7" w:rsidRDefault="00C74282" w:rsidP="00C74282">
      <w:pPr>
        <w:pStyle w:val="Heading1"/>
        <w:rPr>
          <w:lang w:val="fr-FR"/>
        </w:rPr>
      </w:pPr>
      <w:r w:rsidRPr="00EE0EF7">
        <w:rPr>
          <w:lang w:val="fr-FR"/>
        </w:rPr>
        <w:t>Un projet d’accord entre le Gouvernement de l'Argentine et le Comité exécutif pour la phase III du PGEH figure à l’annexe I au présent document.</w:t>
      </w:r>
    </w:p>
    <w:p w14:paraId="6A188C3F" w14:textId="77777777" w:rsidR="00C74282" w:rsidRPr="00EE0EF7" w:rsidRDefault="00C74282" w:rsidP="00C74282">
      <w:pPr>
        <w:keepNext/>
        <w:autoSpaceDE w:val="0"/>
        <w:autoSpaceDN w:val="0"/>
        <w:adjustRightInd w:val="0"/>
        <w:spacing w:before="360" w:after="240"/>
        <w:outlineLvl w:val="0"/>
        <w:rPr>
          <w:b/>
          <w:lang w:val="fr-FR"/>
        </w:rPr>
      </w:pPr>
      <w:bookmarkStart w:id="18" w:name="_Hlk126916251"/>
      <w:r w:rsidRPr="00EE0EF7">
        <w:rPr>
          <w:b/>
          <w:lang w:val="fr-FR"/>
        </w:rPr>
        <w:t>RECOMMANDATION</w:t>
      </w:r>
    </w:p>
    <w:bookmarkEnd w:id="18"/>
    <w:p w14:paraId="4AC9302B" w14:textId="77777777" w:rsidR="00C74282" w:rsidRPr="00EE0EF7" w:rsidRDefault="00C74282" w:rsidP="00C74282">
      <w:pPr>
        <w:pStyle w:val="Heading1"/>
        <w:keepNext/>
        <w:rPr>
          <w:u w:val="single"/>
          <w:lang w:val="fr-FR"/>
        </w:rPr>
      </w:pPr>
      <w:r w:rsidRPr="00EE0EF7">
        <w:rPr>
          <w:lang w:val="fr-FR"/>
        </w:rPr>
        <w:t>Le Comité exécutif pourrait souhaiter :</w:t>
      </w:r>
    </w:p>
    <w:p w14:paraId="2349AEF3" w14:textId="77777777" w:rsidR="00C74282" w:rsidRPr="00EE0EF7" w:rsidRDefault="00C74282" w:rsidP="00696EBB">
      <w:pPr>
        <w:pStyle w:val="Heading2"/>
        <w:widowControl/>
        <w:ind w:left="1440" w:hanging="720"/>
        <w:rPr>
          <w:lang w:val="fr-FR"/>
        </w:rPr>
      </w:pPr>
      <w:r w:rsidRPr="00EE0EF7">
        <w:rPr>
          <w:lang w:val="fr-FR"/>
        </w:rPr>
        <w:t>Approuver, en principe, la phase III du plan de gestion de l’élimination des HCFC (PGEH) pour l'Argentine pour la période de 2025 à 2030 en vue de l’élimination complète de la consommation de HCFC, pour un montant de 9 244 015 $US, plus des coûts d’agence de 647 081 $US pour l'ONUDI, étant entendu qu’aucun autre financement du Fonds multilatéral ne sera accordé pour l’élimination des HCFC ;</w:t>
      </w:r>
    </w:p>
    <w:p w14:paraId="5CC96523" w14:textId="77777777" w:rsidR="00C74282" w:rsidRPr="00EE0EF7" w:rsidRDefault="00C74282" w:rsidP="00696EBB">
      <w:pPr>
        <w:pStyle w:val="Heading2"/>
        <w:ind w:left="1440" w:hanging="720"/>
        <w:rPr>
          <w:lang w:val="fr-FR"/>
        </w:rPr>
      </w:pPr>
      <w:r w:rsidRPr="00EE0EF7">
        <w:rPr>
          <w:lang w:val="fr-FR"/>
        </w:rPr>
        <w:t>Prendre note :</w:t>
      </w:r>
    </w:p>
    <w:p w14:paraId="3539C6C8" w14:textId="2AE14AFF" w:rsidR="00C74282" w:rsidRPr="00EE0EF7" w:rsidRDefault="000321E8" w:rsidP="00696EBB">
      <w:pPr>
        <w:pStyle w:val="Heading3"/>
        <w:ind w:left="2160" w:hanging="540"/>
        <w:rPr>
          <w:lang w:val="fr-FR"/>
        </w:rPr>
      </w:pPr>
      <w:r w:rsidRPr="00EE0EF7">
        <w:rPr>
          <w:lang w:val="fr-FR"/>
        </w:rPr>
        <w:t>d</w:t>
      </w:r>
      <w:r w:rsidR="00C74282" w:rsidRPr="00EE0EF7">
        <w:rPr>
          <w:lang w:val="fr-FR"/>
        </w:rPr>
        <w:t>e l'engagement pris par le Gouvernement de l'Argentine :</w:t>
      </w:r>
    </w:p>
    <w:p w14:paraId="048BC30C" w14:textId="5B549F5B" w:rsidR="00C74282" w:rsidRPr="00EE0EF7" w:rsidRDefault="00C74282" w:rsidP="00696EBB">
      <w:pPr>
        <w:pStyle w:val="Newheader4"/>
        <w:numPr>
          <w:ilvl w:val="0"/>
          <w:numId w:val="37"/>
        </w:numPr>
        <w:ind w:left="2880" w:hanging="720"/>
        <w:rPr>
          <w:lang w:val="fr-FR"/>
        </w:rPr>
      </w:pPr>
      <w:r w:rsidRPr="00EE0EF7">
        <w:rPr>
          <w:lang w:val="fr-FR"/>
        </w:rPr>
        <w:t>à éliminer complètement les HCFC d'ici le 1</w:t>
      </w:r>
      <w:r w:rsidRPr="00EE0EF7">
        <w:rPr>
          <w:vertAlign w:val="superscript"/>
          <w:lang w:val="fr-FR"/>
        </w:rPr>
        <w:t>er</w:t>
      </w:r>
      <w:r w:rsidRPr="00EE0EF7">
        <w:rPr>
          <w:lang w:val="fr-FR"/>
        </w:rPr>
        <w:t xml:space="preserve"> janvier 2030 et interdire l'importation de HCFC d'ici le 1</w:t>
      </w:r>
      <w:r w:rsidRPr="00EE0EF7">
        <w:rPr>
          <w:vertAlign w:val="superscript"/>
          <w:lang w:val="fr-FR"/>
        </w:rPr>
        <w:t>er</w:t>
      </w:r>
      <w:r w:rsidRPr="00EE0EF7">
        <w:rPr>
          <w:lang w:val="fr-FR"/>
        </w:rPr>
        <w:t xml:space="preserve"> janvier 2030, à l'exception d'un résidu autorisés à des fins d'entretien entre 2030 et 2040, le cas échéant, conformément aux dispositions du Protocole de Montréal ;</w:t>
      </w:r>
    </w:p>
    <w:p w14:paraId="00C6556A" w14:textId="52666876" w:rsidR="00C74282" w:rsidRPr="00EE0EF7" w:rsidRDefault="00C74282" w:rsidP="00696EBB">
      <w:pPr>
        <w:pStyle w:val="Newheader4"/>
        <w:numPr>
          <w:ilvl w:val="0"/>
          <w:numId w:val="37"/>
        </w:numPr>
        <w:ind w:left="2880" w:hanging="720"/>
        <w:rPr>
          <w:lang w:val="fr-FR"/>
        </w:rPr>
      </w:pPr>
      <w:bookmarkStart w:id="19" w:name="_Hlk214233521"/>
      <w:r w:rsidRPr="00EE0EF7">
        <w:rPr>
          <w:lang w:val="fr-FR"/>
        </w:rPr>
        <w:t>à interdire l’importation de tous les équipements contenant des HCFC comme frigorigènes et des équipements nécessitant des HCFC pour leur fonctionnement, leur entretien et leur maintenance à compter du 1</w:t>
      </w:r>
      <w:r w:rsidRPr="00EE0EF7">
        <w:rPr>
          <w:vertAlign w:val="superscript"/>
          <w:lang w:val="fr-FR"/>
        </w:rPr>
        <w:t>er</w:t>
      </w:r>
      <w:r w:rsidR="000321E8" w:rsidRPr="00EE0EF7">
        <w:rPr>
          <w:lang w:val="fr-FR"/>
        </w:rPr>
        <w:t xml:space="preserve"> </w:t>
      </w:r>
      <w:r w:rsidRPr="00EE0EF7">
        <w:rPr>
          <w:lang w:val="fr-FR"/>
        </w:rPr>
        <w:t>janvier 2027, et de fabrication d’aérosols et d’équipements de réfrigération commerciale à base de HCFC à compter du 1</w:t>
      </w:r>
      <w:r w:rsidRPr="00EE0EF7">
        <w:rPr>
          <w:vertAlign w:val="superscript"/>
          <w:lang w:val="fr-FR"/>
        </w:rPr>
        <w:t>er</w:t>
      </w:r>
      <w:r w:rsidRPr="00EE0EF7">
        <w:rPr>
          <w:lang w:val="fr-FR"/>
        </w:rPr>
        <w:t xml:space="preserve"> janvier 2028 ;</w:t>
      </w:r>
    </w:p>
    <w:bookmarkEnd w:id="19"/>
    <w:p w14:paraId="53C783DF" w14:textId="34C62EEA" w:rsidR="00C74282" w:rsidRPr="00EE0EF7" w:rsidRDefault="000321E8" w:rsidP="00696EBB">
      <w:pPr>
        <w:pStyle w:val="Heading3"/>
        <w:ind w:left="2160" w:hanging="540"/>
        <w:rPr>
          <w:lang w:val="fr-FR"/>
        </w:rPr>
      </w:pPr>
      <w:r w:rsidRPr="00EE0EF7">
        <w:rPr>
          <w:lang w:val="fr-FR"/>
        </w:rPr>
        <w:t>q</w:t>
      </w:r>
      <w:r w:rsidR="00C74282" w:rsidRPr="00EE0EF7">
        <w:rPr>
          <w:lang w:val="fr-FR"/>
        </w:rPr>
        <w:t xml:space="preserve">u'une fois achevés les projets au bénéfice utilisateurs finaux sur la réfrigération et </w:t>
      </w:r>
      <w:r w:rsidR="00C74282" w:rsidRPr="00EE0EF7">
        <w:rPr>
          <w:lang w:val="fr-FR"/>
        </w:rPr>
        <w:lastRenderedPageBreak/>
        <w:t>la climatisation commerciales inclus dans la phase III du PGEH, l'ONUDI soumettra des rapports finaux sur leur mise en œuvre conformément à la décision 92/36(g), y compris l'élimination progressive des HCFC et les gains d'efficacité énergétique réalisés ;</w:t>
      </w:r>
    </w:p>
    <w:p w14:paraId="281ADCFA" w14:textId="1B7DA36C" w:rsidR="00C74282" w:rsidRPr="00EE0EF7" w:rsidRDefault="000321E8" w:rsidP="00696EBB">
      <w:pPr>
        <w:pStyle w:val="Heading3"/>
        <w:ind w:left="2160" w:hanging="540"/>
        <w:rPr>
          <w:lang w:val="fr-FR"/>
        </w:rPr>
      </w:pPr>
      <w:r w:rsidRPr="00EE0EF7">
        <w:rPr>
          <w:lang w:val="fr-FR"/>
        </w:rPr>
        <w:t>q</w:t>
      </w:r>
      <w:r w:rsidR="00C74282" w:rsidRPr="00EE0EF7">
        <w:rPr>
          <w:lang w:val="fr-FR"/>
        </w:rPr>
        <w:t>ue, pour permettre l’examen de la dernière tranche de son PGEH, le gouvernement de l'Argentine devra présenter :</w:t>
      </w:r>
    </w:p>
    <w:p w14:paraId="299C3565" w14:textId="0B01DB26" w:rsidR="00C74282" w:rsidRPr="00EE0EF7" w:rsidRDefault="000321E8" w:rsidP="00696EBB">
      <w:pPr>
        <w:pStyle w:val="Newheader4"/>
        <w:numPr>
          <w:ilvl w:val="0"/>
          <w:numId w:val="40"/>
        </w:numPr>
        <w:ind w:left="2880" w:hanging="720"/>
        <w:rPr>
          <w:lang w:val="fr-FR"/>
        </w:rPr>
      </w:pPr>
      <w:r w:rsidRPr="00EE0EF7">
        <w:rPr>
          <w:lang w:val="fr-FR"/>
        </w:rPr>
        <w:t>u</w:t>
      </w:r>
      <w:r w:rsidR="00C74282" w:rsidRPr="00EE0EF7">
        <w:rPr>
          <w:lang w:val="fr-FR"/>
        </w:rPr>
        <w:t>ne description détaillée du cadre règlementaire et des politiques en place pour la mise en œuvre de mesures visant à garantir une consommation de HCFC conforme à l'alinéa 8</w:t>
      </w:r>
      <w:r w:rsidR="00C74282" w:rsidRPr="00EE0EF7">
        <w:rPr>
          <w:vertAlign w:val="superscript"/>
          <w:lang w:val="fr-FR"/>
        </w:rPr>
        <w:t>ter</w:t>
      </w:r>
      <w:r w:rsidR="00C74282" w:rsidRPr="00EE0EF7">
        <w:rPr>
          <w:lang w:val="fr-FR"/>
        </w:rPr>
        <w:t> e) i) de l’Article 5 du Protocole de Montréal pour la période de 2030 à 2040 ;</w:t>
      </w:r>
    </w:p>
    <w:p w14:paraId="68B91D9C" w14:textId="3E2E7A02" w:rsidR="00C74282" w:rsidRPr="00EE0EF7" w:rsidRDefault="000321E8" w:rsidP="00696EBB">
      <w:pPr>
        <w:pStyle w:val="Newheader4"/>
        <w:numPr>
          <w:ilvl w:val="0"/>
          <w:numId w:val="40"/>
        </w:numPr>
        <w:ind w:left="2880" w:hanging="720"/>
        <w:rPr>
          <w:lang w:val="fr-FR"/>
        </w:rPr>
      </w:pPr>
      <w:r w:rsidRPr="00EE0EF7">
        <w:rPr>
          <w:lang w:val="fr-FR"/>
        </w:rPr>
        <w:t>s</w:t>
      </w:r>
      <w:r w:rsidR="00C74282" w:rsidRPr="00EE0EF7">
        <w:rPr>
          <w:lang w:val="fr-FR"/>
        </w:rPr>
        <w:t>i l'Argentine prévoyait d’avoir une consommation pendant la période 2030</w:t>
      </w:r>
      <w:r w:rsidR="00BD0C8C" w:rsidRPr="00EE0EF7">
        <w:rPr>
          <w:lang w:val="fr-FR"/>
        </w:rPr>
        <w:noBreakHyphen/>
      </w:r>
      <w:r w:rsidR="00C74282" w:rsidRPr="00EE0EF7">
        <w:rPr>
          <w:lang w:val="fr-FR"/>
        </w:rPr>
        <w:t>2040, conformément à l'alinéa 8</w:t>
      </w:r>
      <w:r w:rsidRPr="00EE0EF7">
        <w:rPr>
          <w:vertAlign w:val="superscript"/>
          <w:lang w:val="fr-FR"/>
        </w:rPr>
        <w:t>ter</w:t>
      </w:r>
      <w:r w:rsidR="00C74282" w:rsidRPr="00EE0EF7">
        <w:rPr>
          <w:lang w:val="fr-FR"/>
        </w:rPr>
        <w:t xml:space="preserve"> e) i) de l’Article 5 du Protocole de Montréal, les modifications apportée à l'Accord qu'elle a passé avec le Comité exécutif couvrant la période postérieure à 2030 ;</w:t>
      </w:r>
    </w:p>
    <w:p w14:paraId="20B1D32C" w14:textId="77777777" w:rsidR="00C74282" w:rsidRPr="00EE0EF7" w:rsidRDefault="00C74282" w:rsidP="00696EBB">
      <w:pPr>
        <w:pStyle w:val="Heading2"/>
        <w:ind w:left="1440" w:hanging="720"/>
        <w:rPr>
          <w:lang w:val="fr-FR"/>
        </w:rPr>
      </w:pPr>
      <w:r w:rsidRPr="00EE0EF7">
        <w:rPr>
          <w:lang w:val="fr-FR"/>
        </w:rPr>
        <w:t>Déduire 178,79 tonnes PAO de HCFC de la consommation restante de HCFC admissible au financement ;</w:t>
      </w:r>
    </w:p>
    <w:p w14:paraId="60FF0F3B" w14:textId="71E51FB4" w:rsidR="00C74282" w:rsidRPr="00EE0EF7" w:rsidRDefault="00C74282" w:rsidP="00696EBB">
      <w:pPr>
        <w:pStyle w:val="Heading2"/>
        <w:ind w:left="1440" w:hanging="720"/>
        <w:rPr>
          <w:lang w:val="fr-FR"/>
        </w:rPr>
      </w:pPr>
      <w:r w:rsidRPr="00EE0EF7">
        <w:rPr>
          <w:lang w:val="fr-FR"/>
        </w:rPr>
        <w:t>Demander à l’ONUDI de soumettre à la 99</w:t>
      </w:r>
      <w:r w:rsidRPr="00EE0EF7">
        <w:rPr>
          <w:vertAlign w:val="superscript"/>
          <w:lang w:val="fr-FR"/>
        </w:rPr>
        <w:t>e</w:t>
      </w:r>
      <w:r w:rsidRPr="00EE0EF7">
        <w:rPr>
          <w:lang w:val="fr-FR"/>
        </w:rPr>
        <w:t xml:space="preserve"> réunion un rapport détaillé comprenant des données actualisées sur les taux de fuite de frigorigènes dans le secteur des pêches, les possibilités d’interventions supplémentaires pour réduire les fuites dans les bateaux de pêche, les progrès réalisés dans l’élaboration du mécanisme d’incitation à la modernisation et des informations supplémentaires sur les technologies à faible PRP qui pourraient être intégrées au projet ;</w:t>
      </w:r>
    </w:p>
    <w:p w14:paraId="33F838E1" w14:textId="77777777" w:rsidR="00C74282" w:rsidRPr="00EE0EF7" w:rsidRDefault="00C74282" w:rsidP="00696EBB">
      <w:pPr>
        <w:pStyle w:val="Heading2"/>
        <w:ind w:left="1440" w:hanging="720"/>
        <w:rPr>
          <w:lang w:val="fr-FR"/>
        </w:rPr>
      </w:pPr>
      <w:r w:rsidRPr="00EE0EF7">
        <w:rPr>
          <w:lang w:val="fr-FR"/>
        </w:rPr>
        <w:t>Approuver :</w:t>
      </w:r>
    </w:p>
    <w:p w14:paraId="54AADF89" w14:textId="6743C38F" w:rsidR="00C74282" w:rsidRPr="00EE0EF7" w:rsidRDefault="000321E8" w:rsidP="00CB2A72">
      <w:pPr>
        <w:pStyle w:val="Heading3"/>
        <w:ind w:left="2160" w:hanging="540"/>
        <w:rPr>
          <w:lang w:val="fr-FR"/>
        </w:rPr>
      </w:pPr>
      <w:r w:rsidRPr="00EE0EF7">
        <w:rPr>
          <w:lang w:val="fr-FR"/>
        </w:rPr>
        <w:t>le</w:t>
      </w:r>
      <w:r w:rsidR="00C74282" w:rsidRPr="00EE0EF7">
        <w:rPr>
          <w:lang w:val="fr-FR"/>
        </w:rPr>
        <w:t xml:space="preserve"> projet d’Accord entre le Gouvernement de l'Argentine et le Comité exécutif visant la réduction de la consommation de HCFC, en accord avec la phase III du PGEH se trouvant en annexe I du présent document ; et</w:t>
      </w:r>
    </w:p>
    <w:p w14:paraId="6F08C8BA" w14:textId="2DB22130" w:rsidR="00C74282" w:rsidRPr="00EE0EF7" w:rsidRDefault="00C74282" w:rsidP="00CB2A72">
      <w:pPr>
        <w:pStyle w:val="Heading3"/>
        <w:ind w:left="2160" w:hanging="540"/>
        <w:rPr>
          <w:lang w:val="fr-FR"/>
        </w:rPr>
        <w:sectPr w:rsidR="00C74282" w:rsidRPr="00EE0EF7" w:rsidSect="00C74282">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pPr>
      <w:r w:rsidRPr="00EE0EF7">
        <w:rPr>
          <w:lang w:val="fr-FR"/>
        </w:rPr>
        <w:t>la première tranche de la phase III du PGEH pour l'Argentine et le plan de mise en œuvre de la tranche correspondante, d'un montant de 2 548 000 $US, coûts d'appui d'agence en sus à hauteur de 178 360 $US pour</w:t>
      </w:r>
      <w:r w:rsidRPr="00EE0EF7">
        <w:rPr>
          <w:color w:val="000000"/>
          <w:lang w:val="fr-FR"/>
        </w:rPr>
        <w:t xml:space="preserve"> </w:t>
      </w:r>
      <w:r w:rsidRPr="00EE0EF7">
        <w:rPr>
          <w:lang w:val="fr-FR"/>
        </w:rPr>
        <w:t>l'ONUDI.</w:t>
      </w:r>
    </w:p>
    <w:p w14:paraId="43F55F23" w14:textId="77777777" w:rsidR="008A290B" w:rsidRPr="00EE0EF7" w:rsidRDefault="008A290B" w:rsidP="008A290B">
      <w:pPr>
        <w:spacing w:after="240"/>
        <w:jc w:val="center"/>
        <w:rPr>
          <w:b/>
          <w:bCs/>
          <w:lang w:val="fr-FR"/>
        </w:rPr>
      </w:pPr>
      <w:r w:rsidRPr="00EE0EF7">
        <w:rPr>
          <w:b/>
          <w:bCs/>
          <w:lang w:val="fr-FR"/>
        </w:rPr>
        <w:lastRenderedPageBreak/>
        <w:t>Annexe I</w:t>
      </w:r>
    </w:p>
    <w:p w14:paraId="374F9350" w14:textId="77777777" w:rsidR="008A290B" w:rsidRPr="00EE0EF7" w:rsidRDefault="008A290B" w:rsidP="008A290B">
      <w:pPr>
        <w:jc w:val="center"/>
        <w:rPr>
          <w:b/>
          <w:lang w:val="fr-FR"/>
        </w:rPr>
      </w:pPr>
      <w:r w:rsidRPr="00EE0EF7">
        <w:rPr>
          <w:b/>
          <w:lang w:val="fr-FR"/>
        </w:rPr>
        <w:t>PROJET D’ACCORD ENTRE LE GOUVERNEMENT DE L’ARGENTINE ET LE COMITÉ EXÉCUTIF DU FONDS MULTILATÉRAL POUR LA RÉDUCTION DE LA CONSOMMATION DES HYDROFLUOROCARBURES CONFORMÉMENT À LA TROISIÈME PHASE DU PLAN DE GESTION DE L’ÉLIMINATION DES HCFC</w:t>
      </w:r>
    </w:p>
    <w:p w14:paraId="02D3367D" w14:textId="77777777" w:rsidR="008A290B" w:rsidRPr="00EE0EF7" w:rsidRDefault="008A290B" w:rsidP="008A290B">
      <w:pPr>
        <w:keepNext/>
        <w:spacing w:before="240" w:after="240"/>
        <w:rPr>
          <w:b/>
          <w:lang w:val="fr-FR"/>
        </w:rPr>
      </w:pPr>
      <w:r w:rsidRPr="00EE0EF7">
        <w:rPr>
          <w:b/>
          <w:lang w:val="fr-FR"/>
        </w:rPr>
        <w:t>Objet</w:t>
      </w:r>
    </w:p>
    <w:p w14:paraId="7BDE0564" w14:textId="77777777" w:rsidR="008A290B" w:rsidRPr="00EE0EF7" w:rsidRDefault="008A290B" w:rsidP="008A290B">
      <w:pPr>
        <w:pStyle w:val="Heading1"/>
        <w:numPr>
          <w:ilvl w:val="0"/>
          <w:numId w:val="23"/>
        </w:numPr>
        <w:rPr>
          <w:lang w:val="fr-FR"/>
        </w:rPr>
      </w:pPr>
      <w:r w:rsidRPr="00EE0EF7">
        <w:rPr>
          <w:lang w:val="fr-FR"/>
        </w:rPr>
        <w:t>Le présent Accord représente l’entente conclue entre le Gouvernement de l’Argentine (le « Pays ») et le Comité exécutif concernant la réduction de l’usage réglementé des substances appauvrissant la couche d’ozone (SAO) indiquées à l’Appendice 1-A (les « Substances ») à un niveau durable de zéro tonne PAO d’ici au 1</w:t>
      </w:r>
      <w:r w:rsidRPr="00EE0EF7">
        <w:rPr>
          <w:vertAlign w:val="superscript"/>
          <w:lang w:val="fr-FR"/>
        </w:rPr>
        <w:t>er</w:t>
      </w:r>
      <w:r w:rsidRPr="00EE0EF7">
        <w:rPr>
          <w:lang w:val="fr-FR"/>
        </w:rPr>
        <w:t> janvier 2030, conformément au calendrier de réduction du Protocole Montréal.</w:t>
      </w:r>
    </w:p>
    <w:p w14:paraId="0F81BF13" w14:textId="77777777" w:rsidR="008A290B" w:rsidRPr="00EE0EF7" w:rsidRDefault="008A290B" w:rsidP="008A290B">
      <w:pPr>
        <w:pStyle w:val="Heading1"/>
        <w:rPr>
          <w:lang w:val="fr-FR"/>
        </w:rPr>
      </w:pPr>
      <w:r w:rsidRPr="00EE0EF7">
        <w:rPr>
          <w:lang w:val="fr-FR"/>
        </w:rPr>
        <w:t>Le Pays convient de respecter les limites de consommation annuelle des Substances définies à la ligne 1.2 de l’Appendice 2-A (« Objectifs et financement ») du présent Accord, ainsi que les limites de consommation annuelle précisées dans l’Appendice 1-A pour toutes les Substances. Le Pays consent, en acceptant le présent Accord et lorsque le Comité exécutif s’acquitte de ses obligations de financement décrites au alinéa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aux lignes 4.1.3, 4.2.3, 4.3.3, 4.4.3 et 4.5.3 (consommation résiduelle admissible au financement).</w:t>
      </w:r>
    </w:p>
    <w:p w14:paraId="7F8BFC1D" w14:textId="77777777" w:rsidR="008A290B" w:rsidRPr="00EE0EF7" w:rsidRDefault="008A290B" w:rsidP="008A290B">
      <w:pPr>
        <w:pStyle w:val="Heading1"/>
        <w:rPr>
          <w:lang w:val="fr-FR"/>
        </w:rPr>
      </w:pPr>
      <w:r w:rsidRPr="00EE0EF7">
        <w:rPr>
          <w:lang w:val="fr-FR"/>
        </w:rPr>
        <w:t>Sous réserve du respect par le pays de ses obligations définies dans le présent Accord, le Comité exécutif convient, en principe, d’accorder au pays le financement indiqué à la ligne 3.1 de l’Appendice 2-A. Le Comité exécutif accordera, en principe, ce financement lors de ses réunions spécifiées à l’Appendice 3-A (« Calendrier d’approbation du financement »).</w:t>
      </w:r>
    </w:p>
    <w:p w14:paraId="3853D7ED" w14:textId="77777777" w:rsidR="008A290B" w:rsidRPr="00EE0EF7" w:rsidRDefault="008A290B" w:rsidP="008A290B">
      <w:pPr>
        <w:pStyle w:val="Heading1"/>
        <w:rPr>
          <w:lang w:val="fr-FR"/>
        </w:rPr>
      </w:pPr>
      <w:r w:rsidRPr="00EE0EF7">
        <w:rPr>
          <w:lang w:val="fr-FR"/>
        </w:rPr>
        <w:t>Le Pays accepte de mettre en œuvre cet Accord conformément à la phase III du plan de gestion de l’élimination des HCFC approuvé (le « Plan »). Conformément à l’alinéa 5 b) du présent Accord, le Pays acceptera une vérification indépendante du respect des limites de consommation annuelle des Substances, énumérées à la ligne 1.2 de l’Appendice 2-A du présent Accord. La vérification mentionnée ci-dessus sera commandée par l’agence bilatérale ou d’exécution pertinente.</w:t>
      </w:r>
    </w:p>
    <w:p w14:paraId="038F6E73" w14:textId="77777777" w:rsidR="008A290B" w:rsidRPr="00EE0EF7" w:rsidRDefault="008A290B" w:rsidP="008A290B">
      <w:pPr>
        <w:keepNext/>
        <w:spacing w:after="240"/>
        <w:rPr>
          <w:b/>
          <w:lang w:val="fr-FR"/>
        </w:rPr>
      </w:pPr>
      <w:r w:rsidRPr="00EE0EF7">
        <w:rPr>
          <w:b/>
          <w:lang w:val="fr-FR"/>
        </w:rPr>
        <w:t>Conditions de décaissement du financement</w:t>
      </w:r>
    </w:p>
    <w:p w14:paraId="308CF2F7" w14:textId="77777777" w:rsidR="008A290B" w:rsidRPr="00EE0EF7" w:rsidRDefault="008A290B" w:rsidP="008A290B">
      <w:pPr>
        <w:pStyle w:val="Heading1"/>
        <w:rPr>
          <w:lang w:val="fr-FR"/>
        </w:rPr>
      </w:pPr>
      <w:r w:rsidRPr="00EE0EF7">
        <w:rPr>
          <w:lang w:val="fr-FR"/>
        </w:rPr>
        <w:t>Le Comité exécutif accordera le financement prévu selon le calendrier d’approbation du financement uniquement lorsque le Pays aura satisfait aux conditions suivantes, au moins huit semaines avant la réunion du Comité exécutif indiquée dans le calendrier d’approbation du financement :</w:t>
      </w:r>
    </w:p>
    <w:p w14:paraId="2A51C89F" w14:textId="77777777" w:rsidR="008A290B" w:rsidRPr="00EE0EF7" w:rsidRDefault="008A290B" w:rsidP="00CB2A72">
      <w:pPr>
        <w:pStyle w:val="Heading2"/>
        <w:ind w:left="1440" w:hanging="720"/>
        <w:rPr>
          <w:lang w:val="fr-FR"/>
        </w:rPr>
      </w:pPr>
      <w:r w:rsidRPr="00EE0EF7">
        <w:rPr>
          <w:lang w:val="fr-FR"/>
        </w:rPr>
        <w:t>Le Pays a atteint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w:t>
      </w:r>
    </w:p>
    <w:p w14:paraId="1E8A3BE7" w14:textId="77777777" w:rsidR="008A290B" w:rsidRPr="00EE0EF7" w:rsidRDefault="008A290B" w:rsidP="00CB2A72">
      <w:pPr>
        <w:pStyle w:val="Heading2"/>
        <w:ind w:left="1440" w:hanging="720"/>
        <w:rPr>
          <w:lang w:val="fr-FR"/>
        </w:rPr>
      </w:pPr>
      <w:r w:rsidRPr="00EE0EF7">
        <w:rPr>
          <w:lang w:val="fr-FR"/>
        </w:rPr>
        <w:t>Le respect de ces Objectifs a été vérifié de manière indépendante pour toutes les années concernées, à moins que le Comité exécutif n’ait décidé que cette vérification n’était pas nécessaire ;</w:t>
      </w:r>
    </w:p>
    <w:p w14:paraId="3828D2FA" w14:textId="77777777" w:rsidR="008A290B" w:rsidRPr="00EE0EF7" w:rsidRDefault="008A290B" w:rsidP="00CB2A72">
      <w:pPr>
        <w:pStyle w:val="Heading2"/>
        <w:ind w:left="1440" w:hanging="720"/>
        <w:rPr>
          <w:lang w:val="fr-FR"/>
        </w:rPr>
      </w:pPr>
      <w:r w:rsidRPr="00EE0EF7">
        <w:rPr>
          <w:lang w:val="fr-FR"/>
        </w:rPr>
        <w:t xml:space="preserve">Le Pays a présenté un rapport de mise en œuvre de la tranche sous la forme de </w:t>
      </w:r>
      <w:r w:rsidRPr="00EE0EF7">
        <w:rPr>
          <w:lang w:val="fr-FR"/>
        </w:rPr>
        <w:lastRenderedPageBreak/>
        <w:t>l’Appendice 4-A (« Format des rapports et plans de mise en œuvre de la tranche ») pour chaque année civile précédente ; il a atteint un niveau significatif de mise en œuvre des activités initiées avec les tranches précédemment approuvées ; et le taux de décaissement du financement disponible de la tranche précédemment approuvée était supérieur à 20 % ;</w:t>
      </w:r>
    </w:p>
    <w:p w14:paraId="1132944B" w14:textId="77777777" w:rsidR="008A290B" w:rsidRPr="00EE0EF7" w:rsidRDefault="008A290B" w:rsidP="00CB2A72">
      <w:pPr>
        <w:pStyle w:val="Heading2"/>
        <w:ind w:left="1440" w:hanging="720"/>
        <w:rPr>
          <w:lang w:val="fr-FR"/>
        </w:rPr>
      </w:pPr>
      <w:r w:rsidRPr="00EE0EF7">
        <w:rPr>
          <w:lang w:val="fr-FR"/>
        </w:rPr>
        <w:t>Le Pays a soumis un plan annuel de mise en œuvre de la tranche et a reçu l’approbation du Comité exécutif, sous la forme indiquée à l’Appendice 4-A, pour chaque année civile, y compris l’année au cours de laquelle le calendrier de financement prévoit la soumission de la tranche suivante, ou, dans le cas de la tranche finale, jusqu’à l’achèvement de toutes les activités prévues.</w:t>
      </w:r>
    </w:p>
    <w:p w14:paraId="5C6FC20F" w14:textId="77777777" w:rsidR="008A290B" w:rsidRPr="00EE0EF7" w:rsidRDefault="008A290B" w:rsidP="008A290B">
      <w:pPr>
        <w:keepNext/>
        <w:spacing w:before="240" w:after="240"/>
        <w:rPr>
          <w:b/>
          <w:lang w:val="fr-FR"/>
        </w:rPr>
      </w:pPr>
      <w:r w:rsidRPr="00EE0EF7">
        <w:rPr>
          <w:b/>
          <w:lang w:val="fr-FR"/>
        </w:rPr>
        <w:t>Suivi</w:t>
      </w:r>
    </w:p>
    <w:p w14:paraId="467497DC" w14:textId="77777777" w:rsidR="008A290B" w:rsidRPr="00EE0EF7" w:rsidRDefault="008A290B" w:rsidP="008A290B">
      <w:pPr>
        <w:pStyle w:val="Heading1"/>
        <w:rPr>
          <w:lang w:val="fr-FR"/>
        </w:rPr>
      </w:pPr>
      <w:r w:rsidRPr="00EE0EF7">
        <w:rPr>
          <w:lang w:val="fr-FR"/>
        </w:rPr>
        <w:t>Le Pays veillera à effectuer un suivi précis de ses activités dans le cadre du présent Accord. Les institutions spécifiées à l’Appendice 5-A (« Les institutions de suivi et leur rôle ») assureront le suivi et soumettront un rapport sur la mise en œuvre des activités des plans précédents de mise en œuvre de la tranche, conformément à leurs rôles et responsabilités précisés dans le même Appendice.</w:t>
      </w:r>
    </w:p>
    <w:p w14:paraId="01F2A7AB" w14:textId="77777777" w:rsidR="008A290B" w:rsidRPr="00EE0EF7" w:rsidRDefault="008A290B" w:rsidP="008A290B">
      <w:pPr>
        <w:keepNext/>
        <w:spacing w:before="240" w:after="240"/>
        <w:rPr>
          <w:b/>
          <w:lang w:val="fr-FR"/>
        </w:rPr>
      </w:pPr>
      <w:r w:rsidRPr="00EE0EF7">
        <w:rPr>
          <w:b/>
          <w:lang w:val="fr-FR"/>
        </w:rPr>
        <w:t>Souplesse dans la réaffectation des fonds</w:t>
      </w:r>
    </w:p>
    <w:p w14:paraId="55170F4E" w14:textId="77777777" w:rsidR="008A290B" w:rsidRPr="00EE0EF7" w:rsidRDefault="008A290B" w:rsidP="008A290B">
      <w:pPr>
        <w:pStyle w:val="Heading1"/>
        <w:rPr>
          <w:lang w:val="fr-FR"/>
        </w:rPr>
      </w:pPr>
      <w:r w:rsidRPr="00EE0EF7">
        <w:rPr>
          <w:lang w:val="fr-FR"/>
        </w:rPr>
        <w:t>Le Comité exécutif accepte que le Pays puisse bénéficier d’une certaine souplesse pour réaffecter une partie ou la totalité des fonds approuvés, en fonction de l’évolution des circonstances, afin de parvenir à la réduction la plus harmonieuse de la consommation et à l’élimination des Substances énumérées à l’Appendice 1-A :</w:t>
      </w:r>
    </w:p>
    <w:p w14:paraId="70B3086A" w14:textId="77777777" w:rsidR="008A290B" w:rsidRPr="00EE0EF7" w:rsidRDefault="008A290B" w:rsidP="00CB2A72">
      <w:pPr>
        <w:pStyle w:val="Heading2"/>
        <w:ind w:left="1440" w:hanging="720"/>
        <w:rPr>
          <w:lang w:val="fr-FR"/>
        </w:rPr>
      </w:pPr>
      <w:r w:rsidRPr="00EE0EF7">
        <w:rPr>
          <w:lang w:val="fr-FR"/>
        </w:rPr>
        <w:t>Les réaffectations classées comme changements majeurs doivent être documentées à l’avance, soit dans un plan de mise en œuvre de la tranche, tel que prévu à l’alinéa 5 d) ci-dessus, soit dans une révision du plan de mise en œuvre de la tranche existant, à remettre huit semaines avant toute réunion du Comité exécutif, pour approbation. Les changements majeurs concernent :</w:t>
      </w:r>
    </w:p>
    <w:p w14:paraId="1F56BCA0" w14:textId="77777777" w:rsidR="008A290B" w:rsidRPr="00EE0EF7" w:rsidRDefault="008A290B" w:rsidP="00CB2A72">
      <w:pPr>
        <w:pStyle w:val="Heading3"/>
        <w:ind w:left="2160" w:hanging="540"/>
        <w:rPr>
          <w:lang w:val="fr-FR"/>
        </w:rPr>
      </w:pPr>
      <w:r w:rsidRPr="00EE0EF7">
        <w:rPr>
          <w:lang w:val="fr-FR"/>
        </w:rPr>
        <w:t>Des enjeux qui pourraient concerner les règles et politiques du Fonds multilatéral ;</w:t>
      </w:r>
    </w:p>
    <w:p w14:paraId="5D8F122D" w14:textId="77777777" w:rsidR="008A290B" w:rsidRPr="00EE0EF7" w:rsidRDefault="008A290B" w:rsidP="00CB2A72">
      <w:pPr>
        <w:pStyle w:val="Heading3"/>
        <w:ind w:left="2160" w:hanging="540"/>
        <w:rPr>
          <w:lang w:val="fr-FR"/>
        </w:rPr>
      </w:pPr>
      <w:r w:rsidRPr="00EE0EF7">
        <w:rPr>
          <w:lang w:val="fr-FR"/>
        </w:rPr>
        <w:t>Des changements qui modifieraient une clause quelconque du présent Accord ;</w:t>
      </w:r>
    </w:p>
    <w:p w14:paraId="54B93033" w14:textId="77777777" w:rsidR="008A290B" w:rsidRPr="00EE0EF7" w:rsidRDefault="008A290B" w:rsidP="00CB2A72">
      <w:pPr>
        <w:pStyle w:val="Heading3"/>
        <w:ind w:left="2160" w:hanging="540"/>
        <w:rPr>
          <w:lang w:val="fr-FR"/>
        </w:rPr>
      </w:pPr>
      <w:r w:rsidRPr="00EE0EF7">
        <w:rPr>
          <w:lang w:val="fr-FR"/>
        </w:rPr>
        <w:t>Des changements dans les montants annuels du financement alloué à des agences individuelles bilatérales ou d’exécution pour les différentes tranches ;</w:t>
      </w:r>
    </w:p>
    <w:p w14:paraId="5F7AE4EC" w14:textId="77777777" w:rsidR="008A290B" w:rsidRPr="00EE0EF7" w:rsidRDefault="008A290B" w:rsidP="00CB2A72">
      <w:pPr>
        <w:pStyle w:val="Heading3"/>
        <w:ind w:left="2160" w:hanging="540"/>
        <w:rPr>
          <w:lang w:val="fr-FR"/>
        </w:rPr>
      </w:pPr>
      <w:r w:rsidRPr="00EE0EF7">
        <w:rPr>
          <w:lang w:val="fr-FR"/>
        </w:rPr>
        <w:t>L’octroi de fonds pour des activités qui ne sont pas incluses dans le plan approuvé de mise en œuvre de la tranche en cours ou bien le retrait d’une activité du plan de mise en œuvre de la tranche, représentant un coût supérieur à 30 % du coût total de la dernière tranche approuvée ;</w:t>
      </w:r>
    </w:p>
    <w:p w14:paraId="08AD2E1E" w14:textId="77777777" w:rsidR="008A290B" w:rsidRPr="00EE0EF7" w:rsidRDefault="008A290B" w:rsidP="00CB2A72">
      <w:pPr>
        <w:pStyle w:val="Heading3"/>
        <w:ind w:left="2160" w:hanging="540"/>
        <w:rPr>
          <w:lang w:val="fr-FR"/>
        </w:rPr>
      </w:pPr>
      <w:r w:rsidRPr="00EE0EF7">
        <w:rPr>
          <w:lang w:val="fr-FR"/>
        </w:rPr>
        <w:t>Des changements dans les technologies de remplacement, en étant entendu que toute soumission relative à une telle demande devra identifier les coûts différentiels associés, l’incidence potentielle sur le climat et toute différence en tonnes PAO à éliminer, le cas échéant, et confirmer que le Pays accepte que les économies potentielles liées à ce changement de technologie réduisent, en conséquence, le niveau de financement global prévu dans le présent Accord ;</w:t>
      </w:r>
    </w:p>
    <w:p w14:paraId="76CEFC74" w14:textId="77777777" w:rsidR="008A290B" w:rsidRPr="00EE0EF7" w:rsidRDefault="008A290B" w:rsidP="00CB2A72">
      <w:pPr>
        <w:pStyle w:val="Heading2"/>
        <w:ind w:left="1440" w:hanging="720"/>
        <w:rPr>
          <w:lang w:val="fr-FR"/>
        </w:rPr>
      </w:pPr>
      <w:r w:rsidRPr="00EE0EF7">
        <w:rPr>
          <w:lang w:val="fr-FR"/>
        </w:rPr>
        <w:t xml:space="preserve">Les réaffectations qui ne sont pas classées comme changements importants peuvent être intégrées au plan annuel de mise en œuvre de la tranche approuvée, en cours d’application à ce moment, et communiquées au Comité exécutif dans le rapport de mise en œuvre de la </w:t>
      </w:r>
      <w:r w:rsidRPr="00EE0EF7">
        <w:rPr>
          <w:lang w:val="fr-FR"/>
        </w:rPr>
        <w:lastRenderedPageBreak/>
        <w:t xml:space="preserve">tranche suivant ; </w:t>
      </w:r>
    </w:p>
    <w:p w14:paraId="7DB7D9E2" w14:textId="2006DC86" w:rsidR="008A290B" w:rsidRPr="00EE0EF7" w:rsidRDefault="008A290B" w:rsidP="00CB2A72">
      <w:pPr>
        <w:pStyle w:val="Heading2"/>
        <w:ind w:left="1440" w:hanging="720"/>
        <w:rPr>
          <w:lang w:val="fr-FR"/>
        </w:rPr>
      </w:pPr>
      <w:r w:rsidRPr="00EE0EF7">
        <w:rPr>
          <w:lang w:val="fr-FR"/>
        </w:rPr>
        <w:t>Nulle entreprise dont il aura été constaté qu’elle n’est pas admissible selon les règles du Fonds multilatéral (qu’elle soit en mains étrangères ou qu’elle ait été créée après le 21 septembre 2007) ne recevra d’aide financière pour se reconvertir aux technologies exemptes de HCFC au titre du Plan. Ces informations seront transcrit</w:t>
      </w:r>
      <w:r w:rsidR="000321E8" w:rsidRPr="00EE0EF7">
        <w:rPr>
          <w:lang w:val="fr-FR"/>
        </w:rPr>
        <w:t>e</w:t>
      </w:r>
      <w:r w:rsidRPr="00EE0EF7">
        <w:rPr>
          <w:lang w:val="fr-FR"/>
        </w:rPr>
        <w:t>s dans le Plan de mise en œuvre de la tranche ; et</w:t>
      </w:r>
    </w:p>
    <w:p w14:paraId="112EBB19" w14:textId="77777777" w:rsidR="008A290B" w:rsidRPr="00EE0EF7" w:rsidRDefault="008A290B" w:rsidP="00CB2A72">
      <w:pPr>
        <w:pStyle w:val="Heading2"/>
        <w:ind w:left="1440" w:hanging="720"/>
        <w:rPr>
          <w:lang w:val="fr-FR"/>
        </w:rPr>
      </w:pPr>
      <w:r w:rsidRPr="00EE0EF7">
        <w:rPr>
          <w:lang w:val="fr-FR"/>
        </w:rPr>
        <w:t>Tous les fonds restants, détenus par les agences bilatérales ou d’exécution ou par le Pays dans le cadre du Plan, seront restitués au Fonds multilatéral à l’achèvement de la dernière tranche prévue dans le cadre du présent Accord.</w:t>
      </w:r>
    </w:p>
    <w:p w14:paraId="48CC7BA2" w14:textId="77777777" w:rsidR="008A290B" w:rsidRPr="00EE0EF7" w:rsidRDefault="008A290B" w:rsidP="008A290B">
      <w:pPr>
        <w:keepNext/>
        <w:spacing w:before="240" w:after="240"/>
        <w:rPr>
          <w:b/>
          <w:lang w:val="fr-FR"/>
        </w:rPr>
      </w:pPr>
      <w:r w:rsidRPr="00EE0EF7">
        <w:rPr>
          <w:b/>
          <w:lang w:val="fr-FR"/>
        </w:rPr>
        <w:t>Considérations relatives au secteur de l’entretien de l’équipement de réfrigération</w:t>
      </w:r>
    </w:p>
    <w:p w14:paraId="67AFCF9D" w14:textId="77777777" w:rsidR="008A290B" w:rsidRPr="00EE0EF7" w:rsidRDefault="008A290B" w:rsidP="008A290B">
      <w:pPr>
        <w:pStyle w:val="Heading1"/>
        <w:rPr>
          <w:lang w:val="fr-FR"/>
        </w:rPr>
      </w:pPr>
      <w:r w:rsidRPr="00EE0EF7">
        <w:rPr>
          <w:lang w:val="fr-FR"/>
        </w:rPr>
        <w:t>Une attention particulière sera accordée à la réalisation des activités dans le secteur de l’entretien de l’équipement de réfrigération, notamment :</w:t>
      </w:r>
    </w:p>
    <w:p w14:paraId="5EBCAB1A" w14:textId="77777777" w:rsidR="008A290B" w:rsidRPr="00EE0EF7" w:rsidRDefault="008A290B" w:rsidP="00CB2A72">
      <w:pPr>
        <w:pStyle w:val="Heading2"/>
        <w:ind w:left="1440" w:hanging="720"/>
        <w:rPr>
          <w:lang w:val="fr-FR"/>
        </w:rPr>
      </w:pPr>
      <w:r w:rsidRPr="00EE0EF7">
        <w:rPr>
          <w:lang w:val="fr-FR"/>
        </w:rPr>
        <w:t>Le Pays utilisera la souplesse prévue dans le cadre du présent Accord pour répondre aux besoins spécifiques qui pourraient survenir durant la mise en œuvre du projet ; et</w:t>
      </w:r>
    </w:p>
    <w:p w14:paraId="06FCE1F6" w14:textId="77777777" w:rsidR="008A290B" w:rsidRPr="00EE0EF7" w:rsidRDefault="008A290B" w:rsidP="00CB2A72">
      <w:pPr>
        <w:pStyle w:val="Heading2"/>
        <w:ind w:left="1440" w:hanging="720"/>
        <w:rPr>
          <w:lang w:val="fr-FR"/>
        </w:rPr>
      </w:pPr>
      <w:r w:rsidRPr="00EE0EF7">
        <w:rPr>
          <w:lang w:val="fr-FR"/>
        </w:rPr>
        <w:t>Le Pays et les agences bilatérales et/ou d’exécution concernées tiendront compte des décisions pertinentes concernant le secteur de l’entretien de l’équipement de réfrigération pendant la mise en œuvre du Plan.</w:t>
      </w:r>
    </w:p>
    <w:p w14:paraId="2E7541DB" w14:textId="77777777" w:rsidR="008A290B" w:rsidRPr="00EE0EF7" w:rsidRDefault="008A290B" w:rsidP="008A290B">
      <w:pPr>
        <w:keepNext/>
        <w:spacing w:before="240" w:after="240"/>
        <w:rPr>
          <w:b/>
          <w:lang w:val="fr-FR"/>
        </w:rPr>
      </w:pPr>
      <w:r w:rsidRPr="00EE0EF7">
        <w:rPr>
          <w:b/>
          <w:lang w:val="fr-FR"/>
        </w:rPr>
        <w:t>Agences bilatérales et d’exécution</w:t>
      </w:r>
    </w:p>
    <w:p w14:paraId="636C3DD5" w14:textId="77777777" w:rsidR="008A290B" w:rsidRPr="00EE0EF7" w:rsidRDefault="008A290B" w:rsidP="008A290B">
      <w:pPr>
        <w:pStyle w:val="Heading1"/>
        <w:rPr>
          <w:lang w:val="fr-FR"/>
        </w:rPr>
      </w:pPr>
      <w:r w:rsidRPr="00EE0EF7">
        <w:rPr>
          <w:lang w:val="fr-FR"/>
        </w:rPr>
        <w:t>Le Pays s’engage à assumer l’entière responsabilité de la gestion et de la mise en œuvre du présent Accord et de toutes les activités entreprises qu’il engagera ou qui sont engagées en son nom afin de remplir les obligations prévues par le présent Accord. L’ONUDI est convenue d’agir en qualité d’agence d’exécution principale (« l’Agence principale ») en ce qui concerne les activités du Pays prévues en vertu du présent Accord. Le Pays accepte les évaluations périodiques qui pourront être effectuées dans le cadre des programmes de surveillance et d’évaluation du Fonds multilatéral ou du programme d’évaluation de l’Agence principale participant au présent Accord.</w:t>
      </w:r>
    </w:p>
    <w:p w14:paraId="4A8CF4F6" w14:textId="77777777" w:rsidR="008A290B" w:rsidRPr="00EE0EF7" w:rsidRDefault="008A290B" w:rsidP="008A290B">
      <w:pPr>
        <w:pStyle w:val="Heading1"/>
        <w:rPr>
          <w:lang w:val="fr-FR"/>
        </w:rPr>
      </w:pPr>
      <w:r w:rsidRPr="00EE0EF7">
        <w:rPr>
          <w:lang w:val="fr-FR"/>
        </w:rPr>
        <w:t>L’Agence d’exécution principale sera responsable de la coordination de la planification, de la mise en œuvre et des rapports pour toutes les activités dans le cadre du présent Accord, comprenant entre autres la vérification indépendante indiquée à l’alinéa 5 b). Le rôle de l’Agence d’exécution principale est énoncé dans l’Appendice 6-A. Le Comité exécutif accepte, en principe, de verser à l’Agence principale les montants indiqués à la ligne 2.2 de l’Appendice 2-A.</w:t>
      </w:r>
    </w:p>
    <w:p w14:paraId="1C9E6061" w14:textId="77777777" w:rsidR="008A290B" w:rsidRPr="00EE0EF7" w:rsidRDefault="008A290B" w:rsidP="008A290B">
      <w:pPr>
        <w:keepNext/>
        <w:spacing w:before="240" w:after="240"/>
        <w:rPr>
          <w:b/>
          <w:lang w:val="fr-FR"/>
        </w:rPr>
      </w:pPr>
      <w:r w:rsidRPr="00EE0EF7">
        <w:rPr>
          <w:b/>
          <w:lang w:val="fr-FR"/>
        </w:rPr>
        <w:t>Non-respect de l’Accord</w:t>
      </w:r>
    </w:p>
    <w:p w14:paraId="02E42902" w14:textId="77777777" w:rsidR="008A290B" w:rsidRPr="00EE0EF7" w:rsidRDefault="008A290B" w:rsidP="008A290B">
      <w:pPr>
        <w:pStyle w:val="Heading1"/>
        <w:rPr>
          <w:lang w:val="fr-FR"/>
        </w:rPr>
      </w:pPr>
      <w:r w:rsidRPr="00EE0EF7">
        <w:rPr>
          <w:lang w:val="fr-FR"/>
        </w:rPr>
        <w:t xml:space="preserve">Si, pour une quelconque raison, le Pays ne respecte pas les Objectifs d’élimination des Substances énumérées à la ligne 1.2 de l’Appendice 2-A ou bien ne se conforme pas au présent Accord, il accepte qu’il n’ait alors plus droit au financement selon le Calendrier d’approbation du financement. Il appartient au Comité exécutif de rétablir ce financement selon un calendrier révisé d’approbation du financement établi par ses soins, une fois que le Pays aura démontré qu’il a rempli toutes les obligations qu’il devait remplir avant de recevoir la prochaine tranche de financement selon le calendrier d’approbation du financement.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circonstance spécifique dans laquelle le Pays n’a pas respecté l’Accord et prendra des décisions en </w:t>
      </w:r>
      <w:r w:rsidRPr="00EE0EF7">
        <w:rPr>
          <w:lang w:val="fr-FR"/>
        </w:rPr>
        <w:lastRenderedPageBreak/>
        <w:t>conséquence. Une fois les décisions prises, le cas spécifique de non-respect de l’Accord ne constituera pas un obstacle à l’octroi du financement pour des tranches futures selon l’alinéa 5 ci-dessus.</w:t>
      </w:r>
    </w:p>
    <w:p w14:paraId="0605D4F2" w14:textId="77777777" w:rsidR="008A290B" w:rsidRPr="00EE0EF7" w:rsidRDefault="008A290B" w:rsidP="008A290B">
      <w:pPr>
        <w:pStyle w:val="Heading1"/>
        <w:rPr>
          <w:lang w:val="fr-FR"/>
        </w:rPr>
      </w:pPr>
      <w:r w:rsidRPr="00EE0EF7">
        <w:rPr>
          <w:lang w:val="fr-FR"/>
        </w:rPr>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28C709A1" w14:textId="77777777" w:rsidR="008A290B" w:rsidRPr="00EE0EF7" w:rsidRDefault="008A290B" w:rsidP="008A290B">
      <w:pPr>
        <w:pStyle w:val="Heading1"/>
        <w:rPr>
          <w:lang w:val="fr-FR"/>
        </w:rPr>
      </w:pPr>
      <w:r w:rsidRPr="00EE0EF7">
        <w:rPr>
          <w:lang w:val="fr-FR"/>
        </w:rPr>
        <w:t>Le Pays se conformera à toute demande raisonnable du Comité exécutif et de l’Agence d’exécution principale en vue de faciliter la mise en œuvre du présent Accord. En particulier, il permettra à l’Agence d’exécution principale d’accéder aux informations nécessaires pour vérifier la conformité au présent Accord.</w:t>
      </w:r>
    </w:p>
    <w:p w14:paraId="76C93B6B" w14:textId="77777777" w:rsidR="008A290B" w:rsidRPr="00EE0EF7" w:rsidRDefault="008A290B" w:rsidP="008A290B">
      <w:pPr>
        <w:keepNext/>
        <w:widowControl w:val="0"/>
        <w:spacing w:before="240" w:after="240"/>
        <w:rPr>
          <w:b/>
          <w:lang w:val="fr-FR"/>
        </w:rPr>
      </w:pPr>
      <w:r w:rsidRPr="00EE0EF7">
        <w:rPr>
          <w:b/>
          <w:lang w:val="fr-FR"/>
        </w:rPr>
        <w:t>Date d’achèvement</w:t>
      </w:r>
    </w:p>
    <w:p w14:paraId="20F975F1" w14:textId="77777777" w:rsidR="008A290B" w:rsidRPr="00EE0EF7" w:rsidRDefault="008A290B" w:rsidP="008A290B">
      <w:pPr>
        <w:pStyle w:val="Heading1"/>
        <w:rPr>
          <w:lang w:val="fr-FR"/>
        </w:rPr>
      </w:pPr>
      <w:r w:rsidRPr="00EE0EF7">
        <w:rPr>
          <w:lang w:val="fr-FR"/>
        </w:rPr>
        <w:t>L’achèvement du Plan et de l’Accord s’y rapportant aura lieu à la fin de l’année suivant la dernière année pour laquelle le niveau de consommation totale maximale autorisée est spécifié à l’Appendice 2-A. Si des activités prévues dans le plan de mise en œuvre de la dernière tranche et dans ses révisions subséquentes, selon l’alinéa 5 d) et l’alinéa 7, se trouvaient encore en souffrance à cette date, l’achèvement du Plan serait reporté jusqu’à la fin de l’année suivant la mise en œuvre des activités restantes. Les rapports, prévus aux alinéas 1 a), 1 b), 1 d) et 1 e) de l’Appendice 4-A continueront d’être exigés jusqu’à l’achèvement du Plan, à moins d’indication contraire de la part du Comité exécutif.</w:t>
      </w:r>
    </w:p>
    <w:p w14:paraId="1D2E5660" w14:textId="77777777" w:rsidR="008A290B" w:rsidRPr="00EE0EF7" w:rsidRDefault="008A290B" w:rsidP="008A290B">
      <w:pPr>
        <w:keepNext/>
        <w:widowControl w:val="0"/>
        <w:spacing w:before="240" w:after="240"/>
        <w:rPr>
          <w:lang w:val="fr-FR"/>
        </w:rPr>
      </w:pPr>
      <w:r w:rsidRPr="00EE0EF7">
        <w:rPr>
          <w:b/>
          <w:lang w:val="fr-FR"/>
        </w:rPr>
        <w:t>Validité</w:t>
      </w:r>
    </w:p>
    <w:p w14:paraId="15B460B8" w14:textId="77777777" w:rsidR="008A290B" w:rsidRPr="00EE0EF7" w:rsidRDefault="008A290B" w:rsidP="008A290B">
      <w:pPr>
        <w:pStyle w:val="Heading1"/>
        <w:rPr>
          <w:lang w:val="fr-FR"/>
        </w:rPr>
      </w:pPr>
      <w:r w:rsidRPr="00EE0EF7">
        <w:rPr>
          <w:lang w:val="fr-FR"/>
        </w:rPr>
        <w:t>Toutes les conditions stipulées dans le présent Accord sont remplies uniquement dans le contexte du Protocole de Montréal et telles que spécifiées dans le présent Accord. Sauf indication contraire, la signification de tous les termes utilisés dans le présent Accord est celle qui leur est attribuée dans le Protocole de Montréal.</w:t>
      </w:r>
    </w:p>
    <w:p w14:paraId="43EF1D07" w14:textId="77777777" w:rsidR="008A290B" w:rsidRPr="00EE0EF7" w:rsidRDefault="008A290B" w:rsidP="008A290B">
      <w:pPr>
        <w:pStyle w:val="Heading1"/>
        <w:rPr>
          <w:lang w:val="fr-FR"/>
        </w:rPr>
      </w:pPr>
      <w:r w:rsidRPr="00EE0EF7">
        <w:rPr>
          <w:lang w:val="fr-FR"/>
        </w:rPr>
        <w:t>Le présent Accord peut être modifié ou résilié uniquement par consentement mutuel écrit du Pays et du Comité exécutif du Fonds multilatéral.</w:t>
      </w:r>
    </w:p>
    <w:p w14:paraId="4739797F" w14:textId="77777777" w:rsidR="008A290B" w:rsidRPr="00EE0EF7" w:rsidRDefault="008A290B" w:rsidP="008A290B">
      <w:pPr>
        <w:pStyle w:val="Heading1"/>
        <w:keepNext/>
        <w:numPr>
          <w:ilvl w:val="0"/>
          <w:numId w:val="0"/>
        </w:numPr>
        <w:spacing w:before="240"/>
        <w:rPr>
          <w:b/>
          <w:lang w:val="fr-FR"/>
        </w:rPr>
      </w:pPr>
      <w:r w:rsidRPr="00EE0EF7">
        <w:rPr>
          <w:b/>
          <w:lang w:val="fr-FR"/>
        </w:rPr>
        <w:t>APPENDICES</w:t>
      </w:r>
    </w:p>
    <w:p w14:paraId="02F6E2D2" w14:textId="77777777" w:rsidR="008A290B" w:rsidRPr="00EE0EF7" w:rsidRDefault="008A290B" w:rsidP="008A290B">
      <w:pPr>
        <w:pStyle w:val="Heading1"/>
        <w:keepNext/>
        <w:numPr>
          <w:ilvl w:val="0"/>
          <w:numId w:val="0"/>
        </w:numPr>
        <w:spacing w:before="240" w:after="0"/>
        <w:rPr>
          <w:b/>
          <w:lang w:val="fr-FR"/>
        </w:rPr>
      </w:pPr>
      <w:r w:rsidRPr="00EE0EF7">
        <w:rPr>
          <w:b/>
          <w:lang w:val="fr-FR"/>
        </w:rPr>
        <w:t>APPENDICE 1-A : LES SUBSTANCES</w:t>
      </w:r>
    </w:p>
    <w:tbl>
      <w:tblPr>
        <w:tblW w:w="5872"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4"/>
        <w:gridCol w:w="1254"/>
        <w:gridCol w:w="1276"/>
        <w:gridCol w:w="5917"/>
      </w:tblGrid>
      <w:tr w:rsidR="001A1185" w:rsidRPr="00CE7B9D" w14:paraId="673ADA19" w14:textId="77777777" w:rsidTr="0065152F">
        <w:trPr>
          <w:trHeight w:val="413"/>
          <w:tblHeader/>
        </w:trPr>
        <w:tc>
          <w:tcPr>
            <w:tcW w:w="1154" w:type="pct"/>
            <w:vAlign w:val="center"/>
          </w:tcPr>
          <w:p w14:paraId="5468320F" w14:textId="77777777" w:rsidR="008A290B" w:rsidRPr="00EE0EF7" w:rsidRDefault="008A290B" w:rsidP="008A290B">
            <w:pPr>
              <w:keepNext/>
              <w:jc w:val="center"/>
              <w:rPr>
                <w:sz w:val="20"/>
                <w:szCs w:val="20"/>
                <w:lang w:val="fr-FR"/>
              </w:rPr>
            </w:pPr>
            <w:r w:rsidRPr="00EE0EF7">
              <w:rPr>
                <w:sz w:val="20"/>
                <w:szCs w:val="20"/>
                <w:lang w:val="fr-FR"/>
              </w:rPr>
              <w:t>Substance</w:t>
            </w:r>
          </w:p>
        </w:tc>
        <w:tc>
          <w:tcPr>
            <w:tcW w:w="571" w:type="pct"/>
            <w:vAlign w:val="center"/>
          </w:tcPr>
          <w:p w14:paraId="3C5543E4" w14:textId="77777777" w:rsidR="008A290B" w:rsidRPr="00EE0EF7" w:rsidRDefault="008A290B" w:rsidP="008A290B">
            <w:pPr>
              <w:keepNext/>
              <w:jc w:val="center"/>
              <w:rPr>
                <w:sz w:val="20"/>
                <w:szCs w:val="20"/>
                <w:lang w:val="fr-FR"/>
              </w:rPr>
            </w:pPr>
            <w:r w:rsidRPr="00EE0EF7">
              <w:rPr>
                <w:sz w:val="20"/>
                <w:szCs w:val="20"/>
                <w:lang w:val="fr-FR"/>
              </w:rPr>
              <w:t>Annexe</w:t>
            </w:r>
          </w:p>
        </w:tc>
        <w:tc>
          <w:tcPr>
            <w:tcW w:w="581" w:type="pct"/>
            <w:vAlign w:val="center"/>
          </w:tcPr>
          <w:p w14:paraId="2E1A5586" w14:textId="77777777" w:rsidR="008A290B" w:rsidRPr="00EE0EF7" w:rsidRDefault="008A290B" w:rsidP="008A290B">
            <w:pPr>
              <w:keepNext/>
              <w:jc w:val="center"/>
              <w:rPr>
                <w:sz w:val="20"/>
                <w:szCs w:val="20"/>
                <w:lang w:val="fr-FR"/>
              </w:rPr>
            </w:pPr>
            <w:r w:rsidRPr="00EE0EF7">
              <w:rPr>
                <w:sz w:val="20"/>
                <w:szCs w:val="20"/>
                <w:lang w:val="fr-FR"/>
              </w:rPr>
              <w:t>Groupe</w:t>
            </w:r>
          </w:p>
        </w:tc>
        <w:tc>
          <w:tcPr>
            <w:tcW w:w="2694" w:type="pct"/>
            <w:vAlign w:val="center"/>
          </w:tcPr>
          <w:p w14:paraId="434FCB66" w14:textId="12BB66D1" w:rsidR="008A290B" w:rsidRPr="00EE0EF7" w:rsidRDefault="008A290B" w:rsidP="008A290B">
            <w:pPr>
              <w:keepNext/>
              <w:jc w:val="center"/>
              <w:rPr>
                <w:sz w:val="20"/>
                <w:szCs w:val="20"/>
                <w:lang w:val="fr-FR"/>
              </w:rPr>
            </w:pPr>
            <w:r w:rsidRPr="00EE0EF7">
              <w:rPr>
                <w:sz w:val="20"/>
                <w:lang w:val="fr-FR"/>
              </w:rPr>
              <w:t>Point de départ des réductions globales de consommation (</w:t>
            </w:r>
            <w:r w:rsidR="001A1185">
              <w:rPr>
                <w:sz w:val="20"/>
                <w:lang w:val="fr-FR"/>
              </w:rPr>
              <w:t>t</w:t>
            </w:r>
            <w:r w:rsidRPr="00EE0EF7">
              <w:rPr>
                <w:sz w:val="20"/>
                <w:lang w:val="fr-FR"/>
              </w:rPr>
              <w:t xml:space="preserve"> PAO)</w:t>
            </w:r>
          </w:p>
        </w:tc>
      </w:tr>
      <w:tr w:rsidR="001A1185" w:rsidRPr="00EE0EF7" w14:paraId="71DE13D0" w14:textId="77777777" w:rsidTr="0065152F">
        <w:tc>
          <w:tcPr>
            <w:tcW w:w="1154" w:type="pct"/>
          </w:tcPr>
          <w:p w14:paraId="57CDED50" w14:textId="77777777" w:rsidR="008A290B" w:rsidRPr="00EE0EF7" w:rsidRDefault="008A290B" w:rsidP="008A290B">
            <w:pPr>
              <w:keepNext/>
              <w:rPr>
                <w:sz w:val="20"/>
                <w:szCs w:val="20"/>
                <w:lang w:val="fr-FR"/>
              </w:rPr>
            </w:pPr>
            <w:r w:rsidRPr="00EE0EF7">
              <w:rPr>
                <w:sz w:val="20"/>
                <w:szCs w:val="20"/>
                <w:lang w:val="fr-FR"/>
              </w:rPr>
              <w:t>HCFC-22</w:t>
            </w:r>
          </w:p>
        </w:tc>
        <w:tc>
          <w:tcPr>
            <w:tcW w:w="571" w:type="pct"/>
            <w:vAlign w:val="center"/>
          </w:tcPr>
          <w:p w14:paraId="1215F60C" w14:textId="77777777" w:rsidR="008A290B" w:rsidRPr="00EE0EF7" w:rsidRDefault="008A290B" w:rsidP="008A290B">
            <w:pPr>
              <w:keepNext/>
              <w:jc w:val="center"/>
              <w:rPr>
                <w:sz w:val="20"/>
                <w:szCs w:val="20"/>
                <w:lang w:val="fr-FR"/>
              </w:rPr>
            </w:pPr>
            <w:r w:rsidRPr="00EE0EF7">
              <w:rPr>
                <w:sz w:val="20"/>
                <w:szCs w:val="20"/>
                <w:lang w:val="fr-FR"/>
              </w:rPr>
              <w:t>C</w:t>
            </w:r>
          </w:p>
        </w:tc>
        <w:tc>
          <w:tcPr>
            <w:tcW w:w="581" w:type="pct"/>
            <w:vAlign w:val="center"/>
          </w:tcPr>
          <w:p w14:paraId="6F8CF7FC" w14:textId="77777777" w:rsidR="008A290B" w:rsidRPr="00EE0EF7" w:rsidRDefault="008A290B" w:rsidP="008A290B">
            <w:pPr>
              <w:keepNext/>
              <w:jc w:val="center"/>
              <w:rPr>
                <w:sz w:val="20"/>
                <w:szCs w:val="20"/>
                <w:lang w:val="fr-FR"/>
              </w:rPr>
            </w:pPr>
            <w:r w:rsidRPr="00EE0EF7">
              <w:rPr>
                <w:sz w:val="20"/>
                <w:szCs w:val="20"/>
                <w:lang w:val="fr-FR"/>
              </w:rPr>
              <w:t>I</w:t>
            </w:r>
          </w:p>
        </w:tc>
        <w:tc>
          <w:tcPr>
            <w:tcW w:w="2694" w:type="pct"/>
          </w:tcPr>
          <w:p w14:paraId="0E125F48" w14:textId="77777777" w:rsidR="008A290B" w:rsidRPr="00EE0EF7" w:rsidRDefault="008A290B" w:rsidP="008A290B">
            <w:pPr>
              <w:keepNext/>
              <w:jc w:val="right"/>
              <w:rPr>
                <w:sz w:val="20"/>
                <w:szCs w:val="20"/>
                <w:lang w:val="fr-FR"/>
              </w:rPr>
            </w:pPr>
            <w:r w:rsidRPr="00EE0EF7">
              <w:rPr>
                <w:sz w:val="20"/>
                <w:szCs w:val="20"/>
                <w:lang w:val="fr-FR"/>
              </w:rPr>
              <w:t>266,20</w:t>
            </w:r>
          </w:p>
        </w:tc>
      </w:tr>
      <w:tr w:rsidR="001A1185" w:rsidRPr="00EE0EF7" w14:paraId="3B977554" w14:textId="77777777" w:rsidTr="0065152F">
        <w:tc>
          <w:tcPr>
            <w:tcW w:w="1154" w:type="pct"/>
          </w:tcPr>
          <w:p w14:paraId="6FAAF76A" w14:textId="77777777" w:rsidR="008A290B" w:rsidRPr="00EE0EF7" w:rsidRDefault="008A290B" w:rsidP="008A290B">
            <w:pPr>
              <w:keepNext/>
              <w:rPr>
                <w:sz w:val="20"/>
                <w:szCs w:val="20"/>
                <w:lang w:val="fr-FR"/>
              </w:rPr>
            </w:pPr>
            <w:r w:rsidRPr="00EE0EF7">
              <w:rPr>
                <w:sz w:val="20"/>
                <w:szCs w:val="20"/>
                <w:lang w:val="fr-FR"/>
              </w:rPr>
              <w:t>HCFC-123</w:t>
            </w:r>
          </w:p>
        </w:tc>
        <w:tc>
          <w:tcPr>
            <w:tcW w:w="571" w:type="pct"/>
            <w:vAlign w:val="center"/>
          </w:tcPr>
          <w:p w14:paraId="0CE28A3B" w14:textId="77777777" w:rsidR="008A290B" w:rsidRPr="00EE0EF7" w:rsidRDefault="008A290B" w:rsidP="008A290B">
            <w:pPr>
              <w:keepNext/>
              <w:jc w:val="center"/>
              <w:rPr>
                <w:sz w:val="20"/>
                <w:szCs w:val="20"/>
                <w:lang w:val="fr-FR"/>
              </w:rPr>
            </w:pPr>
            <w:r w:rsidRPr="00EE0EF7">
              <w:rPr>
                <w:sz w:val="20"/>
                <w:szCs w:val="20"/>
                <w:lang w:val="fr-FR"/>
              </w:rPr>
              <w:t>C</w:t>
            </w:r>
          </w:p>
        </w:tc>
        <w:tc>
          <w:tcPr>
            <w:tcW w:w="581" w:type="pct"/>
            <w:vAlign w:val="center"/>
          </w:tcPr>
          <w:p w14:paraId="69DDC27D" w14:textId="77777777" w:rsidR="008A290B" w:rsidRPr="00EE0EF7" w:rsidRDefault="008A290B" w:rsidP="008A290B">
            <w:pPr>
              <w:keepNext/>
              <w:jc w:val="center"/>
              <w:rPr>
                <w:sz w:val="20"/>
                <w:szCs w:val="20"/>
                <w:lang w:val="fr-FR"/>
              </w:rPr>
            </w:pPr>
            <w:r w:rsidRPr="00EE0EF7">
              <w:rPr>
                <w:sz w:val="20"/>
                <w:szCs w:val="20"/>
                <w:lang w:val="fr-FR"/>
              </w:rPr>
              <w:t>I</w:t>
            </w:r>
          </w:p>
        </w:tc>
        <w:tc>
          <w:tcPr>
            <w:tcW w:w="2694" w:type="pct"/>
          </w:tcPr>
          <w:p w14:paraId="7B7B1311" w14:textId="77777777" w:rsidR="008A290B" w:rsidRPr="00EE0EF7" w:rsidRDefault="008A290B" w:rsidP="008A290B">
            <w:pPr>
              <w:keepNext/>
              <w:jc w:val="right"/>
              <w:rPr>
                <w:sz w:val="20"/>
                <w:szCs w:val="20"/>
                <w:lang w:val="fr-FR"/>
              </w:rPr>
            </w:pPr>
            <w:r w:rsidRPr="00EE0EF7">
              <w:rPr>
                <w:sz w:val="20"/>
                <w:szCs w:val="20"/>
                <w:lang w:val="fr-FR"/>
              </w:rPr>
              <w:t>1,57</w:t>
            </w:r>
          </w:p>
        </w:tc>
      </w:tr>
      <w:tr w:rsidR="001A1185" w:rsidRPr="00EE0EF7" w14:paraId="2F3EA4BE" w14:textId="77777777" w:rsidTr="0065152F">
        <w:tc>
          <w:tcPr>
            <w:tcW w:w="1154" w:type="pct"/>
          </w:tcPr>
          <w:p w14:paraId="3C7CDEA0" w14:textId="77777777" w:rsidR="008A290B" w:rsidRPr="00EE0EF7" w:rsidRDefault="008A290B" w:rsidP="008A290B">
            <w:pPr>
              <w:keepNext/>
              <w:rPr>
                <w:sz w:val="20"/>
                <w:szCs w:val="20"/>
                <w:lang w:val="fr-FR"/>
              </w:rPr>
            </w:pPr>
            <w:r w:rsidRPr="00EE0EF7">
              <w:rPr>
                <w:sz w:val="20"/>
                <w:szCs w:val="20"/>
                <w:lang w:val="fr-FR"/>
              </w:rPr>
              <w:t>HCFC-124</w:t>
            </w:r>
          </w:p>
        </w:tc>
        <w:tc>
          <w:tcPr>
            <w:tcW w:w="571" w:type="pct"/>
            <w:vAlign w:val="center"/>
          </w:tcPr>
          <w:p w14:paraId="1D756210" w14:textId="77777777" w:rsidR="008A290B" w:rsidRPr="00EE0EF7" w:rsidRDefault="008A290B" w:rsidP="008A290B">
            <w:pPr>
              <w:keepNext/>
              <w:jc w:val="center"/>
              <w:rPr>
                <w:sz w:val="20"/>
                <w:szCs w:val="20"/>
                <w:lang w:val="fr-FR"/>
              </w:rPr>
            </w:pPr>
            <w:r w:rsidRPr="00EE0EF7">
              <w:rPr>
                <w:sz w:val="20"/>
                <w:szCs w:val="20"/>
                <w:lang w:val="fr-FR"/>
              </w:rPr>
              <w:t>C</w:t>
            </w:r>
          </w:p>
        </w:tc>
        <w:tc>
          <w:tcPr>
            <w:tcW w:w="581" w:type="pct"/>
            <w:vAlign w:val="center"/>
          </w:tcPr>
          <w:p w14:paraId="3B3FD3A8" w14:textId="77777777" w:rsidR="008A290B" w:rsidRPr="00EE0EF7" w:rsidRDefault="008A290B" w:rsidP="008A290B">
            <w:pPr>
              <w:keepNext/>
              <w:jc w:val="center"/>
              <w:rPr>
                <w:sz w:val="20"/>
                <w:szCs w:val="20"/>
                <w:lang w:val="fr-FR"/>
              </w:rPr>
            </w:pPr>
            <w:r w:rsidRPr="00EE0EF7">
              <w:rPr>
                <w:sz w:val="20"/>
                <w:szCs w:val="20"/>
                <w:lang w:val="fr-FR"/>
              </w:rPr>
              <w:t>I</w:t>
            </w:r>
          </w:p>
        </w:tc>
        <w:tc>
          <w:tcPr>
            <w:tcW w:w="2694" w:type="pct"/>
          </w:tcPr>
          <w:p w14:paraId="1AA7B7B0" w14:textId="77777777" w:rsidR="008A290B" w:rsidRPr="00EE0EF7" w:rsidRDefault="008A290B" w:rsidP="008A290B">
            <w:pPr>
              <w:keepNext/>
              <w:jc w:val="right"/>
              <w:rPr>
                <w:sz w:val="20"/>
                <w:szCs w:val="20"/>
                <w:lang w:val="fr-FR"/>
              </w:rPr>
            </w:pPr>
            <w:r w:rsidRPr="00EE0EF7">
              <w:rPr>
                <w:sz w:val="20"/>
                <w:szCs w:val="20"/>
                <w:lang w:val="fr-FR"/>
              </w:rPr>
              <w:t>0,83</w:t>
            </w:r>
          </w:p>
        </w:tc>
      </w:tr>
      <w:tr w:rsidR="001A1185" w:rsidRPr="00EE0EF7" w14:paraId="07F18743" w14:textId="77777777" w:rsidTr="0065152F">
        <w:tc>
          <w:tcPr>
            <w:tcW w:w="1154" w:type="pct"/>
          </w:tcPr>
          <w:p w14:paraId="1142E3A5" w14:textId="77777777" w:rsidR="008A290B" w:rsidRPr="00EE0EF7" w:rsidRDefault="008A290B" w:rsidP="008A290B">
            <w:pPr>
              <w:keepNext/>
              <w:rPr>
                <w:sz w:val="20"/>
                <w:szCs w:val="20"/>
                <w:lang w:val="fr-FR"/>
              </w:rPr>
            </w:pPr>
            <w:r w:rsidRPr="00EE0EF7">
              <w:rPr>
                <w:sz w:val="20"/>
                <w:szCs w:val="20"/>
                <w:lang w:val="fr-FR"/>
              </w:rPr>
              <w:t>HCFC-141b</w:t>
            </w:r>
          </w:p>
        </w:tc>
        <w:tc>
          <w:tcPr>
            <w:tcW w:w="571" w:type="pct"/>
            <w:vAlign w:val="center"/>
          </w:tcPr>
          <w:p w14:paraId="4E23E384" w14:textId="77777777" w:rsidR="008A290B" w:rsidRPr="00EE0EF7" w:rsidRDefault="008A290B" w:rsidP="008A290B">
            <w:pPr>
              <w:keepNext/>
              <w:jc w:val="center"/>
              <w:rPr>
                <w:sz w:val="20"/>
                <w:szCs w:val="20"/>
                <w:lang w:val="fr-FR"/>
              </w:rPr>
            </w:pPr>
            <w:r w:rsidRPr="00EE0EF7">
              <w:rPr>
                <w:sz w:val="20"/>
                <w:szCs w:val="20"/>
                <w:lang w:val="fr-FR"/>
              </w:rPr>
              <w:t>C</w:t>
            </w:r>
          </w:p>
        </w:tc>
        <w:tc>
          <w:tcPr>
            <w:tcW w:w="581" w:type="pct"/>
            <w:vAlign w:val="center"/>
          </w:tcPr>
          <w:p w14:paraId="51DC3018" w14:textId="77777777" w:rsidR="008A290B" w:rsidRPr="00EE0EF7" w:rsidRDefault="008A290B" w:rsidP="008A290B">
            <w:pPr>
              <w:keepNext/>
              <w:jc w:val="center"/>
              <w:rPr>
                <w:sz w:val="20"/>
                <w:szCs w:val="20"/>
                <w:lang w:val="fr-FR"/>
              </w:rPr>
            </w:pPr>
            <w:r w:rsidRPr="00EE0EF7">
              <w:rPr>
                <w:sz w:val="20"/>
                <w:szCs w:val="20"/>
                <w:lang w:val="fr-FR"/>
              </w:rPr>
              <w:t>I</w:t>
            </w:r>
          </w:p>
        </w:tc>
        <w:tc>
          <w:tcPr>
            <w:tcW w:w="2694" w:type="pct"/>
          </w:tcPr>
          <w:p w14:paraId="072DED34" w14:textId="77777777" w:rsidR="008A290B" w:rsidRPr="00EE0EF7" w:rsidRDefault="008A290B" w:rsidP="008A290B">
            <w:pPr>
              <w:keepNext/>
              <w:jc w:val="right"/>
              <w:rPr>
                <w:sz w:val="20"/>
                <w:szCs w:val="20"/>
                <w:lang w:val="fr-FR"/>
              </w:rPr>
            </w:pPr>
            <w:r w:rsidRPr="00EE0EF7">
              <w:rPr>
                <w:sz w:val="20"/>
                <w:szCs w:val="20"/>
                <w:lang w:val="fr-FR"/>
              </w:rPr>
              <w:t>94,57</w:t>
            </w:r>
          </w:p>
        </w:tc>
      </w:tr>
      <w:tr w:rsidR="001A1185" w:rsidRPr="00EE0EF7" w14:paraId="152FEE25" w14:textId="77777777" w:rsidTr="0065152F">
        <w:tc>
          <w:tcPr>
            <w:tcW w:w="1154" w:type="pct"/>
          </w:tcPr>
          <w:p w14:paraId="57DEBEA0" w14:textId="77777777" w:rsidR="008A290B" w:rsidRPr="00EE0EF7" w:rsidRDefault="008A290B" w:rsidP="008A290B">
            <w:pPr>
              <w:keepNext/>
              <w:rPr>
                <w:sz w:val="20"/>
                <w:szCs w:val="20"/>
                <w:lang w:val="fr-FR"/>
              </w:rPr>
            </w:pPr>
            <w:r w:rsidRPr="00EE0EF7">
              <w:rPr>
                <w:sz w:val="20"/>
                <w:szCs w:val="20"/>
                <w:lang w:val="fr-FR"/>
              </w:rPr>
              <w:t>HCFC-142b</w:t>
            </w:r>
          </w:p>
        </w:tc>
        <w:tc>
          <w:tcPr>
            <w:tcW w:w="571" w:type="pct"/>
            <w:vAlign w:val="center"/>
          </w:tcPr>
          <w:p w14:paraId="1743DD30" w14:textId="77777777" w:rsidR="008A290B" w:rsidRPr="00EE0EF7" w:rsidRDefault="008A290B" w:rsidP="008A290B">
            <w:pPr>
              <w:keepNext/>
              <w:jc w:val="center"/>
              <w:rPr>
                <w:sz w:val="20"/>
                <w:szCs w:val="20"/>
                <w:lang w:val="fr-FR"/>
              </w:rPr>
            </w:pPr>
            <w:r w:rsidRPr="00EE0EF7">
              <w:rPr>
                <w:sz w:val="20"/>
                <w:szCs w:val="20"/>
                <w:lang w:val="fr-FR"/>
              </w:rPr>
              <w:t>C</w:t>
            </w:r>
          </w:p>
        </w:tc>
        <w:tc>
          <w:tcPr>
            <w:tcW w:w="581" w:type="pct"/>
            <w:vAlign w:val="center"/>
          </w:tcPr>
          <w:p w14:paraId="218944D8" w14:textId="77777777" w:rsidR="008A290B" w:rsidRPr="00EE0EF7" w:rsidRDefault="008A290B" w:rsidP="008A290B">
            <w:pPr>
              <w:keepNext/>
              <w:jc w:val="center"/>
              <w:rPr>
                <w:sz w:val="20"/>
                <w:szCs w:val="20"/>
                <w:lang w:val="fr-FR"/>
              </w:rPr>
            </w:pPr>
            <w:r w:rsidRPr="00EE0EF7">
              <w:rPr>
                <w:sz w:val="20"/>
                <w:szCs w:val="20"/>
                <w:lang w:val="fr-FR"/>
              </w:rPr>
              <w:t>I</w:t>
            </w:r>
          </w:p>
        </w:tc>
        <w:tc>
          <w:tcPr>
            <w:tcW w:w="2694" w:type="pct"/>
          </w:tcPr>
          <w:p w14:paraId="2A22D41C" w14:textId="77777777" w:rsidR="008A290B" w:rsidRPr="00EE0EF7" w:rsidRDefault="008A290B" w:rsidP="008A290B">
            <w:pPr>
              <w:keepNext/>
              <w:jc w:val="right"/>
              <w:rPr>
                <w:sz w:val="20"/>
                <w:szCs w:val="20"/>
                <w:lang w:val="fr-FR"/>
              </w:rPr>
            </w:pPr>
            <w:r w:rsidRPr="00EE0EF7">
              <w:rPr>
                <w:sz w:val="20"/>
                <w:szCs w:val="20"/>
                <w:lang w:val="fr-FR"/>
              </w:rPr>
              <w:t>14,34</w:t>
            </w:r>
          </w:p>
        </w:tc>
      </w:tr>
      <w:tr w:rsidR="001A1185" w:rsidRPr="00EE0EF7" w14:paraId="505B4815" w14:textId="77777777" w:rsidTr="0065152F">
        <w:tc>
          <w:tcPr>
            <w:tcW w:w="2306" w:type="pct"/>
            <w:gridSpan w:val="3"/>
          </w:tcPr>
          <w:p w14:paraId="6ACFCF37" w14:textId="77777777" w:rsidR="008A290B" w:rsidRPr="00EE0EF7" w:rsidRDefault="008A290B" w:rsidP="008A290B">
            <w:pPr>
              <w:pStyle w:val="Default"/>
              <w:widowControl/>
              <w:rPr>
                <w:color w:val="auto"/>
                <w:sz w:val="20"/>
                <w:szCs w:val="20"/>
                <w:lang w:val="fr-FR"/>
              </w:rPr>
            </w:pPr>
            <w:r w:rsidRPr="00EE0EF7">
              <w:rPr>
                <w:b/>
                <w:bCs/>
                <w:color w:val="auto"/>
                <w:sz w:val="20"/>
                <w:szCs w:val="20"/>
                <w:lang w:val="fr-FR"/>
              </w:rPr>
              <w:t>Total</w:t>
            </w:r>
          </w:p>
        </w:tc>
        <w:tc>
          <w:tcPr>
            <w:tcW w:w="2694" w:type="pct"/>
          </w:tcPr>
          <w:p w14:paraId="414D5FA6" w14:textId="77777777" w:rsidR="008A290B" w:rsidRPr="00EE0EF7" w:rsidRDefault="008A290B" w:rsidP="008A290B">
            <w:pPr>
              <w:pStyle w:val="Default"/>
              <w:widowControl/>
              <w:jc w:val="right"/>
              <w:rPr>
                <w:b/>
                <w:color w:val="auto"/>
                <w:sz w:val="20"/>
                <w:lang w:val="fr-FR"/>
              </w:rPr>
            </w:pPr>
            <w:r w:rsidRPr="00EE0EF7">
              <w:rPr>
                <w:b/>
                <w:color w:val="auto"/>
                <w:sz w:val="20"/>
                <w:lang w:val="fr-FR"/>
              </w:rPr>
              <w:t>377,51</w:t>
            </w:r>
          </w:p>
        </w:tc>
      </w:tr>
    </w:tbl>
    <w:p w14:paraId="58E9333B" w14:textId="77777777" w:rsidR="008A290B" w:rsidRPr="00EE0EF7" w:rsidRDefault="008A290B" w:rsidP="008A290B">
      <w:pPr>
        <w:pStyle w:val="Heading1"/>
        <w:keepNext/>
        <w:numPr>
          <w:ilvl w:val="0"/>
          <w:numId w:val="0"/>
        </w:numPr>
        <w:spacing w:before="360" w:after="0"/>
        <w:rPr>
          <w:b/>
          <w:lang w:val="fr-FR"/>
        </w:rPr>
      </w:pPr>
      <w:r w:rsidRPr="00EE0EF7">
        <w:rPr>
          <w:b/>
          <w:lang w:val="fr-FR"/>
        </w:rPr>
        <w:t>APPENDICE 2-A : LES OBJECTIFS ET LE FINANCEMENT</w:t>
      </w:r>
    </w:p>
    <w:tbl>
      <w:tblPr>
        <w:tblW w:w="5871" w:type="pct"/>
        <w:jc w:val="center"/>
        <w:tblCellMar>
          <w:left w:w="85" w:type="dxa"/>
          <w:right w:w="85" w:type="dxa"/>
        </w:tblCellMar>
        <w:tblLook w:val="04A0" w:firstRow="1" w:lastRow="0" w:firstColumn="1" w:lastColumn="0" w:noHBand="0" w:noVBand="1"/>
      </w:tblPr>
      <w:tblGrid>
        <w:gridCol w:w="659"/>
        <w:gridCol w:w="2454"/>
        <w:gridCol w:w="993"/>
        <w:gridCol w:w="1135"/>
        <w:gridCol w:w="1203"/>
        <w:gridCol w:w="1083"/>
        <w:gridCol w:w="1083"/>
        <w:gridCol w:w="1311"/>
        <w:gridCol w:w="1058"/>
      </w:tblGrid>
      <w:tr w:rsidR="008A290B" w:rsidRPr="00EE0EF7" w14:paraId="57DE4517" w14:textId="77777777" w:rsidTr="008A290B">
        <w:trPr>
          <w:cantSplit/>
          <w:trHeight w:val="98"/>
          <w:tblHeader/>
          <w:jc w:val="center"/>
        </w:trPr>
        <w:tc>
          <w:tcPr>
            <w:tcW w:w="300" w:type="pct"/>
            <w:tcBorders>
              <w:top w:val="single" w:sz="4" w:space="0" w:color="auto"/>
              <w:left w:val="single" w:sz="4" w:space="0" w:color="auto"/>
              <w:bottom w:val="single" w:sz="4" w:space="0" w:color="auto"/>
              <w:right w:val="single" w:sz="4" w:space="0" w:color="auto"/>
            </w:tcBorders>
            <w:vAlign w:val="center"/>
            <w:hideMark/>
          </w:tcPr>
          <w:p w14:paraId="055F43F7" w14:textId="77777777" w:rsidR="008A290B" w:rsidRPr="00EE0EF7" w:rsidRDefault="008A290B" w:rsidP="008A290B">
            <w:pPr>
              <w:keepNext/>
              <w:keepLines/>
              <w:jc w:val="center"/>
              <w:rPr>
                <w:b/>
                <w:bCs/>
                <w:sz w:val="20"/>
                <w:szCs w:val="20"/>
                <w:lang w:val="fr-FR" w:eastAsia="en-CA"/>
              </w:rPr>
            </w:pPr>
            <w:r w:rsidRPr="00EE0EF7">
              <w:rPr>
                <w:b/>
                <w:color w:val="000000"/>
                <w:sz w:val="20"/>
                <w:lang w:val="fr-FR"/>
              </w:rPr>
              <w:t>Ligne</w:t>
            </w:r>
          </w:p>
        </w:tc>
        <w:tc>
          <w:tcPr>
            <w:tcW w:w="1118" w:type="pct"/>
            <w:tcBorders>
              <w:top w:val="single" w:sz="4" w:space="0" w:color="auto"/>
              <w:left w:val="nil"/>
              <w:bottom w:val="single" w:sz="4" w:space="0" w:color="auto"/>
              <w:right w:val="single" w:sz="4" w:space="0" w:color="auto"/>
            </w:tcBorders>
            <w:vAlign w:val="center"/>
            <w:hideMark/>
          </w:tcPr>
          <w:p w14:paraId="32BF12EE" w14:textId="77777777" w:rsidR="008A290B" w:rsidRPr="00EE0EF7" w:rsidRDefault="008A290B" w:rsidP="008A290B">
            <w:pPr>
              <w:keepNext/>
              <w:keepLines/>
              <w:jc w:val="center"/>
              <w:rPr>
                <w:b/>
                <w:bCs/>
                <w:sz w:val="20"/>
                <w:szCs w:val="20"/>
                <w:lang w:val="fr-FR" w:eastAsia="en-CA"/>
              </w:rPr>
            </w:pPr>
            <w:r w:rsidRPr="00EE0EF7">
              <w:rPr>
                <w:b/>
                <w:color w:val="000000"/>
                <w:sz w:val="20"/>
                <w:lang w:val="fr-FR"/>
              </w:rPr>
              <w:t>Caractéristiques</w:t>
            </w:r>
          </w:p>
        </w:tc>
        <w:tc>
          <w:tcPr>
            <w:tcW w:w="452" w:type="pct"/>
            <w:tcBorders>
              <w:top w:val="single" w:sz="4" w:space="0" w:color="auto"/>
              <w:left w:val="nil"/>
              <w:bottom w:val="single" w:sz="4" w:space="0" w:color="auto"/>
              <w:right w:val="single" w:sz="4" w:space="0" w:color="auto"/>
            </w:tcBorders>
            <w:hideMark/>
          </w:tcPr>
          <w:p w14:paraId="6745F0C7" w14:textId="77777777" w:rsidR="008A290B" w:rsidRPr="00EE0EF7" w:rsidRDefault="008A290B" w:rsidP="008A290B">
            <w:pPr>
              <w:keepNext/>
              <w:keepLines/>
              <w:jc w:val="center"/>
              <w:rPr>
                <w:b/>
                <w:bCs/>
                <w:sz w:val="20"/>
                <w:szCs w:val="20"/>
                <w:lang w:val="fr-FR" w:eastAsia="en-CA"/>
              </w:rPr>
            </w:pPr>
            <w:r w:rsidRPr="00EE0EF7">
              <w:rPr>
                <w:b/>
                <w:bCs/>
                <w:sz w:val="20"/>
                <w:szCs w:val="20"/>
                <w:lang w:val="fr-FR" w:eastAsia="en-CA"/>
              </w:rPr>
              <w:t>2025</w:t>
            </w:r>
          </w:p>
        </w:tc>
        <w:tc>
          <w:tcPr>
            <w:tcW w:w="517" w:type="pct"/>
            <w:tcBorders>
              <w:top w:val="single" w:sz="4" w:space="0" w:color="auto"/>
              <w:left w:val="nil"/>
              <w:bottom w:val="single" w:sz="4" w:space="0" w:color="auto"/>
              <w:right w:val="single" w:sz="4" w:space="0" w:color="auto"/>
            </w:tcBorders>
            <w:hideMark/>
          </w:tcPr>
          <w:p w14:paraId="0132E49A" w14:textId="77777777" w:rsidR="008A290B" w:rsidRPr="00EE0EF7" w:rsidRDefault="008A290B" w:rsidP="008A290B">
            <w:pPr>
              <w:keepNext/>
              <w:keepLines/>
              <w:jc w:val="center"/>
              <w:rPr>
                <w:b/>
                <w:bCs/>
                <w:sz w:val="20"/>
                <w:szCs w:val="20"/>
                <w:lang w:val="fr-FR" w:eastAsia="en-CA"/>
              </w:rPr>
            </w:pPr>
            <w:r w:rsidRPr="00EE0EF7">
              <w:rPr>
                <w:b/>
                <w:bCs/>
                <w:sz w:val="20"/>
                <w:szCs w:val="20"/>
                <w:lang w:val="fr-FR" w:eastAsia="en-CA"/>
              </w:rPr>
              <w:t>2026</w:t>
            </w:r>
          </w:p>
        </w:tc>
        <w:tc>
          <w:tcPr>
            <w:tcW w:w="548" w:type="pct"/>
            <w:tcBorders>
              <w:top w:val="single" w:sz="4" w:space="0" w:color="auto"/>
              <w:left w:val="nil"/>
              <w:bottom w:val="single" w:sz="4" w:space="0" w:color="auto"/>
              <w:right w:val="single" w:sz="4" w:space="0" w:color="auto"/>
            </w:tcBorders>
            <w:hideMark/>
          </w:tcPr>
          <w:p w14:paraId="1878A76A" w14:textId="77777777" w:rsidR="008A290B" w:rsidRPr="00EE0EF7" w:rsidRDefault="008A290B" w:rsidP="008A290B">
            <w:pPr>
              <w:keepNext/>
              <w:keepLines/>
              <w:jc w:val="center"/>
              <w:rPr>
                <w:b/>
                <w:bCs/>
                <w:sz w:val="20"/>
                <w:szCs w:val="20"/>
                <w:lang w:val="fr-FR" w:eastAsia="en-CA"/>
              </w:rPr>
            </w:pPr>
            <w:r w:rsidRPr="00EE0EF7">
              <w:rPr>
                <w:b/>
                <w:bCs/>
                <w:sz w:val="20"/>
                <w:szCs w:val="20"/>
                <w:lang w:val="fr-FR" w:eastAsia="en-CA"/>
              </w:rPr>
              <w:t>2027</w:t>
            </w:r>
          </w:p>
        </w:tc>
        <w:tc>
          <w:tcPr>
            <w:tcW w:w="493" w:type="pct"/>
            <w:tcBorders>
              <w:top w:val="single" w:sz="4" w:space="0" w:color="auto"/>
              <w:left w:val="nil"/>
              <w:bottom w:val="single" w:sz="4" w:space="0" w:color="auto"/>
              <w:right w:val="single" w:sz="4" w:space="0" w:color="auto"/>
            </w:tcBorders>
            <w:hideMark/>
          </w:tcPr>
          <w:p w14:paraId="67BB3B37" w14:textId="77777777" w:rsidR="008A290B" w:rsidRPr="00EE0EF7" w:rsidRDefault="008A290B" w:rsidP="008A290B">
            <w:pPr>
              <w:keepNext/>
              <w:keepLines/>
              <w:jc w:val="center"/>
              <w:rPr>
                <w:b/>
                <w:bCs/>
                <w:sz w:val="20"/>
                <w:szCs w:val="20"/>
                <w:lang w:val="fr-FR" w:eastAsia="en-CA"/>
              </w:rPr>
            </w:pPr>
            <w:r w:rsidRPr="00EE0EF7">
              <w:rPr>
                <w:b/>
                <w:bCs/>
                <w:sz w:val="20"/>
                <w:szCs w:val="20"/>
                <w:lang w:val="fr-FR" w:eastAsia="en-CA"/>
              </w:rPr>
              <w:t>2028</w:t>
            </w:r>
          </w:p>
        </w:tc>
        <w:tc>
          <w:tcPr>
            <w:tcW w:w="493" w:type="pct"/>
            <w:tcBorders>
              <w:top w:val="single" w:sz="4" w:space="0" w:color="auto"/>
              <w:left w:val="nil"/>
              <w:bottom w:val="single" w:sz="4" w:space="0" w:color="auto"/>
              <w:right w:val="single" w:sz="4" w:space="0" w:color="auto"/>
            </w:tcBorders>
          </w:tcPr>
          <w:p w14:paraId="14DB8AAE" w14:textId="77777777" w:rsidR="008A290B" w:rsidRPr="00EE0EF7" w:rsidRDefault="008A290B" w:rsidP="008A290B">
            <w:pPr>
              <w:keepNext/>
              <w:keepLines/>
              <w:jc w:val="center"/>
              <w:rPr>
                <w:sz w:val="20"/>
                <w:szCs w:val="20"/>
                <w:lang w:val="fr-FR" w:eastAsia="en-CA"/>
              </w:rPr>
            </w:pPr>
            <w:r w:rsidRPr="00EE0EF7">
              <w:rPr>
                <w:b/>
                <w:bCs/>
                <w:sz w:val="20"/>
                <w:szCs w:val="20"/>
                <w:lang w:val="fr-FR" w:eastAsia="en-CA"/>
              </w:rPr>
              <w:t>2029</w:t>
            </w:r>
          </w:p>
        </w:tc>
        <w:tc>
          <w:tcPr>
            <w:tcW w:w="597" w:type="pct"/>
            <w:tcBorders>
              <w:top w:val="single" w:sz="4" w:space="0" w:color="auto"/>
              <w:left w:val="single" w:sz="4" w:space="0" w:color="auto"/>
              <w:bottom w:val="single" w:sz="4" w:space="0" w:color="auto"/>
              <w:right w:val="single" w:sz="4" w:space="0" w:color="auto"/>
            </w:tcBorders>
            <w:hideMark/>
          </w:tcPr>
          <w:p w14:paraId="45640157" w14:textId="77777777" w:rsidR="008A290B" w:rsidRPr="00EE0EF7" w:rsidRDefault="008A290B" w:rsidP="008A290B">
            <w:pPr>
              <w:keepNext/>
              <w:keepLines/>
              <w:jc w:val="center"/>
              <w:rPr>
                <w:b/>
                <w:bCs/>
                <w:sz w:val="20"/>
                <w:szCs w:val="20"/>
                <w:lang w:val="fr-FR" w:eastAsia="en-CA"/>
              </w:rPr>
            </w:pPr>
            <w:r w:rsidRPr="00EE0EF7">
              <w:rPr>
                <w:b/>
                <w:bCs/>
                <w:sz w:val="20"/>
                <w:szCs w:val="20"/>
                <w:lang w:val="fr-FR" w:eastAsia="en-CA"/>
              </w:rPr>
              <w:t>2030</w:t>
            </w:r>
          </w:p>
        </w:tc>
        <w:tc>
          <w:tcPr>
            <w:tcW w:w="482" w:type="pct"/>
            <w:tcBorders>
              <w:top w:val="single" w:sz="4" w:space="0" w:color="auto"/>
              <w:left w:val="nil"/>
              <w:bottom w:val="single" w:sz="4" w:space="0" w:color="auto"/>
              <w:right w:val="single" w:sz="4" w:space="0" w:color="auto"/>
            </w:tcBorders>
            <w:hideMark/>
          </w:tcPr>
          <w:p w14:paraId="28942F10" w14:textId="77777777" w:rsidR="008A290B" w:rsidRPr="00EE0EF7" w:rsidRDefault="008A290B" w:rsidP="008A290B">
            <w:pPr>
              <w:keepNext/>
              <w:keepLines/>
              <w:jc w:val="center"/>
              <w:rPr>
                <w:b/>
                <w:bCs/>
                <w:sz w:val="20"/>
                <w:szCs w:val="20"/>
                <w:lang w:val="fr-FR" w:eastAsia="en-CA"/>
              </w:rPr>
            </w:pPr>
            <w:r w:rsidRPr="00EE0EF7">
              <w:rPr>
                <w:b/>
                <w:bCs/>
                <w:sz w:val="20"/>
                <w:szCs w:val="20"/>
                <w:lang w:val="fr-FR" w:eastAsia="en-CA"/>
              </w:rPr>
              <w:t>Total</w:t>
            </w:r>
          </w:p>
        </w:tc>
      </w:tr>
      <w:tr w:rsidR="008A290B" w:rsidRPr="00EE0EF7" w14:paraId="3478371D" w14:textId="77777777" w:rsidTr="003B3351">
        <w:trPr>
          <w:trHeight w:val="408"/>
          <w:jc w:val="center"/>
        </w:trPr>
        <w:tc>
          <w:tcPr>
            <w:tcW w:w="300" w:type="pct"/>
            <w:tcBorders>
              <w:top w:val="nil"/>
              <w:left w:val="single" w:sz="4" w:space="0" w:color="auto"/>
              <w:bottom w:val="single" w:sz="4" w:space="0" w:color="auto"/>
              <w:right w:val="single" w:sz="4" w:space="0" w:color="auto"/>
            </w:tcBorders>
            <w:hideMark/>
          </w:tcPr>
          <w:p w14:paraId="050D59C0" w14:textId="77777777" w:rsidR="008A290B" w:rsidRPr="00EE0EF7" w:rsidRDefault="008A290B" w:rsidP="008A290B">
            <w:pPr>
              <w:keepNext/>
              <w:keepLines/>
              <w:jc w:val="left"/>
              <w:rPr>
                <w:sz w:val="20"/>
                <w:szCs w:val="20"/>
                <w:lang w:val="fr-FR" w:eastAsia="en-CA"/>
              </w:rPr>
            </w:pPr>
            <w:r w:rsidRPr="00EE0EF7">
              <w:rPr>
                <w:sz w:val="20"/>
                <w:szCs w:val="20"/>
                <w:lang w:val="fr-FR" w:eastAsia="en-CA"/>
              </w:rPr>
              <w:t>1.1</w:t>
            </w:r>
          </w:p>
        </w:tc>
        <w:tc>
          <w:tcPr>
            <w:tcW w:w="1118" w:type="pct"/>
            <w:tcBorders>
              <w:top w:val="nil"/>
              <w:left w:val="nil"/>
              <w:bottom w:val="single" w:sz="4" w:space="0" w:color="auto"/>
              <w:right w:val="single" w:sz="4" w:space="0" w:color="auto"/>
            </w:tcBorders>
            <w:hideMark/>
          </w:tcPr>
          <w:p w14:paraId="6C38DEC8" w14:textId="77777777" w:rsidR="008A290B" w:rsidRPr="00EE0EF7" w:rsidRDefault="008A290B" w:rsidP="008A290B">
            <w:pPr>
              <w:keepNext/>
              <w:keepLines/>
              <w:jc w:val="left"/>
              <w:rPr>
                <w:sz w:val="20"/>
                <w:szCs w:val="20"/>
                <w:lang w:val="fr-FR" w:eastAsia="en-CA"/>
              </w:rPr>
            </w:pPr>
            <w:r w:rsidRPr="00EE0EF7">
              <w:rPr>
                <w:color w:val="000000"/>
                <w:sz w:val="20"/>
                <w:lang w:val="fr-FR"/>
              </w:rPr>
              <w:t>Calendrier de réduction des substances du groupe I de l’annexe C du Protocole de Montréal (tonnes PAO)</w:t>
            </w:r>
          </w:p>
        </w:tc>
        <w:tc>
          <w:tcPr>
            <w:tcW w:w="452" w:type="pct"/>
            <w:tcBorders>
              <w:top w:val="nil"/>
              <w:left w:val="nil"/>
              <w:bottom w:val="single" w:sz="4" w:space="0" w:color="auto"/>
              <w:right w:val="single" w:sz="4" w:space="0" w:color="auto"/>
            </w:tcBorders>
            <w:vAlign w:val="center"/>
          </w:tcPr>
          <w:p w14:paraId="5CC79C29" w14:textId="77777777" w:rsidR="008A290B" w:rsidRPr="00EE0EF7" w:rsidRDefault="008A290B" w:rsidP="003B3351">
            <w:pPr>
              <w:keepNext/>
              <w:keepLines/>
              <w:jc w:val="right"/>
              <w:rPr>
                <w:sz w:val="20"/>
                <w:szCs w:val="20"/>
                <w:lang w:val="fr-FR" w:eastAsia="en-CA"/>
              </w:rPr>
            </w:pPr>
            <w:r w:rsidRPr="00EE0EF7">
              <w:rPr>
                <w:color w:val="000000"/>
                <w:sz w:val="19"/>
                <w:szCs w:val="19"/>
                <w:lang w:val="fr-FR" w:eastAsia="en-CA"/>
              </w:rPr>
              <w:t>130,22</w:t>
            </w:r>
          </w:p>
        </w:tc>
        <w:tc>
          <w:tcPr>
            <w:tcW w:w="517" w:type="pct"/>
            <w:tcBorders>
              <w:top w:val="nil"/>
              <w:left w:val="nil"/>
              <w:bottom w:val="single" w:sz="4" w:space="0" w:color="auto"/>
              <w:right w:val="single" w:sz="4" w:space="0" w:color="auto"/>
            </w:tcBorders>
            <w:vAlign w:val="center"/>
          </w:tcPr>
          <w:p w14:paraId="70BEB452" w14:textId="77777777" w:rsidR="008A290B" w:rsidRPr="00EE0EF7" w:rsidRDefault="008A290B" w:rsidP="003B3351">
            <w:pPr>
              <w:keepNext/>
              <w:keepLines/>
              <w:jc w:val="right"/>
              <w:rPr>
                <w:sz w:val="20"/>
                <w:szCs w:val="20"/>
                <w:lang w:val="fr-FR" w:eastAsia="en-CA"/>
              </w:rPr>
            </w:pPr>
            <w:r w:rsidRPr="00EE0EF7">
              <w:rPr>
                <w:color w:val="000000"/>
                <w:sz w:val="19"/>
                <w:szCs w:val="19"/>
                <w:lang w:val="fr-FR" w:eastAsia="en-CA"/>
              </w:rPr>
              <w:t>130,22</w:t>
            </w:r>
          </w:p>
        </w:tc>
        <w:tc>
          <w:tcPr>
            <w:tcW w:w="548" w:type="pct"/>
            <w:tcBorders>
              <w:top w:val="nil"/>
              <w:left w:val="nil"/>
              <w:bottom w:val="single" w:sz="4" w:space="0" w:color="auto"/>
              <w:right w:val="single" w:sz="4" w:space="0" w:color="auto"/>
            </w:tcBorders>
            <w:vAlign w:val="center"/>
          </w:tcPr>
          <w:p w14:paraId="5F18AF6A" w14:textId="77777777" w:rsidR="008A290B" w:rsidRPr="00EE0EF7" w:rsidRDefault="008A290B" w:rsidP="003B3351">
            <w:pPr>
              <w:keepNext/>
              <w:keepLines/>
              <w:jc w:val="right"/>
              <w:rPr>
                <w:sz w:val="20"/>
                <w:szCs w:val="20"/>
                <w:lang w:val="fr-FR" w:eastAsia="en-CA"/>
              </w:rPr>
            </w:pPr>
            <w:r w:rsidRPr="00EE0EF7">
              <w:rPr>
                <w:color w:val="000000"/>
                <w:sz w:val="19"/>
                <w:szCs w:val="19"/>
                <w:lang w:val="fr-FR" w:eastAsia="en-CA"/>
              </w:rPr>
              <w:t>130,22</w:t>
            </w:r>
          </w:p>
        </w:tc>
        <w:tc>
          <w:tcPr>
            <w:tcW w:w="493" w:type="pct"/>
            <w:tcBorders>
              <w:top w:val="nil"/>
              <w:left w:val="nil"/>
              <w:bottom w:val="single" w:sz="4" w:space="0" w:color="auto"/>
              <w:right w:val="single" w:sz="4" w:space="0" w:color="auto"/>
            </w:tcBorders>
            <w:vAlign w:val="center"/>
          </w:tcPr>
          <w:p w14:paraId="510E58A3" w14:textId="77777777" w:rsidR="008A290B" w:rsidRPr="00EE0EF7" w:rsidRDefault="008A290B" w:rsidP="003B3351">
            <w:pPr>
              <w:keepNext/>
              <w:keepLines/>
              <w:jc w:val="right"/>
              <w:rPr>
                <w:sz w:val="20"/>
                <w:szCs w:val="20"/>
                <w:lang w:val="fr-FR" w:eastAsia="en-CA"/>
              </w:rPr>
            </w:pPr>
            <w:r w:rsidRPr="00EE0EF7">
              <w:rPr>
                <w:color w:val="000000"/>
                <w:sz w:val="19"/>
                <w:szCs w:val="19"/>
                <w:lang w:val="fr-FR" w:eastAsia="en-CA"/>
              </w:rPr>
              <w:t>130,22</w:t>
            </w:r>
          </w:p>
        </w:tc>
        <w:tc>
          <w:tcPr>
            <w:tcW w:w="493" w:type="pct"/>
            <w:tcBorders>
              <w:top w:val="single" w:sz="4" w:space="0" w:color="auto"/>
              <w:left w:val="nil"/>
              <w:bottom w:val="single" w:sz="4" w:space="0" w:color="auto"/>
              <w:right w:val="single" w:sz="4" w:space="0" w:color="auto"/>
            </w:tcBorders>
            <w:vAlign w:val="center"/>
          </w:tcPr>
          <w:p w14:paraId="2E6B4AF8" w14:textId="77777777" w:rsidR="008A290B" w:rsidRPr="00EE0EF7" w:rsidRDefault="008A290B" w:rsidP="003B3351">
            <w:pPr>
              <w:keepNext/>
              <w:keepLines/>
              <w:jc w:val="right"/>
              <w:rPr>
                <w:sz w:val="20"/>
                <w:szCs w:val="20"/>
                <w:lang w:val="fr-FR" w:eastAsia="en-CA"/>
              </w:rPr>
            </w:pPr>
            <w:r w:rsidRPr="00EE0EF7">
              <w:rPr>
                <w:color w:val="000000"/>
                <w:sz w:val="19"/>
                <w:szCs w:val="19"/>
                <w:lang w:val="fr-FR" w:eastAsia="en-CA"/>
              </w:rPr>
              <w:t>130,22</w:t>
            </w:r>
          </w:p>
        </w:tc>
        <w:tc>
          <w:tcPr>
            <w:tcW w:w="597" w:type="pct"/>
            <w:tcBorders>
              <w:top w:val="nil"/>
              <w:left w:val="single" w:sz="4" w:space="0" w:color="auto"/>
              <w:bottom w:val="single" w:sz="4" w:space="0" w:color="auto"/>
              <w:right w:val="single" w:sz="4" w:space="0" w:color="auto"/>
            </w:tcBorders>
            <w:vAlign w:val="center"/>
          </w:tcPr>
          <w:p w14:paraId="6527D931" w14:textId="77777777" w:rsidR="008A290B" w:rsidRPr="00EE0EF7" w:rsidRDefault="008A290B" w:rsidP="003B3351">
            <w:pPr>
              <w:keepNext/>
              <w:keepLines/>
              <w:jc w:val="right"/>
              <w:rPr>
                <w:sz w:val="20"/>
                <w:szCs w:val="20"/>
                <w:lang w:val="fr-FR" w:eastAsia="en-CA"/>
              </w:rPr>
            </w:pPr>
            <w:r w:rsidRPr="00EE0EF7">
              <w:rPr>
                <w:color w:val="000000"/>
                <w:sz w:val="19"/>
                <w:lang w:val="fr-FR"/>
              </w:rPr>
              <w:t>0,</w:t>
            </w:r>
            <w:r w:rsidRPr="00EE0EF7">
              <w:rPr>
                <w:color w:val="000000"/>
                <w:sz w:val="19"/>
                <w:szCs w:val="19"/>
                <w:lang w:val="fr-FR" w:eastAsia="en-CA"/>
              </w:rPr>
              <w:t>0</w:t>
            </w:r>
          </w:p>
        </w:tc>
        <w:tc>
          <w:tcPr>
            <w:tcW w:w="482" w:type="pct"/>
            <w:tcBorders>
              <w:top w:val="nil"/>
              <w:left w:val="nil"/>
              <w:bottom w:val="single" w:sz="4" w:space="0" w:color="auto"/>
              <w:right w:val="single" w:sz="4" w:space="0" w:color="auto"/>
            </w:tcBorders>
            <w:vAlign w:val="center"/>
          </w:tcPr>
          <w:p w14:paraId="44C4297B" w14:textId="2E57F3BD" w:rsidR="008A290B" w:rsidRPr="00EE0EF7" w:rsidRDefault="00EE0EF7" w:rsidP="003B3351">
            <w:pPr>
              <w:keepNext/>
              <w:keepLines/>
              <w:jc w:val="right"/>
              <w:rPr>
                <w:sz w:val="20"/>
                <w:szCs w:val="20"/>
                <w:lang w:val="fr-FR" w:eastAsia="en-CA"/>
              </w:rPr>
            </w:pPr>
            <w:r w:rsidRPr="00EE0EF7">
              <w:rPr>
                <w:sz w:val="20"/>
                <w:szCs w:val="20"/>
                <w:lang w:val="fr-FR" w:eastAsia="en-CA"/>
              </w:rPr>
              <w:t>s.o.</w:t>
            </w:r>
          </w:p>
        </w:tc>
      </w:tr>
      <w:tr w:rsidR="008A290B" w:rsidRPr="00EE0EF7" w14:paraId="755AB906" w14:textId="77777777" w:rsidTr="003B3351">
        <w:trPr>
          <w:trHeight w:val="408"/>
          <w:jc w:val="center"/>
        </w:trPr>
        <w:tc>
          <w:tcPr>
            <w:tcW w:w="300" w:type="pct"/>
            <w:tcBorders>
              <w:top w:val="nil"/>
              <w:left w:val="single" w:sz="4" w:space="0" w:color="auto"/>
              <w:bottom w:val="single" w:sz="4" w:space="0" w:color="auto"/>
              <w:right w:val="single" w:sz="4" w:space="0" w:color="auto"/>
            </w:tcBorders>
            <w:hideMark/>
          </w:tcPr>
          <w:p w14:paraId="02E72ECD" w14:textId="77777777" w:rsidR="008A290B" w:rsidRPr="00EE0EF7" w:rsidRDefault="008A290B" w:rsidP="008A290B">
            <w:pPr>
              <w:jc w:val="left"/>
              <w:rPr>
                <w:sz w:val="20"/>
                <w:szCs w:val="20"/>
                <w:lang w:val="fr-FR" w:eastAsia="en-CA"/>
              </w:rPr>
            </w:pPr>
            <w:r w:rsidRPr="00EE0EF7">
              <w:rPr>
                <w:sz w:val="20"/>
                <w:szCs w:val="20"/>
                <w:lang w:val="fr-FR" w:eastAsia="en-CA"/>
              </w:rPr>
              <w:t>1.2</w:t>
            </w:r>
          </w:p>
        </w:tc>
        <w:tc>
          <w:tcPr>
            <w:tcW w:w="1118" w:type="pct"/>
            <w:tcBorders>
              <w:top w:val="nil"/>
              <w:left w:val="nil"/>
              <w:bottom w:val="single" w:sz="4" w:space="0" w:color="auto"/>
              <w:right w:val="single" w:sz="4" w:space="0" w:color="auto"/>
            </w:tcBorders>
            <w:hideMark/>
          </w:tcPr>
          <w:p w14:paraId="79FB2B16" w14:textId="77777777" w:rsidR="008A290B" w:rsidRPr="00EE0EF7" w:rsidRDefault="008A290B" w:rsidP="008A290B">
            <w:pPr>
              <w:jc w:val="left"/>
              <w:rPr>
                <w:sz w:val="20"/>
                <w:szCs w:val="20"/>
                <w:lang w:val="fr-FR" w:eastAsia="en-CA"/>
              </w:rPr>
            </w:pPr>
            <w:r w:rsidRPr="00EE0EF7">
              <w:rPr>
                <w:color w:val="000000"/>
                <w:sz w:val="20"/>
                <w:lang w:val="fr-FR"/>
              </w:rPr>
              <w:t>Consommation totale maximum autorisée des substances du groupe I de l’annexe C (tonnes PAO)</w:t>
            </w:r>
          </w:p>
        </w:tc>
        <w:tc>
          <w:tcPr>
            <w:tcW w:w="452" w:type="pct"/>
            <w:tcBorders>
              <w:top w:val="nil"/>
              <w:left w:val="nil"/>
              <w:bottom w:val="single" w:sz="4" w:space="0" w:color="auto"/>
              <w:right w:val="single" w:sz="4" w:space="0" w:color="auto"/>
            </w:tcBorders>
            <w:vAlign w:val="center"/>
          </w:tcPr>
          <w:p w14:paraId="33B0E92D" w14:textId="77777777" w:rsidR="008A290B" w:rsidRPr="00EE0EF7" w:rsidRDefault="008A290B" w:rsidP="003B3351">
            <w:pPr>
              <w:jc w:val="right"/>
              <w:rPr>
                <w:sz w:val="20"/>
                <w:szCs w:val="20"/>
                <w:lang w:val="fr-FR" w:eastAsia="en-CA"/>
              </w:rPr>
            </w:pPr>
            <w:r w:rsidRPr="00EE0EF7">
              <w:rPr>
                <w:color w:val="000000"/>
                <w:sz w:val="19"/>
                <w:szCs w:val="19"/>
                <w:lang w:val="fr-FR" w:eastAsia="en-CA"/>
              </w:rPr>
              <w:t>130,</w:t>
            </w:r>
            <w:r w:rsidRPr="00EE0EF7">
              <w:rPr>
                <w:color w:val="000000"/>
                <w:sz w:val="19"/>
                <w:lang w:val="fr-FR"/>
              </w:rPr>
              <w:t>22</w:t>
            </w:r>
          </w:p>
        </w:tc>
        <w:tc>
          <w:tcPr>
            <w:tcW w:w="517" w:type="pct"/>
            <w:tcBorders>
              <w:top w:val="nil"/>
              <w:left w:val="nil"/>
              <w:bottom w:val="single" w:sz="4" w:space="0" w:color="auto"/>
              <w:right w:val="single" w:sz="4" w:space="0" w:color="auto"/>
            </w:tcBorders>
            <w:vAlign w:val="center"/>
          </w:tcPr>
          <w:p w14:paraId="24EE2968" w14:textId="77777777" w:rsidR="008A290B" w:rsidRPr="00EE0EF7" w:rsidRDefault="008A290B" w:rsidP="003B3351">
            <w:pPr>
              <w:jc w:val="right"/>
              <w:rPr>
                <w:sz w:val="20"/>
                <w:szCs w:val="20"/>
                <w:lang w:val="fr-FR" w:eastAsia="en-CA"/>
              </w:rPr>
            </w:pPr>
            <w:r w:rsidRPr="00EE0EF7">
              <w:rPr>
                <w:color w:val="000000"/>
                <w:sz w:val="19"/>
                <w:szCs w:val="19"/>
                <w:lang w:val="fr-FR" w:eastAsia="en-CA"/>
              </w:rPr>
              <w:t>130</w:t>
            </w:r>
            <w:r w:rsidRPr="00EE0EF7">
              <w:rPr>
                <w:color w:val="000000"/>
                <w:sz w:val="19"/>
                <w:lang w:val="fr-FR"/>
              </w:rPr>
              <w:t>,22</w:t>
            </w:r>
          </w:p>
        </w:tc>
        <w:tc>
          <w:tcPr>
            <w:tcW w:w="548" w:type="pct"/>
            <w:tcBorders>
              <w:top w:val="nil"/>
              <w:left w:val="nil"/>
              <w:bottom w:val="single" w:sz="4" w:space="0" w:color="auto"/>
              <w:right w:val="single" w:sz="4" w:space="0" w:color="auto"/>
            </w:tcBorders>
            <w:vAlign w:val="center"/>
          </w:tcPr>
          <w:p w14:paraId="5FB74E40" w14:textId="77777777" w:rsidR="008A290B" w:rsidRPr="00EE0EF7" w:rsidRDefault="008A290B" w:rsidP="003B3351">
            <w:pPr>
              <w:jc w:val="right"/>
              <w:rPr>
                <w:sz w:val="20"/>
                <w:szCs w:val="20"/>
                <w:lang w:val="fr-FR" w:eastAsia="en-CA"/>
              </w:rPr>
            </w:pPr>
            <w:r w:rsidRPr="00EE0EF7">
              <w:rPr>
                <w:color w:val="000000"/>
                <w:sz w:val="19"/>
                <w:szCs w:val="19"/>
                <w:lang w:val="fr-FR" w:eastAsia="en-CA"/>
              </w:rPr>
              <w:t>130</w:t>
            </w:r>
            <w:r w:rsidRPr="00EE0EF7">
              <w:rPr>
                <w:color w:val="000000"/>
                <w:sz w:val="19"/>
                <w:lang w:val="fr-FR"/>
              </w:rPr>
              <w:t>,22</w:t>
            </w:r>
          </w:p>
        </w:tc>
        <w:tc>
          <w:tcPr>
            <w:tcW w:w="493" w:type="pct"/>
            <w:tcBorders>
              <w:top w:val="nil"/>
              <w:left w:val="nil"/>
              <w:bottom w:val="single" w:sz="4" w:space="0" w:color="auto"/>
              <w:right w:val="single" w:sz="4" w:space="0" w:color="auto"/>
            </w:tcBorders>
            <w:vAlign w:val="center"/>
          </w:tcPr>
          <w:p w14:paraId="1641D46E" w14:textId="77777777" w:rsidR="008A290B" w:rsidRPr="00EE0EF7" w:rsidRDefault="008A290B" w:rsidP="003B3351">
            <w:pPr>
              <w:jc w:val="right"/>
              <w:rPr>
                <w:sz w:val="20"/>
                <w:szCs w:val="20"/>
                <w:lang w:val="fr-FR" w:eastAsia="en-CA"/>
              </w:rPr>
            </w:pPr>
            <w:r w:rsidRPr="00EE0EF7">
              <w:rPr>
                <w:color w:val="000000"/>
                <w:sz w:val="19"/>
                <w:szCs w:val="19"/>
                <w:lang w:val="fr-FR" w:eastAsia="en-CA"/>
              </w:rPr>
              <w:t>130</w:t>
            </w:r>
            <w:r w:rsidRPr="00EE0EF7">
              <w:rPr>
                <w:color w:val="000000"/>
                <w:sz w:val="19"/>
                <w:lang w:val="fr-FR"/>
              </w:rPr>
              <w:t>,22</w:t>
            </w:r>
          </w:p>
        </w:tc>
        <w:tc>
          <w:tcPr>
            <w:tcW w:w="493" w:type="pct"/>
            <w:tcBorders>
              <w:top w:val="single" w:sz="4" w:space="0" w:color="auto"/>
              <w:left w:val="nil"/>
              <w:bottom w:val="single" w:sz="4" w:space="0" w:color="auto"/>
              <w:right w:val="single" w:sz="4" w:space="0" w:color="auto"/>
            </w:tcBorders>
            <w:vAlign w:val="center"/>
          </w:tcPr>
          <w:p w14:paraId="767F3801" w14:textId="77777777" w:rsidR="008A290B" w:rsidRPr="00EE0EF7" w:rsidRDefault="008A290B" w:rsidP="003B3351">
            <w:pPr>
              <w:jc w:val="right"/>
              <w:rPr>
                <w:sz w:val="20"/>
                <w:szCs w:val="20"/>
                <w:lang w:val="fr-FR" w:eastAsia="en-CA"/>
              </w:rPr>
            </w:pPr>
            <w:r w:rsidRPr="00EE0EF7">
              <w:rPr>
                <w:color w:val="000000"/>
                <w:sz w:val="19"/>
                <w:szCs w:val="19"/>
                <w:lang w:val="fr-FR" w:eastAsia="en-CA"/>
              </w:rPr>
              <w:t>130</w:t>
            </w:r>
            <w:r w:rsidRPr="00EE0EF7">
              <w:rPr>
                <w:color w:val="000000"/>
                <w:sz w:val="19"/>
                <w:lang w:val="fr-FR"/>
              </w:rPr>
              <w:t>,22</w:t>
            </w:r>
          </w:p>
        </w:tc>
        <w:tc>
          <w:tcPr>
            <w:tcW w:w="597" w:type="pct"/>
            <w:tcBorders>
              <w:top w:val="nil"/>
              <w:left w:val="single" w:sz="4" w:space="0" w:color="auto"/>
              <w:bottom w:val="single" w:sz="4" w:space="0" w:color="auto"/>
              <w:right w:val="single" w:sz="4" w:space="0" w:color="auto"/>
            </w:tcBorders>
            <w:vAlign w:val="center"/>
          </w:tcPr>
          <w:p w14:paraId="09947979" w14:textId="77777777" w:rsidR="008A290B" w:rsidRPr="00EE0EF7" w:rsidRDefault="008A290B" w:rsidP="003B3351">
            <w:pPr>
              <w:jc w:val="right"/>
              <w:rPr>
                <w:sz w:val="20"/>
                <w:szCs w:val="20"/>
                <w:lang w:val="fr-FR" w:eastAsia="en-CA"/>
              </w:rPr>
            </w:pPr>
            <w:r w:rsidRPr="00EE0EF7">
              <w:rPr>
                <w:color w:val="000000"/>
                <w:sz w:val="19"/>
                <w:lang w:val="fr-FR"/>
              </w:rPr>
              <w:t>0,</w:t>
            </w:r>
            <w:r w:rsidRPr="00EE0EF7">
              <w:rPr>
                <w:color w:val="000000"/>
                <w:sz w:val="19"/>
                <w:szCs w:val="19"/>
                <w:lang w:val="fr-FR" w:eastAsia="en-CA"/>
              </w:rPr>
              <w:t>0</w:t>
            </w:r>
          </w:p>
        </w:tc>
        <w:tc>
          <w:tcPr>
            <w:tcW w:w="482" w:type="pct"/>
            <w:tcBorders>
              <w:top w:val="nil"/>
              <w:left w:val="nil"/>
              <w:bottom w:val="single" w:sz="4" w:space="0" w:color="auto"/>
              <w:right w:val="single" w:sz="4" w:space="0" w:color="auto"/>
            </w:tcBorders>
            <w:vAlign w:val="center"/>
          </w:tcPr>
          <w:p w14:paraId="2004DB38" w14:textId="7F2E6915" w:rsidR="008A290B" w:rsidRPr="00EE0EF7" w:rsidRDefault="00EE0EF7" w:rsidP="003B3351">
            <w:pPr>
              <w:jc w:val="right"/>
              <w:rPr>
                <w:sz w:val="20"/>
                <w:szCs w:val="20"/>
                <w:lang w:val="fr-FR" w:eastAsia="en-CA"/>
              </w:rPr>
            </w:pPr>
            <w:r w:rsidRPr="00EE0EF7">
              <w:rPr>
                <w:sz w:val="20"/>
                <w:szCs w:val="20"/>
                <w:lang w:val="fr-FR" w:eastAsia="en-CA"/>
              </w:rPr>
              <w:t>s.o.</w:t>
            </w:r>
          </w:p>
        </w:tc>
      </w:tr>
      <w:tr w:rsidR="008A290B" w:rsidRPr="00EE0EF7" w14:paraId="4C5BB22A" w14:textId="77777777" w:rsidTr="008A290B">
        <w:trPr>
          <w:trHeight w:val="116"/>
          <w:jc w:val="center"/>
        </w:trPr>
        <w:tc>
          <w:tcPr>
            <w:tcW w:w="300" w:type="pct"/>
            <w:tcBorders>
              <w:top w:val="nil"/>
              <w:left w:val="single" w:sz="4" w:space="0" w:color="auto"/>
              <w:bottom w:val="single" w:sz="4" w:space="0" w:color="auto"/>
              <w:right w:val="single" w:sz="4" w:space="0" w:color="auto"/>
            </w:tcBorders>
            <w:hideMark/>
          </w:tcPr>
          <w:p w14:paraId="34791889" w14:textId="77777777" w:rsidR="008A290B" w:rsidRPr="00EE0EF7" w:rsidRDefault="008A290B" w:rsidP="008A290B">
            <w:pPr>
              <w:jc w:val="left"/>
              <w:rPr>
                <w:sz w:val="20"/>
                <w:szCs w:val="20"/>
                <w:lang w:val="fr-FR" w:eastAsia="en-CA"/>
              </w:rPr>
            </w:pPr>
            <w:r w:rsidRPr="00EE0EF7">
              <w:rPr>
                <w:sz w:val="20"/>
                <w:szCs w:val="20"/>
                <w:lang w:val="fr-FR" w:eastAsia="en-CA"/>
              </w:rPr>
              <w:lastRenderedPageBreak/>
              <w:t>2.1</w:t>
            </w:r>
          </w:p>
        </w:tc>
        <w:tc>
          <w:tcPr>
            <w:tcW w:w="1118" w:type="pct"/>
            <w:tcBorders>
              <w:top w:val="nil"/>
              <w:left w:val="nil"/>
              <w:bottom w:val="single" w:sz="4" w:space="0" w:color="auto"/>
              <w:right w:val="single" w:sz="4" w:space="0" w:color="auto"/>
            </w:tcBorders>
            <w:hideMark/>
          </w:tcPr>
          <w:p w14:paraId="24AF1544" w14:textId="77777777" w:rsidR="008A290B" w:rsidRPr="00EE0EF7" w:rsidRDefault="008A290B" w:rsidP="008A290B">
            <w:pPr>
              <w:jc w:val="left"/>
              <w:rPr>
                <w:sz w:val="20"/>
                <w:szCs w:val="20"/>
                <w:lang w:val="fr-FR" w:eastAsia="en-CA"/>
              </w:rPr>
            </w:pPr>
            <w:r w:rsidRPr="00EE0EF7">
              <w:rPr>
                <w:color w:val="000000"/>
                <w:sz w:val="20"/>
                <w:lang w:val="fr-FR"/>
              </w:rPr>
              <w:t>Financement convenu pour l’agence principale (ONUDI) ($US)</w:t>
            </w:r>
          </w:p>
        </w:tc>
        <w:tc>
          <w:tcPr>
            <w:tcW w:w="452" w:type="pct"/>
            <w:tcBorders>
              <w:top w:val="nil"/>
              <w:left w:val="nil"/>
              <w:bottom w:val="single" w:sz="4" w:space="0" w:color="auto"/>
              <w:right w:val="single" w:sz="4" w:space="0" w:color="auto"/>
            </w:tcBorders>
            <w:vAlign w:val="center"/>
          </w:tcPr>
          <w:p w14:paraId="6BCF8ED8" w14:textId="77777777" w:rsidR="008A290B" w:rsidRPr="00EE0EF7" w:rsidRDefault="008A290B" w:rsidP="008A290B">
            <w:pPr>
              <w:jc w:val="right"/>
              <w:rPr>
                <w:sz w:val="20"/>
                <w:szCs w:val="20"/>
                <w:lang w:val="fr-FR" w:eastAsia="en-CA"/>
              </w:rPr>
            </w:pPr>
            <w:r w:rsidRPr="00EE0EF7">
              <w:rPr>
                <w:color w:val="000000"/>
                <w:sz w:val="19"/>
                <w:szCs w:val="19"/>
                <w:lang w:val="fr-FR" w:eastAsia="en-CA"/>
              </w:rPr>
              <w:t>130,22</w:t>
            </w:r>
          </w:p>
        </w:tc>
        <w:tc>
          <w:tcPr>
            <w:tcW w:w="517" w:type="pct"/>
            <w:tcBorders>
              <w:top w:val="nil"/>
              <w:left w:val="nil"/>
              <w:bottom w:val="single" w:sz="4" w:space="0" w:color="auto"/>
              <w:right w:val="single" w:sz="4" w:space="0" w:color="auto"/>
            </w:tcBorders>
            <w:vAlign w:val="center"/>
          </w:tcPr>
          <w:p w14:paraId="14A7D6B4" w14:textId="77777777" w:rsidR="008A290B" w:rsidRPr="00EE0EF7" w:rsidRDefault="008A290B" w:rsidP="008A290B">
            <w:pPr>
              <w:tabs>
                <w:tab w:val="left" w:pos="340"/>
                <w:tab w:val="right" w:pos="484"/>
              </w:tabs>
              <w:jc w:val="right"/>
              <w:rPr>
                <w:sz w:val="20"/>
                <w:szCs w:val="20"/>
                <w:lang w:val="fr-FR" w:eastAsia="en-CA"/>
              </w:rPr>
            </w:pPr>
            <w:r w:rsidRPr="00EE0EF7">
              <w:rPr>
                <w:color w:val="000000"/>
                <w:sz w:val="19"/>
                <w:szCs w:val="19"/>
                <w:lang w:val="fr-FR" w:eastAsia="en-CA"/>
              </w:rPr>
              <w:t>130,22</w:t>
            </w:r>
          </w:p>
        </w:tc>
        <w:tc>
          <w:tcPr>
            <w:tcW w:w="548" w:type="pct"/>
            <w:tcBorders>
              <w:top w:val="nil"/>
              <w:left w:val="nil"/>
              <w:bottom w:val="single" w:sz="4" w:space="0" w:color="auto"/>
              <w:right w:val="single" w:sz="4" w:space="0" w:color="auto"/>
            </w:tcBorders>
            <w:vAlign w:val="center"/>
          </w:tcPr>
          <w:p w14:paraId="05E46FF7" w14:textId="77777777" w:rsidR="008A290B" w:rsidRPr="00EE0EF7" w:rsidRDefault="008A290B" w:rsidP="008A290B">
            <w:pPr>
              <w:jc w:val="right"/>
              <w:rPr>
                <w:sz w:val="20"/>
                <w:szCs w:val="20"/>
                <w:lang w:val="fr-FR" w:eastAsia="en-CA"/>
              </w:rPr>
            </w:pPr>
            <w:r w:rsidRPr="00EE0EF7">
              <w:rPr>
                <w:color w:val="000000"/>
                <w:sz w:val="19"/>
                <w:szCs w:val="19"/>
                <w:lang w:val="fr-FR" w:eastAsia="en-CA"/>
              </w:rPr>
              <w:t>130,22</w:t>
            </w:r>
          </w:p>
        </w:tc>
        <w:tc>
          <w:tcPr>
            <w:tcW w:w="493" w:type="pct"/>
            <w:tcBorders>
              <w:top w:val="nil"/>
              <w:left w:val="nil"/>
              <w:bottom w:val="single" w:sz="4" w:space="0" w:color="auto"/>
              <w:right w:val="single" w:sz="4" w:space="0" w:color="auto"/>
            </w:tcBorders>
            <w:vAlign w:val="center"/>
          </w:tcPr>
          <w:p w14:paraId="27A80F87" w14:textId="77777777" w:rsidR="008A290B" w:rsidRPr="00EE0EF7" w:rsidRDefault="008A290B" w:rsidP="008A290B">
            <w:pPr>
              <w:jc w:val="right"/>
              <w:rPr>
                <w:sz w:val="20"/>
                <w:szCs w:val="20"/>
                <w:lang w:val="fr-FR" w:eastAsia="en-CA"/>
              </w:rPr>
            </w:pPr>
            <w:r w:rsidRPr="00EE0EF7">
              <w:rPr>
                <w:color w:val="000000"/>
                <w:sz w:val="19"/>
                <w:szCs w:val="19"/>
                <w:lang w:val="fr-FR" w:eastAsia="en-CA"/>
              </w:rPr>
              <w:t>130,22</w:t>
            </w:r>
          </w:p>
        </w:tc>
        <w:tc>
          <w:tcPr>
            <w:tcW w:w="493" w:type="pct"/>
            <w:tcBorders>
              <w:top w:val="single" w:sz="4" w:space="0" w:color="auto"/>
              <w:left w:val="nil"/>
              <w:bottom w:val="single" w:sz="4" w:space="0" w:color="auto"/>
              <w:right w:val="single" w:sz="4" w:space="0" w:color="auto"/>
            </w:tcBorders>
            <w:vAlign w:val="center"/>
          </w:tcPr>
          <w:p w14:paraId="75687BBE" w14:textId="77777777" w:rsidR="008A290B" w:rsidRPr="00EE0EF7" w:rsidRDefault="008A290B" w:rsidP="008A290B">
            <w:pPr>
              <w:jc w:val="right"/>
              <w:rPr>
                <w:sz w:val="20"/>
                <w:szCs w:val="20"/>
                <w:lang w:val="fr-FR" w:eastAsia="en-CA"/>
              </w:rPr>
            </w:pPr>
            <w:r w:rsidRPr="00EE0EF7">
              <w:rPr>
                <w:color w:val="000000"/>
                <w:sz w:val="19"/>
                <w:szCs w:val="19"/>
                <w:lang w:val="fr-FR" w:eastAsia="en-CA"/>
              </w:rPr>
              <w:t>130,22</w:t>
            </w:r>
          </w:p>
        </w:tc>
        <w:tc>
          <w:tcPr>
            <w:tcW w:w="597" w:type="pct"/>
            <w:tcBorders>
              <w:top w:val="nil"/>
              <w:left w:val="single" w:sz="4" w:space="0" w:color="auto"/>
              <w:bottom w:val="single" w:sz="4" w:space="0" w:color="auto"/>
              <w:right w:val="single" w:sz="4" w:space="0" w:color="auto"/>
            </w:tcBorders>
            <w:vAlign w:val="center"/>
          </w:tcPr>
          <w:p w14:paraId="44600FB9" w14:textId="77777777" w:rsidR="008A290B" w:rsidRPr="00EE0EF7" w:rsidRDefault="008A290B" w:rsidP="008A290B">
            <w:pPr>
              <w:jc w:val="right"/>
              <w:rPr>
                <w:sz w:val="20"/>
                <w:szCs w:val="20"/>
                <w:lang w:val="fr-FR" w:eastAsia="en-CA"/>
              </w:rPr>
            </w:pPr>
            <w:r w:rsidRPr="00EE0EF7">
              <w:rPr>
                <w:color w:val="000000"/>
                <w:sz w:val="19"/>
                <w:lang w:val="fr-FR"/>
              </w:rPr>
              <w:t>0,</w:t>
            </w:r>
            <w:r w:rsidRPr="00EE0EF7">
              <w:rPr>
                <w:color w:val="000000"/>
                <w:sz w:val="19"/>
                <w:szCs w:val="19"/>
                <w:lang w:val="fr-FR" w:eastAsia="en-CA"/>
              </w:rPr>
              <w:t>0</w:t>
            </w:r>
          </w:p>
        </w:tc>
        <w:tc>
          <w:tcPr>
            <w:tcW w:w="482" w:type="pct"/>
            <w:tcBorders>
              <w:top w:val="nil"/>
              <w:left w:val="nil"/>
              <w:bottom w:val="single" w:sz="4" w:space="0" w:color="auto"/>
              <w:right w:val="single" w:sz="4" w:space="0" w:color="auto"/>
            </w:tcBorders>
            <w:vAlign w:val="center"/>
          </w:tcPr>
          <w:p w14:paraId="34481508" w14:textId="480FA1E0" w:rsidR="008A290B" w:rsidRPr="00EE0EF7" w:rsidRDefault="00EE0EF7" w:rsidP="001A1185">
            <w:pPr>
              <w:jc w:val="right"/>
              <w:rPr>
                <w:sz w:val="20"/>
                <w:szCs w:val="20"/>
                <w:lang w:val="fr-FR" w:eastAsia="en-CA"/>
              </w:rPr>
            </w:pPr>
            <w:r>
              <w:rPr>
                <w:color w:val="000000"/>
                <w:sz w:val="19"/>
                <w:lang w:val="fr-FR"/>
              </w:rPr>
              <w:t>s.o.</w:t>
            </w:r>
          </w:p>
        </w:tc>
      </w:tr>
      <w:tr w:rsidR="008A290B" w:rsidRPr="00EE0EF7" w14:paraId="5DADC894" w14:textId="77777777" w:rsidTr="008A290B">
        <w:trPr>
          <w:trHeight w:val="56"/>
          <w:jc w:val="center"/>
        </w:trPr>
        <w:tc>
          <w:tcPr>
            <w:tcW w:w="300" w:type="pct"/>
            <w:tcBorders>
              <w:top w:val="nil"/>
              <w:left w:val="single" w:sz="4" w:space="0" w:color="auto"/>
              <w:bottom w:val="single" w:sz="4" w:space="0" w:color="auto"/>
              <w:right w:val="single" w:sz="4" w:space="0" w:color="auto"/>
            </w:tcBorders>
            <w:hideMark/>
          </w:tcPr>
          <w:p w14:paraId="74CEE26D" w14:textId="77777777" w:rsidR="008A290B" w:rsidRPr="00EE0EF7" w:rsidRDefault="008A290B" w:rsidP="008A290B">
            <w:pPr>
              <w:jc w:val="left"/>
              <w:rPr>
                <w:sz w:val="20"/>
                <w:szCs w:val="20"/>
                <w:lang w:val="fr-FR" w:eastAsia="en-CA"/>
              </w:rPr>
            </w:pPr>
            <w:r w:rsidRPr="00EE0EF7">
              <w:rPr>
                <w:sz w:val="20"/>
                <w:szCs w:val="20"/>
                <w:lang w:val="fr-FR" w:eastAsia="en-CA"/>
              </w:rPr>
              <w:t>2.2</w:t>
            </w:r>
          </w:p>
        </w:tc>
        <w:tc>
          <w:tcPr>
            <w:tcW w:w="1118" w:type="pct"/>
            <w:tcBorders>
              <w:top w:val="nil"/>
              <w:left w:val="nil"/>
              <w:bottom w:val="single" w:sz="4" w:space="0" w:color="auto"/>
              <w:right w:val="single" w:sz="4" w:space="0" w:color="auto"/>
            </w:tcBorders>
            <w:hideMark/>
          </w:tcPr>
          <w:p w14:paraId="3FD16263" w14:textId="77777777" w:rsidR="008A290B" w:rsidRPr="00EE0EF7" w:rsidRDefault="008A290B" w:rsidP="008A290B">
            <w:pPr>
              <w:jc w:val="left"/>
              <w:rPr>
                <w:sz w:val="20"/>
                <w:szCs w:val="20"/>
                <w:lang w:val="fr-FR" w:eastAsia="en-CA"/>
              </w:rPr>
            </w:pPr>
            <w:r w:rsidRPr="00EE0EF7">
              <w:rPr>
                <w:color w:val="000000"/>
                <w:sz w:val="20"/>
                <w:lang w:val="fr-FR"/>
              </w:rPr>
              <w:t>Coûts d’appui pour l’Agence d’exécution principale ($US)</w:t>
            </w:r>
          </w:p>
        </w:tc>
        <w:tc>
          <w:tcPr>
            <w:tcW w:w="452" w:type="pct"/>
            <w:tcBorders>
              <w:top w:val="nil"/>
              <w:left w:val="nil"/>
              <w:bottom w:val="single" w:sz="4" w:space="0" w:color="auto"/>
              <w:right w:val="single" w:sz="4" w:space="0" w:color="auto"/>
            </w:tcBorders>
            <w:vAlign w:val="center"/>
          </w:tcPr>
          <w:p w14:paraId="5EB8544B" w14:textId="77777777" w:rsidR="008A290B" w:rsidRPr="00EE0EF7" w:rsidRDefault="008A290B" w:rsidP="008A290B">
            <w:pPr>
              <w:jc w:val="right"/>
              <w:rPr>
                <w:sz w:val="20"/>
                <w:szCs w:val="20"/>
                <w:lang w:val="fr-FR" w:eastAsia="en-CA"/>
              </w:rPr>
            </w:pPr>
            <w:r w:rsidRPr="00EE0EF7">
              <w:rPr>
                <w:color w:val="000000"/>
                <w:sz w:val="19"/>
                <w:szCs w:val="19"/>
                <w:lang w:val="fr-FR" w:eastAsia="en-CA"/>
              </w:rPr>
              <w:t>130,</w:t>
            </w:r>
            <w:r w:rsidRPr="00EE0EF7">
              <w:rPr>
                <w:color w:val="000000"/>
                <w:sz w:val="19"/>
                <w:lang w:val="fr-FR"/>
              </w:rPr>
              <w:t>22</w:t>
            </w:r>
          </w:p>
        </w:tc>
        <w:tc>
          <w:tcPr>
            <w:tcW w:w="517" w:type="pct"/>
            <w:tcBorders>
              <w:top w:val="nil"/>
              <w:left w:val="nil"/>
              <w:bottom w:val="single" w:sz="4" w:space="0" w:color="auto"/>
              <w:right w:val="single" w:sz="4" w:space="0" w:color="auto"/>
            </w:tcBorders>
            <w:vAlign w:val="center"/>
          </w:tcPr>
          <w:p w14:paraId="6086A367" w14:textId="77777777" w:rsidR="008A290B" w:rsidRPr="00EE0EF7" w:rsidRDefault="008A290B" w:rsidP="008A290B">
            <w:pPr>
              <w:jc w:val="right"/>
              <w:rPr>
                <w:sz w:val="20"/>
                <w:szCs w:val="20"/>
                <w:lang w:val="fr-FR" w:eastAsia="en-CA"/>
              </w:rPr>
            </w:pPr>
            <w:r w:rsidRPr="00EE0EF7">
              <w:rPr>
                <w:color w:val="000000"/>
                <w:sz w:val="19"/>
                <w:szCs w:val="19"/>
                <w:lang w:val="fr-FR" w:eastAsia="en-CA"/>
              </w:rPr>
              <w:t>130</w:t>
            </w:r>
            <w:r w:rsidRPr="00EE0EF7">
              <w:rPr>
                <w:color w:val="000000"/>
                <w:sz w:val="19"/>
                <w:lang w:val="fr-FR"/>
              </w:rPr>
              <w:t>,22</w:t>
            </w:r>
          </w:p>
        </w:tc>
        <w:tc>
          <w:tcPr>
            <w:tcW w:w="548" w:type="pct"/>
            <w:tcBorders>
              <w:top w:val="nil"/>
              <w:left w:val="nil"/>
              <w:bottom w:val="single" w:sz="4" w:space="0" w:color="auto"/>
              <w:right w:val="single" w:sz="4" w:space="0" w:color="auto"/>
            </w:tcBorders>
            <w:vAlign w:val="center"/>
          </w:tcPr>
          <w:p w14:paraId="28377E50" w14:textId="77777777" w:rsidR="008A290B" w:rsidRPr="00EE0EF7" w:rsidRDefault="008A290B" w:rsidP="008A290B">
            <w:pPr>
              <w:jc w:val="right"/>
              <w:rPr>
                <w:sz w:val="20"/>
                <w:szCs w:val="20"/>
                <w:lang w:val="fr-FR" w:eastAsia="en-CA"/>
              </w:rPr>
            </w:pPr>
            <w:r w:rsidRPr="00EE0EF7">
              <w:rPr>
                <w:color w:val="000000"/>
                <w:sz w:val="19"/>
                <w:szCs w:val="19"/>
                <w:lang w:val="fr-FR" w:eastAsia="en-CA"/>
              </w:rPr>
              <w:t>130</w:t>
            </w:r>
            <w:r w:rsidRPr="00EE0EF7">
              <w:rPr>
                <w:color w:val="000000"/>
                <w:sz w:val="19"/>
                <w:lang w:val="fr-FR"/>
              </w:rPr>
              <w:t>,22</w:t>
            </w:r>
          </w:p>
        </w:tc>
        <w:tc>
          <w:tcPr>
            <w:tcW w:w="493" w:type="pct"/>
            <w:tcBorders>
              <w:top w:val="nil"/>
              <w:left w:val="nil"/>
              <w:bottom w:val="single" w:sz="4" w:space="0" w:color="auto"/>
              <w:right w:val="single" w:sz="4" w:space="0" w:color="auto"/>
            </w:tcBorders>
            <w:vAlign w:val="center"/>
          </w:tcPr>
          <w:p w14:paraId="73F57902" w14:textId="77777777" w:rsidR="008A290B" w:rsidRPr="00EE0EF7" w:rsidRDefault="008A290B" w:rsidP="008A290B">
            <w:pPr>
              <w:jc w:val="right"/>
              <w:rPr>
                <w:sz w:val="20"/>
                <w:szCs w:val="20"/>
                <w:lang w:val="fr-FR" w:eastAsia="en-CA"/>
              </w:rPr>
            </w:pPr>
            <w:r w:rsidRPr="00EE0EF7">
              <w:rPr>
                <w:color w:val="000000"/>
                <w:sz w:val="19"/>
                <w:szCs w:val="19"/>
                <w:lang w:val="fr-FR" w:eastAsia="en-CA"/>
              </w:rPr>
              <w:t>130</w:t>
            </w:r>
            <w:r w:rsidRPr="00EE0EF7">
              <w:rPr>
                <w:color w:val="000000"/>
                <w:sz w:val="19"/>
                <w:lang w:val="fr-FR"/>
              </w:rPr>
              <w:t>,22</w:t>
            </w:r>
          </w:p>
        </w:tc>
        <w:tc>
          <w:tcPr>
            <w:tcW w:w="493" w:type="pct"/>
            <w:tcBorders>
              <w:top w:val="single" w:sz="4" w:space="0" w:color="auto"/>
              <w:left w:val="nil"/>
              <w:bottom w:val="single" w:sz="4" w:space="0" w:color="auto"/>
              <w:right w:val="single" w:sz="4" w:space="0" w:color="auto"/>
            </w:tcBorders>
            <w:vAlign w:val="center"/>
          </w:tcPr>
          <w:p w14:paraId="2B30398A" w14:textId="77777777" w:rsidR="008A290B" w:rsidRPr="00EE0EF7" w:rsidRDefault="008A290B" w:rsidP="008A290B">
            <w:pPr>
              <w:jc w:val="right"/>
              <w:rPr>
                <w:sz w:val="20"/>
                <w:szCs w:val="20"/>
                <w:lang w:val="fr-FR" w:eastAsia="en-CA"/>
              </w:rPr>
            </w:pPr>
            <w:r w:rsidRPr="00EE0EF7">
              <w:rPr>
                <w:color w:val="000000"/>
                <w:sz w:val="19"/>
                <w:szCs w:val="19"/>
                <w:lang w:val="fr-FR" w:eastAsia="en-CA"/>
              </w:rPr>
              <w:t>130</w:t>
            </w:r>
            <w:r w:rsidRPr="00EE0EF7">
              <w:rPr>
                <w:color w:val="000000"/>
                <w:sz w:val="19"/>
                <w:lang w:val="fr-FR"/>
              </w:rPr>
              <w:t>,22</w:t>
            </w:r>
          </w:p>
        </w:tc>
        <w:tc>
          <w:tcPr>
            <w:tcW w:w="597" w:type="pct"/>
            <w:tcBorders>
              <w:top w:val="nil"/>
              <w:left w:val="single" w:sz="4" w:space="0" w:color="auto"/>
              <w:bottom w:val="single" w:sz="4" w:space="0" w:color="auto"/>
              <w:right w:val="single" w:sz="4" w:space="0" w:color="auto"/>
            </w:tcBorders>
            <w:vAlign w:val="center"/>
          </w:tcPr>
          <w:p w14:paraId="741C27B0" w14:textId="77777777" w:rsidR="008A290B" w:rsidRPr="00EE0EF7" w:rsidRDefault="008A290B" w:rsidP="008A290B">
            <w:pPr>
              <w:jc w:val="right"/>
              <w:rPr>
                <w:sz w:val="20"/>
                <w:szCs w:val="20"/>
                <w:lang w:val="fr-FR" w:eastAsia="en-CA"/>
              </w:rPr>
            </w:pPr>
            <w:r w:rsidRPr="00EE0EF7">
              <w:rPr>
                <w:color w:val="000000"/>
                <w:sz w:val="19"/>
                <w:lang w:val="fr-FR"/>
              </w:rPr>
              <w:t>0,</w:t>
            </w:r>
            <w:r w:rsidRPr="00EE0EF7">
              <w:rPr>
                <w:color w:val="000000"/>
                <w:sz w:val="19"/>
                <w:szCs w:val="19"/>
                <w:lang w:val="fr-FR" w:eastAsia="en-CA"/>
              </w:rPr>
              <w:t>0</w:t>
            </w:r>
          </w:p>
        </w:tc>
        <w:tc>
          <w:tcPr>
            <w:tcW w:w="482" w:type="pct"/>
            <w:tcBorders>
              <w:top w:val="nil"/>
              <w:left w:val="nil"/>
              <w:bottom w:val="single" w:sz="4" w:space="0" w:color="auto"/>
              <w:right w:val="single" w:sz="4" w:space="0" w:color="auto"/>
            </w:tcBorders>
            <w:vAlign w:val="center"/>
          </w:tcPr>
          <w:p w14:paraId="772B92DB" w14:textId="243F7B26" w:rsidR="008A290B" w:rsidRPr="00EE0EF7" w:rsidRDefault="00EE0EF7" w:rsidP="001A1185">
            <w:pPr>
              <w:jc w:val="right"/>
              <w:rPr>
                <w:sz w:val="20"/>
                <w:szCs w:val="20"/>
                <w:lang w:val="fr-FR" w:eastAsia="en-CA"/>
              </w:rPr>
            </w:pPr>
            <w:r>
              <w:rPr>
                <w:color w:val="000000"/>
                <w:sz w:val="19"/>
                <w:lang w:val="fr-FR"/>
              </w:rPr>
              <w:t>s.o.</w:t>
            </w:r>
          </w:p>
        </w:tc>
      </w:tr>
      <w:tr w:rsidR="008A290B" w:rsidRPr="00EE0EF7" w14:paraId="37F6AB91" w14:textId="77777777" w:rsidTr="008A290B">
        <w:trPr>
          <w:trHeight w:val="62"/>
          <w:jc w:val="center"/>
        </w:trPr>
        <w:tc>
          <w:tcPr>
            <w:tcW w:w="300" w:type="pct"/>
            <w:tcBorders>
              <w:top w:val="nil"/>
              <w:left w:val="single" w:sz="4" w:space="0" w:color="auto"/>
              <w:bottom w:val="single" w:sz="4" w:space="0" w:color="auto"/>
              <w:right w:val="single" w:sz="4" w:space="0" w:color="auto"/>
            </w:tcBorders>
            <w:hideMark/>
          </w:tcPr>
          <w:p w14:paraId="6EF4BAB1" w14:textId="77777777" w:rsidR="008A290B" w:rsidRPr="00EE0EF7" w:rsidRDefault="008A290B" w:rsidP="008A290B">
            <w:pPr>
              <w:jc w:val="left"/>
              <w:rPr>
                <w:sz w:val="20"/>
                <w:szCs w:val="20"/>
                <w:lang w:val="fr-FR" w:eastAsia="en-CA"/>
              </w:rPr>
            </w:pPr>
            <w:r w:rsidRPr="00EE0EF7">
              <w:rPr>
                <w:sz w:val="20"/>
                <w:szCs w:val="20"/>
                <w:lang w:val="fr-FR" w:eastAsia="en-CA"/>
              </w:rPr>
              <w:t>3.1</w:t>
            </w:r>
          </w:p>
        </w:tc>
        <w:tc>
          <w:tcPr>
            <w:tcW w:w="1118" w:type="pct"/>
            <w:tcBorders>
              <w:top w:val="nil"/>
              <w:left w:val="nil"/>
              <w:bottom w:val="single" w:sz="4" w:space="0" w:color="auto"/>
              <w:right w:val="single" w:sz="4" w:space="0" w:color="auto"/>
            </w:tcBorders>
            <w:hideMark/>
          </w:tcPr>
          <w:p w14:paraId="3DAB0BD7" w14:textId="77777777" w:rsidR="008A290B" w:rsidRPr="00EE0EF7" w:rsidRDefault="008A290B" w:rsidP="008A290B">
            <w:pPr>
              <w:jc w:val="left"/>
              <w:rPr>
                <w:sz w:val="20"/>
                <w:szCs w:val="20"/>
                <w:lang w:val="fr-FR" w:eastAsia="en-CA"/>
              </w:rPr>
            </w:pPr>
            <w:r w:rsidRPr="00EE0EF7">
              <w:rPr>
                <w:color w:val="000000"/>
                <w:sz w:val="20"/>
                <w:lang w:val="fr-FR"/>
              </w:rPr>
              <w:t>Total du financement convenu ($US)</w:t>
            </w:r>
          </w:p>
        </w:tc>
        <w:tc>
          <w:tcPr>
            <w:tcW w:w="452" w:type="pct"/>
            <w:tcBorders>
              <w:top w:val="nil"/>
              <w:left w:val="nil"/>
              <w:bottom w:val="single" w:sz="4" w:space="0" w:color="auto"/>
              <w:right w:val="single" w:sz="4" w:space="0" w:color="auto"/>
            </w:tcBorders>
            <w:vAlign w:val="center"/>
          </w:tcPr>
          <w:p w14:paraId="65F2148A" w14:textId="77777777" w:rsidR="008A290B" w:rsidRPr="00EE0EF7" w:rsidRDefault="008A290B" w:rsidP="008A290B">
            <w:pPr>
              <w:jc w:val="right"/>
              <w:rPr>
                <w:sz w:val="20"/>
                <w:szCs w:val="20"/>
                <w:lang w:val="fr-FR" w:eastAsia="en-CA"/>
              </w:rPr>
            </w:pPr>
            <w:r w:rsidRPr="00EE0EF7">
              <w:rPr>
                <w:color w:val="000000" w:themeColor="text1"/>
                <w:sz w:val="20"/>
                <w:szCs w:val="20"/>
                <w:lang w:val="fr-FR"/>
              </w:rPr>
              <w:t>2 548 000</w:t>
            </w:r>
          </w:p>
        </w:tc>
        <w:tc>
          <w:tcPr>
            <w:tcW w:w="517" w:type="pct"/>
            <w:tcBorders>
              <w:top w:val="nil"/>
              <w:left w:val="nil"/>
              <w:bottom w:val="single" w:sz="4" w:space="0" w:color="auto"/>
              <w:right w:val="single" w:sz="4" w:space="0" w:color="auto"/>
            </w:tcBorders>
            <w:vAlign w:val="center"/>
          </w:tcPr>
          <w:p w14:paraId="130ADF62" w14:textId="77777777" w:rsidR="008A290B" w:rsidRPr="00EE0EF7" w:rsidRDefault="008A290B" w:rsidP="008A290B">
            <w:pPr>
              <w:jc w:val="right"/>
              <w:rPr>
                <w:sz w:val="20"/>
                <w:szCs w:val="20"/>
                <w:lang w:val="fr-FR" w:eastAsia="en-CA"/>
              </w:rPr>
            </w:pPr>
            <w:r w:rsidRPr="00EE0EF7">
              <w:rPr>
                <w:color w:val="000000" w:themeColor="text1"/>
                <w:sz w:val="20"/>
                <w:lang w:val="fr-FR"/>
              </w:rPr>
              <w:t>0</w:t>
            </w:r>
          </w:p>
        </w:tc>
        <w:tc>
          <w:tcPr>
            <w:tcW w:w="548" w:type="pct"/>
            <w:tcBorders>
              <w:top w:val="nil"/>
              <w:left w:val="nil"/>
              <w:bottom w:val="single" w:sz="4" w:space="0" w:color="auto"/>
              <w:right w:val="single" w:sz="4" w:space="0" w:color="auto"/>
            </w:tcBorders>
            <w:vAlign w:val="center"/>
          </w:tcPr>
          <w:p w14:paraId="23285FA3" w14:textId="77777777" w:rsidR="008A290B" w:rsidRPr="00EE0EF7" w:rsidRDefault="008A290B" w:rsidP="008A290B">
            <w:pPr>
              <w:jc w:val="right"/>
              <w:rPr>
                <w:sz w:val="20"/>
                <w:szCs w:val="20"/>
                <w:lang w:val="fr-FR" w:eastAsia="en-CA"/>
              </w:rPr>
            </w:pPr>
            <w:r w:rsidRPr="00EE0EF7">
              <w:rPr>
                <w:color w:val="000000" w:themeColor="text1"/>
                <w:sz w:val="20"/>
                <w:szCs w:val="20"/>
                <w:lang w:val="fr-FR"/>
              </w:rPr>
              <w:t>5 404 832</w:t>
            </w:r>
          </w:p>
        </w:tc>
        <w:tc>
          <w:tcPr>
            <w:tcW w:w="493" w:type="pct"/>
            <w:tcBorders>
              <w:top w:val="nil"/>
              <w:left w:val="nil"/>
              <w:bottom w:val="single" w:sz="4" w:space="0" w:color="auto"/>
              <w:right w:val="single" w:sz="4" w:space="0" w:color="auto"/>
            </w:tcBorders>
            <w:vAlign w:val="center"/>
          </w:tcPr>
          <w:p w14:paraId="5EE9AA0F" w14:textId="77777777" w:rsidR="008A290B" w:rsidRPr="00EE0EF7" w:rsidRDefault="008A290B" w:rsidP="008A290B">
            <w:pPr>
              <w:jc w:val="right"/>
              <w:rPr>
                <w:sz w:val="20"/>
                <w:szCs w:val="20"/>
                <w:lang w:val="fr-FR" w:eastAsia="en-CA"/>
              </w:rPr>
            </w:pPr>
            <w:r w:rsidRPr="00EE0EF7">
              <w:rPr>
                <w:color w:val="000000" w:themeColor="text1"/>
                <w:sz w:val="20"/>
                <w:szCs w:val="20"/>
                <w:lang w:val="fr-FR"/>
              </w:rPr>
              <w:t> </w:t>
            </w:r>
          </w:p>
        </w:tc>
        <w:tc>
          <w:tcPr>
            <w:tcW w:w="493" w:type="pct"/>
            <w:tcBorders>
              <w:top w:val="single" w:sz="4" w:space="0" w:color="auto"/>
              <w:left w:val="nil"/>
              <w:bottom w:val="single" w:sz="4" w:space="0" w:color="auto"/>
              <w:right w:val="single" w:sz="4" w:space="0" w:color="auto"/>
            </w:tcBorders>
            <w:vAlign w:val="center"/>
          </w:tcPr>
          <w:p w14:paraId="452DE3FB" w14:textId="77777777" w:rsidR="008A290B" w:rsidRPr="00EE0EF7" w:rsidRDefault="008A290B" w:rsidP="008A290B">
            <w:pPr>
              <w:jc w:val="right"/>
              <w:rPr>
                <w:sz w:val="20"/>
                <w:szCs w:val="20"/>
                <w:lang w:val="fr-FR" w:eastAsia="en-CA"/>
              </w:rPr>
            </w:pPr>
            <w:r w:rsidRPr="00EE0EF7">
              <w:rPr>
                <w:color w:val="000000" w:themeColor="text1"/>
                <w:sz w:val="20"/>
                <w:szCs w:val="20"/>
                <w:lang w:val="fr-FR"/>
              </w:rPr>
              <w:t>0</w:t>
            </w:r>
          </w:p>
        </w:tc>
        <w:tc>
          <w:tcPr>
            <w:tcW w:w="597" w:type="pct"/>
            <w:tcBorders>
              <w:top w:val="nil"/>
              <w:left w:val="single" w:sz="4" w:space="0" w:color="auto"/>
              <w:bottom w:val="single" w:sz="4" w:space="0" w:color="auto"/>
              <w:right w:val="single" w:sz="4" w:space="0" w:color="auto"/>
            </w:tcBorders>
            <w:vAlign w:val="center"/>
          </w:tcPr>
          <w:p w14:paraId="0C8FE88E" w14:textId="77777777" w:rsidR="008A290B" w:rsidRPr="00EE0EF7" w:rsidRDefault="008A290B" w:rsidP="008A290B">
            <w:pPr>
              <w:jc w:val="right"/>
              <w:rPr>
                <w:sz w:val="20"/>
                <w:szCs w:val="20"/>
                <w:lang w:val="fr-FR" w:eastAsia="en-CA"/>
              </w:rPr>
            </w:pPr>
            <w:r w:rsidRPr="00EE0EF7">
              <w:rPr>
                <w:color w:val="000000" w:themeColor="text1"/>
                <w:sz w:val="20"/>
                <w:szCs w:val="20"/>
                <w:lang w:val="fr-FR"/>
              </w:rPr>
              <w:t>1 291 183</w:t>
            </w:r>
          </w:p>
        </w:tc>
        <w:tc>
          <w:tcPr>
            <w:tcW w:w="482" w:type="pct"/>
            <w:tcBorders>
              <w:top w:val="nil"/>
              <w:left w:val="nil"/>
              <w:bottom w:val="single" w:sz="4" w:space="0" w:color="auto"/>
              <w:right w:val="single" w:sz="4" w:space="0" w:color="auto"/>
            </w:tcBorders>
            <w:vAlign w:val="center"/>
          </w:tcPr>
          <w:p w14:paraId="07D9574C" w14:textId="77777777" w:rsidR="008A290B" w:rsidRPr="00EE0EF7" w:rsidRDefault="008A290B" w:rsidP="008A290B">
            <w:pPr>
              <w:jc w:val="right"/>
              <w:rPr>
                <w:sz w:val="20"/>
                <w:szCs w:val="20"/>
                <w:lang w:val="fr-FR" w:eastAsia="en-CA"/>
              </w:rPr>
            </w:pPr>
            <w:r w:rsidRPr="00EE0EF7">
              <w:rPr>
                <w:color w:val="000000" w:themeColor="text1"/>
                <w:sz w:val="20"/>
                <w:szCs w:val="20"/>
                <w:lang w:val="fr-FR"/>
              </w:rPr>
              <w:t>9 244 015</w:t>
            </w:r>
          </w:p>
        </w:tc>
      </w:tr>
      <w:tr w:rsidR="008A290B" w:rsidRPr="00EE0EF7" w14:paraId="2079F854" w14:textId="77777777" w:rsidTr="008A290B">
        <w:trPr>
          <w:trHeight w:val="62"/>
          <w:jc w:val="center"/>
        </w:trPr>
        <w:tc>
          <w:tcPr>
            <w:tcW w:w="300" w:type="pct"/>
            <w:tcBorders>
              <w:top w:val="nil"/>
              <w:left w:val="single" w:sz="4" w:space="0" w:color="auto"/>
              <w:bottom w:val="single" w:sz="4" w:space="0" w:color="auto"/>
              <w:right w:val="single" w:sz="4" w:space="0" w:color="auto"/>
            </w:tcBorders>
            <w:hideMark/>
          </w:tcPr>
          <w:p w14:paraId="0D20B2EB" w14:textId="77777777" w:rsidR="008A290B" w:rsidRPr="00EE0EF7" w:rsidRDefault="008A290B" w:rsidP="008A290B">
            <w:pPr>
              <w:jc w:val="left"/>
              <w:rPr>
                <w:sz w:val="20"/>
                <w:szCs w:val="20"/>
                <w:lang w:val="fr-FR" w:eastAsia="en-CA"/>
              </w:rPr>
            </w:pPr>
            <w:r w:rsidRPr="00EE0EF7">
              <w:rPr>
                <w:sz w:val="20"/>
                <w:szCs w:val="20"/>
                <w:lang w:val="fr-FR" w:eastAsia="en-CA"/>
              </w:rPr>
              <w:t>3.2</w:t>
            </w:r>
          </w:p>
        </w:tc>
        <w:tc>
          <w:tcPr>
            <w:tcW w:w="1118" w:type="pct"/>
            <w:tcBorders>
              <w:top w:val="nil"/>
              <w:left w:val="nil"/>
              <w:bottom w:val="single" w:sz="4" w:space="0" w:color="auto"/>
              <w:right w:val="single" w:sz="4" w:space="0" w:color="auto"/>
            </w:tcBorders>
            <w:hideMark/>
          </w:tcPr>
          <w:p w14:paraId="3A7CA1A9" w14:textId="77777777" w:rsidR="008A290B" w:rsidRPr="00EE0EF7" w:rsidRDefault="008A290B" w:rsidP="008A290B">
            <w:pPr>
              <w:jc w:val="left"/>
              <w:rPr>
                <w:sz w:val="20"/>
                <w:szCs w:val="20"/>
                <w:lang w:val="fr-FR" w:eastAsia="en-CA"/>
              </w:rPr>
            </w:pPr>
            <w:r w:rsidRPr="00EE0EF7">
              <w:rPr>
                <w:color w:val="000000"/>
                <w:sz w:val="20"/>
                <w:lang w:val="fr-FR"/>
              </w:rPr>
              <w:t>Total des coûts d’appui ($US)</w:t>
            </w:r>
          </w:p>
        </w:tc>
        <w:tc>
          <w:tcPr>
            <w:tcW w:w="452" w:type="pct"/>
            <w:tcBorders>
              <w:top w:val="nil"/>
              <w:left w:val="nil"/>
              <w:bottom w:val="single" w:sz="4" w:space="0" w:color="auto"/>
              <w:right w:val="single" w:sz="4" w:space="0" w:color="auto"/>
            </w:tcBorders>
            <w:vAlign w:val="center"/>
          </w:tcPr>
          <w:p w14:paraId="5A52A463" w14:textId="77777777" w:rsidR="008A290B" w:rsidRPr="00EE0EF7" w:rsidRDefault="008A290B" w:rsidP="008A290B">
            <w:pPr>
              <w:jc w:val="right"/>
              <w:rPr>
                <w:sz w:val="20"/>
                <w:szCs w:val="20"/>
                <w:lang w:val="fr-FR" w:eastAsia="en-CA"/>
              </w:rPr>
            </w:pPr>
            <w:r w:rsidRPr="00EE0EF7">
              <w:rPr>
                <w:color w:val="000000" w:themeColor="text1"/>
                <w:sz w:val="20"/>
                <w:szCs w:val="20"/>
                <w:lang w:val="fr-FR"/>
              </w:rPr>
              <w:t>178 360</w:t>
            </w:r>
          </w:p>
        </w:tc>
        <w:tc>
          <w:tcPr>
            <w:tcW w:w="517" w:type="pct"/>
            <w:tcBorders>
              <w:top w:val="nil"/>
              <w:left w:val="nil"/>
              <w:bottom w:val="single" w:sz="4" w:space="0" w:color="auto"/>
              <w:right w:val="single" w:sz="4" w:space="0" w:color="auto"/>
            </w:tcBorders>
            <w:vAlign w:val="center"/>
          </w:tcPr>
          <w:p w14:paraId="2F795B8F" w14:textId="77777777" w:rsidR="008A290B" w:rsidRPr="00EE0EF7" w:rsidRDefault="008A290B" w:rsidP="008A290B">
            <w:pPr>
              <w:jc w:val="right"/>
              <w:rPr>
                <w:sz w:val="20"/>
                <w:szCs w:val="20"/>
                <w:lang w:val="fr-FR" w:eastAsia="en-CA"/>
              </w:rPr>
            </w:pPr>
            <w:r w:rsidRPr="00EE0EF7">
              <w:rPr>
                <w:color w:val="000000" w:themeColor="text1"/>
                <w:sz w:val="20"/>
                <w:lang w:val="fr-FR"/>
              </w:rPr>
              <w:t>0</w:t>
            </w:r>
          </w:p>
        </w:tc>
        <w:tc>
          <w:tcPr>
            <w:tcW w:w="548" w:type="pct"/>
            <w:tcBorders>
              <w:top w:val="nil"/>
              <w:left w:val="nil"/>
              <w:bottom w:val="single" w:sz="4" w:space="0" w:color="auto"/>
              <w:right w:val="single" w:sz="4" w:space="0" w:color="auto"/>
            </w:tcBorders>
            <w:vAlign w:val="center"/>
          </w:tcPr>
          <w:p w14:paraId="5DBA3E83" w14:textId="77777777" w:rsidR="008A290B" w:rsidRPr="00EE0EF7" w:rsidRDefault="008A290B" w:rsidP="008A290B">
            <w:pPr>
              <w:jc w:val="right"/>
              <w:rPr>
                <w:sz w:val="20"/>
                <w:szCs w:val="20"/>
                <w:lang w:val="fr-FR" w:eastAsia="en-CA"/>
              </w:rPr>
            </w:pPr>
            <w:r w:rsidRPr="00EE0EF7">
              <w:rPr>
                <w:color w:val="000000" w:themeColor="text1"/>
                <w:sz w:val="20"/>
                <w:szCs w:val="20"/>
                <w:lang w:val="fr-FR"/>
              </w:rPr>
              <w:t>378 338</w:t>
            </w:r>
          </w:p>
        </w:tc>
        <w:tc>
          <w:tcPr>
            <w:tcW w:w="493" w:type="pct"/>
            <w:tcBorders>
              <w:top w:val="nil"/>
              <w:left w:val="nil"/>
              <w:bottom w:val="single" w:sz="4" w:space="0" w:color="auto"/>
              <w:right w:val="single" w:sz="4" w:space="0" w:color="auto"/>
            </w:tcBorders>
            <w:vAlign w:val="center"/>
          </w:tcPr>
          <w:p w14:paraId="4CFCFEF5" w14:textId="77777777" w:rsidR="008A290B" w:rsidRPr="00EE0EF7" w:rsidRDefault="008A290B" w:rsidP="008A290B">
            <w:pPr>
              <w:jc w:val="right"/>
              <w:rPr>
                <w:sz w:val="20"/>
                <w:szCs w:val="20"/>
                <w:lang w:val="fr-FR" w:eastAsia="en-CA"/>
              </w:rPr>
            </w:pPr>
            <w:r w:rsidRPr="00EE0EF7">
              <w:rPr>
                <w:color w:val="000000" w:themeColor="text1"/>
                <w:sz w:val="20"/>
                <w:lang w:val="fr-FR"/>
              </w:rPr>
              <w:t>0</w:t>
            </w:r>
          </w:p>
        </w:tc>
        <w:tc>
          <w:tcPr>
            <w:tcW w:w="493" w:type="pct"/>
            <w:tcBorders>
              <w:top w:val="single" w:sz="4" w:space="0" w:color="auto"/>
              <w:left w:val="nil"/>
              <w:bottom w:val="single" w:sz="4" w:space="0" w:color="auto"/>
              <w:right w:val="single" w:sz="4" w:space="0" w:color="auto"/>
            </w:tcBorders>
            <w:vAlign w:val="center"/>
          </w:tcPr>
          <w:p w14:paraId="20CDCEE7" w14:textId="77777777" w:rsidR="008A290B" w:rsidRPr="00EE0EF7" w:rsidRDefault="008A290B" w:rsidP="008A290B">
            <w:pPr>
              <w:jc w:val="right"/>
              <w:rPr>
                <w:sz w:val="20"/>
                <w:szCs w:val="20"/>
                <w:lang w:val="fr-FR" w:eastAsia="en-CA"/>
              </w:rPr>
            </w:pPr>
            <w:r w:rsidRPr="00EE0EF7">
              <w:rPr>
                <w:color w:val="000000" w:themeColor="text1"/>
                <w:sz w:val="20"/>
                <w:szCs w:val="20"/>
                <w:lang w:val="fr-FR"/>
              </w:rPr>
              <w:t>0</w:t>
            </w:r>
          </w:p>
        </w:tc>
        <w:tc>
          <w:tcPr>
            <w:tcW w:w="597" w:type="pct"/>
            <w:tcBorders>
              <w:top w:val="nil"/>
              <w:left w:val="single" w:sz="4" w:space="0" w:color="auto"/>
              <w:bottom w:val="single" w:sz="4" w:space="0" w:color="auto"/>
              <w:right w:val="single" w:sz="4" w:space="0" w:color="auto"/>
            </w:tcBorders>
            <w:vAlign w:val="center"/>
          </w:tcPr>
          <w:p w14:paraId="12873BDA" w14:textId="77777777" w:rsidR="008A290B" w:rsidRPr="00EE0EF7" w:rsidRDefault="008A290B" w:rsidP="008A290B">
            <w:pPr>
              <w:jc w:val="right"/>
              <w:rPr>
                <w:sz w:val="20"/>
                <w:szCs w:val="20"/>
                <w:lang w:val="fr-FR" w:eastAsia="en-CA"/>
              </w:rPr>
            </w:pPr>
            <w:r w:rsidRPr="00EE0EF7">
              <w:rPr>
                <w:color w:val="000000" w:themeColor="text1"/>
                <w:sz w:val="20"/>
                <w:szCs w:val="20"/>
                <w:lang w:val="fr-FR"/>
              </w:rPr>
              <w:t>90 383</w:t>
            </w:r>
          </w:p>
        </w:tc>
        <w:tc>
          <w:tcPr>
            <w:tcW w:w="482" w:type="pct"/>
            <w:tcBorders>
              <w:top w:val="nil"/>
              <w:left w:val="nil"/>
              <w:bottom w:val="single" w:sz="4" w:space="0" w:color="auto"/>
              <w:right w:val="single" w:sz="4" w:space="0" w:color="auto"/>
            </w:tcBorders>
            <w:vAlign w:val="center"/>
          </w:tcPr>
          <w:p w14:paraId="690FDC0E" w14:textId="77777777" w:rsidR="008A290B" w:rsidRPr="00EE0EF7" w:rsidRDefault="008A290B" w:rsidP="008A290B">
            <w:pPr>
              <w:jc w:val="right"/>
              <w:rPr>
                <w:sz w:val="20"/>
                <w:szCs w:val="20"/>
                <w:lang w:val="fr-FR" w:eastAsia="en-CA"/>
              </w:rPr>
            </w:pPr>
            <w:r w:rsidRPr="00EE0EF7">
              <w:rPr>
                <w:color w:val="000000" w:themeColor="text1"/>
                <w:sz w:val="20"/>
                <w:szCs w:val="20"/>
                <w:lang w:val="fr-FR"/>
              </w:rPr>
              <w:t>647 081</w:t>
            </w:r>
          </w:p>
        </w:tc>
      </w:tr>
      <w:tr w:rsidR="008A290B" w:rsidRPr="00EE0EF7" w14:paraId="6644F9FA" w14:textId="77777777" w:rsidTr="008A290B">
        <w:trPr>
          <w:trHeight w:val="53"/>
          <w:jc w:val="center"/>
        </w:trPr>
        <w:tc>
          <w:tcPr>
            <w:tcW w:w="300" w:type="pct"/>
            <w:tcBorders>
              <w:top w:val="nil"/>
              <w:left w:val="single" w:sz="4" w:space="0" w:color="auto"/>
              <w:bottom w:val="single" w:sz="4" w:space="0" w:color="auto"/>
              <w:right w:val="single" w:sz="4" w:space="0" w:color="auto"/>
            </w:tcBorders>
            <w:hideMark/>
          </w:tcPr>
          <w:p w14:paraId="02386FEF" w14:textId="77777777" w:rsidR="008A290B" w:rsidRPr="00EE0EF7" w:rsidRDefault="008A290B" w:rsidP="008A290B">
            <w:pPr>
              <w:jc w:val="left"/>
              <w:rPr>
                <w:sz w:val="20"/>
                <w:szCs w:val="20"/>
                <w:lang w:val="fr-FR" w:eastAsia="en-CA"/>
              </w:rPr>
            </w:pPr>
            <w:r w:rsidRPr="00EE0EF7">
              <w:rPr>
                <w:sz w:val="20"/>
                <w:szCs w:val="20"/>
                <w:lang w:val="fr-FR" w:eastAsia="en-CA"/>
              </w:rPr>
              <w:t>3.3</w:t>
            </w:r>
          </w:p>
        </w:tc>
        <w:tc>
          <w:tcPr>
            <w:tcW w:w="1118" w:type="pct"/>
            <w:tcBorders>
              <w:top w:val="nil"/>
              <w:left w:val="nil"/>
              <w:bottom w:val="single" w:sz="4" w:space="0" w:color="auto"/>
              <w:right w:val="single" w:sz="4" w:space="0" w:color="auto"/>
            </w:tcBorders>
            <w:hideMark/>
          </w:tcPr>
          <w:p w14:paraId="4A2AC6E4" w14:textId="77777777" w:rsidR="008A290B" w:rsidRPr="00EE0EF7" w:rsidRDefault="008A290B" w:rsidP="008A290B">
            <w:pPr>
              <w:jc w:val="left"/>
              <w:rPr>
                <w:sz w:val="20"/>
                <w:szCs w:val="20"/>
                <w:lang w:val="fr-FR" w:eastAsia="en-CA"/>
              </w:rPr>
            </w:pPr>
            <w:r w:rsidRPr="00EE0EF7">
              <w:rPr>
                <w:color w:val="000000"/>
                <w:sz w:val="20"/>
                <w:lang w:val="fr-FR"/>
              </w:rPr>
              <w:t>Total des coûts convenus ($US)</w:t>
            </w:r>
          </w:p>
        </w:tc>
        <w:tc>
          <w:tcPr>
            <w:tcW w:w="452" w:type="pct"/>
            <w:tcBorders>
              <w:top w:val="nil"/>
              <w:left w:val="nil"/>
              <w:bottom w:val="single" w:sz="4" w:space="0" w:color="auto"/>
              <w:right w:val="single" w:sz="4" w:space="0" w:color="auto"/>
            </w:tcBorders>
            <w:vAlign w:val="center"/>
          </w:tcPr>
          <w:p w14:paraId="661CF2F8" w14:textId="77777777" w:rsidR="008A290B" w:rsidRPr="00EE0EF7" w:rsidRDefault="008A290B" w:rsidP="008A290B">
            <w:pPr>
              <w:jc w:val="right"/>
              <w:rPr>
                <w:sz w:val="20"/>
                <w:szCs w:val="20"/>
                <w:lang w:val="fr-FR" w:eastAsia="en-CA"/>
              </w:rPr>
            </w:pPr>
            <w:r w:rsidRPr="00EE0EF7">
              <w:rPr>
                <w:color w:val="000000" w:themeColor="text1"/>
                <w:sz w:val="20"/>
                <w:szCs w:val="20"/>
                <w:lang w:val="fr-FR"/>
              </w:rPr>
              <w:t>2 726 360</w:t>
            </w:r>
          </w:p>
        </w:tc>
        <w:tc>
          <w:tcPr>
            <w:tcW w:w="517" w:type="pct"/>
            <w:tcBorders>
              <w:top w:val="nil"/>
              <w:left w:val="nil"/>
              <w:bottom w:val="single" w:sz="4" w:space="0" w:color="auto"/>
              <w:right w:val="single" w:sz="4" w:space="0" w:color="auto"/>
            </w:tcBorders>
            <w:vAlign w:val="center"/>
          </w:tcPr>
          <w:p w14:paraId="7FA1F246" w14:textId="77777777" w:rsidR="008A290B" w:rsidRPr="00EE0EF7" w:rsidRDefault="008A290B" w:rsidP="008A290B">
            <w:pPr>
              <w:jc w:val="right"/>
              <w:rPr>
                <w:sz w:val="20"/>
                <w:szCs w:val="20"/>
                <w:lang w:val="fr-FR" w:eastAsia="en-CA"/>
              </w:rPr>
            </w:pPr>
            <w:r w:rsidRPr="00EE0EF7">
              <w:rPr>
                <w:color w:val="000000" w:themeColor="text1"/>
                <w:sz w:val="20"/>
                <w:lang w:val="fr-FR"/>
              </w:rPr>
              <w:t>0</w:t>
            </w:r>
          </w:p>
        </w:tc>
        <w:tc>
          <w:tcPr>
            <w:tcW w:w="548" w:type="pct"/>
            <w:tcBorders>
              <w:top w:val="nil"/>
              <w:left w:val="nil"/>
              <w:bottom w:val="single" w:sz="4" w:space="0" w:color="auto"/>
              <w:right w:val="single" w:sz="4" w:space="0" w:color="auto"/>
            </w:tcBorders>
            <w:vAlign w:val="center"/>
          </w:tcPr>
          <w:p w14:paraId="02D87400" w14:textId="77777777" w:rsidR="008A290B" w:rsidRPr="00EE0EF7" w:rsidRDefault="008A290B" w:rsidP="008A290B">
            <w:pPr>
              <w:jc w:val="right"/>
              <w:rPr>
                <w:sz w:val="20"/>
                <w:szCs w:val="20"/>
                <w:lang w:val="fr-FR" w:eastAsia="en-CA"/>
              </w:rPr>
            </w:pPr>
            <w:r w:rsidRPr="00EE0EF7">
              <w:rPr>
                <w:color w:val="000000" w:themeColor="text1"/>
                <w:sz w:val="20"/>
                <w:szCs w:val="20"/>
                <w:lang w:val="fr-FR"/>
              </w:rPr>
              <w:t>5 783 170</w:t>
            </w:r>
          </w:p>
        </w:tc>
        <w:tc>
          <w:tcPr>
            <w:tcW w:w="493" w:type="pct"/>
            <w:tcBorders>
              <w:top w:val="nil"/>
              <w:left w:val="nil"/>
              <w:bottom w:val="single" w:sz="4" w:space="0" w:color="auto"/>
              <w:right w:val="single" w:sz="4" w:space="0" w:color="auto"/>
            </w:tcBorders>
            <w:vAlign w:val="center"/>
          </w:tcPr>
          <w:p w14:paraId="44E6CE2F" w14:textId="77777777" w:rsidR="008A290B" w:rsidRPr="00EE0EF7" w:rsidRDefault="008A290B" w:rsidP="008A290B">
            <w:pPr>
              <w:jc w:val="right"/>
              <w:rPr>
                <w:sz w:val="20"/>
                <w:szCs w:val="20"/>
                <w:lang w:val="fr-FR" w:eastAsia="en-CA"/>
              </w:rPr>
            </w:pPr>
            <w:r w:rsidRPr="00EE0EF7">
              <w:rPr>
                <w:color w:val="000000" w:themeColor="text1"/>
                <w:sz w:val="20"/>
                <w:szCs w:val="20"/>
                <w:lang w:val="fr-FR"/>
              </w:rPr>
              <w:t>0 </w:t>
            </w:r>
          </w:p>
        </w:tc>
        <w:tc>
          <w:tcPr>
            <w:tcW w:w="493" w:type="pct"/>
            <w:tcBorders>
              <w:top w:val="single" w:sz="4" w:space="0" w:color="auto"/>
              <w:left w:val="nil"/>
              <w:bottom w:val="single" w:sz="4" w:space="0" w:color="auto"/>
              <w:right w:val="single" w:sz="4" w:space="0" w:color="auto"/>
            </w:tcBorders>
            <w:vAlign w:val="center"/>
          </w:tcPr>
          <w:p w14:paraId="6580C507" w14:textId="77777777" w:rsidR="008A290B" w:rsidRPr="00EE0EF7" w:rsidRDefault="008A290B" w:rsidP="008A290B">
            <w:pPr>
              <w:jc w:val="right"/>
              <w:rPr>
                <w:sz w:val="20"/>
                <w:szCs w:val="20"/>
                <w:lang w:val="fr-FR" w:eastAsia="en-CA"/>
              </w:rPr>
            </w:pPr>
            <w:r w:rsidRPr="00EE0EF7">
              <w:rPr>
                <w:color w:val="000000" w:themeColor="text1"/>
                <w:sz w:val="20"/>
                <w:szCs w:val="20"/>
                <w:lang w:val="fr-FR"/>
              </w:rPr>
              <w:t>0</w:t>
            </w:r>
          </w:p>
        </w:tc>
        <w:tc>
          <w:tcPr>
            <w:tcW w:w="597" w:type="pct"/>
            <w:tcBorders>
              <w:top w:val="nil"/>
              <w:left w:val="single" w:sz="4" w:space="0" w:color="auto"/>
              <w:bottom w:val="single" w:sz="4" w:space="0" w:color="auto"/>
              <w:right w:val="single" w:sz="4" w:space="0" w:color="auto"/>
            </w:tcBorders>
            <w:vAlign w:val="center"/>
          </w:tcPr>
          <w:p w14:paraId="18139A3A" w14:textId="77777777" w:rsidR="008A290B" w:rsidRPr="00EE0EF7" w:rsidRDefault="008A290B" w:rsidP="008A290B">
            <w:pPr>
              <w:jc w:val="right"/>
              <w:rPr>
                <w:sz w:val="20"/>
                <w:szCs w:val="20"/>
                <w:lang w:val="fr-FR" w:eastAsia="en-CA"/>
              </w:rPr>
            </w:pPr>
            <w:r w:rsidRPr="00EE0EF7">
              <w:rPr>
                <w:color w:val="000000" w:themeColor="text1"/>
                <w:sz w:val="20"/>
                <w:szCs w:val="20"/>
                <w:lang w:val="fr-FR"/>
              </w:rPr>
              <w:t>1 381 566</w:t>
            </w:r>
          </w:p>
        </w:tc>
        <w:tc>
          <w:tcPr>
            <w:tcW w:w="482" w:type="pct"/>
            <w:tcBorders>
              <w:top w:val="nil"/>
              <w:left w:val="nil"/>
              <w:bottom w:val="single" w:sz="4" w:space="0" w:color="auto"/>
              <w:right w:val="single" w:sz="4" w:space="0" w:color="auto"/>
            </w:tcBorders>
            <w:vAlign w:val="center"/>
          </w:tcPr>
          <w:p w14:paraId="43106023" w14:textId="77777777" w:rsidR="008A290B" w:rsidRPr="00EE0EF7" w:rsidRDefault="008A290B" w:rsidP="008A290B">
            <w:pPr>
              <w:jc w:val="right"/>
              <w:rPr>
                <w:sz w:val="20"/>
                <w:szCs w:val="20"/>
                <w:lang w:val="fr-FR" w:eastAsia="en-CA"/>
              </w:rPr>
            </w:pPr>
            <w:r w:rsidRPr="00EE0EF7">
              <w:rPr>
                <w:color w:val="000000" w:themeColor="text1"/>
                <w:sz w:val="20"/>
                <w:szCs w:val="20"/>
                <w:lang w:val="fr-FR"/>
              </w:rPr>
              <w:t>9 891 096</w:t>
            </w:r>
          </w:p>
        </w:tc>
      </w:tr>
      <w:tr w:rsidR="008A290B" w:rsidRPr="00EE0EF7" w14:paraId="055458B8" w14:textId="77777777" w:rsidTr="008A290B">
        <w:trPr>
          <w:trHeight w:val="53"/>
          <w:jc w:val="center"/>
        </w:trPr>
        <w:tc>
          <w:tcPr>
            <w:tcW w:w="300" w:type="pct"/>
            <w:tcBorders>
              <w:top w:val="single" w:sz="4" w:space="0" w:color="auto"/>
              <w:left w:val="single" w:sz="4" w:space="0" w:color="auto"/>
              <w:bottom w:val="single" w:sz="4" w:space="0" w:color="auto"/>
              <w:right w:val="single" w:sz="4" w:space="0" w:color="auto"/>
            </w:tcBorders>
            <w:hideMark/>
          </w:tcPr>
          <w:p w14:paraId="7F36CECC" w14:textId="77777777" w:rsidR="008A290B" w:rsidRPr="00EE0EF7" w:rsidRDefault="008A290B" w:rsidP="008A290B">
            <w:pPr>
              <w:jc w:val="left"/>
              <w:rPr>
                <w:sz w:val="20"/>
                <w:szCs w:val="20"/>
                <w:lang w:val="fr-FR" w:eastAsia="en-CA"/>
              </w:rPr>
            </w:pPr>
            <w:r w:rsidRPr="00EE0EF7">
              <w:rPr>
                <w:sz w:val="20"/>
                <w:szCs w:val="20"/>
                <w:lang w:val="fr-FR" w:eastAsia="en-CA"/>
              </w:rPr>
              <w:t>4.1.1</w:t>
            </w:r>
          </w:p>
        </w:tc>
        <w:tc>
          <w:tcPr>
            <w:tcW w:w="4218" w:type="pct"/>
            <w:gridSpan w:val="7"/>
            <w:tcBorders>
              <w:top w:val="single" w:sz="4" w:space="0" w:color="auto"/>
              <w:left w:val="nil"/>
              <w:bottom w:val="single" w:sz="4" w:space="0" w:color="auto"/>
              <w:right w:val="single" w:sz="4" w:space="0" w:color="auto"/>
            </w:tcBorders>
          </w:tcPr>
          <w:p w14:paraId="74A86649" w14:textId="77777777" w:rsidR="008A290B" w:rsidRPr="00EE0EF7" w:rsidRDefault="008A290B" w:rsidP="008A290B">
            <w:pPr>
              <w:jc w:val="left"/>
              <w:rPr>
                <w:sz w:val="20"/>
                <w:szCs w:val="20"/>
                <w:lang w:val="fr-FR" w:eastAsia="en-CA"/>
              </w:rPr>
            </w:pPr>
            <w:r w:rsidRPr="00EE0EF7">
              <w:rPr>
                <w:color w:val="000000"/>
                <w:sz w:val="20"/>
                <w:lang w:val="fr-FR"/>
              </w:rPr>
              <w:t>Élimination totale de HCFC-22 convenue de réaliser en vertu du présent Accord (tonnes PAO)</w:t>
            </w:r>
          </w:p>
        </w:tc>
        <w:tc>
          <w:tcPr>
            <w:tcW w:w="482" w:type="pct"/>
            <w:tcBorders>
              <w:top w:val="single" w:sz="4" w:space="0" w:color="auto"/>
              <w:left w:val="single" w:sz="4" w:space="0" w:color="auto"/>
              <w:bottom w:val="single" w:sz="4" w:space="0" w:color="auto"/>
              <w:right w:val="single" w:sz="4" w:space="0" w:color="auto"/>
            </w:tcBorders>
          </w:tcPr>
          <w:p w14:paraId="7B68FA39" w14:textId="77777777" w:rsidR="008A290B" w:rsidRPr="00EE0EF7" w:rsidRDefault="008A290B" w:rsidP="008A290B">
            <w:pPr>
              <w:jc w:val="right"/>
              <w:rPr>
                <w:sz w:val="20"/>
                <w:szCs w:val="20"/>
                <w:lang w:val="fr-FR" w:eastAsia="en-CA"/>
              </w:rPr>
            </w:pPr>
            <w:r w:rsidRPr="00EE0EF7">
              <w:rPr>
                <w:color w:val="000000"/>
                <w:sz w:val="20"/>
                <w:szCs w:val="20"/>
                <w:lang w:val="fr-FR" w:eastAsia="en-CA"/>
              </w:rPr>
              <w:t>163,79</w:t>
            </w:r>
          </w:p>
        </w:tc>
      </w:tr>
      <w:tr w:rsidR="008A290B" w:rsidRPr="00EE0EF7" w14:paraId="65531B75" w14:textId="77777777" w:rsidTr="008A290B">
        <w:trPr>
          <w:trHeight w:val="116"/>
          <w:jc w:val="center"/>
        </w:trPr>
        <w:tc>
          <w:tcPr>
            <w:tcW w:w="300" w:type="pct"/>
            <w:tcBorders>
              <w:top w:val="nil"/>
              <w:left w:val="single" w:sz="4" w:space="0" w:color="auto"/>
              <w:bottom w:val="single" w:sz="4" w:space="0" w:color="auto"/>
              <w:right w:val="single" w:sz="4" w:space="0" w:color="auto"/>
            </w:tcBorders>
            <w:hideMark/>
          </w:tcPr>
          <w:p w14:paraId="0FDC2FA3" w14:textId="77777777" w:rsidR="008A290B" w:rsidRPr="00EE0EF7" w:rsidRDefault="008A290B" w:rsidP="008A290B">
            <w:pPr>
              <w:jc w:val="left"/>
              <w:rPr>
                <w:sz w:val="20"/>
                <w:szCs w:val="20"/>
                <w:lang w:val="fr-FR" w:eastAsia="en-CA"/>
              </w:rPr>
            </w:pPr>
            <w:r w:rsidRPr="00EE0EF7">
              <w:rPr>
                <w:sz w:val="20"/>
                <w:szCs w:val="20"/>
                <w:lang w:val="fr-FR" w:eastAsia="en-CA"/>
              </w:rPr>
              <w:t>4.1.2</w:t>
            </w:r>
          </w:p>
        </w:tc>
        <w:tc>
          <w:tcPr>
            <w:tcW w:w="4218" w:type="pct"/>
            <w:gridSpan w:val="7"/>
            <w:tcBorders>
              <w:top w:val="single" w:sz="4" w:space="0" w:color="auto"/>
              <w:left w:val="nil"/>
              <w:bottom w:val="single" w:sz="4" w:space="0" w:color="auto"/>
              <w:right w:val="single" w:sz="4" w:space="0" w:color="auto"/>
            </w:tcBorders>
          </w:tcPr>
          <w:p w14:paraId="0D1C3AD0" w14:textId="77777777" w:rsidR="008A290B" w:rsidRPr="00EE0EF7" w:rsidRDefault="008A290B" w:rsidP="008A290B">
            <w:pPr>
              <w:jc w:val="left"/>
              <w:rPr>
                <w:sz w:val="20"/>
                <w:szCs w:val="20"/>
                <w:lang w:val="fr-FR" w:eastAsia="en-CA"/>
              </w:rPr>
            </w:pPr>
            <w:r w:rsidRPr="00EE0EF7">
              <w:rPr>
                <w:color w:val="000000"/>
                <w:sz w:val="20"/>
                <w:lang w:val="fr-FR"/>
              </w:rPr>
              <w:t>Élimination du HCFC-22 réalisée lors des phases précédentes (tonnes PAO)</w:t>
            </w:r>
          </w:p>
        </w:tc>
        <w:tc>
          <w:tcPr>
            <w:tcW w:w="482" w:type="pct"/>
            <w:tcBorders>
              <w:top w:val="nil"/>
              <w:left w:val="single" w:sz="4" w:space="0" w:color="auto"/>
              <w:bottom w:val="single" w:sz="4" w:space="0" w:color="auto"/>
              <w:right w:val="single" w:sz="4" w:space="0" w:color="auto"/>
            </w:tcBorders>
          </w:tcPr>
          <w:p w14:paraId="0F08F2B1" w14:textId="77777777" w:rsidR="008A290B" w:rsidRPr="00EE0EF7" w:rsidRDefault="008A290B" w:rsidP="008A290B">
            <w:pPr>
              <w:jc w:val="right"/>
              <w:rPr>
                <w:sz w:val="20"/>
                <w:szCs w:val="20"/>
                <w:lang w:val="fr-FR" w:eastAsia="en-CA"/>
              </w:rPr>
            </w:pPr>
            <w:r w:rsidRPr="00EE0EF7">
              <w:rPr>
                <w:color w:val="000000"/>
                <w:sz w:val="20"/>
                <w:szCs w:val="20"/>
                <w:lang w:val="fr-FR" w:eastAsia="en-CA"/>
              </w:rPr>
              <w:t>102,41</w:t>
            </w:r>
          </w:p>
        </w:tc>
      </w:tr>
      <w:tr w:rsidR="008A290B" w:rsidRPr="00EE0EF7" w14:paraId="713C3334" w14:textId="77777777" w:rsidTr="008A290B">
        <w:trPr>
          <w:trHeight w:val="98"/>
          <w:jc w:val="center"/>
        </w:trPr>
        <w:tc>
          <w:tcPr>
            <w:tcW w:w="300" w:type="pct"/>
            <w:tcBorders>
              <w:top w:val="nil"/>
              <w:left w:val="single" w:sz="4" w:space="0" w:color="auto"/>
              <w:bottom w:val="nil"/>
              <w:right w:val="single" w:sz="4" w:space="0" w:color="auto"/>
            </w:tcBorders>
            <w:hideMark/>
          </w:tcPr>
          <w:p w14:paraId="40514952" w14:textId="77777777" w:rsidR="008A290B" w:rsidRPr="00EE0EF7" w:rsidRDefault="008A290B" w:rsidP="008A290B">
            <w:pPr>
              <w:jc w:val="left"/>
              <w:rPr>
                <w:sz w:val="20"/>
                <w:szCs w:val="20"/>
                <w:lang w:val="fr-FR" w:eastAsia="en-CA"/>
              </w:rPr>
            </w:pPr>
            <w:r w:rsidRPr="00EE0EF7">
              <w:rPr>
                <w:sz w:val="20"/>
                <w:szCs w:val="20"/>
                <w:lang w:val="fr-FR" w:eastAsia="en-CA"/>
              </w:rPr>
              <w:t>4.1.3</w:t>
            </w:r>
          </w:p>
        </w:tc>
        <w:tc>
          <w:tcPr>
            <w:tcW w:w="4218" w:type="pct"/>
            <w:gridSpan w:val="7"/>
            <w:tcBorders>
              <w:top w:val="single" w:sz="4" w:space="0" w:color="auto"/>
              <w:left w:val="nil"/>
              <w:bottom w:val="single" w:sz="4" w:space="0" w:color="auto"/>
              <w:right w:val="single" w:sz="4" w:space="0" w:color="auto"/>
            </w:tcBorders>
          </w:tcPr>
          <w:p w14:paraId="0976A543" w14:textId="77777777" w:rsidR="008A290B" w:rsidRPr="00EE0EF7" w:rsidRDefault="008A290B" w:rsidP="008A290B">
            <w:pPr>
              <w:jc w:val="left"/>
              <w:rPr>
                <w:sz w:val="20"/>
                <w:szCs w:val="20"/>
                <w:lang w:val="fr-FR" w:eastAsia="en-CA"/>
              </w:rPr>
            </w:pPr>
            <w:r w:rsidRPr="00EE0EF7">
              <w:rPr>
                <w:color w:val="000000"/>
                <w:sz w:val="20"/>
                <w:lang w:val="fr-FR"/>
              </w:rPr>
              <w:t>Consommation résiduelle admissible de HCFC-22 (tonnes PAO)</w:t>
            </w:r>
          </w:p>
        </w:tc>
        <w:tc>
          <w:tcPr>
            <w:tcW w:w="482" w:type="pct"/>
            <w:tcBorders>
              <w:top w:val="nil"/>
              <w:left w:val="single" w:sz="4" w:space="0" w:color="auto"/>
              <w:bottom w:val="nil"/>
              <w:right w:val="single" w:sz="4" w:space="0" w:color="auto"/>
            </w:tcBorders>
          </w:tcPr>
          <w:p w14:paraId="27AE9FFB" w14:textId="77777777" w:rsidR="008A290B" w:rsidRPr="00EE0EF7" w:rsidRDefault="008A290B" w:rsidP="008A290B">
            <w:pPr>
              <w:jc w:val="right"/>
              <w:rPr>
                <w:sz w:val="20"/>
                <w:szCs w:val="20"/>
                <w:lang w:val="fr-FR" w:eastAsia="en-CA"/>
              </w:rPr>
            </w:pPr>
            <w:r w:rsidRPr="00EE0EF7">
              <w:rPr>
                <w:color w:val="000000"/>
                <w:sz w:val="20"/>
                <w:lang w:val="fr-FR"/>
              </w:rPr>
              <w:t>0,</w:t>
            </w:r>
            <w:r w:rsidRPr="00EE0EF7">
              <w:rPr>
                <w:color w:val="000000"/>
                <w:sz w:val="20"/>
                <w:szCs w:val="20"/>
                <w:lang w:val="fr-FR" w:eastAsia="en-CA"/>
              </w:rPr>
              <w:t>0</w:t>
            </w:r>
          </w:p>
        </w:tc>
      </w:tr>
      <w:tr w:rsidR="008A290B" w:rsidRPr="00EE0EF7" w14:paraId="34B1F2E9" w14:textId="77777777" w:rsidTr="008A290B">
        <w:trPr>
          <w:trHeight w:val="53"/>
          <w:jc w:val="center"/>
        </w:trPr>
        <w:tc>
          <w:tcPr>
            <w:tcW w:w="300" w:type="pct"/>
            <w:tcBorders>
              <w:top w:val="single" w:sz="4" w:space="0" w:color="auto"/>
              <w:left w:val="single" w:sz="4" w:space="0" w:color="auto"/>
              <w:bottom w:val="single" w:sz="4" w:space="0" w:color="auto"/>
              <w:right w:val="single" w:sz="4" w:space="0" w:color="auto"/>
            </w:tcBorders>
            <w:hideMark/>
          </w:tcPr>
          <w:p w14:paraId="2D85359F" w14:textId="77777777" w:rsidR="008A290B" w:rsidRPr="00EE0EF7" w:rsidRDefault="008A290B" w:rsidP="008A290B">
            <w:pPr>
              <w:jc w:val="left"/>
              <w:rPr>
                <w:sz w:val="20"/>
                <w:szCs w:val="20"/>
                <w:lang w:val="fr-FR" w:eastAsia="en-CA"/>
              </w:rPr>
            </w:pPr>
            <w:r w:rsidRPr="00EE0EF7">
              <w:rPr>
                <w:sz w:val="20"/>
                <w:szCs w:val="20"/>
                <w:lang w:val="fr-FR" w:eastAsia="en-CA"/>
              </w:rPr>
              <w:t>4.2.1</w:t>
            </w:r>
          </w:p>
        </w:tc>
        <w:tc>
          <w:tcPr>
            <w:tcW w:w="4218" w:type="pct"/>
            <w:gridSpan w:val="7"/>
            <w:tcBorders>
              <w:top w:val="single" w:sz="4" w:space="0" w:color="auto"/>
              <w:left w:val="nil"/>
              <w:bottom w:val="single" w:sz="4" w:space="0" w:color="auto"/>
              <w:right w:val="single" w:sz="4" w:space="0" w:color="auto"/>
            </w:tcBorders>
          </w:tcPr>
          <w:p w14:paraId="6A66E59B" w14:textId="77777777" w:rsidR="008A290B" w:rsidRPr="00EE0EF7" w:rsidRDefault="008A290B" w:rsidP="008A290B">
            <w:pPr>
              <w:jc w:val="left"/>
              <w:rPr>
                <w:sz w:val="20"/>
                <w:szCs w:val="20"/>
                <w:lang w:val="fr-FR" w:eastAsia="en-CA"/>
              </w:rPr>
            </w:pPr>
            <w:r w:rsidRPr="00EE0EF7">
              <w:rPr>
                <w:color w:val="000000"/>
                <w:sz w:val="20"/>
                <w:lang w:val="fr-FR"/>
              </w:rPr>
              <w:t>Élimination totale du HCFC-141b convenue aux termes du présent Accord (tonnes PAO)</w:t>
            </w:r>
          </w:p>
        </w:tc>
        <w:tc>
          <w:tcPr>
            <w:tcW w:w="482" w:type="pct"/>
            <w:tcBorders>
              <w:top w:val="single" w:sz="4" w:space="0" w:color="auto"/>
              <w:left w:val="single" w:sz="4" w:space="0" w:color="auto"/>
              <w:bottom w:val="single" w:sz="4" w:space="0" w:color="auto"/>
              <w:right w:val="single" w:sz="4" w:space="0" w:color="auto"/>
            </w:tcBorders>
          </w:tcPr>
          <w:p w14:paraId="08836B24" w14:textId="77777777" w:rsidR="008A290B" w:rsidRPr="00EE0EF7" w:rsidRDefault="008A290B" w:rsidP="008A290B">
            <w:pPr>
              <w:jc w:val="right"/>
              <w:rPr>
                <w:sz w:val="20"/>
                <w:szCs w:val="20"/>
                <w:lang w:val="fr-FR" w:eastAsia="en-CA"/>
              </w:rPr>
            </w:pPr>
            <w:r w:rsidRPr="00EE0EF7">
              <w:rPr>
                <w:color w:val="000000"/>
                <w:sz w:val="20"/>
                <w:lang w:val="fr-FR"/>
              </w:rPr>
              <w:t>0,</w:t>
            </w:r>
            <w:r w:rsidRPr="00EE0EF7">
              <w:rPr>
                <w:color w:val="000000"/>
                <w:sz w:val="20"/>
                <w:szCs w:val="20"/>
                <w:lang w:val="fr-FR" w:eastAsia="en-CA"/>
              </w:rPr>
              <w:t>0</w:t>
            </w:r>
          </w:p>
        </w:tc>
      </w:tr>
      <w:tr w:rsidR="008A290B" w:rsidRPr="00EE0EF7" w14:paraId="2E0562C0" w14:textId="77777777" w:rsidTr="008A290B">
        <w:trPr>
          <w:trHeight w:val="116"/>
          <w:jc w:val="center"/>
        </w:trPr>
        <w:tc>
          <w:tcPr>
            <w:tcW w:w="300" w:type="pct"/>
            <w:tcBorders>
              <w:top w:val="nil"/>
              <w:left w:val="single" w:sz="4" w:space="0" w:color="auto"/>
              <w:bottom w:val="single" w:sz="4" w:space="0" w:color="auto"/>
              <w:right w:val="single" w:sz="4" w:space="0" w:color="auto"/>
            </w:tcBorders>
            <w:hideMark/>
          </w:tcPr>
          <w:p w14:paraId="29C09C47" w14:textId="77777777" w:rsidR="008A290B" w:rsidRPr="00EE0EF7" w:rsidRDefault="008A290B" w:rsidP="008A290B">
            <w:pPr>
              <w:jc w:val="left"/>
              <w:rPr>
                <w:sz w:val="20"/>
                <w:szCs w:val="20"/>
                <w:lang w:val="fr-FR" w:eastAsia="en-CA"/>
              </w:rPr>
            </w:pPr>
            <w:r w:rsidRPr="00EE0EF7">
              <w:rPr>
                <w:sz w:val="20"/>
                <w:szCs w:val="20"/>
                <w:lang w:val="fr-FR" w:eastAsia="en-CA"/>
              </w:rPr>
              <w:t>4.2.2</w:t>
            </w:r>
          </w:p>
        </w:tc>
        <w:tc>
          <w:tcPr>
            <w:tcW w:w="4218" w:type="pct"/>
            <w:gridSpan w:val="7"/>
            <w:tcBorders>
              <w:top w:val="single" w:sz="4" w:space="0" w:color="auto"/>
              <w:left w:val="nil"/>
              <w:bottom w:val="single" w:sz="4" w:space="0" w:color="auto"/>
              <w:right w:val="single" w:sz="4" w:space="0" w:color="auto"/>
            </w:tcBorders>
          </w:tcPr>
          <w:p w14:paraId="5D381C25" w14:textId="77777777" w:rsidR="008A290B" w:rsidRPr="00EE0EF7" w:rsidRDefault="008A290B" w:rsidP="008A290B">
            <w:pPr>
              <w:jc w:val="left"/>
              <w:rPr>
                <w:sz w:val="20"/>
                <w:szCs w:val="20"/>
                <w:lang w:val="fr-FR" w:eastAsia="en-CA"/>
              </w:rPr>
            </w:pPr>
            <w:r w:rsidRPr="00EE0EF7">
              <w:rPr>
                <w:color w:val="000000"/>
                <w:sz w:val="20"/>
                <w:lang w:val="fr-FR"/>
              </w:rPr>
              <w:t>Élimination du HCFC-141b réalisée lors des phases précédentes (tonnes PAO)</w:t>
            </w:r>
          </w:p>
        </w:tc>
        <w:tc>
          <w:tcPr>
            <w:tcW w:w="482" w:type="pct"/>
            <w:tcBorders>
              <w:top w:val="nil"/>
              <w:left w:val="single" w:sz="4" w:space="0" w:color="auto"/>
              <w:bottom w:val="single" w:sz="4" w:space="0" w:color="auto"/>
              <w:right w:val="single" w:sz="4" w:space="0" w:color="auto"/>
            </w:tcBorders>
          </w:tcPr>
          <w:p w14:paraId="4C9C94CD" w14:textId="77777777" w:rsidR="008A290B" w:rsidRPr="00EE0EF7" w:rsidRDefault="008A290B" w:rsidP="008A290B">
            <w:pPr>
              <w:jc w:val="right"/>
              <w:rPr>
                <w:sz w:val="20"/>
                <w:szCs w:val="20"/>
                <w:lang w:val="fr-FR" w:eastAsia="en-CA"/>
              </w:rPr>
            </w:pPr>
            <w:r w:rsidRPr="00EE0EF7">
              <w:rPr>
                <w:color w:val="000000"/>
                <w:sz w:val="20"/>
                <w:szCs w:val="20"/>
                <w:lang w:val="fr-FR" w:eastAsia="en-CA"/>
              </w:rPr>
              <w:t>94,57</w:t>
            </w:r>
          </w:p>
        </w:tc>
      </w:tr>
      <w:tr w:rsidR="008A290B" w:rsidRPr="00EE0EF7" w14:paraId="16B59D44" w14:textId="77777777" w:rsidTr="008A290B">
        <w:trPr>
          <w:trHeight w:val="98"/>
          <w:jc w:val="center"/>
        </w:trPr>
        <w:tc>
          <w:tcPr>
            <w:tcW w:w="300" w:type="pct"/>
            <w:tcBorders>
              <w:top w:val="single" w:sz="4" w:space="0" w:color="auto"/>
              <w:left w:val="single" w:sz="4" w:space="0" w:color="auto"/>
              <w:bottom w:val="single" w:sz="4" w:space="0" w:color="auto"/>
              <w:right w:val="single" w:sz="4" w:space="0" w:color="auto"/>
            </w:tcBorders>
            <w:hideMark/>
          </w:tcPr>
          <w:p w14:paraId="1FAA3745" w14:textId="77777777" w:rsidR="008A290B" w:rsidRPr="00EE0EF7" w:rsidRDefault="008A290B" w:rsidP="008A290B">
            <w:pPr>
              <w:jc w:val="left"/>
              <w:rPr>
                <w:sz w:val="20"/>
                <w:szCs w:val="20"/>
                <w:lang w:val="fr-FR" w:eastAsia="en-CA"/>
              </w:rPr>
            </w:pPr>
            <w:r w:rsidRPr="00EE0EF7">
              <w:rPr>
                <w:sz w:val="20"/>
                <w:szCs w:val="20"/>
                <w:lang w:val="fr-FR" w:eastAsia="en-CA"/>
              </w:rPr>
              <w:t>4.2.3</w:t>
            </w:r>
          </w:p>
        </w:tc>
        <w:tc>
          <w:tcPr>
            <w:tcW w:w="4218" w:type="pct"/>
            <w:gridSpan w:val="7"/>
            <w:tcBorders>
              <w:top w:val="single" w:sz="4" w:space="0" w:color="auto"/>
              <w:left w:val="nil"/>
              <w:bottom w:val="single" w:sz="4" w:space="0" w:color="auto"/>
              <w:right w:val="single" w:sz="4" w:space="0" w:color="auto"/>
            </w:tcBorders>
          </w:tcPr>
          <w:p w14:paraId="60170B89" w14:textId="77777777" w:rsidR="008A290B" w:rsidRPr="00EE0EF7" w:rsidRDefault="008A290B" w:rsidP="008A290B">
            <w:pPr>
              <w:jc w:val="left"/>
              <w:rPr>
                <w:sz w:val="20"/>
                <w:szCs w:val="20"/>
                <w:lang w:val="fr-FR" w:eastAsia="en-CA"/>
              </w:rPr>
            </w:pPr>
            <w:r w:rsidRPr="00EE0EF7">
              <w:rPr>
                <w:color w:val="000000"/>
                <w:sz w:val="20"/>
                <w:lang w:val="fr-FR"/>
              </w:rPr>
              <w:t>Consommation résiduelle admissible de HCFC-141b (tonnes PAO)</w:t>
            </w:r>
          </w:p>
        </w:tc>
        <w:tc>
          <w:tcPr>
            <w:tcW w:w="482" w:type="pct"/>
            <w:tcBorders>
              <w:top w:val="single" w:sz="4" w:space="0" w:color="auto"/>
              <w:left w:val="single" w:sz="4" w:space="0" w:color="auto"/>
              <w:bottom w:val="single" w:sz="4" w:space="0" w:color="auto"/>
              <w:right w:val="single" w:sz="4" w:space="0" w:color="auto"/>
            </w:tcBorders>
          </w:tcPr>
          <w:p w14:paraId="6F226CD2" w14:textId="77777777" w:rsidR="008A290B" w:rsidRPr="00EE0EF7" w:rsidRDefault="008A290B" w:rsidP="008A290B">
            <w:pPr>
              <w:jc w:val="right"/>
              <w:rPr>
                <w:sz w:val="20"/>
                <w:szCs w:val="20"/>
                <w:lang w:val="fr-FR" w:eastAsia="en-CA"/>
              </w:rPr>
            </w:pPr>
            <w:r w:rsidRPr="00EE0EF7">
              <w:rPr>
                <w:color w:val="000000"/>
                <w:sz w:val="20"/>
                <w:lang w:val="fr-FR"/>
              </w:rPr>
              <w:t>0,</w:t>
            </w:r>
            <w:r w:rsidRPr="00EE0EF7">
              <w:rPr>
                <w:color w:val="000000"/>
                <w:sz w:val="20"/>
                <w:szCs w:val="20"/>
                <w:lang w:val="fr-FR" w:eastAsia="en-CA"/>
              </w:rPr>
              <w:t>0</w:t>
            </w:r>
          </w:p>
        </w:tc>
      </w:tr>
      <w:tr w:rsidR="008A290B" w:rsidRPr="00EE0EF7" w14:paraId="6192DF61" w14:textId="77777777" w:rsidTr="008A290B">
        <w:trPr>
          <w:trHeight w:val="98"/>
          <w:jc w:val="center"/>
        </w:trPr>
        <w:tc>
          <w:tcPr>
            <w:tcW w:w="300" w:type="pct"/>
            <w:tcBorders>
              <w:top w:val="single" w:sz="4" w:space="0" w:color="auto"/>
              <w:left w:val="single" w:sz="4" w:space="0" w:color="auto"/>
              <w:bottom w:val="single" w:sz="4" w:space="0" w:color="auto"/>
              <w:right w:val="single" w:sz="4" w:space="0" w:color="auto"/>
            </w:tcBorders>
          </w:tcPr>
          <w:p w14:paraId="505EFF9C" w14:textId="77777777" w:rsidR="008A290B" w:rsidRPr="00EE0EF7" w:rsidRDefault="008A290B" w:rsidP="008A290B">
            <w:pPr>
              <w:jc w:val="left"/>
              <w:rPr>
                <w:sz w:val="20"/>
                <w:szCs w:val="20"/>
                <w:lang w:val="fr-FR" w:eastAsia="en-CA"/>
              </w:rPr>
            </w:pPr>
            <w:r w:rsidRPr="00EE0EF7">
              <w:rPr>
                <w:sz w:val="20"/>
                <w:szCs w:val="20"/>
                <w:lang w:val="fr-FR" w:eastAsia="en-CA"/>
              </w:rPr>
              <w:t>4.3.1</w:t>
            </w:r>
          </w:p>
        </w:tc>
        <w:tc>
          <w:tcPr>
            <w:tcW w:w="4218" w:type="pct"/>
            <w:gridSpan w:val="7"/>
            <w:tcBorders>
              <w:top w:val="single" w:sz="4" w:space="0" w:color="auto"/>
              <w:left w:val="nil"/>
              <w:bottom w:val="single" w:sz="4" w:space="0" w:color="auto"/>
              <w:right w:val="single" w:sz="4" w:space="0" w:color="auto"/>
            </w:tcBorders>
          </w:tcPr>
          <w:p w14:paraId="6780EF91" w14:textId="30BBCEB3" w:rsidR="008A290B" w:rsidRPr="00EE0EF7" w:rsidRDefault="008A290B" w:rsidP="008A290B">
            <w:pPr>
              <w:jc w:val="left"/>
              <w:rPr>
                <w:color w:val="000000"/>
                <w:sz w:val="20"/>
                <w:lang w:val="fr-FR"/>
              </w:rPr>
            </w:pPr>
            <w:r w:rsidRPr="00EE0EF7">
              <w:rPr>
                <w:color w:val="000000"/>
                <w:sz w:val="20"/>
                <w:szCs w:val="20"/>
                <w:lang w:val="fr-FR" w:eastAsia="en-CA"/>
              </w:rPr>
              <w:t>Élimination totale de HCFC-142b convenue aux termes du pr</w:t>
            </w:r>
            <w:r w:rsidR="000321E8" w:rsidRPr="00EE0EF7">
              <w:rPr>
                <w:color w:val="000000"/>
                <w:sz w:val="20"/>
                <w:szCs w:val="20"/>
                <w:lang w:val="fr-FR" w:eastAsia="en-CA"/>
              </w:rPr>
              <w:t>é</w:t>
            </w:r>
            <w:r w:rsidRPr="00EE0EF7">
              <w:rPr>
                <w:color w:val="000000"/>
                <w:sz w:val="20"/>
                <w:szCs w:val="20"/>
                <w:lang w:val="fr-FR" w:eastAsia="en-CA"/>
              </w:rPr>
              <w:t>sent Accord (tonnes PAO)</w:t>
            </w:r>
          </w:p>
        </w:tc>
        <w:tc>
          <w:tcPr>
            <w:tcW w:w="482" w:type="pct"/>
            <w:tcBorders>
              <w:top w:val="single" w:sz="4" w:space="0" w:color="auto"/>
              <w:left w:val="single" w:sz="4" w:space="0" w:color="auto"/>
              <w:bottom w:val="single" w:sz="4" w:space="0" w:color="auto"/>
              <w:right w:val="single" w:sz="4" w:space="0" w:color="auto"/>
            </w:tcBorders>
          </w:tcPr>
          <w:p w14:paraId="58737D18" w14:textId="77777777" w:rsidR="008A290B" w:rsidRPr="00EE0EF7" w:rsidRDefault="008A290B" w:rsidP="008A290B">
            <w:pPr>
              <w:jc w:val="right"/>
              <w:rPr>
                <w:color w:val="000000"/>
                <w:sz w:val="20"/>
                <w:lang w:val="fr-FR"/>
              </w:rPr>
            </w:pPr>
            <w:r w:rsidRPr="00EE0EF7">
              <w:rPr>
                <w:color w:val="000000"/>
                <w:sz w:val="20"/>
                <w:szCs w:val="20"/>
                <w:lang w:val="fr-FR" w:eastAsia="en-CA"/>
              </w:rPr>
              <w:t>12,60</w:t>
            </w:r>
          </w:p>
        </w:tc>
      </w:tr>
      <w:tr w:rsidR="008A290B" w:rsidRPr="00EE0EF7" w14:paraId="52FAFF56" w14:textId="77777777" w:rsidTr="008A290B">
        <w:trPr>
          <w:trHeight w:val="98"/>
          <w:jc w:val="center"/>
        </w:trPr>
        <w:tc>
          <w:tcPr>
            <w:tcW w:w="300" w:type="pct"/>
            <w:tcBorders>
              <w:top w:val="single" w:sz="4" w:space="0" w:color="auto"/>
              <w:left w:val="single" w:sz="4" w:space="0" w:color="auto"/>
              <w:bottom w:val="single" w:sz="4" w:space="0" w:color="auto"/>
              <w:right w:val="single" w:sz="4" w:space="0" w:color="auto"/>
            </w:tcBorders>
          </w:tcPr>
          <w:p w14:paraId="5A906806" w14:textId="77777777" w:rsidR="008A290B" w:rsidRPr="00EE0EF7" w:rsidRDefault="008A290B" w:rsidP="008A290B">
            <w:pPr>
              <w:jc w:val="left"/>
              <w:rPr>
                <w:sz w:val="20"/>
                <w:szCs w:val="20"/>
                <w:lang w:val="fr-FR" w:eastAsia="en-CA"/>
              </w:rPr>
            </w:pPr>
            <w:r w:rsidRPr="00EE0EF7">
              <w:rPr>
                <w:sz w:val="20"/>
                <w:szCs w:val="20"/>
                <w:lang w:val="fr-FR" w:eastAsia="en-CA"/>
              </w:rPr>
              <w:t>4.3.2</w:t>
            </w:r>
          </w:p>
        </w:tc>
        <w:tc>
          <w:tcPr>
            <w:tcW w:w="4218" w:type="pct"/>
            <w:gridSpan w:val="7"/>
            <w:tcBorders>
              <w:top w:val="single" w:sz="4" w:space="0" w:color="auto"/>
              <w:left w:val="nil"/>
              <w:bottom w:val="single" w:sz="4" w:space="0" w:color="auto"/>
              <w:right w:val="single" w:sz="4" w:space="0" w:color="auto"/>
            </w:tcBorders>
          </w:tcPr>
          <w:p w14:paraId="70F39B93" w14:textId="77777777" w:rsidR="008A290B" w:rsidRPr="00EE0EF7" w:rsidRDefault="008A290B" w:rsidP="008A290B">
            <w:pPr>
              <w:jc w:val="left"/>
              <w:rPr>
                <w:color w:val="000000"/>
                <w:sz w:val="20"/>
                <w:lang w:val="fr-FR"/>
              </w:rPr>
            </w:pPr>
            <w:r w:rsidRPr="00EE0EF7">
              <w:rPr>
                <w:color w:val="000000"/>
                <w:sz w:val="20"/>
                <w:lang w:val="fr-FR"/>
              </w:rPr>
              <w:t>Élimination du HCFC-142b à réaliser lors des phases précédentes (tonnes PAO)</w:t>
            </w:r>
          </w:p>
        </w:tc>
        <w:tc>
          <w:tcPr>
            <w:tcW w:w="482" w:type="pct"/>
            <w:tcBorders>
              <w:top w:val="single" w:sz="4" w:space="0" w:color="auto"/>
              <w:left w:val="single" w:sz="4" w:space="0" w:color="auto"/>
              <w:bottom w:val="single" w:sz="4" w:space="0" w:color="auto"/>
              <w:right w:val="single" w:sz="4" w:space="0" w:color="auto"/>
            </w:tcBorders>
          </w:tcPr>
          <w:p w14:paraId="4CA437BC" w14:textId="77777777" w:rsidR="008A290B" w:rsidRPr="00EE0EF7" w:rsidRDefault="008A290B" w:rsidP="008A290B">
            <w:pPr>
              <w:jc w:val="right"/>
              <w:rPr>
                <w:color w:val="000000"/>
                <w:sz w:val="20"/>
                <w:lang w:val="fr-FR"/>
              </w:rPr>
            </w:pPr>
            <w:r w:rsidRPr="00EE0EF7">
              <w:rPr>
                <w:color w:val="000000"/>
                <w:sz w:val="20"/>
                <w:szCs w:val="20"/>
                <w:lang w:val="fr-FR" w:eastAsia="en-CA"/>
              </w:rPr>
              <w:t>1,74</w:t>
            </w:r>
          </w:p>
        </w:tc>
      </w:tr>
      <w:tr w:rsidR="008A290B" w:rsidRPr="00EE0EF7" w14:paraId="3B81377F" w14:textId="77777777" w:rsidTr="008A290B">
        <w:trPr>
          <w:trHeight w:val="98"/>
          <w:jc w:val="center"/>
        </w:trPr>
        <w:tc>
          <w:tcPr>
            <w:tcW w:w="300" w:type="pct"/>
            <w:tcBorders>
              <w:top w:val="single" w:sz="4" w:space="0" w:color="auto"/>
              <w:left w:val="single" w:sz="4" w:space="0" w:color="auto"/>
              <w:bottom w:val="single" w:sz="4" w:space="0" w:color="auto"/>
              <w:right w:val="single" w:sz="4" w:space="0" w:color="auto"/>
            </w:tcBorders>
          </w:tcPr>
          <w:p w14:paraId="0222707F" w14:textId="77777777" w:rsidR="008A290B" w:rsidRPr="00EE0EF7" w:rsidRDefault="008A290B" w:rsidP="008A290B">
            <w:pPr>
              <w:jc w:val="left"/>
              <w:rPr>
                <w:sz w:val="20"/>
                <w:szCs w:val="20"/>
                <w:lang w:val="fr-FR" w:eastAsia="en-CA"/>
              </w:rPr>
            </w:pPr>
            <w:r w:rsidRPr="00EE0EF7">
              <w:rPr>
                <w:color w:val="000000"/>
                <w:sz w:val="20"/>
                <w:szCs w:val="20"/>
                <w:lang w:val="fr-FR" w:eastAsia="en-CA"/>
              </w:rPr>
              <w:t>4.3.3</w:t>
            </w:r>
          </w:p>
        </w:tc>
        <w:tc>
          <w:tcPr>
            <w:tcW w:w="4218" w:type="pct"/>
            <w:gridSpan w:val="7"/>
            <w:tcBorders>
              <w:top w:val="single" w:sz="4" w:space="0" w:color="auto"/>
              <w:left w:val="nil"/>
              <w:bottom w:val="single" w:sz="4" w:space="0" w:color="auto"/>
              <w:right w:val="single" w:sz="4" w:space="0" w:color="auto"/>
            </w:tcBorders>
          </w:tcPr>
          <w:p w14:paraId="7E425AFA" w14:textId="77777777" w:rsidR="008A290B" w:rsidRPr="00EE0EF7" w:rsidRDefault="008A290B" w:rsidP="008A290B">
            <w:pPr>
              <w:jc w:val="left"/>
              <w:rPr>
                <w:color w:val="000000"/>
                <w:sz w:val="20"/>
                <w:lang w:val="fr-FR"/>
              </w:rPr>
            </w:pPr>
            <w:r w:rsidRPr="00EE0EF7">
              <w:rPr>
                <w:color w:val="000000"/>
                <w:sz w:val="20"/>
                <w:lang w:val="fr-FR"/>
              </w:rPr>
              <w:t>Consommation résiduelle admissible de HCFC-142b (tonnes PAO)</w:t>
            </w:r>
          </w:p>
        </w:tc>
        <w:tc>
          <w:tcPr>
            <w:tcW w:w="482" w:type="pct"/>
            <w:tcBorders>
              <w:top w:val="single" w:sz="4" w:space="0" w:color="auto"/>
              <w:left w:val="single" w:sz="4" w:space="0" w:color="auto"/>
              <w:bottom w:val="single" w:sz="4" w:space="0" w:color="auto"/>
              <w:right w:val="single" w:sz="4" w:space="0" w:color="auto"/>
            </w:tcBorders>
          </w:tcPr>
          <w:p w14:paraId="52A9146B" w14:textId="77777777" w:rsidR="008A290B" w:rsidRPr="00EE0EF7" w:rsidRDefault="008A290B" w:rsidP="008A290B">
            <w:pPr>
              <w:jc w:val="right"/>
              <w:rPr>
                <w:color w:val="000000"/>
                <w:sz w:val="20"/>
                <w:lang w:val="fr-FR"/>
              </w:rPr>
            </w:pPr>
            <w:r w:rsidRPr="00EE0EF7">
              <w:rPr>
                <w:color w:val="000000"/>
                <w:sz w:val="20"/>
                <w:szCs w:val="20"/>
                <w:lang w:val="fr-FR" w:eastAsia="en-CA"/>
              </w:rPr>
              <w:t>0,0</w:t>
            </w:r>
          </w:p>
        </w:tc>
      </w:tr>
      <w:tr w:rsidR="008A290B" w:rsidRPr="00EE0EF7" w14:paraId="39D495F1" w14:textId="77777777" w:rsidTr="008A290B">
        <w:trPr>
          <w:trHeight w:val="98"/>
          <w:jc w:val="center"/>
        </w:trPr>
        <w:tc>
          <w:tcPr>
            <w:tcW w:w="300" w:type="pct"/>
            <w:tcBorders>
              <w:top w:val="single" w:sz="4" w:space="0" w:color="auto"/>
              <w:left w:val="single" w:sz="4" w:space="0" w:color="auto"/>
              <w:bottom w:val="single" w:sz="4" w:space="0" w:color="auto"/>
              <w:right w:val="single" w:sz="4" w:space="0" w:color="auto"/>
            </w:tcBorders>
          </w:tcPr>
          <w:p w14:paraId="673AC8D1" w14:textId="77777777" w:rsidR="008A290B" w:rsidRPr="00EE0EF7" w:rsidRDefault="008A290B" w:rsidP="008A290B">
            <w:pPr>
              <w:jc w:val="left"/>
              <w:rPr>
                <w:sz w:val="20"/>
                <w:szCs w:val="20"/>
                <w:lang w:val="fr-FR" w:eastAsia="en-CA"/>
              </w:rPr>
            </w:pPr>
            <w:r w:rsidRPr="00EE0EF7">
              <w:rPr>
                <w:color w:val="000000"/>
                <w:sz w:val="20"/>
                <w:szCs w:val="20"/>
                <w:lang w:val="fr-FR" w:eastAsia="en-CA"/>
              </w:rPr>
              <w:t>4.4.1</w:t>
            </w:r>
          </w:p>
        </w:tc>
        <w:tc>
          <w:tcPr>
            <w:tcW w:w="4218" w:type="pct"/>
            <w:gridSpan w:val="7"/>
            <w:tcBorders>
              <w:top w:val="single" w:sz="4" w:space="0" w:color="auto"/>
              <w:left w:val="nil"/>
              <w:bottom w:val="single" w:sz="4" w:space="0" w:color="auto"/>
              <w:right w:val="single" w:sz="4" w:space="0" w:color="auto"/>
            </w:tcBorders>
          </w:tcPr>
          <w:p w14:paraId="5536F748" w14:textId="77B8DB2E" w:rsidR="008A290B" w:rsidRPr="00EE0EF7" w:rsidRDefault="008A290B" w:rsidP="008A290B">
            <w:pPr>
              <w:jc w:val="left"/>
              <w:rPr>
                <w:color w:val="000000"/>
                <w:sz w:val="20"/>
                <w:lang w:val="fr-FR"/>
              </w:rPr>
            </w:pPr>
            <w:r w:rsidRPr="00EE0EF7">
              <w:rPr>
                <w:color w:val="000000"/>
                <w:sz w:val="20"/>
                <w:szCs w:val="20"/>
                <w:lang w:val="fr-FR" w:eastAsia="en-CA"/>
              </w:rPr>
              <w:t>Élimination totale de HCFC-123 convenue aux termes du pr</w:t>
            </w:r>
            <w:r w:rsidR="000321E8" w:rsidRPr="00EE0EF7">
              <w:rPr>
                <w:color w:val="000000"/>
                <w:sz w:val="20"/>
                <w:szCs w:val="20"/>
                <w:lang w:val="fr-FR" w:eastAsia="en-CA"/>
              </w:rPr>
              <w:t>é</w:t>
            </w:r>
            <w:r w:rsidRPr="00EE0EF7">
              <w:rPr>
                <w:color w:val="000000"/>
                <w:sz w:val="20"/>
                <w:szCs w:val="20"/>
                <w:lang w:val="fr-FR" w:eastAsia="en-CA"/>
              </w:rPr>
              <w:t>sent Accord (tonnes PAO)</w:t>
            </w:r>
          </w:p>
        </w:tc>
        <w:tc>
          <w:tcPr>
            <w:tcW w:w="482" w:type="pct"/>
            <w:tcBorders>
              <w:top w:val="single" w:sz="4" w:space="0" w:color="auto"/>
              <w:left w:val="single" w:sz="4" w:space="0" w:color="auto"/>
              <w:bottom w:val="single" w:sz="4" w:space="0" w:color="auto"/>
              <w:right w:val="single" w:sz="4" w:space="0" w:color="auto"/>
            </w:tcBorders>
          </w:tcPr>
          <w:p w14:paraId="38B95A93" w14:textId="77777777" w:rsidR="008A290B" w:rsidRPr="00EE0EF7" w:rsidRDefault="008A290B" w:rsidP="008A290B">
            <w:pPr>
              <w:jc w:val="right"/>
              <w:rPr>
                <w:color w:val="000000"/>
                <w:sz w:val="20"/>
                <w:lang w:val="fr-FR"/>
              </w:rPr>
            </w:pPr>
            <w:r w:rsidRPr="00EE0EF7">
              <w:rPr>
                <w:color w:val="000000"/>
                <w:sz w:val="20"/>
                <w:szCs w:val="20"/>
                <w:lang w:val="fr-FR" w:eastAsia="en-CA"/>
              </w:rPr>
              <w:t>1,57</w:t>
            </w:r>
          </w:p>
        </w:tc>
      </w:tr>
      <w:tr w:rsidR="008A290B" w:rsidRPr="00EE0EF7" w14:paraId="237CBF9A" w14:textId="77777777" w:rsidTr="008A290B">
        <w:trPr>
          <w:trHeight w:val="98"/>
          <w:jc w:val="center"/>
        </w:trPr>
        <w:tc>
          <w:tcPr>
            <w:tcW w:w="300" w:type="pct"/>
            <w:tcBorders>
              <w:top w:val="single" w:sz="4" w:space="0" w:color="auto"/>
              <w:left w:val="single" w:sz="4" w:space="0" w:color="auto"/>
              <w:bottom w:val="single" w:sz="4" w:space="0" w:color="auto"/>
              <w:right w:val="single" w:sz="4" w:space="0" w:color="auto"/>
            </w:tcBorders>
          </w:tcPr>
          <w:p w14:paraId="2B88FE8B" w14:textId="77777777" w:rsidR="008A290B" w:rsidRPr="00EE0EF7" w:rsidRDefault="008A290B" w:rsidP="008A290B">
            <w:pPr>
              <w:jc w:val="left"/>
              <w:rPr>
                <w:sz w:val="20"/>
                <w:szCs w:val="20"/>
                <w:lang w:val="fr-FR" w:eastAsia="en-CA"/>
              </w:rPr>
            </w:pPr>
            <w:r w:rsidRPr="00EE0EF7">
              <w:rPr>
                <w:color w:val="000000"/>
                <w:sz w:val="20"/>
                <w:szCs w:val="20"/>
                <w:lang w:val="fr-FR" w:eastAsia="en-CA"/>
              </w:rPr>
              <w:t>4.4.2</w:t>
            </w:r>
          </w:p>
        </w:tc>
        <w:tc>
          <w:tcPr>
            <w:tcW w:w="4218" w:type="pct"/>
            <w:gridSpan w:val="7"/>
            <w:tcBorders>
              <w:top w:val="single" w:sz="4" w:space="0" w:color="auto"/>
              <w:left w:val="nil"/>
              <w:bottom w:val="single" w:sz="4" w:space="0" w:color="auto"/>
              <w:right w:val="single" w:sz="4" w:space="0" w:color="auto"/>
            </w:tcBorders>
          </w:tcPr>
          <w:p w14:paraId="4199D29E" w14:textId="77777777" w:rsidR="008A290B" w:rsidRPr="00EE0EF7" w:rsidRDefault="008A290B" w:rsidP="008A290B">
            <w:pPr>
              <w:jc w:val="left"/>
              <w:rPr>
                <w:color w:val="000000"/>
                <w:sz w:val="20"/>
                <w:lang w:val="fr-FR"/>
              </w:rPr>
            </w:pPr>
            <w:r w:rsidRPr="00EE0EF7">
              <w:rPr>
                <w:color w:val="000000"/>
                <w:sz w:val="20"/>
                <w:lang w:val="fr-FR"/>
              </w:rPr>
              <w:t>Élimination du HCFC-123 à réaliser lors des phases précédentes (tonnes PAO)</w:t>
            </w:r>
          </w:p>
        </w:tc>
        <w:tc>
          <w:tcPr>
            <w:tcW w:w="482" w:type="pct"/>
            <w:tcBorders>
              <w:top w:val="single" w:sz="4" w:space="0" w:color="auto"/>
              <w:left w:val="single" w:sz="4" w:space="0" w:color="auto"/>
              <w:bottom w:val="single" w:sz="4" w:space="0" w:color="auto"/>
              <w:right w:val="single" w:sz="4" w:space="0" w:color="auto"/>
            </w:tcBorders>
          </w:tcPr>
          <w:p w14:paraId="4531D31C" w14:textId="77777777" w:rsidR="008A290B" w:rsidRPr="00EE0EF7" w:rsidRDefault="008A290B" w:rsidP="008A290B">
            <w:pPr>
              <w:jc w:val="right"/>
              <w:rPr>
                <w:color w:val="000000"/>
                <w:sz w:val="20"/>
                <w:lang w:val="fr-FR"/>
              </w:rPr>
            </w:pPr>
            <w:r w:rsidRPr="00EE0EF7">
              <w:rPr>
                <w:color w:val="000000"/>
                <w:sz w:val="20"/>
                <w:szCs w:val="20"/>
                <w:lang w:val="fr-FR" w:eastAsia="en-CA"/>
              </w:rPr>
              <w:t>0,0</w:t>
            </w:r>
          </w:p>
        </w:tc>
      </w:tr>
      <w:tr w:rsidR="008A290B" w:rsidRPr="00EE0EF7" w14:paraId="4895FF23" w14:textId="77777777" w:rsidTr="008A290B">
        <w:trPr>
          <w:trHeight w:val="98"/>
          <w:jc w:val="center"/>
        </w:trPr>
        <w:tc>
          <w:tcPr>
            <w:tcW w:w="300" w:type="pct"/>
            <w:tcBorders>
              <w:top w:val="single" w:sz="4" w:space="0" w:color="auto"/>
              <w:left w:val="single" w:sz="4" w:space="0" w:color="auto"/>
              <w:bottom w:val="single" w:sz="4" w:space="0" w:color="auto"/>
              <w:right w:val="single" w:sz="4" w:space="0" w:color="auto"/>
            </w:tcBorders>
          </w:tcPr>
          <w:p w14:paraId="03CF360A" w14:textId="77777777" w:rsidR="008A290B" w:rsidRPr="00EE0EF7" w:rsidRDefault="008A290B" w:rsidP="008A290B">
            <w:pPr>
              <w:jc w:val="left"/>
              <w:rPr>
                <w:sz w:val="20"/>
                <w:szCs w:val="20"/>
                <w:lang w:val="fr-FR" w:eastAsia="en-CA"/>
              </w:rPr>
            </w:pPr>
            <w:r w:rsidRPr="00EE0EF7">
              <w:rPr>
                <w:color w:val="000000"/>
                <w:sz w:val="20"/>
                <w:szCs w:val="20"/>
                <w:lang w:val="fr-FR" w:eastAsia="en-CA"/>
              </w:rPr>
              <w:t>4.4.3</w:t>
            </w:r>
          </w:p>
        </w:tc>
        <w:tc>
          <w:tcPr>
            <w:tcW w:w="4218" w:type="pct"/>
            <w:gridSpan w:val="7"/>
            <w:tcBorders>
              <w:top w:val="single" w:sz="4" w:space="0" w:color="auto"/>
              <w:left w:val="nil"/>
              <w:bottom w:val="single" w:sz="4" w:space="0" w:color="auto"/>
              <w:right w:val="single" w:sz="4" w:space="0" w:color="auto"/>
            </w:tcBorders>
          </w:tcPr>
          <w:p w14:paraId="3F58CEDC" w14:textId="77777777" w:rsidR="008A290B" w:rsidRPr="00EE0EF7" w:rsidRDefault="008A290B" w:rsidP="008A290B">
            <w:pPr>
              <w:jc w:val="left"/>
              <w:rPr>
                <w:color w:val="000000"/>
                <w:sz w:val="20"/>
                <w:lang w:val="fr-FR"/>
              </w:rPr>
            </w:pPr>
            <w:r w:rsidRPr="00EE0EF7">
              <w:rPr>
                <w:color w:val="000000"/>
                <w:sz w:val="20"/>
                <w:lang w:val="fr-FR"/>
              </w:rPr>
              <w:t>Consommation résiduelle admissible de HCFC-123 (tonnes PAO)</w:t>
            </w:r>
          </w:p>
        </w:tc>
        <w:tc>
          <w:tcPr>
            <w:tcW w:w="482" w:type="pct"/>
            <w:tcBorders>
              <w:top w:val="single" w:sz="4" w:space="0" w:color="auto"/>
              <w:left w:val="single" w:sz="4" w:space="0" w:color="auto"/>
              <w:bottom w:val="single" w:sz="4" w:space="0" w:color="auto"/>
              <w:right w:val="single" w:sz="4" w:space="0" w:color="auto"/>
            </w:tcBorders>
          </w:tcPr>
          <w:p w14:paraId="4D04B4B9" w14:textId="77777777" w:rsidR="008A290B" w:rsidRPr="00EE0EF7" w:rsidRDefault="008A290B" w:rsidP="008A290B">
            <w:pPr>
              <w:jc w:val="right"/>
              <w:rPr>
                <w:color w:val="000000"/>
                <w:sz w:val="20"/>
                <w:lang w:val="fr-FR"/>
              </w:rPr>
            </w:pPr>
            <w:r w:rsidRPr="00EE0EF7">
              <w:rPr>
                <w:color w:val="000000"/>
                <w:sz w:val="20"/>
                <w:szCs w:val="20"/>
                <w:lang w:val="fr-FR" w:eastAsia="en-CA"/>
              </w:rPr>
              <w:t>0,0</w:t>
            </w:r>
          </w:p>
        </w:tc>
      </w:tr>
      <w:tr w:rsidR="008A290B" w:rsidRPr="00EE0EF7" w14:paraId="0C83AF5A" w14:textId="77777777" w:rsidTr="008A290B">
        <w:trPr>
          <w:trHeight w:val="98"/>
          <w:jc w:val="center"/>
        </w:trPr>
        <w:tc>
          <w:tcPr>
            <w:tcW w:w="300" w:type="pct"/>
            <w:tcBorders>
              <w:top w:val="single" w:sz="4" w:space="0" w:color="auto"/>
              <w:left w:val="single" w:sz="4" w:space="0" w:color="auto"/>
              <w:bottom w:val="single" w:sz="4" w:space="0" w:color="auto"/>
              <w:right w:val="single" w:sz="4" w:space="0" w:color="auto"/>
            </w:tcBorders>
          </w:tcPr>
          <w:p w14:paraId="3D69CB11" w14:textId="77777777" w:rsidR="008A290B" w:rsidRPr="00EE0EF7" w:rsidRDefault="008A290B" w:rsidP="008A290B">
            <w:pPr>
              <w:jc w:val="left"/>
              <w:rPr>
                <w:sz w:val="20"/>
                <w:szCs w:val="20"/>
                <w:lang w:val="fr-FR" w:eastAsia="en-CA"/>
              </w:rPr>
            </w:pPr>
            <w:r w:rsidRPr="00EE0EF7">
              <w:rPr>
                <w:color w:val="000000"/>
                <w:sz w:val="20"/>
                <w:szCs w:val="20"/>
                <w:lang w:val="fr-FR" w:eastAsia="en-CA"/>
              </w:rPr>
              <w:t>4.5.1</w:t>
            </w:r>
          </w:p>
        </w:tc>
        <w:tc>
          <w:tcPr>
            <w:tcW w:w="4218" w:type="pct"/>
            <w:gridSpan w:val="7"/>
            <w:tcBorders>
              <w:top w:val="single" w:sz="4" w:space="0" w:color="auto"/>
              <w:left w:val="nil"/>
              <w:bottom w:val="single" w:sz="4" w:space="0" w:color="auto"/>
              <w:right w:val="single" w:sz="4" w:space="0" w:color="auto"/>
            </w:tcBorders>
          </w:tcPr>
          <w:p w14:paraId="1EA00D7D" w14:textId="4425E8FB" w:rsidR="008A290B" w:rsidRPr="00EE0EF7" w:rsidRDefault="008A290B" w:rsidP="008A290B">
            <w:pPr>
              <w:jc w:val="left"/>
              <w:rPr>
                <w:color w:val="000000"/>
                <w:sz w:val="20"/>
                <w:lang w:val="fr-FR"/>
              </w:rPr>
            </w:pPr>
            <w:r w:rsidRPr="00EE0EF7">
              <w:rPr>
                <w:color w:val="000000"/>
                <w:sz w:val="20"/>
                <w:szCs w:val="20"/>
                <w:lang w:val="fr-FR" w:eastAsia="en-CA"/>
              </w:rPr>
              <w:t>Élimination totale de HCFC-124 convenue aux termes du pr</w:t>
            </w:r>
            <w:r w:rsidR="000321E8" w:rsidRPr="00EE0EF7">
              <w:rPr>
                <w:color w:val="000000"/>
                <w:sz w:val="20"/>
                <w:szCs w:val="20"/>
                <w:lang w:val="fr-FR" w:eastAsia="en-CA"/>
              </w:rPr>
              <w:t>é</w:t>
            </w:r>
            <w:r w:rsidRPr="00EE0EF7">
              <w:rPr>
                <w:color w:val="000000"/>
                <w:sz w:val="20"/>
                <w:szCs w:val="20"/>
                <w:lang w:val="fr-FR" w:eastAsia="en-CA"/>
              </w:rPr>
              <w:t>sent Accord (tonnes PAO)</w:t>
            </w:r>
          </w:p>
        </w:tc>
        <w:tc>
          <w:tcPr>
            <w:tcW w:w="482" w:type="pct"/>
            <w:tcBorders>
              <w:top w:val="single" w:sz="4" w:space="0" w:color="auto"/>
              <w:left w:val="single" w:sz="4" w:space="0" w:color="auto"/>
              <w:bottom w:val="single" w:sz="4" w:space="0" w:color="auto"/>
              <w:right w:val="single" w:sz="4" w:space="0" w:color="auto"/>
            </w:tcBorders>
          </w:tcPr>
          <w:p w14:paraId="7D3244BB" w14:textId="77777777" w:rsidR="008A290B" w:rsidRPr="00EE0EF7" w:rsidRDefault="008A290B" w:rsidP="008A290B">
            <w:pPr>
              <w:jc w:val="right"/>
              <w:rPr>
                <w:color w:val="000000"/>
                <w:sz w:val="20"/>
                <w:lang w:val="fr-FR"/>
              </w:rPr>
            </w:pPr>
            <w:r w:rsidRPr="00EE0EF7">
              <w:rPr>
                <w:color w:val="000000"/>
                <w:sz w:val="20"/>
                <w:szCs w:val="20"/>
                <w:lang w:val="fr-FR" w:eastAsia="en-CA"/>
              </w:rPr>
              <w:t>0,83</w:t>
            </w:r>
          </w:p>
        </w:tc>
      </w:tr>
      <w:tr w:rsidR="008A290B" w:rsidRPr="00EE0EF7" w14:paraId="3E76856A" w14:textId="77777777" w:rsidTr="008A290B">
        <w:trPr>
          <w:trHeight w:val="98"/>
          <w:jc w:val="center"/>
        </w:trPr>
        <w:tc>
          <w:tcPr>
            <w:tcW w:w="300" w:type="pct"/>
            <w:tcBorders>
              <w:top w:val="single" w:sz="4" w:space="0" w:color="auto"/>
              <w:left w:val="single" w:sz="4" w:space="0" w:color="auto"/>
              <w:bottom w:val="single" w:sz="4" w:space="0" w:color="auto"/>
              <w:right w:val="single" w:sz="4" w:space="0" w:color="auto"/>
            </w:tcBorders>
          </w:tcPr>
          <w:p w14:paraId="32EAB516" w14:textId="77777777" w:rsidR="008A290B" w:rsidRPr="00EE0EF7" w:rsidRDefault="008A290B" w:rsidP="008A290B">
            <w:pPr>
              <w:jc w:val="left"/>
              <w:rPr>
                <w:sz w:val="20"/>
                <w:szCs w:val="20"/>
                <w:lang w:val="fr-FR" w:eastAsia="en-CA"/>
              </w:rPr>
            </w:pPr>
            <w:r w:rsidRPr="00EE0EF7">
              <w:rPr>
                <w:color w:val="000000"/>
                <w:sz w:val="20"/>
                <w:szCs w:val="20"/>
                <w:lang w:val="fr-FR" w:eastAsia="en-CA"/>
              </w:rPr>
              <w:t>4.5.2</w:t>
            </w:r>
          </w:p>
        </w:tc>
        <w:tc>
          <w:tcPr>
            <w:tcW w:w="4218" w:type="pct"/>
            <w:gridSpan w:val="7"/>
            <w:tcBorders>
              <w:top w:val="single" w:sz="4" w:space="0" w:color="auto"/>
              <w:left w:val="nil"/>
              <w:bottom w:val="single" w:sz="4" w:space="0" w:color="auto"/>
              <w:right w:val="single" w:sz="4" w:space="0" w:color="auto"/>
            </w:tcBorders>
          </w:tcPr>
          <w:p w14:paraId="7131D8F8" w14:textId="77777777" w:rsidR="008A290B" w:rsidRPr="00EE0EF7" w:rsidRDefault="008A290B" w:rsidP="008A290B">
            <w:pPr>
              <w:jc w:val="left"/>
              <w:rPr>
                <w:color w:val="000000"/>
                <w:sz w:val="20"/>
                <w:highlight w:val="yellow"/>
                <w:lang w:val="fr-FR"/>
              </w:rPr>
            </w:pPr>
            <w:r w:rsidRPr="00EE0EF7">
              <w:rPr>
                <w:color w:val="000000"/>
                <w:sz w:val="20"/>
                <w:lang w:val="fr-FR"/>
              </w:rPr>
              <w:t>Élimination du HCFC-124 à réaliser lors des phases précédentes (tonnes PAO)</w:t>
            </w:r>
          </w:p>
        </w:tc>
        <w:tc>
          <w:tcPr>
            <w:tcW w:w="482" w:type="pct"/>
            <w:tcBorders>
              <w:top w:val="single" w:sz="4" w:space="0" w:color="auto"/>
              <w:left w:val="single" w:sz="4" w:space="0" w:color="auto"/>
              <w:bottom w:val="single" w:sz="4" w:space="0" w:color="auto"/>
              <w:right w:val="single" w:sz="4" w:space="0" w:color="auto"/>
            </w:tcBorders>
          </w:tcPr>
          <w:p w14:paraId="205D82FA" w14:textId="77777777" w:rsidR="008A290B" w:rsidRPr="00EE0EF7" w:rsidRDefault="008A290B" w:rsidP="008A290B">
            <w:pPr>
              <w:jc w:val="right"/>
              <w:rPr>
                <w:color w:val="000000"/>
                <w:sz w:val="20"/>
                <w:lang w:val="fr-FR"/>
              </w:rPr>
            </w:pPr>
            <w:r w:rsidRPr="00EE0EF7">
              <w:rPr>
                <w:color w:val="000000"/>
                <w:sz w:val="20"/>
                <w:szCs w:val="20"/>
                <w:lang w:val="fr-FR" w:eastAsia="en-CA"/>
              </w:rPr>
              <w:t>0,0</w:t>
            </w:r>
          </w:p>
        </w:tc>
      </w:tr>
      <w:tr w:rsidR="008A290B" w:rsidRPr="00EE0EF7" w14:paraId="028A9DFF" w14:textId="77777777" w:rsidTr="008A290B">
        <w:trPr>
          <w:trHeight w:val="98"/>
          <w:jc w:val="center"/>
        </w:trPr>
        <w:tc>
          <w:tcPr>
            <w:tcW w:w="300" w:type="pct"/>
            <w:tcBorders>
              <w:top w:val="single" w:sz="4" w:space="0" w:color="auto"/>
              <w:left w:val="single" w:sz="4" w:space="0" w:color="auto"/>
              <w:bottom w:val="single" w:sz="4" w:space="0" w:color="auto"/>
              <w:right w:val="single" w:sz="4" w:space="0" w:color="auto"/>
            </w:tcBorders>
          </w:tcPr>
          <w:p w14:paraId="63E9101E" w14:textId="77777777" w:rsidR="008A290B" w:rsidRPr="00EE0EF7" w:rsidRDefault="008A290B" w:rsidP="008A290B">
            <w:pPr>
              <w:jc w:val="left"/>
              <w:rPr>
                <w:sz w:val="20"/>
                <w:szCs w:val="20"/>
                <w:lang w:val="fr-FR" w:eastAsia="en-CA"/>
              </w:rPr>
            </w:pPr>
            <w:r w:rsidRPr="00EE0EF7">
              <w:rPr>
                <w:color w:val="000000"/>
                <w:sz w:val="20"/>
                <w:szCs w:val="20"/>
                <w:lang w:val="fr-FR" w:eastAsia="en-CA"/>
              </w:rPr>
              <w:t>4.5.3</w:t>
            </w:r>
          </w:p>
        </w:tc>
        <w:tc>
          <w:tcPr>
            <w:tcW w:w="4218" w:type="pct"/>
            <w:gridSpan w:val="7"/>
            <w:tcBorders>
              <w:top w:val="single" w:sz="4" w:space="0" w:color="auto"/>
              <w:left w:val="nil"/>
              <w:bottom w:val="single" w:sz="4" w:space="0" w:color="auto"/>
              <w:right w:val="single" w:sz="4" w:space="0" w:color="auto"/>
            </w:tcBorders>
          </w:tcPr>
          <w:p w14:paraId="7F1C3C37" w14:textId="77777777" w:rsidR="008A290B" w:rsidRPr="00EE0EF7" w:rsidRDefault="008A290B" w:rsidP="008A290B">
            <w:pPr>
              <w:jc w:val="left"/>
              <w:rPr>
                <w:color w:val="000000"/>
                <w:sz w:val="20"/>
                <w:highlight w:val="yellow"/>
                <w:lang w:val="fr-FR"/>
              </w:rPr>
            </w:pPr>
            <w:r w:rsidRPr="00EE0EF7">
              <w:rPr>
                <w:color w:val="000000"/>
                <w:sz w:val="20"/>
                <w:lang w:val="fr-FR"/>
              </w:rPr>
              <w:t>Consommation résiduelle admissible de HCFC-124 (tonnes PAO)</w:t>
            </w:r>
          </w:p>
        </w:tc>
        <w:tc>
          <w:tcPr>
            <w:tcW w:w="482" w:type="pct"/>
            <w:tcBorders>
              <w:top w:val="single" w:sz="4" w:space="0" w:color="auto"/>
              <w:left w:val="single" w:sz="4" w:space="0" w:color="auto"/>
              <w:bottom w:val="single" w:sz="4" w:space="0" w:color="auto"/>
              <w:right w:val="single" w:sz="4" w:space="0" w:color="auto"/>
            </w:tcBorders>
          </w:tcPr>
          <w:p w14:paraId="793F0AB4" w14:textId="77777777" w:rsidR="008A290B" w:rsidRPr="00EE0EF7" w:rsidRDefault="008A290B" w:rsidP="008A290B">
            <w:pPr>
              <w:jc w:val="right"/>
              <w:rPr>
                <w:color w:val="000000"/>
                <w:sz w:val="20"/>
                <w:lang w:val="fr-FR"/>
              </w:rPr>
            </w:pPr>
            <w:r w:rsidRPr="00EE0EF7">
              <w:rPr>
                <w:color w:val="000000"/>
                <w:sz w:val="20"/>
                <w:szCs w:val="20"/>
                <w:lang w:val="fr-FR" w:eastAsia="en-CA"/>
              </w:rPr>
              <w:t>0,0</w:t>
            </w:r>
          </w:p>
        </w:tc>
      </w:tr>
    </w:tbl>
    <w:p w14:paraId="1ADBE3D4" w14:textId="77777777" w:rsidR="008A290B" w:rsidRPr="00EE0EF7" w:rsidRDefault="008A290B" w:rsidP="003B3351">
      <w:pPr>
        <w:pStyle w:val="Heading1"/>
        <w:numPr>
          <w:ilvl w:val="0"/>
          <w:numId w:val="0"/>
        </w:numPr>
        <w:ind w:left="-810"/>
        <w:rPr>
          <w:sz w:val="18"/>
          <w:szCs w:val="16"/>
          <w:lang w:val="fr-FR"/>
        </w:rPr>
      </w:pPr>
      <w:r w:rsidRPr="00EE0EF7">
        <w:rPr>
          <w:sz w:val="18"/>
          <w:szCs w:val="16"/>
          <w:lang w:val="fr-FR"/>
        </w:rPr>
        <w:t xml:space="preserve">* </w:t>
      </w:r>
      <w:r w:rsidRPr="00EE0EF7">
        <w:rPr>
          <w:sz w:val="18"/>
          <w:lang w:val="fr-FR"/>
        </w:rPr>
        <w:t>Date d’achèvement de la phase II selon la décision 92/31 e) i) : 31 décembre 2024. Une demande d’extension jusqu’au 31 décembre 2027 a été faite à la 97</w:t>
      </w:r>
      <w:r w:rsidRPr="00EE0EF7">
        <w:rPr>
          <w:sz w:val="18"/>
          <w:vertAlign w:val="superscript"/>
          <w:lang w:val="fr-FR"/>
        </w:rPr>
        <w:t>e</w:t>
      </w:r>
      <w:r w:rsidRPr="00EE0EF7">
        <w:rPr>
          <w:sz w:val="18"/>
          <w:lang w:val="fr-FR"/>
        </w:rPr>
        <w:t xml:space="preserve"> réunion.</w:t>
      </w:r>
    </w:p>
    <w:p w14:paraId="00C00B99" w14:textId="77777777" w:rsidR="008A290B" w:rsidRPr="00EE0EF7" w:rsidRDefault="008A290B" w:rsidP="008A290B">
      <w:pPr>
        <w:keepNext/>
        <w:spacing w:before="360" w:after="240"/>
        <w:rPr>
          <w:b/>
          <w:lang w:val="fr-FR"/>
        </w:rPr>
      </w:pPr>
      <w:r w:rsidRPr="00EE0EF7">
        <w:rPr>
          <w:b/>
          <w:lang w:val="fr-FR"/>
        </w:rPr>
        <w:t>APPENDICE 3-A : CALENDRIER D’APPROBATION DU FINANCEMENT</w:t>
      </w:r>
    </w:p>
    <w:p w14:paraId="62898CF3" w14:textId="77777777" w:rsidR="008A290B" w:rsidRPr="00EE0EF7" w:rsidRDefault="008A290B" w:rsidP="008A290B">
      <w:pPr>
        <w:pStyle w:val="Heading1"/>
        <w:numPr>
          <w:ilvl w:val="0"/>
          <w:numId w:val="33"/>
        </w:numPr>
        <w:rPr>
          <w:lang w:val="fr-FR"/>
        </w:rPr>
      </w:pPr>
      <w:r w:rsidRPr="00EE0EF7">
        <w:rPr>
          <w:lang w:val="fr-FR"/>
        </w:rPr>
        <w:t xml:space="preserve">Le financement des futures tranches sera examiné pour approbation à la deuxième </w:t>
      </w:r>
      <w:r w:rsidRPr="00EE0EF7">
        <w:rPr>
          <w:shd w:val="clear" w:color="auto" w:fill="FFFFFF" w:themeFill="background1"/>
          <w:lang w:val="fr-FR"/>
        </w:rPr>
        <w:t>réunion</w:t>
      </w:r>
      <w:r w:rsidRPr="00EE0EF7">
        <w:rPr>
          <w:lang w:val="fr-FR"/>
        </w:rPr>
        <w:t xml:space="preserve"> de l’année spécifiée à l’Appendice 2-A.</w:t>
      </w:r>
    </w:p>
    <w:p w14:paraId="51F13219" w14:textId="77777777" w:rsidR="008A290B" w:rsidRPr="00EE0EF7" w:rsidRDefault="008A290B" w:rsidP="008A290B">
      <w:pPr>
        <w:keepNext/>
        <w:spacing w:before="360" w:after="240"/>
        <w:rPr>
          <w:b/>
          <w:lang w:val="fr-FR"/>
        </w:rPr>
      </w:pPr>
      <w:r w:rsidRPr="00EE0EF7">
        <w:rPr>
          <w:b/>
          <w:lang w:val="fr-FR"/>
        </w:rPr>
        <w:t>APPENDICE 4-A : FORMAT DES RAPPORTS ET DES PLANS DE MISE EN ŒUVRE DE LA TRANCHE</w:t>
      </w:r>
    </w:p>
    <w:p w14:paraId="2D1BDCFF" w14:textId="77777777" w:rsidR="008A290B" w:rsidRPr="00EE0EF7" w:rsidRDefault="008A290B" w:rsidP="008A290B">
      <w:pPr>
        <w:pStyle w:val="Heading1"/>
        <w:numPr>
          <w:ilvl w:val="0"/>
          <w:numId w:val="34"/>
        </w:numPr>
        <w:rPr>
          <w:lang w:val="fr-FR"/>
        </w:rPr>
      </w:pPr>
      <w:r w:rsidRPr="00EE0EF7">
        <w:rPr>
          <w:lang w:val="fr-FR"/>
        </w:rPr>
        <w:t>La présentation du plan et du rapport de mise en œuvre de la tranche pour chaque demande de tranche comprendra cinq parties :</w:t>
      </w:r>
    </w:p>
    <w:p w14:paraId="20F9FC67" w14:textId="77777777" w:rsidR="008A290B" w:rsidRPr="00EE0EF7" w:rsidRDefault="008A290B" w:rsidP="0065152F">
      <w:pPr>
        <w:pStyle w:val="Heading2"/>
        <w:widowControl/>
        <w:ind w:left="1440" w:hanging="720"/>
        <w:rPr>
          <w:lang w:val="fr-FR"/>
        </w:rPr>
      </w:pPr>
      <w:r w:rsidRPr="00EE0EF7">
        <w:rPr>
          <w:lang w:val="fr-FR"/>
        </w:rPr>
        <w:t xml:space="preserve">Un rapport narratif, avec des données fournies par tranche, décrivant les progrès réalisés depuis le précédent rapport, reflétant la situation du pays en matière d’élimination des Substances, la façon dont les différentes activités y contribuent et comment elles sont reliées entre elles. Le rapport devra inclure la quantité de SAO éliminée qui résulte directement de la mise en œuvre des activités, par substance, la technologie de remplacement utilisée et la transition vers les solutions de remplacement, afin de permettre au Secrétariat de transmettre au Comité exécutif des informations sur les changements qui en résultent dans les émissions pertinentes affectant le climat. Le rapport devra aussi souligner les réussites, les expériences et les défis liés aux différentes activités incluses dans le Plan, refléter tout changement de circonstances dans le Pays et fournir toute autre information pertinente. Le rapport devra aussi contenir des informations sur et la justification de tout changement par rapport au(x) Plan(s) de mise en œuvre de la tranche </w:t>
      </w:r>
      <w:r w:rsidRPr="00EE0EF7">
        <w:rPr>
          <w:lang w:val="fr-FR"/>
        </w:rPr>
        <w:lastRenderedPageBreak/>
        <w:t>soumis précédemment, tels que des retards, des recours à la souplesse prévue pour la réaffectation des fonds durant la mise en œuvre d’une tranche, tel qu’indiqué à l’alinéa 7 du présent Accord ou tout autre changement ;</w:t>
      </w:r>
    </w:p>
    <w:p w14:paraId="3154C61F" w14:textId="77777777" w:rsidR="008A290B" w:rsidRPr="00EE0EF7" w:rsidRDefault="008A290B" w:rsidP="0065152F">
      <w:pPr>
        <w:pStyle w:val="Heading2"/>
        <w:widowControl/>
        <w:tabs>
          <w:tab w:val="num" w:pos="-720"/>
        </w:tabs>
        <w:ind w:left="1440" w:hanging="720"/>
        <w:rPr>
          <w:lang w:val="fr-FR"/>
        </w:rPr>
      </w:pPr>
      <w:r w:rsidRPr="00EE0EF7">
        <w:rPr>
          <w:lang w:val="fr-FR"/>
        </w:rPr>
        <w:t>Un rapport de vérification indépendante sur les résultats du Plan et la consommation des Substances, selon l’alinéa 5 b) du présent Accord. À moins que le Comité exécutif n’en décide autrement, une telle vérification doit être remise avec chaque demande de tranche et devra fournir une vérification de la consommation pour toutes les années pertinentes, tel qu’indiqué à l’alinéa 5 a) du présent Accord pour lesquelles un rapport de vérification n’a pas encore été approuvé par le Comité;</w:t>
      </w:r>
    </w:p>
    <w:p w14:paraId="1C4170C6" w14:textId="77777777" w:rsidR="008A290B" w:rsidRPr="00EE0EF7" w:rsidRDefault="008A290B" w:rsidP="0065152F">
      <w:pPr>
        <w:pStyle w:val="Heading2"/>
        <w:widowControl/>
        <w:tabs>
          <w:tab w:val="num" w:pos="-720"/>
        </w:tabs>
        <w:ind w:left="1440" w:hanging="720"/>
        <w:rPr>
          <w:lang w:val="fr-FR"/>
        </w:rPr>
      </w:pPr>
      <w:r w:rsidRPr="00EE0EF7">
        <w:rPr>
          <w:lang w:val="fr-FR"/>
        </w:rPr>
        <w:t xml:space="preserve">Une description écrite des activités à entreprendre durant la période couverte par la tranche demandée, soulignant les étapes de la mise en œuvre, leur date d’achèvement et l’interdépendance entre les activités, et tenant compte des expériences réalisées et des progrès accomplis dans la mise en œuvre des tranches antérieures; les données seront transmises dans le plan, par année civile. La description doit aussi faire mention du plan d’ensemble et des progrès réalisés ainsi que des changements éventuels prévus au plan d’ensemble. Elle doit également spécifier et expliquer en détail de tels changements apportés au plan d’ensemble. Cette description des activités futures peut être soumise en tant que partie du même document que le rapport narratif mentionné à l’alinéa a) ci-dessus ; </w:t>
      </w:r>
    </w:p>
    <w:p w14:paraId="159029C8" w14:textId="77777777" w:rsidR="008A290B" w:rsidRPr="00EE0EF7" w:rsidRDefault="008A290B" w:rsidP="0065152F">
      <w:pPr>
        <w:pStyle w:val="Heading2"/>
        <w:widowControl/>
        <w:tabs>
          <w:tab w:val="num" w:pos="-720"/>
        </w:tabs>
        <w:ind w:left="1440" w:hanging="720"/>
        <w:rPr>
          <w:lang w:val="fr-FR"/>
        </w:rPr>
      </w:pPr>
      <w:r w:rsidRPr="00EE0EF7">
        <w:rPr>
          <w:lang w:val="fr-FR"/>
        </w:rPr>
        <w:t>Une série d’informations quantitatives pour tous les Rapports et les Plans de mise en œuvre de tranche doit être transmise via une banque de données en ligne ; et</w:t>
      </w:r>
    </w:p>
    <w:p w14:paraId="569FACEE" w14:textId="77777777" w:rsidR="008A290B" w:rsidRPr="00EE0EF7" w:rsidRDefault="008A290B" w:rsidP="0065152F">
      <w:pPr>
        <w:pStyle w:val="Heading2"/>
        <w:widowControl/>
        <w:tabs>
          <w:tab w:val="num" w:pos="-720"/>
        </w:tabs>
        <w:ind w:left="1440" w:hanging="720"/>
        <w:rPr>
          <w:lang w:val="fr-FR"/>
        </w:rPr>
      </w:pPr>
      <w:r w:rsidRPr="00EE0EF7">
        <w:rPr>
          <w:lang w:val="fr-FR"/>
        </w:rPr>
        <w:t>Une synthèse comprenant environ cinq alinéas, résumant les informations des alinéas 1 a) à 1 d) ci-dessus.</w:t>
      </w:r>
    </w:p>
    <w:p w14:paraId="46BA070B" w14:textId="77777777" w:rsidR="008A290B" w:rsidRPr="00EE0EF7" w:rsidRDefault="008A290B" w:rsidP="008A290B">
      <w:pPr>
        <w:pStyle w:val="Heading1"/>
        <w:rPr>
          <w:lang w:val="fr-FR"/>
        </w:rPr>
      </w:pPr>
      <w:r w:rsidRPr="00EE0EF7">
        <w:rPr>
          <w:lang w:val="fr-FR"/>
        </w:rPr>
        <w:t>Si deux phases du Plan sont mises en œuvre en parallèle au cours d’une année donnée, il faudra tenir compte des considérations suivantes pour la préparation des Rapports et Plans de mise en œuvre de la tranche :</w:t>
      </w:r>
    </w:p>
    <w:p w14:paraId="69AD1001" w14:textId="77777777" w:rsidR="008A290B" w:rsidRPr="00EE0EF7" w:rsidRDefault="008A290B" w:rsidP="0065152F">
      <w:pPr>
        <w:pStyle w:val="Heading2"/>
        <w:widowControl/>
        <w:tabs>
          <w:tab w:val="num" w:pos="-720"/>
        </w:tabs>
        <w:ind w:left="1440" w:hanging="720"/>
        <w:rPr>
          <w:lang w:val="fr-FR"/>
        </w:rPr>
      </w:pPr>
      <w:r w:rsidRPr="00EE0EF7">
        <w:rPr>
          <w:lang w:val="fr-FR"/>
        </w:rPr>
        <w:t>Les rapports de mise en œuvre de la tranche et les plans dont il est question dans le présent Accord ne porteront que sur les activités et les sommes prévues dans cet Accord ; et</w:t>
      </w:r>
    </w:p>
    <w:p w14:paraId="2F4BDC7E" w14:textId="77777777" w:rsidR="008A290B" w:rsidRPr="00EE0EF7" w:rsidRDefault="008A290B" w:rsidP="0065152F">
      <w:pPr>
        <w:pStyle w:val="Heading2"/>
        <w:widowControl/>
        <w:tabs>
          <w:tab w:val="num" w:pos="-720"/>
        </w:tabs>
        <w:ind w:left="1440" w:hanging="720"/>
        <w:rPr>
          <w:lang w:val="fr-FR"/>
        </w:rPr>
      </w:pPr>
      <w:r w:rsidRPr="00EE0EF7">
        <w:rPr>
          <w:lang w:val="fr-FR"/>
        </w:rPr>
        <w:t>Si les phases en cours de mise en œuvre ont des objectifs de consommation des HCFC différents selon l’Appendice 2-A de chaque accord pour une année donnée, l’objectif de consommation de HCFC le plus faible sera utilisé comme référence pour la conformité de ces Accords et servira de base à la vérification indépendante.</w:t>
      </w:r>
    </w:p>
    <w:p w14:paraId="0C56975B" w14:textId="77777777" w:rsidR="008A290B" w:rsidRPr="00EE0EF7" w:rsidRDefault="008A290B" w:rsidP="008A290B">
      <w:pPr>
        <w:keepNext/>
        <w:spacing w:before="360" w:after="240"/>
        <w:rPr>
          <w:b/>
          <w:lang w:val="fr-FR"/>
        </w:rPr>
      </w:pPr>
      <w:r w:rsidRPr="00EE0EF7">
        <w:rPr>
          <w:b/>
          <w:lang w:val="fr-FR"/>
        </w:rPr>
        <w:t>APPENDICE 5-A : LES INSTITUTIONS DE SUIVI ET LEUR RÔLE</w:t>
      </w:r>
    </w:p>
    <w:p w14:paraId="70F93FC5" w14:textId="2A15CBAA" w:rsidR="008A290B" w:rsidRPr="00EE0EF7" w:rsidRDefault="008A290B" w:rsidP="003B3351">
      <w:pPr>
        <w:pStyle w:val="ListParagraph"/>
        <w:keepNext/>
        <w:numPr>
          <w:ilvl w:val="0"/>
          <w:numId w:val="42"/>
        </w:numPr>
        <w:spacing w:before="360" w:after="240"/>
        <w:ind w:left="0" w:firstLine="0"/>
        <w:rPr>
          <w:bCs/>
          <w:lang w:val="fr-FR"/>
        </w:rPr>
      </w:pPr>
      <w:r w:rsidRPr="00EE0EF7">
        <w:rPr>
          <w:bCs/>
          <w:lang w:val="fr-FR"/>
        </w:rPr>
        <w:t>L’Unité nationale de l’Ozone (OPROZ) est un service de coordination tripartite issu du programme de pays pour la mise en œuvre du Protocole de Montréal. Il se compose de représentants du Ministère de l’environnement et du développement durable (MA</w:t>
      </w:r>
      <w:r w:rsidR="001A1185">
        <w:rPr>
          <w:bCs/>
          <w:lang w:val="fr-FR"/>
        </w:rPr>
        <w:t>y</w:t>
      </w:r>
      <w:r w:rsidRPr="00EE0EF7">
        <w:rPr>
          <w:bCs/>
          <w:lang w:val="fr-FR"/>
        </w:rPr>
        <w:t>DA), du Ministère de la production et du Ministère des affaires étrangères, du commerce international et des cultes.</w:t>
      </w:r>
    </w:p>
    <w:p w14:paraId="25104DDF" w14:textId="77777777" w:rsidR="008A290B" w:rsidRPr="00EE0EF7" w:rsidRDefault="008A290B" w:rsidP="003B3351">
      <w:pPr>
        <w:pStyle w:val="ListParagraph"/>
        <w:keepNext/>
        <w:spacing w:before="360" w:after="240"/>
        <w:ind w:left="0"/>
        <w:rPr>
          <w:bCs/>
          <w:lang w:val="fr-FR"/>
        </w:rPr>
      </w:pPr>
    </w:p>
    <w:p w14:paraId="0ABCEADF" w14:textId="73743971" w:rsidR="000321E8" w:rsidRPr="00EE0EF7" w:rsidRDefault="000321E8" w:rsidP="003B3351">
      <w:pPr>
        <w:pStyle w:val="ListParagraph"/>
        <w:keepNext/>
        <w:numPr>
          <w:ilvl w:val="0"/>
          <w:numId w:val="42"/>
        </w:numPr>
        <w:spacing w:before="360" w:after="240"/>
        <w:ind w:left="0" w:firstLine="0"/>
        <w:rPr>
          <w:bCs/>
          <w:lang w:val="fr-FR"/>
        </w:rPr>
      </w:pPr>
      <w:r w:rsidRPr="00EE0EF7">
        <w:rPr>
          <w:lang w:val="fr-FR"/>
        </w:rPr>
        <w:t>L’</w:t>
      </w:r>
      <w:r w:rsidR="008A290B" w:rsidRPr="00EE0EF7">
        <w:rPr>
          <w:lang w:val="fr-FR"/>
        </w:rPr>
        <w:t xml:space="preserve">OPROZ </w:t>
      </w:r>
      <w:r w:rsidRPr="00EE0EF7">
        <w:rPr>
          <w:lang w:val="fr-FR"/>
        </w:rPr>
        <w:t>est coordonnées par le MA</w:t>
      </w:r>
      <w:r w:rsidR="001A1185">
        <w:rPr>
          <w:lang w:val="fr-FR"/>
        </w:rPr>
        <w:t>y</w:t>
      </w:r>
      <w:r w:rsidRPr="00EE0EF7">
        <w:rPr>
          <w:lang w:val="fr-FR"/>
        </w:rPr>
        <w:t>DA qui fonctionne comme point focal du Protocole de Montréal. Le MAyD</w:t>
      </w:r>
      <w:r w:rsidR="001A1185">
        <w:rPr>
          <w:lang w:val="fr-FR"/>
        </w:rPr>
        <w:t>A</w:t>
      </w:r>
      <w:r w:rsidRPr="00EE0EF7">
        <w:rPr>
          <w:lang w:val="fr-FR"/>
        </w:rPr>
        <w:t xml:space="preserve"> est chargé de mener à bien les démarches liées à la mise en œuvre du programme de pays, de contrôler le système d’octroi de permis d’importation et d’évaluer les données de consommation, de rédiger </w:t>
      </w:r>
      <w:r w:rsidR="003B3351" w:rsidRPr="00EE0EF7">
        <w:rPr>
          <w:lang w:val="fr-FR"/>
        </w:rPr>
        <w:t>des rapports trimestriels</w:t>
      </w:r>
      <w:r w:rsidRPr="00EE0EF7">
        <w:rPr>
          <w:lang w:val="fr-FR"/>
        </w:rPr>
        <w:t xml:space="preserve"> sur la conformité avec le programme de pays et sur la réduction des substances appauvrissant la couche d’ozone.</w:t>
      </w:r>
    </w:p>
    <w:p w14:paraId="201473A1" w14:textId="77777777" w:rsidR="000321E8" w:rsidRPr="00EE0EF7" w:rsidRDefault="000321E8" w:rsidP="003B3351">
      <w:pPr>
        <w:pStyle w:val="ListParagraph"/>
        <w:ind w:left="0"/>
        <w:rPr>
          <w:bCs/>
          <w:lang w:val="fr-FR"/>
        </w:rPr>
      </w:pPr>
    </w:p>
    <w:p w14:paraId="440F7551" w14:textId="6C5C681F" w:rsidR="000321E8" w:rsidRPr="00EE0EF7" w:rsidRDefault="000321E8" w:rsidP="003B3351">
      <w:pPr>
        <w:pStyle w:val="ListParagraph"/>
        <w:keepNext/>
        <w:numPr>
          <w:ilvl w:val="0"/>
          <w:numId w:val="42"/>
        </w:numPr>
        <w:spacing w:before="360" w:after="240"/>
        <w:ind w:left="0" w:firstLine="0"/>
        <w:rPr>
          <w:bCs/>
          <w:lang w:val="fr-FR"/>
        </w:rPr>
      </w:pPr>
      <w:r w:rsidRPr="00EE0EF7">
        <w:rPr>
          <w:bCs/>
          <w:lang w:val="fr-FR"/>
        </w:rPr>
        <w:lastRenderedPageBreak/>
        <w:t>L’agence d’exécution principale sera chargée de la gestion globale, du suivi des progrès, de la vérification de l’efficacité et du rendu de rapport au Secrétariat du Fonds et au Comité exécutif, en travaillant en étroite coopération avec l’OPROZ et les bénéficiaires. Les travaux seront exécutés sous la supervision et grâce aux orientations du gestionnaire de projet de l’agence d’exécution principale. Une coordination et un contrôle adéquats seront exécutés par l’OPROZ.</w:t>
      </w:r>
    </w:p>
    <w:p w14:paraId="64ABE654" w14:textId="77777777" w:rsidR="008A290B" w:rsidRPr="00EE0EF7" w:rsidRDefault="008A290B" w:rsidP="008A290B">
      <w:pPr>
        <w:keepNext/>
        <w:spacing w:before="360" w:after="240"/>
        <w:rPr>
          <w:b/>
          <w:lang w:val="fr-FR"/>
        </w:rPr>
      </w:pPr>
      <w:r w:rsidRPr="00EE0EF7">
        <w:rPr>
          <w:b/>
          <w:lang w:val="fr-FR"/>
        </w:rPr>
        <w:t>APPENDICE 6-A : RÔLE DE L’AGENCE D’EXÉCUTION PRINCIPALE</w:t>
      </w:r>
    </w:p>
    <w:p w14:paraId="31B0101D" w14:textId="77777777" w:rsidR="008A290B" w:rsidRPr="00EE0EF7" w:rsidRDefault="008A290B" w:rsidP="008A290B">
      <w:pPr>
        <w:pStyle w:val="Heading1"/>
        <w:numPr>
          <w:ilvl w:val="0"/>
          <w:numId w:val="36"/>
        </w:numPr>
        <w:rPr>
          <w:lang w:val="fr-FR"/>
        </w:rPr>
      </w:pPr>
      <w:r w:rsidRPr="00EE0EF7">
        <w:rPr>
          <w:lang w:val="fr-FR"/>
        </w:rPr>
        <w:t>L’Agence d’exécution principale sera responsable d’une série d’activités, incluant au moins les suivantes :</w:t>
      </w:r>
    </w:p>
    <w:p w14:paraId="4A66FC14" w14:textId="77777777" w:rsidR="008A290B" w:rsidRPr="00EE0EF7" w:rsidRDefault="008A290B" w:rsidP="0065152F">
      <w:pPr>
        <w:pStyle w:val="Heading2"/>
        <w:ind w:left="1440" w:hanging="720"/>
        <w:rPr>
          <w:lang w:val="fr-FR"/>
        </w:rPr>
      </w:pPr>
      <w:r w:rsidRPr="00EE0EF7">
        <w:rPr>
          <w:lang w:val="fr-FR"/>
        </w:rPr>
        <w:t>S’assurer du rendement et de la vérification financière conformément au présent Accord et à ses procédures internes et exigences spécifiques, définies dans le Plan du Pays ;</w:t>
      </w:r>
    </w:p>
    <w:p w14:paraId="6BE17968" w14:textId="77777777" w:rsidR="008A290B" w:rsidRPr="00EE0EF7" w:rsidRDefault="008A290B" w:rsidP="0065152F">
      <w:pPr>
        <w:pStyle w:val="Heading2"/>
        <w:ind w:left="1440" w:hanging="720"/>
        <w:rPr>
          <w:lang w:val="fr-FR"/>
        </w:rPr>
      </w:pPr>
      <w:r w:rsidRPr="00EE0EF7">
        <w:rPr>
          <w:lang w:val="fr-FR"/>
        </w:rPr>
        <w:t>Aider le Pays à préparer les Plans et les Rapports de mise en œuvre de la tranche, conformément à l’Appendice 4-A ;</w:t>
      </w:r>
    </w:p>
    <w:p w14:paraId="43FB8B6F" w14:textId="77777777" w:rsidR="008A290B" w:rsidRPr="00EE0EF7" w:rsidRDefault="008A290B" w:rsidP="0065152F">
      <w:pPr>
        <w:pStyle w:val="Heading2"/>
        <w:ind w:left="1440" w:hanging="720"/>
        <w:rPr>
          <w:lang w:val="fr-FR"/>
        </w:rPr>
      </w:pPr>
      <w:r w:rsidRPr="00EE0EF7">
        <w:rPr>
          <w:lang w:val="fr-FR"/>
        </w:rPr>
        <w:t>Remettre au Comité exécutif la vérification indépendante confirmant que les objectifs ont été atteints et que les activités correspondantes de la tranche ont été réalisées, tel qu’indiqué dans le plan de mise en œuvre de la tranche, conformément à l’Appendice 4-A ;</w:t>
      </w:r>
    </w:p>
    <w:p w14:paraId="2420F685" w14:textId="77777777" w:rsidR="008A290B" w:rsidRPr="00EE0EF7" w:rsidRDefault="008A290B" w:rsidP="0065152F">
      <w:pPr>
        <w:pStyle w:val="Heading2"/>
        <w:ind w:left="1440" w:hanging="720"/>
        <w:rPr>
          <w:lang w:val="fr-FR"/>
        </w:rPr>
      </w:pPr>
      <w:r w:rsidRPr="00EE0EF7">
        <w:rPr>
          <w:lang w:val="fr-FR"/>
        </w:rPr>
        <w:t>Veiller à ce que les expériences et progrès soient reflétés dans les mises à jour du plan global et dans les plans futurs de mise en œuvre de la tranche, conformément aux alinéas 1 c) et 1 d) de l’Appendice 4-A ;</w:t>
      </w:r>
    </w:p>
    <w:p w14:paraId="1F9E13F3" w14:textId="77777777" w:rsidR="008A290B" w:rsidRPr="00EE0EF7" w:rsidRDefault="008A290B" w:rsidP="0065152F">
      <w:pPr>
        <w:pStyle w:val="Heading2"/>
        <w:widowControl/>
        <w:ind w:left="1440" w:hanging="720"/>
        <w:rPr>
          <w:lang w:val="fr-FR"/>
        </w:rPr>
      </w:pPr>
      <w:r w:rsidRPr="00EE0EF7">
        <w:rPr>
          <w:lang w:val="fr-FR"/>
        </w:rPr>
        <w:t>Satisfaire aux exigences de rapport pour les rapports et plans de mise en œuvre de la tranche et le plan d’ensemble selon les spécifications de l’Appendice 4-A pour présentation au Comité exécutif ;</w:t>
      </w:r>
    </w:p>
    <w:p w14:paraId="0E701DA2" w14:textId="77777777" w:rsidR="008A290B" w:rsidRPr="00EE0EF7" w:rsidRDefault="008A290B" w:rsidP="0065152F">
      <w:pPr>
        <w:pStyle w:val="Heading2"/>
        <w:ind w:left="1440" w:hanging="720"/>
        <w:rPr>
          <w:lang w:val="fr-FR"/>
        </w:rPr>
      </w:pPr>
      <w:r w:rsidRPr="00EE0EF7">
        <w:rPr>
          <w:lang w:val="fr-FR"/>
        </w:rPr>
        <w:t>Dans l’éventualité où la dernière tranche de financement est demandée une ou plusieurs années avant la dernière année pour laquelle un objectif de consommation a été établi, les rapports de mise en œuvre de la tranche annuelle et, s’il y a lieu, les rapports de vérification de l’étape actuelle du Plan devront être soumis jusqu’à ce que toutes les activités prévues aient été menées à terme et que les objectifs de consommation de HCFC aient été atteints ;</w:t>
      </w:r>
    </w:p>
    <w:p w14:paraId="7E2D86D8" w14:textId="77777777" w:rsidR="008A290B" w:rsidRPr="00EE0EF7" w:rsidRDefault="008A290B" w:rsidP="0065152F">
      <w:pPr>
        <w:pStyle w:val="Heading2"/>
        <w:ind w:left="1440" w:hanging="720"/>
        <w:rPr>
          <w:lang w:val="fr-FR"/>
        </w:rPr>
      </w:pPr>
      <w:r w:rsidRPr="00EE0EF7">
        <w:rPr>
          <w:lang w:val="fr-FR"/>
        </w:rPr>
        <w:t>Veiller à ce que des experts techniques indépendants et qualifiés réalisent les examens techniques ;</w:t>
      </w:r>
    </w:p>
    <w:p w14:paraId="339B191C" w14:textId="77777777" w:rsidR="008A290B" w:rsidRPr="00EE0EF7" w:rsidRDefault="008A290B" w:rsidP="0065152F">
      <w:pPr>
        <w:pStyle w:val="Heading2"/>
        <w:ind w:left="1440" w:hanging="720"/>
        <w:rPr>
          <w:lang w:val="fr-FR"/>
        </w:rPr>
      </w:pPr>
      <w:r w:rsidRPr="00EE0EF7">
        <w:rPr>
          <w:lang w:val="fr-FR"/>
        </w:rPr>
        <w:t>Exécuter les missions de supervision requises ;</w:t>
      </w:r>
    </w:p>
    <w:p w14:paraId="601F1EC3" w14:textId="77777777" w:rsidR="008A290B" w:rsidRPr="00EE0EF7" w:rsidRDefault="008A290B" w:rsidP="0065152F">
      <w:pPr>
        <w:pStyle w:val="Heading2"/>
        <w:ind w:left="1440" w:hanging="720"/>
        <w:rPr>
          <w:lang w:val="fr-FR"/>
        </w:rPr>
      </w:pPr>
      <w:r w:rsidRPr="00EE0EF7">
        <w:rPr>
          <w:lang w:val="fr-FR"/>
        </w:rPr>
        <w:t>S’assurer qu’il existe un mécanisme opérationnel permettant la mise en œuvre efficace et transparente du Plan de mise en œuvre de la tranche et la communication de données exactes ;</w:t>
      </w:r>
    </w:p>
    <w:p w14:paraId="24EC05A5" w14:textId="77777777" w:rsidR="008A290B" w:rsidRPr="00EE0EF7" w:rsidRDefault="008A290B" w:rsidP="0065152F">
      <w:pPr>
        <w:pStyle w:val="Heading2"/>
        <w:shd w:val="clear" w:color="auto" w:fill="FFFFFF" w:themeFill="background1"/>
        <w:ind w:left="1440" w:hanging="720"/>
        <w:rPr>
          <w:lang w:val="fr-FR"/>
        </w:rPr>
      </w:pPr>
      <w:r w:rsidRPr="00EE0EF7">
        <w:rPr>
          <w:lang w:val="fr-FR"/>
        </w:rPr>
        <w:t>En cas de réduction du soutien financier pour non-conformité à l’alinéa 11 de l’Accord, déterminer, en consultation avec le Pays, la répartition des réductions aux différents postes budgétaires et au financement de l’Agence d’exécution principale ;</w:t>
      </w:r>
    </w:p>
    <w:p w14:paraId="0DA14683" w14:textId="77777777" w:rsidR="008A290B" w:rsidRPr="00EE0EF7" w:rsidRDefault="008A290B" w:rsidP="0065152F">
      <w:pPr>
        <w:pStyle w:val="Heading2"/>
        <w:shd w:val="clear" w:color="auto" w:fill="FFFFFF" w:themeFill="background1"/>
        <w:ind w:left="1440" w:hanging="720"/>
        <w:rPr>
          <w:lang w:val="fr-FR"/>
        </w:rPr>
      </w:pPr>
      <w:r w:rsidRPr="00EE0EF7">
        <w:rPr>
          <w:lang w:val="fr-FR"/>
        </w:rPr>
        <w:t>Veiller à ce que les versements effectués au Pays reposent sur l’utilisation des indicateurs;</w:t>
      </w:r>
    </w:p>
    <w:p w14:paraId="7F1AD292" w14:textId="77777777" w:rsidR="008A290B" w:rsidRPr="00EE0EF7" w:rsidRDefault="008A290B" w:rsidP="0065152F">
      <w:pPr>
        <w:pStyle w:val="Heading2"/>
        <w:shd w:val="clear" w:color="auto" w:fill="FFFFFF" w:themeFill="background1"/>
        <w:ind w:left="1440" w:hanging="720"/>
        <w:rPr>
          <w:lang w:val="fr-FR"/>
        </w:rPr>
      </w:pPr>
      <w:r w:rsidRPr="00EE0EF7">
        <w:rPr>
          <w:lang w:val="fr-FR"/>
        </w:rPr>
        <w:t>Fournir, s’il y a lieu, une assistance en matière de politique, de gestion et de soutien technique; et</w:t>
      </w:r>
    </w:p>
    <w:p w14:paraId="430D3A14" w14:textId="77777777" w:rsidR="008A290B" w:rsidRPr="00EE0EF7" w:rsidRDefault="008A290B" w:rsidP="0065152F">
      <w:pPr>
        <w:pStyle w:val="Heading2"/>
        <w:widowControl/>
        <w:tabs>
          <w:tab w:val="num" w:pos="-720"/>
        </w:tabs>
        <w:ind w:left="1440" w:hanging="720"/>
        <w:rPr>
          <w:lang w:val="fr-FR"/>
        </w:rPr>
      </w:pPr>
      <w:r w:rsidRPr="00EE0EF7">
        <w:rPr>
          <w:lang w:val="fr-FR"/>
        </w:rPr>
        <w:lastRenderedPageBreak/>
        <w:t>Décaisser les sommes au pays/aux entreprises participantes dans les délais nécessaires pour achever les activités reliées au projet.</w:t>
      </w:r>
    </w:p>
    <w:p w14:paraId="6D79E1A9" w14:textId="77777777" w:rsidR="008A290B" w:rsidRPr="00EE0EF7" w:rsidRDefault="008A290B" w:rsidP="008A290B">
      <w:pPr>
        <w:pStyle w:val="Heading1"/>
        <w:rPr>
          <w:lang w:val="fr-FR"/>
        </w:rPr>
      </w:pPr>
      <w:r w:rsidRPr="00EE0EF7">
        <w:rPr>
          <w:lang w:val="fr-FR"/>
        </w:rPr>
        <w:t>Après avoir consulté le Pays et pris en considération les points de vue exprimés, l’Agence principale sélectionnera une organisation indépendante et la chargera de réaliser la vérification des résultats du Plan et de la consommation des substances mentionnées à l’Appendice 1-A, conformément à l’alinéa 5 b) de l’Accord et à l’alinéa 1 b) de l’Appendice 4-A.</w:t>
      </w:r>
    </w:p>
    <w:p w14:paraId="77D30CC6" w14:textId="77777777" w:rsidR="008A290B" w:rsidRPr="00EE0EF7" w:rsidRDefault="008A290B" w:rsidP="008A290B">
      <w:pPr>
        <w:keepNext/>
        <w:spacing w:before="360" w:after="240"/>
        <w:rPr>
          <w:b/>
          <w:lang w:val="fr-FR"/>
        </w:rPr>
      </w:pPr>
      <w:r w:rsidRPr="00EE0EF7">
        <w:rPr>
          <w:b/>
          <w:lang w:val="fr-FR"/>
        </w:rPr>
        <w:t>APPENDICE 7-A : RÉDUCTIONS DU FINANCEMENT EN CAS DE NON-CONFORMITÉ</w:t>
      </w:r>
    </w:p>
    <w:p w14:paraId="769DF5D9" w14:textId="114B4B6C" w:rsidR="008A290B" w:rsidRPr="00EE0EF7" w:rsidRDefault="008A290B" w:rsidP="008A290B">
      <w:pPr>
        <w:pStyle w:val="Heading1"/>
        <w:numPr>
          <w:ilvl w:val="0"/>
          <w:numId w:val="43"/>
        </w:numPr>
        <w:rPr>
          <w:lang w:val="fr-FR"/>
        </w:rPr>
      </w:pPr>
      <w:r w:rsidRPr="00EE0EF7">
        <w:rPr>
          <w:lang w:val="fr-FR"/>
        </w:rPr>
        <w:t xml:space="preserve">Conformément à l’alinéa 11 de l’Accord, il pourra être déduit du montant du financement accordé un montant de </w:t>
      </w:r>
      <w:r w:rsidRPr="00EE0EF7">
        <w:rPr>
          <w:shd w:val="clear" w:color="auto" w:fill="FFFFFF" w:themeFill="background1"/>
          <w:lang w:val="fr-FR"/>
        </w:rPr>
        <w:t>103,40</w:t>
      </w:r>
      <w:r w:rsidRPr="00EE0EF7">
        <w:rPr>
          <w:lang w:val="fr-FR"/>
        </w:rPr>
        <w:t> $US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 supplémentaires pourraient être envisagées dans les cas où la non-conformité se prolongerait pendant deux années consécutives.</w:t>
      </w:r>
    </w:p>
    <w:p w14:paraId="24ED71A8" w14:textId="77777777" w:rsidR="008A290B" w:rsidRPr="00EE0EF7" w:rsidRDefault="008A290B" w:rsidP="008A290B">
      <w:pPr>
        <w:pStyle w:val="Heading1"/>
        <w:rPr>
          <w:lang w:val="fr-FR"/>
        </w:rPr>
      </w:pPr>
      <w:r w:rsidRPr="00EE0EF7">
        <w:rPr>
          <w:lang w:val="fr-FR"/>
        </w:rPr>
        <w:t>Dans le cas où la pénalité doit être appliquée pendant une année au cours de laquelle deux accords sont en vigueur (deux phases du Plan étant mises en œuvre en parallèle) avec des niveaux de sanction différents, l’application de la sanction sera déterminée au cas par cas en tenant compte des secteurs spécifiques qui conduisent à la non-conformité. S’il n’est pas possible de déterminer un secteur, ou si les deux phases concernent le même secteur, le niveau de pénalité à appliquer sera le plus élevé.</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A290B" w:rsidRPr="00CE7B9D" w14:paraId="14F38819" w14:textId="77777777" w:rsidTr="008A290B">
        <w:tc>
          <w:tcPr>
            <w:tcW w:w="1915" w:type="dxa"/>
          </w:tcPr>
          <w:p w14:paraId="442DFC31" w14:textId="77777777" w:rsidR="008A290B" w:rsidRPr="00EE0EF7" w:rsidRDefault="008A290B" w:rsidP="008A290B">
            <w:pPr>
              <w:rPr>
                <w:lang w:val="fr-FR"/>
              </w:rPr>
            </w:pPr>
          </w:p>
        </w:tc>
        <w:tc>
          <w:tcPr>
            <w:tcW w:w="1915" w:type="dxa"/>
          </w:tcPr>
          <w:p w14:paraId="3330CC8D" w14:textId="77777777" w:rsidR="008A290B" w:rsidRPr="00EE0EF7" w:rsidRDefault="008A290B" w:rsidP="008A290B">
            <w:pPr>
              <w:rPr>
                <w:lang w:val="fr-FR"/>
              </w:rPr>
            </w:pPr>
          </w:p>
        </w:tc>
        <w:tc>
          <w:tcPr>
            <w:tcW w:w="1915" w:type="dxa"/>
            <w:tcBorders>
              <w:bottom w:val="single" w:sz="4" w:space="0" w:color="auto"/>
            </w:tcBorders>
          </w:tcPr>
          <w:p w14:paraId="72241483" w14:textId="77777777" w:rsidR="008A290B" w:rsidRPr="00EE0EF7" w:rsidRDefault="008A290B" w:rsidP="008A290B">
            <w:pPr>
              <w:rPr>
                <w:lang w:val="fr-FR"/>
              </w:rPr>
            </w:pPr>
          </w:p>
        </w:tc>
        <w:tc>
          <w:tcPr>
            <w:tcW w:w="1915" w:type="dxa"/>
          </w:tcPr>
          <w:p w14:paraId="6D33D6E1" w14:textId="77777777" w:rsidR="008A290B" w:rsidRPr="00EE0EF7" w:rsidRDefault="008A290B" w:rsidP="008A290B">
            <w:pPr>
              <w:rPr>
                <w:lang w:val="fr-FR"/>
              </w:rPr>
            </w:pPr>
          </w:p>
        </w:tc>
        <w:tc>
          <w:tcPr>
            <w:tcW w:w="1916" w:type="dxa"/>
          </w:tcPr>
          <w:p w14:paraId="78C76827" w14:textId="77777777" w:rsidR="008A290B" w:rsidRPr="00EE0EF7" w:rsidRDefault="008A290B" w:rsidP="008A290B">
            <w:pPr>
              <w:rPr>
                <w:lang w:val="fr-FR"/>
              </w:rPr>
            </w:pPr>
          </w:p>
        </w:tc>
      </w:tr>
    </w:tbl>
    <w:p w14:paraId="5DB8D829" w14:textId="77777777" w:rsidR="008A290B" w:rsidRPr="00EE0EF7" w:rsidRDefault="008A290B" w:rsidP="008A290B">
      <w:pPr>
        <w:jc w:val="center"/>
        <w:rPr>
          <w:sz w:val="16"/>
          <w:lang w:val="fr-FR"/>
        </w:rPr>
      </w:pPr>
    </w:p>
    <w:p w14:paraId="6663A3CD" w14:textId="77777777" w:rsidR="00E85409" w:rsidRPr="00EE0EF7" w:rsidRDefault="00E85409" w:rsidP="0089197A">
      <w:pPr>
        <w:spacing w:after="240"/>
        <w:jc w:val="center"/>
        <w:rPr>
          <w:lang w:val="fr-FR"/>
        </w:rPr>
      </w:pPr>
    </w:p>
    <w:sectPr w:rsidR="00E85409" w:rsidRPr="00EE0EF7" w:rsidSect="008A290B">
      <w:headerReference w:type="even" r:id="rId20"/>
      <w:headerReference w:type="default" r:id="rId21"/>
      <w:headerReference w:type="first" r:id="rId22"/>
      <w:footerReference w:type="first" r:id="rId23"/>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EA5A3" w14:textId="77777777" w:rsidR="00702DAD" w:rsidRDefault="00702DAD" w:rsidP="004A504B">
      <w:r>
        <w:separator/>
      </w:r>
    </w:p>
  </w:endnote>
  <w:endnote w:type="continuationSeparator" w:id="0">
    <w:p w14:paraId="1D5FF3E7" w14:textId="77777777" w:rsidR="00702DAD" w:rsidRDefault="00702DA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0"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9D62B" w14:textId="77777777" w:rsidR="008A290B" w:rsidRPr="0033525D" w:rsidRDefault="008A290B">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CBA5E" w14:textId="77777777" w:rsidR="008A290B" w:rsidRPr="0033525D" w:rsidRDefault="008A290B">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3A870" w14:textId="3647A68B" w:rsidR="008A290B" w:rsidRPr="008A290B" w:rsidRDefault="008A290B" w:rsidP="00C74282">
    <w:pPr>
      <w:pBdr>
        <w:top w:val="single" w:sz="4" w:space="1" w:color="auto"/>
        <w:left w:val="single" w:sz="4" w:space="4" w:color="auto"/>
        <w:bottom w:val="single" w:sz="4" w:space="1" w:color="auto"/>
        <w:right w:val="single" w:sz="4" w:space="4" w:color="auto"/>
      </w:pBdr>
      <w:jc w:val="center"/>
      <w:rPr>
        <w:sz w:val="18"/>
        <w:szCs w:val="18"/>
        <w:lang w:val="fr-CH"/>
      </w:rPr>
    </w:pPr>
    <w:r w:rsidRPr="008A290B">
      <w:rPr>
        <w:sz w:val="18"/>
        <w:szCs w:val="18"/>
        <w:lang w:val="fr-CH"/>
      </w:rPr>
      <w:t>Les documents de présession du Comité exécutif du Fonds multilatéral aux fins d’application du Protocole de 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871414"/>
      <w:docPartObj>
        <w:docPartGallery w:val="Page Numbers (Bottom of Page)"/>
        <w:docPartUnique/>
      </w:docPartObj>
    </w:sdtPr>
    <w:sdtEndPr>
      <w:rPr>
        <w:noProof/>
      </w:rPr>
    </w:sdtEndPr>
    <w:sdtContent>
      <w:p w14:paraId="62C55238" w14:textId="77777777" w:rsidR="008A290B" w:rsidRDefault="008A290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72BBA" w14:textId="77777777" w:rsidR="00702DAD" w:rsidRDefault="00702DAD" w:rsidP="004A504B">
      <w:r>
        <w:separator/>
      </w:r>
    </w:p>
  </w:footnote>
  <w:footnote w:type="continuationSeparator" w:id="0">
    <w:p w14:paraId="21C82340" w14:textId="77777777" w:rsidR="00702DAD" w:rsidRDefault="00702DAD" w:rsidP="004A504B">
      <w:r>
        <w:continuationSeparator/>
      </w:r>
    </w:p>
  </w:footnote>
  <w:footnote w:id="1">
    <w:p w14:paraId="5B73BFDC" w14:textId="77777777" w:rsidR="008A290B" w:rsidRPr="008A290B" w:rsidRDefault="008A290B" w:rsidP="00726D50">
      <w:pPr>
        <w:pStyle w:val="FootnoteText"/>
        <w:spacing w:after="120"/>
        <w:rPr>
          <w:lang w:val="fr-CH"/>
        </w:rPr>
      </w:pPr>
      <w:r w:rsidRPr="001A24C6">
        <w:rPr>
          <w:rStyle w:val="FootnoteReference"/>
        </w:rPr>
        <w:footnoteRef/>
      </w:r>
      <w:r w:rsidRPr="008A290B">
        <w:rPr>
          <w:lang w:val="fr-CH"/>
        </w:rPr>
        <w:t xml:space="preserve">  UNEP/OzL.Pro/ExCom/97/1</w:t>
      </w:r>
    </w:p>
  </w:footnote>
  <w:footnote w:id="2">
    <w:p w14:paraId="3B0A62DC" w14:textId="77777777" w:rsidR="008A290B" w:rsidRPr="008A290B" w:rsidRDefault="008A290B" w:rsidP="00C74282">
      <w:pPr>
        <w:pStyle w:val="FootnoteText"/>
        <w:rPr>
          <w:lang w:val="fr-CH"/>
        </w:rPr>
      </w:pPr>
      <w:r>
        <w:rPr>
          <w:rStyle w:val="FootnoteReference"/>
        </w:rPr>
        <w:footnoteRef/>
      </w:r>
      <w:r w:rsidRPr="008A290B">
        <w:rPr>
          <w:lang w:val="fr-CH"/>
        </w:rPr>
        <w:t xml:space="preserve"> Conformément à la lettre adressée à l'ONUDI par le Ministère des affaires étrangères, du commerce international et des cultes de l'Argentine en date du 26 août 2025.</w:t>
      </w:r>
    </w:p>
  </w:footnote>
  <w:footnote w:id="3">
    <w:p w14:paraId="187F695E" w14:textId="77777777" w:rsidR="008A290B" w:rsidRPr="008A290B" w:rsidRDefault="008A290B" w:rsidP="00C74282">
      <w:pPr>
        <w:pStyle w:val="FootnoteText"/>
        <w:rPr>
          <w:lang w:val="fr-CH"/>
        </w:rPr>
      </w:pPr>
      <w:r w:rsidRPr="00AD6B1E">
        <w:rPr>
          <w:rStyle w:val="FootnoteReference"/>
        </w:rPr>
        <w:footnoteRef/>
      </w:r>
      <w:r w:rsidRPr="008A290B">
        <w:rPr>
          <w:lang w:val="fr-CH"/>
        </w:rPr>
        <w:t xml:space="preserve"> Décision 79/33</w:t>
      </w:r>
    </w:p>
  </w:footnote>
  <w:footnote w:id="4">
    <w:p w14:paraId="6AF9EDA6" w14:textId="77777777" w:rsidR="008A290B" w:rsidRPr="008A290B" w:rsidRDefault="008A290B" w:rsidP="00C74282">
      <w:pPr>
        <w:pStyle w:val="FootnoteText"/>
        <w:rPr>
          <w:lang w:val="fr-CH"/>
        </w:rPr>
      </w:pPr>
      <w:r w:rsidRPr="00FC3D87">
        <w:rPr>
          <w:rStyle w:val="FootnoteReference"/>
        </w:rPr>
        <w:footnoteRef/>
      </w:r>
      <w:r w:rsidRPr="008A290B">
        <w:rPr>
          <w:lang w:val="fr-CH"/>
        </w:rPr>
        <w:t xml:space="preserve"> Décisions 80/31 et 92/31</w:t>
      </w:r>
    </w:p>
  </w:footnote>
  <w:footnote w:id="5">
    <w:p w14:paraId="111EE37B" w14:textId="77777777" w:rsidR="008A290B" w:rsidRPr="008A290B" w:rsidRDefault="008A290B" w:rsidP="00C74282">
      <w:pPr>
        <w:pStyle w:val="FootnoteText"/>
        <w:rPr>
          <w:lang w:val="fr-CH"/>
        </w:rPr>
      </w:pPr>
      <w:r>
        <w:rPr>
          <w:rStyle w:val="FootnoteReference"/>
        </w:rPr>
        <w:footnoteRef/>
      </w:r>
      <w:r w:rsidRPr="008A290B">
        <w:rPr>
          <w:lang w:val="fr-CH"/>
        </w:rPr>
        <w:t xml:space="preserve"> Et de maintenir une consommation annuelle maximale de HCFC sur la période 2030-2040 à un niveau compatible avec l’article 5, alinéa 8 ter(e)(i), du Protocole de Montréal.</w:t>
      </w:r>
    </w:p>
  </w:footnote>
  <w:footnote w:id="6">
    <w:p w14:paraId="6909A7FE" w14:textId="77777777" w:rsidR="008A290B" w:rsidRPr="008A290B" w:rsidRDefault="008A290B" w:rsidP="00C74282">
      <w:pPr>
        <w:pStyle w:val="FootnoteText"/>
        <w:rPr>
          <w:lang w:val="fr-CH"/>
        </w:rPr>
      </w:pPr>
      <w:r>
        <w:rPr>
          <w:rStyle w:val="FootnoteReference"/>
        </w:rPr>
        <w:footnoteRef/>
      </w:r>
      <w:r w:rsidRPr="008A290B">
        <w:rPr>
          <w:lang w:val="fr-CH"/>
        </w:rPr>
        <w:t xml:space="preserve"> Contenant notamment une pince à percer, des manomètres à vide, des collecteurs, un détecteur de fuites électronique, un chargeur, un multimètre numérique et des équipements de protection individuelle.</w:t>
      </w:r>
    </w:p>
  </w:footnote>
  <w:footnote w:id="7">
    <w:p w14:paraId="327EB1F6" w14:textId="77777777" w:rsidR="008A290B" w:rsidRPr="008A290B" w:rsidRDefault="008A290B" w:rsidP="00C74282">
      <w:pPr>
        <w:pStyle w:val="FootnoteText"/>
        <w:rPr>
          <w:lang w:val="fr-CH"/>
        </w:rPr>
      </w:pPr>
      <w:r>
        <w:rPr>
          <w:rStyle w:val="FootnoteReference"/>
        </w:rPr>
        <w:footnoteRef/>
      </w:r>
      <w:r w:rsidRPr="008A290B">
        <w:rPr>
          <w:lang w:val="fr-CH"/>
        </w:rPr>
        <w:t xml:space="preserve"> </w:t>
      </w:r>
      <w:bookmarkStart w:id="13" w:name="_Hlk214276031"/>
      <w:r w:rsidRPr="008A290B">
        <w:rPr>
          <w:lang w:val="fr-CH"/>
        </w:rPr>
        <w:t>La consommation de HCFC peut dépasser zéro chaque année tant que la somme de ses niveaux de consommation calculés sur la période de dix ans courant du 1er janvier 2030 au 1er janvier 2040 divisé par 10, ne dépasse pas 2,5 % de la valeur de référence pour les HCFC.</w:t>
      </w:r>
      <w:bookmarkEnd w:id="13"/>
    </w:p>
  </w:footnote>
  <w:footnote w:id="8">
    <w:p w14:paraId="417DF96B" w14:textId="213B5A21" w:rsidR="008A290B" w:rsidRPr="008A290B" w:rsidRDefault="008A290B" w:rsidP="00C74282">
      <w:pPr>
        <w:pStyle w:val="FootnoteText"/>
        <w:rPr>
          <w:lang w:val="fr-CH"/>
        </w:rPr>
      </w:pPr>
      <w:r>
        <w:rPr>
          <w:rStyle w:val="FootnoteReference"/>
        </w:rPr>
        <w:footnoteRef/>
      </w:r>
      <w:r w:rsidRPr="008A290B">
        <w:rPr>
          <w:lang w:val="fr-CH"/>
        </w:rPr>
        <w:t xml:space="preserve"> Aucune des propositions individuelles des entreprises n'a dépassé le seuil coût-efficacité fixé.</w:t>
      </w:r>
    </w:p>
  </w:footnote>
  <w:footnote w:id="9">
    <w:p w14:paraId="424C978B" w14:textId="47309C22" w:rsidR="008A290B" w:rsidRPr="008A290B" w:rsidRDefault="008A290B">
      <w:pPr>
        <w:pStyle w:val="FootnoteText"/>
        <w:rPr>
          <w:lang w:val="fr-CH"/>
        </w:rPr>
      </w:pPr>
      <w:r>
        <w:rPr>
          <w:rStyle w:val="FootnoteReference"/>
        </w:rPr>
        <w:footnoteRef/>
      </w:r>
      <w:r w:rsidRPr="008A290B">
        <w:rPr>
          <w:lang w:val="fr-CH"/>
        </w:rPr>
        <w:t xml:space="preserve"> Y compris le matériel de récupération, les instruments de mesure/test pour analyser le HFC-123 récupéré et des ateliers de sensibilisation.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A5BA1" w14:textId="69AFCA83" w:rsidR="007D1DB6" w:rsidRPr="008834DD" w:rsidRDefault="007D1DB6" w:rsidP="007D1DB6">
    <w:pPr>
      <w:rPr>
        <w:lang w:val="pt-BR"/>
      </w:rPr>
    </w:pPr>
    <w:r>
      <w:fldChar w:fldCharType="begin"/>
    </w:r>
    <w:r w:rsidRPr="008834DD">
      <w:rPr>
        <w:lang w:val="pt-BR"/>
      </w:rPr>
      <w:instrText xml:space="preserve"> DOCPROPERTY "Document number"  \* MERGEFORMAT </w:instrText>
    </w:r>
    <w:r>
      <w:fldChar w:fldCharType="separate"/>
    </w:r>
    <w:r w:rsidR="003B3351">
      <w:rPr>
        <w:lang w:val="pt-BR"/>
      </w:rPr>
      <w:t>UNEP/OzL.Pro/ExCom/97/36/Add.1</w:t>
    </w:r>
    <w:r>
      <w:fldChar w:fldCharType="end"/>
    </w:r>
  </w:p>
  <w:p w14:paraId="1887D2EA" w14:textId="77777777" w:rsidR="008A290B" w:rsidRPr="007D1DB6" w:rsidRDefault="008A290B">
    <w:pPr>
      <w:pStyle w:val="Header"/>
      <w:rPr>
        <w:lang w:val="pt-BR"/>
      </w:rPr>
    </w:pPr>
  </w:p>
  <w:p w14:paraId="4B842298" w14:textId="77777777" w:rsidR="008A290B" w:rsidRPr="00D063AA" w:rsidRDefault="008A290B">
    <w:pPr>
      <w:pStyle w:val="Header"/>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9A041" w14:textId="0C08E890" w:rsidR="007D1DB6" w:rsidRPr="008834DD" w:rsidRDefault="007D1DB6" w:rsidP="007D1DB6">
    <w:pPr>
      <w:jc w:val="right"/>
      <w:rPr>
        <w:lang w:val="pt-BR"/>
      </w:rPr>
    </w:pPr>
    <w:r>
      <w:fldChar w:fldCharType="begin"/>
    </w:r>
    <w:r w:rsidRPr="008834DD">
      <w:rPr>
        <w:lang w:val="pt-BR"/>
      </w:rPr>
      <w:instrText xml:space="preserve"> DOCPROPERTY "Document number"  \* MERGEFORMAT </w:instrText>
    </w:r>
    <w:r>
      <w:fldChar w:fldCharType="separate"/>
    </w:r>
    <w:r w:rsidR="003B3351">
      <w:rPr>
        <w:lang w:val="pt-BR"/>
      </w:rPr>
      <w:t>UNEP/OzL.Pro/ExCom/97/36/Add.1</w:t>
    </w:r>
    <w:r>
      <w:fldChar w:fldCharType="end"/>
    </w:r>
  </w:p>
  <w:p w14:paraId="12E2B16E" w14:textId="77777777" w:rsidR="008A290B" w:rsidRPr="007D1DB6" w:rsidRDefault="008A290B" w:rsidP="00D063AA">
    <w:pPr>
      <w:pStyle w:val="Header"/>
      <w:jc w:val="right"/>
      <w:rPr>
        <w:lang w:val="pt-BR"/>
      </w:rPr>
    </w:pPr>
  </w:p>
  <w:p w14:paraId="7B419BD3" w14:textId="77777777" w:rsidR="008A290B" w:rsidRPr="00D063AA" w:rsidRDefault="008A290B" w:rsidP="00D063AA">
    <w:pPr>
      <w:pStyle w:val="Header"/>
      <w:jc w:val="right"/>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975C3" w14:textId="77777777" w:rsidR="008A290B" w:rsidRPr="0033525D" w:rsidRDefault="008A290B">
    <w:fldSimple w:instr=" DOCPROPERTY &quot;Document number&quot;  \* MERGEFORMAT ">
      <w:r>
        <w:t>UNEP/OzL.Pro/ExCom/97/42</w:t>
      </w:r>
    </w:fldSimple>
  </w:p>
  <w:p w14:paraId="78377DA6" w14:textId="77777777" w:rsidR="008A290B" w:rsidRDefault="008A290B">
    <w:r>
      <w:t>Annexe I</w:t>
    </w:r>
  </w:p>
  <w:p w14:paraId="03DC31E9" w14:textId="77777777" w:rsidR="008A290B" w:rsidRPr="0033525D" w:rsidRDefault="008A290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8F263" w14:textId="77777777" w:rsidR="008A290B" w:rsidRPr="0033525D" w:rsidRDefault="008A290B" w:rsidP="008A290B">
    <w:pPr>
      <w:jc w:val="right"/>
    </w:pPr>
    <w:fldSimple w:instr=" DOCPROPERTY &quot;Document number&quot;  \* MERGEFORMAT ">
      <w:r>
        <w:t>UNEP/OzL.Pro/ExCom/97/42</w:t>
      </w:r>
    </w:fldSimple>
  </w:p>
  <w:p w14:paraId="22278B45" w14:textId="77777777" w:rsidR="008A290B" w:rsidRDefault="008A290B" w:rsidP="008A290B">
    <w:pPr>
      <w:pStyle w:val="Header"/>
      <w:jc w:val="right"/>
    </w:pPr>
    <w:r>
      <w:t>Annexe I</w:t>
    </w:r>
  </w:p>
  <w:p w14:paraId="62169E98" w14:textId="77777777" w:rsidR="008A290B" w:rsidRDefault="008A290B" w:rsidP="008A290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16549" w14:textId="77777777" w:rsidR="008A290B" w:rsidRPr="0033525D" w:rsidRDefault="008A290B" w:rsidP="008A290B">
    <w:pPr>
      <w:jc w:val="right"/>
    </w:pPr>
    <w:fldSimple w:instr=" DOCPROPERTY &quot;Document number&quot;  \* MERGEFORMAT ">
      <w:r>
        <w:t>UNEP/OzL.Pro/ExCom/97/36/Add.1</w:t>
      </w:r>
    </w:fldSimple>
  </w:p>
  <w:p w14:paraId="5C678C4A" w14:textId="77777777" w:rsidR="008A290B" w:rsidRDefault="008A290B" w:rsidP="008A290B">
    <w:pPr>
      <w:pStyle w:val="Header"/>
      <w:jc w:val="right"/>
    </w:pPr>
    <w:r>
      <w:t>Annexe I</w:t>
    </w:r>
  </w:p>
  <w:p w14:paraId="0B7DECDF" w14:textId="77777777" w:rsidR="008A290B" w:rsidRDefault="008A290B" w:rsidP="008A290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7EADB5C"/>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ind w:left="1080" w:hanging="360"/>
      </w:pPr>
    </w:lvl>
    <w:lvl w:ilvl="2">
      <w:start w:val="1"/>
      <w:numFmt w:val="lowerRoman"/>
      <w:pStyle w:val="Heading3"/>
      <w:lvlText w:val="%3."/>
      <w:lvlJc w:val="right"/>
      <w:pPr>
        <w:ind w:left="1800" w:hanging="36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2464787"/>
    <w:multiLevelType w:val="hybridMultilevel"/>
    <w:tmpl w:val="306269CC"/>
    <w:lvl w:ilvl="0" w:tplc="2AD47A0A">
      <w:start w:val="1"/>
      <w:numFmt w:val="lowerLetter"/>
      <w:lvlText w:val="%1."/>
      <w:lvlJc w:val="left"/>
      <w:pPr>
        <w:ind w:left="3240" w:hanging="360"/>
      </w:pPr>
      <w:rPr>
        <w:rFonts w:hint="default"/>
      </w:rPr>
    </w:lvl>
    <w:lvl w:ilvl="1" w:tplc="10090019" w:tentative="1">
      <w:start w:val="1"/>
      <w:numFmt w:val="lowerLetter"/>
      <w:lvlText w:val="%2."/>
      <w:lvlJc w:val="left"/>
      <w:pPr>
        <w:ind w:left="3960" w:hanging="360"/>
      </w:pPr>
    </w:lvl>
    <w:lvl w:ilvl="2" w:tplc="1009001B" w:tentative="1">
      <w:start w:val="1"/>
      <w:numFmt w:val="lowerRoman"/>
      <w:lvlText w:val="%3."/>
      <w:lvlJc w:val="right"/>
      <w:pPr>
        <w:ind w:left="4680" w:hanging="180"/>
      </w:pPr>
    </w:lvl>
    <w:lvl w:ilvl="3" w:tplc="1009000F" w:tentative="1">
      <w:start w:val="1"/>
      <w:numFmt w:val="decimal"/>
      <w:lvlText w:val="%4."/>
      <w:lvlJc w:val="left"/>
      <w:pPr>
        <w:ind w:left="5400" w:hanging="360"/>
      </w:pPr>
    </w:lvl>
    <w:lvl w:ilvl="4" w:tplc="10090019" w:tentative="1">
      <w:start w:val="1"/>
      <w:numFmt w:val="lowerLetter"/>
      <w:lvlText w:val="%5."/>
      <w:lvlJc w:val="left"/>
      <w:pPr>
        <w:ind w:left="6120" w:hanging="360"/>
      </w:pPr>
    </w:lvl>
    <w:lvl w:ilvl="5" w:tplc="1009001B" w:tentative="1">
      <w:start w:val="1"/>
      <w:numFmt w:val="lowerRoman"/>
      <w:lvlText w:val="%6."/>
      <w:lvlJc w:val="right"/>
      <w:pPr>
        <w:ind w:left="6840" w:hanging="180"/>
      </w:pPr>
    </w:lvl>
    <w:lvl w:ilvl="6" w:tplc="1009000F" w:tentative="1">
      <w:start w:val="1"/>
      <w:numFmt w:val="decimal"/>
      <w:lvlText w:val="%7."/>
      <w:lvlJc w:val="left"/>
      <w:pPr>
        <w:ind w:left="7560" w:hanging="360"/>
      </w:pPr>
    </w:lvl>
    <w:lvl w:ilvl="7" w:tplc="10090019" w:tentative="1">
      <w:start w:val="1"/>
      <w:numFmt w:val="lowerLetter"/>
      <w:lvlText w:val="%8."/>
      <w:lvlJc w:val="left"/>
      <w:pPr>
        <w:ind w:left="8280" w:hanging="360"/>
      </w:pPr>
    </w:lvl>
    <w:lvl w:ilvl="8" w:tplc="1009001B" w:tentative="1">
      <w:start w:val="1"/>
      <w:numFmt w:val="lowerRoman"/>
      <w:lvlText w:val="%9."/>
      <w:lvlJc w:val="right"/>
      <w:pPr>
        <w:ind w:left="9000" w:hanging="180"/>
      </w:pPr>
    </w:lvl>
  </w:abstractNum>
  <w:abstractNum w:abstractNumId="12" w15:restartNumberingAfterBreak="0">
    <w:nsid w:val="135A206E"/>
    <w:multiLevelType w:val="hybridMultilevel"/>
    <w:tmpl w:val="B302EE5C"/>
    <w:lvl w:ilvl="0" w:tplc="3EC8136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53F635A"/>
    <w:multiLevelType w:val="multilevel"/>
    <w:tmpl w:val="E6B67E3C"/>
    <w:styleLink w:val="Tabletitle"/>
    <w:lvl w:ilvl="0">
      <w:start w:val="1"/>
      <w:numFmt w:val="decimal"/>
      <w:pStyle w:val="TableofFigures"/>
      <w:lvlText w:val="Table %1."/>
      <w:lvlJc w:val="left"/>
      <w:pPr>
        <w:tabs>
          <w:tab w:val="num" w:pos="3715"/>
        </w:tabs>
        <w:ind w:left="3715" w:hanging="737"/>
      </w:pPr>
      <w:rPr>
        <w:rFonts w:ascii="Times New Roman Bold" w:hAnsi="Times New Roman Bold" w:hint="default"/>
        <w:b/>
        <w:bCs/>
        <w:i w:val="0"/>
        <w:iCs w:val="0"/>
        <w:caps w:val="0"/>
        <w:smallCaps/>
        <w:strike w:val="0"/>
        <w:dstrike w:val="0"/>
        <w:vanish w:val="0"/>
        <w:sz w:val="24"/>
        <w:szCs w:val="24"/>
        <w:u w:val="none"/>
        <w:vertAlign w:val="baseline"/>
        <w14:numSpacing w14:val="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AA77A30"/>
    <w:multiLevelType w:val="multilevel"/>
    <w:tmpl w:val="E6B67E3C"/>
    <w:numStyleLink w:val="Tabletitle"/>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BE92174"/>
    <w:multiLevelType w:val="hybridMultilevel"/>
    <w:tmpl w:val="306269CC"/>
    <w:lvl w:ilvl="0" w:tplc="FFFFFFFF">
      <w:start w:val="1"/>
      <w:numFmt w:val="lowerLetter"/>
      <w:lvlText w:val="%1."/>
      <w:lvlJc w:val="left"/>
      <w:pPr>
        <w:ind w:left="3240" w:hanging="360"/>
      </w:pPr>
      <w:rPr>
        <w:rFonts w:hint="default"/>
      </w:rPr>
    </w:lvl>
    <w:lvl w:ilvl="1" w:tplc="FFFFFFFF" w:tentative="1">
      <w:start w:val="1"/>
      <w:numFmt w:val="lowerLetter"/>
      <w:lvlText w:val="%2."/>
      <w:lvlJc w:val="left"/>
      <w:pPr>
        <w:ind w:left="3960" w:hanging="360"/>
      </w:pPr>
    </w:lvl>
    <w:lvl w:ilvl="2" w:tplc="FFFFFFFF" w:tentative="1">
      <w:start w:val="1"/>
      <w:numFmt w:val="lowerRoman"/>
      <w:lvlText w:val="%3."/>
      <w:lvlJc w:val="right"/>
      <w:pPr>
        <w:ind w:left="4680" w:hanging="180"/>
      </w:pPr>
    </w:lvl>
    <w:lvl w:ilvl="3" w:tplc="FFFFFFFF" w:tentative="1">
      <w:start w:val="1"/>
      <w:numFmt w:val="decimal"/>
      <w:lvlText w:val="%4."/>
      <w:lvlJc w:val="left"/>
      <w:pPr>
        <w:ind w:left="5400" w:hanging="360"/>
      </w:pPr>
    </w:lvl>
    <w:lvl w:ilvl="4" w:tplc="FFFFFFFF" w:tentative="1">
      <w:start w:val="1"/>
      <w:numFmt w:val="lowerLetter"/>
      <w:lvlText w:val="%5."/>
      <w:lvlJc w:val="left"/>
      <w:pPr>
        <w:ind w:left="6120" w:hanging="360"/>
      </w:pPr>
    </w:lvl>
    <w:lvl w:ilvl="5" w:tplc="FFFFFFFF" w:tentative="1">
      <w:start w:val="1"/>
      <w:numFmt w:val="lowerRoman"/>
      <w:lvlText w:val="%6."/>
      <w:lvlJc w:val="right"/>
      <w:pPr>
        <w:ind w:left="6840" w:hanging="180"/>
      </w:pPr>
    </w:lvl>
    <w:lvl w:ilvl="6" w:tplc="FFFFFFFF" w:tentative="1">
      <w:start w:val="1"/>
      <w:numFmt w:val="decimal"/>
      <w:lvlText w:val="%7."/>
      <w:lvlJc w:val="left"/>
      <w:pPr>
        <w:ind w:left="7560" w:hanging="360"/>
      </w:pPr>
    </w:lvl>
    <w:lvl w:ilvl="7" w:tplc="FFFFFFFF" w:tentative="1">
      <w:start w:val="1"/>
      <w:numFmt w:val="lowerLetter"/>
      <w:lvlText w:val="%8."/>
      <w:lvlJc w:val="left"/>
      <w:pPr>
        <w:ind w:left="8280" w:hanging="360"/>
      </w:pPr>
    </w:lvl>
    <w:lvl w:ilvl="8" w:tplc="FFFFFFFF" w:tentative="1">
      <w:start w:val="1"/>
      <w:numFmt w:val="lowerRoman"/>
      <w:lvlText w:val="%9."/>
      <w:lvlJc w:val="right"/>
      <w:pPr>
        <w:ind w:left="900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104496808">
    <w:abstractNumId w:val="10"/>
  </w:num>
  <w:num w:numId="2" w16cid:durableId="1941331719">
    <w:abstractNumId w:val="10"/>
  </w:num>
  <w:num w:numId="3" w16cid:durableId="1142968624">
    <w:abstractNumId w:val="10"/>
  </w:num>
  <w:num w:numId="4" w16cid:durableId="83915889">
    <w:abstractNumId w:val="10"/>
  </w:num>
  <w:num w:numId="5" w16cid:durableId="1033192134">
    <w:abstractNumId w:val="10"/>
  </w:num>
  <w:num w:numId="6" w16cid:durableId="849028238">
    <w:abstractNumId w:val="9"/>
  </w:num>
  <w:num w:numId="7" w16cid:durableId="231963205">
    <w:abstractNumId w:val="7"/>
  </w:num>
  <w:num w:numId="8" w16cid:durableId="302083967">
    <w:abstractNumId w:val="6"/>
  </w:num>
  <w:num w:numId="9" w16cid:durableId="676003934">
    <w:abstractNumId w:val="5"/>
  </w:num>
  <w:num w:numId="10" w16cid:durableId="621309002">
    <w:abstractNumId w:val="4"/>
  </w:num>
  <w:num w:numId="11" w16cid:durableId="1627200898">
    <w:abstractNumId w:val="8"/>
  </w:num>
  <w:num w:numId="12" w16cid:durableId="1454709814">
    <w:abstractNumId w:val="3"/>
  </w:num>
  <w:num w:numId="13" w16cid:durableId="1660309813">
    <w:abstractNumId w:val="2"/>
  </w:num>
  <w:num w:numId="14" w16cid:durableId="1142966407">
    <w:abstractNumId w:val="1"/>
  </w:num>
  <w:num w:numId="15" w16cid:durableId="1764255344">
    <w:abstractNumId w:val="0"/>
  </w:num>
  <w:num w:numId="16" w16cid:durableId="1413358942">
    <w:abstractNumId w:val="13"/>
  </w:num>
  <w:num w:numId="17" w16cid:durableId="1030037090">
    <w:abstractNumId w:val="16"/>
  </w:num>
  <w:num w:numId="18" w16cid:durableId="1458449519">
    <w:abstractNumId w:val="17"/>
  </w:num>
  <w:num w:numId="19" w16cid:durableId="1322732400">
    <w:abstractNumId w:val="21"/>
  </w:num>
  <w:num w:numId="20" w16cid:durableId="1211264362">
    <w:abstractNumId w:val="14"/>
  </w:num>
  <w:num w:numId="21" w16cid:durableId="2145538514">
    <w:abstractNumId w:val="14"/>
    <w:lvlOverride w:ilvl="0">
      <w:startOverride w:val="1"/>
    </w:lvlOverride>
  </w:num>
  <w:num w:numId="22" w16cid:durableId="2024746267">
    <w:abstractNumId w:val="19"/>
  </w:num>
  <w:num w:numId="23" w16cid:durableId="118059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066087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47535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95567414">
    <w:abstractNumId w:val="15"/>
  </w:num>
  <w:num w:numId="27" w16cid:durableId="1974870407">
    <w:abstractNumId w:val="18"/>
    <w:lvlOverride w:ilvl="0">
      <w:lvl w:ilvl="0">
        <w:start w:val="1"/>
        <w:numFmt w:val="decimal"/>
        <w:pStyle w:val="TableofFigures"/>
        <w:lvlText w:val="Table %1."/>
        <w:lvlJc w:val="left"/>
        <w:pPr>
          <w:tabs>
            <w:tab w:val="num" w:pos="737"/>
          </w:tabs>
          <w:ind w:left="737" w:hanging="737"/>
        </w:pPr>
        <w:rPr>
          <w:rFonts w:ascii="Times New Roman Bold" w:hAnsi="Times New Roman Bold" w:hint="default"/>
          <w:b/>
          <w:bCs/>
          <w:i w:val="0"/>
          <w:iCs w:val="0"/>
          <w:caps w:val="0"/>
          <w:smallCaps/>
          <w:strike w:val="0"/>
          <w:dstrike w:val="0"/>
          <w:vanish w:val="0"/>
          <w:color w:val="auto"/>
          <w:sz w:val="24"/>
          <w:szCs w:val="24"/>
          <w:u w:val="none"/>
          <w:vertAlign w:val="baseline"/>
          <w14:numSpacing w14:val="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8" w16cid:durableId="6445515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474348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475456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670991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745792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04678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949567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609372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446139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2146981">
    <w:abstractNumId w:val="11"/>
  </w:num>
  <w:num w:numId="38" w16cid:durableId="1482967481">
    <w:abstractNumId w:val="10"/>
  </w:num>
  <w:num w:numId="39" w16cid:durableId="360204697">
    <w:abstractNumId w:val="10"/>
  </w:num>
  <w:num w:numId="40" w16cid:durableId="828788106">
    <w:abstractNumId w:val="20"/>
  </w:num>
  <w:num w:numId="41" w16cid:durableId="1939482200">
    <w:abstractNumId w:val="10"/>
  </w:num>
  <w:num w:numId="42" w16cid:durableId="2124877467">
    <w:abstractNumId w:val="12"/>
  </w:num>
  <w:num w:numId="43" w16cid:durableId="511728443">
    <w:abstractNumId w:val="10"/>
    <w:lvlOverride w:ilvl="0">
      <w:startOverride w:val="1"/>
    </w:lvlOverride>
  </w:num>
  <w:num w:numId="44" w16cid:durableId="54449273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91445"/>
    <w:rsid w:val="00000099"/>
    <w:rsid w:val="00000C67"/>
    <w:rsid w:val="00000FED"/>
    <w:rsid w:val="0000434E"/>
    <w:rsid w:val="00005091"/>
    <w:rsid w:val="00014BB0"/>
    <w:rsid w:val="00016F59"/>
    <w:rsid w:val="000211A9"/>
    <w:rsid w:val="00021238"/>
    <w:rsid w:val="00022071"/>
    <w:rsid w:val="00022B68"/>
    <w:rsid w:val="000265B5"/>
    <w:rsid w:val="00026FDF"/>
    <w:rsid w:val="00031260"/>
    <w:rsid w:val="000321E8"/>
    <w:rsid w:val="0003432D"/>
    <w:rsid w:val="0003681A"/>
    <w:rsid w:val="000372B7"/>
    <w:rsid w:val="00050F6E"/>
    <w:rsid w:val="00061EC2"/>
    <w:rsid w:val="00064B69"/>
    <w:rsid w:val="00066CE8"/>
    <w:rsid w:val="00080ED0"/>
    <w:rsid w:val="00081DAC"/>
    <w:rsid w:val="00085B8F"/>
    <w:rsid w:val="00090481"/>
    <w:rsid w:val="00090AA2"/>
    <w:rsid w:val="00091445"/>
    <w:rsid w:val="000A2728"/>
    <w:rsid w:val="000A3826"/>
    <w:rsid w:val="000A676F"/>
    <w:rsid w:val="000A6C26"/>
    <w:rsid w:val="000B36C8"/>
    <w:rsid w:val="000B3938"/>
    <w:rsid w:val="000C020E"/>
    <w:rsid w:val="000C1B7C"/>
    <w:rsid w:val="000C1DA5"/>
    <w:rsid w:val="000C4C92"/>
    <w:rsid w:val="000C5039"/>
    <w:rsid w:val="000C78DB"/>
    <w:rsid w:val="000D52A4"/>
    <w:rsid w:val="000E07BC"/>
    <w:rsid w:val="000E262B"/>
    <w:rsid w:val="000E2E21"/>
    <w:rsid w:val="000E54A7"/>
    <w:rsid w:val="000F1CD4"/>
    <w:rsid w:val="000F4103"/>
    <w:rsid w:val="000F62F8"/>
    <w:rsid w:val="000F70A7"/>
    <w:rsid w:val="00103F25"/>
    <w:rsid w:val="00105E3D"/>
    <w:rsid w:val="00107A3F"/>
    <w:rsid w:val="00113CCA"/>
    <w:rsid w:val="00122F25"/>
    <w:rsid w:val="00126E1C"/>
    <w:rsid w:val="00127DF4"/>
    <w:rsid w:val="00135980"/>
    <w:rsid w:val="00135CE6"/>
    <w:rsid w:val="0013786F"/>
    <w:rsid w:val="00141694"/>
    <w:rsid w:val="00142579"/>
    <w:rsid w:val="00164719"/>
    <w:rsid w:val="00166FC4"/>
    <w:rsid w:val="001677AC"/>
    <w:rsid w:val="00176B46"/>
    <w:rsid w:val="001804EA"/>
    <w:rsid w:val="00190A61"/>
    <w:rsid w:val="00196F76"/>
    <w:rsid w:val="00197179"/>
    <w:rsid w:val="001A1185"/>
    <w:rsid w:val="001A20F2"/>
    <w:rsid w:val="001A2215"/>
    <w:rsid w:val="001A3342"/>
    <w:rsid w:val="001A3E3D"/>
    <w:rsid w:val="001A7049"/>
    <w:rsid w:val="001B1E40"/>
    <w:rsid w:val="001B4A54"/>
    <w:rsid w:val="001B6420"/>
    <w:rsid w:val="001C2ABA"/>
    <w:rsid w:val="001C6350"/>
    <w:rsid w:val="001C72F2"/>
    <w:rsid w:val="001C764E"/>
    <w:rsid w:val="001D2F05"/>
    <w:rsid w:val="001E1052"/>
    <w:rsid w:val="001E21B1"/>
    <w:rsid w:val="001E2F93"/>
    <w:rsid w:val="001E4554"/>
    <w:rsid w:val="001E61E5"/>
    <w:rsid w:val="001F01FC"/>
    <w:rsid w:val="001F2159"/>
    <w:rsid w:val="001F53FD"/>
    <w:rsid w:val="002024B6"/>
    <w:rsid w:val="002054AC"/>
    <w:rsid w:val="00206ADB"/>
    <w:rsid w:val="00206C19"/>
    <w:rsid w:val="00210B8B"/>
    <w:rsid w:val="002147FD"/>
    <w:rsid w:val="00214863"/>
    <w:rsid w:val="002156B4"/>
    <w:rsid w:val="00224FCD"/>
    <w:rsid w:val="002501D7"/>
    <w:rsid w:val="00253222"/>
    <w:rsid w:val="0025697D"/>
    <w:rsid w:val="00261C13"/>
    <w:rsid w:val="00262847"/>
    <w:rsid w:val="00265C0D"/>
    <w:rsid w:val="00267679"/>
    <w:rsid w:val="00275F47"/>
    <w:rsid w:val="00280EBF"/>
    <w:rsid w:val="00281BB2"/>
    <w:rsid w:val="00285232"/>
    <w:rsid w:val="002A03C3"/>
    <w:rsid w:val="002A4A5E"/>
    <w:rsid w:val="002B1134"/>
    <w:rsid w:val="002B254E"/>
    <w:rsid w:val="002B4CE8"/>
    <w:rsid w:val="002B72E9"/>
    <w:rsid w:val="002C17B3"/>
    <w:rsid w:val="002C32FC"/>
    <w:rsid w:val="002C5311"/>
    <w:rsid w:val="002C7998"/>
    <w:rsid w:val="002D590E"/>
    <w:rsid w:val="002E01C7"/>
    <w:rsid w:val="002E5771"/>
    <w:rsid w:val="002F1E53"/>
    <w:rsid w:val="002F2CAA"/>
    <w:rsid w:val="0030052C"/>
    <w:rsid w:val="00311E25"/>
    <w:rsid w:val="0032169A"/>
    <w:rsid w:val="00326724"/>
    <w:rsid w:val="00326733"/>
    <w:rsid w:val="003306E1"/>
    <w:rsid w:val="003320E4"/>
    <w:rsid w:val="0033525D"/>
    <w:rsid w:val="00340644"/>
    <w:rsid w:val="003414F3"/>
    <w:rsid w:val="003509C4"/>
    <w:rsid w:val="00350AAC"/>
    <w:rsid w:val="00354DF2"/>
    <w:rsid w:val="0035613E"/>
    <w:rsid w:val="00363EE9"/>
    <w:rsid w:val="00370087"/>
    <w:rsid w:val="0037061B"/>
    <w:rsid w:val="00371252"/>
    <w:rsid w:val="00376128"/>
    <w:rsid w:val="0037742E"/>
    <w:rsid w:val="00377D56"/>
    <w:rsid w:val="0038245A"/>
    <w:rsid w:val="003840E6"/>
    <w:rsid w:val="00385CFC"/>
    <w:rsid w:val="0039023A"/>
    <w:rsid w:val="0039190B"/>
    <w:rsid w:val="0039337A"/>
    <w:rsid w:val="0039764E"/>
    <w:rsid w:val="003A3189"/>
    <w:rsid w:val="003A3CA7"/>
    <w:rsid w:val="003B3351"/>
    <w:rsid w:val="003B33BD"/>
    <w:rsid w:val="003B4F06"/>
    <w:rsid w:val="003B569D"/>
    <w:rsid w:val="003C147F"/>
    <w:rsid w:val="003C2AFA"/>
    <w:rsid w:val="003C3C0E"/>
    <w:rsid w:val="003D082E"/>
    <w:rsid w:val="003D42A6"/>
    <w:rsid w:val="003D4F21"/>
    <w:rsid w:val="003D4FAC"/>
    <w:rsid w:val="003E1885"/>
    <w:rsid w:val="003E72BF"/>
    <w:rsid w:val="003E7906"/>
    <w:rsid w:val="003F000F"/>
    <w:rsid w:val="003F3C50"/>
    <w:rsid w:val="00401802"/>
    <w:rsid w:val="00406202"/>
    <w:rsid w:val="00406A6A"/>
    <w:rsid w:val="00406B22"/>
    <w:rsid w:val="00407147"/>
    <w:rsid w:val="004078FA"/>
    <w:rsid w:val="00411553"/>
    <w:rsid w:val="0042729D"/>
    <w:rsid w:val="00431E08"/>
    <w:rsid w:val="004328A7"/>
    <w:rsid w:val="00433893"/>
    <w:rsid w:val="00434C74"/>
    <w:rsid w:val="00443A1C"/>
    <w:rsid w:val="00455BFB"/>
    <w:rsid w:val="004569F2"/>
    <w:rsid w:val="00456EB4"/>
    <w:rsid w:val="00457827"/>
    <w:rsid w:val="00465491"/>
    <w:rsid w:val="004718F3"/>
    <w:rsid w:val="004727C6"/>
    <w:rsid w:val="00475040"/>
    <w:rsid w:val="00490C06"/>
    <w:rsid w:val="00493D40"/>
    <w:rsid w:val="00493EE3"/>
    <w:rsid w:val="00493FD6"/>
    <w:rsid w:val="00494050"/>
    <w:rsid w:val="004967B6"/>
    <w:rsid w:val="004A4D78"/>
    <w:rsid w:val="004A504B"/>
    <w:rsid w:val="004A6911"/>
    <w:rsid w:val="004B0AE7"/>
    <w:rsid w:val="004B3652"/>
    <w:rsid w:val="004B3A58"/>
    <w:rsid w:val="004B54E0"/>
    <w:rsid w:val="004B7384"/>
    <w:rsid w:val="004C4269"/>
    <w:rsid w:val="004D0045"/>
    <w:rsid w:val="004D6236"/>
    <w:rsid w:val="004D7F90"/>
    <w:rsid w:val="004E4DBB"/>
    <w:rsid w:val="004E4E41"/>
    <w:rsid w:val="004E73DB"/>
    <w:rsid w:val="004E7F9C"/>
    <w:rsid w:val="004F238A"/>
    <w:rsid w:val="004F2F3A"/>
    <w:rsid w:val="004F3493"/>
    <w:rsid w:val="004F5143"/>
    <w:rsid w:val="0050583E"/>
    <w:rsid w:val="005062A1"/>
    <w:rsid w:val="00511246"/>
    <w:rsid w:val="00512B09"/>
    <w:rsid w:val="00513280"/>
    <w:rsid w:val="005220ED"/>
    <w:rsid w:val="00523B05"/>
    <w:rsid w:val="005271F2"/>
    <w:rsid w:val="005308BC"/>
    <w:rsid w:val="00532339"/>
    <w:rsid w:val="00533796"/>
    <w:rsid w:val="00537343"/>
    <w:rsid w:val="00550881"/>
    <w:rsid w:val="005516F3"/>
    <w:rsid w:val="00555D75"/>
    <w:rsid w:val="00560DF0"/>
    <w:rsid w:val="0056759C"/>
    <w:rsid w:val="00573D28"/>
    <w:rsid w:val="0057600E"/>
    <w:rsid w:val="00584623"/>
    <w:rsid w:val="00590025"/>
    <w:rsid w:val="00593EDC"/>
    <w:rsid w:val="00594D06"/>
    <w:rsid w:val="0059513E"/>
    <w:rsid w:val="00596B04"/>
    <w:rsid w:val="005A23BF"/>
    <w:rsid w:val="005A3121"/>
    <w:rsid w:val="005A6AA4"/>
    <w:rsid w:val="005A6D9F"/>
    <w:rsid w:val="005B1A3F"/>
    <w:rsid w:val="005B4362"/>
    <w:rsid w:val="005B48FF"/>
    <w:rsid w:val="005C1E32"/>
    <w:rsid w:val="005C4F0A"/>
    <w:rsid w:val="005C670D"/>
    <w:rsid w:val="005D189D"/>
    <w:rsid w:val="005D1929"/>
    <w:rsid w:val="005D363F"/>
    <w:rsid w:val="005D553E"/>
    <w:rsid w:val="005E5BB4"/>
    <w:rsid w:val="00604C15"/>
    <w:rsid w:val="00604C9A"/>
    <w:rsid w:val="00605B0C"/>
    <w:rsid w:val="00612122"/>
    <w:rsid w:val="00614D61"/>
    <w:rsid w:val="006158D5"/>
    <w:rsid w:val="00617D1B"/>
    <w:rsid w:val="00625D83"/>
    <w:rsid w:val="00636967"/>
    <w:rsid w:val="0064294E"/>
    <w:rsid w:val="00644E5D"/>
    <w:rsid w:val="00646CA0"/>
    <w:rsid w:val="0065152F"/>
    <w:rsid w:val="00651984"/>
    <w:rsid w:val="00656AAA"/>
    <w:rsid w:val="006623E7"/>
    <w:rsid w:val="00662B72"/>
    <w:rsid w:val="00662B80"/>
    <w:rsid w:val="00663701"/>
    <w:rsid w:val="0066768F"/>
    <w:rsid w:val="00670F6C"/>
    <w:rsid w:val="006730F4"/>
    <w:rsid w:val="00676E58"/>
    <w:rsid w:val="00677A2B"/>
    <w:rsid w:val="00681D20"/>
    <w:rsid w:val="006822CB"/>
    <w:rsid w:val="006852C7"/>
    <w:rsid w:val="006852CE"/>
    <w:rsid w:val="00692D14"/>
    <w:rsid w:val="006969E5"/>
    <w:rsid w:val="00696EBB"/>
    <w:rsid w:val="00697797"/>
    <w:rsid w:val="006A7A3B"/>
    <w:rsid w:val="006B52FC"/>
    <w:rsid w:val="006B65C7"/>
    <w:rsid w:val="006C1727"/>
    <w:rsid w:val="006C32FD"/>
    <w:rsid w:val="006C3864"/>
    <w:rsid w:val="006C39CE"/>
    <w:rsid w:val="006C713D"/>
    <w:rsid w:val="006D080B"/>
    <w:rsid w:val="006D0FCC"/>
    <w:rsid w:val="006D21F5"/>
    <w:rsid w:val="006D3089"/>
    <w:rsid w:val="006E126D"/>
    <w:rsid w:val="006E1FC3"/>
    <w:rsid w:val="006E4159"/>
    <w:rsid w:val="006F26D4"/>
    <w:rsid w:val="006F2906"/>
    <w:rsid w:val="00702B62"/>
    <w:rsid w:val="00702DAD"/>
    <w:rsid w:val="00704CE9"/>
    <w:rsid w:val="0070616B"/>
    <w:rsid w:val="00706295"/>
    <w:rsid w:val="00706900"/>
    <w:rsid w:val="00706FDA"/>
    <w:rsid w:val="00711F9A"/>
    <w:rsid w:val="00712D5D"/>
    <w:rsid w:val="00713810"/>
    <w:rsid w:val="0072125E"/>
    <w:rsid w:val="00726D50"/>
    <w:rsid w:val="007303A5"/>
    <w:rsid w:val="0073047A"/>
    <w:rsid w:val="00730B3E"/>
    <w:rsid w:val="0073420B"/>
    <w:rsid w:val="00736367"/>
    <w:rsid w:val="007367EC"/>
    <w:rsid w:val="00742ADA"/>
    <w:rsid w:val="00742C5A"/>
    <w:rsid w:val="00744AD3"/>
    <w:rsid w:val="0074760E"/>
    <w:rsid w:val="007548C4"/>
    <w:rsid w:val="00754ABA"/>
    <w:rsid w:val="007624A2"/>
    <w:rsid w:val="007723B7"/>
    <w:rsid w:val="007747E9"/>
    <w:rsid w:val="00782078"/>
    <w:rsid w:val="00782B0D"/>
    <w:rsid w:val="0078444F"/>
    <w:rsid w:val="0079781A"/>
    <w:rsid w:val="007A1546"/>
    <w:rsid w:val="007A228C"/>
    <w:rsid w:val="007A368E"/>
    <w:rsid w:val="007A5868"/>
    <w:rsid w:val="007B04CE"/>
    <w:rsid w:val="007B2497"/>
    <w:rsid w:val="007B27EA"/>
    <w:rsid w:val="007B6057"/>
    <w:rsid w:val="007B6871"/>
    <w:rsid w:val="007B7A2F"/>
    <w:rsid w:val="007C2B69"/>
    <w:rsid w:val="007C32EE"/>
    <w:rsid w:val="007C3D33"/>
    <w:rsid w:val="007D1DB6"/>
    <w:rsid w:val="007D294A"/>
    <w:rsid w:val="007D47D2"/>
    <w:rsid w:val="007D6EC0"/>
    <w:rsid w:val="007D7E1D"/>
    <w:rsid w:val="007E17E0"/>
    <w:rsid w:val="007E503C"/>
    <w:rsid w:val="007F0F0E"/>
    <w:rsid w:val="0080345C"/>
    <w:rsid w:val="00803584"/>
    <w:rsid w:val="00807FC8"/>
    <w:rsid w:val="00813383"/>
    <w:rsid w:val="0082522F"/>
    <w:rsid w:val="0082796D"/>
    <w:rsid w:val="00831621"/>
    <w:rsid w:val="00831979"/>
    <w:rsid w:val="00851352"/>
    <w:rsid w:val="0085608A"/>
    <w:rsid w:val="00857077"/>
    <w:rsid w:val="008613DA"/>
    <w:rsid w:val="00863230"/>
    <w:rsid w:val="00865BD0"/>
    <w:rsid w:val="008717D8"/>
    <w:rsid w:val="0087215C"/>
    <w:rsid w:val="008725B8"/>
    <w:rsid w:val="00875D25"/>
    <w:rsid w:val="008767AC"/>
    <w:rsid w:val="00880E35"/>
    <w:rsid w:val="008834DD"/>
    <w:rsid w:val="0088424E"/>
    <w:rsid w:val="00884CC8"/>
    <w:rsid w:val="008875FE"/>
    <w:rsid w:val="00887F8E"/>
    <w:rsid w:val="0089197A"/>
    <w:rsid w:val="00896234"/>
    <w:rsid w:val="00897C08"/>
    <w:rsid w:val="00897E43"/>
    <w:rsid w:val="008A290B"/>
    <w:rsid w:val="008C222B"/>
    <w:rsid w:val="008C5738"/>
    <w:rsid w:val="008C7CD3"/>
    <w:rsid w:val="008C7EAD"/>
    <w:rsid w:val="008D0CFE"/>
    <w:rsid w:val="008D6152"/>
    <w:rsid w:val="008D6CF8"/>
    <w:rsid w:val="008E4905"/>
    <w:rsid w:val="008E7BA9"/>
    <w:rsid w:val="008F0577"/>
    <w:rsid w:val="008F0F81"/>
    <w:rsid w:val="008F27BF"/>
    <w:rsid w:val="008F2A5E"/>
    <w:rsid w:val="008F2E64"/>
    <w:rsid w:val="00900965"/>
    <w:rsid w:val="009026AF"/>
    <w:rsid w:val="0091395B"/>
    <w:rsid w:val="009142EC"/>
    <w:rsid w:val="009145E4"/>
    <w:rsid w:val="009154C3"/>
    <w:rsid w:val="009155D9"/>
    <w:rsid w:val="00923540"/>
    <w:rsid w:val="00926767"/>
    <w:rsid w:val="00927943"/>
    <w:rsid w:val="009322A0"/>
    <w:rsid w:val="00932824"/>
    <w:rsid w:val="00933F23"/>
    <w:rsid w:val="009361D5"/>
    <w:rsid w:val="009428A4"/>
    <w:rsid w:val="00951F78"/>
    <w:rsid w:val="009557C3"/>
    <w:rsid w:val="009611EC"/>
    <w:rsid w:val="00961934"/>
    <w:rsid w:val="009632D0"/>
    <w:rsid w:val="00964EFD"/>
    <w:rsid w:val="0096561E"/>
    <w:rsid w:val="009659F4"/>
    <w:rsid w:val="00970345"/>
    <w:rsid w:val="00970D60"/>
    <w:rsid w:val="00971BAC"/>
    <w:rsid w:val="00974A30"/>
    <w:rsid w:val="00977785"/>
    <w:rsid w:val="009874D0"/>
    <w:rsid w:val="00991EA8"/>
    <w:rsid w:val="0099390E"/>
    <w:rsid w:val="009960E5"/>
    <w:rsid w:val="009A1471"/>
    <w:rsid w:val="009A4514"/>
    <w:rsid w:val="009A7ADC"/>
    <w:rsid w:val="009B0D30"/>
    <w:rsid w:val="009C19B7"/>
    <w:rsid w:val="009C4C3A"/>
    <w:rsid w:val="009C5ABB"/>
    <w:rsid w:val="009D7C51"/>
    <w:rsid w:val="009E196C"/>
    <w:rsid w:val="009E2EB0"/>
    <w:rsid w:val="009E6A0A"/>
    <w:rsid w:val="009F36BF"/>
    <w:rsid w:val="009F5D50"/>
    <w:rsid w:val="00A10632"/>
    <w:rsid w:val="00A111B6"/>
    <w:rsid w:val="00A149D5"/>
    <w:rsid w:val="00A16D70"/>
    <w:rsid w:val="00A236E2"/>
    <w:rsid w:val="00A26D27"/>
    <w:rsid w:val="00A310E6"/>
    <w:rsid w:val="00A316D1"/>
    <w:rsid w:val="00A330AC"/>
    <w:rsid w:val="00A34584"/>
    <w:rsid w:val="00A376EE"/>
    <w:rsid w:val="00A42A99"/>
    <w:rsid w:val="00A5151A"/>
    <w:rsid w:val="00A56573"/>
    <w:rsid w:val="00A57E0A"/>
    <w:rsid w:val="00A7026E"/>
    <w:rsid w:val="00A75C1A"/>
    <w:rsid w:val="00A75D15"/>
    <w:rsid w:val="00A77919"/>
    <w:rsid w:val="00A823F6"/>
    <w:rsid w:val="00A86FCC"/>
    <w:rsid w:val="00A8719E"/>
    <w:rsid w:val="00A90687"/>
    <w:rsid w:val="00AA0A89"/>
    <w:rsid w:val="00AA1049"/>
    <w:rsid w:val="00AA5368"/>
    <w:rsid w:val="00AA6429"/>
    <w:rsid w:val="00AA659E"/>
    <w:rsid w:val="00AB6FFB"/>
    <w:rsid w:val="00AB7392"/>
    <w:rsid w:val="00AC01AA"/>
    <w:rsid w:val="00AC3EE9"/>
    <w:rsid w:val="00AC4F72"/>
    <w:rsid w:val="00AC5041"/>
    <w:rsid w:val="00AE0CC7"/>
    <w:rsid w:val="00AE482E"/>
    <w:rsid w:val="00AE54AF"/>
    <w:rsid w:val="00AF08E8"/>
    <w:rsid w:val="00AF15B0"/>
    <w:rsid w:val="00AF1B39"/>
    <w:rsid w:val="00AF6450"/>
    <w:rsid w:val="00AF741A"/>
    <w:rsid w:val="00B00E23"/>
    <w:rsid w:val="00B01ADB"/>
    <w:rsid w:val="00B04161"/>
    <w:rsid w:val="00B056F9"/>
    <w:rsid w:val="00B11E3D"/>
    <w:rsid w:val="00B1463C"/>
    <w:rsid w:val="00B14BFA"/>
    <w:rsid w:val="00B14D2C"/>
    <w:rsid w:val="00B16BCC"/>
    <w:rsid w:val="00B17E82"/>
    <w:rsid w:val="00B32016"/>
    <w:rsid w:val="00B35FCB"/>
    <w:rsid w:val="00B369AF"/>
    <w:rsid w:val="00B407A0"/>
    <w:rsid w:val="00B43213"/>
    <w:rsid w:val="00B4575A"/>
    <w:rsid w:val="00B512AA"/>
    <w:rsid w:val="00B51D38"/>
    <w:rsid w:val="00B55878"/>
    <w:rsid w:val="00B57577"/>
    <w:rsid w:val="00B575BA"/>
    <w:rsid w:val="00B65051"/>
    <w:rsid w:val="00B71608"/>
    <w:rsid w:val="00B73D3E"/>
    <w:rsid w:val="00B76429"/>
    <w:rsid w:val="00B7703A"/>
    <w:rsid w:val="00B81429"/>
    <w:rsid w:val="00B86471"/>
    <w:rsid w:val="00B956D4"/>
    <w:rsid w:val="00B97446"/>
    <w:rsid w:val="00BA7432"/>
    <w:rsid w:val="00BB143A"/>
    <w:rsid w:val="00BB2764"/>
    <w:rsid w:val="00BC1AA0"/>
    <w:rsid w:val="00BC2495"/>
    <w:rsid w:val="00BC314A"/>
    <w:rsid w:val="00BC7EB9"/>
    <w:rsid w:val="00BD0C8C"/>
    <w:rsid w:val="00BD2643"/>
    <w:rsid w:val="00BD56B1"/>
    <w:rsid w:val="00BD6558"/>
    <w:rsid w:val="00BE2F87"/>
    <w:rsid w:val="00BF06D3"/>
    <w:rsid w:val="00BF2AD7"/>
    <w:rsid w:val="00BF2F76"/>
    <w:rsid w:val="00BF3022"/>
    <w:rsid w:val="00BF3214"/>
    <w:rsid w:val="00BF5115"/>
    <w:rsid w:val="00BF5573"/>
    <w:rsid w:val="00BF5E19"/>
    <w:rsid w:val="00C05CED"/>
    <w:rsid w:val="00C07F64"/>
    <w:rsid w:val="00C10498"/>
    <w:rsid w:val="00C122F0"/>
    <w:rsid w:val="00C1284F"/>
    <w:rsid w:val="00C15867"/>
    <w:rsid w:val="00C22398"/>
    <w:rsid w:val="00C2296D"/>
    <w:rsid w:val="00C23155"/>
    <w:rsid w:val="00C247A5"/>
    <w:rsid w:val="00C26B2E"/>
    <w:rsid w:val="00C3015E"/>
    <w:rsid w:val="00C34BA8"/>
    <w:rsid w:val="00C35127"/>
    <w:rsid w:val="00C40552"/>
    <w:rsid w:val="00C40C41"/>
    <w:rsid w:val="00C45219"/>
    <w:rsid w:val="00C45885"/>
    <w:rsid w:val="00C50F22"/>
    <w:rsid w:val="00C53C66"/>
    <w:rsid w:val="00C57971"/>
    <w:rsid w:val="00C57F41"/>
    <w:rsid w:val="00C65BD7"/>
    <w:rsid w:val="00C7050E"/>
    <w:rsid w:val="00C74282"/>
    <w:rsid w:val="00C76BA4"/>
    <w:rsid w:val="00C77EDE"/>
    <w:rsid w:val="00C80652"/>
    <w:rsid w:val="00C82968"/>
    <w:rsid w:val="00C83A48"/>
    <w:rsid w:val="00C85865"/>
    <w:rsid w:val="00C85E85"/>
    <w:rsid w:val="00C87576"/>
    <w:rsid w:val="00C926C8"/>
    <w:rsid w:val="00C93DD2"/>
    <w:rsid w:val="00C94F2C"/>
    <w:rsid w:val="00CA2EAE"/>
    <w:rsid w:val="00CA4AC1"/>
    <w:rsid w:val="00CA4ED2"/>
    <w:rsid w:val="00CA59FB"/>
    <w:rsid w:val="00CB0316"/>
    <w:rsid w:val="00CB0B11"/>
    <w:rsid w:val="00CB0F59"/>
    <w:rsid w:val="00CB1DBA"/>
    <w:rsid w:val="00CB2A72"/>
    <w:rsid w:val="00CB426A"/>
    <w:rsid w:val="00CB5354"/>
    <w:rsid w:val="00CC16F9"/>
    <w:rsid w:val="00CC2461"/>
    <w:rsid w:val="00CC2897"/>
    <w:rsid w:val="00CC3C9E"/>
    <w:rsid w:val="00CC6A14"/>
    <w:rsid w:val="00CC70A3"/>
    <w:rsid w:val="00CC719B"/>
    <w:rsid w:val="00CD4442"/>
    <w:rsid w:val="00CD53C3"/>
    <w:rsid w:val="00CD574E"/>
    <w:rsid w:val="00CE4C22"/>
    <w:rsid w:val="00CE76E5"/>
    <w:rsid w:val="00CE7B9D"/>
    <w:rsid w:val="00CF359E"/>
    <w:rsid w:val="00CF41EC"/>
    <w:rsid w:val="00CF5AC8"/>
    <w:rsid w:val="00CF5D04"/>
    <w:rsid w:val="00CF7980"/>
    <w:rsid w:val="00CF7F76"/>
    <w:rsid w:val="00D02EE8"/>
    <w:rsid w:val="00D04D84"/>
    <w:rsid w:val="00D04DE4"/>
    <w:rsid w:val="00D063AA"/>
    <w:rsid w:val="00D063F1"/>
    <w:rsid w:val="00D11735"/>
    <w:rsid w:val="00D11ADC"/>
    <w:rsid w:val="00D14F22"/>
    <w:rsid w:val="00D26148"/>
    <w:rsid w:val="00D2659D"/>
    <w:rsid w:val="00D26D39"/>
    <w:rsid w:val="00D26D68"/>
    <w:rsid w:val="00D3103B"/>
    <w:rsid w:val="00D31ED6"/>
    <w:rsid w:val="00D37FBF"/>
    <w:rsid w:val="00D417BD"/>
    <w:rsid w:val="00D4741C"/>
    <w:rsid w:val="00D57918"/>
    <w:rsid w:val="00D63A83"/>
    <w:rsid w:val="00D72419"/>
    <w:rsid w:val="00D72EC4"/>
    <w:rsid w:val="00D73DC6"/>
    <w:rsid w:val="00D74C1A"/>
    <w:rsid w:val="00D754C1"/>
    <w:rsid w:val="00D760D7"/>
    <w:rsid w:val="00D77393"/>
    <w:rsid w:val="00D77A35"/>
    <w:rsid w:val="00D814C0"/>
    <w:rsid w:val="00D81B3E"/>
    <w:rsid w:val="00D84B1A"/>
    <w:rsid w:val="00D90C70"/>
    <w:rsid w:val="00D90E49"/>
    <w:rsid w:val="00D9156D"/>
    <w:rsid w:val="00D94ECB"/>
    <w:rsid w:val="00D96ADE"/>
    <w:rsid w:val="00DA0CE2"/>
    <w:rsid w:val="00DA2387"/>
    <w:rsid w:val="00DA48AB"/>
    <w:rsid w:val="00DB1C2F"/>
    <w:rsid w:val="00DB68F1"/>
    <w:rsid w:val="00DC00A9"/>
    <w:rsid w:val="00DC6A10"/>
    <w:rsid w:val="00DD10EE"/>
    <w:rsid w:val="00DD2D9F"/>
    <w:rsid w:val="00DD3D0F"/>
    <w:rsid w:val="00DE0CE7"/>
    <w:rsid w:val="00DE518A"/>
    <w:rsid w:val="00DE657E"/>
    <w:rsid w:val="00DF2412"/>
    <w:rsid w:val="00DF2864"/>
    <w:rsid w:val="00DF4704"/>
    <w:rsid w:val="00E024AA"/>
    <w:rsid w:val="00E10AFF"/>
    <w:rsid w:val="00E130BB"/>
    <w:rsid w:val="00E144A8"/>
    <w:rsid w:val="00E15BDA"/>
    <w:rsid w:val="00E15C77"/>
    <w:rsid w:val="00E1693E"/>
    <w:rsid w:val="00E250F1"/>
    <w:rsid w:val="00E33B3D"/>
    <w:rsid w:val="00E3550D"/>
    <w:rsid w:val="00E363F5"/>
    <w:rsid w:val="00E41ADE"/>
    <w:rsid w:val="00E52838"/>
    <w:rsid w:val="00E5559C"/>
    <w:rsid w:val="00E57C63"/>
    <w:rsid w:val="00E60F89"/>
    <w:rsid w:val="00E614E0"/>
    <w:rsid w:val="00E62A0B"/>
    <w:rsid w:val="00E65BD5"/>
    <w:rsid w:val="00E6604D"/>
    <w:rsid w:val="00E72E4F"/>
    <w:rsid w:val="00E7315E"/>
    <w:rsid w:val="00E73206"/>
    <w:rsid w:val="00E73F7F"/>
    <w:rsid w:val="00E753E8"/>
    <w:rsid w:val="00E85409"/>
    <w:rsid w:val="00E9339B"/>
    <w:rsid w:val="00EA429F"/>
    <w:rsid w:val="00EA4F9E"/>
    <w:rsid w:val="00EA5567"/>
    <w:rsid w:val="00EA63CA"/>
    <w:rsid w:val="00EA6D3B"/>
    <w:rsid w:val="00EB00AD"/>
    <w:rsid w:val="00EB136C"/>
    <w:rsid w:val="00EB480E"/>
    <w:rsid w:val="00EB5EC6"/>
    <w:rsid w:val="00EB7FC9"/>
    <w:rsid w:val="00EC1B84"/>
    <w:rsid w:val="00EC7D48"/>
    <w:rsid w:val="00ED1A77"/>
    <w:rsid w:val="00ED27E8"/>
    <w:rsid w:val="00ED3C5C"/>
    <w:rsid w:val="00ED7137"/>
    <w:rsid w:val="00EE0EF7"/>
    <w:rsid w:val="00EE2FA2"/>
    <w:rsid w:val="00EF06EA"/>
    <w:rsid w:val="00EF2277"/>
    <w:rsid w:val="00EF2D24"/>
    <w:rsid w:val="00EF47E2"/>
    <w:rsid w:val="00F01823"/>
    <w:rsid w:val="00F07604"/>
    <w:rsid w:val="00F10452"/>
    <w:rsid w:val="00F1674E"/>
    <w:rsid w:val="00F21088"/>
    <w:rsid w:val="00F326BF"/>
    <w:rsid w:val="00F327E7"/>
    <w:rsid w:val="00F35746"/>
    <w:rsid w:val="00F447C7"/>
    <w:rsid w:val="00F459B4"/>
    <w:rsid w:val="00F5211B"/>
    <w:rsid w:val="00F554A9"/>
    <w:rsid w:val="00F56911"/>
    <w:rsid w:val="00F6053B"/>
    <w:rsid w:val="00F63309"/>
    <w:rsid w:val="00F65B93"/>
    <w:rsid w:val="00F71363"/>
    <w:rsid w:val="00F716FD"/>
    <w:rsid w:val="00F80355"/>
    <w:rsid w:val="00F834D4"/>
    <w:rsid w:val="00F84E3C"/>
    <w:rsid w:val="00F87C43"/>
    <w:rsid w:val="00F978F1"/>
    <w:rsid w:val="00FA49AE"/>
    <w:rsid w:val="00FA50C8"/>
    <w:rsid w:val="00FA5722"/>
    <w:rsid w:val="00FB0C81"/>
    <w:rsid w:val="00FB4890"/>
    <w:rsid w:val="00FB5864"/>
    <w:rsid w:val="00FC2200"/>
    <w:rsid w:val="00FC2540"/>
    <w:rsid w:val="00FD289D"/>
    <w:rsid w:val="00FD7ED4"/>
    <w:rsid w:val="00FE3A27"/>
    <w:rsid w:val="00FF0204"/>
    <w:rsid w:val="00FF3AED"/>
    <w:rsid w:val="00FF637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D26D71"/>
  <w15:docId w15:val="{9A832346-572E-4ADE-A102-1DC6CAEF0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2E01C7"/>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pPr>
  </w:style>
  <w:style w:type="paragraph" w:styleId="ListParagraph">
    <w:name w:val="List Paragraph"/>
    <w:aliases w:val="TIT 2 IND,Dot pt,No Spacing1,List Paragraph Char Char Char,Indicator Text,Numbered Para 1,Bullet 1,F5 List Paragraph,Bullet Points,List Paragraph1,Lista vistosa - Énfasis 11,Paragraph,Bullets,Unordered List,List Paragraph 2"/>
    <w:basedOn w:val="Normal"/>
    <w:link w:val="ListParagraphChar"/>
    <w:uiPriority w:val="34"/>
    <w:qFormat/>
    <w:rsid w:val="00511246"/>
    <w:pPr>
      <w:ind w:left="720"/>
      <w:contextualSpacing/>
    </w:pPr>
    <w:rPr>
      <w:lang w:val="en-GB"/>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99"/>
    <w:qFormat/>
    <w:locked/>
    <w:rsid w:val="00511246"/>
    <w:rPr>
      <w:sz w:val="22"/>
      <w:szCs w:val="22"/>
      <w:lang w:val="en-GB"/>
    </w:rPr>
  </w:style>
  <w:style w:type="paragraph" w:customStyle="1" w:styleId="newheader40">
    <w:name w:val="new header4"/>
    <w:basedOn w:val="Heading4"/>
    <w:next w:val="Normal"/>
    <w:qFormat/>
    <w:rsid w:val="00C74282"/>
  </w:style>
  <w:style w:type="paragraph" w:styleId="Quote">
    <w:name w:val="Quote"/>
    <w:basedOn w:val="Normal"/>
    <w:next w:val="Normal"/>
    <w:link w:val="QuoteChar"/>
    <w:uiPriority w:val="29"/>
    <w:qFormat/>
    <w:rsid w:val="00C7428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74282"/>
    <w:rPr>
      <w:i/>
      <w:iCs/>
      <w:color w:val="404040" w:themeColor="text1" w:themeTint="BF"/>
      <w:sz w:val="22"/>
      <w:szCs w:val="22"/>
      <w:lang w:val="en-CA"/>
    </w:rPr>
  </w:style>
  <w:style w:type="character" w:styleId="IntenseEmphasis">
    <w:name w:val="Intense Emphasis"/>
    <w:basedOn w:val="DefaultParagraphFont"/>
    <w:uiPriority w:val="21"/>
    <w:qFormat/>
    <w:rsid w:val="00C74282"/>
    <w:rPr>
      <w:i/>
      <w:iCs/>
      <w:color w:val="365F91" w:themeColor="accent1" w:themeShade="BF"/>
    </w:rPr>
  </w:style>
  <w:style w:type="paragraph" w:styleId="IntenseQuote">
    <w:name w:val="Intense Quote"/>
    <w:basedOn w:val="Normal"/>
    <w:next w:val="Normal"/>
    <w:link w:val="IntenseQuoteChar"/>
    <w:uiPriority w:val="30"/>
    <w:qFormat/>
    <w:rsid w:val="00C7428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C74282"/>
    <w:rPr>
      <w:i/>
      <w:iCs/>
      <w:color w:val="365F91" w:themeColor="accent1" w:themeShade="BF"/>
      <w:sz w:val="22"/>
      <w:szCs w:val="22"/>
      <w:lang w:val="en-CA"/>
    </w:rPr>
  </w:style>
  <w:style w:type="character" w:styleId="IntenseReference">
    <w:name w:val="Intense Reference"/>
    <w:basedOn w:val="DefaultParagraphFont"/>
    <w:uiPriority w:val="32"/>
    <w:qFormat/>
    <w:rsid w:val="00C74282"/>
    <w:rPr>
      <w:b/>
      <w:bCs/>
      <w:smallCaps/>
      <w:color w:val="365F91" w:themeColor="accent1" w:themeShade="BF"/>
      <w:spacing w:val="5"/>
    </w:rPr>
  </w:style>
  <w:style w:type="paragraph" w:customStyle="1" w:styleId="Default">
    <w:name w:val="Default"/>
    <w:rsid w:val="00C74282"/>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C74282"/>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74282"/>
    <w:rPr>
      <w:sz w:val="22"/>
      <w:szCs w:val="22"/>
      <w:lang w:val="en-GB"/>
    </w:rPr>
  </w:style>
  <w:style w:type="paragraph" w:styleId="NormalWeb">
    <w:name w:val="Normal (Web)"/>
    <w:basedOn w:val="Normal"/>
    <w:uiPriority w:val="99"/>
    <w:unhideWhenUsed/>
    <w:rsid w:val="00C74282"/>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C74282"/>
    <w:rPr>
      <w:sz w:val="20"/>
      <w:szCs w:val="20"/>
      <w:lang w:val="en-GB"/>
    </w:rPr>
  </w:style>
  <w:style w:type="character" w:customStyle="1" w:styleId="EndnoteTextChar">
    <w:name w:val="Endnote Text Char"/>
    <w:basedOn w:val="DefaultParagraphFont"/>
    <w:link w:val="EndnoteText"/>
    <w:uiPriority w:val="99"/>
    <w:semiHidden/>
    <w:rsid w:val="00C74282"/>
    <w:rPr>
      <w:lang w:val="en-GB"/>
    </w:rPr>
  </w:style>
  <w:style w:type="character" w:styleId="EndnoteReference">
    <w:name w:val="endnote reference"/>
    <w:basedOn w:val="DefaultParagraphFont"/>
    <w:uiPriority w:val="99"/>
    <w:semiHidden/>
    <w:unhideWhenUsed/>
    <w:rsid w:val="00C74282"/>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74282"/>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C74282"/>
    <w:pPr>
      <w:spacing w:after="160" w:line="240" w:lineRule="exact"/>
    </w:pPr>
    <w:rPr>
      <w:sz w:val="20"/>
      <w:szCs w:val="20"/>
      <w:vertAlign w:val="superscript"/>
      <w:lang w:val="en-US"/>
    </w:rPr>
  </w:style>
  <w:style w:type="paragraph" w:styleId="BodyText">
    <w:name w:val="Body Text"/>
    <w:basedOn w:val="Normal"/>
    <w:link w:val="BodyTextChar"/>
    <w:qFormat/>
    <w:rsid w:val="00C74282"/>
    <w:pPr>
      <w:autoSpaceDE w:val="0"/>
      <w:autoSpaceDN w:val="0"/>
      <w:adjustRightInd w:val="0"/>
      <w:spacing w:before="100" w:beforeAutospacing="1" w:after="100" w:afterAutospacing="1"/>
    </w:pPr>
    <w:rPr>
      <w:sz w:val="24"/>
      <w:lang w:val="en-US" w:eastAsia="ja-JP"/>
    </w:rPr>
  </w:style>
  <w:style w:type="character" w:customStyle="1" w:styleId="BodyTextChar">
    <w:name w:val="Body Text Char"/>
    <w:basedOn w:val="DefaultParagraphFont"/>
    <w:link w:val="BodyText"/>
    <w:rsid w:val="00C74282"/>
    <w:rPr>
      <w:sz w:val="24"/>
      <w:szCs w:val="22"/>
      <w:lang w:eastAsia="ja-JP"/>
    </w:rPr>
  </w:style>
  <w:style w:type="table" w:styleId="GridTable4-Accent1">
    <w:name w:val="Grid Table 4 Accent 1"/>
    <w:basedOn w:val="TableNormal"/>
    <w:uiPriority w:val="49"/>
    <w:rsid w:val="00C74282"/>
    <w:rPr>
      <w:rFonts w:asciiTheme="minorHAnsi" w:eastAsiaTheme="minorHAnsi" w:hAnsiTheme="minorHAnsi" w:cstheme="minorBidi"/>
      <w:sz w:val="24"/>
      <w:szCs w:val="24"/>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ableofFigures">
    <w:name w:val="table of figures"/>
    <w:aliases w:val="Tables"/>
    <w:basedOn w:val="Normal"/>
    <w:next w:val="Normal"/>
    <w:autoRedefine/>
    <w:uiPriority w:val="99"/>
    <w:unhideWhenUsed/>
    <w:qFormat/>
    <w:rsid w:val="00C74282"/>
    <w:pPr>
      <w:keepNext/>
      <w:keepLines/>
      <w:numPr>
        <w:numId w:val="27"/>
      </w:numPr>
      <w:spacing w:before="240" w:after="120"/>
      <w:ind w:left="734" w:hanging="734"/>
      <w:jc w:val="left"/>
      <w:outlineLvl w:val="0"/>
    </w:pPr>
    <w:rPr>
      <w:rFonts w:eastAsiaTheme="minorHAnsi"/>
      <w:b/>
      <w:bCs/>
      <w:smallCaps/>
      <w:color w:val="000000"/>
      <w:szCs w:val="23"/>
      <w:lang w:val="en-US" w:eastAsia="en-CA"/>
    </w:rPr>
  </w:style>
  <w:style w:type="numbering" w:customStyle="1" w:styleId="Tabletitle">
    <w:name w:val="Table title"/>
    <w:basedOn w:val="NoList"/>
    <w:rsid w:val="00C74282"/>
    <w:pPr>
      <w:numPr>
        <w:numId w:val="26"/>
      </w:numPr>
    </w:pPr>
  </w:style>
  <w:style w:type="table" w:customStyle="1" w:styleId="GridTable4-Accent111">
    <w:name w:val="Grid Table 4 - Accent 111"/>
    <w:basedOn w:val="TableNormal"/>
    <w:uiPriority w:val="49"/>
    <w:rsid w:val="00C74282"/>
    <w:rPr>
      <w:rFonts w:asciiTheme="minorHAnsi" w:eastAsiaTheme="minorHAnsi" w:hAnsiTheme="minorHAnsi" w:cstheme="minorBidi"/>
      <w:sz w:val="24"/>
      <w:szCs w:val="24"/>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
    <w:name w:val="Grid Table 4 - Accent 11"/>
    <w:basedOn w:val="TableNormal"/>
    <w:uiPriority w:val="49"/>
    <w:rsid w:val="00C74282"/>
    <w:rPr>
      <w:rFonts w:asciiTheme="minorHAnsi" w:eastAsiaTheme="minorHAnsi" w:hAnsiTheme="minorHAnsi" w:cstheme="minorBidi"/>
      <w:sz w:val="24"/>
      <w:szCs w:val="24"/>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yle1">
    <w:name w:val="Style1"/>
    <w:basedOn w:val="DefaultParagraphFont"/>
    <w:uiPriority w:val="1"/>
    <w:rsid w:val="00C74282"/>
    <w:rPr>
      <w:rFonts w:ascii="Times New Roman" w:hAnsi="Times New Roman"/>
      <w:sz w:val="20"/>
    </w:rPr>
  </w:style>
  <w:style w:type="table" w:customStyle="1" w:styleId="1">
    <w:name w:val="学术论文的三线表1"/>
    <w:basedOn w:val="TableNormal"/>
    <w:next w:val="TableGrid"/>
    <w:qFormat/>
    <w:rsid w:val="00C74282"/>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C74282"/>
  </w:style>
  <w:style w:type="character" w:customStyle="1" w:styleId="highlight">
    <w:name w:val="highlight"/>
    <w:basedOn w:val="DefaultParagraphFont"/>
    <w:rsid w:val="00C74282"/>
  </w:style>
  <w:style w:type="paragraph" w:styleId="Caption">
    <w:name w:val="caption"/>
    <w:basedOn w:val="Normal"/>
    <w:next w:val="Normal"/>
    <w:uiPriority w:val="35"/>
    <w:unhideWhenUsed/>
    <w:qFormat/>
    <w:rsid w:val="00C74282"/>
    <w:pPr>
      <w:spacing w:after="200"/>
      <w:jc w:val="center"/>
    </w:pPr>
    <w:rPr>
      <w:i/>
      <w:iCs/>
      <w:sz w:val="18"/>
      <w:szCs w:val="18"/>
      <w:lang w:val="en-GB"/>
    </w:rPr>
  </w:style>
  <w:style w:type="paragraph" w:customStyle="1" w:styleId="BVIfnrChar">
    <w:name w:val="BVI fnr Char"/>
    <w:aliases w:val="BVI fnr Car Car Char,BVI fnr Car Char,BVI fnr Car Car Car Car Char,4_G Char Char"/>
    <w:basedOn w:val="Normal"/>
    <w:uiPriority w:val="99"/>
    <w:rsid w:val="00C74282"/>
    <w:pPr>
      <w:spacing w:after="160" w:line="240" w:lineRule="exact"/>
      <w:jc w:val="left"/>
    </w:pPr>
    <w:rPr>
      <w:sz w:val="20"/>
      <w:szCs w:val="20"/>
      <w:vertAlign w:val="superscript"/>
      <w:lang w:val="en-US"/>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C74282"/>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C74282"/>
    <w:rPr>
      <w:sz w:val="22"/>
      <w:szCs w:val="22"/>
      <w:lang w:val="en-CA"/>
    </w:rPr>
  </w:style>
  <w:style w:type="character" w:customStyle="1" w:styleId="Heading5Char">
    <w:name w:val="Heading 5 Char"/>
    <w:basedOn w:val="DefaultParagraphFont"/>
    <w:link w:val="Heading5"/>
    <w:rsid w:val="00C74282"/>
    <w:rPr>
      <w:sz w:val="22"/>
      <w:szCs w:val="22"/>
      <w:lang w:val="en-CA"/>
    </w:rPr>
  </w:style>
  <w:style w:type="character" w:customStyle="1" w:styleId="Heading6Char">
    <w:name w:val="Heading 6 Char"/>
    <w:basedOn w:val="DefaultParagraphFont"/>
    <w:link w:val="Heading6"/>
    <w:rsid w:val="00C74282"/>
    <w:rPr>
      <w:rFonts w:ascii="Arial" w:hAnsi="Arial"/>
      <w:i/>
      <w:sz w:val="22"/>
      <w:szCs w:val="22"/>
      <w:lang w:val="en-CA"/>
    </w:rPr>
  </w:style>
  <w:style w:type="character" w:customStyle="1" w:styleId="Heading7Char">
    <w:name w:val="Heading 7 Char"/>
    <w:basedOn w:val="DefaultParagraphFont"/>
    <w:link w:val="Heading7"/>
    <w:rsid w:val="00C74282"/>
    <w:rPr>
      <w:rFonts w:ascii="Arial" w:hAnsi="Arial"/>
      <w:sz w:val="22"/>
      <w:szCs w:val="22"/>
      <w:lang w:val="en-CA"/>
    </w:rPr>
  </w:style>
  <w:style w:type="character" w:customStyle="1" w:styleId="Heading8Char">
    <w:name w:val="Heading 8 Char"/>
    <w:basedOn w:val="DefaultParagraphFont"/>
    <w:link w:val="Heading8"/>
    <w:rsid w:val="00C74282"/>
    <w:rPr>
      <w:b/>
      <w:sz w:val="22"/>
      <w:szCs w:val="22"/>
      <w:lang w:val="en-CA"/>
    </w:rPr>
  </w:style>
  <w:style w:type="character" w:customStyle="1" w:styleId="Heading9Char">
    <w:name w:val="Heading 9 Char"/>
    <w:basedOn w:val="DefaultParagraphFont"/>
    <w:link w:val="Heading9"/>
    <w:rsid w:val="00C74282"/>
    <w:rPr>
      <w:rFonts w:ascii="Arial" w:hAnsi="Arial"/>
      <w:i/>
      <w:sz w:val="18"/>
      <w:szCs w:val="22"/>
      <w:lang w:val="en-CA"/>
    </w:rPr>
  </w:style>
  <w:style w:type="numbering" w:customStyle="1" w:styleId="1111111">
    <w:name w:val="1 / 1.1 / 1.1.11"/>
    <w:basedOn w:val="NoList"/>
    <w:next w:val="111111"/>
    <w:semiHidden/>
    <w:rsid w:val="00C74282"/>
  </w:style>
  <w:style w:type="character" w:customStyle="1" w:styleId="HeaderChar">
    <w:name w:val="Header Char"/>
    <w:basedOn w:val="DefaultParagraphFont"/>
    <w:link w:val="Header"/>
    <w:rsid w:val="00C74282"/>
    <w:rPr>
      <w:sz w:val="22"/>
      <w:szCs w:val="22"/>
      <w:lang w:val="en-CA"/>
    </w:rPr>
  </w:style>
  <w:style w:type="character" w:customStyle="1" w:styleId="FooterChar">
    <w:name w:val="Footer Char"/>
    <w:basedOn w:val="DefaultParagraphFont"/>
    <w:link w:val="Footer"/>
    <w:uiPriority w:val="99"/>
    <w:rsid w:val="00C74282"/>
    <w:rPr>
      <w:sz w:val="22"/>
      <w:szCs w:val="22"/>
      <w:lang w:val="en-CA"/>
    </w:rPr>
  </w:style>
  <w:style w:type="numbering" w:customStyle="1" w:styleId="1ai1">
    <w:name w:val="1 / a / i1"/>
    <w:basedOn w:val="NoList"/>
    <w:next w:val="1ai"/>
    <w:semiHidden/>
    <w:rsid w:val="00C74282"/>
  </w:style>
  <w:style w:type="numbering" w:customStyle="1" w:styleId="ArticleSection1">
    <w:name w:val="Article / Section1"/>
    <w:basedOn w:val="NoList"/>
    <w:next w:val="ArticleSection"/>
    <w:semiHidden/>
    <w:rsid w:val="00C74282"/>
  </w:style>
  <w:style w:type="character" w:customStyle="1" w:styleId="BodyText3Char">
    <w:name w:val="Body Text 3 Char"/>
    <w:basedOn w:val="DefaultParagraphFont"/>
    <w:link w:val="BodyText3"/>
    <w:semiHidden/>
    <w:rsid w:val="00C74282"/>
    <w:rPr>
      <w:sz w:val="16"/>
      <w:szCs w:val="16"/>
      <w:lang w:val="en-CA"/>
    </w:rPr>
  </w:style>
  <w:style w:type="character" w:customStyle="1" w:styleId="BodyTextIndent3Char">
    <w:name w:val="Body Text Indent 3 Char"/>
    <w:basedOn w:val="DefaultParagraphFont"/>
    <w:link w:val="BodyTextIndent3"/>
    <w:semiHidden/>
    <w:rsid w:val="00C74282"/>
    <w:rPr>
      <w:sz w:val="16"/>
      <w:szCs w:val="16"/>
      <w:lang w:val="en-CA"/>
    </w:rPr>
  </w:style>
  <w:style w:type="character" w:customStyle="1" w:styleId="PlainTextChar">
    <w:name w:val="Plain Text Char"/>
    <w:basedOn w:val="DefaultParagraphFont"/>
    <w:link w:val="PlainText"/>
    <w:semiHidden/>
    <w:rsid w:val="00C74282"/>
    <w:rPr>
      <w:rFonts w:ascii="Courier New" w:hAnsi="Courier New" w:cs="Courier New"/>
      <w:szCs w:val="22"/>
      <w:lang w:val="en-CA"/>
    </w:rPr>
  </w:style>
  <w:style w:type="character" w:customStyle="1" w:styleId="SubtitleChar">
    <w:name w:val="Subtitle Char"/>
    <w:basedOn w:val="DefaultParagraphFont"/>
    <w:link w:val="Subtitle"/>
    <w:rsid w:val="00C74282"/>
    <w:rPr>
      <w:rFonts w:ascii="Arial" w:hAnsi="Arial" w:cs="Arial"/>
      <w:sz w:val="22"/>
      <w:szCs w:val="22"/>
      <w:lang w:val="en-CA"/>
    </w:rPr>
  </w:style>
  <w:style w:type="character" w:customStyle="1" w:styleId="TitleChar">
    <w:name w:val="Title Char"/>
    <w:basedOn w:val="DefaultParagraphFont"/>
    <w:link w:val="Title"/>
    <w:rsid w:val="00C74282"/>
    <w:rPr>
      <w:rFonts w:ascii="Arial" w:hAnsi="Arial" w:cs="Arial"/>
      <w:b/>
      <w:bCs/>
      <w:kern w:val="28"/>
      <w:sz w:val="22"/>
      <w:szCs w:val="22"/>
      <w:lang w:val="en-CA"/>
    </w:rPr>
  </w:style>
  <w:style w:type="character" w:customStyle="1" w:styleId="DateChar">
    <w:name w:val="Date Char"/>
    <w:basedOn w:val="DefaultParagraphFont"/>
    <w:link w:val="Date"/>
    <w:rsid w:val="00C74282"/>
    <w:rPr>
      <w:sz w:val="22"/>
      <w:szCs w:val="22"/>
      <w:lang w:val="en-CA"/>
    </w:rPr>
  </w:style>
  <w:style w:type="character" w:styleId="Strong">
    <w:name w:val="Strong"/>
    <w:basedOn w:val="DefaultParagraphFont"/>
    <w:uiPriority w:val="22"/>
    <w:qFormat/>
    <w:rsid w:val="00C74282"/>
    <w:rPr>
      <w:b/>
      <w:bCs/>
    </w:rPr>
  </w:style>
  <w:style w:type="paragraph" w:styleId="NoSpacing">
    <w:name w:val="No Spacing"/>
    <w:link w:val="NoSpacingChar"/>
    <w:uiPriority w:val="1"/>
    <w:qFormat/>
    <w:rsid w:val="00C74282"/>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C74282"/>
    <w:rPr>
      <w:rFonts w:asciiTheme="minorHAnsi" w:eastAsiaTheme="minorEastAsia" w:hAnsiTheme="minorHAnsi" w:cstheme="minorBidi"/>
      <w:sz w:val="22"/>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UNEP-UNMFS-Shared_drives%20-%20Documents\General\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807BB17F-0BB4-4463-A5A5-BAE7F4B7E4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17</TotalTime>
  <Pages>28</Pages>
  <Words>13495</Words>
  <Characters>72429</Characters>
  <Application>Microsoft Office Word</Application>
  <DocSecurity>0</DocSecurity>
  <Lines>1646</Lines>
  <Paragraphs>944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Propositions de projets : Argentine - Addendum</vt:lpstr>
      <vt:lpstr>Propositions de projets : Argentine - Addendum</vt:lpstr>
    </vt:vector>
  </TitlesOfParts>
  <Company>UNMFS</Company>
  <LinksUpToDate>false</LinksUpToDate>
  <CharactersWithSpaces>84980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projets : Argentine - Addendum</dc:title>
  <dc:subject/>
  <dc:creator>alejandro.ramirez-pabon@un.org;dominika.suwik1@un.org</dc:creator>
  <cp:keywords>97e Comité exécutif</cp:keywords>
  <dc:description>Addendum au document 9736 contenant la proposition de SIII du PGEH pour l'Argentine</dc:description>
  <cp:lastModifiedBy>Angela Xue He Yan</cp:lastModifiedBy>
  <cp:revision>13</cp:revision>
  <cp:lastPrinted>2001-05-26T19:40:00Z</cp:lastPrinted>
  <dcterms:created xsi:type="dcterms:W3CDTF">2025-11-19T22:10:00Z</dcterms:created>
  <dcterms:modified xsi:type="dcterms:W3CDTF">2025-11-23T15:33:00Z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UNEP/OzL.Pro/ExCom/97/36/Add.1</vt:lpwstr>
  </property>
  <property fmtid="{D5CDD505-2E9C-101B-9397-08002B2CF9AE}" pid="3" name="Revision date">
    <vt:lpwstr>18/11/2025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itle">
    <vt:lpwstr>Propositions de projets : Argentine - Addendum</vt:lpwstr>
  </property>
</Properties>
</file>