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7060E0">
        <w:trPr>
          <w:trHeight w:val="720"/>
        </w:trPr>
        <w:tc>
          <w:tcPr>
            <w:tcW w:w="6494" w:type="dxa"/>
            <w:gridSpan w:val="2"/>
            <w:tcBorders>
              <w:bottom w:val="single" w:sz="18" w:space="0" w:color="auto"/>
            </w:tcBorders>
          </w:tcPr>
          <w:p w:rsidR="0087455A" w:rsidRPr="007060E0" w:rsidRDefault="0024162E">
            <w:pPr>
              <w:rPr>
                <w:rFonts w:ascii="Univers" w:hAnsi="Univers"/>
                <w:b/>
                <w:sz w:val="28"/>
                <w:szCs w:val="28"/>
                <w:lang w:val="es-MX"/>
              </w:rPr>
            </w:pPr>
            <w:bookmarkStart w:id="0" w:name="_GoBack"/>
            <w:bookmarkEnd w:id="0"/>
            <w:r w:rsidRPr="007060E0">
              <w:rPr>
                <w:rFonts w:ascii="Univers" w:hAnsi="Univers"/>
                <w:b/>
                <w:sz w:val="28"/>
                <w:szCs w:val="28"/>
                <w:lang w:val="es-MX"/>
              </w:rPr>
              <w:t>NACIONES</w:t>
            </w:r>
          </w:p>
          <w:p w:rsidR="0087455A" w:rsidRPr="007060E0" w:rsidRDefault="0024162E">
            <w:pPr>
              <w:rPr>
                <w:rFonts w:ascii="Univers" w:hAnsi="Univers"/>
                <w:b/>
                <w:sz w:val="28"/>
                <w:szCs w:val="28"/>
                <w:lang w:val="es-MX"/>
              </w:rPr>
            </w:pPr>
            <w:r w:rsidRPr="007060E0">
              <w:rPr>
                <w:rFonts w:ascii="Univers" w:hAnsi="Univers"/>
                <w:b/>
                <w:sz w:val="28"/>
                <w:szCs w:val="28"/>
                <w:lang w:val="es-MX"/>
              </w:rPr>
              <w:t>UNIDAS</w:t>
            </w:r>
          </w:p>
        </w:tc>
        <w:tc>
          <w:tcPr>
            <w:tcW w:w="4590" w:type="dxa"/>
            <w:tcBorders>
              <w:bottom w:val="single" w:sz="18" w:space="0" w:color="auto"/>
            </w:tcBorders>
          </w:tcPr>
          <w:p w:rsidR="0087455A" w:rsidRPr="007060E0" w:rsidRDefault="0024162E">
            <w:pPr>
              <w:jc w:val="right"/>
              <w:rPr>
                <w:rFonts w:asciiTheme="minorBidi" w:hAnsiTheme="minorBidi" w:cstheme="minorBidi"/>
                <w:sz w:val="52"/>
                <w:szCs w:val="52"/>
                <w:lang w:val="es-MX"/>
              </w:rPr>
            </w:pPr>
            <w:r w:rsidRPr="007060E0">
              <w:rPr>
                <w:rFonts w:asciiTheme="minorBidi" w:hAnsiTheme="minorBidi" w:cstheme="minorBidi"/>
                <w:b/>
                <w:sz w:val="72"/>
                <w:lang w:val="es-MX"/>
              </w:rPr>
              <w:t>EP</w:t>
            </w:r>
          </w:p>
        </w:tc>
      </w:tr>
      <w:tr w:rsidR="0087455A" w:rsidRPr="007060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7060E0" w:rsidRDefault="0024162E">
            <w:pPr>
              <w:spacing w:before="120"/>
              <w:rPr>
                <w:lang w:val="es-MX"/>
              </w:rPr>
            </w:pPr>
            <w:r w:rsidRPr="007060E0">
              <w:rPr>
                <w:noProof/>
                <w:lang w:val="en-CA" w:eastAsia="en-CA"/>
              </w:rPr>
              <w:drawing>
                <wp:anchor distT="0" distB="0" distL="114300" distR="114300" simplePos="0" relativeHeight="251660288" behindDoc="0" locked="0" layoutInCell="1" allowOverlap="1">
                  <wp:simplePos x="0" y="0"/>
                  <wp:positionH relativeFrom="column">
                    <wp:posOffset>12438</wp:posOffset>
                  </wp:positionH>
                  <wp:positionV relativeFrom="paragraph">
                    <wp:posOffset>976256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060E0">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7060E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7060E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060E0">
              <w:rPr>
                <w:rFonts w:ascii="Univers" w:hAnsi="Univers"/>
                <w:b/>
                <w:sz w:val="32"/>
                <w:lang w:val="es-MX"/>
              </w:rPr>
              <w:t>Programa de las</w:t>
            </w:r>
          </w:p>
          <w:p w:rsidR="0087455A" w:rsidRPr="007060E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060E0">
              <w:rPr>
                <w:rFonts w:ascii="Univers" w:hAnsi="Univers"/>
                <w:b/>
                <w:sz w:val="32"/>
                <w:lang w:val="es-MX"/>
              </w:rPr>
              <w:t>Naciones Unidas</w:t>
            </w:r>
          </w:p>
          <w:p w:rsidR="0087455A" w:rsidRPr="007060E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060E0">
              <w:rPr>
                <w:rFonts w:ascii="Univers" w:hAnsi="Univers"/>
                <w:b/>
                <w:sz w:val="32"/>
                <w:lang w:val="es-MX"/>
              </w:rPr>
              <w:t>para el Medio Ambiente</w:t>
            </w:r>
          </w:p>
          <w:p w:rsidR="0087455A" w:rsidRPr="007060E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7060E0" w:rsidRDefault="0087455A">
            <w:pPr>
              <w:spacing w:before="720"/>
              <w:ind w:left="158"/>
              <w:rPr>
                <w:lang w:val="es-MX"/>
              </w:rPr>
            </w:pPr>
          </w:p>
        </w:tc>
        <w:tc>
          <w:tcPr>
            <w:tcW w:w="4590" w:type="dxa"/>
            <w:tcBorders>
              <w:top w:val="nil"/>
              <w:left w:val="nil"/>
              <w:bottom w:val="single" w:sz="36" w:space="0" w:color="auto"/>
              <w:right w:val="nil"/>
            </w:tcBorders>
          </w:tcPr>
          <w:p w:rsidR="0087455A" w:rsidRPr="007060E0" w:rsidRDefault="0087455A">
            <w:pPr>
              <w:rPr>
                <w:lang w:val="es-MX"/>
              </w:rPr>
            </w:pPr>
          </w:p>
          <w:p w:rsidR="0087455A" w:rsidRPr="007060E0" w:rsidRDefault="0024162E">
            <w:pPr>
              <w:rPr>
                <w:lang w:val="es-MX"/>
              </w:rPr>
            </w:pPr>
            <w:r w:rsidRPr="007060E0">
              <w:rPr>
                <w:lang w:val="es-MX"/>
              </w:rPr>
              <w:t>Distr.</w:t>
            </w:r>
          </w:p>
          <w:p w:rsidR="0087455A" w:rsidRPr="007060E0" w:rsidRDefault="0024162E">
            <w:pPr>
              <w:rPr>
                <w:lang w:val="es-MX"/>
              </w:rPr>
            </w:pPr>
            <w:r w:rsidRPr="007060E0">
              <w:rPr>
                <w:lang w:val="es-MX"/>
              </w:rPr>
              <w:t>GENERAL</w:t>
            </w:r>
          </w:p>
          <w:p w:rsidR="0087455A" w:rsidRPr="007060E0" w:rsidRDefault="0087455A">
            <w:pPr>
              <w:rPr>
                <w:lang w:val="es-MX"/>
              </w:rPr>
            </w:pPr>
          </w:p>
          <w:p w:rsidR="0087455A" w:rsidRPr="007060E0" w:rsidRDefault="0024162E" w:rsidP="00434AD1">
            <w:pPr>
              <w:rPr>
                <w:lang w:val="es-MX"/>
              </w:rPr>
            </w:pPr>
            <w:r w:rsidRPr="007060E0">
              <w:rPr>
                <w:lang w:val="es-MX"/>
              </w:rPr>
              <w:fldChar w:fldCharType="begin"/>
            </w:r>
            <w:r w:rsidRPr="007060E0">
              <w:rPr>
                <w:lang w:val="es-MX"/>
              </w:rPr>
              <w:instrText xml:space="preserve"> DOCPROPERTY "Document number"  \* MERGEFORMAT </w:instrText>
            </w:r>
            <w:r w:rsidRPr="007060E0">
              <w:rPr>
                <w:lang w:val="es-MX"/>
              </w:rPr>
              <w:fldChar w:fldCharType="separate"/>
            </w:r>
            <w:r w:rsidR="00434AD1">
              <w:rPr>
                <w:lang w:val="es-MX"/>
              </w:rPr>
              <w:t>UNEP/</w:t>
            </w:r>
            <w:proofErr w:type="spellStart"/>
            <w:r w:rsidR="00434AD1">
              <w:rPr>
                <w:lang w:val="es-MX"/>
              </w:rPr>
              <w:t>OzL.Pro</w:t>
            </w:r>
            <w:proofErr w:type="spellEnd"/>
            <w:r w:rsidR="00434AD1">
              <w:rPr>
                <w:lang w:val="es-MX"/>
              </w:rPr>
              <w:t>/</w:t>
            </w:r>
            <w:proofErr w:type="spellStart"/>
            <w:r w:rsidR="00434AD1">
              <w:rPr>
                <w:lang w:val="es-MX"/>
              </w:rPr>
              <w:t>ExCom</w:t>
            </w:r>
            <w:proofErr w:type="spellEnd"/>
            <w:r w:rsidR="00434AD1">
              <w:rPr>
                <w:lang w:val="es-MX"/>
              </w:rPr>
              <w:t>/84/5</w:t>
            </w:r>
            <w:r w:rsidRPr="007060E0">
              <w:rPr>
                <w:lang w:val="es-MX"/>
              </w:rPr>
              <w:fldChar w:fldCharType="end"/>
            </w:r>
          </w:p>
          <w:p w:rsidR="0087455A" w:rsidRPr="007060E0" w:rsidRDefault="007060E0" w:rsidP="00F10CD9">
            <w:pPr>
              <w:rPr>
                <w:caps/>
                <w:lang w:val="es-MX"/>
              </w:rPr>
            </w:pPr>
            <w:r w:rsidRPr="007060E0">
              <w:rPr>
                <w:caps/>
                <w:lang w:val="es-MX"/>
              </w:rPr>
              <w:t>19</w:t>
            </w:r>
            <w:r w:rsidR="00114CAA" w:rsidRPr="007060E0">
              <w:rPr>
                <w:caps/>
                <w:lang w:val="es-MX"/>
              </w:rPr>
              <w:t xml:space="preserve"> </w:t>
            </w:r>
            <w:r w:rsidR="00114CAA" w:rsidRPr="007060E0">
              <w:rPr>
                <w:lang w:val="es-MX"/>
              </w:rPr>
              <w:t xml:space="preserve">de </w:t>
            </w:r>
            <w:r w:rsidRPr="007060E0">
              <w:rPr>
                <w:lang w:val="es-MX"/>
              </w:rPr>
              <w:t xml:space="preserve">noviembre </w:t>
            </w:r>
            <w:r w:rsidR="00114CAA" w:rsidRPr="007060E0">
              <w:rPr>
                <w:lang w:val="es-MX"/>
              </w:rPr>
              <w:t xml:space="preserve">de </w:t>
            </w:r>
            <w:r w:rsidR="001C2D22" w:rsidRPr="007060E0">
              <w:rPr>
                <w:caps/>
                <w:lang w:val="es-MX"/>
              </w:rPr>
              <w:t>2019</w:t>
            </w:r>
          </w:p>
          <w:p w:rsidR="00114CAA" w:rsidRPr="007060E0" w:rsidRDefault="00114CAA">
            <w:pPr>
              <w:rPr>
                <w:caps/>
                <w:lang w:val="es-MX"/>
              </w:rPr>
            </w:pPr>
          </w:p>
          <w:p w:rsidR="0087455A" w:rsidRPr="007060E0" w:rsidRDefault="0024162E">
            <w:pPr>
              <w:rPr>
                <w:lang w:val="es-MX"/>
              </w:rPr>
            </w:pPr>
            <w:r w:rsidRPr="007060E0">
              <w:rPr>
                <w:lang w:val="es-MX"/>
              </w:rPr>
              <w:t xml:space="preserve">ESPAÑOL </w:t>
            </w:r>
          </w:p>
          <w:p w:rsidR="0087455A" w:rsidRPr="007060E0" w:rsidRDefault="0024162E">
            <w:pPr>
              <w:rPr>
                <w:lang w:val="es-MX"/>
              </w:rPr>
            </w:pPr>
            <w:r w:rsidRPr="007060E0">
              <w:rPr>
                <w:lang w:val="es-MX"/>
              </w:rPr>
              <w:t>ORIGINAL: INGLÉS</w:t>
            </w:r>
          </w:p>
        </w:tc>
      </w:tr>
    </w:tbl>
    <w:p w:rsidR="0087455A" w:rsidRPr="007060E0" w:rsidRDefault="0087455A">
      <w:pPr>
        <w:jc w:val="left"/>
        <w:rPr>
          <w:lang w:val="es-MX"/>
        </w:rPr>
      </w:pPr>
    </w:p>
    <w:p w:rsidR="0087455A" w:rsidRPr="007060E0" w:rsidRDefault="0024162E">
      <w:pPr>
        <w:jc w:val="left"/>
        <w:rPr>
          <w:lang w:val="es-MX"/>
        </w:rPr>
      </w:pPr>
      <w:r w:rsidRPr="007060E0">
        <w:rPr>
          <w:lang w:val="es-MX"/>
        </w:rPr>
        <w:t>COMITÉ EJECUTIVO DEL FONDO MULTILATERAL</w:t>
      </w:r>
      <w:r w:rsidRPr="007060E0">
        <w:rPr>
          <w:lang w:val="es-MX"/>
        </w:rPr>
        <w:br/>
        <w:t xml:space="preserve">  PARA LA APLICACIÓN DEL</w:t>
      </w:r>
      <w:r w:rsidRPr="007060E0">
        <w:rPr>
          <w:lang w:val="es-MX"/>
        </w:rPr>
        <w:br/>
        <w:t xml:space="preserve">  PROTOCOLO DE MONTREAL</w:t>
      </w:r>
    </w:p>
    <w:p w:rsidR="00106F6E" w:rsidRPr="007060E0" w:rsidRDefault="00106F6E" w:rsidP="001F4047">
      <w:pPr>
        <w:jc w:val="left"/>
        <w:rPr>
          <w:lang w:val="es-MX"/>
        </w:rPr>
      </w:pPr>
      <w:r w:rsidRPr="007060E0">
        <w:rPr>
          <w:lang w:val="es-MX"/>
        </w:rPr>
        <w:t xml:space="preserve">Octogésima </w:t>
      </w:r>
      <w:r w:rsidR="003863A4" w:rsidRPr="007060E0">
        <w:rPr>
          <w:lang w:val="es-MX"/>
        </w:rPr>
        <w:t>cuarta Reunión</w:t>
      </w:r>
      <w:r w:rsidR="003863A4" w:rsidRPr="007060E0">
        <w:rPr>
          <w:lang w:val="es-MX"/>
        </w:rPr>
        <w:br/>
        <w:t xml:space="preserve">Montreal, 16 </w:t>
      </w:r>
      <w:r w:rsidRPr="007060E0">
        <w:rPr>
          <w:lang w:val="es-MX"/>
        </w:rPr>
        <w:t xml:space="preserve">– </w:t>
      </w:r>
      <w:r w:rsidR="003863A4" w:rsidRPr="007060E0">
        <w:rPr>
          <w:lang w:val="es-MX"/>
        </w:rPr>
        <w:t>20</w:t>
      </w:r>
      <w:r w:rsidRPr="007060E0">
        <w:rPr>
          <w:lang w:val="es-MX"/>
        </w:rPr>
        <w:t xml:space="preserve"> de </w:t>
      </w:r>
      <w:r w:rsidR="001F4047" w:rsidRPr="007060E0">
        <w:rPr>
          <w:lang w:val="es-MX"/>
        </w:rPr>
        <w:t>diciembre</w:t>
      </w:r>
      <w:r w:rsidR="001C2D22" w:rsidRPr="007060E0">
        <w:rPr>
          <w:lang w:val="es-MX"/>
        </w:rPr>
        <w:t xml:space="preserve"> de 2019</w:t>
      </w:r>
    </w:p>
    <w:p w:rsidR="00106F6E" w:rsidRPr="007060E0" w:rsidRDefault="00106F6E" w:rsidP="00106F6E">
      <w:pPr>
        <w:jc w:val="left"/>
        <w:rPr>
          <w:lang w:val="es-MX"/>
        </w:rPr>
      </w:pPr>
    </w:p>
    <w:p w:rsidR="0087455A" w:rsidRPr="007060E0" w:rsidRDefault="0087455A">
      <w:pPr>
        <w:jc w:val="left"/>
        <w:rPr>
          <w:lang w:val="es-MX"/>
        </w:rPr>
      </w:pPr>
    </w:p>
    <w:p w:rsidR="0087455A" w:rsidRPr="007060E0" w:rsidRDefault="0087455A">
      <w:pPr>
        <w:pStyle w:val="Heading3"/>
        <w:numPr>
          <w:ilvl w:val="0"/>
          <w:numId w:val="0"/>
        </w:numPr>
        <w:spacing w:after="0"/>
        <w:rPr>
          <w:lang w:val="es-MX"/>
        </w:rPr>
      </w:pPr>
    </w:p>
    <w:p w:rsidR="007060E0" w:rsidRPr="007060E0" w:rsidRDefault="007060E0" w:rsidP="007060E0">
      <w:pPr>
        <w:tabs>
          <w:tab w:val="left" w:pos="720"/>
          <w:tab w:val="left" w:pos="1440"/>
          <w:tab w:val="left" w:pos="2160"/>
        </w:tabs>
        <w:autoSpaceDE w:val="0"/>
        <w:autoSpaceDN w:val="0"/>
        <w:adjustRightInd w:val="0"/>
        <w:jc w:val="center"/>
        <w:rPr>
          <w:b/>
          <w:caps/>
          <w:lang w:val="es-MX"/>
        </w:rPr>
      </w:pPr>
      <w:r w:rsidRPr="007060E0">
        <w:rPr>
          <w:b/>
          <w:caps/>
          <w:lang w:val="es-MX"/>
        </w:rPr>
        <w:t>Situación de las contribuciones adicionales al Fondo Multilateral y disponibilidad de recursos</w:t>
      </w:r>
      <w:r w:rsidRPr="007060E0">
        <w:rPr>
          <w:b/>
          <w:lang w:val="es-MX"/>
        </w:rPr>
        <w:t xml:space="preserve"> </w:t>
      </w:r>
      <w:r w:rsidRPr="007060E0">
        <w:rPr>
          <w:b/>
          <w:bCs/>
          <w:lang w:val="es-MX"/>
        </w:rPr>
        <w:t>(DECISIÓN 83/4(c))</w:t>
      </w:r>
    </w:p>
    <w:p w:rsidR="007060E0" w:rsidRPr="007060E0" w:rsidRDefault="007060E0" w:rsidP="007060E0">
      <w:pPr>
        <w:jc w:val="center"/>
        <w:rPr>
          <w:b/>
          <w:bCs/>
          <w:lang w:val="es-MX"/>
        </w:rPr>
      </w:pPr>
    </w:p>
    <w:p w:rsidR="007060E0" w:rsidRDefault="007060E0" w:rsidP="007060E0">
      <w:pPr>
        <w:jc w:val="center"/>
        <w:rPr>
          <w:b/>
          <w:bCs/>
          <w:lang w:val="es-MX"/>
        </w:rPr>
      </w:pPr>
      <w:r w:rsidRPr="007060E0">
        <w:rPr>
          <w:b/>
          <w:bCs/>
          <w:lang w:val="es-MX"/>
        </w:rPr>
        <w:t>Informe del tesorero</w:t>
      </w:r>
    </w:p>
    <w:p w:rsidR="00AD167B" w:rsidRPr="007060E0" w:rsidRDefault="00AD167B" w:rsidP="007060E0">
      <w:pPr>
        <w:jc w:val="center"/>
        <w:rPr>
          <w:b/>
          <w:bCs/>
          <w:lang w:val="es-MX"/>
        </w:rPr>
      </w:pPr>
    </w:p>
    <w:p w:rsidR="007060E0" w:rsidRPr="007060E0" w:rsidRDefault="007060E0" w:rsidP="007060E0">
      <w:pPr>
        <w:tabs>
          <w:tab w:val="left" w:pos="0"/>
        </w:tabs>
        <w:rPr>
          <w:lang w:val="es-MX"/>
        </w:rPr>
      </w:pPr>
    </w:p>
    <w:p w:rsidR="007060E0" w:rsidRPr="007060E0" w:rsidRDefault="007060E0" w:rsidP="007060E0">
      <w:pPr>
        <w:pStyle w:val="Heading1"/>
        <w:numPr>
          <w:ilvl w:val="0"/>
          <w:numId w:val="22"/>
        </w:numPr>
        <w:rPr>
          <w:lang w:val="es-MX"/>
        </w:rPr>
      </w:pPr>
      <w:r w:rsidRPr="007060E0">
        <w:rPr>
          <w:lang w:val="es-MX"/>
        </w:rPr>
        <w:t xml:space="preserve">En la reunión 77ª, el Comité Ejecutivo aceptó, con beneplácito, las contribuciones adicionales anunciadas por varias Partes que no están al amparo del Artículo 5 (países donantes) para proporcionar ayuda a corto plazo para la aplicación de la Enmienda de Kigali, observando que tal financiación era de naturaleza no recurrente y no desplazaría las contribuciones de los donantes (decisión 77/59(d)(i)). Posteriormente, el 7 de agosto de 2018, el Tesorero recibió 25.513.071 $EUA, lo que constituye el volumen total de contribuciones adicionales prometidas por los 17 países donantes. </w:t>
      </w:r>
    </w:p>
    <w:p w:rsidR="007060E0" w:rsidRPr="007060E0" w:rsidRDefault="007060E0" w:rsidP="007060E0">
      <w:pPr>
        <w:pStyle w:val="Heading1"/>
        <w:numPr>
          <w:ilvl w:val="0"/>
          <w:numId w:val="22"/>
        </w:numPr>
        <w:rPr>
          <w:lang w:val="es-MX"/>
        </w:rPr>
      </w:pPr>
      <w:r w:rsidRPr="007060E0">
        <w:rPr>
          <w:lang w:val="es-MX"/>
        </w:rPr>
        <w:t>Se ha recibido un ingreso adicional de 253.304 $EAU en calidad de intereses devengados</w:t>
      </w:r>
      <w:r w:rsidRPr="007060E0">
        <w:rPr>
          <w:rStyle w:val="FootnoteReference"/>
          <w:lang w:val="es-MX"/>
        </w:rPr>
        <w:footnoteReference w:id="1"/>
      </w:r>
      <w:r w:rsidRPr="007060E0">
        <w:rPr>
          <w:lang w:val="es-MX"/>
        </w:rPr>
        <w:t xml:space="preserve"> hasta el 30 de junio de 2019 sobre las contribuciones adicionales, resultando una cantidad total de 25.766.375 $EUA para programar actividades.</w:t>
      </w:r>
    </w:p>
    <w:p w:rsidR="007060E0" w:rsidRPr="007060E0" w:rsidRDefault="007060E0" w:rsidP="007060E0">
      <w:pPr>
        <w:pStyle w:val="Heading1"/>
        <w:rPr>
          <w:lang w:val="es-MX"/>
        </w:rPr>
      </w:pPr>
      <w:r w:rsidRPr="007060E0">
        <w:rPr>
          <w:lang w:val="es-MX"/>
        </w:rPr>
        <w:t>Entre las reuniones 79ª y 83ª, el Comité Ejecutivo ha aprobado fondos para organismos bilaterales</w:t>
      </w:r>
      <w:r w:rsidRPr="007060E0">
        <w:rPr>
          <w:rStyle w:val="FootnoteReference"/>
          <w:lang w:val="es-MX"/>
        </w:rPr>
        <w:footnoteReference w:id="2"/>
      </w:r>
      <w:r w:rsidRPr="007060E0">
        <w:rPr>
          <w:lang w:val="es-MX"/>
        </w:rPr>
        <w:t xml:space="preserve"> y de ejecución por un total de 25.770.680 $EUA, tal como se indica en el cuadro 1.</w:t>
      </w:r>
    </w:p>
    <w:p w:rsidR="00AD167B" w:rsidRDefault="00AD167B">
      <w:pPr>
        <w:jc w:val="left"/>
        <w:rPr>
          <w:b/>
          <w:sz w:val="21"/>
          <w:szCs w:val="21"/>
          <w:lang w:val="es-MX"/>
        </w:rPr>
      </w:pPr>
      <w:r>
        <w:rPr>
          <w:b/>
          <w:sz w:val="21"/>
          <w:szCs w:val="21"/>
          <w:lang w:val="es-MX"/>
        </w:rPr>
        <w:br w:type="page"/>
      </w:r>
    </w:p>
    <w:p w:rsidR="007060E0" w:rsidRPr="007060E0" w:rsidRDefault="007060E0" w:rsidP="007060E0">
      <w:pPr>
        <w:rPr>
          <w:b/>
          <w:sz w:val="21"/>
          <w:szCs w:val="21"/>
          <w:lang w:val="es-MX"/>
        </w:rPr>
      </w:pPr>
      <w:r w:rsidRPr="007060E0">
        <w:rPr>
          <w:b/>
          <w:sz w:val="21"/>
          <w:szCs w:val="21"/>
          <w:lang w:val="es-MX"/>
        </w:rPr>
        <w:lastRenderedPageBreak/>
        <w:t>Cuadro 1. Financiación aprobada por el Comité Ejecutivo proveniente de las contribuciones adicionales</w:t>
      </w:r>
    </w:p>
    <w:tbl>
      <w:tblPr>
        <w:tblStyle w:val="TableGrid"/>
        <w:tblW w:w="0" w:type="auto"/>
        <w:tblLook w:val="04A0" w:firstRow="1" w:lastRow="0" w:firstColumn="1" w:lastColumn="0" w:noHBand="0" w:noVBand="1"/>
      </w:tblPr>
      <w:tblGrid>
        <w:gridCol w:w="939"/>
        <w:gridCol w:w="6430"/>
        <w:gridCol w:w="1981"/>
      </w:tblGrid>
      <w:tr w:rsidR="007060E0" w:rsidRPr="007060E0" w:rsidTr="00EB5578">
        <w:trPr>
          <w:tblHeader/>
        </w:trPr>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b/>
                <w:color w:val="000000"/>
                <w:sz w:val="20"/>
                <w:szCs w:val="20"/>
                <w:lang w:val="es-MX"/>
              </w:rPr>
            </w:pPr>
            <w:r w:rsidRPr="007060E0">
              <w:rPr>
                <w:b/>
                <w:color w:val="000000"/>
                <w:sz w:val="20"/>
                <w:szCs w:val="20"/>
                <w:lang w:val="es-MX"/>
              </w:rPr>
              <w:t>Reunión</w:t>
            </w:r>
          </w:p>
        </w:tc>
        <w:tc>
          <w:tcPr>
            <w:tcW w:w="6450" w:type="dxa"/>
            <w:tcBorders>
              <w:top w:val="single" w:sz="4" w:space="0" w:color="auto"/>
              <w:left w:val="nil"/>
              <w:bottom w:val="single" w:sz="4" w:space="0" w:color="auto"/>
              <w:right w:val="single" w:sz="4" w:space="0" w:color="auto"/>
            </w:tcBorders>
            <w:shd w:val="clear" w:color="auto" w:fill="auto"/>
            <w:vAlign w:val="center"/>
          </w:tcPr>
          <w:p w:rsidR="007060E0" w:rsidRPr="007060E0" w:rsidRDefault="007060E0" w:rsidP="00EB5578">
            <w:pPr>
              <w:jc w:val="center"/>
              <w:rPr>
                <w:b/>
                <w:color w:val="000000"/>
                <w:sz w:val="20"/>
                <w:szCs w:val="20"/>
                <w:lang w:val="es-MX"/>
              </w:rPr>
            </w:pPr>
            <w:r w:rsidRPr="007060E0">
              <w:rPr>
                <w:b/>
                <w:color w:val="000000"/>
                <w:sz w:val="20"/>
                <w:szCs w:val="20"/>
                <w:lang w:val="es-MX"/>
              </w:rPr>
              <w:t>Descripción</w:t>
            </w:r>
          </w:p>
        </w:tc>
        <w:tc>
          <w:tcPr>
            <w:tcW w:w="1984" w:type="dxa"/>
            <w:tcBorders>
              <w:top w:val="single" w:sz="4" w:space="0" w:color="auto"/>
              <w:left w:val="nil"/>
              <w:bottom w:val="single" w:sz="4" w:space="0" w:color="auto"/>
              <w:right w:val="single" w:sz="4" w:space="0" w:color="auto"/>
            </w:tcBorders>
            <w:shd w:val="clear" w:color="auto" w:fill="auto"/>
            <w:vAlign w:val="center"/>
          </w:tcPr>
          <w:p w:rsidR="007060E0" w:rsidRPr="007060E0" w:rsidRDefault="007060E0" w:rsidP="00EB5578">
            <w:pPr>
              <w:jc w:val="center"/>
              <w:rPr>
                <w:b/>
                <w:color w:val="000000"/>
                <w:sz w:val="20"/>
                <w:szCs w:val="20"/>
                <w:lang w:val="es-MX"/>
              </w:rPr>
            </w:pPr>
            <w:r w:rsidRPr="007060E0">
              <w:rPr>
                <w:b/>
                <w:color w:val="000000"/>
                <w:sz w:val="20"/>
                <w:szCs w:val="20"/>
                <w:lang w:val="es-MX"/>
              </w:rPr>
              <w:t>Financiación ($EUA)</w:t>
            </w:r>
          </w:p>
        </w:tc>
      </w:tr>
      <w:tr w:rsidR="007060E0" w:rsidRPr="007060E0" w:rsidTr="00EB5578">
        <w:tc>
          <w:tcPr>
            <w:tcW w:w="916" w:type="dxa"/>
            <w:tcBorders>
              <w:top w:val="nil"/>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color w:val="000000"/>
                <w:sz w:val="20"/>
                <w:szCs w:val="20"/>
                <w:lang w:val="es-MX"/>
              </w:rPr>
            </w:pPr>
            <w:r w:rsidRPr="007060E0">
              <w:rPr>
                <w:color w:val="000000"/>
                <w:sz w:val="20"/>
                <w:szCs w:val="20"/>
                <w:lang w:val="es-MX"/>
              </w:rPr>
              <w:t>79</w:t>
            </w:r>
          </w:p>
        </w:tc>
        <w:tc>
          <w:tcPr>
            <w:tcW w:w="6450" w:type="dxa"/>
            <w:tcBorders>
              <w:top w:val="nil"/>
              <w:left w:val="nil"/>
              <w:bottom w:val="single" w:sz="4" w:space="0" w:color="auto"/>
              <w:right w:val="single" w:sz="4" w:space="0" w:color="auto"/>
            </w:tcBorders>
            <w:shd w:val="clear" w:color="auto" w:fill="auto"/>
            <w:vAlign w:val="bottom"/>
          </w:tcPr>
          <w:p w:rsidR="007060E0" w:rsidRPr="007060E0" w:rsidRDefault="007060E0" w:rsidP="00EB5578">
            <w:pPr>
              <w:jc w:val="left"/>
              <w:rPr>
                <w:color w:val="000000"/>
                <w:sz w:val="20"/>
                <w:szCs w:val="20"/>
                <w:lang w:val="es-MX"/>
              </w:rPr>
            </w:pPr>
            <w:r w:rsidRPr="007060E0">
              <w:rPr>
                <w:color w:val="000000"/>
                <w:sz w:val="20"/>
                <w:szCs w:val="20"/>
                <w:lang w:val="es-MX"/>
              </w:rPr>
              <w:t>Evaluación de las opciones para la destrucción de HFC-23 en las instalaciones de producción de HCFC-22, sopesando la relación costo-eficacia y la sostenibilidad desde el punto de vista del medio ambiente</w:t>
            </w:r>
          </w:p>
        </w:tc>
        <w:tc>
          <w:tcPr>
            <w:tcW w:w="1984" w:type="dxa"/>
            <w:tcBorders>
              <w:top w:val="nil"/>
              <w:left w:val="nil"/>
              <w:bottom w:val="single" w:sz="4" w:space="0" w:color="auto"/>
              <w:right w:val="single" w:sz="4" w:space="0" w:color="auto"/>
            </w:tcBorders>
            <w:shd w:val="clear" w:color="auto" w:fill="auto"/>
            <w:vAlign w:val="center"/>
          </w:tcPr>
          <w:p w:rsidR="007060E0" w:rsidRPr="007060E0" w:rsidRDefault="007060E0" w:rsidP="00EB5578">
            <w:pPr>
              <w:jc w:val="right"/>
              <w:rPr>
                <w:color w:val="000000"/>
                <w:sz w:val="20"/>
                <w:szCs w:val="20"/>
                <w:lang w:val="es-MX"/>
              </w:rPr>
            </w:pPr>
            <w:r w:rsidRPr="007060E0">
              <w:rPr>
                <w:color w:val="000000"/>
                <w:sz w:val="20"/>
                <w:szCs w:val="20"/>
                <w:lang w:val="es-MX"/>
              </w:rPr>
              <w:t>100.000</w:t>
            </w:r>
          </w:p>
        </w:tc>
      </w:tr>
      <w:tr w:rsidR="007060E0" w:rsidRPr="007060E0" w:rsidTr="00EB5578">
        <w:tc>
          <w:tcPr>
            <w:tcW w:w="916" w:type="dxa"/>
            <w:tcBorders>
              <w:top w:val="nil"/>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color w:val="000000"/>
                <w:sz w:val="20"/>
                <w:szCs w:val="20"/>
                <w:lang w:val="es-MX"/>
              </w:rPr>
            </w:pPr>
            <w:r w:rsidRPr="007060E0">
              <w:rPr>
                <w:color w:val="000000"/>
                <w:sz w:val="20"/>
                <w:szCs w:val="20"/>
                <w:lang w:val="es-MX"/>
              </w:rPr>
              <w:t>80</w:t>
            </w:r>
          </w:p>
        </w:tc>
        <w:tc>
          <w:tcPr>
            <w:tcW w:w="6450" w:type="dxa"/>
            <w:tcBorders>
              <w:top w:val="nil"/>
              <w:left w:val="nil"/>
              <w:bottom w:val="single" w:sz="4" w:space="0" w:color="auto"/>
              <w:right w:val="single" w:sz="4" w:space="0" w:color="auto"/>
            </w:tcBorders>
            <w:shd w:val="clear" w:color="auto" w:fill="auto"/>
            <w:vAlign w:val="bottom"/>
          </w:tcPr>
          <w:p w:rsidR="007060E0" w:rsidRPr="007060E0" w:rsidRDefault="007060E0" w:rsidP="00EB5578">
            <w:pPr>
              <w:jc w:val="left"/>
              <w:rPr>
                <w:color w:val="000000"/>
                <w:sz w:val="20"/>
                <w:szCs w:val="20"/>
                <w:lang w:val="es-MX"/>
              </w:rPr>
            </w:pPr>
            <w:r w:rsidRPr="007060E0">
              <w:rPr>
                <w:color w:val="000000"/>
                <w:sz w:val="20"/>
                <w:szCs w:val="20"/>
                <w:lang w:val="es-MX"/>
              </w:rPr>
              <w:t>70 actividades de apoyo, 9 preparaciones de proyectos, 1 inversión</w:t>
            </w:r>
          </w:p>
        </w:tc>
        <w:tc>
          <w:tcPr>
            <w:tcW w:w="1984" w:type="dxa"/>
            <w:tcBorders>
              <w:top w:val="nil"/>
              <w:left w:val="nil"/>
              <w:bottom w:val="single" w:sz="4" w:space="0" w:color="auto"/>
              <w:right w:val="single" w:sz="4" w:space="0" w:color="auto"/>
            </w:tcBorders>
            <w:shd w:val="clear" w:color="auto" w:fill="auto"/>
            <w:vAlign w:val="center"/>
          </w:tcPr>
          <w:p w:rsidR="007060E0" w:rsidRPr="007060E0" w:rsidRDefault="007060E0" w:rsidP="00EB5578">
            <w:pPr>
              <w:jc w:val="right"/>
              <w:rPr>
                <w:color w:val="000000"/>
                <w:sz w:val="20"/>
                <w:szCs w:val="20"/>
                <w:lang w:val="es-MX"/>
              </w:rPr>
            </w:pPr>
            <w:r w:rsidRPr="007060E0">
              <w:rPr>
                <w:color w:val="000000"/>
                <w:sz w:val="20"/>
                <w:szCs w:val="20"/>
                <w:lang w:val="es-MX"/>
              </w:rPr>
              <w:t>12.488.623</w:t>
            </w:r>
          </w:p>
        </w:tc>
      </w:tr>
      <w:tr w:rsidR="007060E0" w:rsidRPr="007060E0" w:rsidTr="00EB5578">
        <w:tc>
          <w:tcPr>
            <w:tcW w:w="916" w:type="dxa"/>
            <w:tcBorders>
              <w:top w:val="nil"/>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color w:val="000000"/>
                <w:sz w:val="20"/>
                <w:szCs w:val="20"/>
                <w:lang w:val="es-MX"/>
              </w:rPr>
            </w:pPr>
            <w:r w:rsidRPr="007060E0">
              <w:rPr>
                <w:color w:val="000000"/>
                <w:sz w:val="20"/>
                <w:szCs w:val="20"/>
                <w:lang w:val="es-MX"/>
              </w:rPr>
              <w:t>81</w:t>
            </w:r>
          </w:p>
        </w:tc>
        <w:tc>
          <w:tcPr>
            <w:tcW w:w="6450" w:type="dxa"/>
            <w:tcBorders>
              <w:top w:val="nil"/>
              <w:left w:val="nil"/>
              <w:bottom w:val="single" w:sz="4" w:space="0" w:color="auto"/>
              <w:right w:val="single" w:sz="4" w:space="0" w:color="auto"/>
            </w:tcBorders>
            <w:shd w:val="clear" w:color="auto" w:fill="auto"/>
            <w:vAlign w:val="bottom"/>
          </w:tcPr>
          <w:p w:rsidR="007060E0" w:rsidRPr="007060E0" w:rsidRDefault="007060E0" w:rsidP="00EB5578">
            <w:pPr>
              <w:jc w:val="left"/>
              <w:rPr>
                <w:color w:val="000000"/>
                <w:sz w:val="20"/>
                <w:szCs w:val="20"/>
                <w:lang w:val="es-MX"/>
              </w:rPr>
            </w:pPr>
            <w:r w:rsidRPr="007060E0">
              <w:rPr>
                <w:color w:val="000000"/>
                <w:sz w:val="20"/>
                <w:szCs w:val="20"/>
                <w:lang w:val="es-MX"/>
              </w:rPr>
              <w:t>52 actividades de apoyo, 1 preparación de proyectos, 3 inversiones</w:t>
            </w:r>
          </w:p>
        </w:tc>
        <w:tc>
          <w:tcPr>
            <w:tcW w:w="1984" w:type="dxa"/>
            <w:tcBorders>
              <w:top w:val="nil"/>
              <w:left w:val="nil"/>
              <w:bottom w:val="single" w:sz="4" w:space="0" w:color="auto"/>
              <w:right w:val="single" w:sz="4" w:space="0" w:color="auto"/>
            </w:tcBorders>
            <w:shd w:val="clear" w:color="auto" w:fill="auto"/>
            <w:vAlign w:val="center"/>
          </w:tcPr>
          <w:p w:rsidR="007060E0" w:rsidRPr="007060E0" w:rsidRDefault="007060E0" w:rsidP="00EB5578">
            <w:pPr>
              <w:jc w:val="right"/>
              <w:rPr>
                <w:color w:val="000000"/>
                <w:sz w:val="20"/>
                <w:szCs w:val="20"/>
                <w:lang w:val="es-MX"/>
              </w:rPr>
            </w:pPr>
            <w:r w:rsidRPr="007060E0">
              <w:rPr>
                <w:color w:val="000000"/>
                <w:sz w:val="20"/>
                <w:szCs w:val="20"/>
                <w:lang w:val="es-MX"/>
              </w:rPr>
              <w:t>10.515.677</w:t>
            </w:r>
          </w:p>
        </w:tc>
      </w:tr>
      <w:tr w:rsidR="007060E0" w:rsidRPr="007060E0" w:rsidTr="00EB5578">
        <w:tc>
          <w:tcPr>
            <w:tcW w:w="916" w:type="dxa"/>
            <w:tcBorders>
              <w:top w:val="nil"/>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color w:val="000000"/>
                <w:sz w:val="20"/>
                <w:szCs w:val="20"/>
                <w:lang w:val="es-MX"/>
              </w:rPr>
            </w:pPr>
            <w:r w:rsidRPr="007060E0">
              <w:rPr>
                <w:color w:val="000000"/>
                <w:sz w:val="20"/>
                <w:szCs w:val="20"/>
                <w:lang w:val="es-MX"/>
              </w:rPr>
              <w:t>82</w:t>
            </w:r>
          </w:p>
        </w:tc>
        <w:tc>
          <w:tcPr>
            <w:tcW w:w="6450" w:type="dxa"/>
            <w:tcBorders>
              <w:top w:val="nil"/>
              <w:left w:val="nil"/>
              <w:bottom w:val="single" w:sz="4" w:space="0" w:color="auto"/>
              <w:right w:val="single" w:sz="4" w:space="0" w:color="auto"/>
            </w:tcBorders>
            <w:shd w:val="clear" w:color="auto" w:fill="auto"/>
            <w:vAlign w:val="bottom"/>
          </w:tcPr>
          <w:p w:rsidR="007060E0" w:rsidRPr="007060E0" w:rsidRDefault="007060E0" w:rsidP="00EB5578">
            <w:pPr>
              <w:jc w:val="left"/>
              <w:rPr>
                <w:color w:val="000000"/>
                <w:sz w:val="20"/>
                <w:szCs w:val="20"/>
                <w:lang w:val="es-MX"/>
              </w:rPr>
            </w:pPr>
            <w:r w:rsidRPr="007060E0">
              <w:rPr>
                <w:color w:val="000000"/>
                <w:sz w:val="20"/>
                <w:szCs w:val="20"/>
                <w:lang w:val="es-MX"/>
              </w:rPr>
              <w:t>6 actividades de apoyo, 2 inversiones</w:t>
            </w:r>
          </w:p>
        </w:tc>
        <w:tc>
          <w:tcPr>
            <w:tcW w:w="1984" w:type="dxa"/>
            <w:tcBorders>
              <w:top w:val="nil"/>
              <w:left w:val="nil"/>
              <w:bottom w:val="single" w:sz="4" w:space="0" w:color="auto"/>
              <w:right w:val="single" w:sz="4" w:space="0" w:color="auto"/>
            </w:tcBorders>
            <w:shd w:val="clear" w:color="auto" w:fill="auto"/>
            <w:vAlign w:val="center"/>
          </w:tcPr>
          <w:p w:rsidR="007060E0" w:rsidRPr="007060E0" w:rsidRDefault="007060E0" w:rsidP="00EB5578">
            <w:pPr>
              <w:jc w:val="right"/>
              <w:rPr>
                <w:color w:val="000000"/>
                <w:sz w:val="20"/>
                <w:szCs w:val="20"/>
                <w:lang w:val="es-MX"/>
              </w:rPr>
            </w:pPr>
            <w:r w:rsidRPr="007060E0">
              <w:rPr>
                <w:color w:val="000000"/>
                <w:sz w:val="20"/>
                <w:szCs w:val="20"/>
                <w:lang w:val="es-MX"/>
              </w:rPr>
              <w:t>2.398.880</w:t>
            </w:r>
          </w:p>
        </w:tc>
      </w:tr>
      <w:tr w:rsidR="007060E0" w:rsidRPr="007060E0" w:rsidTr="00EB5578">
        <w:tc>
          <w:tcPr>
            <w:tcW w:w="916" w:type="dxa"/>
            <w:tcBorders>
              <w:top w:val="nil"/>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color w:val="000000"/>
                <w:sz w:val="20"/>
                <w:szCs w:val="20"/>
                <w:lang w:val="es-MX"/>
              </w:rPr>
            </w:pPr>
            <w:r w:rsidRPr="007060E0">
              <w:rPr>
                <w:color w:val="000000"/>
                <w:sz w:val="20"/>
                <w:szCs w:val="20"/>
                <w:lang w:val="es-MX"/>
              </w:rPr>
              <w:t>83</w:t>
            </w:r>
          </w:p>
        </w:tc>
        <w:tc>
          <w:tcPr>
            <w:tcW w:w="6450" w:type="dxa"/>
            <w:tcBorders>
              <w:top w:val="nil"/>
              <w:left w:val="nil"/>
              <w:bottom w:val="single" w:sz="4" w:space="0" w:color="auto"/>
              <w:right w:val="single" w:sz="4" w:space="0" w:color="auto"/>
            </w:tcBorders>
            <w:shd w:val="clear" w:color="auto" w:fill="auto"/>
            <w:vAlign w:val="bottom"/>
          </w:tcPr>
          <w:p w:rsidR="007060E0" w:rsidRPr="007060E0" w:rsidRDefault="007060E0" w:rsidP="00EB5578">
            <w:pPr>
              <w:jc w:val="left"/>
              <w:rPr>
                <w:color w:val="000000"/>
                <w:sz w:val="20"/>
                <w:szCs w:val="20"/>
                <w:lang w:val="es-MX"/>
              </w:rPr>
            </w:pPr>
            <w:r w:rsidRPr="007060E0">
              <w:rPr>
                <w:color w:val="000000"/>
                <w:sz w:val="20"/>
                <w:szCs w:val="20"/>
                <w:lang w:val="es-MX"/>
              </w:rPr>
              <w:t>1 actividad de apoyo</w:t>
            </w:r>
          </w:p>
        </w:tc>
        <w:tc>
          <w:tcPr>
            <w:tcW w:w="1984" w:type="dxa"/>
            <w:tcBorders>
              <w:top w:val="nil"/>
              <w:left w:val="nil"/>
              <w:bottom w:val="single" w:sz="4" w:space="0" w:color="auto"/>
              <w:right w:val="single" w:sz="4" w:space="0" w:color="auto"/>
            </w:tcBorders>
            <w:shd w:val="clear" w:color="auto" w:fill="auto"/>
            <w:vAlign w:val="center"/>
          </w:tcPr>
          <w:p w:rsidR="007060E0" w:rsidRPr="007060E0" w:rsidRDefault="007060E0" w:rsidP="00EB5578">
            <w:pPr>
              <w:jc w:val="right"/>
              <w:rPr>
                <w:color w:val="000000"/>
                <w:sz w:val="20"/>
                <w:szCs w:val="20"/>
                <w:lang w:val="es-MX"/>
              </w:rPr>
            </w:pPr>
            <w:r w:rsidRPr="007060E0">
              <w:rPr>
                <w:color w:val="000000"/>
                <w:sz w:val="20"/>
                <w:szCs w:val="20"/>
                <w:lang w:val="es-MX"/>
              </w:rPr>
              <w:t>267.500</w:t>
            </w:r>
          </w:p>
        </w:tc>
      </w:tr>
      <w:tr w:rsidR="007060E0" w:rsidRPr="007060E0" w:rsidTr="00EB5578">
        <w:tc>
          <w:tcPr>
            <w:tcW w:w="916" w:type="dxa"/>
            <w:tcBorders>
              <w:top w:val="nil"/>
              <w:left w:val="single" w:sz="4" w:space="0" w:color="auto"/>
              <w:bottom w:val="single" w:sz="4" w:space="0" w:color="auto"/>
              <w:right w:val="single" w:sz="4" w:space="0" w:color="auto"/>
            </w:tcBorders>
            <w:shd w:val="clear" w:color="auto" w:fill="auto"/>
            <w:vAlign w:val="center"/>
          </w:tcPr>
          <w:p w:rsidR="007060E0" w:rsidRPr="007060E0" w:rsidRDefault="007060E0" w:rsidP="00EB5578">
            <w:pPr>
              <w:jc w:val="center"/>
              <w:rPr>
                <w:b/>
                <w:color w:val="000000"/>
                <w:sz w:val="20"/>
                <w:szCs w:val="20"/>
                <w:lang w:val="es-MX"/>
              </w:rPr>
            </w:pPr>
            <w:r w:rsidRPr="007060E0">
              <w:rPr>
                <w:b/>
                <w:color w:val="000000"/>
                <w:sz w:val="20"/>
                <w:szCs w:val="20"/>
                <w:lang w:val="es-MX"/>
              </w:rPr>
              <w:t>Total</w:t>
            </w:r>
          </w:p>
        </w:tc>
        <w:tc>
          <w:tcPr>
            <w:tcW w:w="6450" w:type="dxa"/>
            <w:tcBorders>
              <w:top w:val="nil"/>
              <w:left w:val="nil"/>
              <w:bottom w:val="single" w:sz="4" w:space="0" w:color="auto"/>
              <w:right w:val="single" w:sz="4" w:space="0" w:color="auto"/>
            </w:tcBorders>
            <w:shd w:val="clear" w:color="auto" w:fill="auto"/>
            <w:vAlign w:val="bottom"/>
          </w:tcPr>
          <w:p w:rsidR="007060E0" w:rsidRPr="007060E0" w:rsidRDefault="007060E0" w:rsidP="00EB5578">
            <w:pPr>
              <w:jc w:val="left"/>
              <w:rPr>
                <w:b/>
                <w:color w:val="000000"/>
                <w:sz w:val="20"/>
                <w:szCs w:val="20"/>
                <w:lang w:val="es-MX"/>
              </w:rPr>
            </w:pPr>
            <w:r w:rsidRPr="007060E0">
              <w:rPr>
                <w:b/>
                <w:color w:val="000000"/>
                <w:sz w:val="20"/>
                <w:szCs w:val="20"/>
                <w:lang w:val="es-MX"/>
              </w:rPr>
              <w:t>129 actividades de apoyo, 10 preparaciones de proyectos, 6 inversiones</w:t>
            </w:r>
          </w:p>
        </w:tc>
        <w:tc>
          <w:tcPr>
            <w:tcW w:w="1984" w:type="dxa"/>
            <w:tcBorders>
              <w:top w:val="nil"/>
              <w:left w:val="nil"/>
              <w:bottom w:val="single" w:sz="4" w:space="0" w:color="auto"/>
              <w:right w:val="single" w:sz="4" w:space="0" w:color="auto"/>
            </w:tcBorders>
            <w:shd w:val="clear" w:color="auto" w:fill="auto"/>
            <w:vAlign w:val="center"/>
          </w:tcPr>
          <w:p w:rsidR="007060E0" w:rsidRPr="007060E0" w:rsidRDefault="007060E0" w:rsidP="00EB5578">
            <w:pPr>
              <w:jc w:val="right"/>
              <w:rPr>
                <w:b/>
                <w:color w:val="000000"/>
                <w:sz w:val="20"/>
                <w:szCs w:val="20"/>
                <w:lang w:val="es-MX"/>
              </w:rPr>
            </w:pPr>
            <w:r w:rsidRPr="007060E0">
              <w:rPr>
                <w:b/>
                <w:color w:val="000000"/>
                <w:sz w:val="20"/>
                <w:szCs w:val="20"/>
                <w:lang w:val="es-MX"/>
              </w:rPr>
              <w:t>25.770.680</w:t>
            </w:r>
          </w:p>
        </w:tc>
      </w:tr>
    </w:tbl>
    <w:p w:rsidR="007060E0" w:rsidRPr="007060E0" w:rsidRDefault="007060E0" w:rsidP="007060E0">
      <w:pPr>
        <w:rPr>
          <w:lang w:val="es-MX"/>
        </w:rPr>
      </w:pPr>
    </w:p>
    <w:p w:rsidR="007060E0" w:rsidRPr="007060E0" w:rsidRDefault="007060E0" w:rsidP="007060E0">
      <w:pPr>
        <w:pStyle w:val="Heading1"/>
        <w:keepNext/>
        <w:rPr>
          <w:u w:val="single"/>
          <w:lang w:val="es-MX"/>
        </w:rPr>
      </w:pPr>
      <w:r w:rsidRPr="007060E0">
        <w:rPr>
          <w:lang w:val="es-MX"/>
        </w:rPr>
        <w:t xml:space="preserve">La evaluación de las opciones para la destrucción de HFC-23 en las instalaciones de producción de HCFC-22, sopesando la relación costo-eficacia y la sostenibilidad desde el punto de vista del medio ambiente, aprobada en la reunión 79ª se realizó a un costo total de 81.997 $EUA, lo que resultó en un saldo de 18.003 $EUA que se devolvió al Fondo. </w:t>
      </w:r>
    </w:p>
    <w:p w:rsidR="007060E0" w:rsidRPr="007060E0" w:rsidRDefault="007060E0" w:rsidP="007060E0">
      <w:pPr>
        <w:pStyle w:val="Heading1"/>
        <w:keepNext/>
        <w:rPr>
          <w:u w:val="single"/>
          <w:lang w:val="es-MX"/>
        </w:rPr>
      </w:pPr>
      <w:r w:rsidRPr="007060E0">
        <w:rPr>
          <w:lang w:val="es-MX"/>
        </w:rPr>
        <w:t>Por consiguiente, los fondos totales disponibles para programar</w:t>
      </w:r>
      <w:r w:rsidR="000B578E">
        <w:rPr>
          <w:lang w:val="es-MX"/>
        </w:rPr>
        <w:t xml:space="preserve"> actividades ascienden a 13.698 </w:t>
      </w:r>
      <w:r w:rsidRPr="007060E0">
        <w:rPr>
          <w:lang w:val="es-MX"/>
        </w:rPr>
        <w:t>$EUA tal como se indica en el Anexo I del presente documento.</w:t>
      </w:r>
    </w:p>
    <w:p w:rsidR="007060E0" w:rsidRPr="007060E0" w:rsidRDefault="007060E0" w:rsidP="007060E0">
      <w:pPr>
        <w:pStyle w:val="Heading1"/>
        <w:keepNext/>
        <w:numPr>
          <w:ilvl w:val="0"/>
          <w:numId w:val="0"/>
        </w:numPr>
        <w:rPr>
          <w:u w:val="single"/>
          <w:lang w:val="es-MX"/>
        </w:rPr>
      </w:pPr>
      <w:r w:rsidRPr="007060E0">
        <w:rPr>
          <w:u w:val="single"/>
          <w:lang w:val="es-MX"/>
        </w:rPr>
        <w:t>Ejecución de la decisión 83/4(c)</w:t>
      </w:r>
    </w:p>
    <w:p w:rsidR="007060E0" w:rsidRPr="007060E0" w:rsidRDefault="007060E0" w:rsidP="007060E0">
      <w:pPr>
        <w:pStyle w:val="Heading1"/>
        <w:keepNext/>
        <w:rPr>
          <w:lang w:val="es-MX"/>
        </w:rPr>
      </w:pPr>
      <w:r w:rsidRPr="007060E0">
        <w:rPr>
          <w:lang w:val="es-MX"/>
        </w:rPr>
        <w:t>Como respuesta a la decisión 83/4(c) en la que el Comité Ejecutivo decidió estudiar en la sesión 84ª el uso de los posibles saldos restantes (es decir, 13.698 $EUA), teniendo en cuenta las consultas sobre la cuestión entre el Director y los 17 países donantes que había pagado contribuciones adicionales al Fondo Multilateral, el Director envió una carta a cada país donante en junio de 2019 solicitando asesoramiento sobre este asunto. Las respuestas recibidas de los países que respondieron mostraban su acuerdo a fusionar los saldos de las contribuciones adicionales con las contribuciones prometidas habituales al Fondo Multilateral.</w:t>
      </w:r>
    </w:p>
    <w:p w:rsidR="007060E0" w:rsidRPr="007060E0" w:rsidRDefault="007060E0" w:rsidP="007060E0">
      <w:pPr>
        <w:rPr>
          <w:b/>
          <w:lang w:val="es-MX"/>
        </w:rPr>
      </w:pPr>
      <w:r w:rsidRPr="007060E0">
        <w:rPr>
          <w:b/>
          <w:lang w:val="es-MX"/>
        </w:rPr>
        <w:t>Recomendación</w:t>
      </w:r>
    </w:p>
    <w:p w:rsidR="007060E0" w:rsidRPr="007060E0" w:rsidRDefault="007060E0" w:rsidP="007060E0">
      <w:pPr>
        <w:rPr>
          <w:b/>
          <w:lang w:val="es-MX"/>
        </w:rPr>
      </w:pPr>
    </w:p>
    <w:p w:rsidR="007060E0" w:rsidRPr="007060E0" w:rsidRDefault="007060E0" w:rsidP="007060E0">
      <w:pPr>
        <w:pStyle w:val="Heading1"/>
        <w:rPr>
          <w:lang w:val="es-MX"/>
        </w:rPr>
      </w:pPr>
      <w:r w:rsidRPr="007060E0">
        <w:rPr>
          <w:lang w:val="es-MX"/>
        </w:rPr>
        <w:t>El Comité Ejecutivo puede estimar oportuno:</w:t>
      </w:r>
    </w:p>
    <w:p w:rsidR="007060E0" w:rsidRPr="007060E0" w:rsidRDefault="007060E0" w:rsidP="007060E0">
      <w:pPr>
        <w:pStyle w:val="Heading2"/>
        <w:rPr>
          <w:lang w:val="es-MX"/>
        </w:rPr>
      </w:pPr>
      <w:r w:rsidRPr="007060E0">
        <w:rPr>
          <w:lang w:val="es-MX"/>
        </w:rPr>
        <w:t>Tomar nota del informe del Tesorero sobre la situación de las contribuciones adicionales al Fondo Multilateral y la disponibilidad de recursos que figuraba en el documento UNEP/OzL.Pro/ExCom/84/5;</w:t>
      </w:r>
    </w:p>
    <w:p w:rsidR="007060E0" w:rsidRPr="007060E0" w:rsidRDefault="007060E0" w:rsidP="007060E0">
      <w:pPr>
        <w:pStyle w:val="Heading2"/>
        <w:rPr>
          <w:lang w:val="es-MX"/>
        </w:rPr>
      </w:pPr>
      <w:r w:rsidRPr="007060E0">
        <w:rPr>
          <w:lang w:val="es-MX"/>
        </w:rPr>
        <w:t>Tomar nota con beneplácito del acuerdo de los países donantes a la fusión de los saldos de las contribuciones adicionales para proporcionar ayuda a corto plazo a la reducción de los HFC con las contribuciones prometidas habituales al Fondo Multilateral;</w:t>
      </w:r>
    </w:p>
    <w:p w:rsidR="007060E0" w:rsidRPr="007060E0" w:rsidRDefault="007060E0" w:rsidP="007060E0">
      <w:pPr>
        <w:pStyle w:val="Heading2"/>
        <w:rPr>
          <w:lang w:val="es-MX"/>
        </w:rPr>
      </w:pPr>
      <w:r w:rsidRPr="007060E0">
        <w:rPr>
          <w:lang w:val="es-MX"/>
        </w:rPr>
        <w:t>Pedir al Tesorero:</w:t>
      </w:r>
    </w:p>
    <w:p w:rsidR="007060E0" w:rsidRPr="007060E0" w:rsidRDefault="007060E0" w:rsidP="007060E0">
      <w:pPr>
        <w:pStyle w:val="ListParagraph"/>
        <w:numPr>
          <w:ilvl w:val="0"/>
          <w:numId w:val="21"/>
        </w:numPr>
        <w:autoSpaceDE w:val="0"/>
        <w:autoSpaceDN w:val="0"/>
        <w:adjustRightInd w:val="0"/>
        <w:spacing w:after="240"/>
        <w:ind w:left="2127" w:hanging="709"/>
        <w:rPr>
          <w:lang w:val="es-MX"/>
        </w:rPr>
      </w:pPr>
      <w:r w:rsidRPr="007060E0">
        <w:rPr>
          <w:lang w:val="es-MX"/>
        </w:rPr>
        <w:t>Añadir el saldo de 13.698 $EUA de las contribuciones adicionales a las contribuciones prometidas habituales al Fondo Multilateral como un ingreso adicional;</w:t>
      </w:r>
    </w:p>
    <w:p w:rsidR="007060E0" w:rsidRPr="007060E0" w:rsidRDefault="007060E0" w:rsidP="007060E0">
      <w:pPr>
        <w:pStyle w:val="ListParagraph"/>
        <w:autoSpaceDE w:val="0"/>
        <w:autoSpaceDN w:val="0"/>
        <w:adjustRightInd w:val="0"/>
        <w:ind w:left="2127"/>
        <w:rPr>
          <w:lang w:val="es-MX" w:bidi="hi-IN"/>
        </w:rPr>
      </w:pPr>
    </w:p>
    <w:p w:rsidR="007060E0" w:rsidRPr="007060E0" w:rsidRDefault="007060E0" w:rsidP="007060E0">
      <w:pPr>
        <w:pStyle w:val="ListParagraph"/>
        <w:numPr>
          <w:ilvl w:val="0"/>
          <w:numId w:val="21"/>
        </w:numPr>
        <w:autoSpaceDE w:val="0"/>
        <w:autoSpaceDN w:val="0"/>
        <w:adjustRightInd w:val="0"/>
        <w:spacing w:after="240"/>
        <w:ind w:left="2127" w:hanging="709"/>
        <w:rPr>
          <w:lang w:val="es-MX"/>
        </w:rPr>
      </w:pPr>
      <w:r w:rsidRPr="007060E0">
        <w:rPr>
          <w:lang w:val="es-MX"/>
        </w:rPr>
        <w:t>Añadir los saldos de los proyectos completados y los proyectos por decisión de las contribuciones adicionales, devueltos a la reunión 84ª y a futuras reuniones, a las contribuciones prometidas habituales al Fondo Multilateral como un ingreso adicional; y</w:t>
      </w:r>
    </w:p>
    <w:p w:rsidR="007060E0" w:rsidRPr="007060E0" w:rsidRDefault="007060E0" w:rsidP="00AD167B">
      <w:pPr>
        <w:pStyle w:val="Heading2"/>
        <w:keepNext/>
        <w:keepLines/>
        <w:rPr>
          <w:lang w:val="es-MX"/>
        </w:rPr>
        <w:sectPr w:rsidR="007060E0" w:rsidRPr="007060E0" w:rsidSect="004142BD">
          <w:headerReference w:type="even" r:id="rId10"/>
          <w:headerReference w:type="default" r:id="rId11"/>
          <w:footerReference w:type="even" r:id="rId12"/>
          <w:footerReference w:type="default" r:id="rId13"/>
          <w:footerReference w:type="first" r:id="rId14"/>
          <w:pgSz w:w="12240" w:h="15840" w:code="1"/>
          <w:pgMar w:top="426" w:right="1440" w:bottom="426" w:left="1440" w:header="720" w:footer="475" w:gutter="0"/>
          <w:cols w:space="720"/>
          <w:titlePg/>
          <w:docGrid w:linePitch="299"/>
        </w:sectPr>
      </w:pPr>
      <w:r w:rsidRPr="007060E0">
        <w:rPr>
          <w:lang w:val="es-MX"/>
        </w:rPr>
        <w:lastRenderedPageBreak/>
        <w:t>Tomar nota asimismo de que, a partir de la reunión 85ª, el estado de las contribuciones adicionales no se notificaría al Comité Ejecutivo por separado de las contribuciones prometidas habituales al Fondo Multilateral.</w:t>
      </w:r>
    </w:p>
    <w:p w:rsidR="0087455A" w:rsidRPr="007060E0" w:rsidRDefault="0024162E">
      <w:pPr>
        <w:jc w:val="center"/>
        <w:rPr>
          <w:b/>
          <w:bCs/>
          <w:lang w:val="es-MX"/>
        </w:rPr>
      </w:pPr>
      <w:r w:rsidRPr="007060E0">
        <w:rPr>
          <w:b/>
          <w:bCs/>
          <w:lang w:val="es-MX"/>
        </w:rPr>
        <w:lastRenderedPageBreak/>
        <w:t>Anexo I</w:t>
      </w:r>
    </w:p>
    <w:p w:rsidR="0087455A" w:rsidRPr="007060E0" w:rsidRDefault="0087455A">
      <w:pPr>
        <w:jc w:val="center"/>
        <w:rPr>
          <w:b/>
          <w:bCs/>
          <w:lang w:val="es-MX"/>
        </w:rPr>
      </w:pPr>
    </w:p>
    <w:p w:rsidR="0087455A" w:rsidRPr="007060E0" w:rsidRDefault="0087455A">
      <w:pPr>
        <w:jc w:val="center"/>
        <w:rPr>
          <w:b/>
          <w:bCs/>
          <w:lang w:val="es-MX"/>
        </w:rPr>
      </w:pPr>
    </w:p>
    <w:p w:rsidR="0087455A" w:rsidRPr="007060E0" w:rsidRDefault="0087455A">
      <w:pPr>
        <w:jc w:val="center"/>
        <w:rPr>
          <w:b/>
          <w:bCs/>
          <w:lang w:val="es-MX"/>
        </w:rPr>
      </w:pPr>
    </w:p>
    <w:p w:rsidR="0087455A" w:rsidRPr="007060E0" w:rsidRDefault="0087455A">
      <w:pPr>
        <w:jc w:val="center"/>
        <w:rPr>
          <w:b/>
          <w:bCs/>
          <w:lang w:val="es-MX"/>
        </w:rPr>
      </w:pPr>
    </w:p>
    <w:p w:rsidR="0087455A" w:rsidRPr="007060E0" w:rsidRDefault="0087455A">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7060E0">
        <w:tc>
          <w:tcPr>
            <w:tcW w:w="1915" w:type="dxa"/>
          </w:tcPr>
          <w:p w:rsidR="0087455A" w:rsidRPr="007060E0" w:rsidRDefault="0087455A">
            <w:pPr>
              <w:rPr>
                <w:lang w:val="es-MX"/>
              </w:rPr>
            </w:pPr>
          </w:p>
        </w:tc>
        <w:tc>
          <w:tcPr>
            <w:tcW w:w="1915" w:type="dxa"/>
          </w:tcPr>
          <w:p w:rsidR="0087455A" w:rsidRPr="007060E0" w:rsidRDefault="0087455A">
            <w:pPr>
              <w:rPr>
                <w:lang w:val="es-MX"/>
              </w:rPr>
            </w:pPr>
          </w:p>
        </w:tc>
        <w:tc>
          <w:tcPr>
            <w:tcW w:w="1915" w:type="dxa"/>
            <w:tcBorders>
              <w:bottom w:val="single" w:sz="4" w:space="0" w:color="auto"/>
            </w:tcBorders>
          </w:tcPr>
          <w:p w:rsidR="0087455A" w:rsidRPr="007060E0" w:rsidRDefault="0087455A">
            <w:pPr>
              <w:rPr>
                <w:b/>
                <w:bCs/>
                <w:lang w:val="es-MX"/>
              </w:rPr>
            </w:pPr>
          </w:p>
        </w:tc>
        <w:tc>
          <w:tcPr>
            <w:tcW w:w="1915" w:type="dxa"/>
          </w:tcPr>
          <w:p w:rsidR="0087455A" w:rsidRPr="007060E0" w:rsidRDefault="0087455A">
            <w:pPr>
              <w:rPr>
                <w:lang w:val="es-MX"/>
              </w:rPr>
            </w:pPr>
          </w:p>
        </w:tc>
        <w:tc>
          <w:tcPr>
            <w:tcW w:w="1916" w:type="dxa"/>
          </w:tcPr>
          <w:p w:rsidR="0087455A" w:rsidRPr="007060E0" w:rsidRDefault="0087455A">
            <w:pPr>
              <w:rPr>
                <w:lang w:val="es-MX"/>
              </w:rPr>
            </w:pPr>
          </w:p>
        </w:tc>
      </w:tr>
    </w:tbl>
    <w:p w:rsidR="0087455A" w:rsidRPr="007060E0" w:rsidRDefault="0087455A">
      <w:pPr>
        <w:rPr>
          <w:lang w:val="es-MX"/>
        </w:rPr>
      </w:pPr>
    </w:p>
    <w:p w:rsidR="0087455A" w:rsidRPr="007060E0" w:rsidRDefault="0087455A">
      <w:pPr>
        <w:jc w:val="center"/>
        <w:rPr>
          <w:b/>
          <w:bCs/>
          <w:lang w:val="es-MX"/>
        </w:rPr>
      </w:pPr>
    </w:p>
    <w:sectPr w:rsidR="0087455A" w:rsidRPr="007060E0">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B95" w:rsidRDefault="00141B95">
      <w:r>
        <w:separator/>
      </w:r>
    </w:p>
  </w:endnote>
  <w:endnote w:type="continuationSeparator" w:id="0">
    <w:p w:rsidR="00141B95" w:rsidRDefault="0014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0E0" w:rsidRPr="0033525D" w:rsidRDefault="007060E0">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0E0" w:rsidRPr="0033525D" w:rsidRDefault="007060E0">
    <w:pPr>
      <w:jc w:val="center"/>
    </w:pPr>
    <w: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0E0" w:rsidRPr="00AD167B" w:rsidRDefault="007060E0" w:rsidP="00AD167B">
    <w:pPr>
      <w:pBdr>
        <w:top w:val="single" w:sz="4" w:space="1" w:color="auto"/>
        <w:left w:val="single" w:sz="4" w:space="28" w:color="auto"/>
        <w:bottom w:val="single" w:sz="4" w:space="1" w:color="auto"/>
        <w:right w:val="single" w:sz="4" w:space="4" w:color="auto"/>
      </w:pBdr>
      <w:ind w:left="-142"/>
      <w:jc w:val="center"/>
      <w:rPr>
        <w:sz w:val="18"/>
        <w:szCs w:val="18"/>
        <w:lang w:val="es-MX"/>
      </w:rPr>
    </w:pPr>
    <w:r w:rsidRPr="00AD167B">
      <w:rPr>
        <w:sz w:val="18"/>
        <w:szCs w:val="18"/>
        <w:lang w:val="es-MX"/>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7060E0" w:rsidRPr="003F4AB9" w:rsidRDefault="007060E0" w:rsidP="00AD167B">
    <w:pPr>
      <w:jc w:val="center"/>
      <w:rPr>
        <w:sz w:val="18"/>
        <w:szCs w:val="18"/>
        <w:lang w:val="es-ES"/>
      </w:rPr>
    </w:pPr>
  </w:p>
  <w:p w:rsidR="007060E0" w:rsidRPr="003F4AB9" w:rsidRDefault="007060E0" w:rsidP="00B252E0">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265FC1">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B95" w:rsidRDefault="00141B95">
      <w:r>
        <w:separator/>
      </w:r>
    </w:p>
  </w:footnote>
  <w:footnote w:type="continuationSeparator" w:id="0">
    <w:p w:rsidR="00141B95" w:rsidRDefault="00141B95">
      <w:r>
        <w:continuationSeparator/>
      </w:r>
    </w:p>
  </w:footnote>
  <w:footnote w:id="1">
    <w:p w:rsidR="007060E0" w:rsidRPr="008E07C3" w:rsidRDefault="007060E0" w:rsidP="007060E0">
      <w:pPr>
        <w:pStyle w:val="FootnoteText"/>
      </w:pPr>
      <w:r>
        <w:rPr>
          <w:rStyle w:val="FootnoteReference"/>
        </w:rPr>
        <w:footnoteRef/>
      </w:r>
      <w:r>
        <w:t xml:space="preserve"> En sintonía con las prácticas contables habituales y con los acuerdos estándar entre el Tesorero y los países donantes que optaron por firmar un acuerdo con dicho Tesorero, todo ingreso resultante de intereses devengados que se atribuyan a las contribuciones adicionales se acreditará como ingresos del Fondo Multilateral y se utilizarán conforme a las políticas-normativas y directrices del Comité Ejecutivo.</w:t>
      </w:r>
    </w:p>
  </w:footnote>
  <w:footnote w:id="2">
    <w:p w:rsidR="007060E0" w:rsidRDefault="007060E0" w:rsidP="007060E0">
      <w:pPr>
        <w:pStyle w:val="FootnoteText"/>
      </w:pPr>
      <w:r>
        <w:rPr>
          <w:rStyle w:val="FootnoteReference"/>
        </w:rPr>
        <w:footnoteRef/>
      </w:r>
      <w:r>
        <w:t xml:space="preserve"> En el marco de la contribución bilateral de los Gobiernos de Alemania (304.950 $EUA) e Italia (208.650 $EUA).</w:t>
      </w:r>
    </w:p>
    <w:p w:rsidR="00AD167B" w:rsidRDefault="00AD167B" w:rsidP="007060E0">
      <w:pPr>
        <w:pStyle w:val="FootnoteText"/>
      </w:pPr>
    </w:p>
    <w:p w:rsidR="00AD167B" w:rsidRDefault="00AD167B" w:rsidP="007060E0">
      <w:pPr>
        <w:pStyle w:val="FootnoteText"/>
      </w:pPr>
    </w:p>
    <w:p w:rsidR="00AD167B" w:rsidRPr="00212A47" w:rsidRDefault="00AD167B" w:rsidP="007060E0">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0E0" w:rsidRPr="0033525D" w:rsidRDefault="007060E0" w:rsidP="009A4799">
    <w:pPr>
      <w:jc w:val="left"/>
    </w:pPr>
    <w:r>
      <w:fldChar w:fldCharType="begin"/>
    </w:r>
    <w:r>
      <w:instrText xml:space="preserve"> DOCPROPERTY "Document number"  \* MERGEFORMAT </w:instrText>
    </w:r>
    <w:r>
      <w:fldChar w:fldCharType="separate"/>
    </w:r>
    <w:r w:rsidR="00434AD1">
      <w:t>UNEP/</w:t>
    </w:r>
    <w:proofErr w:type="spellStart"/>
    <w:r w:rsidR="00434AD1">
      <w:t>OzL.Pro</w:t>
    </w:r>
    <w:proofErr w:type="spellEnd"/>
    <w:r w:rsidR="00434AD1">
      <w:t>/</w:t>
    </w:r>
    <w:proofErr w:type="spellStart"/>
    <w:r w:rsidR="00434AD1">
      <w:t>ExCom</w:t>
    </w:r>
    <w:proofErr w:type="spellEnd"/>
    <w:r w:rsidR="00434AD1">
      <w:t>/84/5</w:t>
    </w:r>
    <w:r>
      <w:fldChar w:fldCharType="end"/>
    </w:r>
  </w:p>
  <w:p w:rsidR="007060E0" w:rsidRDefault="007060E0" w:rsidP="00DB75FE"/>
  <w:p w:rsidR="00AD167B" w:rsidRPr="0033525D" w:rsidRDefault="00AD167B" w:rsidP="00DB75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0E0" w:rsidRDefault="007060E0" w:rsidP="0056178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w:t>
    </w:r>
    <w:r>
      <w:fldChar w:fldCharType="end"/>
    </w:r>
  </w:p>
  <w:p w:rsidR="007060E0" w:rsidRPr="0033525D" w:rsidRDefault="007060E0" w:rsidP="00561786">
    <w:pPr>
      <w:jc w:val="right"/>
    </w:pPr>
    <w:r>
      <w:t>Anexo I</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141B95">
    <w:pPr>
      <w:jc w:val="right"/>
    </w:pPr>
    <w:r>
      <w:fldChar w:fldCharType="begin"/>
    </w:r>
    <w:r>
      <w:instrText xml:space="preserve"> DOCPROPERTY "Document number"  \* MERGEFORMAT </w:instrText>
    </w:r>
    <w:r>
      <w:fldChar w:fldCharType="separate"/>
    </w:r>
    <w:r w:rsidR="001841B1">
      <w:t>UNEP/</w:t>
    </w:r>
    <w:proofErr w:type="spellStart"/>
    <w:r w:rsidR="001841B1">
      <w:t>OzL.Pro</w:t>
    </w:r>
    <w:proofErr w:type="spellEnd"/>
    <w:r w:rsidR="001841B1">
      <w:t>/</w:t>
    </w:r>
    <w:proofErr w:type="spellStart"/>
    <w:r w:rsidR="001841B1">
      <w:t>ExCom</w:t>
    </w:r>
    <w:proofErr w:type="spellEnd"/>
    <w:r w:rsidR="001841B1">
      <w:t>/84/</w:t>
    </w:r>
    <w:r>
      <w:fldChar w:fldCharType="end"/>
    </w:r>
    <w:r w:rsidR="007060E0">
      <w:t>5</w:t>
    </w:r>
  </w:p>
  <w:p w:rsidR="007060E0" w:rsidRDefault="007060E0">
    <w:pPr>
      <w:jc w:val="right"/>
    </w:pPr>
    <w:r>
      <w:t>Anexo I</w:t>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64375A"/>
    <w:multiLevelType w:val="hybridMultilevel"/>
    <w:tmpl w:val="B5D898C6"/>
    <w:lvl w:ilvl="0" w:tplc="782CC4B2">
      <w:start w:val="1"/>
      <w:numFmt w:val="lowerRoman"/>
      <w:lvlText w:val="(%1)"/>
      <w:lvlJc w:val="left"/>
      <w:pPr>
        <w:ind w:left="2658" w:hanging="360"/>
      </w:pPr>
      <w:rPr>
        <w:rFonts w:ascii="Times New Roman" w:eastAsia="Times New Roman" w:hAnsi="Times New Roman" w:cs="Times New Roman"/>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1B1"/>
    <w:rsid w:val="000B578E"/>
    <w:rsid w:val="00106F6E"/>
    <w:rsid w:val="00114CAA"/>
    <w:rsid w:val="00141B95"/>
    <w:rsid w:val="001841B1"/>
    <w:rsid w:val="001C2D22"/>
    <w:rsid w:val="001F4047"/>
    <w:rsid w:val="00235D4C"/>
    <w:rsid w:val="0024162E"/>
    <w:rsid w:val="00265FC1"/>
    <w:rsid w:val="002E05F8"/>
    <w:rsid w:val="003863A4"/>
    <w:rsid w:val="003B7115"/>
    <w:rsid w:val="003F4AB9"/>
    <w:rsid w:val="00434AD1"/>
    <w:rsid w:val="00455352"/>
    <w:rsid w:val="00476E28"/>
    <w:rsid w:val="007060E0"/>
    <w:rsid w:val="00796ACF"/>
    <w:rsid w:val="00831BC5"/>
    <w:rsid w:val="0087455A"/>
    <w:rsid w:val="00920412"/>
    <w:rsid w:val="009669D7"/>
    <w:rsid w:val="009E4B28"/>
    <w:rsid w:val="00AA7C6B"/>
    <w:rsid w:val="00AB56E5"/>
    <w:rsid w:val="00AD167B"/>
    <w:rsid w:val="00C14E67"/>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70A5384-562C-420A-92FC-DA85D7B9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7060E0"/>
    <w:pPr>
      <w:ind w:left="720"/>
      <w:contextualSpacing/>
    </w:pPr>
    <w:rPr>
      <w:lang w:val="es-ES"/>
    </w:rPr>
  </w:style>
  <w:style w:type="paragraph" w:styleId="FootnoteText">
    <w:name w:val="footnote text"/>
    <w:basedOn w:val="Normal"/>
    <w:link w:val="FootnoteTextChar"/>
    <w:uiPriority w:val="99"/>
    <w:semiHidden/>
    <w:unhideWhenUsed/>
    <w:rsid w:val="007060E0"/>
    <w:rPr>
      <w:sz w:val="20"/>
      <w:szCs w:val="20"/>
      <w:lang w:val="es-ES"/>
    </w:rPr>
  </w:style>
  <w:style w:type="character" w:customStyle="1" w:styleId="FootnoteTextChar">
    <w:name w:val="Footnote Text Char"/>
    <w:basedOn w:val="DefaultParagraphFont"/>
    <w:link w:val="FootnoteText"/>
    <w:uiPriority w:val="99"/>
    <w:semiHidden/>
    <w:rsid w:val="007060E0"/>
    <w:rPr>
      <w:lang w:val="es-ES"/>
    </w:rPr>
  </w:style>
  <w:style w:type="character" w:styleId="FootnoteReference">
    <w:name w:val="footnote reference"/>
    <w:basedOn w:val="DefaultParagraphFont"/>
    <w:uiPriority w:val="99"/>
    <w:semiHidden/>
    <w:unhideWhenUsed/>
    <w:rsid w:val="007060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tercer%20intento\es-ES\S84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Document_x0020_Number>
  </documentManagement>
</p:properties>
</file>

<file path=customXml/itemProps1.xml><?xml version="1.0" encoding="utf-8"?>
<ds:datastoreItem xmlns:ds="http://schemas.openxmlformats.org/officeDocument/2006/customXml" ds:itemID="{CFB418F5-2B78-4EEC-8C64-2D2D4E824C6A}"/>
</file>

<file path=customXml/itemProps2.xml><?xml version="1.0" encoding="utf-8"?>
<ds:datastoreItem xmlns:ds="http://schemas.openxmlformats.org/officeDocument/2006/customXml" ds:itemID="{AAEAD7A6-4A1D-4163-A695-533E8A235FE0}"/>
</file>

<file path=customXml/itemProps3.xml><?xml version="1.0" encoding="utf-8"?>
<ds:datastoreItem xmlns:ds="http://schemas.openxmlformats.org/officeDocument/2006/customXml" ds:itemID="{678EC83D-AC9F-414A-B225-DFDE0C3264F6}"/>
</file>

<file path=customXml/itemProps4.xml><?xml version="1.0" encoding="utf-8"?>
<ds:datastoreItem xmlns:ds="http://schemas.openxmlformats.org/officeDocument/2006/customXml" ds:itemID="{E1A729BB-11ED-4A19-9590-E3EB06FF205E}"/>
</file>

<file path=docProps/app.xml><?xml version="1.0" encoding="utf-8"?>
<Properties xmlns="http://schemas.openxmlformats.org/officeDocument/2006/extended-properties" xmlns:vt="http://schemas.openxmlformats.org/officeDocument/2006/docPropsVTypes">
  <Template>S8405</Template>
  <TotalTime>37</TotalTime>
  <Pages>5</Pages>
  <Words>688</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Situación de las contribuciones adicionales al Fondo multilateral y disponibilidad de recursos</vt:lpstr>
    </vt:vector>
  </TitlesOfParts>
  <Company>UNMFS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adicionales al Fondo multilateral y disponibilidad de recursos</dc:title>
  <dc:creator>Alejandro Moreno-Ramos</dc:creator>
  <cp:lastModifiedBy>HBE</cp:lastModifiedBy>
  <cp:revision>50</cp:revision>
  <cp:lastPrinted>2001-05-26T16:40:00Z</cp:lastPrinted>
  <dcterms:created xsi:type="dcterms:W3CDTF">2019-11-20T18:23:00Z</dcterms:created>
  <dcterms:modified xsi:type="dcterms:W3CDTF">2019-11-25T22:21:00Z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vt:lpwstr>
  </property>
  <property fmtid="{D5CDD505-2E9C-101B-9397-08002B2CF9AE}" pid="3" name="Revision date">
    <vt:lpwstr>10/1/2019</vt:lpwstr>
  </property>
  <property fmtid="{D5CDD505-2E9C-101B-9397-08002B2CF9AE}" pid="4" name="ContentTypeId">
    <vt:lpwstr>0x010100CF2D22381220FE4184AFB35730DED85F</vt:lpwstr>
  </property>
</Properties>
</file>