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342889" w14:paraId="39BB1FE7" w14:textId="77777777" w:rsidTr="00620964">
        <w:trPr>
          <w:trHeight w:val="720"/>
        </w:trPr>
        <w:tc>
          <w:tcPr>
            <w:tcW w:w="7061" w:type="dxa"/>
            <w:gridSpan w:val="2"/>
            <w:tcBorders>
              <w:bottom w:val="single" w:sz="18" w:space="0" w:color="auto"/>
            </w:tcBorders>
          </w:tcPr>
          <w:p w14:paraId="26B90621" w14:textId="77777777" w:rsidR="00342889" w:rsidRDefault="00342889" w:rsidP="006209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32CF602" w14:textId="77777777" w:rsidR="00342889" w:rsidRDefault="00342889" w:rsidP="006209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0EE67249" w14:textId="77777777" w:rsidR="00342889" w:rsidRDefault="00342889" w:rsidP="00620964">
            <w:pPr>
              <w:tabs>
                <w:tab w:val="left" w:pos="3010"/>
              </w:tabs>
              <w:jc w:val="center"/>
              <w:rPr>
                <w:sz w:val="52"/>
                <w:szCs w:val="52"/>
              </w:rPr>
            </w:pPr>
            <w:r>
              <w:rPr>
                <w:rFonts w:ascii="Univers Bold" w:hAnsi="Univers Bold"/>
                <w:b/>
                <w:sz w:val="72"/>
                <w:lang w:val="fr-CA"/>
              </w:rPr>
              <w:t xml:space="preserve">          EP</w:t>
            </w:r>
          </w:p>
        </w:tc>
      </w:tr>
      <w:tr w:rsidR="00342889" w14:paraId="6A73AA78" w14:textId="77777777" w:rsidTr="00620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C3C266" w14:textId="77777777" w:rsidR="00342889" w:rsidRDefault="00342889" w:rsidP="00620964">
            <w:pPr>
              <w:spacing w:before="120"/>
            </w:pPr>
            <w:r>
              <w:rPr>
                <w:noProof/>
                <w:lang w:val="en-CA" w:eastAsia="en-CA"/>
              </w:rPr>
              <w:drawing>
                <wp:anchor distT="0" distB="0" distL="114300" distR="114300" simplePos="0" relativeHeight="251659264" behindDoc="0" locked="0" layoutInCell="1" allowOverlap="1" wp14:anchorId="17EAF5BF" wp14:editId="55BB7536">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291364C8" wp14:editId="680E0BF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305A8F6" w14:textId="77777777" w:rsidR="00342889" w:rsidRDefault="00342889" w:rsidP="006209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B2F9A0B" w14:textId="77777777" w:rsidR="00342889" w:rsidRDefault="00342889" w:rsidP="006209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C356612" w14:textId="77777777" w:rsidR="00342889" w:rsidRDefault="00342889" w:rsidP="00620964">
            <w:pPr>
              <w:rPr>
                <w:rFonts w:ascii="Univers" w:hAnsi="Univers"/>
                <w:b/>
                <w:sz w:val="32"/>
                <w:lang w:val="fr-CA"/>
              </w:rPr>
            </w:pPr>
            <w:r>
              <w:rPr>
                <w:rFonts w:ascii="Univers" w:hAnsi="Univers"/>
                <w:b/>
                <w:sz w:val="32"/>
                <w:lang w:val="fr-CA"/>
              </w:rPr>
              <w:t>Nations Unies pour</w:t>
            </w:r>
          </w:p>
          <w:p w14:paraId="0799A4B9" w14:textId="77777777" w:rsidR="00342889" w:rsidRDefault="00342889" w:rsidP="00620964">
            <w:pPr>
              <w:rPr>
                <w:rFonts w:ascii="Univers" w:hAnsi="Univers"/>
                <w:b/>
                <w:sz w:val="32"/>
                <w:lang w:val="fr-CA"/>
              </w:rPr>
            </w:pPr>
            <w:r>
              <w:rPr>
                <w:rFonts w:ascii="Univers" w:hAnsi="Univers"/>
                <w:b/>
                <w:sz w:val="32"/>
                <w:lang w:val="fr-CA"/>
              </w:rPr>
              <w:t>l’environnement</w:t>
            </w:r>
          </w:p>
          <w:p w14:paraId="2C50FB11" w14:textId="77777777" w:rsidR="00342889" w:rsidRDefault="00342889" w:rsidP="00620964">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9BC74F2" w14:textId="77777777" w:rsidR="00342889" w:rsidRDefault="00342889" w:rsidP="00620964">
            <w:pPr>
              <w:rPr>
                <w:lang w:val="fr-FR"/>
              </w:rPr>
            </w:pPr>
          </w:p>
          <w:p w14:paraId="0DDF437B" w14:textId="77777777" w:rsidR="00342889" w:rsidRPr="00342889" w:rsidRDefault="00342889" w:rsidP="00620964">
            <w:pPr>
              <w:rPr>
                <w:lang w:val="fr-FR"/>
              </w:rPr>
            </w:pPr>
            <w:r w:rsidRPr="00342889">
              <w:rPr>
                <w:lang w:val="fr-FR"/>
              </w:rPr>
              <w:t>Distr.</w:t>
            </w:r>
          </w:p>
          <w:p w14:paraId="492C77CF" w14:textId="77777777" w:rsidR="00342889" w:rsidRPr="00342889" w:rsidRDefault="00342889" w:rsidP="00620964">
            <w:pPr>
              <w:rPr>
                <w:lang w:val="fr-FR"/>
              </w:rPr>
            </w:pPr>
            <w:r w:rsidRPr="00342889">
              <w:rPr>
                <w:lang w:val="fr-FR"/>
              </w:rPr>
              <w:t>GÉNÉRALE</w:t>
            </w:r>
          </w:p>
          <w:p w14:paraId="49FD2DE5" w14:textId="77777777" w:rsidR="00342889" w:rsidRPr="00342889" w:rsidRDefault="00342889" w:rsidP="00620964">
            <w:pPr>
              <w:rPr>
                <w:lang w:val="fr-FR"/>
              </w:rPr>
            </w:pPr>
          </w:p>
          <w:bookmarkStart w:id="0" w:name="_GoBack"/>
          <w:p w14:paraId="10D68109" w14:textId="3DBCF181" w:rsidR="00342889" w:rsidRPr="00342889" w:rsidRDefault="00342889" w:rsidP="00620964">
            <w:pPr>
              <w:rPr>
                <w:lang w:val="fr-FR"/>
              </w:rPr>
            </w:pPr>
            <w:r w:rsidRPr="00342889">
              <w:rPr>
                <w:lang w:val="fr-FR"/>
              </w:rPr>
              <w:fldChar w:fldCharType="begin"/>
            </w:r>
            <w:r w:rsidRPr="00342889">
              <w:rPr>
                <w:lang w:val="fr-FR"/>
              </w:rPr>
              <w:instrText xml:space="preserve"> DOCPROPERTY "Document number"  \* MERGEFORMAT </w:instrText>
            </w:r>
            <w:r w:rsidRPr="00342889">
              <w:rPr>
                <w:lang w:val="fr-FR"/>
              </w:rPr>
              <w:fldChar w:fldCharType="separate"/>
            </w:r>
            <w:r w:rsidR="002B1F50">
              <w:rPr>
                <w:lang w:val="fr-FR"/>
              </w:rPr>
              <w:t>UNEP/OzL.Pro/ExCom/84/65</w:t>
            </w:r>
            <w:r w:rsidRPr="00342889">
              <w:rPr>
                <w:lang w:val="fr-FR"/>
              </w:rPr>
              <w:fldChar w:fldCharType="end"/>
            </w:r>
          </w:p>
          <w:p w14:paraId="1020FDC1" w14:textId="6DC42980" w:rsidR="00342889" w:rsidRPr="00342889" w:rsidRDefault="00342889" w:rsidP="00620964">
            <w:pPr>
              <w:rPr>
                <w:lang w:val="fr-FR"/>
              </w:rPr>
            </w:pPr>
            <w:r w:rsidRPr="00342889">
              <w:rPr>
                <w:lang w:val="fr-FR"/>
              </w:rPr>
              <w:t>19</w:t>
            </w:r>
            <w:r w:rsidR="00593D2B">
              <w:rPr>
                <w:lang w:val="fr-FR"/>
              </w:rPr>
              <w:t> </w:t>
            </w:r>
            <w:r w:rsidRPr="00342889">
              <w:rPr>
                <w:lang w:val="fr-FR"/>
              </w:rPr>
              <w:t>novembre 201</w:t>
            </w:r>
            <w:bookmarkEnd w:id="0"/>
            <w:r w:rsidRPr="00342889">
              <w:rPr>
                <w:lang w:val="fr-FR"/>
              </w:rPr>
              <w:t>9</w:t>
            </w:r>
          </w:p>
          <w:p w14:paraId="5CB39387" w14:textId="77777777" w:rsidR="00342889" w:rsidRPr="00342889" w:rsidRDefault="00342889" w:rsidP="00620964">
            <w:pPr>
              <w:rPr>
                <w:caps/>
                <w:lang w:val="fr-FR"/>
              </w:rPr>
            </w:pPr>
            <w:r w:rsidRPr="00342889">
              <w:rPr>
                <w:caps/>
                <w:lang w:val="fr-FR"/>
              </w:rPr>
              <w:br/>
              <w:t>FRANÇAIS</w:t>
            </w:r>
          </w:p>
          <w:p w14:paraId="702F87A5" w14:textId="126E3F6B" w:rsidR="00342889" w:rsidRDefault="00342889" w:rsidP="00342889">
            <w:r w:rsidRPr="00342889">
              <w:rPr>
                <w:lang w:val="fr-FR"/>
              </w:rPr>
              <w:t>ORIGINAL</w:t>
            </w:r>
            <w:r>
              <w:rPr>
                <w:lang w:val="fr-FR"/>
              </w:rPr>
              <w:t> :</w:t>
            </w:r>
            <w:r w:rsidRPr="00342889">
              <w:rPr>
                <w:lang w:val="fr-FR"/>
              </w:rPr>
              <w:t xml:space="preserve"> ANGLAIS</w:t>
            </w:r>
          </w:p>
        </w:tc>
      </w:tr>
    </w:tbl>
    <w:p w14:paraId="725F9C3A" w14:textId="77777777" w:rsidR="00342889" w:rsidRDefault="00342889" w:rsidP="00342889">
      <w:pPr>
        <w:jc w:val="left"/>
        <w:rPr>
          <w:lang w:val="fr-CA"/>
        </w:rPr>
      </w:pPr>
    </w:p>
    <w:p w14:paraId="58F946B8" w14:textId="77777777" w:rsidR="00342889" w:rsidRDefault="00342889" w:rsidP="00342889">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Quatre-vingt-quatrième</w:t>
      </w:r>
      <w:r w:rsidRPr="00FC5578">
        <w:rPr>
          <w:lang w:val="fr-CA"/>
        </w:rPr>
        <w:t xml:space="preserve"> </w:t>
      </w:r>
      <w:r>
        <w:rPr>
          <w:lang w:val="fr-CA"/>
        </w:rPr>
        <w:t>réunion</w:t>
      </w:r>
    </w:p>
    <w:p w14:paraId="6E1ADF07" w14:textId="50106A86" w:rsidR="00342889" w:rsidRDefault="00342889" w:rsidP="00342889">
      <w:pPr>
        <w:jc w:val="left"/>
        <w:rPr>
          <w:lang w:val="fr-CA"/>
        </w:rPr>
      </w:pPr>
      <w:r>
        <w:rPr>
          <w:lang w:val="fr-CA"/>
        </w:rPr>
        <w:t>Montr</w:t>
      </w:r>
      <w:r w:rsidRPr="00717343">
        <w:rPr>
          <w:lang w:val="fr-FR"/>
        </w:rPr>
        <w:t>é</w:t>
      </w:r>
      <w:r>
        <w:rPr>
          <w:lang w:val="fr-CA"/>
        </w:rPr>
        <w:t>al, 16 – 20</w:t>
      </w:r>
      <w:r w:rsidR="00593D2B">
        <w:rPr>
          <w:lang w:val="fr-CA"/>
        </w:rPr>
        <w:t> </w:t>
      </w:r>
      <w:r>
        <w:rPr>
          <w:lang w:val="fr-CA"/>
        </w:rPr>
        <w:t>décembre 2019</w:t>
      </w:r>
    </w:p>
    <w:p w14:paraId="43118D0F" w14:textId="308CDAF7" w:rsidR="00EE66BA" w:rsidRPr="00717343" w:rsidRDefault="00EE66BA" w:rsidP="00264ACF">
      <w:pPr>
        <w:rPr>
          <w:lang w:val="fr-FR"/>
        </w:rPr>
      </w:pPr>
    </w:p>
    <w:p w14:paraId="135D47CD" w14:textId="77777777" w:rsidR="00D0546C" w:rsidRPr="00717343" w:rsidRDefault="00D0546C" w:rsidP="00D0546C">
      <w:pPr>
        <w:tabs>
          <w:tab w:val="left" w:pos="1410"/>
        </w:tabs>
        <w:rPr>
          <w:lang w:val="fr-FR"/>
        </w:rPr>
      </w:pPr>
    </w:p>
    <w:p w14:paraId="3A415606" w14:textId="5354AAA0" w:rsidR="00502FEE" w:rsidRPr="005703FE" w:rsidRDefault="00502FEE" w:rsidP="00502FEE">
      <w:pPr>
        <w:jc w:val="center"/>
        <w:rPr>
          <w:b/>
          <w:lang w:val="fr-FR"/>
        </w:rPr>
      </w:pPr>
      <w:r>
        <w:rPr>
          <w:b/>
          <w:bCs/>
          <w:lang w:val="fr"/>
        </w:rPr>
        <w:t>ANALYSE DES CONSÉQUENCES DE LA MISE EN ŒUVRE EN PARALLÈLE OU INTÉGRÉE DES ACTIVITÉS D’ÉLIMINATION DES HCFC ET DE RÉDUCTION PROGRESSIVE DES HFC (DÉCISION 81/69)</w:t>
      </w:r>
    </w:p>
    <w:p w14:paraId="778E0655" w14:textId="77777777" w:rsidR="00502FEE" w:rsidRPr="005703FE" w:rsidRDefault="00502FEE" w:rsidP="00502FEE">
      <w:pPr>
        <w:pStyle w:val="Heading1"/>
        <w:numPr>
          <w:ilvl w:val="0"/>
          <w:numId w:val="0"/>
        </w:numPr>
        <w:tabs>
          <w:tab w:val="left" w:pos="720"/>
        </w:tabs>
        <w:rPr>
          <w:b/>
          <w:lang w:val="fr-FR"/>
        </w:rPr>
      </w:pPr>
    </w:p>
    <w:p w14:paraId="1E95E923" w14:textId="77777777" w:rsidR="00502FEE" w:rsidRDefault="00502FEE" w:rsidP="00502FEE">
      <w:pPr>
        <w:pStyle w:val="Heading1"/>
        <w:numPr>
          <w:ilvl w:val="0"/>
          <w:numId w:val="0"/>
        </w:numPr>
        <w:tabs>
          <w:tab w:val="left" w:pos="720"/>
        </w:tabs>
        <w:rPr>
          <w:b/>
        </w:rPr>
      </w:pPr>
      <w:r>
        <w:rPr>
          <w:b/>
          <w:bCs/>
          <w:lang w:val="fr"/>
        </w:rPr>
        <w:t>CONTEXTE</w:t>
      </w:r>
    </w:p>
    <w:p w14:paraId="781D99BC" w14:textId="32CDCFF3" w:rsidR="00502FEE" w:rsidRPr="005703FE" w:rsidRDefault="00502FEE" w:rsidP="00502FEE">
      <w:pPr>
        <w:pStyle w:val="Heading1"/>
        <w:rPr>
          <w:lang w:val="fr-FR"/>
        </w:rPr>
      </w:pPr>
      <w:r>
        <w:rPr>
          <w:lang w:val="fr"/>
        </w:rPr>
        <w:t>À sa 80</w:t>
      </w:r>
      <w:r>
        <w:rPr>
          <w:vertAlign w:val="superscript"/>
          <w:lang w:val="fr"/>
        </w:rPr>
        <w:t>e</w:t>
      </w:r>
      <w:r>
        <w:rPr>
          <w:lang w:val="fr"/>
        </w:rPr>
        <w:t xml:space="preserve"> réunion, le Comité exécutif a examiné le document sur le plan d’activités général du Fonds multilatéral pour 2018-2020</w:t>
      </w:r>
      <w:r>
        <w:rPr>
          <w:rStyle w:val="FootnoteReference"/>
          <w:lang w:val="fr"/>
        </w:rPr>
        <w:footnoteReference w:id="1"/>
      </w:r>
      <w:r>
        <w:rPr>
          <w:lang w:val="fr"/>
        </w:rPr>
        <w:t>. Ce document comprenait une section sur la capacité du Fonds multilatéral à s’attaquer à la réduction progressive des HFC, en notant que la mise en œuvre de l’Amendement de Kigali pourrait élargir la portée et la complexité du travail du Comité exécutif, des agences d’exécution, du Secrétariat et du Trésorier. À l’issue d’un débat au cours duquel certains membres ont fait observer que les responsabilités au titre de l’Amendement de Kigali et d’autres domaines entraîneraient des travaux supplémentaires pour les institutions du Fonds, le Comité exécutif a demandé au Secrétariat de soumettre à la 81</w:t>
      </w:r>
      <w:r>
        <w:rPr>
          <w:vertAlign w:val="superscript"/>
          <w:lang w:val="fr"/>
        </w:rPr>
        <w:t>e</w:t>
      </w:r>
      <w:r>
        <w:rPr>
          <w:lang w:val="fr"/>
        </w:rPr>
        <w:t xml:space="preserve"> réunion un document sur les « implications pour les institutions du Fonds multilatéral en termes de charge de travail prévue pour les années à venir, incluant ce qui est relatif à l’Amendement de Kigali sur la réduction progressive des HFC » (décision 80/34 f)).</w:t>
      </w:r>
    </w:p>
    <w:p w14:paraId="229FC014" w14:textId="77777777" w:rsidR="00502FEE" w:rsidRPr="005703FE" w:rsidRDefault="00502FEE" w:rsidP="00502FEE">
      <w:pPr>
        <w:pStyle w:val="Heading1"/>
        <w:rPr>
          <w:lang w:val="fr-FR"/>
        </w:rPr>
      </w:pPr>
      <w:r>
        <w:rPr>
          <w:lang w:val="fr"/>
        </w:rPr>
        <w:t>Conformément à la décision 80/34 f), le Comité exécutif a examiné à sa 81</w:t>
      </w:r>
      <w:r>
        <w:rPr>
          <w:vertAlign w:val="superscript"/>
          <w:lang w:val="fr"/>
        </w:rPr>
        <w:t>e</w:t>
      </w:r>
      <w:r>
        <w:rPr>
          <w:lang w:val="fr"/>
        </w:rPr>
        <w:t xml:space="preserve"> réunion le document intitulé Implications pour les institutions du Fonds multilatéral en termes de charge de travail prévue pour les années à venir, incluant ce qui est relatif à l’Amendement de Kigali sur la réduction progressive des HFC</w:t>
      </w:r>
      <w:r>
        <w:rPr>
          <w:rStyle w:val="FootnoteReference"/>
          <w:lang w:val="fr"/>
        </w:rPr>
        <w:footnoteReference w:id="2"/>
      </w:r>
      <w:r>
        <w:rPr>
          <w:lang w:val="fr"/>
        </w:rPr>
        <w:t>. Lors des débats, il a été reconnu que certains aspects de la question exigeaient de poursuivre l’examen, afin de déterminer notamment si les activités d’élimination des HCFC et de réduction progressive des HFC devaient être menées en parallèle ou de manière intégrée, les implications de l’équilibre entre les niveaux de réapprovisionnement et la disponibilité des ressources, le rapport coût</w:t>
      </w:r>
      <w:r>
        <w:rPr>
          <w:lang w:val="fr"/>
        </w:rPr>
        <w:noBreakHyphen/>
        <w:t>efficacité, la mise en œuvre et la présentation de rapports, et les capacités des institutions du Fonds et des pays visés à l’article 5 pour effectuer un tel travail. Les autres aspects méritant une discussion plus approfondie comprenaient les partenariats et le co-financement afin de générer des cobénéfices dans des domaines comme les changements climatiques et l’efficacité de l’énergie.</w:t>
      </w:r>
    </w:p>
    <w:p w14:paraId="65987FA1" w14:textId="1FCEA1FC" w:rsidR="00502FEE" w:rsidRPr="005703FE" w:rsidRDefault="00502FEE" w:rsidP="00CB7DE8">
      <w:pPr>
        <w:pStyle w:val="Heading1"/>
        <w:keepNext/>
        <w:rPr>
          <w:lang w:val="fr-FR"/>
        </w:rPr>
      </w:pPr>
      <w:r>
        <w:rPr>
          <w:lang w:val="fr"/>
        </w:rPr>
        <w:lastRenderedPageBreak/>
        <w:t>En conséquence, le Comité exécutif a entre autres demandé au Secrétariat de :</w:t>
      </w:r>
    </w:p>
    <w:p w14:paraId="26651E74" w14:textId="1A51C791" w:rsidR="00502FEE" w:rsidRPr="005703FE" w:rsidRDefault="00502FEE" w:rsidP="00593D2B">
      <w:pPr>
        <w:pStyle w:val="Heading2"/>
        <w:rPr>
          <w:lang w:val="fr-FR"/>
        </w:rPr>
      </w:pPr>
      <w:r>
        <w:rPr>
          <w:lang w:val="fr"/>
        </w:rPr>
        <w:t>Présenter à la 84</w:t>
      </w:r>
      <w:r>
        <w:rPr>
          <w:vertAlign w:val="superscript"/>
          <w:lang w:val="fr"/>
        </w:rPr>
        <w:t>e</w:t>
      </w:r>
      <w:r>
        <w:rPr>
          <w:lang w:val="fr"/>
        </w:rPr>
        <w:t xml:space="preserve"> réunion, une analyse menée en consultation avec les agences bilatérales et d’exécution, sur les effets de la mise en œuvre intégrée ou en parallèle des activités d’élimination des HCFC et des activités de réduction progressive des HFC, en tenant compte, entre autres, de la disponibilité des ressources et du rapport coût-efficacité et de la capacité des institutions du Fonds et des pays visés à l’article 5, en particulier des Unités nationales de l’ozone (UNO) et des Unités de gestion des projets (UGP) ; et </w:t>
      </w:r>
    </w:p>
    <w:p w14:paraId="104E0F40" w14:textId="77777777" w:rsidR="00502FEE" w:rsidRPr="005703FE" w:rsidRDefault="00502FEE" w:rsidP="00502FEE">
      <w:pPr>
        <w:pStyle w:val="Heading2"/>
        <w:rPr>
          <w:lang w:val="fr-FR"/>
        </w:rPr>
      </w:pPr>
      <w:r>
        <w:rPr>
          <w:lang w:val="fr"/>
        </w:rPr>
        <w:t>Tenir compte dans l’analyse, des partenariats pertinents et de l’engagement des institutions du Fonds avec d’autres institutions, en particulier pour les activités de réduction progressive des HFC, soutenues par le Fonds multilatéral, en conformité avec l’Amendement de Kigali (décision 81/69).</w:t>
      </w:r>
    </w:p>
    <w:p w14:paraId="1DABCC30" w14:textId="77777777" w:rsidR="00502FEE" w:rsidRPr="0011001E" w:rsidRDefault="00502FEE" w:rsidP="00502FEE">
      <w:pPr>
        <w:pStyle w:val="StyleHeader4Para4Left0Firstline0"/>
        <w:numPr>
          <w:ilvl w:val="0"/>
          <w:numId w:val="0"/>
        </w:numPr>
        <w:rPr>
          <w:b/>
          <w:sz w:val="22"/>
        </w:rPr>
      </w:pPr>
      <w:r>
        <w:rPr>
          <w:b/>
          <w:bCs/>
          <w:sz w:val="22"/>
          <w:lang w:val="fr"/>
        </w:rPr>
        <w:t>Portée et structure du document</w:t>
      </w:r>
    </w:p>
    <w:p w14:paraId="62C52148" w14:textId="77777777" w:rsidR="00502FEE" w:rsidRPr="005703FE" w:rsidRDefault="00502FEE" w:rsidP="00502FEE">
      <w:pPr>
        <w:pStyle w:val="Heading1"/>
        <w:rPr>
          <w:lang w:val="fr-FR"/>
        </w:rPr>
      </w:pPr>
      <w:r>
        <w:rPr>
          <w:lang w:val="fr"/>
        </w:rPr>
        <w:t>Le Secrétariat a préparé le présent document conformément à la décision 81/69.</w:t>
      </w:r>
    </w:p>
    <w:p w14:paraId="3F9AAAD0" w14:textId="77777777" w:rsidR="00502FEE" w:rsidRPr="005703FE" w:rsidRDefault="00502FEE" w:rsidP="00502FEE">
      <w:pPr>
        <w:pStyle w:val="Heading1"/>
        <w:rPr>
          <w:lang w:val="fr-FR"/>
        </w:rPr>
      </w:pPr>
      <w:r>
        <w:rPr>
          <w:lang w:val="fr"/>
        </w:rPr>
        <w:t xml:space="preserve">Les termes « mise en œuvre parallèle » et « mise en œuvre intégrée » n’ont pas été définis dans le contexte du Fonds multilatéral. Cependant, tout au long de l’histoire du Fonds, les activités d’élimination ont été mises en œuvre de manière « parallèle » et/ou « intégrée », comme illustré ci-dessous. </w:t>
      </w:r>
    </w:p>
    <w:p w14:paraId="2B97B75E" w14:textId="77777777" w:rsidR="00502FEE" w:rsidRPr="005703FE" w:rsidRDefault="00502FEE" w:rsidP="00502FEE">
      <w:pPr>
        <w:pStyle w:val="Heading1"/>
        <w:rPr>
          <w:lang w:val="fr-FR"/>
        </w:rPr>
      </w:pPr>
      <w:r>
        <w:rPr>
          <w:lang w:val="fr"/>
        </w:rPr>
        <w:t>Depuis la création du Fonds et jusqu’en 2015, les pays visés à l’article 5 ont été en mesure d’éliminer complètement leur consommation et leur production de substances des groupes I (CFC) et II (halons) de l’annexe A et du groupe II (CTC) de l’annexe B avant le 1</w:t>
      </w:r>
      <w:r>
        <w:rPr>
          <w:vertAlign w:val="superscript"/>
          <w:lang w:val="fr"/>
        </w:rPr>
        <w:t>er</w:t>
      </w:r>
      <w:r>
        <w:rPr>
          <w:lang w:val="fr"/>
        </w:rPr>
        <w:t> janvier 2010, et de substances du groupe III (TCA) de l’annexe B et de l’annexe E (MB) avant le 1</w:t>
      </w:r>
      <w:r>
        <w:rPr>
          <w:vertAlign w:val="superscript"/>
          <w:lang w:val="fr"/>
        </w:rPr>
        <w:t>er</w:t>
      </w:r>
      <w:r>
        <w:rPr>
          <w:lang w:val="fr"/>
        </w:rPr>
        <w:t> janvier 2015</w:t>
      </w:r>
      <w:r>
        <w:rPr>
          <w:rStyle w:val="FootnoteReference"/>
          <w:lang w:val="fr"/>
        </w:rPr>
        <w:footnoteReference w:id="3"/>
      </w:r>
      <w:r>
        <w:rPr>
          <w:lang w:val="fr"/>
        </w:rPr>
        <w:t xml:space="preserve">. Au cours de ce processus, la majorité de l’élimination des substances réglementées a été réalisée dans le cadre de projets d’investissement autonomes et/ou de programmes d’assistance technique qui ont été mis en œuvre simultanément, c’est-à-dire de manière « parallèle ». </w:t>
      </w:r>
    </w:p>
    <w:p w14:paraId="766267C3" w14:textId="4A3F4EB1" w:rsidR="00502FEE" w:rsidRPr="005703FE" w:rsidRDefault="00502FEE" w:rsidP="00502FEE">
      <w:pPr>
        <w:pStyle w:val="Heading1"/>
        <w:rPr>
          <w:lang w:val="fr-FR"/>
        </w:rPr>
      </w:pPr>
      <w:r>
        <w:rPr>
          <w:lang w:val="fr"/>
        </w:rPr>
        <w:t xml:space="preserve">Vers la fin de l’échéance de conformité de 2010 pour les CFC et les halons, plusieurs pays visés à l’article 5 ont élaboré des plans nationaux d’élimination (PNE) qui prévoyaient la mise en œuvre « intégrée » d’activités dans le secteur manufacturier (conversion des entreprises utilisant des substances réglementées d’annexes ou de groupes différents) et le secteur de l’entretien des équipements de réfrigération. </w:t>
      </w:r>
    </w:p>
    <w:p w14:paraId="3833A325" w14:textId="2CEAEBD2" w:rsidR="00502FEE" w:rsidRPr="005703FE" w:rsidRDefault="00502FEE" w:rsidP="00502FEE">
      <w:pPr>
        <w:pStyle w:val="Heading1"/>
        <w:rPr>
          <w:lang w:val="fr-FR"/>
        </w:rPr>
      </w:pPr>
      <w:r>
        <w:rPr>
          <w:lang w:val="fr"/>
        </w:rPr>
        <w:t xml:space="preserve">Avec l’accélération des objectifs d’élimination des HCFC, de nouveaux projets d’investissement autonomes sur les HCFC ont été mis en œuvre parallèlement aux activités restantes des PNE et des plans de gestion de l’élimination finale des SAO (PGEF). Par la suite, de nombreux pays visés à l’article 5 ont pris en compte les partenariats et la structure préalablement créés par les PNE et les PGEF lorsqu’ils ont préparé leurs plans de gestion de l’élimination des HCFC (PGEH). Enfin, dans quelques pays, des activités existantes du secteur de l’entretien des équipements de réfrigération menées au titre de PNE et de PGEF ont été intégrées dans leur PGEH. </w:t>
      </w:r>
    </w:p>
    <w:p w14:paraId="30068D4C" w14:textId="77777777" w:rsidR="00502FEE" w:rsidRPr="005703FE" w:rsidRDefault="00502FEE" w:rsidP="00502FEE">
      <w:pPr>
        <w:pStyle w:val="Heading1"/>
        <w:rPr>
          <w:lang w:val="fr-FR"/>
        </w:rPr>
      </w:pPr>
      <w:r>
        <w:rPr>
          <w:lang w:val="fr"/>
        </w:rPr>
        <w:t xml:space="preserve">Conformément aux modalités d’exécution du Fonds multilatéral, aux fins du présent document, la mise en œuvre « parallèle » désigne les activités de réduction progressive des HFC qui devront être menées simultanément avec les activités d’élimination des HCFC en cours, avec des actions distinctes et, parfois, des parties prenantes différentes. En revanche, la mise en œuvre « intégrée » fait référence aux </w:t>
      </w:r>
      <w:r>
        <w:rPr>
          <w:lang w:val="fr"/>
        </w:rPr>
        <w:lastRenderedPageBreak/>
        <w:t>activités de réduction progressive des HFC qui peuvent être intégrées dans les activités en cours ou prévues d’élimination des HCFC, avec des actions et des parties prenantes communes.</w:t>
      </w:r>
    </w:p>
    <w:p w14:paraId="066761B2" w14:textId="066845AC" w:rsidR="00502FEE" w:rsidRPr="005703FE" w:rsidRDefault="00502FEE" w:rsidP="00CB7DE8">
      <w:pPr>
        <w:pStyle w:val="Heading1"/>
        <w:keepNext/>
        <w:rPr>
          <w:lang w:val="fr-FR"/>
        </w:rPr>
      </w:pPr>
      <w:r>
        <w:rPr>
          <w:lang w:val="fr"/>
        </w:rPr>
        <w:t xml:space="preserve">Le présent document comprend trois parties et une recommandation : </w:t>
      </w:r>
    </w:p>
    <w:p w14:paraId="471BAF46" w14:textId="3512F6FE" w:rsidR="00502FEE" w:rsidRPr="005703FE" w:rsidRDefault="00502FEE" w:rsidP="00502FEE">
      <w:pPr>
        <w:ind w:firstLine="720"/>
        <w:rPr>
          <w:lang w:val="fr-FR"/>
        </w:rPr>
      </w:pPr>
      <w:r>
        <w:rPr>
          <w:lang w:val="fr"/>
        </w:rPr>
        <w:t>I</w:t>
      </w:r>
      <w:r>
        <w:rPr>
          <w:lang w:val="fr"/>
        </w:rPr>
        <w:tab/>
      </w:r>
      <w:r>
        <w:rPr>
          <w:u w:val="single"/>
          <w:lang w:val="fr"/>
        </w:rPr>
        <w:t>Aperçu de la consommation de HCFC et de HFC et des réductions nécessaires</w:t>
      </w:r>
      <w:r w:rsidR="00593D2B">
        <w:rPr>
          <w:lang w:val="fr"/>
        </w:rPr>
        <w:t> :</w:t>
      </w:r>
    </w:p>
    <w:p w14:paraId="0C1FE075" w14:textId="77777777" w:rsidR="00502FEE" w:rsidRPr="005703FE" w:rsidRDefault="00502FEE" w:rsidP="00502FEE">
      <w:pPr>
        <w:ind w:left="1440"/>
        <w:rPr>
          <w:lang w:val="fr-FR"/>
        </w:rPr>
      </w:pPr>
    </w:p>
    <w:p w14:paraId="3DF29BAE" w14:textId="4EF1D7A0" w:rsidR="00502FEE" w:rsidRPr="005703FE" w:rsidRDefault="00502FEE" w:rsidP="00502FEE">
      <w:pPr>
        <w:ind w:left="1440"/>
        <w:rPr>
          <w:lang w:val="fr-FR"/>
        </w:rPr>
      </w:pPr>
      <w:r>
        <w:rPr>
          <w:lang w:val="fr"/>
        </w:rPr>
        <w:t xml:space="preserve">Afin de déterminer l’ampleur du défi supplémentaire que représente la réduction progressive des HFC alors que l’élimination des HCFC se poursuit, il est important de comprendre les niveaux actuels de production et de consommation de ces substances et de prévoir les quantités qui devront être réduites pendant la période 2020-2030. En conséquence, cette section décrit les objectifs de conformité concernant l’élimination des HCFC et la réduction progressive des HFC pour les pays visés à l’article 5 ; prédit la consommation de HCFC et de HFC pour 2020-2030 ; et estime la répartition des HCFC et des HFC entre le secteur manufacturier et le secteur de l’entretien des équipements de réfrigération. </w:t>
      </w:r>
    </w:p>
    <w:p w14:paraId="1F4B3E60" w14:textId="77777777" w:rsidR="00502FEE" w:rsidRPr="005703FE" w:rsidRDefault="00502FEE" w:rsidP="00502FEE">
      <w:pPr>
        <w:rPr>
          <w:lang w:val="fr-FR"/>
        </w:rPr>
      </w:pPr>
    </w:p>
    <w:p w14:paraId="24A4AC63" w14:textId="468E6D78" w:rsidR="00502FEE" w:rsidRPr="005703FE" w:rsidRDefault="00502FEE" w:rsidP="00502FEE">
      <w:pPr>
        <w:ind w:left="1440" w:hanging="720"/>
        <w:rPr>
          <w:lang w:val="fr-FR"/>
        </w:rPr>
      </w:pPr>
      <w:r>
        <w:rPr>
          <w:lang w:val="fr"/>
        </w:rPr>
        <w:t>II</w:t>
      </w:r>
      <w:r>
        <w:rPr>
          <w:lang w:val="fr"/>
        </w:rPr>
        <w:tab/>
      </w:r>
      <w:r>
        <w:rPr>
          <w:u w:val="single"/>
          <w:lang w:val="fr"/>
        </w:rPr>
        <w:t>Mise en œuvre parallèle ou intégrée des activités d’élimination des HCFC et de réduction progressive des HFC</w:t>
      </w:r>
      <w:r w:rsidR="00593D2B">
        <w:rPr>
          <w:lang w:val="fr"/>
        </w:rPr>
        <w:t> :</w:t>
      </w:r>
    </w:p>
    <w:p w14:paraId="5C761EB1" w14:textId="77777777" w:rsidR="00502FEE" w:rsidRPr="005703FE" w:rsidRDefault="00502FEE" w:rsidP="00502FEE">
      <w:pPr>
        <w:rPr>
          <w:lang w:val="fr-FR"/>
        </w:rPr>
      </w:pPr>
    </w:p>
    <w:p w14:paraId="3A844624" w14:textId="77563DE6" w:rsidR="00502FEE" w:rsidRPr="005703FE" w:rsidRDefault="00502FEE" w:rsidP="00502FEE">
      <w:pPr>
        <w:ind w:left="1440"/>
        <w:rPr>
          <w:lang w:val="fr-FR"/>
        </w:rPr>
      </w:pPr>
      <w:r>
        <w:rPr>
          <w:lang w:val="fr"/>
        </w:rPr>
        <w:t>Cette section examine les variables qui influent sur le choix d’une mise en œuvre intégrée ou parallèle des activités ; et analyse la mesure dans laquelle les activités d’élimination des HCFC et de réduction progressive des HFC devraient être mises en œuvre de manière intégrée ou parallèle dans les secteurs de la production, de la consommation, de la fabrication et de l’entretien des équipements de réfrig</w:t>
      </w:r>
      <w:r w:rsidR="00BE0E37">
        <w:rPr>
          <w:lang w:val="fr"/>
        </w:rPr>
        <w:t>ération pendant la période 2020</w:t>
      </w:r>
      <w:r w:rsidR="00BE0E37">
        <w:rPr>
          <w:lang w:val="fr"/>
        </w:rPr>
        <w:noBreakHyphen/>
      </w:r>
      <w:r>
        <w:rPr>
          <w:lang w:val="fr"/>
        </w:rPr>
        <w:t xml:space="preserve">2030. Pour chacun de ces secteurs, l’analyse porte sur les questions liées à la disponibilité des ressources et au rapport coût-efficacité, à la capacité des institutions du Fonds et des pays visés à l’article 5, et aux domaines dans lesquels des politiques doivent être formulées par le Comité exécutif. </w:t>
      </w:r>
    </w:p>
    <w:p w14:paraId="7F83A4BF" w14:textId="77777777" w:rsidR="00502FEE" w:rsidRPr="005703FE" w:rsidRDefault="00502FEE" w:rsidP="00502FEE">
      <w:pPr>
        <w:rPr>
          <w:lang w:val="fr-FR"/>
        </w:rPr>
      </w:pPr>
    </w:p>
    <w:p w14:paraId="78543323" w14:textId="77777777" w:rsidR="00502FEE" w:rsidRPr="005703FE" w:rsidRDefault="00502FEE" w:rsidP="00502FEE">
      <w:pPr>
        <w:ind w:firstLine="720"/>
        <w:rPr>
          <w:u w:val="single"/>
          <w:lang w:val="fr-FR"/>
        </w:rPr>
      </w:pPr>
      <w:r>
        <w:rPr>
          <w:lang w:val="fr"/>
        </w:rPr>
        <w:t>III</w:t>
      </w:r>
      <w:r>
        <w:rPr>
          <w:lang w:val="fr"/>
        </w:rPr>
        <w:tab/>
      </w:r>
      <w:r>
        <w:rPr>
          <w:u w:val="single"/>
          <w:lang w:val="fr"/>
        </w:rPr>
        <w:t>Observations</w:t>
      </w:r>
      <w:r>
        <w:rPr>
          <w:lang w:val="fr"/>
        </w:rPr>
        <w:t> :</w:t>
      </w:r>
    </w:p>
    <w:p w14:paraId="513ABA61" w14:textId="77777777" w:rsidR="00502FEE" w:rsidRPr="005703FE" w:rsidRDefault="00502FEE" w:rsidP="00502FEE">
      <w:pPr>
        <w:ind w:firstLine="720"/>
        <w:rPr>
          <w:lang w:val="fr-FR"/>
        </w:rPr>
      </w:pPr>
      <w:r>
        <w:rPr>
          <w:lang w:val="fr"/>
        </w:rPr>
        <w:tab/>
      </w:r>
    </w:p>
    <w:p w14:paraId="550CEE08" w14:textId="77777777" w:rsidR="00502FEE" w:rsidRPr="005703FE" w:rsidRDefault="00502FEE" w:rsidP="00502FEE">
      <w:pPr>
        <w:ind w:left="1440" w:hanging="720"/>
        <w:rPr>
          <w:lang w:val="fr-FR"/>
        </w:rPr>
      </w:pPr>
      <w:r>
        <w:rPr>
          <w:lang w:val="fr"/>
        </w:rPr>
        <w:tab/>
        <w:t>Cette partie présente un ensemble d’observations du Secrétariat fondées sur l’analyse contenue dans le document et formule une recommandation.</w:t>
      </w:r>
    </w:p>
    <w:p w14:paraId="6C149E17" w14:textId="77777777" w:rsidR="00502FEE" w:rsidRPr="005703FE" w:rsidRDefault="00502FEE" w:rsidP="00502FEE">
      <w:pPr>
        <w:rPr>
          <w:u w:val="single"/>
          <w:lang w:val="fr-FR"/>
        </w:rPr>
      </w:pPr>
    </w:p>
    <w:p w14:paraId="6E01DBDA" w14:textId="77777777" w:rsidR="00502FEE" w:rsidRPr="005703FE" w:rsidRDefault="00502FEE" w:rsidP="00502FEE">
      <w:pPr>
        <w:pStyle w:val="Heading1"/>
        <w:rPr>
          <w:lang w:val="fr-FR"/>
        </w:rPr>
      </w:pPr>
      <w:r>
        <w:rPr>
          <w:lang w:val="fr"/>
        </w:rPr>
        <w:t>Lors de l’élaboration du présent document, le Secrétariat a examiné plusieurs documents d’orientation et décisions connexes adoptés par le Comité exécutif qui permettent de mieux comprendre différents éléments de la décision 81/69 a).</w:t>
      </w:r>
    </w:p>
    <w:p w14:paraId="585C3201" w14:textId="77777777" w:rsidR="00502FEE" w:rsidRPr="005703FE" w:rsidRDefault="00502FEE" w:rsidP="00502FEE">
      <w:pPr>
        <w:rPr>
          <w:u w:val="single"/>
          <w:lang w:val="fr-FR"/>
        </w:rPr>
      </w:pPr>
      <w:r>
        <w:rPr>
          <w:u w:val="single"/>
          <w:lang w:val="fr"/>
        </w:rPr>
        <w:t>Discussions lors de la réunion de coordination interagences</w:t>
      </w:r>
    </w:p>
    <w:p w14:paraId="63F73B49" w14:textId="77777777" w:rsidR="00502FEE" w:rsidRPr="005703FE" w:rsidRDefault="00502FEE" w:rsidP="00502FEE">
      <w:pPr>
        <w:rPr>
          <w:u w:val="single"/>
          <w:lang w:val="fr-FR"/>
        </w:rPr>
      </w:pPr>
    </w:p>
    <w:p w14:paraId="1EAA4114" w14:textId="018DE1CA" w:rsidR="00502FEE" w:rsidRPr="005703FE" w:rsidRDefault="00502FEE" w:rsidP="00502FEE">
      <w:pPr>
        <w:pStyle w:val="Heading1"/>
        <w:rPr>
          <w:lang w:val="fr-FR"/>
        </w:rPr>
      </w:pPr>
      <w:r>
        <w:rPr>
          <w:lang w:val="fr"/>
        </w:rPr>
        <w:t>Au cours de la réunion de coordination interagences organisée par le Secrétariat</w:t>
      </w:r>
      <w:r>
        <w:rPr>
          <w:rStyle w:val="FootnoteReference"/>
          <w:lang w:val="fr"/>
        </w:rPr>
        <w:footnoteReference w:id="4"/>
      </w:r>
      <w:r>
        <w:rPr>
          <w:lang w:val="fr"/>
        </w:rPr>
        <w:t xml:space="preserve">, celui-ci a présenté la structure de l’analyse demandée par le Comité au titre de la décision 81/69 et a donné un aperçu des éléments (ressources disponibles, rapport coût-efficacité, capacité des institutions du Fonds et des pays visés à l’article 5, etc.) devant être pris en compte pour une mise en œuvre parallèle ou intégrée des activités d’élimination des HCFC et de réduction progressive des HFC. Au cours des débats, les agences bilatérales et d’exécution ont fait part de leurs observations et expériences concernant l’assistance fournie aux pays visés à l’article 5 pour les aider à lancer des activités liées à la réduction progressive des HFC ; ces observations et expériences ont été prises en compte dans le document. Avant de finaliser le présent document, le Secrétariat l’a envoyé aux agences bilatérales et d’exécution pour observations. Une </w:t>
      </w:r>
      <w:r>
        <w:rPr>
          <w:lang w:val="fr"/>
        </w:rPr>
        <w:lastRenderedPageBreak/>
        <w:t>agence bilatérale a formulé des observations sur le document. Le Secrétariat remercie les agences bilatérales et d’exécution des observations et informations fournies.</w:t>
      </w:r>
    </w:p>
    <w:p w14:paraId="048F62C7" w14:textId="2C392F81" w:rsidR="00502FEE" w:rsidRPr="005703FE" w:rsidRDefault="00502FEE" w:rsidP="00593D2B">
      <w:pPr>
        <w:ind w:left="1440" w:hanging="1440"/>
        <w:rPr>
          <w:b/>
          <w:lang w:val="fr-FR"/>
        </w:rPr>
      </w:pPr>
      <w:r>
        <w:rPr>
          <w:b/>
          <w:bCs/>
          <w:lang w:val="fr"/>
        </w:rPr>
        <w:t>PARTIE I</w:t>
      </w:r>
      <w:r>
        <w:rPr>
          <w:b/>
          <w:bCs/>
          <w:lang w:val="fr"/>
        </w:rPr>
        <w:tab/>
        <w:t>APERÇU DE LA CONSOMMATION DE HCFC ET DE HFC ET DES RÉDUCTIONS NÉCESSAIRES</w:t>
      </w:r>
    </w:p>
    <w:p w14:paraId="0BCD1CDA" w14:textId="77777777" w:rsidR="00502FEE" w:rsidRPr="005703FE" w:rsidRDefault="00502FEE" w:rsidP="00502FEE">
      <w:pPr>
        <w:rPr>
          <w:lang w:val="fr-FR"/>
        </w:rPr>
      </w:pPr>
    </w:p>
    <w:p w14:paraId="56D87F48" w14:textId="4C1D06DA" w:rsidR="00502FEE" w:rsidRPr="005703FE" w:rsidRDefault="00502FEE" w:rsidP="00502FEE">
      <w:pPr>
        <w:pStyle w:val="Heading1"/>
        <w:rPr>
          <w:lang w:val="fr-FR"/>
        </w:rPr>
      </w:pPr>
      <w:r>
        <w:rPr>
          <w:lang w:val="fr"/>
        </w:rPr>
        <w:t>Afin de déterminer l’ampleur du défi supplémentaire que représente la réduction progressive des HFC alors que l’élimination des HCFC se poursuit, il convient de prédire les niveaux de consommation de ces substances réglementées ainsi que les quantités qui devront être r</w:t>
      </w:r>
      <w:r w:rsidR="00614A9C">
        <w:rPr>
          <w:lang w:val="fr"/>
        </w:rPr>
        <w:t>éduites pendant la période 2020</w:t>
      </w:r>
      <w:r w:rsidR="00614A9C">
        <w:rPr>
          <w:lang w:val="fr"/>
        </w:rPr>
        <w:noBreakHyphen/>
      </w:r>
      <w:r>
        <w:rPr>
          <w:lang w:val="fr"/>
        </w:rPr>
        <w:t>2030.</w:t>
      </w:r>
    </w:p>
    <w:p w14:paraId="4A97CDD0" w14:textId="77777777" w:rsidR="00502FEE" w:rsidRPr="005703FE" w:rsidRDefault="00502FEE" w:rsidP="00502FEE">
      <w:pPr>
        <w:rPr>
          <w:b/>
          <w:lang w:val="fr-FR"/>
        </w:rPr>
      </w:pPr>
      <w:r>
        <w:rPr>
          <w:b/>
          <w:bCs/>
          <w:lang w:val="fr"/>
        </w:rPr>
        <w:t xml:space="preserve">Objectifs de conformité concernant l’élimination des HCFC et des HFC </w:t>
      </w:r>
    </w:p>
    <w:p w14:paraId="3CBF8A8A" w14:textId="77777777" w:rsidR="00502FEE" w:rsidRPr="005703FE" w:rsidRDefault="00502FEE" w:rsidP="00502FEE">
      <w:pPr>
        <w:rPr>
          <w:lang w:val="fr-FR"/>
        </w:rPr>
      </w:pPr>
    </w:p>
    <w:p w14:paraId="1B32B224" w14:textId="6A0C52DC" w:rsidR="00502FEE" w:rsidRPr="005703FE" w:rsidRDefault="00502FEE" w:rsidP="001277B2">
      <w:pPr>
        <w:pStyle w:val="Heading1"/>
        <w:rPr>
          <w:lang w:val="fr-FR"/>
        </w:rPr>
      </w:pPr>
      <w:r>
        <w:rPr>
          <w:lang w:val="fr"/>
        </w:rPr>
        <w:t>Les pays visés à l’article 5 sont actuellement tenus de réduire leur consommation et leur production de substances du groupe I de l’annexe C (HCFC) et, dans le cas de ceux qui ont ratifié l’Amendement de Kigali</w:t>
      </w:r>
      <w:r>
        <w:rPr>
          <w:rStyle w:val="FootnoteReference"/>
          <w:lang w:val="fr"/>
        </w:rPr>
        <w:footnoteReference w:id="5"/>
      </w:r>
      <w:r>
        <w:rPr>
          <w:lang w:val="fr"/>
        </w:rPr>
        <w:t>, leur consommation et leur production de substances de l’annexe F (HFC), conformément aux calendriers convenus dans le Protocole, comme indiqué au tableau 1.</w:t>
      </w:r>
    </w:p>
    <w:p w14:paraId="02E8D909" w14:textId="77777777" w:rsidR="00502FEE" w:rsidRPr="005703FE" w:rsidRDefault="00502FEE" w:rsidP="00502FEE">
      <w:pPr>
        <w:keepNext/>
        <w:rPr>
          <w:b/>
          <w:lang w:val="fr-FR"/>
        </w:rPr>
      </w:pPr>
      <w:r>
        <w:rPr>
          <w:b/>
          <w:bCs/>
          <w:lang w:val="fr"/>
        </w:rPr>
        <w:t>Tableau 1. Élimination des HCFC et réduction progressive des HFC par les pays visés à l’article 5</w:t>
      </w:r>
    </w:p>
    <w:tbl>
      <w:tblPr>
        <w:tblStyle w:val="TableGrid"/>
        <w:tblW w:w="9297" w:type="dxa"/>
        <w:tblInd w:w="58" w:type="dxa"/>
        <w:tblLook w:val="04A0" w:firstRow="1" w:lastRow="0" w:firstColumn="1" w:lastColumn="0" w:noHBand="0" w:noVBand="1"/>
      </w:tblPr>
      <w:tblGrid>
        <w:gridCol w:w="2097"/>
        <w:gridCol w:w="3600"/>
        <w:gridCol w:w="3600"/>
      </w:tblGrid>
      <w:tr w:rsidR="00502FEE" w14:paraId="5751219F" w14:textId="77777777" w:rsidTr="002D2807">
        <w:trPr>
          <w:tblHeader/>
        </w:trPr>
        <w:tc>
          <w:tcPr>
            <w:tcW w:w="2097" w:type="dxa"/>
            <w:tcBorders>
              <w:top w:val="single" w:sz="4" w:space="0" w:color="auto"/>
              <w:left w:val="single" w:sz="4" w:space="0" w:color="auto"/>
              <w:bottom w:val="single" w:sz="4" w:space="0" w:color="auto"/>
              <w:right w:val="single" w:sz="4" w:space="0" w:color="auto"/>
            </w:tcBorders>
            <w:tcMar>
              <w:top w:w="58" w:type="dxa"/>
              <w:left w:w="58" w:type="dxa"/>
              <w:bottom w:w="58" w:type="dxa"/>
              <w:right w:w="115" w:type="dxa"/>
            </w:tcMar>
            <w:hideMark/>
          </w:tcPr>
          <w:p w14:paraId="39DAEC76" w14:textId="77777777" w:rsidR="00502FEE" w:rsidRDefault="00502FEE" w:rsidP="000E7A06">
            <w:pPr>
              <w:rPr>
                <w:b/>
                <w:sz w:val="20"/>
                <w:szCs w:val="20"/>
              </w:rPr>
            </w:pPr>
            <w:r>
              <w:rPr>
                <w:b/>
                <w:bCs/>
                <w:sz w:val="20"/>
                <w:szCs w:val="20"/>
                <w:lang w:val="fr"/>
              </w:rPr>
              <w:t>Description</w:t>
            </w:r>
          </w:p>
        </w:tc>
        <w:tc>
          <w:tcPr>
            <w:tcW w:w="3600" w:type="dxa"/>
            <w:tcBorders>
              <w:top w:val="single" w:sz="4" w:space="0" w:color="auto"/>
              <w:left w:val="single" w:sz="4" w:space="0" w:color="auto"/>
              <w:bottom w:val="single" w:sz="4" w:space="0" w:color="auto"/>
              <w:right w:val="single" w:sz="4" w:space="0" w:color="auto"/>
            </w:tcBorders>
            <w:tcMar>
              <w:top w:w="58" w:type="dxa"/>
              <w:left w:w="108" w:type="dxa"/>
              <w:bottom w:w="58" w:type="dxa"/>
              <w:right w:w="108" w:type="dxa"/>
            </w:tcMar>
            <w:hideMark/>
          </w:tcPr>
          <w:p w14:paraId="1EAE3B92" w14:textId="77777777" w:rsidR="00502FEE" w:rsidRDefault="00502FEE" w:rsidP="000E7A06">
            <w:pPr>
              <w:jc w:val="center"/>
              <w:rPr>
                <w:b/>
                <w:sz w:val="20"/>
                <w:szCs w:val="20"/>
              </w:rPr>
            </w:pPr>
            <w:r>
              <w:rPr>
                <w:b/>
                <w:bCs/>
                <w:sz w:val="20"/>
                <w:szCs w:val="20"/>
                <w:lang w:val="fr"/>
              </w:rPr>
              <w:t>HCFC</w:t>
            </w:r>
          </w:p>
        </w:tc>
        <w:tc>
          <w:tcPr>
            <w:tcW w:w="3600" w:type="dxa"/>
            <w:tcBorders>
              <w:top w:val="single" w:sz="4" w:space="0" w:color="auto"/>
              <w:left w:val="single" w:sz="4" w:space="0" w:color="auto"/>
              <w:bottom w:val="single" w:sz="4" w:space="0" w:color="auto"/>
              <w:right w:val="single" w:sz="4" w:space="0" w:color="auto"/>
            </w:tcBorders>
            <w:tcMar>
              <w:top w:w="58" w:type="dxa"/>
              <w:left w:w="108" w:type="dxa"/>
              <w:bottom w:w="58" w:type="dxa"/>
              <w:right w:w="108" w:type="dxa"/>
            </w:tcMar>
            <w:hideMark/>
          </w:tcPr>
          <w:p w14:paraId="1D300C35" w14:textId="77777777" w:rsidR="00502FEE" w:rsidRDefault="00502FEE" w:rsidP="000E7A06">
            <w:pPr>
              <w:jc w:val="center"/>
              <w:rPr>
                <w:b/>
                <w:sz w:val="20"/>
                <w:szCs w:val="20"/>
              </w:rPr>
            </w:pPr>
            <w:r>
              <w:rPr>
                <w:b/>
                <w:bCs/>
                <w:sz w:val="20"/>
                <w:szCs w:val="20"/>
                <w:lang w:val="fr"/>
              </w:rPr>
              <w:t>HFC</w:t>
            </w:r>
          </w:p>
        </w:tc>
      </w:tr>
      <w:tr w:rsidR="00502FEE" w:rsidRPr="00717343" w14:paraId="5B72776E" w14:textId="77777777" w:rsidTr="002D2807">
        <w:tc>
          <w:tcPr>
            <w:tcW w:w="2097"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5E83BED4" w14:textId="77777777" w:rsidR="00502FEE" w:rsidRDefault="00502FEE" w:rsidP="000E7A06">
            <w:pPr>
              <w:jc w:val="left"/>
              <w:rPr>
                <w:sz w:val="20"/>
                <w:szCs w:val="20"/>
              </w:rPr>
            </w:pPr>
            <w:r>
              <w:rPr>
                <w:sz w:val="20"/>
                <w:szCs w:val="20"/>
                <w:lang w:val="fr"/>
              </w:rPr>
              <w:t>Niveau de référence</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7F3CC4B2" w14:textId="77777777" w:rsidR="00502FEE" w:rsidRPr="005703FE" w:rsidRDefault="00502FEE" w:rsidP="000E7A06">
            <w:pPr>
              <w:jc w:val="left"/>
              <w:rPr>
                <w:sz w:val="20"/>
                <w:szCs w:val="20"/>
                <w:lang w:val="fr-FR"/>
              </w:rPr>
            </w:pPr>
            <w:r>
              <w:rPr>
                <w:sz w:val="20"/>
                <w:szCs w:val="20"/>
                <w:lang w:val="fr"/>
              </w:rPr>
              <w:t>Groupe I de l’annexe C (HCFC)</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5952E044" w14:textId="77777777" w:rsidR="00502FEE" w:rsidRPr="005703FE" w:rsidRDefault="00502FEE" w:rsidP="000E7A06">
            <w:pPr>
              <w:jc w:val="left"/>
              <w:rPr>
                <w:sz w:val="20"/>
                <w:szCs w:val="20"/>
                <w:lang w:val="fr-FR"/>
              </w:rPr>
            </w:pPr>
            <w:r>
              <w:rPr>
                <w:sz w:val="20"/>
                <w:szCs w:val="20"/>
                <w:lang w:val="fr"/>
              </w:rPr>
              <w:t>Annexe F (HFC) et 65 % du niveau de référence du groupe I de l’annexe C</w:t>
            </w:r>
          </w:p>
        </w:tc>
      </w:tr>
      <w:tr w:rsidR="00502FEE" w:rsidRPr="00717343" w14:paraId="66B59F98" w14:textId="77777777" w:rsidTr="002D2807">
        <w:tc>
          <w:tcPr>
            <w:tcW w:w="2097"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515C91EC" w14:textId="77777777" w:rsidR="00502FEE" w:rsidRDefault="00502FEE" w:rsidP="000E7A06">
            <w:pPr>
              <w:jc w:val="left"/>
              <w:rPr>
                <w:sz w:val="20"/>
                <w:szCs w:val="20"/>
              </w:rPr>
            </w:pPr>
            <w:r>
              <w:rPr>
                <w:sz w:val="20"/>
                <w:szCs w:val="20"/>
                <w:lang w:val="fr"/>
              </w:rPr>
              <w:t>Années de référence</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6756F834" w14:textId="77777777" w:rsidR="00502FEE" w:rsidRDefault="00502FEE" w:rsidP="000E7A06">
            <w:pPr>
              <w:jc w:val="left"/>
              <w:rPr>
                <w:sz w:val="20"/>
                <w:szCs w:val="20"/>
              </w:rPr>
            </w:pPr>
            <w:r>
              <w:rPr>
                <w:sz w:val="20"/>
                <w:szCs w:val="20"/>
                <w:lang w:val="fr"/>
              </w:rPr>
              <w:t>2009 et 2010</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0E7CCB32" w14:textId="77777777" w:rsidR="00502FEE" w:rsidRPr="005703FE" w:rsidRDefault="00502FEE" w:rsidP="000E7A06">
            <w:pPr>
              <w:jc w:val="left"/>
              <w:rPr>
                <w:sz w:val="20"/>
                <w:szCs w:val="20"/>
                <w:lang w:val="fr-FR"/>
              </w:rPr>
            </w:pPr>
            <w:r>
              <w:rPr>
                <w:sz w:val="20"/>
                <w:szCs w:val="20"/>
                <w:lang w:val="fr"/>
              </w:rPr>
              <w:t>2020, 2021 et 2022 pour les pays du groupe 1</w:t>
            </w:r>
            <w:r>
              <w:rPr>
                <w:rStyle w:val="FootnoteReference"/>
                <w:sz w:val="20"/>
                <w:szCs w:val="20"/>
                <w:lang w:val="fr"/>
              </w:rPr>
              <w:footnoteReference w:id="6"/>
            </w:r>
          </w:p>
          <w:p w14:paraId="648BEAA5" w14:textId="77777777" w:rsidR="00502FEE" w:rsidRPr="005703FE" w:rsidRDefault="00502FEE" w:rsidP="000E7A06">
            <w:pPr>
              <w:jc w:val="left"/>
              <w:rPr>
                <w:sz w:val="20"/>
                <w:szCs w:val="20"/>
                <w:lang w:val="fr-FR"/>
              </w:rPr>
            </w:pPr>
            <w:r>
              <w:rPr>
                <w:sz w:val="20"/>
                <w:szCs w:val="20"/>
                <w:lang w:val="fr"/>
              </w:rPr>
              <w:t>2024, 2025 et 2026 pour les pays du groupe 2</w:t>
            </w:r>
            <w:r>
              <w:rPr>
                <w:rStyle w:val="FootnoteReference"/>
                <w:sz w:val="20"/>
                <w:szCs w:val="20"/>
                <w:lang w:val="fr"/>
              </w:rPr>
              <w:footnoteReference w:id="7"/>
            </w:r>
          </w:p>
        </w:tc>
      </w:tr>
      <w:tr w:rsidR="00502FEE" w:rsidRPr="00717343" w14:paraId="71CCAD46" w14:textId="77777777" w:rsidTr="002D2807">
        <w:tc>
          <w:tcPr>
            <w:tcW w:w="2097"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60B87A62" w14:textId="77777777" w:rsidR="00502FEE" w:rsidRPr="005703FE" w:rsidRDefault="00502FEE" w:rsidP="000E7A06">
            <w:pPr>
              <w:jc w:val="left"/>
              <w:rPr>
                <w:sz w:val="20"/>
                <w:szCs w:val="20"/>
                <w:lang w:val="fr-FR"/>
              </w:rPr>
            </w:pPr>
            <w:r>
              <w:rPr>
                <w:sz w:val="20"/>
                <w:szCs w:val="20"/>
                <w:lang w:val="fr"/>
              </w:rPr>
              <w:t>Calendrier de mise en conformité</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203BFE96" w14:textId="77777777" w:rsidR="00502FEE" w:rsidRPr="00481D21" w:rsidRDefault="00502FEE" w:rsidP="000E7A06">
            <w:pPr>
              <w:jc w:val="left"/>
              <w:rPr>
                <w:sz w:val="20"/>
                <w:szCs w:val="20"/>
              </w:rPr>
            </w:pPr>
            <w:r>
              <w:rPr>
                <w:sz w:val="20"/>
                <w:szCs w:val="20"/>
                <w:lang w:val="fr"/>
              </w:rPr>
              <w:t>Étapes de réduction :</w:t>
            </w:r>
          </w:p>
          <w:p w14:paraId="38A27312" w14:textId="0D405C46" w:rsidR="00502FEE" w:rsidRDefault="00502FEE" w:rsidP="000E7A06">
            <w:pPr>
              <w:pStyle w:val="ListParagraph"/>
              <w:numPr>
                <w:ilvl w:val="0"/>
                <w:numId w:val="23"/>
              </w:numPr>
              <w:ind w:left="144" w:hanging="144"/>
              <w:jc w:val="left"/>
              <w:rPr>
                <w:sz w:val="20"/>
                <w:szCs w:val="20"/>
              </w:rPr>
            </w:pPr>
            <w:r>
              <w:rPr>
                <w:sz w:val="20"/>
                <w:szCs w:val="20"/>
                <w:lang w:val="fr"/>
              </w:rPr>
              <w:t>2013–2014 : 0 % de la valeur de référence</w:t>
            </w:r>
          </w:p>
          <w:p w14:paraId="4B254451" w14:textId="77777777" w:rsidR="00502FEE" w:rsidRDefault="00502FEE" w:rsidP="000E7A06">
            <w:pPr>
              <w:pStyle w:val="ListParagraph"/>
              <w:numPr>
                <w:ilvl w:val="0"/>
                <w:numId w:val="23"/>
              </w:numPr>
              <w:ind w:left="144" w:hanging="144"/>
              <w:jc w:val="left"/>
              <w:rPr>
                <w:sz w:val="20"/>
                <w:szCs w:val="20"/>
              </w:rPr>
            </w:pPr>
            <w:r>
              <w:rPr>
                <w:sz w:val="20"/>
                <w:szCs w:val="20"/>
                <w:lang w:val="fr"/>
              </w:rPr>
              <w:t>2015–2019 : 10 % de la valeur de référence</w:t>
            </w:r>
          </w:p>
          <w:p w14:paraId="6FBABBE7" w14:textId="77777777" w:rsidR="00502FEE" w:rsidRDefault="00502FEE" w:rsidP="000E7A06">
            <w:pPr>
              <w:pStyle w:val="ListParagraph"/>
              <w:numPr>
                <w:ilvl w:val="0"/>
                <w:numId w:val="23"/>
              </w:numPr>
              <w:ind w:left="144" w:hanging="144"/>
              <w:jc w:val="left"/>
              <w:rPr>
                <w:sz w:val="20"/>
                <w:szCs w:val="20"/>
              </w:rPr>
            </w:pPr>
            <w:r>
              <w:rPr>
                <w:sz w:val="20"/>
                <w:szCs w:val="20"/>
                <w:lang w:val="fr"/>
              </w:rPr>
              <w:t>2020–2024 : 35 % de la valeur de référence</w:t>
            </w:r>
          </w:p>
          <w:p w14:paraId="69C77D02" w14:textId="77777777" w:rsidR="00502FEE" w:rsidRDefault="00502FEE" w:rsidP="000E7A06">
            <w:pPr>
              <w:pStyle w:val="ListParagraph"/>
              <w:numPr>
                <w:ilvl w:val="0"/>
                <w:numId w:val="23"/>
              </w:numPr>
              <w:ind w:left="144" w:hanging="144"/>
              <w:jc w:val="left"/>
              <w:rPr>
                <w:sz w:val="20"/>
                <w:szCs w:val="20"/>
              </w:rPr>
            </w:pPr>
            <w:r>
              <w:rPr>
                <w:sz w:val="20"/>
                <w:szCs w:val="20"/>
                <w:lang w:val="fr"/>
              </w:rPr>
              <w:t>2025–2029 : 67,5 % de la valeur de référence</w:t>
            </w:r>
          </w:p>
          <w:p w14:paraId="2513ABBE" w14:textId="77777777" w:rsidR="00502FEE" w:rsidRDefault="00502FEE" w:rsidP="000E7A06">
            <w:pPr>
              <w:pStyle w:val="ListParagraph"/>
              <w:numPr>
                <w:ilvl w:val="0"/>
                <w:numId w:val="23"/>
              </w:numPr>
              <w:ind w:left="144" w:hanging="144"/>
              <w:jc w:val="left"/>
              <w:rPr>
                <w:sz w:val="20"/>
                <w:szCs w:val="20"/>
              </w:rPr>
            </w:pPr>
            <w:r>
              <w:rPr>
                <w:sz w:val="20"/>
                <w:szCs w:val="20"/>
                <w:lang w:val="fr"/>
              </w:rPr>
              <w:t>2030-2039 : 97,5 % de la valeur de référence</w:t>
            </w:r>
          </w:p>
          <w:p w14:paraId="7EB04EB8" w14:textId="714875C4" w:rsidR="00502FEE" w:rsidRPr="005703FE" w:rsidRDefault="00502FEE" w:rsidP="000E7A06">
            <w:pPr>
              <w:pStyle w:val="ListParagraph"/>
              <w:numPr>
                <w:ilvl w:val="0"/>
                <w:numId w:val="23"/>
              </w:numPr>
              <w:ind w:left="144" w:hanging="144"/>
              <w:jc w:val="left"/>
              <w:rPr>
                <w:sz w:val="20"/>
                <w:szCs w:val="20"/>
                <w:lang w:val="fr-FR"/>
              </w:rPr>
            </w:pPr>
            <w:r>
              <w:rPr>
                <w:sz w:val="20"/>
                <w:szCs w:val="20"/>
                <w:lang w:val="fr"/>
              </w:rPr>
              <w:t>2040 et au-delà : 100 % de la valeur de référence</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4CC8D99C" w14:textId="77777777" w:rsidR="00502FEE" w:rsidRPr="005703FE" w:rsidRDefault="00502FEE" w:rsidP="000E7A06">
            <w:pPr>
              <w:jc w:val="left"/>
              <w:rPr>
                <w:sz w:val="20"/>
                <w:szCs w:val="20"/>
                <w:lang w:val="fr-FR"/>
              </w:rPr>
            </w:pPr>
            <w:r>
              <w:rPr>
                <w:sz w:val="20"/>
                <w:szCs w:val="20"/>
                <w:lang w:val="fr"/>
              </w:rPr>
              <w:t>Étapes de réduction :</w:t>
            </w:r>
          </w:p>
          <w:p w14:paraId="50511DBF" w14:textId="77777777" w:rsidR="00502FEE" w:rsidRPr="005703FE" w:rsidRDefault="00502FEE" w:rsidP="000E7A06">
            <w:pPr>
              <w:jc w:val="left"/>
              <w:rPr>
                <w:sz w:val="20"/>
                <w:szCs w:val="20"/>
                <w:lang w:val="fr-FR"/>
              </w:rPr>
            </w:pPr>
            <w:r>
              <w:rPr>
                <w:sz w:val="20"/>
                <w:szCs w:val="20"/>
                <w:lang w:val="fr"/>
              </w:rPr>
              <w:t>Pays du groupe 1 :</w:t>
            </w:r>
          </w:p>
          <w:p w14:paraId="52EF0DB0" w14:textId="0582F88F" w:rsidR="00502FEE" w:rsidRDefault="00502FEE" w:rsidP="000E7A06">
            <w:pPr>
              <w:pStyle w:val="ListParagraph"/>
              <w:numPr>
                <w:ilvl w:val="0"/>
                <w:numId w:val="23"/>
              </w:numPr>
              <w:ind w:left="144" w:hanging="144"/>
              <w:jc w:val="left"/>
              <w:rPr>
                <w:sz w:val="20"/>
                <w:szCs w:val="20"/>
              </w:rPr>
            </w:pPr>
            <w:r>
              <w:rPr>
                <w:sz w:val="20"/>
                <w:szCs w:val="20"/>
                <w:lang w:val="fr"/>
              </w:rPr>
              <w:t>2024–2028 : 0 % de la valeur de référence</w:t>
            </w:r>
          </w:p>
          <w:p w14:paraId="37ED08F5" w14:textId="77777777" w:rsidR="00502FEE" w:rsidRDefault="00502FEE" w:rsidP="000E7A06">
            <w:pPr>
              <w:pStyle w:val="ListParagraph"/>
              <w:numPr>
                <w:ilvl w:val="0"/>
                <w:numId w:val="23"/>
              </w:numPr>
              <w:ind w:left="144" w:hanging="144"/>
              <w:jc w:val="left"/>
              <w:rPr>
                <w:sz w:val="20"/>
                <w:szCs w:val="20"/>
              </w:rPr>
            </w:pPr>
            <w:r>
              <w:rPr>
                <w:sz w:val="20"/>
                <w:szCs w:val="20"/>
                <w:lang w:val="fr"/>
              </w:rPr>
              <w:t>2029–2034 : 10 % de la valeur de référence</w:t>
            </w:r>
          </w:p>
          <w:p w14:paraId="1B7D67B0" w14:textId="77777777" w:rsidR="00502FEE" w:rsidRDefault="00502FEE" w:rsidP="000E7A06">
            <w:pPr>
              <w:pStyle w:val="ListParagraph"/>
              <w:numPr>
                <w:ilvl w:val="0"/>
                <w:numId w:val="23"/>
              </w:numPr>
              <w:ind w:left="144" w:hanging="144"/>
              <w:jc w:val="left"/>
              <w:rPr>
                <w:sz w:val="20"/>
                <w:szCs w:val="20"/>
              </w:rPr>
            </w:pPr>
            <w:r>
              <w:rPr>
                <w:sz w:val="20"/>
                <w:szCs w:val="20"/>
                <w:lang w:val="fr"/>
              </w:rPr>
              <w:t>2035–2039 : 30 % de la valeur de référence</w:t>
            </w:r>
          </w:p>
          <w:p w14:paraId="34FF85C2" w14:textId="77777777" w:rsidR="00502FEE" w:rsidRDefault="00502FEE" w:rsidP="000E7A06">
            <w:pPr>
              <w:pStyle w:val="ListParagraph"/>
              <w:numPr>
                <w:ilvl w:val="0"/>
                <w:numId w:val="23"/>
              </w:numPr>
              <w:ind w:left="144" w:hanging="144"/>
              <w:jc w:val="left"/>
              <w:rPr>
                <w:sz w:val="20"/>
                <w:szCs w:val="20"/>
              </w:rPr>
            </w:pPr>
            <w:r>
              <w:rPr>
                <w:sz w:val="20"/>
                <w:szCs w:val="20"/>
                <w:lang w:val="fr"/>
              </w:rPr>
              <w:t>2040–2044 : 50 % de la valeur de référence</w:t>
            </w:r>
          </w:p>
          <w:p w14:paraId="49BB2D81" w14:textId="77777777" w:rsidR="00502FEE" w:rsidRPr="005703FE" w:rsidRDefault="00502FEE" w:rsidP="000E7A06">
            <w:pPr>
              <w:pStyle w:val="ListParagraph"/>
              <w:numPr>
                <w:ilvl w:val="0"/>
                <w:numId w:val="23"/>
              </w:numPr>
              <w:ind w:left="144" w:hanging="144"/>
              <w:jc w:val="left"/>
              <w:rPr>
                <w:sz w:val="20"/>
                <w:szCs w:val="20"/>
                <w:lang w:val="fr-FR"/>
              </w:rPr>
            </w:pPr>
            <w:r>
              <w:rPr>
                <w:sz w:val="20"/>
                <w:szCs w:val="20"/>
                <w:lang w:val="fr"/>
              </w:rPr>
              <w:t xml:space="preserve">2045 et au-delà : 80 % de la valeur de référence </w:t>
            </w:r>
          </w:p>
          <w:p w14:paraId="2CCD9963" w14:textId="77777777" w:rsidR="00502FEE" w:rsidRDefault="00502FEE" w:rsidP="000E7A06">
            <w:pPr>
              <w:jc w:val="left"/>
              <w:rPr>
                <w:sz w:val="20"/>
                <w:szCs w:val="20"/>
              </w:rPr>
            </w:pPr>
            <w:r>
              <w:rPr>
                <w:sz w:val="20"/>
                <w:szCs w:val="20"/>
                <w:lang w:val="fr"/>
              </w:rPr>
              <w:t xml:space="preserve">Pays du groupe 2 : </w:t>
            </w:r>
          </w:p>
          <w:p w14:paraId="6682378A" w14:textId="3C063A14" w:rsidR="00502FEE" w:rsidRDefault="00502FEE" w:rsidP="000E7A06">
            <w:pPr>
              <w:pStyle w:val="ListParagraph"/>
              <w:numPr>
                <w:ilvl w:val="0"/>
                <w:numId w:val="23"/>
              </w:numPr>
              <w:ind w:left="144" w:hanging="144"/>
              <w:jc w:val="left"/>
              <w:rPr>
                <w:sz w:val="20"/>
                <w:szCs w:val="20"/>
              </w:rPr>
            </w:pPr>
            <w:r>
              <w:rPr>
                <w:sz w:val="20"/>
                <w:szCs w:val="20"/>
                <w:lang w:val="fr"/>
              </w:rPr>
              <w:t>2028–2031 : 0 % de la valeur de référence</w:t>
            </w:r>
          </w:p>
          <w:p w14:paraId="2C999B66" w14:textId="77777777" w:rsidR="00502FEE" w:rsidRDefault="00502FEE" w:rsidP="000E7A06">
            <w:pPr>
              <w:pStyle w:val="ListParagraph"/>
              <w:numPr>
                <w:ilvl w:val="0"/>
                <w:numId w:val="23"/>
              </w:numPr>
              <w:ind w:left="144" w:hanging="144"/>
              <w:jc w:val="left"/>
              <w:rPr>
                <w:sz w:val="20"/>
                <w:szCs w:val="20"/>
              </w:rPr>
            </w:pPr>
            <w:r>
              <w:rPr>
                <w:sz w:val="20"/>
                <w:szCs w:val="20"/>
                <w:lang w:val="fr"/>
              </w:rPr>
              <w:t>2032–2036 : 10 % de la valeur de référence</w:t>
            </w:r>
          </w:p>
          <w:p w14:paraId="1BEB71F9" w14:textId="77777777" w:rsidR="00502FEE" w:rsidRDefault="00502FEE" w:rsidP="000E7A06">
            <w:pPr>
              <w:pStyle w:val="ListParagraph"/>
              <w:numPr>
                <w:ilvl w:val="0"/>
                <w:numId w:val="23"/>
              </w:numPr>
              <w:ind w:left="144" w:hanging="144"/>
              <w:jc w:val="left"/>
              <w:rPr>
                <w:sz w:val="20"/>
                <w:szCs w:val="20"/>
              </w:rPr>
            </w:pPr>
            <w:r>
              <w:rPr>
                <w:sz w:val="20"/>
                <w:szCs w:val="20"/>
                <w:lang w:val="fr"/>
              </w:rPr>
              <w:t>2037–2041 : 20 % de la valeur de référence</w:t>
            </w:r>
          </w:p>
          <w:p w14:paraId="32800FBC" w14:textId="357E5711" w:rsidR="00502FEE" w:rsidRDefault="00502FEE" w:rsidP="000E7A06">
            <w:pPr>
              <w:pStyle w:val="ListParagraph"/>
              <w:numPr>
                <w:ilvl w:val="0"/>
                <w:numId w:val="23"/>
              </w:numPr>
              <w:ind w:left="144" w:hanging="144"/>
              <w:jc w:val="left"/>
              <w:rPr>
                <w:sz w:val="20"/>
                <w:szCs w:val="20"/>
              </w:rPr>
            </w:pPr>
            <w:r>
              <w:rPr>
                <w:sz w:val="20"/>
                <w:szCs w:val="20"/>
                <w:lang w:val="fr"/>
              </w:rPr>
              <w:t>2042</w:t>
            </w:r>
            <w:r>
              <w:rPr>
                <w:sz w:val="20"/>
                <w:szCs w:val="20"/>
                <w:lang w:val="fr"/>
              </w:rPr>
              <w:noBreakHyphen/>
              <w:t>2046 : 30 % de la valeur de référence</w:t>
            </w:r>
          </w:p>
          <w:p w14:paraId="75E87490" w14:textId="77777777" w:rsidR="00502FEE" w:rsidRPr="005703FE" w:rsidRDefault="00502FEE" w:rsidP="000E7A06">
            <w:pPr>
              <w:pStyle w:val="ListParagraph"/>
              <w:numPr>
                <w:ilvl w:val="0"/>
                <w:numId w:val="23"/>
              </w:numPr>
              <w:ind w:left="144" w:hanging="144"/>
              <w:jc w:val="left"/>
              <w:rPr>
                <w:sz w:val="20"/>
                <w:szCs w:val="20"/>
                <w:lang w:val="fr-FR"/>
              </w:rPr>
            </w:pPr>
            <w:r>
              <w:rPr>
                <w:sz w:val="20"/>
                <w:szCs w:val="20"/>
                <w:lang w:val="fr"/>
              </w:rPr>
              <w:lastRenderedPageBreak/>
              <w:t>2047 et au-delà : 85 % de la valeur de référence</w:t>
            </w:r>
          </w:p>
        </w:tc>
      </w:tr>
      <w:tr w:rsidR="00502FEE" w:rsidRPr="00717343" w14:paraId="5C2ED03E" w14:textId="77777777" w:rsidTr="002D2807">
        <w:tc>
          <w:tcPr>
            <w:tcW w:w="2097"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54204519" w14:textId="77777777" w:rsidR="00502FEE" w:rsidRDefault="00502FEE" w:rsidP="000E7A06">
            <w:pPr>
              <w:widowControl w:val="0"/>
              <w:jc w:val="left"/>
              <w:rPr>
                <w:sz w:val="20"/>
                <w:szCs w:val="20"/>
              </w:rPr>
            </w:pPr>
            <w:r>
              <w:rPr>
                <w:sz w:val="20"/>
                <w:szCs w:val="20"/>
                <w:lang w:val="fr"/>
              </w:rPr>
              <w:lastRenderedPageBreak/>
              <w:t xml:space="preserve">Nombre de substances réglementées </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14:paraId="7507B4DC" w14:textId="77777777" w:rsidR="00502FEE" w:rsidRPr="005703FE" w:rsidRDefault="00502FEE" w:rsidP="000E7A06">
            <w:pPr>
              <w:keepNext/>
              <w:jc w:val="left"/>
              <w:rPr>
                <w:sz w:val="20"/>
                <w:szCs w:val="20"/>
                <w:lang w:val="fr-FR"/>
              </w:rPr>
            </w:pPr>
            <w:r>
              <w:rPr>
                <w:sz w:val="20"/>
                <w:szCs w:val="20"/>
                <w:lang w:val="fr"/>
              </w:rPr>
              <w:t xml:space="preserve">40, dont 10 seulement sont consommées par les pays visés à l’article 5. </w:t>
            </w:r>
          </w:p>
          <w:p w14:paraId="43B24186" w14:textId="15561A28" w:rsidR="00502FEE" w:rsidRPr="005703FE" w:rsidRDefault="00502FEE" w:rsidP="00F41D79">
            <w:pPr>
              <w:keepNext/>
              <w:jc w:val="left"/>
              <w:rPr>
                <w:sz w:val="20"/>
                <w:szCs w:val="20"/>
                <w:lang w:val="fr-FR"/>
              </w:rPr>
            </w:pPr>
            <w:r>
              <w:rPr>
                <w:sz w:val="20"/>
                <w:szCs w:val="20"/>
                <w:lang w:val="fr"/>
              </w:rPr>
              <w:t>Plus de 99,0 % de la valeur de référence globale pour les HCFC sont constitués de trois substances : HCFC</w:t>
            </w:r>
            <w:r>
              <w:rPr>
                <w:sz w:val="20"/>
                <w:szCs w:val="20"/>
                <w:lang w:val="fr"/>
              </w:rPr>
              <w:noBreakHyphen/>
              <w:t>22 (60,6 %), HCFC</w:t>
            </w:r>
            <w:r>
              <w:rPr>
                <w:sz w:val="20"/>
                <w:szCs w:val="20"/>
                <w:lang w:val="fr"/>
              </w:rPr>
              <w:noBreakHyphen/>
              <w:t>141b (33,1 %) et HCFC</w:t>
            </w:r>
            <w:r>
              <w:rPr>
                <w:sz w:val="20"/>
                <w:szCs w:val="20"/>
                <w:lang w:val="fr"/>
              </w:rPr>
              <w:noBreakHyphen/>
              <w:t>142b (6,0 %)</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14:paraId="28889736" w14:textId="3D0D2197" w:rsidR="00502FEE" w:rsidRPr="005703FE" w:rsidRDefault="00502FEE" w:rsidP="000E7A06">
            <w:pPr>
              <w:keepNext/>
              <w:jc w:val="left"/>
              <w:rPr>
                <w:sz w:val="20"/>
                <w:szCs w:val="20"/>
                <w:lang w:val="fr-FR"/>
              </w:rPr>
            </w:pPr>
            <w:r>
              <w:rPr>
                <w:sz w:val="20"/>
                <w:szCs w:val="20"/>
                <w:lang w:val="fr"/>
              </w:rPr>
              <w:t>17 dans le groupe I de l’annexe F et 1 dans le groupe II (HFC-23</w:t>
            </w:r>
            <w:r>
              <w:rPr>
                <w:rStyle w:val="FootnoteReference"/>
                <w:sz w:val="20"/>
                <w:szCs w:val="20"/>
                <w:lang w:val="fr"/>
              </w:rPr>
              <w:footnoteReference w:id="8"/>
            </w:r>
            <w:r>
              <w:rPr>
                <w:sz w:val="20"/>
                <w:szCs w:val="20"/>
                <w:lang w:val="fr"/>
              </w:rPr>
              <w:t>).</w:t>
            </w:r>
          </w:p>
          <w:p w14:paraId="1B1DAAD1" w14:textId="6EE6DF4F" w:rsidR="00502FEE" w:rsidRPr="005703FE" w:rsidRDefault="00502FEE" w:rsidP="00F41D79">
            <w:pPr>
              <w:keepNext/>
              <w:jc w:val="left"/>
              <w:rPr>
                <w:sz w:val="20"/>
                <w:szCs w:val="20"/>
                <w:lang w:val="fr-FR"/>
              </w:rPr>
            </w:pPr>
            <w:r>
              <w:rPr>
                <w:sz w:val="20"/>
                <w:szCs w:val="20"/>
                <w:lang w:val="fr"/>
              </w:rPr>
              <w:t>Plus de 98,5 % de la valeur de référence globale pour les HFC sont constitués de deux substances pures et de quatre mélanges : HFC-134a (21,6 %), R</w:t>
            </w:r>
            <w:r>
              <w:rPr>
                <w:sz w:val="20"/>
                <w:szCs w:val="20"/>
                <w:lang w:val="fr"/>
              </w:rPr>
              <w:noBreakHyphen/>
              <w:t>410A (40,1 %), R</w:t>
            </w:r>
            <w:r>
              <w:rPr>
                <w:sz w:val="20"/>
                <w:szCs w:val="20"/>
                <w:lang w:val="fr"/>
              </w:rPr>
              <w:noBreakHyphen/>
              <w:t>407C (21,8 %), R</w:t>
            </w:r>
            <w:r>
              <w:rPr>
                <w:sz w:val="20"/>
                <w:szCs w:val="20"/>
                <w:lang w:val="fr"/>
              </w:rPr>
              <w:noBreakHyphen/>
              <w:t>404A (6,9 %), R</w:t>
            </w:r>
            <w:r>
              <w:rPr>
                <w:sz w:val="20"/>
                <w:szCs w:val="20"/>
                <w:lang w:val="fr"/>
              </w:rPr>
              <w:noBreakHyphen/>
              <w:t>507A (6,9 %), HFC</w:t>
            </w:r>
            <w:r>
              <w:rPr>
                <w:sz w:val="20"/>
                <w:szCs w:val="20"/>
                <w:lang w:val="fr"/>
              </w:rPr>
              <w:noBreakHyphen/>
              <w:t>152a (1,3 %)</w:t>
            </w:r>
          </w:p>
        </w:tc>
      </w:tr>
      <w:tr w:rsidR="00502FEE" w:rsidRPr="00717343" w14:paraId="0B42D055" w14:textId="77777777" w:rsidTr="002D2807">
        <w:tc>
          <w:tcPr>
            <w:tcW w:w="2097"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0AF7BCD5" w14:textId="77777777" w:rsidR="00502FEE" w:rsidRPr="005703FE" w:rsidRDefault="00502FEE" w:rsidP="000E7A06">
            <w:pPr>
              <w:widowControl w:val="0"/>
              <w:jc w:val="left"/>
              <w:rPr>
                <w:sz w:val="20"/>
                <w:szCs w:val="20"/>
                <w:lang w:val="fr-FR"/>
              </w:rPr>
            </w:pPr>
            <w:r>
              <w:rPr>
                <w:sz w:val="20"/>
                <w:szCs w:val="20"/>
                <w:lang w:val="fr"/>
              </w:rPr>
              <w:t>Données communiquées au titre de l’article 7 du Protocole</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14:paraId="5D13F6D7" w14:textId="77777777" w:rsidR="00502FEE" w:rsidRPr="005703FE" w:rsidRDefault="00502FEE" w:rsidP="000E7A06">
            <w:pPr>
              <w:keepNext/>
              <w:jc w:val="left"/>
              <w:rPr>
                <w:sz w:val="20"/>
                <w:szCs w:val="20"/>
                <w:lang w:val="fr-FR"/>
              </w:rPr>
            </w:pPr>
            <w:r>
              <w:rPr>
                <w:sz w:val="20"/>
                <w:szCs w:val="20"/>
                <w:lang w:val="fr"/>
              </w:rPr>
              <w:t>Obligatoire après ratification du Protocole de Montréal</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14:paraId="61F19089" w14:textId="61BCA7DC" w:rsidR="00502FEE" w:rsidRPr="005703FE" w:rsidRDefault="00502FEE" w:rsidP="000E7A06">
            <w:pPr>
              <w:keepNext/>
              <w:jc w:val="left"/>
              <w:rPr>
                <w:sz w:val="20"/>
                <w:szCs w:val="20"/>
                <w:lang w:val="fr-FR"/>
              </w:rPr>
            </w:pPr>
            <w:r>
              <w:rPr>
                <w:sz w:val="20"/>
                <w:szCs w:val="20"/>
                <w:lang w:val="fr"/>
              </w:rPr>
              <w:t>Obligatoire après ratification de l’Amendement de Kigali (rapport attendu au plus tôt le 30 septembre 2020, plusieurs pays visés à l’article 5 ayant déjà communiqué leur consommation pour 2018).</w:t>
            </w:r>
          </w:p>
        </w:tc>
      </w:tr>
      <w:tr w:rsidR="00502FEE" w:rsidRPr="00717343" w14:paraId="66560058" w14:textId="77777777" w:rsidTr="002D2807">
        <w:tc>
          <w:tcPr>
            <w:tcW w:w="2097"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14:paraId="1D3F0A53" w14:textId="77777777" w:rsidR="00502FEE" w:rsidRPr="005703FE" w:rsidRDefault="00502FEE" w:rsidP="000E7A06">
            <w:pPr>
              <w:widowControl w:val="0"/>
              <w:jc w:val="left"/>
              <w:rPr>
                <w:sz w:val="20"/>
                <w:szCs w:val="20"/>
                <w:lang w:val="fr-FR"/>
              </w:rPr>
            </w:pPr>
            <w:r>
              <w:rPr>
                <w:sz w:val="20"/>
                <w:szCs w:val="20"/>
                <w:lang w:val="fr"/>
              </w:rPr>
              <w:t>Communication des données dans le cadre du rapport de mise en œuvre des programmes de pays</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14:paraId="167BC388" w14:textId="77777777" w:rsidR="00502FEE" w:rsidRPr="005703FE" w:rsidRDefault="00502FEE" w:rsidP="000E7A06">
            <w:pPr>
              <w:keepNext/>
              <w:jc w:val="left"/>
              <w:rPr>
                <w:sz w:val="20"/>
                <w:szCs w:val="20"/>
                <w:lang w:val="fr-FR"/>
              </w:rPr>
            </w:pPr>
            <w:r>
              <w:rPr>
                <w:sz w:val="20"/>
                <w:szCs w:val="20"/>
                <w:lang w:val="fr"/>
              </w:rPr>
              <w:t>Nécessaire pour avoir accès à l’aide du Fonds multilatéral</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14:paraId="250906C9" w14:textId="068C0091" w:rsidR="00502FEE" w:rsidRPr="005703FE" w:rsidRDefault="00502FEE" w:rsidP="00A762EA">
            <w:pPr>
              <w:keepNext/>
              <w:jc w:val="left"/>
              <w:rPr>
                <w:sz w:val="20"/>
                <w:szCs w:val="20"/>
                <w:lang w:val="fr-FR"/>
              </w:rPr>
            </w:pPr>
            <w:r>
              <w:rPr>
                <w:sz w:val="20"/>
                <w:szCs w:val="20"/>
                <w:lang w:val="fr"/>
              </w:rPr>
              <w:t>Nécessaire pour avoir accès à l’aide du Fonds multilatéral (rapport attendu au plus tôt le 1</w:t>
            </w:r>
            <w:r>
              <w:rPr>
                <w:sz w:val="20"/>
                <w:szCs w:val="20"/>
                <w:vertAlign w:val="superscript"/>
                <w:lang w:val="fr"/>
              </w:rPr>
              <w:t>er</w:t>
            </w:r>
            <w:r>
              <w:rPr>
                <w:sz w:val="20"/>
                <w:szCs w:val="20"/>
                <w:lang w:val="fr"/>
              </w:rPr>
              <w:t> mai 2020)</w:t>
            </w:r>
          </w:p>
        </w:tc>
      </w:tr>
      <w:tr w:rsidR="00502FEE" w:rsidRPr="00717343" w14:paraId="70DC20A4" w14:textId="77777777" w:rsidTr="002D2807">
        <w:tc>
          <w:tcPr>
            <w:tcW w:w="2097"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0C581A12" w14:textId="77777777" w:rsidR="00502FEE" w:rsidRDefault="00502FEE" w:rsidP="000E7A06">
            <w:pPr>
              <w:widowControl w:val="0"/>
              <w:jc w:val="left"/>
              <w:rPr>
                <w:sz w:val="20"/>
                <w:szCs w:val="20"/>
              </w:rPr>
            </w:pPr>
            <w:r>
              <w:rPr>
                <w:sz w:val="20"/>
                <w:szCs w:val="20"/>
                <w:lang w:val="fr"/>
              </w:rPr>
              <w:t>Mesure</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2AECDFCF" w14:textId="139BCA85" w:rsidR="00502FEE" w:rsidRPr="005703FE" w:rsidRDefault="00A762EA" w:rsidP="000E7A06">
            <w:pPr>
              <w:jc w:val="left"/>
              <w:rPr>
                <w:sz w:val="20"/>
                <w:szCs w:val="20"/>
                <w:lang w:val="fr-FR"/>
              </w:rPr>
            </w:pPr>
            <w:r>
              <w:rPr>
                <w:sz w:val="20"/>
                <w:szCs w:val="20"/>
                <w:lang w:val="fr"/>
              </w:rPr>
              <w:t>Tonnes PAO (consommation et production en tonnes métriques [tm] multipliées par le potentiel d’appauvrissement de la couche d’ozone [PAO] de chaque substance : 0,055 pour le HCFC</w:t>
            </w:r>
            <w:r>
              <w:rPr>
                <w:sz w:val="20"/>
                <w:szCs w:val="20"/>
                <w:lang w:val="fr"/>
              </w:rPr>
              <w:noBreakHyphen/>
              <w:t>22 ; 0,11 pour le HCFC</w:t>
            </w:r>
            <w:r>
              <w:rPr>
                <w:sz w:val="20"/>
                <w:szCs w:val="20"/>
                <w:lang w:val="fr"/>
              </w:rPr>
              <w:noBreakHyphen/>
              <w:t>141b ; 0,065 pour le HCFC-142b)</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5C52D5AC" w14:textId="21EB38EA" w:rsidR="00502FEE" w:rsidRPr="005703FE" w:rsidRDefault="00502FEE" w:rsidP="00F41D79">
            <w:pPr>
              <w:jc w:val="left"/>
              <w:rPr>
                <w:sz w:val="20"/>
                <w:szCs w:val="20"/>
                <w:lang w:val="fr-FR"/>
              </w:rPr>
            </w:pPr>
            <w:r>
              <w:rPr>
                <w:sz w:val="20"/>
                <w:szCs w:val="20"/>
                <w:lang w:val="fr"/>
              </w:rPr>
              <w:t>Équivalent CO</w:t>
            </w:r>
            <w:r>
              <w:rPr>
                <w:sz w:val="20"/>
                <w:szCs w:val="20"/>
                <w:vertAlign w:val="subscript"/>
                <w:lang w:val="fr"/>
              </w:rPr>
              <w:t>2</w:t>
            </w:r>
            <w:r>
              <w:rPr>
                <w:sz w:val="20"/>
                <w:szCs w:val="20"/>
                <w:lang w:val="fr"/>
              </w:rPr>
              <w:t xml:space="preserve"> (consommation et production en tonnes métriques [tm] multipliées par le potentiel de réchauffement global [PRG] de la substance, qui varie de 124 pour le HFC-152a à 14 800 pour le HFC-23)</w:t>
            </w:r>
          </w:p>
        </w:tc>
      </w:tr>
      <w:tr w:rsidR="00502FEE" w14:paraId="57E7157D" w14:textId="77777777" w:rsidTr="002D2807">
        <w:tc>
          <w:tcPr>
            <w:tcW w:w="2097"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14:paraId="47DD28C4" w14:textId="777459D1" w:rsidR="00502FEE" w:rsidRPr="001C3CDD" w:rsidRDefault="001277B2" w:rsidP="000E7A06">
            <w:pPr>
              <w:widowControl w:val="0"/>
              <w:jc w:val="left"/>
              <w:rPr>
                <w:sz w:val="20"/>
                <w:szCs w:val="20"/>
                <w:highlight w:val="yellow"/>
              </w:rPr>
            </w:pPr>
            <w:r>
              <w:rPr>
                <w:sz w:val="20"/>
                <w:szCs w:val="20"/>
                <w:lang w:val="fr"/>
              </w:rPr>
              <w:t xml:space="preserve">Secteurs consommateurs </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14:paraId="0A71C458" w14:textId="204B20B2" w:rsidR="00502FEE" w:rsidRPr="005703FE" w:rsidRDefault="00502FEE" w:rsidP="000E7A06">
            <w:pPr>
              <w:pStyle w:val="ListParagraph"/>
              <w:numPr>
                <w:ilvl w:val="0"/>
                <w:numId w:val="36"/>
              </w:numPr>
              <w:ind w:left="144" w:hanging="144"/>
              <w:jc w:val="left"/>
              <w:rPr>
                <w:sz w:val="20"/>
                <w:szCs w:val="20"/>
                <w:lang w:val="fr-FR"/>
              </w:rPr>
            </w:pPr>
            <w:r>
              <w:rPr>
                <w:sz w:val="20"/>
                <w:szCs w:val="20"/>
                <w:lang w:val="fr"/>
              </w:rPr>
              <w:t>Fabrication de mousses de polyuréthane rigide (PU) et de polystyrène extrudé (XPS)</w:t>
            </w:r>
          </w:p>
          <w:p w14:paraId="49860EFA" w14:textId="06E2E8AD" w:rsidR="00502FEE" w:rsidRPr="005703FE" w:rsidRDefault="00641A6D" w:rsidP="000E7A06">
            <w:pPr>
              <w:pStyle w:val="ListParagraph"/>
              <w:numPr>
                <w:ilvl w:val="0"/>
                <w:numId w:val="36"/>
              </w:numPr>
              <w:ind w:left="144" w:hanging="144"/>
              <w:jc w:val="left"/>
              <w:rPr>
                <w:sz w:val="20"/>
                <w:szCs w:val="20"/>
                <w:lang w:val="fr-FR"/>
              </w:rPr>
            </w:pPr>
            <w:r>
              <w:rPr>
                <w:sz w:val="20"/>
                <w:szCs w:val="20"/>
                <w:lang w:val="fr"/>
              </w:rPr>
              <w:t xml:space="preserve">Fabrication de climatiseurs et de réfrigérateurs commerciaux </w:t>
            </w:r>
          </w:p>
          <w:p w14:paraId="36F970B3" w14:textId="77777777" w:rsidR="00502FEE" w:rsidRPr="007A36CC" w:rsidRDefault="00502FEE" w:rsidP="000E7A06">
            <w:pPr>
              <w:pStyle w:val="ListParagraph"/>
              <w:numPr>
                <w:ilvl w:val="0"/>
                <w:numId w:val="36"/>
              </w:numPr>
              <w:ind w:left="144" w:hanging="144"/>
              <w:jc w:val="left"/>
              <w:rPr>
                <w:sz w:val="20"/>
                <w:szCs w:val="20"/>
              </w:rPr>
            </w:pPr>
            <w:r>
              <w:rPr>
                <w:sz w:val="20"/>
                <w:szCs w:val="20"/>
                <w:lang w:val="fr"/>
              </w:rPr>
              <w:t>Solvants</w:t>
            </w:r>
          </w:p>
          <w:p w14:paraId="1A6561BD" w14:textId="77777777" w:rsidR="00502FEE" w:rsidRPr="007A36CC" w:rsidRDefault="00502FEE" w:rsidP="000E7A06">
            <w:pPr>
              <w:pStyle w:val="ListParagraph"/>
              <w:numPr>
                <w:ilvl w:val="0"/>
                <w:numId w:val="36"/>
              </w:numPr>
              <w:ind w:left="144" w:hanging="144"/>
              <w:jc w:val="left"/>
              <w:rPr>
                <w:sz w:val="20"/>
                <w:szCs w:val="20"/>
              </w:rPr>
            </w:pPr>
            <w:r>
              <w:rPr>
                <w:sz w:val="20"/>
                <w:szCs w:val="20"/>
                <w:lang w:val="fr"/>
              </w:rPr>
              <w:t>Aérosols</w:t>
            </w:r>
          </w:p>
          <w:p w14:paraId="3E6359EA" w14:textId="77777777" w:rsidR="00502FEE" w:rsidRPr="005703FE" w:rsidRDefault="00502FEE" w:rsidP="000E7A06">
            <w:pPr>
              <w:pStyle w:val="ListParagraph"/>
              <w:numPr>
                <w:ilvl w:val="0"/>
                <w:numId w:val="36"/>
              </w:numPr>
              <w:ind w:left="144" w:hanging="144"/>
              <w:jc w:val="left"/>
              <w:rPr>
                <w:sz w:val="20"/>
                <w:szCs w:val="20"/>
                <w:lang w:val="fr-FR"/>
              </w:rPr>
            </w:pPr>
            <w:r>
              <w:rPr>
                <w:sz w:val="20"/>
                <w:szCs w:val="20"/>
                <w:lang w:val="fr"/>
              </w:rPr>
              <w:t>Secteur de l’entretien des équipements de réfrigération</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14:paraId="047D4013" w14:textId="77777777" w:rsidR="00502FEE" w:rsidRPr="005703FE" w:rsidRDefault="00502FEE" w:rsidP="000E7A06">
            <w:pPr>
              <w:jc w:val="left"/>
              <w:rPr>
                <w:sz w:val="20"/>
                <w:szCs w:val="20"/>
                <w:lang w:val="fr-FR"/>
              </w:rPr>
            </w:pPr>
            <w:r>
              <w:rPr>
                <w:sz w:val="20"/>
                <w:szCs w:val="20"/>
                <w:lang w:val="fr"/>
              </w:rPr>
              <w:t>Mêmes secteurs de fabrication et d’entretien que pour les HCFC plus :</w:t>
            </w:r>
          </w:p>
          <w:p w14:paraId="540FD91D" w14:textId="77777777" w:rsidR="00502FEE" w:rsidRPr="007A36CC" w:rsidRDefault="00502FEE" w:rsidP="000E7A06">
            <w:pPr>
              <w:pStyle w:val="ListParagraph"/>
              <w:numPr>
                <w:ilvl w:val="0"/>
                <w:numId w:val="36"/>
              </w:numPr>
              <w:ind w:left="144" w:hanging="144"/>
              <w:jc w:val="left"/>
              <w:rPr>
                <w:sz w:val="20"/>
                <w:szCs w:val="20"/>
              </w:rPr>
            </w:pPr>
            <w:r>
              <w:rPr>
                <w:sz w:val="20"/>
                <w:szCs w:val="20"/>
                <w:lang w:val="fr"/>
              </w:rPr>
              <w:t>Fabrication de réfrigérateurs ménagers</w:t>
            </w:r>
          </w:p>
          <w:p w14:paraId="7F0920EC" w14:textId="77777777" w:rsidR="00502FEE" w:rsidRPr="005703FE" w:rsidRDefault="00502FEE" w:rsidP="000E7A06">
            <w:pPr>
              <w:pStyle w:val="ListParagraph"/>
              <w:numPr>
                <w:ilvl w:val="0"/>
                <w:numId w:val="36"/>
              </w:numPr>
              <w:ind w:left="144" w:hanging="144"/>
              <w:jc w:val="left"/>
              <w:rPr>
                <w:sz w:val="20"/>
                <w:szCs w:val="20"/>
                <w:lang w:val="fr-FR"/>
              </w:rPr>
            </w:pPr>
            <w:r>
              <w:rPr>
                <w:sz w:val="20"/>
                <w:szCs w:val="20"/>
                <w:lang w:val="fr"/>
              </w:rPr>
              <w:t>Fabrication d’autres réfrigérateurs commerciaux (par exemple, utilisant le R-404A)</w:t>
            </w:r>
          </w:p>
          <w:p w14:paraId="1C40F373" w14:textId="5B1FCD46" w:rsidR="00502FEE" w:rsidRPr="005703FE" w:rsidRDefault="00502FEE" w:rsidP="000E7A06">
            <w:pPr>
              <w:pStyle w:val="ListParagraph"/>
              <w:numPr>
                <w:ilvl w:val="0"/>
                <w:numId w:val="36"/>
              </w:numPr>
              <w:ind w:left="144" w:hanging="144"/>
              <w:jc w:val="left"/>
              <w:rPr>
                <w:sz w:val="20"/>
                <w:szCs w:val="20"/>
                <w:lang w:val="fr-FR"/>
              </w:rPr>
            </w:pPr>
            <w:r>
              <w:rPr>
                <w:sz w:val="20"/>
                <w:szCs w:val="20"/>
                <w:lang w:val="fr"/>
              </w:rPr>
              <w:t>Fabrication et entretien des unités de climatisation mobiles</w:t>
            </w:r>
          </w:p>
          <w:p w14:paraId="02C8440B" w14:textId="77777777" w:rsidR="00502FEE" w:rsidRPr="007A36CC" w:rsidRDefault="00502FEE" w:rsidP="000E7A06">
            <w:pPr>
              <w:pStyle w:val="ListParagraph"/>
              <w:numPr>
                <w:ilvl w:val="0"/>
                <w:numId w:val="36"/>
              </w:numPr>
              <w:ind w:left="144" w:hanging="144"/>
              <w:jc w:val="left"/>
              <w:rPr>
                <w:sz w:val="20"/>
                <w:szCs w:val="20"/>
              </w:rPr>
            </w:pPr>
            <w:r>
              <w:rPr>
                <w:sz w:val="20"/>
                <w:szCs w:val="20"/>
                <w:lang w:val="fr"/>
              </w:rPr>
              <w:t>Fabrication d’inhalateurs à doseur</w:t>
            </w:r>
          </w:p>
        </w:tc>
      </w:tr>
      <w:tr w:rsidR="00502FEE" w14:paraId="7B5A1CD4" w14:textId="77777777" w:rsidTr="002D2807">
        <w:tc>
          <w:tcPr>
            <w:tcW w:w="2097"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14:paraId="57303ECB" w14:textId="36941CB5" w:rsidR="00502FEE" w:rsidRPr="005703FE" w:rsidRDefault="00502FEE" w:rsidP="000E7A06">
            <w:pPr>
              <w:widowControl w:val="0"/>
              <w:jc w:val="left"/>
              <w:rPr>
                <w:sz w:val="20"/>
                <w:szCs w:val="20"/>
                <w:lang w:val="fr-FR"/>
              </w:rPr>
            </w:pPr>
            <w:r>
              <w:rPr>
                <w:sz w:val="20"/>
                <w:szCs w:val="20"/>
                <w:lang w:val="fr"/>
              </w:rPr>
              <w:t>Production et consommation de référence disponibles</w:t>
            </w:r>
            <w:r>
              <w:rPr>
                <w:rStyle w:val="FootnoteReference"/>
                <w:sz w:val="20"/>
                <w:lang w:val="fr"/>
              </w:rPr>
              <w:footnoteReference w:id="9"/>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14:paraId="0BFA39DA" w14:textId="1C81E6F6" w:rsidR="000E7A06" w:rsidRPr="005703FE" w:rsidRDefault="000E7A06" w:rsidP="000E7A06">
            <w:pPr>
              <w:jc w:val="left"/>
              <w:rPr>
                <w:sz w:val="20"/>
                <w:szCs w:val="20"/>
                <w:lang w:val="fr-FR"/>
              </w:rPr>
            </w:pPr>
            <w:r>
              <w:rPr>
                <w:sz w:val="20"/>
                <w:szCs w:val="20"/>
                <w:lang w:val="fr"/>
              </w:rPr>
              <w:t xml:space="preserve">Production (tm) </w:t>
            </w:r>
          </w:p>
          <w:p w14:paraId="2B6CCB55" w14:textId="3EBF574E" w:rsidR="000E7A06" w:rsidRPr="005703FE" w:rsidRDefault="000E7A06" w:rsidP="000E7A06">
            <w:pPr>
              <w:jc w:val="left"/>
              <w:rPr>
                <w:sz w:val="20"/>
                <w:szCs w:val="20"/>
                <w:lang w:val="fr-FR"/>
              </w:rPr>
            </w:pPr>
            <w:r>
              <w:rPr>
                <w:sz w:val="20"/>
                <w:szCs w:val="20"/>
                <w:lang w:val="fr"/>
              </w:rPr>
              <w:t xml:space="preserve"> Moyenne 2009-2010 :         501 265 </w:t>
            </w:r>
          </w:p>
          <w:p w14:paraId="5953AFD6" w14:textId="476C894F" w:rsidR="00CD3C15" w:rsidRPr="005703FE" w:rsidRDefault="000E7A06" w:rsidP="000E7A06">
            <w:pPr>
              <w:jc w:val="left"/>
              <w:rPr>
                <w:sz w:val="20"/>
                <w:szCs w:val="20"/>
                <w:lang w:val="fr-FR"/>
              </w:rPr>
            </w:pPr>
            <w:r>
              <w:rPr>
                <w:sz w:val="20"/>
                <w:szCs w:val="20"/>
                <w:lang w:val="fr"/>
              </w:rPr>
              <w:t xml:space="preserve"> Réelle 2015 :</w:t>
            </w:r>
            <w:r>
              <w:rPr>
                <w:sz w:val="20"/>
                <w:szCs w:val="20"/>
                <w:lang w:val="fr"/>
              </w:rPr>
              <w:tab/>
              <w:t xml:space="preserve">              374 313 </w:t>
            </w:r>
          </w:p>
          <w:p w14:paraId="372300C6" w14:textId="71A70FDC" w:rsidR="000E7A06" w:rsidRPr="005703FE" w:rsidRDefault="000E7A06" w:rsidP="000E7A06">
            <w:pPr>
              <w:jc w:val="left"/>
              <w:rPr>
                <w:sz w:val="20"/>
                <w:szCs w:val="20"/>
                <w:lang w:val="fr-FR"/>
              </w:rPr>
            </w:pPr>
            <w:r>
              <w:rPr>
                <w:sz w:val="20"/>
                <w:szCs w:val="20"/>
                <w:lang w:val="fr"/>
              </w:rPr>
              <w:t xml:space="preserve"> Visée 2020 :</w:t>
            </w:r>
            <w:r>
              <w:rPr>
                <w:sz w:val="20"/>
                <w:szCs w:val="20"/>
                <w:lang w:val="fr"/>
              </w:rPr>
              <w:tab/>
              <w:t xml:space="preserve">              346 752 </w:t>
            </w:r>
          </w:p>
          <w:p w14:paraId="15B1E77B" w14:textId="440BCFE1" w:rsidR="00CD3C15" w:rsidRPr="005703FE" w:rsidRDefault="00CD3C15" w:rsidP="000E7A06">
            <w:pPr>
              <w:jc w:val="left"/>
              <w:rPr>
                <w:sz w:val="20"/>
                <w:szCs w:val="20"/>
                <w:lang w:val="fr-FR"/>
              </w:rPr>
            </w:pPr>
            <w:r>
              <w:rPr>
                <w:sz w:val="20"/>
                <w:szCs w:val="20"/>
                <w:lang w:val="fr"/>
              </w:rPr>
              <w:t xml:space="preserve"> Visée 2030 :                       13 337 </w:t>
            </w:r>
          </w:p>
          <w:p w14:paraId="693E6B6B" w14:textId="4F1F6F02" w:rsidR="000E7A06" w:rsidRPr="005703FE" w:rsidRDefault="000E7A06" w:rsidP="000E7A06">
            <w:pPr>
              <w:jc w:val="left"/>
              <w:rPr>
                <w:sz w:val="20"/>
                <w:szCs w:val="20"/>
                <w:lang w:val="fr-FR"/>
              </w:rPr>
            </w:pPr>
            <w:r>
              <w:rPr>
                <w:sz w:val="20"/>
                <w:szCs w:val="20"/>
                <w:lang w:val="fr"/>
              </w:rPr>
              <w:t>Consommation (tm)</w:t>
            </w:r>
          </w:p>
          <w:p w14:paraId="36F43E96" w14:textId="3003C333" w:rsidR="000E7A06" w:rsidRPr="005703FE" w:rsidRDefault="000E7A06" w:rsidP="000E7A06">
            <w:pPr>
              <w:jc w:val="left"/>
              <w:rPr>
                <w:sz w:val="20"/>
                <w:szCs w:val="20"/>
                <w:lang w:val="fr-FR"/>
              </w:rPr>
            </w:pPr>
            <w:r>
              <w:rPr>
                <w:sz w:val="20"/>
                <w:szCs w:val="20"/>
                <w:lang w:val="fr"/>
              </w:rPr>
              <w:t xml:space="preserve"> Moyenne 2009-2010 :        535 722 </w:t>
            </w:r>
          </w:p>
          <w:p w14:paraId="3B4A04F5" w14:textId="095694DF" w:rsidR="00502FEE" w:rsidRPr="005703FE" w:rsidRDefault="000E7A06" w:rsidP="000E7A06">
            <w:pPr>
              <w:jc w:val="left"/>
              <w:rPr>
                <w:sz w:val="20"/>
                <w:szCs w:val="20"/>
                <w:lang w:val="fr-FR"/>
              </w:rPr>
            </w:pPr>
            <w:r>
              <w:rPr>
                <w:sz w:val="20"/>
                <w:szCs w:val="20"/>
                <w:lang w:val="fr"/>
              </w:rPr>
              <w:t xml:space="preserve"> Réelle 2015 :</w:t>
            </w:r>
            <w:r>
              <w:rPr>
                <w:sz w:val="20"/>
                <w:szCs w:val="20"/>
                <w:lang w:val="fr"/>
              </w:rPr>
              <w:tab/>
              <w:t xml:space="preserve">             389 360 </w:t>
            </w:r>
          </w:p>
          <w:p w14:paraId="59C97DE3" w14:textId="3FCAB2BE" w:rsidR="00502FEE" w:rsidRPr="00F41D79" w:rsidRDefault="000E7A06" w:rsidP="000E7A06">
            <w:pPr>
              <w:jc w:val="left"/>
              <w:rPr>
                <w:sz w:val="20"/>
                <w:szCs w:val="20"/>
              </w:rPr>
            </w:pPr>
            <w:r>
              <w:rPr>
                <w:sz w:val="20"/>
                <w:szCs w:val="20"/>
                <w:lang w:val="fr"/>
              </w:rPr>
              <w:t xml:space="preserve"> Visée 2020 :</w:t>
            </w:r>
            <w:r>
              <w:rPr>
                <w:sz w:val="20"/>
                <w:szCs w:val="20"/>
                <w:lang w:val="fr"/>
              </w:rPr>
              <w:tab/>
              <w:t xml:space="preserve">             348 219 </w:t>
            </w:r>
          </w:p>
          <w:p w14:paraId="04AE2F02" w14:textId="3970976F" w:rsidR="00CD3C15" w:rsidRPr="00F41D79" w:rsidRDefault="00CD3C15" w:rsidP="00F41D79">
            <w:pPr>
              <w:jc w:val="left"/>
              <w:rPr>
                <w:sz w:val="20"/>
                <w:szCs w:val="20"/>
              </w:rPr>
            </w:pPr>
            <w:r>
              <w:rPr>
                <w:sz w:val="20"/>
                <w:szCs w:val="20"/>
                <w:lang w:val="fr"/>
              </w:rPr>
              <w:t xml:space="preserve"> Visée 2030 :                      13 393 </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14:paraId="6DEFA143" w14:textId="3567752D" w:rsidR="000E7A06" w:rsidRPr="005703FE" w:rsidRDefault="00502FEE" w:rsidP="000E7A06">
            <w:pPr>
              <w:jc w:val="left"/>
              <w:rPr>
                <w:sz w:val="20"/>
                <w:szCs w:val="20"/>
                <w:lang w:val="fr-FR"/>
              </w:rPr>
            </w:pPr>
            <w:r>
              <w:rPr>
                <w:sz w:val="20"/>
                <w:szCs w:val="20"/>
                <w:lang w:val="fr"/>
              </w:rPr>
              <w:t>Production (tm)</w:t>
            </w:r>
          </w:p>
          <w:p w14:paraId="696944C9" w14:textId="1298CC19" w:rsidR="000E7A06" w:rsidRPr="005703FE" w:rsidRDefault="000E7A06" w:rsidP="000E7A06">
            <w:pPr>
              <w:jc w:val="left"/>
              <w:rPr>
                <w:sz w:val="20"/>
                <w:szCs w:val="20"/>
                <w:lang w:val="fr-FR"/>
              </w:rPr>
            </w:pPr>
            <w:r>
              <w:rPr>
                <w:sz w:val="20"/>
                <w:szCs w:val="20"/>
                <w:lang w:val="fr"/>
              </w:rPr>
              <w:t xml:space="preserve"> Moyenne 2009-2010 : s.o.</w:t>
            </w:r>
          </w:p>
          <w:p w14:paraId="2D1169AA" w14:textId="4F8AEAE6" w:rsidR="000E7A06" w:rsidRPr="005703FE" w:rsidRDefault="000E7A06" w:rsidP="000E7A06">
            <w:pPr>
              <w:jc w:val="left"/>
              <w:rPr>
                <w:sz w:val="20"/>
                <w:szCs w:val="20"/>
                <w:lang w:val="fr-FR"/>
              </w:rPr>
            </w:pPr>
            <w:r>
              <w:rPr>
                <w:sz w:val="20"/>
                <w:szCs w:val="20"/>
                <w:lang w:val="fr"/>
              </w:rPr>
              <w:t xml:space="preserve"> Estimée 2015 :</w:t>
            </w:r>
            <w:r>
              <w:rPr>
                <w:sz w:val="20"/>
                <w:szCs w:val="20"/>
                <w:lang w:val="fr"/>
              </w:rPr>
              <w:tab/>
              <w:t xml:space="preserve">                 312 515 </w:t>
            </w:r>
          </w:p>
          <w:p w14:paraId="3354C2CA" w14:textId="3CE81E49" w:rsidR="00502FEE" w:rsidRPr="005703FE" w:rsidRDefault="000E7A06" w:rsidP="000E7A06">
            <w:pPr>
              <w:jc w:val="left"/>
              <w:rPr>
                <w:sz w:val="20"/>
                <w:szCs w:val="20"/>
                <w:lang w:val="fr-FR"/>
              </w:rPr>
            </w:pPr>
            <w:r>
              <w:rPr>
                <w:sz w:val="20"/>
                <w:szCs w:val="20"/>
                <w:lang w:val="fr"/>
              </w:rPr>
              <w:t xml:space="preserve"> Estimée 2020 :</w:t>
            </w:r>
            <w:r>
              <w:rPr>
                <w:sz w:val="20"/>
                <w:szCs w:val="20"/>
                <w:lang w:val="fr"/>
              </w:rPr>
              <w:tab/>
              <w:t xml:space="preserve"> s.o.</w:t>
            </w:r>
          </w:p>
          <w:p w14:paraId="42822B2F" w14:textId="538679E7" w:rsidR="00CD3C15" w:rsidRPr="005703FE" w:rsidRDefault="00CD3C15" w:rsidP="000E7A06">
            <w:pPr>
              <w:jc w:val="left"/>
              <w:rPr>
                <w:sz w:val="20"/>
                <w:szCs w:val="20"/>
                <w:lang w:val="fr-FR"/>
              </w:rPr>
            </w:pPr>
            <w:r>
              <w:rPr>
                <w:sz w:val="20"/>
                <w:szCs w:val="20"/>
                <w:lang w:val="fr"/>
              </w:rPr>
              <w:t xml:space="preserve"> Estimée 2030 : s.o.</w:t>
            </w:r>
          </w:p>
          <w:p w14:paraId="4C6361F5" w14:textId="7BC7B1AB" w:rsidR="000E7A06" w:rsidRPr="005703FE" w:rsidRDefault="000E7A06" w:rsidP="000E7A06">
            <w:pPr>
              <w:jc w:val="left"/>
              <w:rPr>
                <w:sz w:val="20"/>
                <w:szCs w:val="20"/>
                <w:lang w:val="fr-FR"/>
              </w:rPr>
            </w:pPr>
            <w:r>
              <w:rPr>
                <w:sz w:val="20"/>
                <w:szCs w:val="20"/>
                <w:lang w:val="fr"/>
              </w:rPr>
              <w:t>Consommation (tm)</w:t>
            </w:r>
          </w:p>
          <w:p w14:paraId="435DD6EB" w14:textId="34901CE4" w:rsidR="000E7A06" w:rsidRPr="005703FE" w:rsidRDefault="000E7A06" w:rsidP="000E7A06">
            <w:pPr>
              <w:jc w:val="left"/>
              <w:rPr>
                <w:sz w:val="20"/>
                <w:szCs w:val="20"/>
                <w:lang w:val="fr-FR"/>
              </w:rPr>
            </w:pPr>
            <w:r>
              <w:rPr>
                <w:sz w:val="20"/>
                <w:szCs w:val="20"/>
                <w:lang w:val="fr"/>
              </w:rPr>
              <w:t>Moyenne 2009-2010 : s.o.</w:t>
            </w:r>
          </w:p>
          <w:p w14:paraId="062BFD79" w14:textId="201E4F11" w:rsidR="000E7A06" w:rsidRPr="00F41D79" w:rsidRDefault="00CD3C15" w:rsidP="000E7A06">
            <w:pPr>
              <w:jc w:val="left"/>
              <w:rPr>
                <w:sz w:val="20"/>
                <w:szCs w:val="20"/>
              </w:rPr>
            </w:pPr>
            <w:r>
              <w:rPr>
                <w:sz w:val="20"/>
                <w:szCs w:val="20"/>
                <w:lang w:val="fr"/>
              </w:rPr>
              <w:t xml:space="preserve"> Estimée 2015 :</w:t>
            </w:r>
            <w:r>
              <w:rPr>
                <w:sz w:val="20"/>
                <w:szCs w:val="20"/>
                <w:lang w:val="fr"/>
              </w:rPr>
              <w:tab/>
              <w:t xml:space="preserve">                 284 325 </w:t>
            </w:r>
          </w:p>
          <w:p w14:paraId="51C71501" w14:textId="4E6868B0" w:rsidR="00502FEE" w:rsidRPr="00F41D79" w:rsidRDefault="00CD3C15" w:rsidP="000E7A06">
            <w:pPr>
              <w:jc w:val="left"/>
              <w:rPr>
                <w:sz w:val="20"/>
                <w:szCs w:val="20"/>
              </w:rPr>
            </w:pPr>
            <w:r>
              <w:rPr>
                <w:sz w:val="20"/>
                <w:szCs w:val="20"/>
                <w:lang w:val="fr"/>
              </w:rPr>
              <w:t xml:space="preserve"> Estimée 2020 :</w:t>
            </w:r>
            <w:r>
              <w:rPr>
                <w:sz w:val="20"/>
                <w:szCs w:val="20"/>
                <w:lang w:val="fr"/>
              </w:rPr>
              <w:tab/>
              <w:t xml:space="preserve">                 477 618 </w:t>
            </w:r>
          </w:p>
          <w:p w14:paraId="55C1800C" w14:textId="20DD7332" w:rsidR="00CD3C15" w:rsidRPr="00F41D79" w:rsidRDefault="00CD3C15" w:rsidP="00F41D79">
            <w:pPr>
              <w:jc w:val="left"/>
              <w:rPr>
                <w:sz w:val="20"/>
                <w:szCs w:val="20"/>
              </w:rPr>
            </w:pPr>
            <w:r>
              <w:rPr>
                <w:sz w:val="20"/>
                <w:szCs w:val="20"/>
                <w:lang w:val="fr"/>
              </w:rPr>
              <w:t xml:space="preserve"> Estimée 2030 :                1 021 216 </w:t>
            </w:r>
          </w:p>
        </w:tc>
      </w:tr>
    </w:tbl>
    <w:p w14:paraId="4B10F45D" w14:textId="77777777" w:rsidR="00502FEE" w:rsidRDefault="00502FEE" w:rsidP="00502FEE">
      <w:pPr>
        <w:rPr>
          <w:b/>
        </w:rPr>
      </w:pPr>
    </w:p>
    <w:p w14:paraId="647B7DA8" w14:textId="77777777" w:rsidR="00502FEE" w:rsidRPr="005703FE" w:rsidRDefault="00502FEE" w:rsidP="00502FEE">
      <w:pPr>
        <w:rPr>
          <w:b/>
          <w:lang w:val="fr-FR"/>
        </w:rPr>
      </w:pPr>
      <w:r>
        <w:rPr>
          <w:b/>
          <w:bCs/>
          <w:lang w:val="fr"/>
        </w:rPr>
        <w:lastRenderedPageBreak/>
        <w:t>Prévision de la consommation de HCFC et de HFC pour la période 2020-2030</w:t>
      </w:r>
    </w:p>
    <w:p w14:paraId="7090891E" w14:textId="77777777" w:rsidR="00502FEE" w:rsidRPr="005703FE" w:rsidRDefault="00502FEE" w:rsidP="00502FEE">
      <w:pPr>
        <w:rPr>
          <w:lang w:val="fr-FR"/>
        </w:rPr>
      </w:pPr>
    </w:p>
    <w:p w14:paraId="73E94419" w14:textId="7C49129A" w:rsidR="00502FEE" w:rsidRPr="005703FE" w:rsidRDefault="00502FEE" w:rsidP="00F41D79">
      <w:pPr>
        <w:pStyle w:val="Heading1"/>
        <w:rPr>
          <w:lang w:val="fr-FR"/>
        </w:rPr>
      </w:pPr>
      <w:r>
        <w:rPr>
          <w:lang w:val="fr"/>
        </w:rPr>
        <w:t>Les niveaux de consommation et de production de HCFC ont été communiqués au titre de l’article 7 du Protocole de Montréal lorsque les pays l’ont ratifié. Pour les pays visés à l’article 5, les niveaux de référence des HCFC aux fins de conformité ont été établis lorsqu’ils ont soumis leurs données pour 2010</w:t>
      </w:r>
      <w:r>
        <w:rPr>
          <w:rStyle w:val="FootnoteReference"/>
          <w:lang w:val="fr"/>
        </w:rPr>
        <w:footnoteReference w:id="10"/>
      </w:r>
      <w:r>
        <w:rPr>
          <w:lang w:val="fr"/>
        </w:rPr>
        <w:t>. Toutefois, les informations sur les niveaux de consommation et de production des HFC ne sont pas encore disponibles au titre du Protocole, car la communication des données ne devient obligatoire qu’après ratification de l’Amendement de Kigali. Au 3 novembre 2019, 57 pays visés à l’article 5 avaient ratifié l’Amendement de Kigali et communiqueront en 2020 leurs niveaux de consommation et de production de HFC pour 2019 conformément à l’article 7 du Protocole de Montréal. À ce jour, un nombre limité de pays visés à l’article 5 ont communiqué des données sur leur consommation ou leur production de HFC pour l’année 2018.</w:t>
      </w:r>
    </w:p>
    <w:p w14:paraId="56E66B31" w14:textId="085CEC19" w:rsidR="00502FEE" w:rsidRPr="005703FE" w:rsidRDefault="00502FEE" w:rsidP="00502FEE">
      <w:pPr>
        <w:pStyle w:val="Heading1"/>
        <w:rPr>
          <w:lang w:val="fr-FR"/>
        </w:rPr>
      </w:pPr>
      <w:r>
        <w:rPr>
          <w:lang w:val="fr"/>
        </w:rPr>
        <w:t>Les informations sur les niveaux de consommation et de production de HFC dans les pays visés à l’article 5 sont limitées aux rapports établis par l’Équipe spéciale du GETE en application des décisions XXV/5 et XXVI/9</w:t>
      </w:r>
      <w:r>
        <w:rPr>
          <w:rStyle w:val="FootnoteReference"/>
          <w:lang w:val="fr"/>
        </w:rPr>
        <w:footnoteReference w:id="11"/>
      </w:r>
      <w:r>
        <w:rPr>
          <w:lang w:val="fr"/>
        </w:rPr>
        <w:t xml:space="preserve"> et à un article publié dans la revue scientifique Atmospheric Science</w:t>
      </w:r>
      <w:r>
        <w:rPr>
          <w:rStyle w:val="FootnoteReference"/>
          <w:lang w:val="fr"/>
        </w:rPr>
        <w:footnoteReference w:id="12"/>
      </w:r>
      <w:r>
        <w:rPr>
          <w:lang w:val="fr"/>
        </w:rPr>
        <w:t xml:space="preserve">. </w:t>
      </w:r>
    </w:p>
    <w:p w14:paraId="60AB173B" w14:textId="77777777" w:rsidR="00502FEE" w:rsidRPr="00C74B92" w:rsidRDefault="00502FEE" w:rsidP="00502FEE">
      <w:pPr>
        <w:rPr>
          <w:u w:val="single"/>
        </w:rPr>
      </w:pPr>
      <w:r>
        <w:rPr>
          <w:u w:val="single"/>
          <w:lang w:val="fr"/>
        </w:rPr>
        <w:t>Secteur de la production</w:t>
      </w:r>
    </w:p>
    <w:p w14:paraId="1EA729DF" w14:textId="77777777" w:rsidR="00502FEE" w:rsidRPr="00931200" w:rsidRDefault="00502FEE" w:rsidP="00502FEE"/>
    <w:p w14:paraId="0DFE1805" w14:textId="772DEC9A" w:rsidR="00502FEE" w:rsidRPr="005703FE" w:rsidRDefault="00502FEE" w:rsidP="00502FEE">
      <w:pPr>
        <w:pStyle w:val="Heading1"/>
        <w:rPr>
          <w:lang w:val="fr-FR"/>
        </w:rPr>
      </w:pPr>
      <w:r>
        <w:rPr>
          <w:lang w:val="fr"/>
        </w:rPr>
        <w:t>Sur la base des informations contenues dans les rapports de l’Équipe spéciale du GETE, la production totale de HFC dans les pays visés à l’article 5 a été estimée à 312 515 tm en 2015</w:t>
      </w:r>
      <w:r>
        <w:rPr>
          <w:vertAlign w:val="superscript"/>
          <w:lang w:val="fr"/>
        </w:rPr>
        <w:footnoteReference w:id="13"/>
      </w:r>
      <w:r>
        <w:rPr>
          <w:lang w:val="fr"/>
        </w:rPr>
        <w:t>, dont : 71 000 tm de HFC</w:t>
      </w:r>
      <w:r>
        <w:rPr>
          <w:lang w:val="fr"/>
        </w:rPr>
        <w:noBreakHyphen/>
        <w:t>32 ; 98 500 tm de HFC</w:t>
      </w:r>
      <w:r>
        <w:rPr>
          <w:lang w:val="fr"/>
        </w:rPr>
        <w:noBreakHyphen/>
        <w:t>125 ; 126 000 tm de HFC</w:t>
      </w:r>
      <w:r>
        <w:rPr>
          <w:lang w:val="fr"/>
        </w:rPr>
        <w:noBreakHyphen/>
        <w:t>134a et 17 000 tm de HFC</w:t>
      </w:r>
      <w:r>
        <w:rPr>
          <w:lang w:val="fr"/>
        </w:rPr>
        <w:noBreakHyphen/>
        <w:t>143a. Une part importante du HFC-32, du HFC-125, du HFC-134a et du HFC-143a a été utilisée pour la production de mélanges à base de HFC (R</w:t>
      </w:r>
      <w:r>
        <w:rPr>
          <w:lang w:val="fr"/>
        </w:rPr>
        <w:noBreakHyphen/>
        <w:t>410A, R</w:t>
      </w:r>
      <w:r>
        <w:rPr>
          <w:lang w:val="fr"/>
        </w:rPr>
        <w:noBreakHyphen/>
        <w:t>407C, R-404A, R-407F et R</w:t>
      </w:r>
      <w:r>
        <w:rPr>
          <w:lang w:val="fr"/>
        </w:rPr>
        <w:noBreakHyphen/>
        <w:t xml:space="preserve">507A). La Chine et l’Inde sont les seuls pays visés à l’article 5 produisant des HFC. </w:t>
      </w:r>
    </w:p>
    <w:p w14:paraId="67EC40A5" w14:textId="501408A4" w:rsidR="00502FEE" w:rsidRPr="005703FE" w:rsidRDefault="00502FEE" w:rsidP="00DA4013">
      <w:pPr>
        <w:pStyle w:val="Heading1"/>
        <w:widowControl w:val="0"/>
        <w:rPr>
          <w:lang w:val="fr-FR"/>
        </w:rPr>
      </w:pPr>
      <w:r>
        <w:rPr>
          <w:lang w:val="fr"/>
        </w:rPr>
        <w:t xml:space="preserve">Les HCFC sont produits dans sept pays visés à l’article 5, avec une production totale de référence de 501 265,6 tm (32 988,9 tonnes PAO). Conformément au calendrier de mise en conformité du Protocole de Montréal, la production totale de HCFC devrait passer d’un maximum de 346 752 tm (21 443 tonnes PAO) en 2020 à 13 337 tm (825 tonnes PAO) en 2030 (soit une réduction de 333 415 tm), comme indiqué au tableau 2. </w:t>
      </w:r>
    </w:p>
    <w:p w14:paraId="6D78E90F" w14:textId="20C8E95A" w:rsidR="00502FEE" w:rsidRPr="005703FE" w:rsidRDefault="00502FEE" w:rsidP="00502FEE">
      <w:pPr>
        <w:rPr>
          <w:b/>
          <w:bCs/>
          <w:lang w:val="fr-FR"/>
        </w:rPr>
      </w:pPr>
      <w:r>
        <w:rPr>
          <w:b/>
          <w:bCs/>
          <w:lang w:val="fr"/>
        </w:rPr>
        <w:t>Tableau 2. Production de HCFC destinés à des utilisations réglementées dans les pays visés à l’article 5 (tm et tonnes PAO)</w:t>
      </w:r>
    </w:p>
    <w:tbl>
      <w:tblPr>
        <w:tblW w:w="4977" w:type="pct"/>
        <w:tblInd w:w="43" w:type="dxa"/>
        <w:tblLayout w:type="fixed"/>
        <w:tblLook w:val="04A0" w:firstRow="1" w:lastRow="0" w:firstColumn="1" w:lastColumn="0" w:noHBand="0" w:noVBand="1"/>
      </w:tblPr>
      <w:tblGrid>
        <w:gridCol w:w="2706"/>
        <w:gridCol w:w="952"/>
        <w:gridCol w:w="952"/>
        <w:gridCol w:w="952"/>
        <w:gridCol w:w="951"/>
        <w:gridCol w:w="951"/>
        <w:gridCol w:w="951"/>
        <w:gridCol w:w="950"/>
      </w:tblGrid>
      <w:tr w:rsidR="00502FEE" w:rsidRPr="00480B01" w14:paraId="3E7CA4D6" w14:textId="77777777" w:rsidTr="00AD46B9">
        <w:tc>
          <w:tcPr>
            <w:tcW w:w="14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29" w:type="dxa"/>
            </w:tcMar>
            <w:vAlign w:val="center"/>
            <w:hideMark/>
          </w:tcPr>
          <w:p w14:paraId="5291CC99" w14:textId="17178C06" w:rsidR="00502FEE" w:rsidRPr="00641A6D" w:rsidRDefault="00502FEE" w:rsidP="000E7A06">
            <w:pPr>
              <w:jc w:val="left"/>
              <w:rPr>
                <w:b/>
                <w:color w:val="000000"/>
                <w:sz w:val="18"/>
                <w:szCs w:val="18"/>
              </w:rPr>
            </w:pPr>
            <w:r>
              <w:rPr>
                <w:b/>
                <w:bCs/>
                <w:color w:val="000000"/>
                <w:sz w:val="18"/>
                <w:szCs w:val="18"/>
                <w:lang w:val="fr"/>
              </w:rPr>
              <w:t>Partie* (tm)</w:t>
            </w:r>
          </w:p>
        </w:tc>
        <w:tc>
          <w:tcPr>
            <w:tcW w:w="50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E62F601" w14:textId="77777777" w:rsidR="00502FEE" w:rsidRPr="00641A6D" w:rsidRDefault="00502FEE" w:rsidP="000E7A06">
            <w:pPr>
              <w:jc w:val="center"/>
              <w:rPr>
                <w:b/>
                <w:color w:val="000000"/>
                <w:sz w:val="18"/>
                <w:szCs w:val="18"/>
              </w:rPr>
            </w:pPr>
            <w:r>
              <w:rPr>
                <w:b/>
                <w:bCs/>
                <w:color w:val="000000"/>
                <w:sz w:val="18"/>
                <w:szCs w:val="18"/>
                <w:lang w:val="fr"/>
              </w:rPr>
              <w:t>Référence</w:t>
            </w:r>
          </w:p>
        </w:tc>
        <w:tc>
          <w:tcPr>
            <w:tcW w:w="508" w:type="pct"/>
            <w:tcBorders>
              <w:top w:val="single" w:sz="4" w:space="0" w:color="auto"/>
              <w:left w:val="nil"/>
              <w:bottom w:val="single" w:sz="4" w:space="0" w:color="auto"/>
              <w:right w:val="single" w:sz="4" w:space="0" w:color="auto"/>
            </w:tcBorders>
            <w:vAlign w:val="center"/>
          </w:tcPr>
          <w:p w14:paraId="758457D5" w14:textId="77777777" w:rsidR="00502FEE" w:rsidRPr="00641A6D" w:rsidRDefault="00502FEE" w:rsidP="000E7A06">
            <w:pPr>
              <w:jc w:val="center"/>
              <w:rPr>
                <w:b/>
                <w:color w:val="000000"/>
                <w:sz w:val="18"/>
                <w:szCs w:val="18"/>
              </w:rPr>
            </w:pPr>
            <w:r>
              <w:rPr>
                <w:b/>
                <w:bCs/>
                <w:color w:val="000000"/>
                <w:sz w:val="18"/>
                <w:szCs w:val="18"/>
                <w:lang w:val="fr"/>
              </w:rPr>
              <w:t>2015</w:t>
            </w:r>
          </w:p>
        </w:tc>
        <w:tc>
          <w:tcPr>
            <w:tcW w:w="508"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712A6D8D" w14:textId="77777777" w:rsidR="00502FEE" w:rsidRPr="00641A6D" w:rsidRDefault="00502FEE" w:rsidP="000E7A06">
            <w:pPr>
              <w:jc w:val="center"/>
              <w:rPr>
                <w:b/>
                <w:color w:val="000000"/>
                <w:sz w:val="18"/>
                <w:szCs w:val="18"/>
              </w:rPr>
            </w:pPr>
            <w:r>
              <w:rPr>
                <w:b/>
                <w:bCs/>
                <w:color w:val="000000"/>
                <w:sz w:val="18"/>
                <w:szCs w:val="18"/>
                <w:lang w:val="fr"/>
              </w:rPr>
              <w:t>2018</w:t>
            </w:r>
          </w:p>
        </w:tc>
        <w:tc>
          <w:tcPr>
            <w:tcW w:w="50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3B9BF13" w14:textId="77777777" w:rsidR="00502FEE" w:rsidRPr="00641A6D" w:rsidRDefault="00502FEE" w:rsidP="000E7A06">
            <w:pPr>
              <w:jc w:val="center"/>
              <w:rPr>
                <w:b/>
                <w:color w:val="000000"/>
                <w:sz w:val="18"/>
                <w:szCs w:val="18"/>
              </w:rPr>
            </w:pPr>
            <w:r>
              <w:rPr>
                <w:b/>
                <w:bCs/>
                <w:color w:val="000000"/>
                <w:sz w:val="18"/>
                <w:szCs w:val="18"/>
                <w:lang w:val="fr"/>
              </w:rPr>
              <w:t>% (2018 / référence)</w:t>
            </w:r>
          </w:p>
        </w:tc>
        <w:tc>
          <w:tcPr>
            <w:tcW w:w="50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7E3F154" w14:textId="77777777" w:rsidR="00502FEE" w:rsidRPr="00641A6D" w:rsidRDefault="00502FEE" w:rsidP="000E7A06">
            <w:pPr>
              <w:jc w:val="center"/>
              <w:rPr>
                <w:b/>
                <w:color w:val="000000"/>
                <w:sz w:val="18"/>
                <w:szCs w:val="18"/>
              </w:rPr>
            </w:pPr>
            <w:r>
              <w:rPr>
                <w:b/>
                <w:bCs/>
                <w:color w:val="000000"/>
                <w:sz w:val="18"/>
                <w:szCs w:val="18"/>
                <w:lang w:val="fr"/>
              </w:rPr>
              <w:t xml:space="preserve">Objectif </w:t>
            </w:r>
          </w:p>
          <w:p w14:paraId="4EADEA8C" w14:textId="77777777" w:rsidR="00502FEE" w:rsidRPr="00641A6D" w:rsidRDefault="00502FEE" w:rsidP="000E7A06">
            <w:pPr>
              <w:jc w:val="center"/>
              <w:rPr>
                <w:b/>
                <w:color w:val="000000"/>
                <w:sz w:val="18"/>
                <w:szCs w:val="18"/>
              </w:rPr>
            </w:pPr>
            <w:r>
              <w:rPr>
                <w:b/>
                <w:bCs/>
                <w:color w:val="000000"/>
                <w:sz w:val="18"/>
                <w:szCs w:val="18"/>
                <w:lang w:val="fr"/>
              </w:rPr>
              <w:t>2020**</w:t>
            </w:r>
          </w:p>
        </w:tc>
        <w:tc>
          <w:tcPr>
            <w:tcW w:w="50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10BDE32" w14:textId="77777777" w:rsidR="00502FEE" w:rsidRPr="00641A6D" w:rsidRDefault="00502FEE" w:rsidP="000E7A06">
            <w:pPr>
              <w:jc w:val="center"/>
              <w:rPr>
                <w:b/>
                <w:color w:val="000000"/>
                <w:sz w:val="18"/>
                <w:szCs w:val="18"/>
              </w:rPr>
            </w:pPr>
            <w:r>
              <w:rPr>
                <w:b/>
                <w:bCs/>
                <w:color w:val="000000"/>
                <w:sz w:val="18"/>
                <w:szCs w:val="18"/>
                <w:lang w:val="fr"/>
              </w:rPr>
              <w:t xml:space="preserve">Objectif </w:t>
            </w:r>
          </w:p>
          <w:p w14:paraId="3F57D5C4" w14:textId="77777777" w:rsidR="00502FEE" w:rsidRPr="00641A6D" w:rsidRDefault="00502FEE" w:rsidP="000E7A06">
            <w:pPr>
              <w:jc w:val="center"/>
              <w:rPr>
                <w:b/>
                <w:color w:val="000000"/>
                <w:sz w:val="18"/>
                <w:szCs w:val="18"/>
              </w:rPr>
            </w:pPr>
            <w:r>
              <w:rPr>
                <w:b/>
                <w:bCs/>
                <w:color w:val="000000"/>
                <w:sz w:val="18"/>
                <w:szCs w:val="18"/>
                <w:lang w:val="fr"/>
              </w:rPr>
              <w:t>2025**</w:t>
            </w:r>
          </w:p>
        </w:tc>
        <w:tc>
          <w:tcPr>
            <w:tcW w:w="50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7B0A37C" w14:textId="77777777" w:rsidR="00502FEE" w:rsidRPr="00641A6D" w:rsidRDefault="00502FEE" w:rsidP="000E7A06">
            <w:pPr>
              <w:jc w:val="center"/>
              <w:rPr>
                <w:b/>
                <w:color w:val="000000"/>
                <w:sz w:val="18"/>
                <w:szCs w:val="18"/>
              </w:rPr>
            </w:pPr>
            <w:r>
              <w:rPr>
                <w:b/>
                <w:bCs/>
                <w:color w:val="000000"/>
                <w:sz w:val="18"/>
                <w:szCs w:val="18"/>
                <w:lang w:val="fr"/>
              </w:rPr>
              <w:t>Objectif 2030**</w:t>
            </w:r>
          </w:p>
        </w:tc>
      </w:tr>
      <w:tr w:rsidR="00502FEE" w:rsidRPr="00480B01" w14:paraId="5375EDDC"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4ECC88F2" w14:textId="77777777" w:rsidR="00502FEE" w:rsidRPr="00641A6D" w:rsidRDefault="00502FEE" w:rsidP="000E7A06">
            <w:pPr>
              <w:jc w:val="left"/>
              <w:rPr>
                <w:color w:val="000000"/>
                <w:sz w:val="18"/>
                <w:szCs w:val="18"/>
              </w:rPr>
            </w:pPr>
            <w:r>
              <w:rPr>
                <w:color w:val="000000"/>
                <w:sz w:val="18"/>
                <w:szCs w:val="18"/>
                <w:lang w:val="fr"/>
              </w:rPr>
              <w:t>Argentine</w:t>
            </w:r>
          </w:p>
        </w:tc>
        <w:tc>
          <w:tcPr>
            <w:tcW w:w="508" w:type="pct"/>
            <w:tcBorders>
              <w:top w:val="nil"/>
              <w:left w:val="nil"/>
              <w:bottom w:val="single" w:sz="4" w:space="0" w:color="auto"/>
              <w:right w:val="single" w:sz="4" w:space="0" w:color="auto"/>
            </w:tcBorders>
            <w:shd w:val="clear" w:color="auto" w:fill="auto"/>
            <w:noWrap/>
            <w:hideMark/>
          </w:tcPr>
          <w:p w14:paraId="17AE98A3" w14:textId="77777777" w:rsidR="00502FEE" w:rsidRPr="00641A6D" w:rsidRDefault="00502FEE" w:rsidP="000E7A06">
            <w:pPr>
              <w:jc w:val="right"/>
              <w:rPr>
                <w:color w:val="000000"/>
                <w:sz w:val="18"/>
                <w:szCs w:val="18"/>
              </w:rPr>
            </w:pPr>
            <w:r>
              <w:rPr>
                <w:sz w:val="18"/>
                <w:szCs w:val="18"/>
                <w:lang w:val="fr"/>
              </w:rPr>
              <w:t>4 082,6</w:t>
            </w:r>
          </w:p>
        </w:tc>
        <w:tc>
          <w:tcPr>
            <w:tcW w:w="508" w:type="pct"/>
            <w:tcBorders>
              <w:top w:val="single" w:sz="4" w:space="0" w:color="auto"/>
              <w:left w:val="nil"/>
              <w:bottom w:val="single" w:sz="4" w:space="0" w:color="auto"/>
              <w:right w:val="single" w:sz="4" w:space="0" w:color="auto"/>
            </w:tcBorders>
          </w:tcPr>
          <w:p w14:paraId="20226E33" w14:textId="77777777" w:rsidR="00502FEE" w:rsidRPr="00641A6D" w:rsidRDefault="00502FEE" w:rsidP="000E7A06">
            <w:pPr>
              <w:jc w:val="right"/>
              <w:rPr>
                <w:sz w:val="18"/>
                <w:szCs w:val="18"/>
              </w:rPr>
            </w:pPr>
            <w:r>
              <w:rPr>
                <w:sz w:val="18"/>
                <w:szCs w:val="18"/>
                <w:lang w:val="fr"/>
              </w:rPr>
              <w:t>2 446,0</w:t>
            </w:r>
          </w:p>
        </w:tc>
        <w:tc>
          <w:tcPr>
            <w:tcW w:w="508" w:type="pct"/>
            <w:tcBorders>
              <w:top w:val="nil"/>
              <w:left w:val="single" w:sz="4" w:space="0" w:color="auto"/>
              <w:bottom w:val="single" w:sz="4" w:space="0" w:color="auto"/>
              <w:right w:val="single" w:sz="4" w:space="0" w:color="auto"/>
            </w:tcBorders>
            <w:shd w:val="clear" w:color="auto" w:fill="auto"/>
            <w:noWrap/>
            <w:hideMark/>
          </w:tcPr>
          <w:p w14:paraId="63EA4ADB" w14:textId="77777777" w:rsidR="00502FEE" w:rsidRPr="00641A6D" w:rsidRDefault="00502FEE" w:rsidP="000E7A06">
            <w:pPr>
              <w:jc w:val="right"/>
              <w:rPr>
                <w:color w:val="000000"/>
                <w:sz w:val="18"/>
                <w:szCs w:val="18"/>
              </w:rPr>
            </w:pPr>
            <w:r>
              <w:rPr>
                <w:sz w:val="18"/>
                <w:szCs w:val="18"/>
                <w:lang w:val="fr"/>
              </w:rPr>
              <w:t>1 192,2</w:t>
            </w:r>
          </w:p>
        </w:tc>
        <w:tc>
          <w:tcPr>
            <w:tcW w:w="508" w:type="pct"/>
            <w:tcBorders>
              <w:top w:val="nil"/>
              <w:left w:val="nil"/>
              <w:bottom w:val="single" w:sz="4" w:space="0" w:color="auto"/>
              <w:right w:val="single" w:sz="4" w:space="0" w:color="auto"/>
            </w:tcBorders>
            <w:shd w:val="clear" w:color="auto" w:fill="auto"/>
            <w:noWrap/>
            <w:hideMark/>
          </w:tcPr>
          <w:p w14:paraId="2E469378" w14:textId="77777777" w:rsidR="00502FEE" w:rsidRPr="00641A6D" w:rsidRDefault="00502FEE" w:rsidP="000E7A06">
            <w:pPr>
              <w:jc w:val="right"/>
              <w:rPr>
                <w:color w:val="000000"/>
                <w:sz w:val="18"/>
                <w:szCs w:val="18"/>
              </w:rPr>
            </w:pPr>
            <w:r>
              <w:rPr>
                <w:sz w:val="18"/>
                <w:szCs w:val="18"/>
                <w:lang w:val="fr"/>
              </w:rPr>
              <w:t>29,2</w:t>
            </w:r>
          </w:p>
        </w:tc>
        <w:tc>
          <w:tcPr>
            <w:tcW w:w="508" w:type="pct"/>
            <w:tcBorders>
              <w:top w:val="nil"/>
              <w:left w:val="nil"/>
              <w:bottom w:val="single" w:sz="4" w:space="0" w:color="auto"/>
              <w:right w:val="single" w:sz="4" w:space="0" w:color="auto"/>
            </w:tcBorders>
            <w:shd w:val="clear" w:color="auto" w:fill="auto"/>
            <w:noWrap/>
            <w:hideMark/>
          </w:tcPr>
          <w:p w14:paraId="64942940" w14:textId="77777777" w:rsidR="00502FEE" w:rsidRPr="00641A6D" w:rsidRDefault="00502FEE" w:rsidP="000E7A06">
            <w:pPr>
              <w:jc w:val="right"/>
              <w:rPr>
                <w:color w:val="000000"/>
                <w:sz w:val="18"/>
                <w:szCs w:val="18"/>
              </w:rPr>
            </w:pPr>
            <w:r>
              <w:rPr>
                <w:sz w:val="18"/>
                <w:szCs w:val="18"/>
                <w:lang w:val="fr"/>
              </w:rPr>
              <w:t>2 653,7</w:t>
            </w:r>
          </w:p>
        </w:tc>
        <w:tc>
          <w:tcPr>
            <w:tcW w:w="508" w:type="pct"/>
            <w:tcBorders>
              <w:top w:val="nil"/>
              <w:left w:val="nil"/>
              <w:bottom w:val="single" w:sz="4" w:space="0" w:color="auto"/>
              <w:right w:val="single" w:sz="4" w:space="0" w:color="auto"/>
            </w:tcBorders>
            <w:shd w:val="clear" w:color="auto" w:fill="auto"/>
            <w:noWrap/>
            <w:hideMark/>
          </w:tcPr>
          <w:p w14:paraId="22FF611B" w14:textId="77777777" w:rsidR="00502FEE" w:rsidRPr="00641A6D" w:rsidRDefault="00502FEE" w:rsidP="000E7A06">
            <w:pPr>
              <w:jc w:val="right"/>
              <w:rPr>
                <w:color w:val="000000"/>
                <w:sz w:val="18"/>
                <w:szCs w:val="18"/>
              </w:rPr>
            </w:pPr>
            <w:r>
              <w:rPr>
                <w:sz w:val="18"/>
                <w:szCs w:val="18"/>
                <w:lang w:val="fr"/>
              </w:rPr>
              <w:t>1 326,8</w:t>
            </w:r>
          </w:p>
        </w:tc>
        <w:tc>
          <w:tcPr>
            <w:tcW w:w="507" w:type="pct"/>
            <w:tcBorders>
              <w:top w:val="nil"/>
              <w:left w:val="nil"/>
              <w:bottom w:val="single" w:sz="4" w:space="0" w:color="auto"/>
              <w:right w:val="single" w:sz="4" w:space="0" w:color="auto"/>
            </w:tcBorders>
            <w:shd w:val="clear" w:color="auto" w:fill="auto"/>
            <w:noWrap/>
            <w:hideMark/>
          </w:tcPr>
          <w:p w14:paraId="3A3D0F04" w14:textId="77777777" w:rsidR="00502FEE" w:rsidRPr="00641A6D" w:rsidRDefault="00502FEE" w:rsidP="000E7A06">
            <w:pPr>
              <w:jc w:val="right"/>
              <w:rPr>
                <w:color w:val="000000"/>
                <w:sz w:val="18"/>
                <w:szCs w:val="18"/>
              </w:rPr>
            </w:pPr>
            <w:r>
              <w:rPr>
                <w:sz w:val="18"/>
                <w:szCs w:val="18"/>
                <w:lang w:val="fr"/>
              </w:rPr>
              <w:t>102,1</w:t>
            </w:r>
          </w:p>
        </w:tc>
      </w:tr>
      <w:tr w:rsidR="00502FEE" w:rsidRPr="00480B01" w14:paraId="5BC67B9F"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6E32EFDB" w14:textId="77777777" w:rsidR="00502FEE" w:rsidRPr="00641A6D" w:rsidRDefault="00502FEE" w:rsidP="000E7A06">
            <w:pPr>
              <w:jc w:val="left"/>
              <w:rPr>
                <w:color w:val="000000"/>
                <w:sz w:val="18"/>
                <w:szCs w:val="18"/>
              </w:rPr>
            </w:pPr>
            <w:r>
              <w:rPr>
                <w:color w:val="000000"/>
                <w:sz w:val="18"/>
                <w:szCs w:val="18"/>
                <w:lang w:val="fr"/>
              </w:rPr>
              <w:t>Chine</w:t>
            </w:r>
          </w:p>
        </w:tc>
        <w:tc>
          <w:tcPr>
            <w:tcW w:w="508" w:type="pct"/>
            <w:tcBorders>
              <w:top w:val="nil"/>
              <w:left w:val="nil"/>
              <w:bottom w:val="single" w:sz="4" w:space="0" w:color="auto"/>
              <w:right w:val="single" w:sz="4" w:space="0" w:color="auto"/>
            </w:tcBorders>
            <w:shd w:val="clear" w:color="auto" w:fill="auto"/>
            <w:noWrap/>
            <w:hideMark/>
          </w:tcPr>
          <w:p w14:paraId="332883B8" w14:textId="77777777" w:rsidR="00502FEE" w:rsidRPr="00641A6D" w:rsidRDefault="00502FEE" w:rsidP="000E7A06">
            <w:pPr>
              <w:jc w:val="right"/>
              <w:rPr>
                <w:color w:val="000000"/>
                <w:sz w:val="18"/>
                <w:szCs w:val="18"/>
              </w:rPr>
            </w:pPr>
            <w:r>
              <w:rPr>
                <w:sz w:val="18"/>
                <w:szCs w:val="18"/>
                <w:lang w:val="fr"/>
              </w:rPr>
              <w:t>430 962,1</w:t>
            </w:r>
          </w:p>
        </w:tc>
        <w:tc>
          <w:tcPr>
            <w:tcW w:w="508" w:type="pct"/>
            <w:tcBorders>
              <w:top w:val="single" w:sz="4" w:space="0" w:color="auto"/>
              <w:left w:val="nil"/>
              <w:bottom w:val="single" w:sz="4" w:space="0" w:color="auto"/>
              <w:right w:val="single" w:sz="4" w:space="0" w:color="auto"/>
            </w:tcBorders>
          </w:tcPr>
          <w:p w14:paraId="3451F7B2" w14:textId="77777777" w:rsidR="00502FEE" w:rsidRPr="00641A6D" w:rsidRDefault="00502FEE" w:rsidP="000E7A06">
            <w:pPr>
              <w:jc w:val="right"/>
              <w:rPr>
                <w:sz w:val="18"/>
                <w:szCs w:val="18"/>
              </w:rPr>
            </w:pPr>
            <w:r>
              <w:rPr>
                <w:sz w:val="18"/>
                <w:szCs w:val="18"/>
                <w:lang w:val="fr"/>
              </w:rPr>
              <w:t>330 011,1</w:t>
            </w:r>
          </w:p>
        </w:tc>
        <w:tc>
          <w:tcPr>
            <w:tcW w:w="508" w:type="pct"/>
            <w:tcBorders>
              <w:top w:val="nil"/>
              <w:left w:val="single" w:sz="4" w:space="0" w:color="auto"/>
              <w:bottom w:val="single" w:sz="4" w:space="0" w:color="auto"/>
              <w:right w:val="single" w:sz="4" w:space="0" w:color="auto"/>
            </w:tcBorders>
            <w:shd w:val="clear" w:color="auto" w:fill="auto"/>
            <w:noWrap/>
            <w:hideMark/>
          </w:tcPr>
          <w:p w14:paraId="479836F0" w14:textId="77777777" w:rsidR="00502FEE" w:rsidRPr="00641A6D" w:rsidRDefault="00502FEE" w:rsidP="000E7A06">
            <w:pPr>
              <w:jc w:val="right"/>
              <w:rPr>
                <w:color w:val="000000"/>
                <w:sz w:val="18"/>
                <w:szCs w:val="18"/>
              </w:rPr>
            </w:pPr>
            <w:r>
              <w:rPr>
                <w:sz w:val="18"/>
                <w:szCs w:val="18"/>
                <w:lang w:val="fr"/>
              </w:rPr>
              <w:t>319 039,9</w:t>
            </w:r>
          </w:p>
        </w:tc>
        <w:tc>
          <w:tcPr>
            <w:tcW w:w="508" w:type="pct"/>
            <w:tcBorders>
              <w:top w:val="nil"/>
              <w:left w:val="nil"/>
              <w:bottom w:val="single" w:sz="4" w:space="0" w:color="auto"/>
              <w:right w:val="single" w:sz="4" w:space="0" w:color="auto"/>
            </w:tcBorders>
            <w:shd w:val="clear" w:color="auto" w:fill="auto"/>
            <w:noWrap/>
            <w:hideMark/>
          </w:tcPr>
          <w:p w14:paraId="358075C5" w14:textId="77777777" w:rsidR="00502FEE" w:rsidRPr="00641A6D" w:rsidRDefault="00502FEE" w:rsidP="000E7A06">
            <w:pPr>
              <w:jc w:val="right"/>
              <w:rPr>
                <w:color w:val="000000"/>
                <w:sz w:val="18"/>
                <w:szCs w:val="18"/>
              </w:rPr>
            </w:pPr>
            <w:r>
              <w:rPr>
                <w:sz w:val="18"/>
                <w:szCs w:val="18"/>
                <w:lang w:val="fr"/>
              </w:rPr>
              <w:t>74,0</w:t>
            </w:r>
          </w:p>
        </w:tc>
        <w:tc>
          <w:tcPr>
            <w:tcW w:w="508" w:type="pct"/>
            <w:tcBorders>
              <w:top w:val="nil"/>
              <w:left w:val="nil"/>
              <w:bottom w:val="single" w:sz="4" w:space="0" w:color="auto"/>
              <w:right w:val="single" w:sz="4" w:space="0" w:color="auto"/>
            </w:tcBorders>
            <w:shd w:val="clear" w:color="auto" w:fill="auto"/>
            <w:noWrap/>
            <w:hideMark/>
          </w:tcPr>
          <w:p w14:paraId="1C32E594" w14:textId="77777777" w:rsidR="00502FEE" w:rsidRPr="00641A6D" w:rsidRDefault="00502FEE" w:rsidP="000E7A06">
            <w:pPr>
              <w:jc w:val="right"/>
              <w:rPr>
                <w:color w:val="000000"/>
                <w:sz w:val="18"/>
                <w:szCs w:val="18"/>
              </w:rPr>
            </w:pPr>
            <w:r>
              <w:rPr>
                <w:sz w:val="18"/>
                <w:szCs w:val="18"/>
                <w:lang w:val="fr"/>
              </w:rPr>
              <w:t>280 125,4</w:t>
            </w:r>
          </w:p>
        </w:tc>
        <w:tc>
          <w:tcPr>
            <w:tcW w:w="508" w:type="pct"/>
            <w:tcBorders>
              <w:top w:val="nil"/>
              <w:left w:val="nil"/>
              <w:bottom w:val="single" w:sz="4" w:space="0" w:color="auto"/>
              <w:right w:val="single" w:sz="4" w:space="0" w:color="auto"/>
            </w:tcBorders>
            <w:shd w:val="clear" w:color="auto" w:fill="auto"/>
            <w:noWrap/>
            <w:hideMark/>
          </w:tcPr>
          <w:p w14:paraId="679E1E87" w14:textId="77777777" w:rsidR="00502FEE" w:rsidRPr="00641A6D" w:rsidRDefault="00502FEE" w:rsidP="000E7A06">
            <w:pPr>
              <w:jc w:val="right"/>
              <w:rPr>
                <w:color w:val="000000"/>
                <w:sz w:val="18"/>
                <w:szCs w:val="18"/>
              </w:rPr>
            </w:pPr>
            <w:r>
              <w:rPr>
                <w:sz w:val="18"/>
                <w:szCs w:val="18"/>
                <w:lang w:val="fr"/>
              </w:rPr>
              <w:t>140 062,7</w:t>
            </w:r>
          </w:p>
        </w:tc>
        <w:tc>
          <w:tcPr>
            <w:tcW w:w="507" w:type="pct"/>
            <w:tcBorders>
              <w:top w:val="nil"/>
              <w:left w:val="nil"/>
              <w:bottom w:val="single" w:sz="4" w:space="0" w:color="auto"/>
              <w:right w:val="single" w:sz="4" w:space="0" w:color="auto"/>
            </w:tcBorders>
            <w:shd w:val="clear" w:color="auto" w:fill="auto"/>
            <w:noWrap/>
            <w:hideMark/>
          </w:tcPr>
          <w:p w14:paraId="380610FD" w14:textId="77777777" w:rsidR="00502FEE" w:rsidRPr="00641A6D" w:rsidRDefault="00502FEE" w:rsidP="000E7A06">
            <w:pPr>
              <w:jc w:val="right"/>
              <w:rPr>
                <w:color w:val="000000"/>
                <w:sz w:val="18"/>
                <w:szCs w:val="18"/>
              </w:rPr>
            </w:pPr>
            <w:r>
              <w:rPr>
                <w:sz w:val="18"/>
                <w:szCs w:val="18"/>
                <w:lang w:val="fr"/>
              </w:rPr>
              <w:t>10 774,1</w:t>
            </w:r>
          </w:p>
        </w:tc>
      </w:tr>
      <w:tr w:rsidR="00502FEE" w:rsidRPr="001277B2" w14:paraId="349D0816"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68816810" w14:textId="77777777" w:rsidR="00502FEE" w:rsidRPr="005703FE" w:rsidRDefault="00502FEE" w:rsidP="000E7A06">
            <w:pPr>
              <w:jc w:val="left"/>
              <w:rPr>
                <w:color w:val="000000"/>
                <w:sz w:val="18"/>
                <w:szCs w:val="18"/>
                <w:lang w:val="fr-FR"/>
              </w:rPr>
            </w:pPr>
            <w:r>
              <w:rPr>
                <w:color w:val="000000"/>
                <w:sz w:val="18"/>
                <w:szCs w:val="18"/>
                <w:lang w:val="fr"/>
              </w:rPr>
              <w:t>République populaire démocratique de Corée</w:t>
            </w:r>
          </w:p>
        </w:tc>
        <w:tc>
          <w:tcPr>
            <w:tcW w:w="508" w:type="pct"/>
            <w:tcBorders>
              <w:top w:val="nil"/>
              <w:left w:val="nil"/>
              <w:bottom w:val="single" w:sz="4" w:space="0" w:color="auto"/>
              <w:right w:val="single" w:sz="4" w:space="0" w:color="auto"/>
            </w:tcBorders>
            <w:shd w:val="clear" w:color="auto" w:fill="auto"/>
            <w:noWrap/>
            <w:hideMark/>
          </w:tcPr>
          <w:p w14:paraId="47821DD5" w14:textId="77777777" w:rsidR="00502FEE" w:rsidRPr="001277B2" w:rsidRDefault="00502FEE" w:rsidP="000E7A06">
            <w:pPr>
              <w:jc w:val="right"/>
              <w:rPr>
                <w:color w:val="000000"/>
                <w:sz w:val="18"/>
                <w:szCs w:val="18"/>
              </w:rPr>
            </w:pPr>
            <w:r>
              <w:rPr>
                <w:sz w:val="18"/>
                <w:szCs w:val="18"/>
                <w:lang w:val="fr"/>
              </w:rPr>
              <w:t>501,0</w:t>
            </w:r>
          </w:p>
        </w:tc>
        <w:tc>
          <w:tcPr>
            <w:tcW w:w="508" w:type="pct"/>
            <w:tcBorders>
              <w:top w:val="single" w:sz="4" w:space="0" w:color="auto"/>
              <w:left w:val="nil"/>
              <w:bottom w:val="single" w:sz="4" w:space="0" w:color="auto"/>
              <w:right w:val="single" w:sz="4" w:space="0" w:color="auto"/>
            </w:tcBorders>
          </w:tcPr>
          <w:p w14:paraId="65BF3D0F" w14:textId="77777777" w:rsidR="00502FEE" w:rsidRPr="001277B2" w:rsidRDefault="00502FEE" w:rsidP="000E7A06">
            <w:pPr>
              <w:jc w:val="right"/>
              <w:rPr>
                <w:sz w:val="18"/>
                <w:szCs w:val="18"/>
              </w:rPr>
            </w:pPr>
            <w:r>
              <w:rPr>
                <w:sz w:val="18"/>
                <w:szCs w:val="18"/>
                <w:lang w:val="fr"/>
              </w:rPr>
              <w:t>498,0</w:t>
            </w:r>
          </w:p>
        </w:tc>
        <w:tc>
          <w:tcPr>
            <w:tcW w:w="508" w:type="pct"/>
            <w:tcBorders>
              <w:top w:val="nil"/>
              <w:left w:val="single" w:sz="4" w:space="0" w:color="auto"/>
              <w:bottom w:val="single" w:sz="4" w:space="0" w:color="auto"/>
              <w:right w:val="single" w:sz="4" w:space="0" w:color="auto"/>
            </w:tcBorders>
            <w:shd w:val="clear" w:color="auto" w:fill="auto"/>
            <w:noWrap/>
            <w:hideMark/>
          </w:tcPr>
          <w:p w14:paraId="749649A1" w14:textId="77777777" w:rsidR="00502FEE" w:rsidRPr="001277B2" w:rsidRDefault="00502FEE" w:rsidP="000E7A06">
            <w:pPr>
              <w:jc w:val="right"/>
              <w:rPr>
                <w:color w:val="000000"/>
                <w:sz w:val="18"/>
                <w:szCs w:val="18"/>
              </w:rPr>
            </w:pPr>
            <w:r>
              <w:rPr>
                <w:sz w:val="18"/>
                <w:szCs w:val="18"/>
                <w:lang w:val="fr"/>
              </w:rPr>
              <w:t>-</w:t>
            </w:r>
          </w:p>
        </w:tc>
        <w:tc>
          <w:tcPr>
            <w:tcW w:w="508" w:type="pct"/>
            <w:tcBorders>
              <w:top w:val="nil"/>
              <w:left w:val="nil"/>
              <w:bottom w:val="single" w:sz="4" w:space="0" w:color="auto"/>
              <w:right w:val="single" w:sz="4" w:space="0" w:color="auto"/>
            </w:tcBorders>
            <w:shd w:val="clear" w:color="auto" w:fill="auto"/>
            <w:noWrap/>
            <w:hideMark/>
          </w:tcPr>
          <w:p w14:paraId="449395E1" w14:textId="77777777" w:rsidR="00502FEE" w:rsidRPr="001277B2" w:rsidRDefault="00502FEE" w:rsidP="000E7A06">
            <w:pPr>
              <w:jc w:val="right"/>
              <w:rPr>
                <w:color w:val="000000"/>
                <w:sz w:val="18"/>
                <w:szCs w:val="18"/>
              </w:rPr>
            </w:pPr>
            <w:r>
              <w:rPr>
                <w:sz w:val="18"/>
                <w:szCs w:val="18"/>
                <w:lang w:val="fr"/>
              </w:rPr>
              <w:t>-</w:t>
            </w:r>
          </w:p>
        </w:tc>
        <w:tc>
          <w:tcPr>
            <w:tcW w:w="508" w:type="pct"/>
            <w:tcBorders>
              <w:top w:val="nil"/>
              <w:left w:val="nil"/>
              <w:bottom w:val="single" w:sz="4" w:space="0" w:color="auto"/>
              <w:right w:val="single" w:sz="4" w:space="0" w:color="auto"/>
            </w:tcBorders>
            <w:shd w:val="clear" w:color="auto" w:fill="auto"/>
            <w:noWrap/>
            <w:hideMark/>
          </w:tcPr>
          <w:p w14:paraId="6CE9C442" w14:textId="7CCFD623" w:rsidR="00502FEE" w:rsidRPr="001277B2" w:rsidRDefault="00480B01" w:rsidP="000E7A06">
            <w:pPr>
              <w:jc w:val="right"/>
              <w:rPr>
                <w:color w:val="000000"/>
                <w:sz w:val="18"/>
                <w:szCs w:val="18"/>
              </w:rPr>
            </w:pPr>
            <w:r>
              <w:rPr>
                <w:sz w:val="18"/>
                <w:szCs w:val="18"/>
                <w:lang w:val="fr"/>
              </w:rPr>
              <w:t>325,7</w:t>
            </w:r>
          </w:p>
        </w:tc>
        <w:tc>
          <w:tcPr>
            <w:tcW w:w="508" w:type="pct"/>
            <w:tcBorders>
              <w:top w:val="nil"/>
              <w:left w:val="nil"/>
              <w:bottom w:val="single" w:sz="4" w:space="0" w:color="auto"/>
              <w:right w:val="single" w:sz="4" w:space="0" w:color="auto"/>
            </w:tcBorders>
            <w:shd w:val="clear" w:color="auto" w:fill="auto"/>
            <w:noWrap/>
            <w:hideMark/>
          </w:tcPr>
          <w:p w14:paraId="5F1B0AEA" w14:textId="50389327" w:rsidR="00502FEE" w:rsidRPr="001277B2" w:rsidRDefault="00480B01" w:rsidP="000E7A06">
            <w:pPr>
              <w:jc w:val="right"/>
              <w:rPr>
                <w:color w:val="000000"/>
                <w:sz w:val="18"/>
                <w:szCs w:val="18"/>
              </w:rPr>
            </w:pPr>
            <w:r>
              <w:rPr>
                <w:sz w:val="18"/>
                <w:szCs w:val="18"/>
                <w:lang w:val="fr"/>
              </w:rPr>
              <w:t>162,8</w:t>
            </w:r>
          </w:p>
        </w:tc>
        <w:tc>
          <w:tcPr>
            <w:tcW w:w="507" w:type="pct"/>
            <w:tcBorders>
              <w:top w:val="nil"/>
              <w:left w:val="nil"/>
              <w:bottom w:val="single" w:sz="4" w:space="0" w:color="auto"/>
              <w:right w:val="single" w:sz="4" w:space="0" w:color="auto"/>
            </w:tcBorders>
            <w:shd w:val="clear" w:color="auto" w:fill="auto"/>
            <w:noWrap/>
            <w:hideMark/>
          </w:tcPr>
          <w:p w14:paraId="67DC1C1D" w14:textId="77777777" w:rsidR="00502FEE" w:rsidRPr="001277B2" w:rsidRDefault="00480B01" w:rsidP="000E7A06">
            <w:pPr>
              <w:jc w:val="right"/>
              <w:rPr>
                <w:sz w:val="18"/>
                <w:szCs w:val="18"/>
              </w:rPr>
            </w:pPr>
            <w:r>
              <w:rPr>
                <w:sz w:val="18"/>
                <w:szCs w:val="18"/>
                <w:lang w:val="fr"/>
              </w:rPr>
              <w:t>12,5</w:t>
            </w:r>
          </w:p>
          <w:p w14:paraId="2B7EA56D" w14:textId="7A92ABF7" w:rsidR="00480B01" w:rsidRPr="001277B2" w:rsidRDefault="00480B01" w:rsidP="000E7A06">
            <w:pPr>
              <w:jc w:val="right"/>
              <w:rPr>
                <w:color w:val="000000"/>
                <w:sz w:val="18"/>
                <w:szCs w:val="18"/>
              </w:rPr>
            </w:pPr>
          </w:p>
        </w:tc>
      </w:tr>
      <w:tr w:rsidR="00502FEE" w:rsidRPr="001277B2" w14:paraId="5A20C397"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074C0465" w14:textId="77777777" w:rsidR="00502FEE" w:rsidRPr="001277B2" w:rsidRDefault="00502FEE" w:rsidP="000E7A06">
            <w:pPr>
              <w:jc w:val="left"/>
              <w:rPr>
                <w:color w:val="000000"/>
                <w:sz w:val="18"/>
                <w:szCs w:val="18"/>
              </w:rPr>
            </w:pPr>
            <w:r>
              <w:rPr>
                <w:color w:val="000000"/>
                <w:sz w:val="18"/>
                <w:szCs w:val="18"/>
                <w:lang w:val="fr"/>
              </w:rPr>
              <w:t>Inde</w:t>
            </w:r>
          </w:p>
        </w:tc>
        <w:tc>
          <w:tcPr>
            <w:tcW w:w="508" w:type="pct"/>
            <w:tcBorders>
              <w:top w:val="nil"/>
              <w:left w:val="nil"/>
              <w:bottom w:val="single" w:sz="4" w:space="0" w:color="auto"/>
              <w:right w:val="single" w:sz="4" w:space="0" w:color="auto"/>
            </w:tcBorders>
            <w:shd w:val="clear" w:color="auto" w:fill="auto"/>
            <w:noWrap/>
            <w:hideMark/>
          </w:tcPr>
          <w:p w14:paraId="0A514659" w14:textId="77777777" w:rsidR="00502FEE" w:rsidRPr="001277B2" w:rsidRDefault="00502FEE" w:rsidP="000E7A06">
            <w:pPr>
              <w:jc w:val="right"/>
              <w:rPr>
                <w:color w:val="000000"/>
                <w:sz w:val="18"/>
                <w:szCs w:val="18"/>
              </w:rPr>
            </w:pPr>
            <w:r>
              <w:rPr>
                <w:sz w:val="18"/>
                <w:szCs w:val="18"/>
                <w:lang w:val="fr"/>
              </w:rPr>
              <w:t>43 626,7</w:t>
            </w:r>
          </w:p>
        </w:tc>
        <w:tc>
          <w:tcPr>
            <w:tcW w:w="508" w:type="pct"/>
            <w:tcBorders>
              <w:top w:val="single" w:sz="4" w:space="0" w:color="auto"/>
              <w:left w:val="nil"/>
              <w:bottom w:val="single" w:sz="4" w:space="0" w:color="auto"/>
              <w:right w:val="single" w:sz="4" w:space="0" w:color="auto"/>
            </w:tcBorders>
          </w:tcPr>
          <w:p w14:paraId="6B048BE3" w14:textId="77777777" w:rsidR="00502FEE" w:rsidRPr="001277B2" w:rsidRDefault="00502FEE" w:rsidP="000E7A06">
            <w:pPr>
              <w:jc w:val="right"/>
              <w:rPr>
                <w:sz w:val="18"/>
                <w:szCs w:val="18"/>
              </w:rPr>
            </w:pPr>
            <w:r>
              <w:rPr>
                <w:sz w:val="18"/>
                <w:szCs w:val="18"/>
                <w:lang w:val="fr"/>
              </w:rPr>
              <w:t>31 411,3</w:t>
            </w:r>
          </w:p>
        </w:tc>
        <w:tc>
          <w:tcPr>
            <w:tcW w:w="508" w:type="pct"/>
            <w:tcBorders>
              <w:top w:val="nil"/>
              <w:left w:val="single" w:sz="4" w:space="0" w:color="auto"/>
              <w:bottom w:val="single" w:sz="4" w:space="0" w:color="auto"/>
              <w:right w:val="single" w:sz="4" w:space="0" w:color="auto"/>
            </w:tcBorders>
            <w:shd w:val="clear" w:color="auto" w:fill="auto"/>
            <w:noWrap/>
            <w:hideMark/>
          </w:tcPr>
          <w:p w14:paraId="28776F37" w14:textId="77777777" w:rsidR="00502FEE" w:rsidRPr="001277B2" w:rsidRDefault="00502FEE" w:rsidP="000E7A06">
            <w:pPr>
              <w:jc w:val="right"/>
              <w:rPr>
                <w:color w:val="000000"/>
                <w:sz w:val="18"/>
                <w:szCs w:val="18"/>
              </w:rPr>
            </w:pPr>
            <w:r>
              <w:rPr>
                <w:sz w:val="18"/>
                <w:szCs w:val="18"/>
                <w:lang w:val="fr"/>
              </w:rPr>
              <w:t>34 079,7</w:t>
            </w:r>
          </w:p>
        </w:tc>
        <w:tc>
          <w:tcPr>
            <w:tcW w:w="508" w:type="pct"/>
            <w:tcBorders>
              <w:top w:val="nil"/>
              <w:left w:val="nil"/>
              <w:bottom w:val="single" w:sz="4" w:space="0" w:color="auto"/>
              <w:right w:val="single" w:sz="4" w:space="0" w:color="auto"/>
            </w:tcBorders>
            <w:shd w:val="clear" w:color="auto" w:fill="auto"/>
            <w:noWrap/>
            <w:hideMark/>
          </w:tcPr>
          <w:p w14:paraId="08F24C41" w14:textId="77777777" w:rsidR="00502FEE" w:rsidRPr="001277B2" w:rsidRDefault="00502FEE" w:rsidP="000E7A06">
            <w:pPr>
              <w:jc w:val="right"/>
              <w:rPr>
                <w:color w:val="000000"/>
                <w:sz w:val="18"/>
                <w:szCs w:val="18"/>
              </w:rPr>
            </w:pPr>
            <w:r>
              <w:rPr>
                <w:sz w:val="18"/>
                <w:szCs w:val="18"/>
                <w:lang w:val="fr"/>
              </w:rPr>
              <w:t>78,1</w:t>
            </w:r>
          </w:p>
        </w:tc>
        <w:tc>
          <w:tcPr>
            <w:tcW w:w="508" w:type="pct"/>
            <w:tcBorders>
              <w:top w:val="nil"/>
              <w:left w:val="nil"/>
              <w:bottom w:val="single" w:sz="4" w:space="0" w:color="auto"/>
              <w:right w:val="single" w:sz="4" w:space="0" w:color="auto"/>
            </w:tcBorders>
            <w:shd w:val="clear" w:color="auto" w:fill="auto"/>
            <w:noWrap/>
            <w:hideMark/>
          </w:tcPr>
          <w:p w14:paraId="526400BA" w14:textId="77777777" w:rsidR="00502FEE" w:rsidRPr="001277B2" w:rsidRDefault="00502FEE" w:rsidP="000E7A06">
            <w:pPr>
              <w:jc w:val="right"/>
              <w:rPr>
                <w:color w:val="000000"/>
                <w:sz w:val="18"/>
                <w:szCs w:val="18"/>
              </w:rPr>
            </w:pPr>
            <w:r>
              <w:rPr>
                <w:sz w:val="18"/>
                <w:szCs w:val="18"/>
                <w:lang w:val="fr"/>
              </w:rPr>
              <w:t>28 357,4</w:t>
            </w:r>
          </w:p>
        </w:tc>
        <w:tc>
          <w:tcPr>
            <w:tcW w:w="508" w:type="pct"/>
            <w:tcBorders>
              <w:top w:val="nil"/>
              <w:left w:val="nil"/>
              <w:bottom w:val="single" w:sz="4" w:space="0" w:color="auto"/>
              <w:right w:val="single" w:sz="4" w:space="0" w:color="auto"/>
            </w:tcBorders>
            <w:shd w:val="clear" w:color="auto" w:fill="auto"/>
            <w:noWrap/>
            <w:hideMark/>
          </w:tcPr>
          <w:p w14:paraId="617CB25D" w14:textId="77777777" w:rsidR="00502FEE" w:rsidRPr="001277B2" w:rsidRDefault="00502FEE" w:rsidP="000E7A06">
            <w:pPr>
              <w:jc w:val="right"/>
              <w:rPr>
                <w:color w:val="000000"/>
                <w:sz w:val="18"/>
                <w:szCs w:val="18"/>
              </w:rPr>
            </w:pPr>
            <w:r>
              <w:rPr>
                <w:sz w:val="18"/>
                <w:szCs w:val="18"/>
                <w:lang w:val="fr"/>
              </w:rPr>
              <w:t>14 178,7</w:t>
            </w:r>
          </w:p>
        </w:tc>
        <w:tc>
          <w:tcPr>
            <w:tcW w:w="507" w:type="pct"/>
            <w:tcBorders>
              <w:top w:val="nil"/>
              <w:left w:val="nil"/>
              <w:bottom w:val="single" w:sz="4" w:space="0" w:color="auto"/>
              <w:right w:val="single" w:sz="4" w:space="0" w:color="auto"/>
            </w:tcBorders>
            <w:shd w:val="clear" w:color="auto" w:fill="auto"/>
            <w:noWrap/>
            <w:hideMark/>
          </w:tcPr>
          <w:p w14:paraId="07D38EFA" w14:textId="77777777" w:rsidR="00502FEE" w:rsidRPr="001277B2" w:rsidRDefault="00502FEE" w:rsidP="000E7A06">
            <w:pPr>
              <w:jc w:val="right"/>
              <w:rPr>
                <w:color w:val="000000"/>
                <w:sz w:val="18"/>
                <w:szCs w:val="18"/>
              </w:rPr>
            </w:pPr>
            <w:r>
              <w:rPr>
                <w:sz w:val="18"/>
                <w:szCs w:val="18"/>
                <w:lang w:val="fr"/>
              </w:rPr>
              <w:t>1 090,7</w:t>
            </w:r>
          </w:p>
        </w:tc>
      </w:tr>
      <w:tr w:rsidR="00502FEE" w:rsidRPr="001277B2" w14:paraId="34547EB4"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35FC6F98" w14:textId="77777777" w:rsidR="00502FEE" w:rsidRPr="001277B2" w:rsidRDefault="00502FEE" w:rsidP="000E7A06">
            <w:pPr>
              <w:jc w:val="left"/>
              <w:rPr>
                <w:color w:val="000000"/>
                <w:sz w:val="18"/>
                <w:szCs w:val="18"/>
              </w:rPr>
            </w:pPr>
            <w:r>
              <w:rPr>
                <w:color w:val="000000"/>
                <w:sz w:val="18"/>
                <w:szCs w:val="18"/>
                <w:lang w:val="fr"/>
              </w:rPr>
              <w:t>Mexique</w:t>
            </w:r>
          </w:p>
        </w:tc>
        <w:tc>
          <w:tcPr>
            <w:tcW w:w="508" w:type="pct"/>
            <w:tcBorders>
              <w:top w:val="nil"/>
              <w:left w:val="nil"/>
              <w:bottom w:val="single" w:sz="4" w:space="0" w:color="auto"/>
              <w:right w:val="single" w:sz="4" w:space="0" w:color="auto"/>
            </w:tcBorders>
            <w:shd w:val="clear" w:color="auto" w:fill="auto"/>
            <w:noWrap/>
            <w:hideMark/>
          </w:tcPr>
          <w:p w14:paraId="3051D7BC" w14:textId="77777777" w:rsidR="00502FEE" w:rsidRPr="001277B2" w:rsidRDefault="00502FEE" w:rsidP="000E7A06">
            <w:pPr>
              <w:jc w:val="right"/>
              <w:rPr>
                <w:color w:val="000000"/>
                <w:sz w:val="18"/>
                <w:szCs w:val="18"/>
              </w:rPr>
            </w:pPr>
            <w:r>
              <w:rPr>
                <w:sz w:val="18"/>
                <w:szCs w:val="18"/>
                <w:lang w:val="fr"/>
              </w:rPr>
              <w:t>12 671,9</w:t>
            </w:r>
          </w:p>
        </w:tc>
        <w:tc>
          <w:tcPr>
            <w:tcW w:w="508" w:type="pct"/>
            <w:tcBorders>
              <w:top w:val="single" w:sz="4" w:space="0" w:color="auto"/>
              <w:left w:val="nil"/>
              <w:bottom w:val="single" w:sz="4" w:space="0" w:color="auto"/>
              <w:right w:val="single" w:sz="4" w:space="0" w:color="auto"/>
            </w:tcBorders>
          </w:tcPr>
          <w:p w14:paraId="4ECE2601" w14:textId="77777777" w:rsidR="00502FEE" w:rsidRPr="001277B2" w:rsidRDefault="00502FEE" w:rsidP="000E7A06">
            <w:pPr>
              <w:jc w:val="right"/>
              <w:rPr>
                <w:sz w:val="18"/>
                <w:szCs w:val="18"/>
              </w:rPr>
            </w:pPr>
            <w:r>
              <w:rPr>
                <w:sz w:val="18"/>
                <w:szCs w:val="18"/>
                <w:lang w:val="fr"/>
              </w:rPr>
              <w:t>2 926,1</w:t>
            </w:r>
          </w:p>
        </w:tc>
        <w:tc>
          <w:tcPr>
            <w:tcW w:w="508" w:type="pct"/>
            <w:tcBorders>
              <w:top w:val="nil"/>
              <w:left w:val="single" w:sz="4" w:space="0" w:color="auto"/>
              <w:bottom w:val="single" w:sz="4" w:space="0" w:color="auto"/>
              <w:right w:val="single" w:sz="4" w:space="0" w:color="auto"/>
            </w:tcBorders>
            <w:shd w:val="clear" w:color="auto" w:fill="auto"/>
            <w:noWrap/>
            <w:hideMark/>
          </w:tcPr>
          <w:p w14:paraId="5594E4FB" w14:textId="77777777" w:rsidR="00502FEE" w:rsidRPr="001277B2" w:rsidRDefault="00502FEE" w:rsidP="000E7A06">
            <w:pPr>
              <w:jc w:val="right"/>
              <w:rPr>
                <w:color w:val="000000"/>
                <w:sz w:val="18"/>
                <w:szCs w:val="18"/>
              </w:rPr>
            </w:pPr>
            <w:r>
              <w:rPr>
                <w:sz w:val="18"/>
                <w:szCs w:val="18"/>
                <w:lang w:val="fr"/>
              </w:rPr>
              <w:t>3 341,7</w:t>
            </w:r>
          </w:p>
        </w:tc>
        <w:tc>
          <w:tcPr>
            <w:tcW w:w="508" w:type="pct"/>
            <w:tcBorders>
              <w:top w:val="nil"/>
              <w:left w:val="nil"/>
              <w:bottom w:val="single" w:sz="4" w:space="0" w:color="auto"/>
              <w:right w:val="single" w:sz="4" w:space="0" w:color="auto"/>
            </w:tcBorders>
            <w:shd w:val="clear" w:color="auto" w:fill="auto"/>
            <w:noWrap/>
            <w:hideMark/>
          </w:tcPr>
          <w:p w14:paraId="4C214B3F" w14:textId="77777777" w:rsidR="00502FEE" w:rsidRPr="001277B2" w:rsidRDefault="00502FEE" w:rsidP="000E7A06">
            <w:pPr>
              <w:jc w:val="right"/>
              <w:rPr>
                <w:color w:val="000000"/>
                <w:sz w:val="18"/>
                <w:szCs w:val="18"/>
              </w:rPr>
            </w:pPr>
            <w:r>
              <w:rPr>
                <w:sz w:val="18"/>
                <w:szCs w:val="18"/>
                <w:lang w:val="fr"/>
              </w:rPr>
              <w:t>26,4</w:t>
            </w:r>
          </w:p>
        </w:tc>
        <w:tc>
          <w:tcPr>
            <w:tcW w:w="508" w:type="pct"/>
            <w:tcBorders>
              <w:top w:val="nil"/>
              <w:left w:val="nil"/>
              <w:bottom w:val="single" w:sz="4" w:space="0" w:color="auto"/>
              <w:right w:val="single" w:sz="4" w:space="0" w:color="auto"/>
            </w:tcBorders>
            <w:shd w:val="clear" w:color="auto" w:fill="auto"/>
            <w:noWrap/>
            <w:hideMark/>
          </w:tcPr>
          <w:p w14:paraId="34509677" w14:textId="77777777" w:rsidR="00502FEE" w:rsidRPr="001277B2" w:rsidRDefault="00502FEE" w:rsidP="000E7A06">
            <w:pPr>
              <w:jc w:val="right"/>
              <w:rPr>
                <w:color w:val="000000"/>
                <w:sz w:val="18"/>
                <w:szCs w:val="18"/>
              </w:rPr>
            </w:pPr>
            <w:r>
              <w:rPr>
                <w:sz w:val="18"/>
                <w:szCs w:val="18"/>
                <w:lang w:val="fr"/>
              </w:rPr>
              <w:t>8 236,7</w:t>
            </w:r>
          </w:p>
        </w:tc>
        <w:tc>
          <w:tcPr>
            <w:tcW w:w="508" w:type="pct"/>
            <w:tcBorders>
              <w:top w:val="nil"/>
              <w:left w:val="nil"/>
              <w:bottom w:val="single" w:sz="4" w:space="0" w:color="auto"/>
              <w:right w:val="single" w:sz="4" w:space="0" w:color="auto"/>
            </w:tcBorders>
            <w:shd w:val="clear" w:color="auto" w:fill="auto"/>
            <w:noWrap/>
            <w:hideMark/>
          </w:tcPr>
          <w:p w14:paraId="12A92043" w14:textId="77777777" w:rsidR="00502FEE" w:rsidRPr="001277B2" w:rsidRDefault="00502FEE" w:rsidP="000E7A06">
            <w:pPr>
              <w:jc w:val="right"/>
              <w:rPr>
                <w:color w:val="000000"/>
                <w:sz w:val="18"/>
                <w:szCs w:val="18"/>
              </w:rPr>
            </w:pPr>
            <w:r>
              <w:rPr>
                <w:sz w:val="18"/>
                <w:szCs w:val="18"/>
                <w:lang w:val="fr"/>
              </w:rPr>
              <w:t>4 118,4</w:t>
            </w:r>
          </w:p>
        </w:tc>
        <w:tc>
          <w:tcPr>
            <w:tcW w:w="507" w:type="pct"/>
            <w:tcBorders>
              <w:top w:val="nil"/>
              <w:left w:val="nil"/>
              <w:bottom w:val="single" w:sz="4" w:space="0" w:color="auto"/>
              <w:right w:val="single" w:sz="4" w:space="0" w:color="auto"/>
            </w:tcBorders>
            <w:shd w:val="clear" w:color="auto" w:fill="auto"/>
            <w:noWrap/>
            <w:hideMark/>
          </w:tcPr>
          <w:p w14:paraId="7D475352" w14:textId="77777777" w:rsidR="00502FEE" w:rsidRPr="001277B2" w:rsidRDefault="00502FEE" w:rsidP="000E7A06">
            <w:pPr>
              <w:jc w:val="right"/>
              <w:rPr>
                <w:color w:val="000000"/>
                <w:sz w:val="18"/>
                <w:szCs w:val="18"/>
              </w:rPr>
            </w:pPr>
            <w:r>
              <w:rPr>
                <w:sz w:val="18"/>
                <w:szCs w:val="18"/>
                <w:lang w:val="fr"/>
              </w:rPr>
              <w:t>316,8</w:t>
            </w:r>
          </w:p>
        </w:tc>
      </w:tr>
      <w:tr w:rsidR="00502FEE" w:rsidRPr="001277B2" w14:paraId="35401B3A"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288D9A6E" w14:textId="77777777" w:rsidR="00502FEE" w:rsidRPr="001277B2" w:rsidRDefault="00502FEE" w:rsidP="000E7A06">
            <w:pPr>
              <w:jc w:val="left"/>
              <w:rPr>
                <w:color w:val="000000"/>
                <w:sz w:val="18"/>
                <w:szCs w:val="18"/>
              </w:rPr>
            </w:pPr>
            <w:r>
              <w:rPr>
                <w:color w:val="000000"/>
                <w:sz w:val="18"/>
                <w:szCs w:val="18"/>
                <w:lang w:val="fr"/>
              </w:rPr>
              <w:t>République de Corée***</w:t>
            </w:r>
          </w:p>
        </w:tc>
        <w:tc>
          <w:tcPr>
            <w:tcW w:w="508" w:type="pct"/>
            <w:tcBorders>
              <w:top w:val="nil"/>
              <w:left w:val="nil"/>
              <w:bottom w:val="single" w:sz="4" w:space="0" w:color="auto"/>
              <w:right w:val="single" w:sz="4" w:space="0" w:color="auto"/>
            </w:tcBorders>
            <w:shd w:val="clear" w:color="auto" w:fill="auto"/>
            <w:noWrap/>
            <w:hideMark/>
          </w:tcPr>
          <w:p w14:paraId="5B6A3C09" w14:textId="77777777" w:rsidR="00502FEE" w:rsidRPr="001277B2" w:rsidRDefault="00502FEE" w:rsidP="000E7A06">
            <w:pPr>
              <w:jc w:val="right"/>
              <w:rPr>
                <w:color w:val="000000"/>
                <w:sz w:val="18"/>
                <w:szCs w:val="18"/>
              </w:rPr>
            </w:pPr>
            <w:r>
              <w:rPr>
                <w:sz w:val="18"/>
                <w:szCs w:val="18"/>
                <w:lang w:val="fr"/>
              </w:rPr>
              <w:t>7 184,3</w:t>
            </w:r>
          </w:p>
        </w:tc>
        <w:tc>
          <w:tcPr>
            <w:tcW w:w="508" w:type="pct"/>
            <w:tcBorders>
              <w:top w:val="single" w:sz="4" w:space="0" w:color="auto"/>
              <w:left w:val="nil"/>
              <w:bottom w:val="single" w:sz="4" w:space="0" w:color="auto"/>
              <w:right w:val="single" w:sz="4" w:space="0" w:color="auto"/>
            </w:tcBorders>
          </w:tcPr>
          <w:p w14:paraId="158E0974" w14:textId="77777777" w:rsidR="00502FEE" w:rsidRPr="001277B2" w:rsidRDefault="00502FEE" w:rsidP="000E7A06">
            <w:pPr>
              <w:jc w:val="right"/>
              <w:rPr>
                <w:sz w:val="18"/>
                <w:szCs w:val="18"/>
              </w:rPr>
            </w:pPr>
            <w:r>
              <w:rPr>
                <w:sz w:val="18"/>
                <w:szCs w:val="18"/>
                <w:lang w:val="fr"/>
              </w:rPr>
              <w:t>6 344,4</w:t>
            </w:r>
          </w:p>
        </w:tc>
        <w:tc>
          <w:tcPr>
            <w:tcW w:w="508" w:type="pct"/>
            <w:tcBorders>
              <w:top w:val="nil"/>
              <w:left w:val="single" w:sz="4" w:space="0" w:color="auto"/>
              <w:bottom w:val="single" w:sz="4" w:space="0" w:color="auto"/>
              <w:right w:val="single" w:sz="4" w:space="0" w:color="auto"/>
            </w:tcBorders>
            <w:shd w:val="clear" w:color="auto" w:fill="auto"/>
            <w:noWrap/>
            <w:hideMark/>
          </w:tcPr>
          <w:p w14:paraId="050D5500" w14:textId="77777777" w:rsidR="00502FEE" w:rsidRPr="001277B2" w:rsidRDefault="00502FEE" w:rsidP="000E7A06">
            <w:pPr>
              <w:jc w:val="right"/>
              <w:rPr>
                <w:color w:val="000000"/>
                <w:sz w:val="18"/>
                <w:szCs w:val="18"/>
              </w:rPr>
            </w:pPr>
            <w:r>
              <w:rPr>
                <w:sz w:val="18"/>
                <w:szCs w:val="18"/>
                <w:lang w:val="fr"/>
              </w:rPr>
              <w:t>5 270,6</w:t>
            </w:r>
          </w:p>
        </w:tc>
        <w:tc>
          <w:tcPr>
            <w:tcW w:w="508" w:type="pct"/>
            <w:tcBorders>
              <w:top w:val="nil"/>
              <w:left w:val="nil"/>
              <w:bottom w:val="single" w:sz="4" w:space="0" w:color="auto"/>
              <w:right w:val="single" w:sz="4" w:space="0" w:color="auto"/>
            </w:tcBorders>
            <w:shd w:val="clear" w:color="auto" w:fill="auto"/>
            <w:noWrap/>
            <w:hideMark/>
          </w:tcPr>
          <w:p w14:paraId="6B829AC4" w14:textId="77777777" w:rsidR="00502FEE" w:rsidRPr="001277B2" w:rsidRDefault="00502FEE" w:rsidP="000E7A06">
            <w:pPr>
              <w:jc w:val="right"/>
              <w:rPr>
                <w:color w:val="000000"/>
                <w:sz w:val="18"/>
                <w:szCs w:val="18"/>
              </w:rPr>
            </w:pPr>
            <w:r>
              <w:rPr>
                <w:sz w:val="18"/>
                <w:szCs w:val="18"/>
                <w:lang w:val="fr"/>
              </w:rPr>
              <w:t>73,4</w:t>
            </w:r>
          </w:p>
        </w:tc>
        <w:tc>
          <w:tcPr>
            <w:tcW w:w="508" w:type="pct"/>
            <w:tcBorders>
              <w:top w:val="nil"/>
              <w:left w:val="nil"/>
              <w:bottom w:val="single" w:sz="4" w:space="0" w:color="auto"/>
              <w:right w:val="single" w:sz="4" w:space="0" w:color="auto"/>
            </w:tcBorders>
            <w:shd w:val="clear" w:color="auto" w:fill="auto"/>
            <w:noWrap/>
            <w:hideMark/>
          </w:tcPr>
          <w:p w14:paraId="0C785322" w14:textId="77777777" w:rsidR="00502FEE" w:rsidRPr="001277B2" w:rsidRDefault="00502FEE" w:rsidP="000E7A06">
            <w:pPr>
              <w:jc w:val="right"/>
              <w:rPr>
                <w:color w:val="000000"/>
                <w:sz w:val="18"/>
                <w:szCs w:val="18"/>
              </w:rPr>
            </w:pPr>
            <w:r>
              <w:rPr>
                <w:sz w:val="18"/>
                <w:szCs w:val="18"/>
                <w:lang w:val="fr"/>
              </w:rPr>
              <w:t>4 669,8</w:t>
            </w:r>
          </w:p>
        </w:tc>
        <w:tc>
          <w:tcPr>
            <w:tcW w:w="508" w:type="pct"/>
            <w:tcBorders>
              <w:top w:val="nil"/>
              <w:left w:val="nil"/>
              <w:bottom w:val="single" w:sz="4" w:space="0" w:color="auto"/>
              <w:right w:val="single" w:sz="4" w:space="0" w:color="auto"/>
            </w:tcBorders>
            <w:shd w:val="clear" w:color="auto" w:fill="auto"/>
            <w:noWrap/>
            <w:hideMark/>
          </w:tcPr>
          <w:p w14:paraId="7F19F1A0" w14:textId="77777777" w:rsidR="00502FEE" w:rsidRPr="001277B2" w:rsidRDefault="00502FEE" w:rsidP="000E7A06">
            <w:pPr>
              <w:jc w:val="right"/>
              <w:rPr>
                <w:color w:val="000000"/>
                <w:sz w:val="18"/>
                <w:szCs w:val="18"/>
              </w:rPr>
            </w:pPr>
            <w:r>
              <w:rPr>
                <w:sz w:val="18"/>
                <w:szCs w:val="18"/>
                <w:lang w:val="fr"/>
              </w:rPr>
              <w:t>2 334,9</w:t>
            </w:r>
          </w:p>
        </w:tc>
        <w:tc>
          <w:tcPr>
            <w:tcW w:w="507" w:type="pct"/>
            <w:tcBorders>
              <w:top w:val="nil"/>
              <w:left w:val="nil"/>
              <w:bottom w:val="single" w:sz="4" w:space="0" w:color="auto"/>
              <w:right w:val="single" w:sz="4" w:space="0" w:color="auto"/>
            </w:tcBorders>
            <w:shd w:val="clear" w:color="auto" w:fill="auto"/>
            <w:noWrap/>
            <w:hideMark/>
          </w:tcPr>
          <w:p w14:paraId="215782C2" w14:textId="77777777" w:rsidR="00502FEE" w:rsidRPr="001277B2" w:rsidRDefault="00502FEE" w:rsidP="000E7A06">
            <w:pPr>
              <w:jc w:val="right"/>
              <w:rPr>
                <w:color w:val="000000"/>
                <w:sz w:val="18"/>
                <w:szCs w:val="18"/>
              </w:rPr>
            </w:pPr>
            <w:r>
              <w:rPr>
                <w:sz w:val="18"/>
                <w:szCs w:val="18"/>
                <w:lang w:val="fr"/>
              </w:rPr>
              <w:t>179,6</w:t>
            </w:r>
          </w:p>
        </w:tc>
      </w:tr>
      <w:tr w:rsidR="00502FEE" w:rsidRPr="001277B2" w14:paraId="3F75C64C"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7761563C" w14:textId="77777777" w:rsidR="00502FEE" w:rsidRPr="001277B2" w:rsidRDefault="00502FEE" w:rsidP="000E7A06">
            <w:pPr>
              <w:jc w:val="left"/>
              <w:rPr>
                <w:color w:val="000000"/>
                <w:sz w:val="18"/>
                <w:szCs w:val="18"/>
              </w:rPr>
            </w:pPr>
            <w:r>
              <w:rPr>
                <w:color w:val="000000"/>
                <w:sz w:val="18"/>
                <w:szCs w:val="18"/>
                <w:lang w:val="fr"/>
              </w:rPr>
              <w:t>Venezuela (République bolivarienne du)</w:t>
            </w:r>
          </w:p>
        </w:tc>
        <w:tc>
          <w:tcPr>
            <w:tcW w:w="508" w:type="pct"/>
            <w:tcBorders>
              <w:top w:val="nil"/>
              <w:left w:val="nil"/>
              <w:bottom w:val="single" w:sz="4" w:space="0" w:color="auto"/>
              <w:right w:val="single" w:sz="4" w:space="0" w:color="auto"/>
            </w:tcBorders>
            <w:shd w:val="clear" w:color="auto" w:fill="auto"/>
            <w:noWrap/>
            <w:hideMark/>
          </w:tcPr>
          <w:p w14:paraId="6C3637A7" w14:textId="77777777" w:rsidR="00502FEE" w:rsidRPr="001277B2" w:rsidRDefault="00502FEE" w:rsidP="000E7A06">
            <w:pPr>
              <w:jc w:val="right"/>
              <w:rPr>
                <w:color w:val="000000"/>
                <w:sz w:val="18"/>
                <w:szCs w:val="18"/>
              </w:rPr>
            </w:pPr>
            <w:r>
              <w:rPr>
                <w:sz w:val="18"/>
                <w:szCs w:val="18"/>
                <w:lang w:val="fr"/>
              </w:rPr>
              <w:t>2 236,9</w:t>
            </w:r>
          </w:p>
        </w:tc>
        <w:tc>
          <w:tcPr>
            <w:tcW w:w="508" w:type="pct"/>
            <w:tcBorders>
              <w:top w:val="single" w:sz="4" w:space="0" w:color="auto"/>
              <w:left w:val="nil"/>
              <w:bottom w:val="single" w:sz="4" w:space="0" w:color="auto"/>
              <w:right w:val="single" w:sz="4" w:space="0" w:color="auto"/>
            </w:tcBorders>
          </w:tcPr>
          <w:p w14:paraId="7701E53F" w14:textId="77777777" w:rsidR="00502FEE" w:rsidRPr="001277B2" w:rsidRDefault="00502FEE" w:rsidP="000E7A06">
            <w:pPr>
              <w:jc w:val="right"/>
              <w:rPr>
                <w:sz w:val="18"/>
                <w:szCs w:val="18"/>
              </w:rPr>
            </w:pPr>
            <w:r>
              <w:rPr>
                <w:sz w:val="18"/>
                <w:szCs w:val="18"/>
                <w:lang w:val="fr"/>
              </w:rPr>
              <w:t>676,5</w:t>
            </w:r>
          </w:p>
        </w:tc>
        <w:tc>
          <w:tcPr>
            <w:tcW w:w="508" w:type="pct"/>
            <w:tcBorders>
              <w:top w:val="nil"/>
              <w:left w:val="single" w:sz="4" w:space="0" w:color="auto"/>
              <w:bottom w:val="single" w:sz="4" w:space="0" w:color="auto"/>
              <w:right w:val="single" w:sz="4" w:space="0" w:color="auto"/>
            </w:tcBorders>
            <w:shd w:val="clear" w:color="auto" w:fill="auto"/>
            <w:noWrap/>
            <w:hideMark/>
          </w:tcPr>
          <w:p w14:paraId="1EC48B2A" w14:textId="77777777" w:rsidR="00502FEE" w:rsidRPr="001277B2" w:rsidRDefault="00502FEE" w:rsidP="000E7A06">
            <w:pPr>
              <w:jc w:val="right"/>
              <w:rPr>
                <w:color w:val="000000"/>
                <w:sz w:val="18"/>
                <w:szCs w:val="18"/>
              </w:rPr>
            </w:pPr>
            <w:r>
              <w:rPr>
                <w:sz w:val="18"/>
                <w:szCs w:val="18"/>
                <w:lang w:val="fr"/>
              </w:rPr>
              <w:t>34,1</w:t>
            </w:r>
          </w:p>
        </w:tc>
        <w:tc>
          <w:tcPr>
            <w:tcW w:w="508" w:type="pct"/>
            <w:tcBorders>
              <w:top w:val="nil"/>
              <w:left w:val="nil"/>
              <w:bottom w:val="single" w:sz="4" w:space="0" w:color="auto"/>
              <w:right w:val="single" w:sz="4" w:space="0" w:color="auto"/>
            </w:tcBorders>
            <w:shd w:val="clear" w:color="auto" w:fill="auto"/>
            <w:noWrap/>
            <w:hideMark/>
          </w:tcPr>
          <w:p w14:paraId="751B85AC" w14:textId="77777777" w:rsidR="00502FEE" w:rsidRPr="001277B2" w:rsidRDefault="00502FEE" w:rsidP="000E7A06">
            <w:pPr>
              <w:jc w:val="right"/>
              <w:rPr>
                <w:color w:val="000000"/>
                <w:sz w:val="18"/>
                <w:szCs w:val="18"/>
              </w:rPr>
            </w:pPr>
            <w:r>
              <w:rPr>
                <w:sz w:val="18"/>
                <w:szCs w:val="18"/>
                <w:lang w:val="fr"/>
              </w:rPr>
              <w:t>1,5</w:t>
            </w:r>
          </w:p>
        </w:tc>
        <w:tc>
          <w:tcPr>
            <w:tcW w:w="508" w:type="pct"/>
            <w:tcBorders>
              <w:top w:val="nil"/>
              <w:left w:val="nil"/>
              <w:bottom w:val="single" w:sz="4" w:space="0" w:color="auto"/>
              <w:right w:val="single" w:sz="4" w:space="0" w:color="auto"/>
            </w:tcBorders>
            <w:shd w:val="clear" w:color="auto" w:fill="auto"/>
            <w:noWrap/>
            <w:hideMark/>
          </w:tcPr>
          <w:p w14:paraId="3BE41943" w14:textId="77777777" w:rsidR="00502FEE" w:rsidRPr="001277B2" w:rsidRDefault="00502FEE" w:rsidP="000E7A06">
            <w:pPr>
              <w:jc w:val="right"/>
              <w:rPr>
                <w:color w:val="000000"/>
                <w:sz w:val="18"/>
                <w:szCs w:val="18"/>
              </w:rPr>
            </w:pPr>
            <w:r>
              <w:rPr>
                <w:sz w:val="18"/>
                <w:szCs w:val="18"/>
                <w:lang w:val="fr"/>
              </w:rPr>
              <w:t>1 454,0</w:t>
            </w:r>
          </w:p>
        </w:tc>
        <w:tc>
          <w:tcPr>
            <w:tcW w:w="508" w:type="pct"/>
            <w:tcBorders>
              <w:top w:val="nil"/>
              <w:left w:val="nil"/>
              <w:bottom w:val="single" w:sz="4" w:space="0" w:color="auto"/>
              <w:right w:val="single" w:sz="4" w:space="0" w:color="auto"/>
            </w:tcBorders>
            <w:shd w:val="clear" w:color="auto" w:fill="auto"/>
            <w:noWrap/>
            <w:hideMark/>
          </w:tcPr>
          <w:p w14:paraId="38A9E9E5" w14:textId="77777777" w:rsidR="00502FEE" w:rsidRPr="001277B2" w:rsidRDefault="00502FEE" w:rsidP="000E7A06">
            <w:pPr>
              <w:jc w:val="right"/>
              <w:rPr>
                <w:color w:val="000000"/>
                <w:sz w:val="18"/>
                <w:szCs w:val="18"/>
              </w:rPr>
            </w:pPr>
            <w:r>
              <w:rPr>
                <w:sz w:val="18"/>
                <w:szCs w:val="18"/>
                <w:lang w:val="fr"/>
              </w:rPr>
              <w:t>727,0</w:t>
            </w:r>
          </w:p>
        </w:tc>
        <w:tc>
          <w:tcPr>
            <w:tcW w:w="507" w:type="pct"/>
            <w:tcBorders>
              <w:top w:val="nil"/>
              <w:left w:val="nil"/>
              <w:bottom w:val="single" w:sz="4" w:space="0" w:color="auto"/>
              <w:right w:val="single" w:sz="4" w:space="0" w:color="auto"/>
            </w:tcBorders>
            <w:shd w:val="clear" w:color="auto" w:fill="auto"/>
            <w:noWrap/>
            <w:hideMark/>
          </w:tcPr>
          <w:p w14:paraId="697EC5C3" w14:textId="77777777" w:rsidR="00502FEE" w:rsidRPr="001277B2" w:rsidRDefault="00502FEE" w:rsidP="000E7A06">
            <w:pPr>
              <w:jc w:val="right"/>
              <w:rPr>
                <w:color w:val="000000"/>
                <w:sz w:val="18"/>
                <w:szCs w:val="18"/>
              </w:rPr>
            </w:pPr>
            <w:r>
              <w:rPr>
                <w:sz w:val="18"/>
                <w:szCs w:val="18"/>
                <w:lang w:val="fr"/>
              </w:rPr>
              <w:t>55,9</w:t>
            </w:r>
          </w:p>
        </w:tc>
      </w:tr>
      <w:tr w:rsidR="00502FEE" w:rsidRPr="001277B2" w14:paraId="4A046BCC"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24452023" w14:textId="77777777" w:rsidR="00502FEE" w:rsidRPr="001277B2" w:rsidRDefault="00502FEE" w:rsidP="000E7A06">
            <w:pPr>
              <w:jc w:val="left"/>
              <w:rPr>
                <w:b/>
                <w:color w:val="000000"/>
                <w:sz w:val="18"/>
                <w:szCs w:val="18"/>
              </w:rPr>
            </w:pPr>
            <w:r>
              <w:rPr>
                <w:b/>
                <w:bCs/>
                <w:color w:val="000000"/>
                <w:sz w:val="18"/>
                <w:szCs w:val="18"/>
                <w:lang w:val="fr"/>
              </w:rPr>
              <w:t>Total</w:t>
            </w:r>
          </w:p>
        </w:tc>
        <w:tc>
          <w:tcPr>
            <w:tcW w:w="508" w:type="pct"/>
            <w:tcBorders>
              <w:top w:val="nil"/>
              <w:left w:val="nil"/>
              <w:bottom w:val="single" w:sz="4" w:space="0" w:color="auto"/>
              <w:right w:val="single" w:sz="4" w:space="0" w:color="auto"/>
            </w:tcBorders>
            <w:shd w:val="clear" w:color="auto" w:fill="auto"/>
            <w:noWrap/>
            <w:hideMark/>
          </w:tcPr>
          <w:p w14:paraId="0AEE9FFB" w14:textId="77777777" w:rsidR="00502FEE" w:rsidRPr="001277B2" w:rsidRDefault="00502FEE" w:rsidP="000E7A06">
            <w:pPr>
              <w:jc w:val="right"/>
              <w:rPr>
                <w:b/>
                <w:color w:val="000000"/>
                <w:sz w:val="18"/>
                <w:szCs w:val="18"/>
              </w:rPr>
            </w:pPr>
            <w:r>
              <w:rPr>
                <w:b/>
                <w:bCs/>
                <w:sz w:val="18"/>
                <w:szCs w:val="18"/>
                <w:lang w:val="fr"/>
              </w:rPr>
              <w:t>501 265,6</w:t>
            </w:r>
          </w:p>
        </w:tc>
        <w:tc>
          <w:tcPr>
            <w:tcW w:w="508" w:type="pct"/>
            <w:tcBorders>
              <w:top w:val="single" w:sz="4" w:space="0" w:color="auto"/>
              <w:left w:val="nil"/>
              <w:bottom w:val="single" w:sz="4" w:space="0" w:color="auto"/>
              <w:right w:val="single" w:sz="4" w:space="0" w:color="auto"/>
            </w:tcBorders>
          </w:tcPr>
          <w:p w14:paraId="7F7C1BAC" w14:textId="77777777" w:rsidR="00502FEE" w:rsidRPr="001277B2" w:rsidRDefault="00502FEE" w:rsidP="000E7A06">
            <w:pPr>
              <w:jc w:val="right"/>
              <w:rPr>
                <w:b/>
                <w:sz w:val="18"/>
                <w:szCs w:val="18"/>
              </w:rPr>
            </w:pPr>
            <w:r>
              <w:rPr>
                <w:b/>
                <w:bCs/>
                <w:sz w:val="18"/>
                <w:szCs w:val="18"/>
                <w:lang w:val="fr"/>
              </w:rPr>
              <w:t>374 313,3</w:t>
            </w:r>
          </w:p>
        </w:tc>
        <w:tc>
          <w:tcPr>
            <w:tcW w:w="508" w:type="pct"/>
            <w:tcBorders>
              <w:top w:val="nil"/>
              <w:left w:val="single" w:sz="4" w:space="0" w:color="auto"/>
              <w:bottom w:val="single" w:sz="4" w:space="0" w:color="auto"/>
              <w:right w:val="single" w:sz="4" w:space="0" w:color="auto"/>
            </w:tcBorders>
            <w:shd w:val="clear" w:color="auto" w:fill="auto"/>
            <w:noWrap/>
            <w:hideMark/>
          </w:tcPr>
          <w:p w14:paraId="573E9E3A" w14:textId="77777777" w:rsidR="00502FEE" w:rsidRPr="001277B2" w:rsidRDefault="00502FEE" w:rsidP="000E7A06">
            <w:pPr>
              <w:jc w:val="right"/>
              <w:rPr>
                <w:b/>
                <w:color w:val="000000"/>
                <w:sz w:val="18"/>
                <w:szCs w:val="18"/>
              </w:rPr>
            </w:pPr>
            <w:r>
              <w:rPr>
                <w:b/>
                <w:bCs/>
                <w:sz w:val="18"/>
                <w:szCs w:val="18"/>
                <w:lang w:val="fr"/>
              </w:rPr>
              <w:t>362 958,1</w:t>
            </w:r>
          </w:p>
        </w:tc>
        <w:tc>
          <w:tcPr>
            <w:tcW w:w="508" w:type="pct"/>
            <w:tcBorders>
              <w:top w:val="nil"/>
              <w:left w:val="nil"/>
              <w:bottom w:val="single" w:sz="4" w:space="0" w:color="auto"/>
              <w:right w:val="single" w:sz="4" w:space="0" w:color="auto"/>
            </w:tcBorders>
            <w:shd w:val="clear" w:color="auto" w:fill="auto"/>
            <w:noWrap/>
            <w:hideMark/>
          </w:tcPr>
          <w:p w14:paraId="184903F2" w14:textId="77777777" w:rsidR="00502FEE" w:rsidRPr="001277B2" w:rsidRDefault="00502FEE" w:rsidP="000E7A06">
            <w:pPr>
              <w:jc w:val="right"/>
              <w:rPr>
                <w:b/>
                <w:color w:val="000000"/>
                <w:sz w:val="18"/>
                <w:szCs w:val="18"/>
              </w:rPr>
            </w:pPr>
            <w:r>
              <w:rPr>
                <w:b/>
                <w:bCs/>
                <w:sz w:val="18"/>
                <w:szCs w:val="18"/>
                <w:lang w:val="fr"/>
              </w:rPr>
              <w:t>72,4</w:t>
            </w:r>
          </w:p>
        </w:tc>
        <w:tc>
          <w:tcPr>
            <w:tcW w:w="508" w:type="pct"/>
            <w:tcBorders>
              <w:top w:val="nil"/>
              <w:left w:val="nil"/>
              <w:bottom w:val="single" w:sz="4" w:space="0" w:color="auto"/>
              <w:right w:val="single" w:sz="4" w:space="0" w:color="auto"/>
            </w:tcBorders>
            <w:shd w:val="clear" w:color="auto" w:fill="auto"/>
            <w:noWrap/>
            <w:hideMark/>
          </w:tcPr>
          <w:p w14:paraId="44290B78" w14:textId="4B77038B" w:rsidR="00502FEE" w:rsidRPr="001277B2" w:rsidRDefault="00480B01" w:rsidP="00480B01">
            <w:pPr>
              <w:jc w:val="right"/>
              <w:rPr>
                <w:b/>
                <w:color w:val="000000"/>
                <w:sz w:val="18"/>
                <w:szCs w:val="18"/>
              </w:rPr>
            </w:pPr>
            <w:r>
              <w:rPr>
                <w:b/>
                <w:bCs/>
                <w:sz w:val="18"/>
                <w:szCs w:val="18"/>
                <w:lang w:val="fr"/>
              </w:rPr>
              <w:t>325 882,6</w:t>
            </w:r>
          </w:p>
        </w:tc>
        <w:tc>
          <w:tcPr>
            <w:tcW w:w="508" w:type="pct"/>
            <w:tcBorders>
              <w:top w:val="nil"/>
              <w:left w:val="nil"/>
              <w:bottom w:val="single" w:sz="4" w:space="0" w:color="auto"/>
              <w:right w:val="single" w:sz="4" w:space="0" w:color="auto"/>
            </w:tcBorders>
            <w:shd w:val="clear" w:color="auto" w:fill="auto"/>
            <w:noWrap/>
            <w:hideMark/>
          </w:tcPr>
          <w:p w14:paraId="75A9C90A" w14:textId="3209AE46" w:rsidR="00502FEE" w:rsidRPr="001277B2" w:rsidRDefault="00480B01" w:rsidP="000E7A06">
            <w:pPr>
              <w:jc w:val="right"/>
              <w:rPr>
                <w:b/>
                <w:color w:val="000000"/>
                <w:sz w:val="18"/>
                <w:szCs w:val="18"/>
              </w:rPr>
            </w:pPr>
            <w:r>
              <w:rPr>
                <w:b/>
                <w:bCs/>
                <w:sz w:val="18"/>
                <w:szCs w:val="18"/>
                <w:lang w:val="fr"/>
              </w:rPr>
              <w:t>162 911,3</w:t>
            </w:r>
          </w:p>
        </w:tc>
        <w:tc>
          <w:tcPr>
            <w:tcW w:w="507" w:type="pct"/>
            <w:tcBorders>
              <w:top w:val="nil"/>
              <w:left w:val="nil"/>
              <w:bottom w:val="single" w:sz="4" w:space="0" w:color="auto"/>
              <w:right w:val="single" w:sz="4" w:space="0" w:color="auto"/>
            </w:tcBorders>
            <w:shd w:val="clear" w:color="auto" w:fill="auto"/>
            <w:noWrap/>
            <w:hideMark/>
          </w:tcPr>
          <w:p w14:paraId="0D928BA8" w14:textId="1571B9D4" w:rsidR="00502FEE" w:rsidRPr="001277B2" w:rsidRDefault="00480B01" w:rsidP="00480B01">
            <w:pPr>
              <w:jc w:val="right"/>
              <w:rPr>
                <w:b/>
                <w:color w:val="000000"/>
                <w:sz w:val="18"/>
                <w:szCs w:val="18"/>
              </w:rPr>
            </w:pPr>
            <w:r>
              <w:rPr>
                <w:b/>
                <w:bCs/>
                <w:sz w:val="18"/>
                <w:szCs w:val="18"/>
                <w:lang w:val="fr"/>
              </w:rPr>
              <w:t>12 531,6</w:t>
            </w:r>
          </w:p>
        </w:tc>
      </w:tr>
      <w:tr w:rsidR="00480B01" w:rsidRPr="001277B2" w14:paraId="0792C635" w14:textId="77777777" w:rsidTr="00AD46B9">
        <w:tc>
          <w:tcPr>
            <w:tcW w:w="14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29" w:type="dxa"/>
            </w:tcMar>
            <w:vAlign w:val="center"/>
            <w:hideMark/>
          </w:tcPr>
          <w:p w14:paraId="5EA21280" w14:textId="48C06771" w:rsidR="00480B01" w:rsidRPr="001277B2" w:rsidRDefault="00480B01" w:rsidP="00395D8E">
            <w:pPr>
              <w:jc w:val="left"/>
              <w:rPr>
                <w:b/>
                <w:color w:val="000000"/>
                <w:sz w:val="18"/>
                <w:szCs w:val="18"/>
              </w:rPr>
            </w:pPr>
            <w:r>
              <w:rPr>
                <w:b/>
                <w:bCs/>
                <w:color w:val="000000"/>
                <w:sz w:val="18"/>
                <w:szCs w:val="18"/>
                <w:lang w:val="fr"/>
              </w:rPr>
              <w:lastRenderedPageBreak/>
              <w:t>Partie* (tonnes PAO)</w:t>
            </w:r>
          </w:p>
        </w:tc>
        <w:tc>
          <w:tcPr>
            <w:tcW w:w="50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AAC950B" w14:textId="77777777" w:rsidR="00480B01" w:rsidRPr="001277B2" w:rsidRDefault="00480B01" w:rsidP="00395D8E">
            <w:pPr>
              <w:jc w:val="center"/>
              <w:rPr>
                <w:b/>
                <w:color w:val="000000"/>
                <w:sz w:val="18"/>
                <w:szCs w:val="18"/>
              </w:rPr>
            </w:pPr>
            <w:r>
              <w:rPr>
                <w:b/>
                <w:bCs/>
                <w:color w:val="000000"/>
                <w:sz w:val="18"/>
                <w:szCs w:val="18"/>
                <w:lang w:val="fr"/>
              </w:rPr>
              <w:t>Référence</w:t>
            </w:r>
          </w:p>
        </w:tc>
        <w:tc>
          <w:tcPr>
            <w:tcW w:w="508" w:type="pct"/>
            <w:tcBorders>
              <w:top w:val="single" w:sz="4" w:space="0" w:color="auto"/>
              <w:left w:val="nil"/>
              <w:bottom w:val="single" w:sz="4" w:space="0" w:color="auto"/>
              <w:right w:val="single" w:sz="4" w:space="0" w:color="auto"/>
            </w:tcBorders>
            <w:shd w:val="clear" w:color="auto" w:fill="auto"/>
            <w:vAlign w:val="center"/>
          </w:tcPr>
          <w:p w14:paraId="19DE77A1" w14:textId="77777777" w:rsidR="00480B01" w:rsidRPr="001277B2" w:rsidRDefault="00480B01" w:rsidP="00395D8E">
            <w:pPr>
              <w:jc w:val="center"/>
              <w:rPr>
                <w:b/>
                <w:color w:val="000000"/>
                <w:sz w:val="18"/>
                <w:szCs w:val="18"/>
              </w:rPr>
            </w:pPr>
            <w:r>
              <w:rPr>
                <w:b/>
                <w:bCs/>
                <w:color w:val="000000"/>
                <w:sz w:val="18"/>
                <w:szCs w:val="18"/>
                <w:lang w:val="fr"/>
              </w:rPr>
              <w:t>2015</w:t>
            </w:r>
          </w:p>
        </w:tc>
        <w:tc>
          <w:tcPr>
            <w:tcW w:w="508"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06A00A8C" w14:textId="77777777" w:rsidR="00480B01" w:rsidRPr="001277B2" w:rsidRDefault="00480B01" w:rsidP="00395D8E">
            <w:pPr>
              <w:jc w:val="center"/>
              <w:rPr>
                <w:b/>
                <w:color w:val="000000"/>
                <w:sz w:val="18"/>
                <w:szCs w:val="18"/>
              </w:rPr>
            </w:pPr>
            <w:r>
              <w:rPr>
                <w:b/>
                <w:bCs/>
                <w:color w:val="000000"/>
                <w:sz w:val="18"/>
                <w:szCs w:val="18"/>
                <w:lang w:val="fr"/>
              </w:rPr>
              <w:t>2018</w:t>
            </w:r>
          </w:p>
        </w:tc>
        <w:tc>
          <w:tcPr>
            <w:tcW w:w="50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4C15308" w14:textId="77777777" w:rsidR="00480B01" w:rsidRPr="001277B2" w:rsidRDefault="00480B01" w:rsidP="00395D8E">
            <w:pPr>
              <w:jc w:val="center"/>
              <w:rPr>
                <w:b/>
                <w:color w:val="000000"/>
                <w:sz w:val="18"/>
                <w:szCs w:val="18"/>
              </w:rPr>
            </w:pPr>
            <w:r>
              <w:rPr>
                <w:b/>
                <w:bCs/>
                <w:color w:val="000000"/>
                <w:sz w:val="18"/>
                <w:szCs w:val="18"/>
                <w:lang w:val="fr"/>
              </w:rPr>
              <w:t>% (2018 / référence)</w:t>
            </w:r>
          </w:p>
        </w:tc>
        <w:tc>
          <w:tcPr>
            <w:tcW w:w="50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79B4042" w14:textId="77777777" w:rsidR="00480B01" w:rsidRPr="001277B2" w:rsidRDefault="00480B01" w:rsidP="00395D8E">
            <w:pPr>
              <w:jc w:val="center"/>
              <w:rPr>
                <w:b/>
                <w:color w:val="000000"/>
                <w:sz w:val="18"/>
                <w:szCs w:val="18"/>
              </w:rPr>
            </w:pPr>
            <w:r>
              <w:rPr>
                <w:b/>
                <w:bCs/>
                <w:color w:val="000000"/>
                <w:sz w:val="18"/>
                <w:szCs w:val="18"/>
                <w:lang w:val="fr"/>
              </w:rPr>
              <w:t xml:space="preserve">Objectif </w:t>
            </w:r>
          </w:p>
          <w:p w14:paraId="29FD0276" w14:textId="77777777" w:rsidR="00480B01" w:rsidRPr="001277B2" w:rsidRDefault="00480B01" w:rsidP="00395D8E">
            <w:pPr>
              <w:jc w:val="center"/>
              <w:rPr>
                <w:b/>
                <w:color w:val="000000"/>
                <w:sz w:val="18"/>
                <w:szCs w:val="18"/>
              </w:rPr>
            </w:pPr>
            <w:r>
              <w:rPr>
                <w:b/>
                <w:bCs/>
                <w:color w:val="000000"/>
                <w:sz w:val="18"/>
                <w:szCs w:val="18"/>
                <w:lang w:val="fr"/>
              </w:rPr>
              <w:t>2020**</w:t>
            </w:r>
          </w:p>
        </w:tc>
        <w:tc>
          <w:tcPr>
            <w:tcW w:w="50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A544494" w14:textId="77777777" w:rsidR="00480B01" w:rsidRPr="001277B2" w:rsidRDefault="00480B01" w:rsidP="00395D8E">
            <w:pPr>
              <w:jc w:val="center"/>
              <w:rPr>
                <w:b/>
                <w:color w:val="000000"/>
                <w:sz w:val="18"/>
                <w:szCs w:val="18"/>
              </w:rPr>
            </w:pPr>
            <w:r>
              <w:rPr>
                <w:b/>
                <w:bCs/>
                <w:color w:val="000000"/>
                <w:sz w:val="18"/>
                <w:szCs w:val="18"/>
                <w:lang w:val="fr"/>
              </w:rPr>
              <w:t xml:space="preserve">Objectif </w:t>
            </w:r>
          </w:p>
          <w:p w14:paraId="3DD7C831" w14:textId="77777777" w:rsidR="00480B01" w:rsidRPr="001277B2" w:rsidRDefault="00480B01" w:rsidP="00395D8E">
            <w:pPr>
              <w:jc w:val="center"/>
              <w:rPr>
                <w:b/>
                <w:color w:val="000000"/>
                <w:sz w:val="18"/>
                <w:szCs w:val="18"/>
              </w:rPr>
            </w:pPr>
            <w:r>
              <w:rPr>
                <w:b/>
                <w:bCs/>
                <w:color w:val="000000"/>
                <w:sz w:val="18"/>
                <w:szCs w:val="18"/>
                <w:lang w:val="fr"/>
              </w:rPr>
              <w:t>2025**</w:t>
            </w:r>
          </w:p>
        </w:tc>
        <w:tc>
          <w:tcPr>
            <w:tcW w:w="50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A27E542" w14:textId="77777777" w:rsidR="00480B01" w:rsidRPr="001277B2" w:rsidRDefault="00480B01" w:rsidP="00395D8E">
            <w:pPr>
              <w:jc w:val="center"/>
              <w:rPr>
                <w:b/>
                <w:color w:val="000000"/>
                <w:sz w:val="18"/>
                <w:szCs w:val="18"/>
              </w:rPr>
            </w:pPr>
            <w:r>
              <w:rPr>
                <w:b/>
                <w:bCs/>
                <w:color w:val="000000"/>
                <w:sz w:val="18"/>
                <w:szCs w:val="18"/>
                <w:lang w:val="fr"/>
              </w:rPr>
              <w:t>Objectif 2030**</w:t>
            </w:r>
          </w:p>
        </w:tc>
      </w:tr>
      <w:tr w:rsidR="00AA474F" w:rsidRPr="001277B2" w14:paraId="22A9F66D"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24CA9FB2" w14:textId="77777777" w:rsidR="00AA474F" w:rsidRPr="001277B2" w:rsidRDefault="00AA474F" w:rsidP="00AA474F">
            <w:pPr>
              <w:jc w:val="left"/>
              <w:rPr>
                <w:color w:val="000000"/>
                <w:sz w:val="18"/>
                <w:szCs w:val="18"/>
              </w:rPr>
            </w:pPr>
            <w:r>
              <w:rPr>
                <w:color w:val="000000"/>
                <w:sz w:val="18"/>
                <w:szCs w:val="18"/>
                <w:lang w:val="fr"/>
              </w:rPr>
              <w:t>Argentine</w:t>
            </w:r>
          </w:p>
        </w:tc>
        <w:tc>
          <w:tcPr>
            <w:tcW w:w="50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C5D2B3C" w14:textId="79E076DB" w:rsidR="00AA474F" w:rsidRPr="001277B2" w:rsidRDefault="00AA474F" w:rsidP="00AA474F">
            <w:pPr>
              <w:jc w:val="right"/>
              <w:rPr>
                <w:color w:val="000000"/>
                <w:sz w:val="18"/>
                <w:szCs w:val="18"/>
              </w:rPr>
            </w:pPr>
            <w:r>
              <w:rPr>
                <w:color w:val="000000"/>
                <w:sz w:val="18"/>
                <w:szCs w:val="18"/>
                <w:lang w:val="fr"/>
              </w:rPr>
              <w:t>224,5</w:t>
            </w:r>
          </w:p>
        </w:tc>
        <w:tc>
          <w:tcPr>
            <w:tcW w:w="508" w:type="pct"/>
            <w:tcBorders>
              <w:top w:val="single" w:sz="4" w:space="0" w:color="auto"/>
              <w:left w:val="nil"/>
              <w:bottom w:val="single" w:sz="4" w:space="0" w:color="auto"/>
              <w:right w:val="single" w:sz="4" w:space="0" w:color="auto"/>
            </w:tcBorders>
            <w:shd w:val="clear" w:color="auto" w:fill="auto"/>
            <w:vAlign w:val="bottom"/>
          </w:tcPr>
          <w:p w14:paraId="6D505FC8" w14:textId="393588C4" w:rsidR="00AA474F" w:rsidRPr="001277B2" w:rsidRDefault="00AA474F" w:rsidP="00AA474F">
            <w:pPr>
              <w:jc w:val="right"/>
              <w:rPr>
                <w:sz w:val="18"/>
                <w:szCs w:val="18"/>
              </w:rPr>
            </w:pPr>
            <w:r>
              <w:rPr>
                <w:color w:val="000000"/>
                <w:sz w:val="18"/>
                <w:szCs w:val="18"/>
                <w:lang w:val="fr"/>
              </w:rPr>
              <w:t>134,5</w:t>
            </w:r>
          </w:p>
        </w:tc>
        <w:tc>
          <w:tcPr>
            <w:tcW w:w="508" w:type="pct"/>
            <w:tcBorders>
              <w:top w:val="single" w:sz="4" w:space="0" w:color="auto"/>
              <w:left w:val="nil"/>
              <w:bottom w:val="single" w:sz="4" w:space="0" w:color="auto"/>
              <w:right w:val="single" w:sz="4" w:space="0" w:color="auto"/>
            </w:tcBorders>
            <w:shd w:val="clear" w:color="auto" w:fill="auto"/>
            <w:noWrap/>
            <w:vAlign w:val="bottom"/>
          </w:tcPr>
          <w:p w14:paraId="3F776455" w14:textId="2276C0C5" w:rsidR="00AA474F" w:rsidRPr="001277B2" w:rsidRDefault="00AA474F" w:rsidP="00AA474F">
            <w:pPr>
              <w:jc w:val="right"/>
              <w:rPr>
                <w:color w:val="000000"/>
                <w:sz w:val="18"/>
                <w:szCs w:val="18"/>
              </w:rPr>
            </w:pPr>
            <w:r>
              <w:rPr>
                <w:color w:val="000000"/>
                <w:sz w:val="18"/>
                <w:szCs w:val="18"/>
                <w:lang w:val="fr"/>
              </w:rPr>
              <w:t>65,6</w:t>
            </w:r>
          </w:p>
        </w:tc>
        <w:tc>
          <w:tcPr>
            <w:tcW w:w="508" w:type="pct"/>
            <w:tcBorders>
              <w:top w:val="single" w:sz="4" w:space="0" w:color="auto"/>
              <w:left w:val="nil"/>
              <w:bottom w:val="single" w:sz="4" w:space="0" w:color="auto"/>
              <w:right w:val="single" w:sz="4" w:space="0" w:color="auto"/>
            </w:tcBorders>
            <w:shd w:val="clear" w:color="auto" w:fill="auto"/>
            <w:noWrap/>
            <w:vAlign w:val="bottom"/>
          </w:tcPr>
          <w:p w14:paraId="6250E146" w14:textId="74DA823A" w:rsidR="00AA474F" w:rsidRPr="001277B2" w:rsidRDefault="00AA474F" w:rsidP="00AA474F">
            <w:pPr>
              <w:jc w:val="right"/>
              <w:rPr>
                <w:color w:val="000000"/>
                <w:sz w:val="18"/>
                <w:szCs w:val="18"/>
              </w:rPr>
            </w:pPr>
            <w:r>
              <w:rPr>
                <w:color w:val="000000"/>
                <w:sz w:val="18"/>
                <w:szCs w:val="18"/>
                <w:lang w:val="fr"/>
              </w:rPr>
              <w:t>29,2 %</w:t>
            </w:r>
          </w:p>
        </w:tc>
        <w:tc>
          <w:tcPr>
            <w:tcW w:w="508" w:type="pct"/>
            <w:tcBorders>
              <w:top w:val="single" w:sz="4" w:space="0" w:color="auto"/>
              <w:left w:val="nil"/>
              <w:bottom w:val="single" w:sz="4" w:space="0" w:color="auto"/>
              <w:right w:val="single" w:sz="4" w:space="0" w:color="auto"/>
            </w:tcBorders>
            <w:shd w:val="clear" w:color="auto" w:fill="auto"/>
            <w:noWrap/>
            <w:vAlign w:val="bottom"/>
          </w:tcPr>
          <w:p w14:paraId="53DF36CF" w14:textId="3C6723AC" w:rsidR="00AA474F" w:rsidRPr="001277B2" w:rsidRDefault="00AA474F" w:rsidP="00AA474F">
            <w:pPr>
              <w:jc w:val="right"/>
              <w:rPr>
                <w:color w:val="000000"/>
                <w:sz w:val="18"/>
                <w:szCs w:val="18"/>
              </w:rPr>
            </w:pPr>
            <w:r>
              <w:rPr>
                <w:color w:val="000000"/>
                <w:sz w:val="18"/>
                <w:szCs w:val="18"/>
                <w:lang w:val="fr"/>
              </w:rPr>
              <w:t>146,0</w:t>
            </w:r>
          </w:p>
        </w:tc>
        <w:tc>
          <w:tcPr>
            <w:tcW w:w="508" w:type="pct"/>
            <w:tcBorders>
              <w:top w:val="single" w:sz="4" w:space="0" w:color="auto"/>
              <w:left w:val="nil"/>
              <w:bottom w:val="single" w:sz="4" w:space="0" w:color="auto"/>
              <w:right w:val="single" w:sz="4" w:space="0" w:color="auto"/>
            </w:tcBorders>
            <w:shd w:val="clear" w:color="auto" w:fill="auto"/>
            <w:noWrap/>
            <w:vAlign w:val="bottom"/>
          </w:tcPr>
          <w:p w14:paraId="3546911F" w14:textId="62540117" w:rsidR="00AA474F" w:rsidRPr="001277B2" w:rsidRDefault="00AA474F" w:rsidP="00AA474F">
            <w:pPr>
              <w:jc w:val="right"/>
              <w:rPr>
                <w:color w:val="000000"/>
                <w:sz w:val="18"/>
                <w:szCs w:val="18"/>
              </w:rPr>
            </w:pPr>
            <w:r>
              <w:rPr>
                <w:color w:val="000000"/>
                <w:sz w:val="18"/>
                <w:szCs w:val="18"/>
                <w:lang w:val="fr"/>
              </w:rPr>
              <w:t>73,0</w:t>
            </w:r>
          </w:p>
        </w:tc>
        <w:tc>
          <w:tcPr>
            <w:tcW w:w="507" w:type="pct"/>
            <w:tcBorders>
              <w:top w:val="single" w:sz="4" w:space="0" w:color="auto"/>
              <w:left w:val="nil"/>
              <w:bottom w:val="single" w:sz="4" w:space="0" w:color="auto"/>
              <w:right w:val="single" w:sz="4" w:space="0" w:color="auto"/>
            </w:tcBorders>
            <w:shd w:val="clear" w:color="auto" w:fill="auto"/>
            <w:noWrap/>
            <w:vAlign w:val="bottom"/>
          </w:tcPr>
          <w:p w14:paraId="6F3A17A5" w14:textId="560A7187" w:rsidR="00AA474F" w:rsidRPr="001277B2" w:rsidRDefault="00AA474F" w:rsidP="00AA474F">
            <w:pPr>
              <w:jc w:val="right"/>
              <w:rPr>
                <w:color w:val="000000"/>
                <w:sz w:val="18"/>
                <w:szCs w:val="18"/>
              </w:rPr>
            </w:pPr>
            <w:r>
              <w:rPr>
                <w:color w:val="000000"/>
                <w:sz w:val="18"/>
                <w:szCs w:val="18"/>
                <w:lang w:val="fr"/>
              </w:rPr>
              <w:t>5,6</w:t>
            </w:r>
          </w:p>
        </w:tc>
      </w:tr>
      <w:tr w:rsidR="00AA474F" w:rsidRPr="001277B2" w14:paraId="364950E8"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6D5F7336" w14:textId="77777777" w:rsidR="00AA474F" w:rsidRPr="001277B2" w:rsidRDefault="00AA474F" w:rsidP="00AA474F">
            <w:pPr>
              <w:jc w:val="left"/>
              <w:rPr>
                <w:color w:val="000000"/>
                <w:sz w:val="18"/>
                <w:szCs w:val="18"/>
              </w:rPr>
            </w:pPr>
            <w:r>
              <w:rPr>
                <w:color w:val="000000"/>
                <w:sz w:val="18"/>
                <w:szCs w:val="18"/>
                <w:lang w:val="fr"/>
              </w:rPr>
              <w:t>Chine</w:t>
            </w:r>
          </w:p>
        </w:tc>
        <w:tc>
          <w:tcPr>
            <w:tcW w:w="508" w:type="pct"/>
            <w:tcBorders>
              <w:top w:val="nil"/>
              <w:left w:val="single" w:sz="4" w:space="0" w:color="auto"/>
              <w:bottom w:val="single" w:sz="4" w:space="0" w:color="auto"/>
              <w:right w:val="single" w:sz="4" w:space="0" w:color="auto"/>
            </w:tcBorders>
            <w:shd w:val="clear" w:color="auto" w:fill="auto"/>
            <w:noWrap/>
            <w:vAlign w:val="bottom"/>
          </w:tcPr>
          <w:p w14:paraId="01D3C0A1" w14:textId="759920EE" w:rsidR="00AA474F" w:rsidRPr="001277B2" w:rsidRDefault="00AA474F" w:rsidP="00AA474F">
            <w:pPr>
              <w:jc w:val="right"/>
              <w:rPr>
                <w:color w:val="000000"/>
                <w:sz w:val="18"/>
                <w:szCs w:val="18"/>
              </w:rPr>
            </w:pPr>
            <w:r>
              <w:rPr>
                <w:color w:val="000000"/>
                <w:sz w:val="18"/>
                <w:szCs w:val="18"/>
                <w:lang w:val="fr"/>
              </w:rPr>
              <w:t>29 121,9</w:t>
            </w:r>
          </w:p>
        </w:tc>
        <w:tc>
          <w:tcPr>
            <w:tcW w:w="508" w:type="pct"/>
            <w:tcBorders>
              <w:top w:val="nil"/>
              <w:left w:val="nil"/>
              <w:bottom w:val="single" w:sz="4" w:space="0" w:color="auto"/>
              <w:right w:val="single" w:sz="4" w:space="0" w:color="auto"/>
            </w:tcBorders>
            <w:shd w:val="clear" w:color="auto" w:fill="auto"/>
            <w:vAlign w:val="bottom"/>
          </w:tcPr>
          <w:p w14:paraId="33918415" w14:textId="7474A9C0" w:rsidR="00AA474F" w:rsidRPr="001277B2" w:rsidRDefault="00AA474F" w:rsidP="00AA474F">
            <w:pPr>
              <w:jc w:val="right"/>
              <w:rPr>
                <w:sz w:val="18"/>
                <w:szCs w:val="18"/>
              </w:rPr>
            </w:pPr>
            <w:r>
              <w:rPr>
                <w:color w:val="000000"/>
                <w:sz w:val="18"/>
                <w:szCs w:val="18"/>
                <w:lang w:val="fr"/>
              </w:rPr>
              <w:t>21 898,4</w:t>
            </w:r>
          </w:p>
        </w:tc>
        <w:tc>
          <w:tcPr>
            <w:tcW w:w="508" w:type="pct"/>
            <w:tcBorders>
              <w:top w:val="nil"/>
              <w:left w:val="nil"/>
              <w:bottom w:val="single" w:sz="4" w:space="0" w:color="auto"/>
              <w:right w:val="single" w:sz="4" w:space="0" w:color="auto"/>
            </w:tcBorders>
            <w:shd w:val="clear" w:color="auto" w:fill="auto"/>
            <w:noWrap/>
            <w:vAlign w:val="bottom"/>
          </w:tcPr>
          <w:p w14:paraId="7084D7D2" w14:textId="512DE4AA" w:rsidR="00AA474F" w:rsidRPr="001277B2" w:rsidRDefault="00AA474F" w:rsidP="00AA474F">
            <w:pPr>
              <w:jc w:val="right"/>
              <w:rPr>
                <w:color w:val="000000"/>
                <w:sz w:val="18"/>
                <w:szCs w:val="18"/>
              </w:rPr>
            </w:pPr>
            <w:r>
              <w:rPr>
                <w:color w:val="000000"/>
                <w:sz w:val="18"/>
                <w:szCs w:val="18"/>
                <w:lang w:val="fr"/>
              </w:rPr>
              <w:t>20 754,0</w:t>
            </w:r>
          </w:p>
        </w:tc>
        <w:tc>
          <w:tcPr>
            <w:tcW w:w="508" w:type="pct"/>
            <w:tcBorders>
              <w:top w:val="nil"/>
              <w:left w:val="nil"/>
              <w:bottom w:val="single" w:sz="4" w:space="0" w:color="auto"/>
              <w:right w:val="single" w:sz="4" w:space="0" w:color="auto"/>
            </w:tcBorders>
            <w:shd w:val="clear" w:color="auto" w:fill="auto"/>
            <w:noWrap/>
            <w:vAlign w:val="bottom"/>
          </w:tcPr>
          <w:p w14:paraId="33587AFE" w14:textId="7028C177" w:rsidR="00AA474F" w:rsidRPr="001277B2" w:rsidRDefault="00AA474F" w:rsidP="00AA474F">
            <w:pPr>
              <w:jc w:val="right"/>
              <w:rPr>
                <w:color w:val="000000"/>
                <w:sz w:val="18"/>
                <w:szCs w:val="18"/>
              </w:rPr>
            </w:pPr>
            <w:r>
              <w:rPr>
                <w:color w:val="000000"/>
                <w:sz w:val="18"/>
                <w:szCs w:val="18"/>
                <w:lang w:val="fr"/>
              </w:rPr>
              <w:t>71,3 %</w:t>
            </w:r>
          </w:p>
        </w:tc>
        <w:tc>
          <w:tcPr>
            <w:tcW w:w="508" w:type="pct"/>
            <w:tcBorders>
              <w:top w:val="nil"/>
              <w:left w:val="nil"/>
              <w:bottom w:val="single" w:sz="4" w:space="0" w:color="auto"/>
              <w:right w:val="single" w:sz="4" w:space="0" w:color="auto"/>
            </w:tcBorders>
            <w:shd w:val="clear" w:color="auto" w:fill="auto"/>
            <w:noWrap/>
            <w:vAlign w:val="bottom"/>
          </w:tcPr>
          <w:p w14:paraId="647324BC" w14:textId="635083A8" w:rsidR="00AA474F" w:rsidRPr="001277B2" w:rsidRDefault="00AA474F" w:rsidP="00AA474F">
            <w:pPr>
              <w:jc w:val="right"/>
              <w:rPr>
                <w:color w:val="000000"/>
                <w:sz w:val="18"/>
                <w:szCs w:val="18"/>
              </w:rPr>
            </w:pPr>
            <w:r>
              <w:rPr>
                <w:color w:val="000000"/>
                <w:sz w:val="18"/>
                <w:szCs w:val="18"/>
                <w:lang w:val="fr"/>
              </w:rPr>
              <w:t>18 929,3</w:t>
            </w:r>
          </w:p>
        </w:tc>
        <w:tc>
          <w:tcPr>
            <w:tcW w:w="508" w:type="pct"/>
            <w:tcBorders>
              <w:top w:val="nil"/>
              <w:left w:val="nil"/>
              <w:bottom w:val="single" w:sz="4" w:space="0" w:color="auto"/>
              <w:right w:val="single" w:sz="4" w:space="0" w:color="auto"/>
            </w:tcBorders>
            <w:shd w:val="clear" w:color="auto" w:fill="auto"/>
            <w:noWrap/>
            <w:vAlign w:val="bottom"/>
          </w:tcPr>
          <w:p w14:paraId="30551E8F" w14:textId="47BE83EE" w:rsidR="00AA474F" w:rsidRPr="001277B2" w:rsidRDefault="00AA474F" w:rsidP="00AA474F">
            <w:pPr>
              <w:jc w:val="right"/>
              <w:rPr>
                <w:color w:val="000000"/>
                <w:sz w:val="18"/>
                <w:szCs w:val="18"/>
              </w:rPr>
            </w:pPr>
            <w:r>
              <w:rPr>
                <w:color w:val="000000"/>
                <w:sz w:val="18"/>
                <w:szCs w:val="18"/>
                <w:lang w:val="fr"/>
              </w:rPr>
              <w:t>9 464,6</w:t>
            </w:r>
          </w:p>
        </w:tc>
        <w:tc>
          <w:tcPr>
            <w:tcW w:w="507" w:type="pct"/>
            <w:tcBorders>
              <w:top w:val="nil"/>
              <w:left w:val="nil"/>
              <w:bottom w:val="single" w:sz="4" w:space="0" w:color="auto"/>
              <w:right w:val="single" w:sz="4" w:space="0" w:color="auto"/>
            </w:tcBorders>
            <w:shd w:val="clear" w:color="auto" w:fill="auto"/>
            <w:noWrap/>
            <w:vAlign w:val="bottom"/>
          </w:tcPr>
          <w:p w14:paraId="4C821AC2" w14:textId="67544DE0" w:rsidR="00AA474F" w:rsidRPr="001277B2" w:rsidRDefault="00AA474F" w:rsidP="00AA474F">
            <w:pPr>
              <w:jc w:val="right"/>
              <w:rPr>
                <w:color w:val="000000"/>
                <w:sz w:val="18"/>
                <w:szCs w:val="18"/>
              </w:rPr>
            </w:pPr>
            <w:r>
              <w:rPr>
                <w:color w:val="000000"/>
                <w:sz w:val="18"/>
                <w:szCs w:val="18"/>
                <w:lang w:val="fr"/>
              </w:rPr>
              <w:t>728,0</w:t>
            </w:r>
          </w:p>
        </w:tc>
      </w:tr>
      <w:tr w:rsidR="00AA474F" w:rsidRPr="001277B2" w14:paraId="08A6E02C"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35B1923F" w14:textId="77777777" w:rsidR="00AA474F" w:rsidRPr="005703FE" w:rsidRDefault="00AA474F" w:rsidP="00AA474F">
            <w:pPr>
              <w:jc w:val="left"/>
              <w:rPr>
                <w:color w:val="000000"/>
                <w:sz w:val="18"/>
                <w:szCs w:val="18"/>
                <w:lang w:val="fr-FR"/>
              </w:rPr>
            </w:pPr>
            <w:r>
              <w:rPr>
                <w:color w:val="000000"/>
                <w:sz w:val="18"/>
                <w:szCs w:val="18"/>
                <w:lang w:val="fr"/>
              </w:rPr>
              <w:t>République populaire démocratique de Corée</w:t>
            </w:r>
          </w:p>
        </w:tc>
        <w:tc>
          <w:tcPr>
            <w:tcW w:w="50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8445D0A" w14:textId="22EACBDB" w:rsidR="00AA474F" w:rsidRPr="001277B2" w:rsidRDefault="00AA474F" w:rsidP="00AA474F">
            <w:pPr>
              <w:jc w:val="right"/>
              <w:rPr>
                <w:color w:val="000000"/>
                <w:sz w:val="18"/>
                <w:szCs w:val="18"/>
              </w:rPr>
            </w:pPr>
            <w:r>
              <w:rPr>
                <w:color w:val="000000"/>
                <w:sz w:val="18"/>
                <w:szCs w:val="18"/>
                <w:lang w:val="fr"/>
              </w:rPr>
              <w:t>27,6</w:t>
            </w:r>
          </w:p>
        </w:tc>
        <w:tc>
          <w:tcPr>
            <w:tcW w:w="508" w:type="pct"/>
            <w:tcBorders>
              <w:top w:val="single" w:sz="4" w:space="0" w:color="auto"/>
              <w:left w:val="nil"/>
              <w:bottom w:val="single" w:sz="4" w:space="0" w:color="auto"/>
              <w:right w:val="single" w:sz="4" w:space="0" w:color="auto"/>
            </w:tcBorders>
            <w:shd w:val="clear" w:color="auto" w:fill="auto"/>
            <w:vAlign w:val="bottom"/>
          </w:tcPr>
          <w:p w14:paraId="71B246E2" w14:textId="74A4B265" w:rsidR="00AA474F" w:rsidRPr="001277B2" w:rsidRDefault="00AA474F" w:rsidP="00AA474F">
            <w:pPr>
              <w:jc w:val="right"/>
              <w:rPr>
                <w:sz w:val="18"/>
                <w:szCs w:val="18"/>
              </w:rPr>
            </w:pPr>
            <w:r>
              <w:rPr>
                <w:color w:val="000000"/>
                <w:sz w:val="18"/>
                <w:szCs w:val="18"/>
                <w:lang w:val="fr"/>
              </w:rPr>
              <w:t>27,4</w:t>
            </w:r>
          </w:p>
        </w:tc>
        <w:tc>
          <w:tcPr>
            <w:tcW w:w="508" w:type="pct"/>
            <w:tcBorders>
              <w:top w:val="single" w:sz="4" w:space="0" w:color="auto"/>
              <w:left w:val="nil"/>
              <w:bottom w:val="single" w:sz="4" w:space="0" w:color="auto"/>
              <w:right w:val="single" w:sz="4" w:space="0" w:color="auto"/>
            </w:tcBorders>
            <w:shd w:val="clear" w:color="auto" w:fill="auto"/>
            <w:noWrap/>
            <w:vAlign w:val="bottom"/>
          </w:tcPr>
          <w:p w14:paraId="5F564EDA" w14:textId="19B1FB99" w:rsidR="00AA474F" w:rsidRPr="001277B2" w:rsidRDefault="00AA474F" w:rsidP="00AA474F">
            <w:pPr>
              <w:jc w:val="right"/>
              <w:rPr>
                <w:color w:val="000000"/>
                <w:sz w:val="18"/>
                <w:szCs w:val="18"/>
              </w:rPr>
            </w:pPr>
            <w:r>
              <w:rPr>
                <w:color w:val="000000"/>
                <w:sz w:val="18"/>
                <w:szCs w:val="18"/>
                <w:lang w:val="fr"/>
              </w:rPr>
              <w:t>-</w:t>
            </w:r>
          </w:p>
        </w:tc>
        <w:tc>
          <w:tcPr>
            <w:tcW w:w="508" w:type="pct"/>
            <w:tcBorders>
              <w:top w:val="single" w:sz="4" w:space="0" w:color="auto"/>
              <w:left w:val="nil"/>
              <w:bottom w:val="single" w:sz="4" w:space="0" w:color="auto"/>
              <w:right w:val="single" w:sz="4" w:space="0" w:color="auto"/>
            </w:tcBorders>
            <w:shd w:val="clear" w:color="auto" w:fill="auto"/>
            <w:noWrap/>
            <w:vAlign w:val="bottom"/>
          </w:tcPr>
          <w:p w14:paraId="0D1BD9B0" w14:textId="321522C1" w:rsidR="00AA474F" w:rsidRPr="001277B2" w:rsidRDefault="00AA474F" w:rsidP="00AA474F">
            <w:pPr>
              <w:jc w:val="right"/>
              <w:rPr>
                <w:color w:val="000000"/>
                <w:sz w:val="18"/>
                <w:szCs w:val="18"/>
              </w:rPr>
            </w:pPr>
            <w:r>
              <w:rPr>
                <w:color w:val="000000"/>
                <w:sz w:val="18"/>
                <w:szCs w:val="18"/>
                <w:lang w:val="fr"/>
              </w:rPr>
              <w:t>0,0 %</w:t>
            </w:r>
          </w:p>
        </w:tc>
        <w:tc>
          <w:tcPr>
            <w:tcW w:w="508" w:type="pct"/>
            <w:tcBorders>
              <w:top w:val="single" w:sz="4" w:space="0" w:color="auto"/>
              <w:left w:val="nil"/>
              <w:bottom w:val="single" w:sz="4" w:space="0" w:color="auto"/>
              <w:right w:val="single" w:sz="4" w:space="0" w:color="auto"/>
            </w:tcBorders>
            <w:shd w:val="clear" w:color="auto" w:fill="auto"/>
            <w:noWrap/>
            <w:vAlign w:val="bottom"/>
          </w:tcPr>
          <w:p w14:paraId="007AFC46" w14:textId="197D9AEB" w:rsidR="00AA474F" w:rsidRPr="001277B2" w:rsidRDefault="00AA474F" w:rsidP="00AA474F">
            <w:pPr>
              <w:jc w:val="right"/>
              <w:rPr>
                <w:color w:val="000000"/>
                <w:sz w:val="18"/>
                <w:szCs w:val="18"/>
              </w:rPr>
            </w:pPr>
            <w:r>
              <w:rPr>
                <w:color w:val="000000"/>
                <w:sz w:val="18"/>
                <w:szCs w:val="18"/>
                <w:lang w:val="fr"/>
              </w:rPr>
              <w:t>17,9</w:t>
            </w:r>
          </w:p>
        </w:tc>
        <w:tc>
          <w:tcPr>
            <w:tcW w:w="508" w:type="pct"/>
            <w:tcBorders>
              <w:top w:val="single" w:sz="4" w:space="0" w:color="auto"/>
              <w:left w:val="nil"/>
              <w:bottom w:val="single" w:sz="4" w:space="0" w:color="auto"/>
              <w:right w:val="single" w:sz="4" w:space="0" w:color="auto"/>
            </w:tcBorders>
            <w:shd w:val="clear" w:color="auto" w:fill="auto"/>
            <w:noWrap/>
            <w:vAlign w:val="bottom"/>
          </w:tcPr>
          <w:p w14:paraId="092CB9E9" w14:textId="3BAA0DA0" w:rsidR="00AA474F" w:rsidRPr="001277B2" w:rsidRDefault="00AA474F" w:rsidP="00AA474F">
            <w:pPr>
              <w:jc w:val="right"/>
              <w:rPr>
                <w:color w:val="000000"/>
                <w:sz w:val="18"/>
                <w:szCs w:val="18"/>
              </w:rPr>
            </w:pPr>
            <w:r>
              <w:rPr>
                <w:color w:val="000000"/>
                <w:sz w:val="18"/>
                <w:szCs w:val="18"/>
                <w:lang w:val="fr"/>
              </w:rPr>
              <w:t>9,0</w:t>
            </w:r>
          </w:p>
        </w:tc>
        <w:tc>
          <w:tcPr>
            <w:tcW w:w="507" w:type="pct"/>
            <w:tcBorders>
              <w:top w:val="single" w:sz="4" w:space="0" w:color="auto"/>
              <w:left w:val="nil"/>
              <w:bottom w:val="single" w:sz="4" w:space="0" w:color="auto"/>
              <w:right w:val="single" w:sz="4" w:space="0" w:color="auto"/>
            </w:tcBorders>
            <w:shd w:val="clear" w:color="auto" w:fill="auto"/>
            <w:noWrap/>
            <w:vAlign w:val="bottom"/>
          </w:tcPr>
          <w:p w14:paraId="4F83A6E8" w14:textId="074F3968" w:rsidR="00AA474F" w:rsidRPr="001277B2" w:rsidRDefault="00AA474F" w:rsidP="00AA474F">
            <w:pPr>
              <w:jc w:val="right"/>
              <w:rPr>
                <w:color w:val="000000"/>
                <w:sz w:val="18"/>
                <w:szCs w:val="18"/>
              </w:rPr>
            </w:pPr>
            <w:r>
              <w:rPr>
                <w:color w:val="000000"/>
                <w:sz w:val="18"/>
                <w:szCs w:val="18"/>
                <w:lang w:val="fr"/>
              </w:rPr>
              <w:t>0,7</w:t>
            </w:r>
          </w:p>
        </w:tc>
      </w:tr>
      <w:tr w:rsidR="00AA474F" w:rsidRPr="001277B2" w14:paraId="1E805C79"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04F2B787" w14:textId="77777777" w:rsidR="00AA474F" w:rsidRPr="001277B2" w:rsidRDefault="00AA474F" w:rsidP="00AA474F">
            <w:pPr>
              <w:jc w:val="left"/>
              <w:rPr>
                <w:color w:val="000000"/>
                <w:sz w:val="18"/>
                <w:szCs w:val="18"/>
              </w:rPr>
            </w:pPr>
            <w:r>
              <w:rPr>
                <w:color w:val="000000"/>
                <w:sz w:val="18"/>
                <w:szCs w:val="18"/>
                <w:lang w:val="fr"/>
              </w:rPr>
              <w:t>Inde</w:t>
            </w:r>
          </w:p>
        </w:tc>
        <w:tc>
          <w:tcPr>
            <w:tcW w:w="508" w:type="pct"/>
            <w:tcBorders>
              <w:top w:val="nil"/>
              <w:left w:val="single" w:sz="4" w:space="0" w:color="auto"/>
              <w:bottom w:val="single" w:sz="4" w:space="0" w:color="auto"/>
              <w:right w:val="single" w:sz="4" w:space="0" w:color="auto"/>
            </w:tcBorders>
            <w:shd w:val="clear" w:color="auto" w:fill="auto"/>
            <w:noWrap/>
            <w:vAlign w:val="bottom"/>
          </w:tcPr>
          <w:p w14:paraId="6E776AB7" w14:textId="6A284860" w:rsidR="00AA474F" w:rsidRPr="001277B2" w:rsidRDefault="00AA474F" w:rsidP="00AA474F">
            <w:pPr>
              <w:jc w:val="right"/>
              <w:rPr>
                <w:color w:val="000000"/>
                <w:sz w:val="18"/>
                <w:szCs w:val="18"/>
              </w:rPr>
            </w:pPr>
            <w:r>
              <w:rPr>
                <w:color w:val="000000"/>
                <w:sz w:val="18"/>
                <w:szCs w:val="18"/>
                <w:lang w:val="fr"/>
              </w:rPr>
              <w:t>2 399,5</w:t>
            </w:r>
          </w:p>
        </w:tc>
        <w:tc>
          <w:tcPr>
            <w:tcW w:w="508" w:type="pct"/>
            <w:tcBorders>
              <w:top w:val="nil"/>
              <w:left w:val="nil"/>
              <w:bottom w:val="single" w:sz="4" w:space="0" w:color="auto"/>
              <w:right w:val="single" w:sz="4" w:space="0" w:color="auto"/>
            </w:tcBorders>
            <w:shd w:val="clear" w:color="auto" w:fill="auto"/>
            <w:vAlign w:val="bottom"/>
          </w:tcPr>
          <w:p w14:paraId="7645E2EB" w14:textId="5363711A" w:rsidR="00AA474F" w:rsidRPr="001277B2" w:rsidRDefault="00AA474F" w:rsidP="00AA474F">
            <w:pPr>
              <w:jc w:val="right"/>
              <w:rPr>
                <w:sz w:val="18"/>
                <w:szCs w:val="18"/>
              </w:rPr>
            </w:pPr>
            <w:r>
              <w:rPr>
                <w:color w:val="000000"/>
                <w:sz w:val="18"/>
                <w:szCs w:val="18"/>
                <w:lang w:val="fr"/>
              </w:rPr>
              <w:t>1 727,6</w:t>
            </w:r>
          </w:p>
        </w:tc>
        <w:tc>
          <w:tcPr>
            <w:tcW w:w="508" w:type="pct"/>
            <w:tcBorders>
              <w:top w:val="nil"/>
              <w:left w:val="nil"/>
              <w:bottom w:val="single" w:sz="4" w:space="0" w:color="auto"/>
              <w:right w:val="single" w:sz="4" w:space="0" w:color="auto"/>
            </w:tcBorders>
            <w:shd w:val="clear" w:color="auto" w:fill="auto"/>
            <w:noWrap/>
            <w:vAlign w:val="bottom"/>
          </w:tcPr>
          <w:p w14:paraId="721F35B3" w14:textId="1EC5C12B" w:rsidR="00AA474F" w:rsidRPr="001277B2" w:rsidRDefault="00AA474F" w:rsidP="00AA474F">
            <w:pPr>
              <w:jc w:val="right"/>
              <w:rPr>
                <w:color w:val="000000"/>
                <w:sz w:val="18"/>
                <w:szCs w:val="18"/>
              </w:rPr>
            </w:pPr>
            <w:r>
              <w:rPr>
                <w:color w:val="000000"/>
                <w:sz w:val="18"/>
                <w:szCs w:val="18"/>
                <w:lang w:val="fr"/>
              </w:rPr>
              <w:t>1 874,4</w:t>
            </w:r>
          </w:p>
        </w:tc>
        <w:tc>
          <w:tcPr>
            <w:tcW w:w="508" w:type="pct"/>
            <w:tcBorders>
              <w:top w:val="nil"/>
              <w:left w:val="nil"/>
              <w:bottom w:val="single" w:sz="4" w:space="0" w:color="auto"/>
              <w:right w:val="single" w:sz="4" w:space="0" w:color="auto"/>
            </w:tcBorders>
            <w:shd w:val="clear" w:color="auto" w:fill="auto"/>
            <w:noWrap/>
            <w:vAlign w:val="bottom"/>
          </w:tcPr>
          <w:p w14:paraId="325BF642" w14:textId="3A652251" w:rsidR="00AA474F" w:rsidRPr="001277B2" w:rsidRDefault="00AA474F" w:rsidP="00AA474F">
            <w:pPr>
              <w:jc w:val="right"/>
              <w:rPr>
                <w:color w:val="000000"/>
                <w:sz w:val="18"/>
                <w:szCs w:val="18"/>
              </w:rPr>
            </w:pPr>
            <w:r>
              <w:rPr>
                <w:color w:val="000000"/>
                <w:sz w:val="18"/>
                <w:szCs w:val="18"/>
                <w:lang w:val="fr"/>
              </w:rPr>
              <w:t>78,1 %</w:t>
            </w:r>
          </w:p>
        </w:tc>
        <w:tc>
          <w:tcPr>
            <w:tcW w:w="508" w:type="pct"/>
            <w:tcBorders>
              <w:top w:val="nil"/>
              <w:left w:val="nil"/>
              <w:bottom w:val="single" w:sz="4" w:space="0" w:color="auto"/>
              <w:right w:val="single" w:sz="4" w:space="0" w:color="auto"/>
            </w:tcBorders>
            <w:shd w:val="clear" w:color="auto" w:fill="auto"/>
            <w:noWrap/>
            <w:vAlign w:val="bottom"/>
          </w:tcPr>
          <w:p w14:paraId="0D0320EA" w14:textId="72E80C5C" w:rsidR="00AA474F" w:rsidRPr="001277B2" w:rsidRDefault="00AA474F" w:rsidP="00AA474F">
            <w:pPr>
              <w:jc w:val="right"/>
              <w:rPr>
                <w:color w:val="000000"/>
                <w:sz w:val="18"/>
                <w:szCs w:val="18"/>
              </w:rPr>
            </w:pPr>
            <w:r>
              <w:rPr>
                <w:color w:val="000000"/>
                <w:sz w:val="18"/>
                <w:szCs w:val="18"/>
                <w:lang w:val="fr"/>
              </w:rPr>
              <w:t>1 559,7</w:t>
            </w:r>
          </w:p>
        </w:tc>
        <w:tc>
          <w:tcPr>
            <w:tcW w:w="508" w:type="pct"/>
            <w:tcBorders>
              <w:top w:val="nil"/>
              <w:left w:val="nil"/>
              <w:bottom w:val="single" w:sz="4" w:space="0" w:color="auto"/>
              <w:right w:val="single" w:sz="4" w:space="0" w:color="auto"/>
            </w:tcBorders>
            <w:shd w:val="clear" w:color="auto" w:fill="auto"/>
            <w:noWrap/>
            <w:vAlign w:val="bottom"/>
          </w:tcPr>
          <w:p w14:paraId="4C1269CE" w14:textId="694AADBD" w:rsidR="00AA474F" w:rsidRPr="001277B2" w:rsidRDefault="00AA474F" w:rsidP="00AA474F">
            <w:pPr>
              <w:jc w:val="right"/>
              <w:rPr>
                <w:color w:val="000000"/>
                <w:sz w:val="18"/>
                <w:szCs w:val="18"/>
              </w:rPr>
            </w:pPr>
            <w:r>
              <w:rPr>
                <w:color w:val="000000"/>
                <w:sz w:val="18"/>
                <w:szCs w:val="18"/>
                <w:lang w:val="fr"/>
              </w:rPr>
              <w:t>779,8</w:t>
            </w:r>
          </w:p>
        </w:tc>
        <w:tc>
          <w:tcPr>
            <w:tcW w:w="507" w:type="pct"/>
            <w:tcBorders>
              <w:top w:val="nil"/>
              <w:left w:val="nil"/>
              <w:bottom w:val="single" w:sz="4" w:space="0" w:color="auto"/>
              <w:right w:val="single" w:sz="4" w:space="0" w:color="auto"/>
            </w:tcBorders>
            <w:shd w:val="clear" w:color="auto" w:fill="auto"/>
            <w:noWrap/>
            <w:vAlign w:val="bottom"/>
          </w:tcPr>
          <w:p w14:paraId="7971D189" w14:textId="7650ED29" w:rsidR="00AA474F" w:rsidRPr="001277B2" w:rsidRDefault="00AA474F" w:rsidP="00AA474F">
            <w:pPr>
              <w:jc w:val="right"/>
              <w:rPr>
                <w:color w:val="000000"/>
                <w:sz w:val="18"/>
                <w:szCs w:val="18"/>
              </w:rPr>
            </w:pPr>
            <w:r>
              <w:rPr>
                <w:color w:val="000000"/>
                <w:sz w:val="18"/>
                <w:szCs w:val="18"/>
                <w:lang w:val="fr"/>
              </w:rPr>
              <w:t>60,0</w:t>
            </w:r>
          </w:p>
        </w:tc>
      </w:tr>
      <w:tr w:rsidR="00AA474F" w:rsidRPr="001277B2" w14:paraId="3CFEFABF"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3D68506B" w14:textId="77777777" w:rsidR="00AA474F" w:rsidRPr="001277B2" w:rsidRDefault="00AA474F" w:rsidP="00AA474F">
            <w:pPr>
              <w:jc w:val="left"/>
              <w:rPr>
                <w:color w:val="000000"/>
                <w:sz w:val="18"/>
                <w:szCs w:val="18"/>
              </w:rPr>
            </w:pPr>
            <w:r>
              <w:rPr>
                <w:color w:val="000000"/>
                <w:sz w:val="18"/>
                <w:szCs w:val="18"/>
                <w:lang w:val="fr"/>
              </w:rPr>
              <w:t>Mexique</w:t>
            </w:r>
          </w:p>
        </w:tc>
        <w:tc>
          <w:tcPr>
            <w:tcW w:w="508" w:type="pct"/>
            <w:tcBorders>
              <w:top w:val="nil"/>
              <w:left w:val="single" w:sz="4" w:space="0" w:color="auto"/>
              <w:bottom w:val="single" w:sz="4" w:space="0" w:color="auto"/>
              <w:right w:val="single" w:sz="4" w:space="0" w:color="auto"/>
            </w:tcBorders>
            <w:shd w:val="clear" w:color="auto" w:fill="auto"/>
            <w:noWrap/>
            <w:vAlign w:val="bottom"/>
          </w:tcPr>
          <w:p w14:paraId="65E1F721" w14:textId="3E11ED55" w:rsidR="00AA474F" w:rsidRPr="001277B2" w:rsidRDefault="00AA474F" w:rsidP="00AA474F">
            <w:pPr>
              <w:jc w:val="right"/>
              <w:rPr>
                <w:color w:val="000000"/>
                <w:sz w:val="18"/>
                <w:szCs w:val="18"/>
              </w:rPr>
            </w:pPr>
            <w:r>
              <w:rPr>
                <w:color w:val="000000"/>
                <w:sz w:val="18"/>
                <w:szCs w:val="18"/>
                <w:lang w:val="fr"/>
              </w:rPr>
              <w:t>697,0</w:t>
            </w:r>
          </w:p>
        </w:tc>
        <w:tc>
          <w:tcPr>
            <w:tcW w:w="508" w:type="pct"/>
            <w:tcBorders>
              <w:top w:val="nil"/>
              <w:left w:val="nil"/>
              <w:bottom w:val="single" w:sz="4" w:space="0" w:color="auto"/>
              <w:right w:val="single" w:sz="4" w:space="0" w:color="auto"/>
            </w:tcBorders>
            <w:shd w:val="clear" w:color="auto" w:fill="auto"/>
            <w:vAlign w:val="bottom"/>
          </w:tcPr>
          <w:p w14:paraId="28D29A29" w14:textId="09F7E0B4" w:rsidR="00AA474F" w:rsidRPr="001277B2" w:rsidRDefault="00AA474F" w:rsidP="00AA474F">
            <w:pPr>
              <w:jc w:val="right"/>
              <w:rPr>
                <w:sz w:val="18"/>
                <w:szCs w:val="18"/>
              </w:rPr>
            </w:pPr>
            <w:r>
              <w:rPr>
                <w:color w:val="000000"/>
                <w:sz w:val="18"/>
                <w:szCs w:val="18"/>
                <w:lang w:val="fr"/>
              </w:rPr>
              <w:t>160,9</w:t>
            </w:r>
          </w:p>
        </w:tc>
        <w:tc>
          <w:tcPr>
            <w:tcW w:w="508" w:type="pct"/>
            <w:tcBorders>
              <w:top w:val="nil"/>
              <w:left w:val="nil"/>
              <w:bottom w:val="single" w:sz="4" w:space="0" w:color="auto"/>
              <w:right w:val="single" w:sz="4" w:space="0" w:color="auto"/>
            </w:tcBorders>
            <w:shd w:val="clear" w:color="auto" w:fill="auto"/>
            <w:noWrap/>
            <w:vAlign w:val="bottom"/>
          </w:tcPr>
          <w:p w14:paraId="3270E353" w14:textId="4DE82BCC" w:rsidR="00AA474F" w:rsidRPr="001277B2" w:rsidRDefault="00AA474F" w:rsidP="00AA474F">
            <w:pPr>
              <w:jc w:val="right"/>
              <w:rPr>
                <w:color w:val="000000"/>
                <w:sz w:val="18"/>
                <w:szCs w:val="18"/>
              </w:rPr>
            </w:pPr>
            <w:r>
              <w:rPr>
                <w:color w:val="000000"/>
                <w:sz w:val="18"/>
                <w:szCs w:val="18"/>
                <w:lang w:val="fr"/>
              </w:rPr>
              <w:t>183,8</w:t>
            </w:r>
          </w:p>
        </w:tc>
        <w:tc>
          <w:tcPr>
            <w:tcW w:w="508" w:type="pct"/>
            <w:tcBorders>
              <w:top w:val="nil"/>
              <w:left w:val="nil"/>
              <w:bottom w:val="single" w:sz="4" w:space="0" w:color="auto"/>
              <w:right w:val="single" w:sz="4" w:space="0" w:color="auto"/>
            </w:tcBorders>
            <w:shd w:val="clear" w:color="auto" w:fill="auto"/>
            <w:noWrap/>
            <w:vAlign w:val="bottom"/>
          </w:tcPr>
          <w:p w14:paraId="2FCDA51F" w14:textId="4589CACC" w:rsidR="00AA474F" w:rsidRPr="001277B2" w:rsidRDefault="00AA474F" w:rsidP="00AA474F">
            <w:pPr>
              <w:jc w:val="right"/>
              <w:rPr>
                <w:color w:val="000000"/>
                <w:sz w:val="18"/>
                <w:szCs w:val="18"/>
              </w:rPr>
            </w:pPr>
            <w:r>
              <w:rPr>
                <w:color w:val="000000"/>
                <w:sz w:val="18"/>
                <w:szCs w:val="18"/>
                <w:lang w:val="fr"/>
              </w:rPr>
              <w:t>26,4 %</w:t>
            </w:r>
          </w:p>
        </w:tc>
        <w:tc>
          <w:tcPr>
            <w:tcW w:w="508" w:type="pct"/>
            <w:tcBorders>
              <w:top w:val="nil"/>
              <w:left w:val="nil"/>
              <w:bottom w:val="single" w:sz="4" w:space="0" w:color="auto"/>
              <w:right w:val="single" w:sz="4" w:space="0" w:color="auto"/>
            </w:tcBorders>
            <w:shd w:val="clear" w:color="auto" w:fill="auto"/>
            <w:noWrap/>
            <w:vAlign w:val="bottom"/>
          </w:tcPr>
          <w:p w14:paraId="7F44520D" w14:textId="14BF33FE" w:rsidR="00AA474F" w:rsidRPr="001277B2" w:rsidRDefault="00AA474F" w:rsidP="00AA474F">
            <w:pPr>
              <w:jc w:val="right"/>
              <w:rPr>
                <w:color w:val="000000"/>
                <w:sz w:val="18"/>
                <w:szCs w:val="18"/>
              </w:rPr>
            </w:pPr>
            <w:r>
              <w:rPr>
                <w:color w:val="000000"/>
                <w:sz w:val="18"/>
                <w:szCs w:val="18"/>
                <w:lang w:val="fr"/>
              </w:rPr>
              <w:t>453,0</w:t>
            </w:r>
          </w:p>
        </w:tc>
        <w:tc>
          <w:tcPr>
            <w:tcW w:w="508" w:type="pct"/>
            <w:tcBorders>
              <w:top w:val="nil"/>
              <w:left w:val="nil"/>
              <w:bottom w:val="single" w:sz="4" w:space="0" w:color="auto"/>
              <w:right w:val="single" w:sz="4" w:space="0" w:color="auto"/>
            </w:tcBorders>
            <w:shd w:val="clear" w:color="auto" w:fill="auto"/>
            <w:noWrap/>
            <w:vAlign w:val="bottom"/>
          </w:tcPr>
          <w:p w14:paraId="7B0CBAF9" w14:textId="097169F7" w:rsidR="00AA474F" w:rsidRPr="001277B2" w:rsidRDefault="00AA474F" w:rsidP="00AA474F">
            <w:pPr>
              <w:jc w:val="right"/>
              <w:rPr>
                <w:color w:val="000000"/>
                <w:sz w:val="18"/>
                <w:szCs w:val="18"/>
              </w:rPr>
            </w:pPr>
            <w:r>
              <w:rPr>
                <w:color w:val="000000"/>
                <w:sz w:val="18"/>
                <w:szCs w:val="18"/>
                <w:lang w:val="fr"/>
              </w:rPr>
              <w:t>226,5</w:t>
            </w:r>
          </w:p>
        </w:tc>
        <w:tc>
          <w:tcPr>
            <w:tcW w:w="507" w:type="pct"/>
            <w:tcBorders>
              <w:top w:val="nil"/>
              <w:left w:val="nil"/>
              <w:bottom w:val="single" w:sz="4" w:space="0" w:color="auto"/>
              <w:right w:val="single" w:sz="4" w:space="0" w:color="auto"/>
            </w:tcBorders>
            <w:shd w:val="clear" w:color="auto" w:fill="auto"/>
            <w:noWrap/>
            <w:vAlign w:val="bottom"/>
          </w:tcPr>
          <w:p w14:paraId="326DE535" w14:textId="565DABC4" w:rsidR="00AA474F" w:rsidRPr="001277B2" w:rsidRDefault="00AA474F" w:rsidP="00AA474F">
            <w:pPr>
              <w:jc w:val="right"/>
              <w:rPr>
                <w:color w:val="000000"/>
                <w:sz w:val="18"/>
                <w:szCs w:val="18"/>
              </w:rPr>
            </w:pPr>
            <w:r>
              <w:rPr>
                <w:color w:val="000000"/>
                <w:sz w:val="18"/>
                <w:szCs w:val="18"/>
                <w:lang w:val="fr"/>
              </w:rPr>
              <w:t>17,4</w:t>
            </w:r>
          </w:p>
        </w:tc>
      </w:tr>
      <w:tr w:rsidR="00AA474F" w:rsidRPr="001277B2" w14:paraId="0427B5BB"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1CE638B9" w14:textId="77777777" w:rsidR="00AA474F" w:rsidRPr="001277B2" w:rsidRDefault="00AA474F" w:rsidP="00AA474F">
            <w:pPr>
              <w:jc w:val="left"/>
              <w:rPr>
                <w:color w:val="000000"/>
                <w:sz w:val="18"/>
                <w:szCs w:val="18"/>
              </w:rPr>
            </w:pPr>
            <w:r>
              <w:rPr>
                <w:color w:val="000000"/>
                <w:sz w:val="18"/>
                <w:szCs w:val="18"/>
                <w:lang w:val="fr"/>
              </w:rPr>
              <w:t>République de Corée***</w:t>
            </w:r>
          </w:p>
        </w:tc>
        <w:tc>
          <w:tcPr>
            <w:tcW w:w="508" w:type="pct"/>
            <w:tcBorders>
              <w:top w:val="nil"/>
              <w:left w:val="single" w:sz="4" w:space="0" w:color="auto"/>
              <w:bottom w:val="single" w:sz="4" w:space="0" w:color="auto"/>
              <w:right w:val="single" w:sz="4" w:space="0" w:color="auto"/>
            </w:tcBorders>
            <w:shd w:val="clear" w:color="auto" w:fill="auto"/>
            <w:noWrap/>
            <w:vAlign w:val="bottom"/>
          </w:tcPr>
          <w:p w14:paraId="471AC1AF" w14:textId="4952136B" w:rsidR="00AA474F" w:rsidRPr="001277B2" w:rsidRDefault="00AA474F" w:rsidP="00AA474F">
            <w:pPr>
              <w:jc w:val="right"/>
              <w:rPr>
                <w:color w:val="000000"/>
                <w:sz w:val="18"/>
                <w:szCs w:val="18"/>
              </w:rPr>
            </w:pPr>
            <w:r>
              <w:rPr>
                <w:color w:val="000000"/>
                <w:sz w:val="18"/>
                <w:szCs w:val="18"/>
                <w:lang w:val="fr"/>
              </w:rPr>
              <w:t>395,1</w:t>
            </w:r>
          </w:p>
        </w:tc>
        <w:tc>
          <w:tcPr>
            <w:tcW w:w="508" w:type="pct"/>
            <w:tcBorders>
              <w:top w:val="nil"/>
              <w:left w:val="nil"/>
              <w:bottom w:val="single" w:sz="4" w:space="0" w:color="auto"/>
              <w:right w:val="single" w:sz="4" w:space="0" w:color="auto"/>
            </w:tcBorders>
            <w:shd w:val="clear" w:color="auto" w:fill="auto"/>
            <w:vAlign w:val="bottom"/>
          </w:tcPr>
          <w:p w14:paraId="6885446B" w14:textId="154275F0" w:rsidR="00AA474F" w:rsidRPr="001277B2" w:rsidRDefault="00AA474F" w:rsidP="00AA474F">
            <w:pPr>
              <w:jc w:val="right"/>
              <w:rPr>
                <w:sz w:val="18"/>
                <w:szCs w:val="18"/>
              </w:rPr>
            </w:pPr>
            <w:r>
              <w:rPr>
                <w:color w:val="000000"/>
                <w:sz w:val="18"/>
                <w:szCs w:val="18"/>
                <w:lang w:val="fr"/>
              </w:rPr>
              <w:t>348,9</w:t>
            </w:r>
          </w:p>
        </w:tc>
        <w:tc>
          <w:tcPr>
            <w:tcW w:w="508" w:type="pct"/>
            <w:tcBorders>
              <w:top w:val="nil"/>
              <w:left w:val="nil"/>
              <w:bottom w:val="single" w:sz="4" w:space="0" w:color="auto"/>
              <w:right w:val="single" w:sz="4" w:space="0" w:color="auto"/>
            </w:tcBorders>
            <w:shd w:val="clear" w:color="auto" w:fill="auto"/>
            <w:noWrap/>
            <w:vAlign w:val="bottom"/>
          </w:tcPr>
          <w:p w14:paraId="5B9EA1A6" w14:textId="4353D6C6" w:rsidR="00AA474F" w:rsidRPr="001277B2" w:rsidRDefault="00AA474F" w:rsidP="00AA474F">
            <w:pPr>
              <w:jc w:val="right"/>
              <w:rPr>
                <w:color w:val="000000"/>
                <w:sz w:val="18"/>
                <w:szCs w:val="18"/>
              </w:rPr>
            </w:pPr>
            <w:r>
              <w:rPr>
                <w:color w:val="000000"/>
                <w:sz w:val="18"/>
                <w:szCs w:val="18"/>
                <w:lang w:val="fr"/>
              </w:rPr>
              <w:t>289,9</w:t>
            </w:r>
          </w:p>
        </w:tc>
        <w:tc>
          <w:tcPr>
            <w:tcW w:w="508" w:type="pct"/>
            <w:tcBorders>
              <w:top w:val="nil"/>
              <w:left w:val="nil"/>
              <w:bottom w:val="single" w:sz="4" w:space="0" w:color="auto"/>
              <w:right w:val="single" w:sz="4" w:space="0" w:color="auto"/>
            </w:tcBorders>
            <w:shd w:val="clear" w:color="auto" w:fill="auto"/>
            <w:noWrap/>
            <w:vAlign w:val="bottom"/>
          </w:tcPr>
          <w:p w14:paraId="6FAC42E8" w14:textId="2CF4F8B4" w:rsidR="00AA474F" w:rsidRPr="001277B2" w:rsidRDefault="00AA474F" w:rsidP="00AA474F">
            <w:pPr>
              <w:jc w:val="right"/>
              <w:rPr>
                <w:color w:val="000000"/>
                <w:sz w:val="18"/>
                <w:szCs w:val="18"/>
              </w:rPr>
            </w:pPr>
            <w:r>
              <w:rPr>
                <w:color w:val="000000"/>
                <w:sz w:val="18"/>
                <w:szCs w:val="18"/>
                <w:lang w:val="fr"/>
              </w:rPr>
              <w:t>73,4 %</w:t>
            </w:r>
          </w:p>
        </w:tc>
        <w:tc>
          <w:tcPr>
            <w:tcW w:w="508" w:type="pct"/>
            <w:tcBorders>
              <w:top w:val="nil"/>
              <w:left w:val="nil"/>
              <w:bottom w:val="single" w:sz="4" w:space="0" w:color="auto"/>
              <w:right w:val="single" w:sz="4" w:space="0" w:color="auto"/>
            </w:tcBorders>
            <w:shd w:val="clear" w:color="auto" w:fill="auto"/>
            <w:noWrap/>
            <w:vAlign w:val="bottom"/>
          </w:tcPr>
          <w:p w14:paraId="3E8FA3CF" w14:textId="333784BE" w:rsidR="00AA474F" w:rsidRPr="001277B2" w:rsidRDefault="00AA474F" w:rsidP="00AA474F">
            <w:pPr>
              <w:jc w:val="right"/>
              <w:rPr>
                <w:color w:val="000000"/>
                <w:sz w:val="18"/>
                <w:szCs w:val="18"/>
              </w:rPr>
            </w:pPr>
            <w:r>
              <w:rPr>
                <w:color w:val="000000"/>
                <w:sz w:val="18"/>
                <w:szCs w:val="18"/>
                <w:lang w:val="fr"/>
              </w:rPr>
              <w:t>256,8</w:t>
            </w:r>
          </w:p>
        </w:tc>
        <w:tc>
          <w:tcPr>
            <w:tcW w:w="508" w:type="pct"/>
            <w:tcBorders>
              <w:top w:val="nil"/>
              <w:left w:val="nil"/>
              <w:bottom w:val="single" w:sz="4" w:space="0" w:color="auto"/>
              <w:right w:val="single" w:sz="4" w:space="0" w:color="auto"/>
            </w:tcBorders>
            <w:shd w:val="clear" w:color="auto" w:fill="auto"/>
            <w:noWrap/>
            <w:vAlign w:val="bottom"/>
          </w:tcPr>
          <w:p w14:paraId="278C1AD6" w14:textId="48900A2B" w:rsidR="00AA474F" w:rsidRPr="001277B2" w:rsidRDefault="00AA474F" w:rsidP="00AA474F">
            <w:pPr>
              <w:jc w:val="right"/>
              <w:rPr>
                <w:color w:val="000000"/>
                <w:sz w:val="18"/>
                <w:szCs w:val="18"/>
              </w:rPr>
            </w:pPr>
            <w:r>
              <w:rPr>
                <w:color w:val="000000"/>
                <w:sz w:val="18"/>
                <w:szCs w:val="18"/>
                <w:lang w:val="fr"/>
              </w:rPr>
              <w:t>128,4</w:t>
            </w:r>
          </w:p>
        </w:tc>
        <w:tc>
          <w:tcPr>
            <w:tcW w:w="507" w:type="pct"/>
            <w:tcBorders>
              <w:top w:val="nil"/>
              <w:left w:val="nil"/>
              <w:bottom w:val="single" w:sz="4" w:space="0" w:color="auto"/>
              <w:right w:val="single" w:sz="4" w:space="0" w:color="auto"/>
            </w:tcBorders>
            <w:shd w:val="clear" w:color="auto" w:fill="auto"/>
            <w:noWrap/>
            <w:vAlign w:val="bottom"/>
          </w:tcPr>
          <w:p w14:paraId="44EE4707" w14:textId="16DEC0F8" w:rsidR="00AA474F" w:rsidRPr="001277B2" w:rsidRDefault="00AA474F" w:rsidP="00AA474F">
            <w:pPr>
              <w:jc w:val="right"/>
              <w:rPr>
                <w:color w:val="000000"/>
                <w:sz w:val="18"/>
                <w:szCs w:val="18"/>
              </w:rPr>
            </w:pPr>
            <w:r>
              <w:rPr>
                <w:color w:val="000000"/>
                <w:sz w:val="18"/>
                <w:szCs w:val="18"/>
                <w:lang w:val="fr"/>
              </w:rPr>
              <w:t>9,9</w:t>
            </w:r>
          </w:p>
        </w:tc>
      </w:tr>
      <w:tr w:rsidR="00AA474F" w:rsidRPr="001277B2" w14:paraId="33F6B161"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027386C7" w14:textId="77777777" w:rsidR="00AA474F" w:rsidRPr="001277B2" w:rsidRDefault="00AA474F" w:rsidP="00AA474F">
            <w:pPr>
              <w:jc w:val="left"/>
              <w:rPr>
                <w:color w:val="000000"/>
                <w:sz w:val="18"/>
                <w:szCs w:val="18"/>
              </w:rPr>
            </w:pPr>
            <w:r>
              <w:rPr>
                <w:color w:val="000000"/>
                <w:sz w:val="18"/>
                <w:szCs w:val="18"/>
                <w:lang w:val="fr"/>
              </w:rPr>
              <w:t>Venezuela (République bolivarienne du)</w:t>
            </w:r>
          </w:p>
        </w:tc>
        <w:tc>
          <w:tcPr>
            <w:tcW w:w="508" w:type="pct"/>
            <w:tcBorders>
              <w:top w:val="nil"/>
              <w:left w:val="single" w:sz="4" w:space="0" w:color="auto"/>
              <w:bottom w:val="single" w:sz="4" w:space="0" w:color="auto"/>
              <w:right w:val="single" w:sz="4" w:space="0" w:color="auto"/>
            </w:tcBorders>
            <w:shd w:val="clear" w:color="auto" w:fill="auto"/>
            <w:noWrap/>
            <w:vAlign w:val="bottom"/>
          </w:tcPr>
          <w:p w14:paraId="25062A7B" w14:textId="0F05956F" w:rsidR="00AA474F" w:rsidRPr="001277B2" w:rsidRDefault="00AA474F" w:rsidP="00AA474F">
            <w:pPr>
              <w:jc w:val="right"/>
              <w:rPr>
                <w:color w:val="000000"/>
                <w:sz w:val="18"/>
                <w:szCs w:val="18"/>
              </w:rPr>
            </w:pPr>
            <w:r>
              <w:rPr>
                <w:color w:val="000000"/>
                <w:sz w:val="18"/>
                <w:szCs w:val="18"/>
                <w:lang w:val="fr"/>
              </w:rPr>
              <w:t>123,0</w:t>
            </w:r>
          </w:p>
        </w:tc>
        <w:tc>
          <w:tcPr>
            <w:tcW w:w="508" w:type="pct"/>
            <w:tcBorders>
              <w:top w:val="nil"/>
              <w:left w:val="nil"/>
              <w:bottom w:val="single" w:sz="4" w:space="0" w:color="auto"/>
              <w:right w:val="single" w:sz="4" w:space="0" w:color="auto"/>
            </w:tcBorders>
            <w:shd w:val="clear" w:color="auto" w:fill="auto"/>
            <w:vAlign w:val="bottom"/>
          </w:tcPr>
          <w:p w14:paraId="78986E46" w14:textId="65F3DB36" w:rsidR="00AA474F" w:rsidRPr="001277B2" w:rsidRDefault="00AA474F" w:rsidP="00AA474F">
            <w:pPr>
              <w:jc w:val="right"/>
              <w:rPr>
                <w:sz w:val="18"/>
                <w:szCs w:val="18"/>
              </w:rPr>
            </w:pPr>
            <w:r>
              <w:rPr>
                <w:color w:val="000000"/>
                <w:sz w:val="18"/>
                <w:szCs w:val="18"/>
                <w:lang w:val="fr"/>
              </w:rPr>
              <w:t>37,2</w:t>
            </w:r>
          </w:p>
        </w:tc>
        <w:tc>
          <w:tcPr>
            <w:tcW w:w="508" w:type="pct"/>
            <w:tcBorders>
              <w:top w:val="nil"/>
              <w:left w:val="nil"/>
              <w:bottom w:val="single" w:sz="4" w:space="0" w:color="auto"/>
              <w:right w:val="single" w:sz="4" w:space="0" w:color="auto"/>
            </w:tcBorders>
            <w:shd w:val="clear" w:color="auto" w:fill="auto"/>
            <w:noWrap/>
            <w:vAlign w:val="bottom"/>
          </w:tcPr>
          <w:p w14:paraId="0ACB701D" w14:textId="091009E2" w:rsidR="00AA474F" w:rsidRPr="001277B2" w:rsidRDefault="00AA474F" w:rsidP="00AA474F">
            <w:pPr>
              <w:jc w:val="right"/>
              <w:rPr>
                <w:color w:val="000000"/>
                <w:sz w:val="18"/>
                <w:szCs w:val="18"/>
              </w:rPr>
            </w:pPr>
            <w:r>
              <w:rPr>
                <w:color w:val="000000"/>
                <w:sz w:val="18"/>
                <w:szCs w:val="18"/>
                <w:lang w:val="fr"/>
              </w:rPr>
              <w:t>1,9</w:t>
            </w:r>
          </w:p>
        </w:tc>
        <w:tc>
          <w:tcPr>
            <w:tcW w:w="508" w:type="pct"/>
            <w:tcBorders>
              <w:top w:val="nil"/>
              <w:left w:val="nil"/>
              <w:bottom w:val="single" w:sz="4" w:space="0" w:color="auto"/>
              <w:right w:val="single" w:sz="4" w:space="0" w:color="auto"/>
            </w:tcBorders>
            <w:shd w:val="clear" w:color="auto" w:fill="auto"/>
            <w:noWrap/>
            <w:vAlign w:val="bottom"/>
          </w:tcPr>
          <w:p w14:paraId="3998C59A" w14:textId="5E5E1367" w:rsidR="00AA474F" w:rsidRPr="001277B2" w:rsidRDefault="00AA474F" w:rsidP="00AA474F">
            <w:pPr>
              <w:jc w:val="right"/>
              <w:rPr>
                <w:color w:val="000000"/>
                <w:sz w:val="18"/>
                <w:szCs w:val="18"/>
              </w:rPr>
            </w:pPr>
            <w:r>
              <w:rPr>
                <w:color w:val="000000"/>
                <w:sz w:val="18"/>
                <w:szCs w:val="18"/>
                <w:lang w:val="fr"/>
              </w:rPr>
              <w:t>1,5 %</w:t>
            </w:r>
          </w:p>
        </w:tc>
        <w:tc>
          <w:tcPr>
            <w:tcW w:w="508" w:type="pct"/>
            <w:tcBorders>
              <w:top w:val="nil"/>
              <w:left w:val="nil"/>
              <w:bottom w:val="single" w:sz="4" w:space="0" w:color="auto"/>
              <w:right w:val="single" w:sz="4" w:space="0" w:color="auto"/>
            </w:tcBorders>
            <w:shd w:val="clear" w:color="auto" w:fill="auto"/>
            <w:noWrap/>
            <w:vAlign w:val="bottom"/>
          </w:tcPr>
          <w:p w14:paraId="34E18035" w14:textId="126A9F70" w:rsidR="00AA474F" w:rsidRPr="001277B2" w:rsidRDefault="00AA474F" w:rsidP="00AA474F">
            <w:pPr>
              <w:jc w:val="right"/>
              <w:rPr>
                <w:color w:val="000000"/>
                <w:sz w:val="18"/>
                <w:szCs w:val="18"/>
              </w:rPr>
            </w:pPr>
            <w:r>
              <w:rPr>
                <w:color w:val="000000"/>
                <w:sz w:val="18"/>
                <w:szCs w:val="18"/>
                <w:lang w:val="fr"/>
              </w:rPr>
              <w:t>80,0</w:t>
            </w:r>
          </w:p>
        </w:tc>
        <w:tc>
          <w:tcPr>
            <w:tcW w:w="508" w:type="pct"/>
            <w:tcBorders>
              <w:top w:val="nil"/>
              <w:left w:val="nil"/>
              <w:bottom w:val="single" w:sz="4" w:space="0" w:color="auto"/>
              <w:right w:val="single" w:sz="4" w:space="0" w:color="auto"/>
            </w:tcBorders>
            <w:shd w:val="clear" w:color="auto" w:fill="auto"/>
            <w:noWrap/>
            <w:vAlign w:val="bottom"/>
          </w:tcPr>
          <w:p w14:paraId="4A00543C" w14:textId="23ACBB89" w:rsidR="00AA474F" w:rsidRPr="001277B2" w:rsidRDefault="00AA474F" w:rsidP="00AA474F">
            <w:pPr>
              <w:jc w:val="right"/>
              <w:rPr>
                <w:color w:val="000000"/>
                <w:sz w:val="18"/>
                <w:szCs w:val="18"/>
              </w:rPr>
            </w:pPr>
            <w:r>
              <w:rPr>
                <w:color w:val="000000"/>
                <w:sz w:val="18"/>
                <w:szCs w:val="18"/>
                <w:lang w:val="fr"/>
              </w:rPr>
              <w:t>40,0</w:t>
            </w:r>
          </w:p>
        </w:tc>
        <w:tc>
          <w:tcPr>
            <w:tcW w:w="507" w:type="pct"/>
            <w:tcBorders>
              <w:top w:val="nil"/>
              <w:left w:val="nil"/>
              <w:bottom w:val="single" w:sz="4" w:space="0" w:color="auto"/>
              <w:right w:val="single" w:sz="4" w:space="0" w:color="auto"/>
            </w:tcBorders>
            <w:shd w:val="clear" w:color="auto" w:fill="auto"/>
            <w:noWrap/>
            <w:vAlign w:val="bottom"/>
          </w:tcPr>
          <w:p w14:paraId="09AC599E" w14:textId="7486EE50" w:rsidR="00AA474F" w:rsidRPr="001277B2" w:rsidRDefault="00AA474F" w:rsidP="00AA474F">
            <w:pPr>
              <w:jc w:val="right"/>
              <w:rPr>
                <w:color w:val="000000"/>
                <w:sz w:val="18"/>
                <w:szCs w:val="18"/>
              </w:rPr>
            </w:pPr>
            <w:r>
              <w:rPr>
                <w:color w:val="000000"/>
                <w:sz w:val="18"/>
                <w:szCs w:val="18"/>
                <w:lang w:val="fr"/>
              </w:rPr>
              <w:t>3,1</w:t>
            </w:r>
          </w:p>
        </w:tc>
      </w:tr>
      <w:tr w:rsidR="00AA474F" w:rsidRPr="001277B2" w14:paraId="341B3E30" w14:textId="77777777" w:rsidTr="00AD46B9">
        <w:tc>
          <w:tcPr>
            <w:tcW w:w="144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19FFABCF" w14:textId="77777777" w:rsidR="00AA474F" w:rsidRPr="001277B2" w:rsidRDefault="00AA474F" w:rsidP="00AA474F">
            <w:pPr>
              <w:jc w:val="left"/>
              <w:rPr>
                <w:b/>
                <w:color w:val="000000"/>
                <w:sz w:val="18"/>
                <w:szCs w:val="18"/>
              </w:rPr>
            </w:pPr>
            <w:r>
              <w:rPr>
                <w:b/>
                <w:bCs/>
                <w:color w:val="000000"/>
                <w:sz w:val="18"/>
                <w:szCs w:val="18"/>
                <w:lang w:val="fr"/>
              </w:rPr>
              <w:t>Total</w:t>
            </w:r>
          </w:p>
        </w:tc>
        <w:tc>
          <w:tcPr>
            <w:tcW w:w="508" w:type="pct"/>
            <w:tcBorders>
              <w:top w:val="nil"/>
              <w:left w:val="single" w:sz="4" w:space="0" w:color="auto"/>
              <w:bottom w:val="single" w:sz="4" w:space="0" w:color="auto"/>
              <w:right w:val="single" w:sz="4" w:space="0" w:color="auto"/>
            </w:tcBorders>
            <w:shd w:val="clear" w:color="auto" w:fill="auto"/>
            <w:noWrap/>
            <w:vAlign w:val="bottom"/>
          </w:tcPr>
          <w:p w14:paraId="006EE850" w14:textId="539129C8" w:rsidR="00AA474F" w:rsidRPr="001277B2" w:rsidRDefault="00AA474F" w:rsidP="00AA474F">
            <w:pPr>
              <w:jc w:val="right"/>
              <w:rPr>
                <w:b/>
                <w:color w:val="000000"/>
                <w:sz w:val="18"/>
                <w:szCs w:val="18"/>
              </w:rPr>
            </w:pPr>
            <w:r>
              <w:rPr>
                <w:b/>
                <w:bCs/>
                <w:color w:val="000000"/>
                <w:sz w:val="18"/>
                <w:szCs w:val="18"/>
                <w:lang w:val="fr"/>
              </w:rPr>
              <w:t>32 988,6</w:t>
            </w:r>
          </w:p>
        </w:tc>
        <w:tc>
          <w:tcPr>
            <w:tcW w:w="508" w:type="pct"/>
            <w:tcBorders>
              <w:top w:val="nil"/>
              <w:left w:val="nil"/>
              <w:bottom w:val="single" w:sz="4" w:space="0" w:color="auto"/>
              <w:right w:val="single" w:sz="4" w:space="0" w:color="auto"/>
            </w:tcBorders>
            <w:shd w:val="clear" w:color="auto" w:fill="auto"/>
            <w:vAlign w:val="bottom"/>
          </w:tcPr>
          <w:p w14:paraId="39D2FCCF" w14:textId="34409300" w:rsidR="00AA474F" w:rsidRPr="001277B2" w:rsidRDefault="00AA474F" w:rsidP="00AA474F">
            <w:pPr>
              <w:jc w:val="right"/>
              <w:rPr>
                <w:b/>
                <w:sz w:val="18"/>
                <w:szCs w:val="18"/>
              </w:rPr>
            </w:pPr>
            <w:r>
              <w:rPr>
                <w:b/>
                <w:bCs/>
                <w:color w:val="000000"/>
                <w:sz w:val="18"/>
                <w:szCs w:val="18"/>
                <w:lang w:val="fr"/>
              </w:rPr>
              <w:t>24 335,0</w:t>
            </w:r>
          </w:p>
        </w:tc>
        <w:tc>
          <w:tcPr>
            <w:tcW w:w="508" w:type="pct"/>
            <w:tcBorders>
              <w:top w:val="nil"/>
              <w:left w:val="nil"/>
              <w:bottom w:val="single" w:sz="4" w:space="0" w:color="auto"/>
              <w:right w:val="single" w:sz="4" w:space="0" w:color="auto"/>
            </w:tcBorders>
            <w:shd w:val="clear" w:color="auto" w:fill="auto"/>
            <w:noWrap/>
            <w:vAlign w:val="bottom"/>
          </w:tcPr>
          <w:p w14:paraId="6E39706F" w14:textId="345182EC" w:rsidR="00AA474F" w:rsidRPr="001277B2" w:rsidRDefault="00AA474F" w:rsidP="00AA474F">
            <w:pPr>
              <w:jc w:val="right"/>
              <w:rPr>
                <w:b/>
                <w:color w:val="000000"/>
                <w:sz w:val="18"/>
                <w:szCs w:val="18"/>
              </w:rPr>
            </w:pPr>
            <w:r>
              <w:rPr>
                <w:b/>
                <w:bCs/>
                <w:color w:val="000000"/>
                <w:sz w:val="18"/>
                <w:szCs w:val="18"/>
                <w:lang w:val="fr"/>
              </w:rPr>
              <w:t>23 169,5</w:t>
            </w:r>
          </w:p>
        </w:tc>
        <w:tc>
          <w:tcPr>
            <w:tcW w:w="508" w:type="pct"/>
            <w:tcBorders>
              <w:top w:val="nil"/>
              <w:left w:val="nil"/>
              <w:bottom w:val="single" w:sz="4" w:space="0" w:color="auto"/>
              <w:right w:val="single" w:sz="4" w:space="0" w:color="auto"/>
            </w:tcBorders>
            <w:shd w:val="clear" w:color="auto" w:fill="auto"/>
            <w:noWrap/>
            <w:vAlign w:val="bottom"/>
          </w:tcPr>
          <w:p w14:paraId="2C9B3275" w14:textId="7FCF80AB" w:rsidR="00AA474F" w:rsidRPr="001277B2" w:rsidRDefault="00AA474F" w:rsidP="00AA474F">
            <w:pPr>
              <w:jc w:val="right"/>
              <w:rPr>
                <w:b/>
                <w:color w:val="000000"/>
                <w:sz w:val="18"/>
                <w:szCs w:val="18"/>
              </w:rPr>
            </w:pPr>
            <w:r>
              <w:rPr>
                <w:b/>
                <w:bCs/>
                <w:color w:val="000000"/>
                <w:sz w:val="18"/>
                <w:szCs w:val="18"/>
                <w:lang w:val="fr"/>
              </w:rPr>
              <w:t>70,2 %</w:t>
            </w:r>
          </w:p>
        </w:tc>
        <w:tc>
          <w:tcPr>
            <w:tcW w:w="508" w:type="pct"/>
            <w:tcBorders>
              <w:top w:val="nil"/>
              <w:left w:val="nil"/>
              <w:bottom w:val="single" w:sz="4" w:space="0" w:color="auto"/>
              <w:right w:val="single" w:sz="4" w:space="0" w:color="auto"/>
            </w:tcBorders>
            <w:shd w:val="clear" w:color="auto" w:fill="auto"/>
            <w:noWrap/>
            <w:vAlign w:val="bottom"/>
          </w:tcPr>
          <w:p w14:paraId="58EB8E24" w14:textId="636DBEB3" w:rsidR="00AA474F" w:rsidRPr="001277B2" w:rsidRDefault="00AA474F" w:rsidP="00AA474F">
            <w:pPr>
              <w:jc w:val="right"/>
              <w:rPr>
                <w:b/>
                <w:color w:val="000000"/>
                <w:sz w:val="18"/>
                <w:szCs w:val="18"/>
              </w:rPr>
            </w:pPr>
            <w:r>
              <w:rPr>
                <w:b/>
                <w:bCs/>
                <w:color w:val="000000"/>
                <w:sz w:val="18"/>
                <w:szCs w:val="18"/>
                <w:lang w:val="fr"/>
              </w:rPr>
              <w:t>21 442,6</w:t>
            </w:r>
          </w:p>
        </w:tc>
        <w:tc>
          <w:tcPr>
            <w:tcW w:w="508" w:type="pct"/>
            <w:tcBorders>
              <w:top w:val="nil"/>
              <w:left w:val="nil"/>
              <w:bottom w:val="single" w:sz="4" w:space="0" w:color="auto"/>
              <w:right w:val="single" w:sz="4" w:space="0" w:color="auto"/>
            </w:tcBorders>
            <w:shd w:val="clear" w:color="auto" w:fill="auto"/>
            <w:noWrap/>
            <w:vAlign w:val="bottom"/>
          </w:tcPr>
          <w:p w14:paraId="5FB8DA89" w14:textId="39892708" w:rsidR="00AA474F" w:rsidRPr="001277B2" w:rsidRDefault="00AA474F" w:rsidP="00AA474F">
            <w:pPr>
              <w:jc w:val="right"/>
              <w:rPr>
                <w:b/>
                <w:color w:val="000000"/>
                <w:sz w:val="18"/>
                <w:szCs w:val="18"/>
              </w:rPr>
            </w:pPr>
            <w:r>
              <w:rPr>
                <w:b/>
                <w:bCs/>
                <w:color w:val="000000"/>
                <w:sz w:val="18"/>
                <w:szCs w:val="18"/>
                <w:lang w:val="fr"/>
              </w:rPr>
              <w:t>10 721,3</w:t>
            </w:r>
          </w:p>
        </w:tc>
        <w:tc>
          <w:tcPr>
            <w:tcW w:w="507" w:type="pct"/>
            <w:tcBorders>
              <w:top w:val="nil"/>
              <w:left w:val="nil"/>
              <w:bottom w:val="single" w:sz="4" w:space="0" w:color="auto"/>
              <w:right w:val="single" w:sz="4" w:space="0" w:color="auto"/>
            </w:tcBorders>
            <w:shd w:val="clear" w:color="auto" w:fill="auto"/>
            <w:noWrap/>
            <w:vAlign w:val="bottom"/>
          </w:tcPr>
          <w:p w14:paraId="51A4A358" w14:textId="0913F3C4" w:rsidR="00AA474F" w:rsidRPr="001277B2" w:rsidRDefault="00AA474F" w:rsidP="00AA474F">
            <w:pPr>
              <w:jc w:val="right"/>
              <w:rPr>
                <w:b/>
                <w:color w:val="000000"/>
                <w:sz w:val="18"/>
                <w:szCs w:val="18"/>
              </w:rPr>
            </w:pPr>
            <w:r>
              <w:rPr>
                <w:b/>
                <w:bCs/>
                <w:color w:val="000000"/>
                <w:sz w:val="18"/>
                <w:szCs w:val="18"/>
                <w:lang w:val="fr"/>
              </w:rPr>
              <w:t>824,7</w:t>
            </w:r>
          </w:p>
        </w:tc>
      </w:tr>
    </w:tbl>
    <w:p w14:paraId="26A83AB1" w14:textId="5EE034E5" w:rsidR="00502FEE" w:rsidRPr="005703FE" w:rsidRDefault="00502FEE" w:rsidP="00502FEE">
      <w:pPr>
        <w:rPr>
          <w:bCs/>
          <w:sz w:val="19"/>
          <w:szCs w:val="19"/>
          <w:lang w:val="fr-FR"/>
        </w:rPr>
      </w:pPr>
      <w:r>
        <w:rPr>
          <w:sz w:val="19"/>
          <w:szCs w:val="19"/>
          <w:lang w:val="fr"/>
        </w:rPr>
        <w:t>(*) Hormis la Chine, tous les pays visés à l’article 5 ne produisent que du HCFC-22.</w:t>
      </w:r>
    </w:p>
    <w:p w14:paraId="1EE05A04" w14:textId="77777777" w:rsidR="00502FEE" w:rsidRPr="005703FE" w:rsidRDefault="00502FEE" w:rsidP="00502FEE">
      <w:pPr>
        <w:rPr>
          <w:bCs/>
          <w:sz w:val="19"/>
          <w:szCs w:val="19"/>
          <w:lang w:val="fr-FR"/>
        </w:rPr>
      </w:pPr>
      <w:r>
        <w:rPr>
          <w:sz w:val="19"/>
          <w:szCs w:val="19"/>
          <w:lang w:val="fr"/>
        </w:rPr>
        <w:t>(**) Sur la base des objectifs du protocole de Montréal pour la production de HCFC.</w:t>
      </w:r>
    </w:p>
    <w:p w14:paraId="1FEA0A65" w14:textId="4C2F4ACC" w:rsidR="00502FEE" w:rsidRPr="005703FE" w:rsidRDefault="00502FEE" w:rsidP="00502FEE">
      <w:pPr>
        <w:rPr>
          <w:bCs/>
          <w:sz w:val="19"/>
          <w:szCs w:val="19"/>
          <w:lang w:val="fr-FR"/>
        </w:rPr>
      </w:pPr>
      <w:r>
        <w:rPr>
          <w:sz w:val="19"/>
          <w:szCs w:val="19"/>
          <w:lang w:val="fr"/>
        </w:rPr>
        <w:t>(***) La Partie ne reçoit pas d’aide du Fonds multilatéral.</w:t>
      </w:r>
    </w:p>
    <w:p w14:paraId="709D8E58" w14:textId="77777777" w:rsidR="00502FEE" w:rsidRPr="005703FE" w:rsidRDefault="00502FEE" w:rsidP="00502FEE">
      <w:pPr>
        <w:rPr>
          <w:bCs/>
          <w:lang w:val="fr-FR"/>
        </w:rPr>
      </w:pPr>
    </w:p>
    <w:p w14:paraId="676AB503" w14:textId="3DB227A3" w:rsidR="00502FEE" w:rsidRPr="005703FE" w:rsidRDefault="00502FEE" w:rsidP="00502FEE">
      <w:pPr>
        <w:pStyle w:val="Heading1"/>
        <w:rPr>
          <w:lang w:val="fr-FR"/>
        </w:rPr>
      </w:pPr>
      <w:r>
        <w:rPr>
          <w:lang w:val="fr"/>
        </w:rPr>
        <w:t>Comme suite à l’accélération de l’élimination des HCFC convenue dans la décision XIX/6, le Comité exécutif a approuvé le financement du plan de gestion de l’élimination de la production de HCFC (PGEPH) pour la Chine, qui représente environ 86 % du niveau de production total des pays visés à l’article 5. À ce jour, la mise en œuvre du PGEPH approuvé, ainsi que d’autres facteurs externes au Fonds multilatéral (par exemple, la situation économique dans les pays producteurs de HCFC), ont entraîné une réduction de la production de HCFC destinés à des utilisations réglementées en avance sur les niveaux admissibles en vertu du Protocole. Par exemple, la production totale de HCFC destinés à des utilisations réglementées en 2018 (362 958,1 tm) représentait 72,4 % de la production totale de HCFC de référence.</w:t>
      </w:r>
    </w:p>
    <w:p w14:paraId="03AF156D" w14:textId="77777777" w:rsidR="00502FEE" w:rsidRPr="00931200" w:rsidRDefault="00502FEE" w:rsidP="00502FEE">
      <w:pPr>
        <w:rPr>
          <w:u w:val="single"/>
        </w:rPr>
      </w:pPr>
      <w:r>
        <w:rPr>
          <w:u w:val="single"/>
          <w:lang w:val="fr"/>
        </w:rPr>
        <w:t>Secteur de la consommation</w:t>
      </w:r>
    </w:p>
    <w:p w14:paraId="6ED5A833" w14:textId="77777777" w:rsidR="00502FEE" w:rsidRDefault="00502FEE" w:rsidP="00502FEE"/>
    <w:p w14:paraId="15A28FCF" w14:textId="577AC897" w:rsidR="00502FEE" w:rsidRPr="005703FE" w:rsidRDefault="00502FEE" w:rsidP="00502FEE">
      <w:pPr>
        <w:pStyle w:val="Heading1"/>
        <w:rPr>
          <w:lang w:val="fr-FR"/>
        </w:rPr>
      </w:pPr>
      <w:r>
        <w:rPr>
          <w:lang w:val="fr"/>
        </w:rPr>
        <w:t>La consommation totale de HFC dans les pays visés à l’article 5 s’élevait à 284 325 tm en 2015 et, en l’absence de l’Amendement de Kigali (scénario du statu quo), la consommation devrait atteindre 1 021 216 tm en 2030, comme indiqué au tableau 3</w:t>
      </w:r>
      <w:r>
        <w:rPr>
          <w:rStyle w:val="FootnoteReference"/>
          <w:lang w:val="fr"/>
        </w:rPr>
        <w:footnoteReference w:id="14"/>
      </w:r>
      <w:r>
        <w:rPr>
          <w:lang w:val="fr"/>
        </w:rPr>
        <w:t>.</w:t>
      </w:r>
    </w:p>
    <w:p w14:paraId="1873C59A" w14:textId="77777777" w:rsidR="00502FEE" w:rsidRPr="005703FE" w:rsidRDefault="00502FEE" w:rsidP="00502FEE">
      <w:pPr>
        <w:keepNext/>
        <w:outlineLvl w:val="0"/>
        <w:rPr>
          <w:b/>
          <w:lang w:val="fr-FR"/>
        </w:rPr>
      </w:pPr>
      <w:r>
        <w:rPr>
          <w:b/>
          <w:bCs/>
          <w:lang w:val="fr"/>
        </w:rPr>
        <w:t>Tableau 3. Consommation de HFC dans les pays visés à l’article 5 déclarée par l’Équipe spéciale du GETE</w:t>
      </w:r>
    </w:p>
    <w:tbl>
      <w:tblPr>
        <w:tblW w:w="9252" w:type="dxa"/>
        <w:tblInd w:w="108" w:type="dxa"/>
        <w:tblLayout w:type="fixed"/>
        <w:tblLook w:val="04A0" w:firstRow="1" w:lastRow="0" w:firstColumn="1" w:lastColumn="0" w:noHBand="0" w:noVBand="1"/>
      </w:tblPr>
      <w:tblGrid>
        <w:gridCol w:w="2502"/>
        <w:gridCol w:w="1350"/>
        <w:gridCol w:w="1350"/>
        <w:gridCol w:w="1350"/>
        <w:gridCol w:w="1350"/>
        <w:gridCol w:w="1350"/>
      </w:tblGrid>
      <w:tr w:rsidR="00502FEE" w:rsidRPr="000E7FEA" w14:paraId="1A5927C3" w14:textId="77777777" w:rsidTr="000E05D3">
        <w:trPr>
          <w:tblHeader/>
        </w:trPr>
        <w:tc>
          <w:tcPr>
            <w:tcW w:w="2502" w:type="dxa"/>
            <w:vMerge w:val="restart"/>
            <w:tcBorders>
              <w:top w:val="single" w:sz="4" w:space="0" w:color="auto"/>
              <w:left w:val="single" w:sz="4" w:space="0" w:color="auto"/>
              <w:bottom w:val="single" w:sz="4" w:space="0" w:color="auto"/>
              <w:right w:val="single" w:sz="4" w:space="0" w:color="auto"/>
            </w:tcBorders>
            <w:noWrap/>
            <w:vAlign w:val="center"/>
            <w:hideMark/>
          </w:tcPr>
          <w:p w14:paraId="2C7070C6" w14:textId="77777777" w:rsidR="00502FEE" w:rsidRPr="000E7FEA" w:rsidRDefault="00502FEE" w:rsidP="000E7A06">
            <w:pPr>
              <w:jc w:val="left"/>
              <w:rPr>
                <w:b/>
                <w:bCs/>
                <w:color w:val="000000"/>
                <w:sz w:val="21"/>
                <w:szCs w:val="21"/>
              </w:rPr>
            </w:pPr>
            <w:r>
              <w:rPr>
                <w:b/>
                <w:bCs/>
                <w:color w:val="000000"/>
                <w:sz w:val="21"/>
                <w:szCs w:val="21"/>
                <w:lang w:val="fr"/>
              </w:rPr>
              <w:t>HFC</w:t>
            </w:r>
          </w:p>
        </w:tc>
        <w:tc>
          <w:tcPr>
            <w:tcW w:w="5400" w:type="dxa"/>
            <w:gridSpan w:val="4"/>
            <w:tcBorders>
              <w:top w:val="single" w:sz="4" w:space="0" w:color="auto"/>
              <w:left w:val="nil"/>
              <w:bottom w:val="single" w:sz="4" w:space="0" w:color="auto"/>
              <w:right w:val="single" w:sz="4" w:space="0" w:color="auto"/>
            </w:tcBorders>
            <w:noWrap/>
            <w:vAlign w:val="bottom"/>
            <w:hideMark/>
          </w:tcPr>
          <w:p w14:paraId="70A32EDF" w14:textId="77777777" w:rsidR="00502FEE" w:rsidRPr="000E7FEA" w:rsidRDefault="00502FEE" w:rsidP="000E7A06">
            <w:pPr>
              <w:jc w:val="center"/>
              <w:rPr>
                <w:b/>
                <w:bCs/>
                <w:color w:val="000000"/>
                <w:sz w:val="21"/>
                <w:szCs w:val="21"/>
              </w:rPr>
            </w:pPr>
            <w:r>
              <w:rPr>
                <w:b/>
                <w:bCs/>
                <w:color w:val="000000"/>
                <w:sz w:val="21"/>
                <w:szCs w:val="21"/>
                <w:lang w:val="fr"/>
              </w:rPr>
              <w:t>Consommation (tm)</w:t>
            </w:r>
          </w:p>
        </w:tc>
        <w:tc>
          <w:tcPr>
            <w:tcW w:w="1350" w:type="dxa"/>
            <w:vMerge w:val="restart"/>
            <w:tcBorders>
              <w:top w:val="single" w:sz="4" w:space="0" w:color="auto"/>
              <w:left w:val="nil"/>
              <w:bottom w:val="single" w:sz="4" w:space="0" w:color="auto"/>
              <w:right w:val="single" w:sz="4" w:space="0" w:color="auto"/>
            </w:tcBorders>
            <w:noWrap/>
            <w:vAlign w:val="center"/>
            <w:hideMark/>
          </w:tcPr>
          <w:p w14:paraId="3F4A2423" w14:textId="77777777" w:rsidR="00502FEE" w:rsidRPr="000E7FEA" w:rsidRDefault="00502FEE" w:rsidP="000E7A06">
            <w:pPr>
              <w:jc w:val="center"/>
              <w:rPr>
                <w:b/>
                <w:color w:val="000000"/>
                <w:sz w:val="21"/>
                <w:szCs w:val="21"/>
              </w:rPr>
            </w:pPr>
            <w:r>
              <w:rPr>
                <w:b/>
                <w:bCs/>
                <w:color w:val="000000"/>
                <w:sz w:val="21"/>
                <w:szCs w:val="21"/>
                <w:lang w:val="fr"/>
              </w:rPr>
              <w:t>Taux de croissance (%)*</w:t>
            </w:r>
          </w:p>
        </w:tc>
      </w:tr>
      <w:tr w:rsidR="00502FEE" w:rsidRPr="000E7FEA" w14:paraId="49156C0D" w14:textId="77777777" w:rsidTr="000E05D3">
        <w:trPr>
          <w:tblHeader/>
        </w:trPr>
        <w:tc>
          <w:tcPr>
            <w:tcW w:w="2502" w:type="dxa"/>
            <w:vMerge/>
            <w:tcBorders>
              <w:top w:val="single" w:sz="4" w:space="0" w:color="auto"/>
              <w:left w:val="single" w:sz="4" w:space="0" w:color="auto"/>
              <w:bottom w:val="single" w:sz="4" w:space="0" w:color="auto"/>
              <w:right w:val="single" w:sz="4" w:space="0" w:color="auto"/>
            </w:tcBorders>
            <w:vAlign w:val="center"/>
            <w:hideMark/>
          </w:tcPr>
          <w:p w14:paraId="69571D88" w14:textId="77777777" w:rsidR="00502FEE" w:rsidRPr="000E7FEA" w:rsidRDefault="00502FEE" w:rsidP="000E7A06">
            <w:pPr>
              <w:jc w:val="left"/>
              <w:rPr>
                <w:b/>
                <w:bCs/>
                <w:color w:val="000000"/>
                <w:sz w:val="21"/>
                <w:szCs w:val="21"/>
              </w:rPr>
            </w:pPr>
          </w:p>
        </w:tc>
        <w:tc>
          <w:tcPr>
            <w:tcW w:w="1350" w:type="dxa"/>
            <w:tcBorders>
              <w:top w:val="single" w:sz="4" w:space="0" w:color="auto"/>
              <w:left w:val="nil"/>
              <w:bottom w:val="single" w:sz="4" w:space="0" w:color="auto"/>
              <w:right w:val="single" w:sz="4" w:space="0" w:color="auto"/>
            </w:tcBorders>
            <w:noWrap/>
            <w:vAlign w:val="bottom"/>
            <w:hideMark/>
          </w:tcPr>
          <w:p w14:paraId="4E14E55D" w14:textId="77777777" w:rsidR="00502FEE" w:rsidRPr="000E7FEA" w:rsidRDefault="00502FEE" w:rsidP="000E7A06">
            <w:pPr>
              <w:jc w:val="center"/>
              <w:rPr>
                <w:b/>
                <w:bCs/>
                <w:color w:val="000000"/>
                <w:sz w:val="21"/>
                <w:szCs w:val="21"/>
              </w:rPr>
            </w:pPr>
            <w:r>
              <w:rPr>
                <w:b/>
                <w:bCs/>
                <w:color w:val="000000"/>
                <w:sz w:val="21"/>
                <w:szCs w:val="21"/>
                <w:lang w:val="fr"/>
              </w:rPr>
              <w:t>2015</w:t>
            </w:r>
          </w:p>
        </w:tc>
        <w:tc>
          <w:tcPr>
            <w:tcW w:w="1350" w:type="dxa"/>
            <w:tcBorders>
              <w:top w:val="single" w:sz="4" w:space="0" w:color="auto"/>
              <w:left w:val="nil"/>
              <w:bottom w:val="single" w:sz="4" w:space="0" w:color="auto"/>
              <w:right w:val="single" w:sz="4" w:space="0" w:color="auto"/>
            </w:tcBorders>
            <w:noWrap/>
            <w:vAlign w:val="bottom"/>
            <w:hideMark/>
          </w:tcPr>
          <w:p w14:paraId="12AFFD66" w14:textId="77777777" w:rsidR="00502FEE" w:rsidRPr="000E7FEA" w:rsidRDefault="00502FEE" w:rsidP="000E7A06">
            <w:pPr>
              <w:jc w:val="center"/>
              <w:rPr>
                <w:b/>
                <w:bCs/>
                <w:color w:val="000000"/>
                <w:sz w:val="21"/>
                <w:szCs w:val="21"/>
              </w:rPr>
            </w:pPr>
            <w:r>
              <w:rPr>
                <w:b/>
                <w:bCs/>
                <w:color w:val="000000"/>
                <w:sz w:val="21"/>
                <w:szCs w:val="21"/>
                <w:lang w:val="fr"/>
              </w:rPr>
              <w:t>2020</w:t>
            </w:r>
          </w:p>
        </w:tc>
        <w:tc>
          <w:tcPr>
            <w:tcW w:w="1350" w:type="dxa"/>
            <w:tcBorders>
              <w:top w:val="single" w:sz="4" w:space="0" w:color="auto"/>
              <w:left w:val="nil"/>
              <w:bottom w:val="single" w:sz="4" w:space="0" w:color="auto"/>
              <w:right w:val="single" w:sz="4" w:space="0" w:color="auto"/>
            </w:tcBorders>
            <w:noWrap/>
            <w:vAlign w:val="bottom"/>
            <w:hideMark/>
          </w:tcPr>
          <w:p w14:paraId="0498F904" w14:textId="77777777" w:rsidR="00502FEE" w:rsidRPr="000E7FEA" w:rsidRDefault="00502FEE" w:rsidP="000E7A06">
            <w:pPr>
              <w:jc w:val="center"/>
              <w:rPr>
                <w:b/>
                <w:bCs/>
                <w:color w:val="000000"/>
                <w:sz w:val="21"/>
                <w:szCs w:val="21"/>
              </w:rPr>
            </w:pPr>
            <w:r>
              <w:rPr>
                <w:b/>
                <w:bCs/>
                <w:color w:val="000000"/>
                <w:sz w:val="21"/>
                <w:szCs w:val="21"/>
                <w:lang w:val="fr"/>
              </w:rPr>
              <w:t>2025</w:t>
            </w:r>
          </w:p>
        </w:tc>
        <w:tc>
          <w:tcPr>
            <w:tcW w:w="1350" w:type="dxa"/>
            <w:tcBorders>
              <w:top w:val="single" w:sz="4" w:space="0" w:color="auto"/>
              <w:left w:val="nil"/>
              <w:bottom w:val="single" w:sz="4" w:space="0" w:color="auto"/>
              <w:right w:val="single" w:sz="4" w:space="0" w:color="auto"/>
            </w:tcBorders>
            <w:noWrap/>
            <w:vAlign w:val="bottom"/>
            <w:hideMark/>
          </w:tcPr>
          <w:p w14:paraId="7B95C273" w14:textId="77777777" w:rsidR="00502FEE" w:rsidRPr="000E7FEA" w:rsidRDefault="00502FEE" w:rsidP="000E7A06">
            <w:pPr>
              <w:jc w:val="center"/>
              <w:rPr>
                <w:b/>
                <w:bCs/>
                <w:color w:val="000000"/>
                <w:sz w:val="21"/>
                <w:szCs w:val="21"/>
              </w:rPr>
            </w:pPr>
            <w:r>
              <w:rPr>
                <w:b/>
                <w:bCs/>
                <w:color w:val="000000"/>
                <w:sz w:val="21"/>
                <w:szCs w:val="21"/>
                <w:lang w:val="fr"/>
              </w:rPr>
              <w:t>2030</w:t>
            </w:r>
          </w:p>
        </w:tc>
        <w:tc>
          <w:tcPr>
            <w:tcW w:w="1350" w:type="dxa"/>
            <w:vMerge/>
            <w:tcBorders>
              <w:top w:val="single" w:sz="4" w:space="0" w:color="auto"/>
              <w:left w:val="nil"/>
              <w:bottom w:val="single" w:sz="4" w:space="0" w:color="auto"/>
              <w:right w:val="single" w:sz="4" w:space="0" w:color="auto"/>
            </w:tcBorders>
            <w:vAlign w:val="center"/>
            <w:hideMark/>
          </w:tcPr>
          <w:p w14:paraId="3B51B83A" w14:textId="77777777" w:rsidR="00502FEE" w:rsidRPr="000E7FEA" w:rsidRDefault="00502FEE" w:rsidP="000E7A06">
            <w:pPr>
              <w:jc w:val="left"/>
              <w:rPr>
                <w:b/>
                <w:color w:val="000000"/>
                <w:sz w:val="21"/>
                <w:szCs w:val="21"/>
              </w:rPr>
            </w:pPr>
          </w:p>
        </w:tc>
      </w:tr>
      <w:tr w:rsidR="00502FEE" w:rsidRPr="000E7FEA" w14:paraId="6B760407" w14:textId="77777777" w:rsidTr="000E05D3">
        <w:tc>
          <w:tcPr>
            <w:tcW w:w="2502" w:type="dxa"/>
            <w:tcBorders>
              <w:top w:val="nil"/>
              <w:left w:val="single" w:sz="4" w:space="0" w:color="auto"/>
              <w:bottom w:val="single" w:sz="4" w:space="0" w:color="auto"/>
              <w:right w:val="single" w:sz="4" w:space="0" w:color="auto"/>
            </w:tcBorders>
            <w:noWrap/>
            <w:vAlign w:val="bottom"/>
            <w:hideMark/>
          </w:tcPr>
          <w:p w14:paraId="55DF068A" w14:textId="77777777" w:rsidR="00502FEE" w:rsidRPr="000E7FEA" w:rsidRDefault="00502FEE" w:rsidP="000E7A06">
            <w:pPr>
              <w:jc w:val="left"/>
              <w:rPr>
                <w:color w:val="000000"/>
                <w:sz w:val="21"/>
                <w:szCs w:val="21"/>
              </w:rPr>
            </w:pPr>
            <w:r>
              <w:rPr>
                <w:color w:val="000000"/>
                <w:sz w:val="21"/>
                <w:szCs w:val="21"/>
                <w:lang w:val="fr"/>
              </w:rPr>
              <w:t>R-410A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80AB179" w14:textId="77777777" w:rsidR="00502FEE" w:rsidRPr="000E7FEA" w:rsidRDefault="00502FEE" w:rsidP="000E7A06">
            <w:pPr>
              <w:jc w:val="right"/>
              <w:rPr>
                <w:color w:val="000000"/>
                <w:sz w:val="21"/>
                <w:szCs w:val="21"/>
              </w:rPr>
            </w:pPr>
            <w:r>
              <w:rPr>
                <w:color w:val="000000"/>
                <w:sz w:val="21"/>
                <w:szCs w:val="21"/>
                <w:lang w:val="fr"/>
              </w:rPr>
              <w:t>106 661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D476AE3" w14:textId="77777777" w:rsidR="00502FEE" w:rsidRPr="000E7FEA" w:rsidRDefault="00502FEE" w:rsidP="000E7A06">
            <w:pPr>
              <w:jc w:val="right"/>
              <w:rPr>
                <w:color w:val="000000"/>
                <w:sz w:val="21"/>
                <w:szCs w:val="21"/>
              </w:rPr>
            </w:pPr>
            <w:r>
              <w:rPr>
                <w:color w:val="000000"/>
                <w:sz w:val="21"/>
                <w:szCs w:val="21"/>
                <w:lang w:val="fr"/>
              </w:rPr>
              <w:t>192 770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7DC70F0" w14:textId="77777777" w:rsidR="00502FEE" w:rsidRPr="000E7FEA" w:rsidRDefault="00502FEE" w:rsidP="000E7A06">
            <w:pPr>
              <w:jc w:val="right"/>
              <w:rPr>
                <w:color w:val="000000"/>
                <w:sz w:val="21"/>
                <w:szCs w:val="21"/>
              </w:rPr>
            </w:pPr>
            <w:r>
              <w:rPr>
                <w:color w:val="000000"/>
                <w:sz w:val="21"/>
                <w:szCs w:val="21"/>
                <w:lang w:val="fr"/>
              </w:rPr>
              <w:t>284 682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EE58560" w14:textId="77777777" w:rsidR="00502FEE" w:rsidRPr="000E7FEA" w:rsidRDefault="00502FEE" w:rsidP="000E7A06">
            <w:pPr>
              <w:jc w:val="right"/>
              <w:rPr>
                <w:color w:val="000000"/>
                <w:sz w:val="21"/>
                <w:szCs w:val="21"/>
              </w:rPr>
            </w:pPr>
            <w:r>
              <w:rPr>
                <w:color w:val="000000"/>
                <w:sz w:val="21"/>
                <w:szCs w:val="21"/>
                <w:lang w:val="fr"/>
              </w:rPr>
              <w:t>364 845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663A73B6" w14:textId="77777777" w:rsidR="00502FEE" w:rsidRPr="000E7FEA" w:rsidRDefault="00502FEE" w:rsidP="000E7A06">
            <w:pPr>
              <w:jc w:val="right"/>
              <w:rPr>
                <w:sz w:val="21"/>
                <w:szCs w:val="21"/>
              </w:rPr>
            </w:pPr>
            <w:r>
              <w:rPr>
                <w:sz w:val="21"/>
                <w:szCs w:val="21"/>
                <w:lang w:val="fr"/>
              </w:rPr>
              <w:t>8,5</w:t>
            </w:r>
          </w:p>
        </w:tc>
      </w:tr>
      <w:tr w:rsidR="00502FEE" w:rsidRPr="000E7FEA" w14:paraId="1F88F6E3" w14:textId="77777777" w:rsidTr="000E05D3">
        <w:tc>
          <w:tcPr>
            <w:tcW w:w="2502" w:type="dxa"/>
            <w:tcBorders>
              <w:top w:val="nil"/>
              <w:left w:val="single" w:sz="4" w:space="0" w:color="auto"/>
              <w:bottom w:val="single" w:sz="4" w:space="0" w:color="auto"/>
              <w:right w:val="single" w:sz="4" w:space="0" w:color="auto"/>
            </w:tcBorders>
            <w:noWrap/>
            <w:vAlign w:val="bottom"/>
            <w:hideMark/>
          </w:tcPr>
          <w:p w14:paraId="29856480" w14:textId="77777777" w:rsidR="00502FEE" w:rsidRPr="000E7FEA" w:rsidRDefault="00502FEE" w:rsidP="000E7A06">
            <w:pPr>
              <w:jc w:val="left"/>
              <w:rPr>
                <w:color w:val="000000"/>
                <w:sz w:val="21"/>
                <w:szCs w:val="21"/>
              </w:rPr>
            </w:pPr>
            <w:r>
              <w:rPr>
                <w:color w:val="000000"/>
                <w:sz w:val="21"/>
                <w:szCs w:val="21"/>
                <w:lang w:val="fr"/>
              </w:rPr>
              <w:t>HFC-134a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D6D41F6" w14:textId="77777777" w:rsidR="00502FEE" w:rsidRPr="000E7FEA" w:rsidRDefault="00502FEE" w:rsidP="000E7A06">
            <w:pPr>
              <w:jc w:val="right"/>
              <w:rPr>
                <w:color w:val="000000"/>
                <w:sz w:val="21"/>
                <w:szCs w:val="21"/>
              </w:rPr>
            </w:pPr>
            <w:r>
              <w:rPr>
                <w:color w:val="000000"/>
                <w:sz w:val="21"/>
                <w:szCs w:val="21"/>
                <w:lang w:val="fr"/>
              </w:rPr>
              <w:t>78 688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38874CC" w14:textId="77777777" w:rsidR="00502FEE" w:rsidRPr="000E7FEA" w:rsidRDefault="00502FEE" w:rsidP="000E7A06">
            <w:pPr>
              <w:jc w:val="right"/>
              <w:rPr>
                <w:color w:val="000000"/>
                <w:sz w:val="21"/>
                <w:szCs w:val="21"/>
              </w:rPr>
            </w:pPr>
            <w:r>
              <w:rPr>
                <w:color w:val="000000"/>
                <w:sz w:val="21"/>
                <w:szCs w:val="21"/>
                <w:lang w:val="fr"/>
              </w:rPr>
              <w:t>106 731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4F5AED3" w14:textId="77777777" w:rsidR="00502FEE" w:rsidRPr="000E7FEA" w:rsidRDefault="00502FEE" w:rsidP="000E7A06">
            <w:pPr>
              <w:jc w:val="right"/>
              <w:rPr>
                <w:color w:val="000000"/>
                <w:sz w:val="21"/>
                <w:szCs w:val="21"/>
              </w:rPr>
            </w:pPr>
            <w:r>
              <w:rPr>
                <w:color w:val="000000"/>
                <w:sz w:val="21"/>
                <w:szCs w:val="21"/>
                <w:lang w:val="fr"/>
              </w:rPr>
              <w:t>139 547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04079AA" w14:textId="77777777" w:rsidR="00502FEE" w:rsidRPr="000E7FEA" w:rsidRDefault="00502FEE" w:rsidP="000E7A06">
            <w:pPr>
              <w:jc w:val="right"/>
              <w:rPr>
                <w:color w:val="000000"/>
                <w:sz w:val="21"/>
                <w:szCs w:val="21"/>
              </w:rPr>
            </w:pPr>
            <w:r>
              <w:rPr>
                <w:color w:val="000000"/>
                <w:sz w:val="21"/>
                <w:szCs w:val="21"/>
                <w:lang w:val="fr"/>
              </w:rPr>
              <w:t>177 432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2488649F" w14:textId="77777777" w:rsidR="00502FEE" w:rsidRPr="000E7FEA" w:rsidRDefault="00502FEE" w:rsidP="000E7A06">
            <w:pPr>
              <w:jc w:val="right"/>
              <w:rPr>
                <w:sz w:val="21"/>
                <w:szCs w:val="21"/>
              </w:rPr>
            </w:pPr>
            <w:r>
              <w:rPr>
                <w:sz w:val="21"/>
                <w:szCs w:val="21"/>
                <w:lang w:val="fr"/>
              </w:rPr>
              <w:t>5,6</w:t>
            </w:r>
          </w:p>
        </w:tc>
      </w:tr>
      <w:tr w:rsidR="00502FEE" w:rsidRPr="000E7FEA" w14:paraId="40EA3D2F" w14:textId="77777777" w:rsidTr="000E05D3">
        <w:tc>
          <w:tcPr>
            <w:tcW w:w="2502" w:type="dxa"/>
            <w:tcBorders>
              <w:top w:val="nil"/>
              <w:left w:val="single" w:sz="4" w:space="0" w:color="auto"/>
              <w:bottom w:val="single" w:sz="4" w:space="0" w:color="auto"/>
              <w:right w:val="single" w:sz="4" w:space="0" w:color="auto"/>
            </w:tcBorders>
            <w:noWrap/>
            <w:vAlign w:val="bottom"/>
            <w:hideMark/>
          </w:tcPr>
          <w:p w14:paraId="6474351C" w14:textId="77777777" w:rsidR="00502FEE" w:rsidRPr="000E7FEA" w:rsidRDefault="00502FEE" w:rsidP="000E7A06">
            <w:pPr>
              <w:jc w:val="left"/>
              <w:rPr>
                <w:color w:val="000000"/>
                <w:sz w:val="21"/>
                <w:szCs w:val="21"/>
              </w:rPr>
            </w:pPr>
            <w:r>
              <w:rPr>
                <w:color w:val="000000"/>
                <w:sz w:val="21"/>
                <w:szCs w:val="21"/>
                <w:lang w:val="fr"/>
              </w:rPr>
              <w:t>R-407C</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9265A6C" w14:textId="77777777" w:rsidR="00502FEE" w:rsidRPr="000E7FEA" w:rsidRDefault="00502FEE" w:rsidP="000E7A06">
            <w:pPr>
              <w:jc w:val="right"/>
              <w:rPr>
                <w:color w:val="000000"/>
                <w:sz w:val="21"/>
                <w:szCs w:val="21"/>
              </w:rPr>
            </w:pPr>
            <w:r>
              <w:rPr>
                <w:color w:val="000000"/>
                <w:sz w:val="21"/>
                <w:szCs w:val="21"/>
                <w:lang w:val="fr"/>
              </w:rPr>
              <w:t>55 278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F67C69D" w14:textId="77777777" w:rsidR="00502FEE" w:rsidRPr="000E7FEA" w:rsidRDefault="00502FEE" w:rsidP="000E7A06">
            <w:pPr>
              <w:jc w:val="right"/>
              <w:rPr>
                <w:color w:val="000000"/>
                <w:sz w:val="21"/>
                <w:szCs w:val="21"/>
              </w:rPr>
            </w:pPr>
            <w:r>
              <w:rPr>
                <w:color w:val="000000"/>
                <w:sz w:val="21"/>
                <w:szCs w:val="21"/>
                <w:lang w:val="fr"/>
              </w:rPr>
              <w:t>101 216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B3B45A9" w14:textId="77777777" w:rsidR="00502FEE" w:rsidRPr="000E7FEA" w:rsidRDefault="00502FEE" w:rsidP="000E7A06">
            <w:pPr>
              <w:jc w:val="right"/>
              <w:rPr>
                <w:color w:val="000000"/>
                <w:sz w:val="21"/>
                <w:szCs w:val="21"/>
              </w:rPr>
            </w:pPr>
            <w:r>
              <w:rPr>
                <w:color w:val="000000"/>
                <w:sz w:val="21"/>
                <w:szCs w:val="21"/>
                <w:lang w:val="fr"/>
              </w:rPr>
              <w:t>174 433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BEC28F4" w14:textId="77777777" w:rsidR="00502FEE" w:rsidRPr="000E7FEA" w:rsidRDefault="00502FEE" w:rsidP="000E7A06">
            <w:pPr>
              <w:jc w:val="right"/>
              <w:rPr>
                <w:color w:val="000000"/>
                <w:sz w:val="21"/>
                <w:szCs w:val="21"/>
              </w:rPr>
            </w:pPr>
            <w:r>
              <w:rPr>
                <w:color w:val="000000"/>
                <w:sz w:val="21"/>
                <w:szCs w:val="21"/>
                <w:lang w:val="fr"/>
              </w:rPr>
              <w:t>285 500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5DEBFA32" w14:textId="77777777" w:rsidR="00502FEE" w:rsidRPr="000E7FEA" w:rsidRDefault="00502FEE" w:rsidP="000E7A06">
            <w:pPr>
              <w:jc w:val="right"/>
              <w:rPr>
                <w:sz w:val="21"/>
                <w:szCs w:val="21"/>
              </w:rPr>
            </w:pPr>
            <w:r>
              <w:rPr>
                <w:sz w:val="21"/>
                <w:szCs w:val="21"/>
                <w:lang w:val="fr"/>
              </w:rPr>
              <w:t>11,6</w:t>
            </w:r>
          </w:p>
        </w:tc>
      </w:tr>
      <w:tr w:rsidR="00502FEE" w:rsidRPr="000E7FEA" w14:paraId="335C2A78" w14:textId="77777777" w:rsidTr="000E05D3">
        <w:tc>
          <w:tcPr>
            <w:tcW w:w="2502" w:type="dxa"/>
            <w:tcBorders>
              <w:top w:val="nil"/>
              <w:left w:val="single" w:sz="4" w:space="0" w:color="auto"/>
              <w:bottom w:val="single" w:sz="4" w:space="0" w:color="auto"/>
              <w:right w:val="single" w:sz="4" w:space="0" w:color="auto"/>
            </w:tcBorders>
            <w:noWrap/>
            <w:vAlign w:val="bottom"/>
            <w:hideMark/>
          </w:tcPr>
          <w:p w14:paraId="753A18ED" w14:textId="77777777" w:rsidR="00502FEE" w:rsidRPr="000E7FEA" w:rsidRDefault="00502FEE" w:rsidP="000E7A06">
            <w:pPr>
              <w:jc w:val="left"/>
              <w:rPr>
                <w:color w:val="000000"/>
                <w:sz w:val="21"/>
                <w:szCs w:val="21"/>
              </w:rPr>
            </w:pPr>
            <w:r>
              <w:rPr>
                <w:color w:val="000000"/>
                <w:sz w:val="21"/>
                <w:szCs w:val="21"/>
                <w:lang w:val="fr"/>
              </w:rPr>
              <w:t>R-404A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0DB28AB" w14:textId="77777777" w:rsidR="00502FEE" w:rsidRPr="000E7FEA" w:rsidRDefault="00502FEE" w:rsidP="000E7A06">
            <w:pPr>
              <w:jc w:val="right"/>
              <w:rPr>
                <w:color w:val="000000"/>
                <w:sz w:val="21"/>
                <w:szCs w:val="21"/>
              </w:rPr>
            </w:pPr>
            <w:r>
              <w:rPr>
                <w:color w:val="000000"/>
                <w:sz w:val="21"/>
                <w:szCs w:val="21"/>
                <w:lang w:val="fr"/>
              </w:rPr>
              <w:t>18 202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2B4099B" w14:textId="77777777" w:rsidR="00502FEE" w:rsidRPr="000E7FEA" w:rsidRDefault="00502FEE" w:rsidP="000E7A06">
            <w:pPr>
              <w:jc w:val="right"/>
              <w:rPr>
                <w:color w:val="000000"/>
                <w:sz w:val="21"/>
                <w:szCs w:val="21"/>
              </w:rPr>
            </w:pPr>
            <w:r>
              <w:rPr>
                <w:color w:val="000000"/>
                <w:sz w:val="21"/>
                <w:szCs w:val="21"/>
                <w:lang w:val="fr"/>
              </w:rPr>
              <w:t>31 982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FE13ED9" w14:textId="77777777" w:rsidR="00502FEE" w:rsidRPr="000E7FEA" w:rsidRDefault="00502FEE" w:rsidP="000E7A06">
            <w:pPr>
              <w:jc w:val="right"/>
              <w:rPr>
                <w:color w:val="000000"/>
                <w:sz w:val="21"/>
                <w:szCs w:val="21"/>
              </w:rPr>
            </w:pPr>
            <w:r>
              <w:rPr>
                <w:color w:val="000000"/>
                <w:sz w:val="21"/>
                <w:szCs w:val="21"/>
                <w:lang w:val="fr"/>
              </w:rPr>
              <w:t>55 964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34E5E0" w14:textId="77777777" w:rsidR="00502FEE" w:rsidRPr="000E7FEA" w:rsidRDefault="00502FEE" w:rsidP="000E7A06">
            <w:pPr>
              <w:jc w:val="right"/>
              <w:rPr>
                <w:color w:val="000000"/>
                <w:sz w:val="21"/>
                <w:szCs w:val="21"/>
              </w:rPr>
            </w:pPr>
            <w:r>
              <w:rPr>
                <w:color w:val="000000"/>
                <w:sz w:val="21"/>
                <w:szCs w:val="21"/>
                <w:lang w:val="fr"/>
              </w:rPr>
              <w:t>83 845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7B638116" w14:textId="77777777" w:rsidR="00502FEE" w:rsidRPr="000E7FEA" w:rsidRDefault="00502FEE" w:rsidP="000E7A06">
            <w:pPr>
              <w:jc w:val="right"/>
              <w:rPr>
                <w:sz w:val="21"/>
                <w:szCs w:val="21"/>
              </w:rPr>
            </w:pPr>
            <w:r>
              <w:rPr>
                <w:sz w:val="21"/>
                <w:szCs w:val="21"/>
                <w:lang w:val="fr"/>
              </w:rPr>
              <w:t>10,7</w:t>
            </w:r>
          </w:p>
        </w:tc>
      </w:tr>
      <w:tr w:rsidR="00502FEE" w:rsidRPr="000E7FEA" w14:paraId="25823E05" w14:textId="77777777" w:rsidTr="000E05D3">
        <w:tc>
          <w:tcPr>
            <w:tcW w:w="2502" w:type="dxa"/>
            <w:tcBorders>
              <w:top w:val="nil"/>
              <w:left w:val="single" w:sz="4" w:space="0" w:color="auto"/>
              <w:bottom w:val="single" w:sz="4" w:space="0" w:color="auto"/>
              <w:right w:val="single" w:sz="4" w:space="0" w:color="auto"/>
            </w:tcBorders>
            <w:noWrap/>
            <w:vAlign w:val="bottom"/>
            <w:hideMark/>
          </w:tcPr>
          <w:p w14:paraId="71D612A2" w14:textId="77777777" w:rsidR="00502FEE" w:rsidRPr="000E7FEA" w:rsidRDefault="00502FEE" w:rsidP="000E7A06">
            <w:pPr>
              <w:jc w:val="left"/>
              <w:rPr>
                <w:color w:val="000000"/>
                <w:sz w:val="21"/>
                <w:szCs w:val="21"/>
              </w:rPr>
            </w:pPr>
            <w:r>
              <w:rPr>
                <w:color w:val="000000"/>
                <w:sz w:val="21"/>
                <w:szCs w:val="21"/>
                <w:lang w:val="fr"/>
              </w:rPr>
              <w:t>R-507A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C95D746" w14:textId="77777777" w:rsidR="00502FEE" w:rsidRPr="000E7FEA" w:rsidRDefault="00502FEE" w:rsidP="000E7A06">
            <w:pPr>
              <w:jc w:val="right"/>
              <w:rPr>
                <w:color w:val="000000"/>
                <w:sz w:val="21"/>
                <w:szCs w:val="21"/>
              </w:rPr>
            </w:pPr>
            <w:r>
              <w:rPr>
                <w:color w:val="000000"/>
                <w:sz w:val="21"/>
                <w:szCs w:val="21"/>
                <w:lang w:val="fr"/>
              </w:rPr>
              <w:t>18 202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B706D2C" w14:textId="77777777" w:rsidR="00502FEE" w:rsidRPr="000E7FEA" w:rsidRDefault="00502FEE" w:rsidP="000E7A06">
            <w:pPr>
              <w:jc w:val="right"/>
              <w:rPr>
                <w:color w:val="000000"/>
                <w:sz w:val="21"/>
                <w:szCs w:val="21"/>
              </w:rPr>
            </w:pPr>
            <w:r>
              <w:rPr>
                <w:color w:val="000000"/>
                <w:sz w:val="21"/>
                <w:szCs w:val="21"/>
                <w:lang w:val="fr"/>
              </w:rPr>
              <w:t>31 982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3191B89" w14:textId="77777777" w:rsidR="00502FEE" w:rsidRPr="000E7FEA" w:rsidRDefault="00502FEE" w:rsidP="000E7A06">
            <w:pPr>
              <w:jc w:val="right"/>
              <w:rPr>
                <w:color w:val="000000"/>
                <w:sz w:val="21"/>
                <w:szCs w:val="21"/>
              </w:rPr>
            </w:pPr>
            <w:r>
              <w:rPr>
                <w:color w:val="000000"/>
                <w:sz w:val="21"/>
                <w:szCs w:val="21"/>
                <w:lang w:val="fr"/>
              </w:rPr>
              <w:t>55 964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542157B" w14:textId="77777777" w:rsidR="00502FEE" w:rsidRPr="000E7FEA" w:rsidRDefault="00502FEE" w:rsidP="000E7A06">
            <w:pPr>
              <w:jc w:val="right"/>
              <w:rPr>
                <w:color w:val="000000"/>
                <w:sz w:val="21"/>
                <w:szCs w:val="21"/>
              </w:rPr>
            </w:pPr>
            <w:r>
              <w:rPr>
                <w:color w:val="000000"/>
                <w:sz w:val="21"/>
                <w:szCs w:val="21"/>
                <w:lang w:val="fr"/>
              </w:rPr>
              <w:t>83 845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033F112B" w14:textId="77777777" w:rsidR="00502FEE" w:rsidRPr="000E7FEA" w:rsidRDefault="00502FEE" w:rsidP="000E7A06">
            <w:pPr>
              <w:jc w:val="right"/>
              <w:rPr>
                <w:sz w:val="21"/>
                <w:szCs w:val="21"/>
              </w:rPr>
            </w:pPr>
            <w:r>
              <w:rPr>
                <w:sz w:val="21"/>
                <w:szCs w:val="21"/>
                <w:lang w:val="fr"/>
              </w:rPr>
              <w:t>10,7</w:t>
            </w:r>
          </w:p>
        </w:tc>
      </w:tr>
      <w:tr w:rsidR="00502FEE" w:rsidRPr="000E7FEA" w14:paraId="70AFD557" w14:textId="77777777" w:rsidTr="000E05D3">
        <w:tc>
          <w:tcPr>
            <w:tcW w:w="2502" w:type="dxa"/>
            <w:tcBorders>
              <w:top w:val="nil"/>
              <w:left w:val="single" w:sz="4" w:space="0" w:color="auto"/>
              <w:bottom w:val="single" w:sz="4" w:space="0" w:color="auto"/>
              <w:right w:val="single" w:sz="4" w:space="0" w:color="auto"/>
            </w:tcBorders>
            <w:noWrap/>
            <w:vAlign w:val="bottom"/>
            <w:hideMark/>
          </w:tcPr>
          <w:p w14:paraId="1091FD6B" w14:textId="77777777" w:rsidR="00502FEE" w:rsidRPr="000E7FEA" w:rsidRDefault="00502FEE" w:rsidP="000E7A06">
            <w:pPr>
              <w:jc w:val="left"/>
              <w:rPr>
                <w:color w:val="000000"/>
                <w:sz w:val="21"/>
                <w:szCs w:val="21"/>
              </w:rPr>
            </w:pPr>
            <w:r>
              <w:rPr>
                <w:color w:val="000000"/>
                <w:sz w:val="21"/>
                <w:szCs w:val="21"/>
                <w:lang w:val="fr"/>
              </w:rPr>
              <w:t>HFC-152a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BB3B3CF" w14:textId="77777777" w:rsidR="00502FEE" w:rsidRPr="000E7FEA" w:rsidRDefault="00502FEE" w:rsidP="000E7A06">
            <w:pPr>
              <w:jc w:val="right"/>
              <w:rPr>
                <w:color w:val="000000"/>
                <w:sz w:val="21"/>
                <w:szCs w:val="21"/>
              </w:rPr>
            </w:pPr>
            <w:r>
              <w:rPr>
                <w:color w:val="000000"/>
                <w:sz w:val="21"/>
                <w:szCs w:val="21"/>
                <w:lang w:val="fr"/>
              </w:rPr>
              <w:t>3 364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805E00B" w14:textId="77777777" w:rsidR="00502FEE" w:rsidRPr="000E7FEA" w:rsidRDefault="00502FEE" w:rsidP="000E7A06">
            <w:pPr>
              <w:jc w:val="right"/>
              <w:rPr>
                <w:color w:val="000000"/>
                <w:sz w:val="21"/>
                <w:szCs w:val="21"/>
              </w:rPr>
            </w:pPr>
            <w:r>
              <w:rPr>
                <w:color w:val="000000"/>
                <w:sz w:val="21"/>
                <w:szCs w:val="21"/>
                <w:lang w:val="fr"/>
              </w:rPr>
              <w:t>5 669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470E9A7" w14:textId="77777777" w:rsidR="00502FEE" w:rsidRPr="000E7FEA" w:rsidRDefault="00502FEE" w:rsidP="000E7A06">
            <w:pPr>
              <w:jc w:val="right"/>
              <w:rPr>
                <w:color w:val="000000"/>
                <w:sz w:val="21"/>
                <w:szCs w:val="21"/>
              </w:rPr>
            </w:pPr>
            <w:r>
              <w:rPr>
                <w:color w:val="000000"/>
                <w:sz w:val="21"/>
                <w:szCs w:val="21"/>
                <w:lang w:val="fr"/>
              </w:rPr>
              <w:t>11 280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AC0757A" w14:textId="77777777" w:rsidR="00502FEE" w:rsidRPr="000E7FEA" w:rsidRDefault="00502FEE" w:rsidP="000E7A06">
            <w:pPr>
              <w:jc w:val="right"/>
              <w:rPr>
                <w:color w:val="000000"/>
                <w:sz w:val="21"/>
                <w:szCs w:val="21"/>
              </w:rPr>
            </w:pPr>
            <w:r>
              <w:rPr>
                <w:color w:val="000000"/>
                <w:sz w:val="21"/>
                <w:szCs w:val="21"/>
                <w:lang w:val="fr"/>
              </w:rPr>
              <w:t>15 225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64677992" w14:textId="77777777" w:rsidR="00502FEE" w:rsidRPr="000E7FEA" w:rsidRDefault="00502FEE" w:rsidP="000E7A06">
            <w:pPr>
              <w:jc w:val="right"/>
              <w:rPr>
                <w:sz w:val="21"/>
                <w:szCs w:val="21"/>
              </w:rPr>
            </w:pPr>
            <w:r>
              <w:rPr>
                <w:sz w:val="21"/>
                <w:szCs w:val="21"/>
                <w:lang w:val="fr"/>
              </w:rPr>
              <w:t>10,6</w:t>
            </w:r>
          </w:p>
        </w:tc>
      </w:tr>
      <w:tr w:rsidR="00502FEE" w:rsidRPr="000E7FEA" w14:paraId="748A4D39" w14:textId="77777777" w:rsidTr="000E05D3">
        <w:tc>
          <w:tcPr>
            <w:tcW w:w="2502" w:type="dxa"/>
            <w:tcBorders>
              <w:top w:val="nil"/>
              <w:left w:val="single" w:sz="4" w:space="0" w:color="auto"/>
              <w:bottom w:val="single" w:sz="4" w:space="0" w:color="auto"/>
              <w:right w:val="single" w:sz="4" w:space="0" w:color="auto"/>
            </w:tcBorders>
            <w:noWrap/>
            <w:vAlign w:val="bottom"/>
            <w:hideMark/>
          </w:tcPr>
          <w:p w14:paraId="24985BC0" w14:textId="77777777" w:rsidR="00502FEE" w:rsidRPr="000E7FEA" w:rsidRDefault="00502FEE" w:rsidP="000E7A06">
            <w:pPr>
              <w:jc w:val="left"/>
              <w:rPr>
                <w:color w:val="000000"/>
                <w:sz w:val="21"/>
                <w:szCs w:val="21"/>
              </w:rPr>
            </w:pPr>
            <w:r>
              <w:rPr>
                <w:color w:val="000000"/>
                <w:sz w:val="21"/>
                <w:szCs w:val="21"/>
                <w:lang w:val="fr"/>
              </w:rPr>
              <w:t>HFC-245fa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4049305" w14:textId="77777777" w:rsidR="00502FEE" w:rsidRPr="000E7FEA" w:rsidRDefault="00502FEE" w:rsidP="000E7A06">
            <w:pPr>
              <w:jc w:val="right"/>
              <w:rPr>
                <w:color w:val="000000"/>
                <w:sz w:val="21"/>
                <w:szCs w:val="21"/>
              </w:rPr>
            </w:pPr>
            <w:r>
              <w:rPr>
                <w:color w:val="000000"/>
                <w:sz w:val="21"/>
                <w:szCs w:val="21"/>
                <w:lang w:val="fr"/>
              </w:rPr>
              <w:t>2 172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E88D81F" w14:textId="77777777" w:rsidR="00502FEE" w:rsidRPr="000E7FEA" w:rsidRDefault="00502FEE" w:rsidP="000E7A06">
            <w:pPr>
              <w:jc w:val="right"/>
              <w:rPr>
                <w:color w:val="000000"/>
                <w:sz w:val="21"/>
                <w:szCs w:val="21"/>
              </w:rPr>
            </w:pPr>
            <w:r>
              <w:rPr>
                <w:color w:val="000000"/>
                <w:sz w:val="21"/>
                <w:szCs w:val="21"/>
                <w:lang w:val="fr"/>
              </w:rPr>
              <w:t>3 840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2D7E4AC" w14:textId="77777777" w:rsidR="00502FEE" w:rsidRPr="000E7FEA" w:rsidRDefault="00502FEE" w:rsidP="000E7A06">
            <w:pPr>
              <w:jc w:val="right"/>
              <w:rPr>
                <w:color w:val="000000"/>
                <w:sz w:val="21"/>
                <w:szCs w:val="21"/>
              </w:rPr>
            </w:pPr>
            <w:r>
              <w:rPr>
                <w:color w:val="000000"/>
                <w:sz w:val="21"/>
                <w:szCs w:val="21"/>
                <w:lang w:val="fr"/>
              </w:rPr>
              <w:t>4 986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F6C51EE" w14:textId="77777777" w:rsidR="00502FEE" w:rsidRPr="000E7FEA" w:rsidRDefault="00502FEE" w:rsidP="000E7A06">
            <w:pPr>
              <w:jc w:val="right"/>
              <w:rPr>
                <w:color w:val="000000"/>
                <w:sz w:val="21"/>
                <w:szCs w:val="21"/>
              </w:rPr>
            </w:pPr>
            <w:r>
              <w:rPr>
                <w:color w:val="000000"/>
                <w:sz w:val="21"/>
                <w:szCs w:val="21"/>
                <w:lang w:val="fr"/>
              </w:rPr>
              <w:t>5 504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09900130" w14:textId="77777777" w:rsidR="00502FEE" w:rsidRPr="000E7FEA" w:rsidRDefault="00502FEE" w:rsidP="000E7A06">
            <w:pPr>
              <w:jc w:val="right"/>
              <w:rPr>
                <w:sz w:val="21"/>
                <w:szCs w:val="21"/>
              </w:rPr>
            </w:pPr>
            <w:r>
              <w:rPr>
                <w:sz w:val="21"/>
                <w:szCs w:val="21"/>
                <w:lang w:val="fr"/>
              </w:rPr>
              <w:t>6,4</w:t>
            </w:r>
          </w:p>
        </w:tc>
      </w:tr>
      <w:tr w:rsidR="00502FEE" w:rsidRPr="000E7FEA" w14:paraId="17E4E545" w14:textId="77777777" w:rsidTr="000E05D3">
        <w:tc>
          <w:tcPr>
            <w:tcW w:w="2502" w:type="dxa"/>
            <w:tcBorders>
              <w:top w:val="nil"/>
              <w:left w:val="single" w:sz="4" w:space="0" w:color="auto"/>
              <w:bottom w:val="single" w:sz="4" w:space="0" w:color="auto"/>
              <w:right w:val="single" w:sz="4" w:space="0" w:color="auto"/>
            </w:tcBorders>
            <w:noWrap/>
            <w:vAlign w:val="bottom"/>
            <w:hideMark/>
          </w:tcPr>
          <w:p w14:paraId="78C18C26" w14:textId="77777777" w:rsidR="00502FEE" w:rsidRPr="000E7FEA" w:rsidRDefault="00502FEE" w:rsidP="000E7A06">
            <w:pPr>
              <w:jc w:val="left"/>
              <w:rPr>
                <w:color w:val="000000"/>
                <w:sz w:val="21"/>
                <w:szCs w:val="21"/>
              </w:rPr>
            </w:pPr>
            <w:r>
              <w:rPr>
                <w:color w:val="000000"/>
                <w:sz w:val="21"/>
                <w:szCs w:val="21"/>
                <w:lang w:val="fr"/>
              </w:rPr>
              <w:t>HFC-365mfc/HFC-227ea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42A852B" w14:textId="77777777" w:rsidR="00502FEE" w:rsidRPr="000E7FEA" w:rsidRDefault="00502FEE" w:rsidP="000E7A06">
            <w:pPr>
              <w:jc w:val="right"/>
              <w:rPr>
                <w:color w:val="000000"/>
                <w:sz w:val="21"/>
                <w:szCs w:val="21"/>
              </w:rPr>
            </w:pPr>
            <w:r>
              <w:rPr>
                <w:color w:val="000000"/>
                <w:sz w:val="21"/>
                <w:szCs w:val="21"/>
                <w:lang w:val="fr"/>
              </w:rPr>
              <w:t>1 758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E4383BB" w14:textId="77777777" w:rsidR="00502FEE" w:rsidRPr="000E7FEA" w:rsidRDefault="00502FEE" w:rsidP="000E7A06">
            <w:pPr>
              <w:jc w:val="right"/>
              <w:rPr>
                <w:color w:val="000000"/>
                <w:sz w:val="21"/>
                <w:szCs w:val="21"/>
              </w:rPr>
            </w:pPr>
            <w:r>
              <w:rPr>
                <w:color w:val="000000"/>
                <w:sz w:val="21"/>
                <w:szCs w:val="21"/>
                <w:lang w:val="fr"/>
              </w:rPr>
              <w:t>3 428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F219737" w14:textId="77777777" w:rsidR="00502FEE" w:rsidRPr="000E7FEA" w:rsidRDefault="00502FEE" w:rsidP="000E7A06">
            <w:pPr>
              <w:jc w:val="right"/>
              <w:rPr>
                <w:color w:val="000000"/>
                <w:sz w:val="21"/>
                <w:szCs w:val="21"/>
              </w:rPr>
            </w:pPr>
            <w:r>
              <w:rPr>
                <w:color w:val="000000"/>
                <w:sz w:val="21"/>
                <w:szCs w:val="21"/>
                <w:lang w:val="fr"/>
              </w:rPr>
              <w:t>4 546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6B3039B" w14:textId="77777777" w:rsidR="00502FEE" w:rsidRPr="000E7FEA" w:rsidRDefault="00502FEE" w:rsidP="000E7A06">
            <w:pPr>
              <w:jc w:val="right"/>
              <w:rPr>
                <w:color w:val="000000"/>
                <w:sz w:val="21"/>
                <w:szCs w:val="21"/>
              </w:rPr>
            </w:pPr>
            <w:r>
              <w:rPr>
                <w:color w:val="000000"/>
                <w:sz w:val="21"/>
                <w:szCs w:val="21"/>
                <w:lang w:val="fr"/>
              </w:rPr>
              <w:t>5 020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3C9E16FE" w14:textId="77777777" w:rsidR="00502FEE" w:rsidRPr="000E7FEA" w:rsidRDefault="00502FEE" w:rsidP="000E7A06">
            <w:pPr>
              <w:jc w:val="right"/>
              <w:rPr>
                <w:sz w:val="21"/>
                <w:szCs w:val="21"/>
              </w:rPr>
            </w:pPr>
            <w:r>
              <w:rPr>
                <w:sz w:val="21"/>
                <w:szCs w:val="21"/>
                <w:lang w:val="fr"/>
              </w:rPr>
              <w:t>7,2</w:t>
            </w:r>
          </w:p>
        </w:tc>
      </w:tr>
      <w:tr w:rsidR="00502FEE" w:rsidRPr="000E7FEA" w14:paraId="091D2031" w14:textId="77777777" w:rsidTr="000E05D3">
        <w:tc>
          <w:tcPr>
            <w:tcW w:w="2502" w:type="dxa"/>
            <w:tcBorders>
              <w:top w:val="nil"/>
              <w:left w:val="single" w:sz="4" w:space="0" w:color="auto"/>
              <w:bottom w:val="single" w:sz="4" w:space="0" w:color="auto"/>
              <w:right w:val="single" w:sz="4" w:space="0" w:color="auto"/>
            </w:tcBorders>
            <w:noWrap/>
            <w:vAlign w:val="bottom"/>
            <w:hideMark/>
          </w:tcPr>
          <w:p w14:paraId="433C371F" w14:textId="77777777" w:rsidR="00502FEE" w:rsidRPr="000E7FEA" w:rsidRDefault="00502FEE" w:rsidP="000E7A06">
            <w:pPr>
              <w:jc w:val="left"/>
              <w:rPr>
                <w:color w:val="000000"/>
                <w:sz w:val="21"/>
                <w:szCs w:val="21"/>
              </w:rPr>
            </w:pPr>
            <w:r>
              <w:rPr>
                <w:color w:val="000000"/>
                <w:sz w:val="21"/>
                <w:szCs w:val="21"/>
                <w:lang w:val="fr"/>
              </w:rPr>
              <w:t>Total</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81B7CCC" w14:textId="77777777" w:rsidR="00502FEE" w:rsidRPr="000E7FEA" w:rsidRDefault="00502FEE" w:rsidP="000E7A06">
            <w:pPr>
              <w:jc w:val="right"/>
              <w:rPr>
                <w:color w:val="000000"/>
                <w:sz w:val="21"/>
                <w:szCs w:val="21"/>
              </w:rPr>
            </w:pPr>
            <w:r>
              <w:rPr>
                <w:color w:val="000000"/>
                <w:sz w:val="21"/>
                <w:szCs w:val="21"/>
                <w:lang w:val="fr"/>
              </w:rPr>
              <w:t>284 325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18F8476" w14:textId="77777777" w:rsidR="00502FEE" w:rsidRPr="000E7FEA" w:rsidRDefault="00502FEE" w:rsidP="000E7A06">
            <w:pPr>
              <w:jc w:val="right"/>
              <w:rPr>
                <w:color w:val="000000"/>
                <w:sz w:val="21"/>
                <w:szCs w:val="21"/>
              </w:rPr>
            </w:pPr>
            <w:r>
              <w:rPr>
                <w:color w:val="000000"/>
                <w:sz w:val="21"/>
                <w:szCs w:val="21"/>
                <w:lang w:val="fr"/>
              </w:rPr>
              <w:t>477 618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9D98181" w14:textId="77777777" w:rsidR="00502FEE" w:rsidRPr="000E7FEA" w:rsidRDefault="00502FEE" w:rsidP="000E7A06">
            <w:pPr>
              <w:jc w:val="right"/>
              <w:rPr>
                <w:color w:val="000000"/>
                <w:sz w:val="21"/>
                <w:szCs w:val="21"/>
              </w:rPr>
            </w:pPr>
            <w:r>
              <w:rPr>
                <w:color w:val="000000"/>
                <w:sz w:val="21"/>
                <w:szCs w:val="21"/>
                <w:lang w:val="fr"/>
              </w:rPr>
              <w:t>731 402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849F525" w14:textId="77777777" w:rsidR="00502FEE" w:rsidRPr="000E7FEA" w:rsidRDefault="00502FEE" w:rsidP="000E7A06">
            <w:pPr>
              <w:jc w:val="right"/>
              <w:rPr>
                <w:color w:val="000000"/>
                <w:sz w:val="21"/>
                <w:szCs w:val="21"/>
              </w:rPr>
            </w:pPr>
            <w:r>
              <w:rPr>
                <w:color w:val="000000"/>
                <w:sz w:val="21"/>
                <w:szCs w:val="21"/>
                <w:lang w:val="fr"/>
              </w:rPr>
              <w:t>1 021 216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484E90FD" w14:textId="77777777" w:rsidR="00502FEE" w:rsidRPr="000E7FEA" w:rsidRDefault="00502FEE" w:rsidP="000E7A06">
            <w:pPr>
              <w:jc w:val="right"/>
              <w:rPr>
                <w:sz w:val="21"/>
                <w:szCs w:val="21"/>
              </w:rPr>
            </w:pPr>
            <w:r>
              <w:rPr>
                <w:sz w:val="21"/>
                <w:szCs w:val="21"/>
                <w:lang w:val="fr"/>
              </w:rPr>
              <w:t>8,9</w:t>
            </w:r>
          </w:p>
        </w:tc>
      </w:tr>
    </w:tbl>
    <w:p w14:paraId="3D68A8F4" w14:textId="77777777" w:rsidR="00502FEE" w:rsidRPr="005703FE" w:rsidRDefault="00502FEE" w:rsidP="00502FEE">
      <w:pPr>
        <w:ind w:left="1440" w:hanging="1440"/>
        <w:outlineLvl w:val="0"/>
        <w:rPr>
          <w:sz w:val="20"/>
          <w:szCs w:val="20"/>
          <w:lang w:val="fr-FR"/>
        </w:rPr>
      </w:pPr>
      <w:r>
        <w:rPr>
          <w:sz w:val="20"/>
          <w:szCs w:val="20"/>
          <w:lang w:val="fr"/>
        </w:rPr>
        <w:t>* Taux de croissance moyen entre 2015 et 2030.</w:t>
      </w:r>
    </w:p>
    <w:p w14:paraId="73267879" w14:textId="77777777" w:rsidR="00502FEE" w:rsidRPr="005703FE" w:rsidRDefault="00502FEE" w:rsidP="00502FEE">
      <w:pPr>
        <w:ind w:left="1440" w:hanging="1440"/>
        <w:outlineLvl w:val="0"/>
        <w:rPr>
          <w:lang w:val="fr-FR"/>
        </w:rPr>
      </w:pPr>
    </w:p>
    <w:p w14:paraId="3558F785" w14:textId="4208C96C" w:rsidR="00E522C7" w:rsidRPr="00E522C7" w:rsidRDefault="007C7512" w:rsidP="00E522C7">
      <w:pPr>
        <w:pStyle w:val="Heading1"/>
        <w:rPr>
          <w:lang w:val="fr-FR"/>
        </w:rPr>
      </w:pPr>
      <w:r>
        <w:rPr>
          <w:lang w:val="fr"/>
        </w:rPr>
        <w:t xml:space="preserve">Conformément au calendrier de mise en conformité du Protocole de Montréal, la consommation totale de HCFC devrait passer d’un maximum de 348 219 tm (23 225 tonnes PAO) en 2020 à 13 393 tm (893 tonnes PAO) en 2030 (soit une réduction de 334 826 tm), comme indiqué au tableau 4. </w:t>
      </w:r>
    </w:p>
    <w:p w14:paraId="79773576" w14:textId="77777777" w:rsidR="00E522C7" w:rsidRDefault="00E522C7" w:rsidP="00DA4013">
      <w:pPr>
        <w:keepNext/>
        <w:keepLines/>
        <w:rPr>
          <w:b/>
          <w:bCs/>
          <w:sz w:val="21"/>
          <w:szCs w:val="21"/>
          <w:lang w:val="fr-FR"/>
        </w:rPr>
      </w:pPr>
    </w:p>
    <w:p w14:paraId="684F55D9" w14:textId="53E0FDD8" w:rsidR="00502FEE" w:rsidRPr="005703FE" w:rsidRDefault="00502FEE" w:rsidP="00DA4013">
      <w:pPr>
        <w:keepNext/>
        <w:keepLines/>
        <w:rPr>
          <w:b/>
          <w:sz w:val="21"/>
          <w:szCs w:val="21"/>
          <w:lang w:val="fr-FR"/>
        </w:rPr>
      </w:pPr>
      <w:r>
        <w:rPr>
          <w:b/>
          <w:bCs/>
          <w:sz w:val="21"/>
          <w:szCs w:val="21"/>
          <w:lang w:val="fr"/>
        </w:rPr>
        <w:t>Tableau 4. Consommation maximale admissible de HCFC pendant la période 2020-2030</w:t>
      </w:r>
    </w:p>
    <w:tbl>
      <w:tblPr>
        <w:tblW w:w="9247" w:type="dxa"/>
        <w:tblInd w:w="108" w:type="dxa"/>
        <w:tblLayout w:type="fixed"/>
        <w:tblLook w:val="04A0" w:firstRow="1" w:lastRow="0" w:firstColumn="1" w:lastColumn="0" w:noHBand="0" w:noVBand="1"/>
      </w:tblPr>
      <w:tblGrid>
        <w:gridCol w:w="3127"/>
        <w:gridCol w:w="1530"/>
        <w:gridCol w:w="1530"/>
        <w:gridCol w:w="1530"/>
        <w:gridCol w:w="1530"/>
      </w:tblGrid>
      <w:tr w:rsidR="00502FEE" w14:paraId="0EC4DBEB" w14:textId="77777777" w:rsidTr="00731B08">
        <w:trPr>
          <w:tblHeader/>
        </w:trPr>
        <w:tc>
          <w:tcPr>
            <w:tcW w:w="3127" w:type="dxa"/>
            <w:tcBorders>
              <w:top w:val="single" w:sz="4" w:space="0" w:color="auto"/>
              <w:left w:val="single" w:sz="4" w:space="0" w:color="auto"/>
              <w:bottom w:val="single" w:sz="4" w:space="0" w:color="auto"/>
              <w:right w:val="single" w:sz="4" w:space="0" w:color="auto"/>
            </w:tcBorders>
            <w:noWrap/>
            <w:vAlign w:val="bottom"/>
            <w:hideMark/>
          </w:tcPr>
          <w:p w14:paraId="469D5FF7" w14:textId="77777777" w:rsidR="00502FEE" w:rsidRDefault="00502FEE" w:rsidP="00DA4013">
            <w:pPr>
              <w:keepNext/>
              <w:keepLines/>
              <w:jc w:val="left"/>
              <w:rPr>
                <w:b/>
                <w:bCs/>
                <w:color w:val="000000"/>
                <w:sz w:val="21"/>
                <w:szCs w:val="21"/>
              </w:rPr>
            </w:pPr>
            <w:r>
              <w:rPr>
                <w:b/>
                <w:bCs/>
                <w:color w:val="000000"/>
                <w:sz w:val="21"/>
                <w:szCs w:val="21"/>
                <w:lang w:val="fr"/>
              </w:rPr>
              <w:t>Substance réglementée</w:t>
            </w:r>
          </w:p>
        </w:tc>
        <w:tc>
          <w:tcPr>
            <w:tcW w:w="1530" w:type="dxa"/>
            <w:tcBorders>
              <w:top w:val="single" w:sz="4" w:space="0" w:color="auto"/>
              <w:left w:val="nil"/>
              <w:bottom w:val="single" w:sz="4" w:space="0" w:color="auto"/>
              <w:right w:val="single" w:sz="4" w:space="0" w:color="auto"/>
            </w:tcBorders>
            <w:noWrap/>
            <w:vAlign w:val="center"/>
            <w:hideMark/>
          </w:tcPr>
          <w:p w14:paraId="1E77636B" w14:textId="77777777" w:rsidR="00502FEE" w:rsidRDefault="00502FEE" w:rsidP="00DA4013">
            <w:pPr>
              <w:keepNext/>
              <w:keepLines/>
              <w:jc w:val="center"/>
              <w:rPr>
                <w:b/>
                <w:bCs/>
                <w:color w:val="000000"/>
                <w:sz w:val="21"/>
                <w:szCs w:val="21"/>
              </w:rPr>
            </w:pPr>
            <w:r>
              <w:rPr>
                <w:b/>
                <w:bCs/>
                <w:color w:val="000000"/>
                <w:sz w:val="21"/>
                <w:szCs w:val="21"/>
                <w:lang w:val="fr"/>
              </w:rPr>
              <w:t>Référence</w:t>
            </w:r>
          </w:p>
        </w:tc>
        <w:tc>
          <w:tcPr>
            <w:tcW w:w="1530" w:type="dxa"/>
            <w:tcBorders>
              <w:top w:val="single" w:sz="4" w:space="0" w:color="auto"/>
              <w:left w:val="nil"/>
              <w:bottom w:val="single" w:sz="4" w:space="0" w:color="auto"/>
              <w:right w:val="single" w:sz="4" w:space="0" w:color="auto"/>
            </w:tcBorders>
            <w:noWrap/>
            <w:vAlign w:val="center"/>
            <w:hideMark/>
          </w:tcPr>
          <w:p w14:paraId="652DCDCB" w14:textId="77777777" w:rsidR="00502FEE" w:rsidRDefault="00502FEE" w:rsidP="00DA4013">
            <w:pPr>
              <w:keepNext/>
              <w:keepLines/>
              <w:jc w:val="center"/>
              <w:rPr>
                <w:b/>
                <w:bCs/>
                <w:color w:val="000000"/>
                <w:sz w:val="21"/>
                <w:szCs w:val="21"/>
              </w:rPr>
            </w:pPr>
            <w:r>
              <w:rPr>
                <w:b/>
                <w:bCs/>
                <w:color w:val="000000"/>
                <w:sz w:val="21"/>
                <w:szCs w:val="21"/>
                <w:lang w:val="fr"/>
              </w:rPr>
              <w:t>2020</w:t>
            </w:r>
          </w:p>
        </w:tc>
        <w:tc>
          <w:tcPr>
            <w:tcW w:w="1530" w:type="dxa"/>
            <w:tcBorders>
              <w:top w:val="single" w:sz="4" w:space="0" w:color="auto"/>
              <w:left w:val="nil"/>
              <w:bottom w:val="single" w:sz="4" w:space="0" w:color="auto"/>
              <w:right w:val="single" w:sz="4" w:space="0" w:color="auto"/>
            </w:tcBorders>
            <w:noWrap/>
            <w:vAlign w:val="center"/>
            <w:hideMark/>
          </w:tcPr>
          <w:p w14:paraId="293CE15B" w14:textId="77777777" w:rsidR="00502FEE" w:rsidRDefault="00502FEE" w:rsidP="00DA4013">
            <w:pPr>
              <w:keepNext/>
              <w:keepLines/>
              <w:jc w:val="center"/>
              <w:rPr>
                <w:b/>
                <w:bCs/>
                <w:color w:val="000000"/>
                <w:sz w:val="21"/>
                <w:szCs w:val="21"/>
              </w:rPr>
            </w:pPr>
            <w:r>
              <w:rPr>
                <w:b/>
                <w:bCs/>
                <w:color w:val="000000"/>
                <w:sz w:val="21"/>
                <w:szCs w:val="21"/>
                <w:lang w:val="fr"/>
              </w:rPr>
              <w:t>2025</w:t>
            </w:r>
          </w:p>
        </w:tc>
        <w:tc>
          <w:tcPr>
            <w:tcW w:w="1530" w:type="dxa"/>
            <w:tcBorders>
              <w:top w:val="single" w:sz="4" w:space="0" w:color="auto"/>
              <w:left w:val="nil"/>
              <w:bottom w:val="single" w:sz="4" w:space="0" w:color="auto"/>
              <w:right w:val="single" w:sz="4" w:space="0" w:color="auto"/>
            </w:tcBorders>
            <w:noWrap/>
            <w:vAlign w:val="center"/>
            <w:hideMark/>
          </w:tcPr>
          <w:p w14:paraId="1F9E1629" w14:textId="77777777" w:rsidR="00502FEE" w:rsidRDefault="00502FEE" w:rsidP="00DA4013">
            <w:pPr>
              <w:keepNext/>
              <w:keepLines/>
              <w:jc w:val="center"/>
              <w:rPr>
                <w:b/>
                <w:bCs/>
                <w:color w:val="000000"/>
                <w:sz w:val="21"/>
                <w:szCs w:val="21"/>
              </w:rPr>
            </w:pPr>
            <w:r>
              <w:rPr>
                <w:b/>
                <w:bCs/>
                <w:color w:val="000000"/>
                <w:sz w:val="21"/>
                <w:szCs w:val="21"/>
                <w:lang w:val="fr"/>
              </w:rPr>
              <w:t>2030</w:t>
            </w:r>
          </w:p>
        </w:tc>
      </w:tr>
      <w:tr w:rsidR="00502FEE" w14:paraId="0F23669C" w14:textId="77777777" w:rsidTr="00731B08">
        <w:tc>
          <w:tcPr>
            <w:tcW w:w="3127" w:type="dxa"/>
            <w:tcBorders>
              <w:top w:val="nil"/>
              <w:left w:val="single" w:sz="4" w:space="0" w:color="auto"/>
              <w:bottom w:val="single" w:sz="4" w:space="0" w:color="auto"/>
              <w:right w:val="single" w:sz="4" w:space="0" w:color="auto"/>
            </w:tcBorders>
            <w:noWrap/>
            <w:vAlign w:val="bottom"/>
            <w:hideMark/>
          </w:tcPr>
          <w:p w14:paraId="3135829D" w14:textId="77777777" w:rsidR="00502FEE" w:rsidRDefault="00502FEE" w:rsidP="000E7A06">
            <w:pPr>
              <w:jc w:val="left"/>
              <w:rPr>
                <w:b/>
                <w:bCs/>
                <w:color w:val="000000"/>
                <w:sz w:val="21"/>
                <w:szCs w:val="21"/>
              </w:rPr>
            </w:pPr>
            <w:r>
              <w:rPr>
                <w:b/>
                <w:bCs/>
                <w:color w:val="000000"/>
                <w:sz w:val="21"/>
                <w:szCs w:val="21"/>
                <w:lang w:val="fr"/>
              </w:rPr>
              <w:t>HCFC (tm)*</w:t>
            </w:r>
          </w:p>
        </w:tc>
        <w:tc>
          <w:tcPr>
            <w:tcW w:w="1530" w:type="dxa"/>
            <w:tcBorders>
              <w:top w:val="nil"/>
              <w:left w:val="nil"/>
              <w:bottom w:val="single" w:sz="4" w:space="0" w:color="auto"/>
              <w:right w:val="single" w:sz="4" w:space="0" w:color="auto"/>
            </w:tcBorders>
            <w:noWrap/>
            <w:vAlign w:val="center"/>
            <w:hideMark/>
          </w:tcPr>
          <w:p w14:paraId="6CE09C5F" w14:textId="77777777" w:rsidR="00502FEE" w:rsidRDefault="00502FEE" w:rsidP="000E7A06">
            <w:pPr>
              <w:rPr>
                <w:b/>
                <w:bCs/>
                <w:color w:val="000000"/>
                <w:sz w:val="21"/>
                <w:szCs w:val="21"/>
              </w:rPr>
            </w:pPr>
          </w:p>
        </w:tc>
        <w:tc>
          <w:tcPr>
            <w:tcW w:w="1530" w:type="dxa"/>
            <w:tcBorders>
              <w:top w:val="nil"/>
              <w:left w:val="nil"/>
              <w:bottom w:val="single" w:sz="4" w:space="0" w:color="auto"/>
              <w:right w:val="single" w:sz="4" w:space="0" w:color="auto"/>
            </w:tcBorders>
            <w:noWrap/>
            <w:vAlign w:val="center"/>
            <w:hideMark/>
          </w:tcPr>
          <w:p w14:paraId="7FDBD275" w14:textId="77777777" w:rsidR="00502FEE" w:rsidRDefault="00502FEE" w:rsidP="000E7A06">
            <w:pPr>
              <w:jc w:val="left"/>
              <w:rPr>
                <w:sz w:val="20"/>
                <w:szCs w:val="20"/>
              </w:rPr>
            </w:pPr>
          </w:p>
        </w:tc>
        <w:tc>
          <w:tcPr>
            <w:tcW w:w="1530" w:type="dxa"/>
            <w:tcBorders>
              <w:top w:val="nil"/>
              <w:left w:val="nil"/>
              <w:bottom w:val="single" w:sz="4" w:space="0" w:color="auto"/>
              <w:right w:val="single" w:sz="4" w:space="0" w:color="auto"/>
            </w:tcBorders>
            <w:noWrap/>
            <w:vAlign w:val="center"/>
            <w:hideMark/>
          </w:tcPr>
          <w:p w14:paraId="2F25CCB7" w14:textId="77777777" w:rsidR="00502FEE" w:rsidRDefault="00502FEE" w:rsidP="000E7A06">
            <w:pPr>
              <w:jc w:val="left"/>
              <w:rPr>
                <w:sz w:val="20"/>
                <w:szCs w:val="20"/>
              </w:rPr>
            </w:pPr>
          </w:p>
        </w:tc>
        <w:tc>
          <w:tcPr>
            <w:tcW w:w="1530" w:type="dxa"/>
            <w:tcBorders>
              <w:top w:val="nil"/>
              <w:left w:val="nil"/>
              <w:bottom w:val="single" w:sz="4" w:space="0" w:color="auto"/>
              <w:right w:val="single" w:sz="4" w:space="0" w:color="auto"/>
            </w:tcBorders>
            <w:noWrap/>
            <w:vAlign w:val="center"/>
            <w:hideMark/>
          </w:tcPr>
          <w:p w14:paraId="582B45D8" w14:textId="77777777" w:rsidR="00502FEE" w:rsidRDefault="00502FEE" w:rsidP="000E7A06">
            <w:pPr>
              <w:jc w:val="left"/>
              <w:rPr>
                <w:sz w:val="20"/>
                <w:szCs w:val="20"/>
              </w:rPr>
            </w:pPr>
          </w:p>
        </w:tc>
      </w:tr>
      <w:tr w:rsidR="00502FEE" w14:paraId="46D8473E" w14:textId="77777777" w:rsidTr="00731B08">
        <w:tc>
          <w:tcPr>
            <w:tcW w:w="3127" w:type="dxa"/>
            <w:tcBorders>
              <w:top w:val="nil"/>
              <w:left w:val="single" w:sz="4" w:space="0" w:color="auto"/>
              <w:bottom w:val="single" w:sz="4" w:space="0" w:color="auto"/>
              <w:right w:val="single" w:sz="4" w:space="0" w:color="auto"/>
            </w:tcBorders>
            <w:noWrap/>
            <w:vAlign w:val="bottom"/>
            <w:hideMark/>
          </w:tcPr>
          <w:p w14:paraId="5C241ACE" w14:textId="77777777" w:rsidR="00502FEE" w:rsidRDefault="00502FEE" w:rsidP="000E7A06">
            <w:pPr>
              <w:jc w:val="left"/>
              <w:rPr>
                <w:color w:val="000000"/>
                <w:sz w:val="21"/>
                <w:szCs w:val="21"/>
              </w:rPr>
            </w:pPr>
            <w:r>
              <w:rPr>
                <w:color w:val="000000"/>
                <w:sz w:val="21"/>
                <w:szCs w:val="21"/>
                <w:lang w:val="fr"/>
              </w:rPr>
              <w:t>HCFC-22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0252A26" w14:textId="77777777" w:rsidR="00502FEE" w:rsidRDefault="00502FEE" w:rsidP="000E7A06">
            <w:pPr>
              <w:jc w:val="right"/>
              <w:rPr>
                <w:color w:val="000000"/>
                <w:sz w:val="21"/>
                <w:szCs w:val="21"/>
              </w:rPr>
            </w:pPr>
            <w:r>
              <w:rPr>
                <w:color w:val="000000"/>
                <w:sz w:val="21"/>
                <w:szCs w:val="21"/>
                <w:lang w:val="fr"/>
              </w:rPr>
              <w:t>394 655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CCEE16C" w14:textId="77777777" w:rsidR="00502FEE" w:rsidRDefault="00502FEE" w:rsidP="000E7A06">
            <w:pPr>
              <w:jc w:val="right"/>
              <w:rPr>
                <w:color w:val="000000"/>
                <w:sz w:val="21"/>
                <w:szCs w:val="21"/>
              </w:rPr>
            </w:pPr>
            <w:r>
              <w:rPr>
                <w:color w:val="000000"/>
                <w:sz w:val="21"/>
                <w:szCs w:val="21"/>
                <w:lang w:val="fr"/>
              </w:rPr>
              <w:t>256 525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7AAE28D" w14:textId="77777777" w:rsidR="00502FEE" w:rsidRDefault="00502FEE" w:rsidP="000E7A06">
            <w:pPr>
              <w:jc w:val="right"/>
              <w:rPr>
                <w:color w:val="000000"/>
                <w:sz w:val="21"/>
                <w:szCs w:val="21"/>
              </w:rPr>
            </w:pPr>
            <w:r>
              <w:rPr>
                <w:color w:val="000000"/>
                <w:sz w:val="21"/>
                <w:szCs w:val="21"/>
                <w:lang w:val="fr"/>
              </w:rPr>
              <w:t>128 263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1C1E76E" w14:textId="77777777" w:rsidR="00502FEE" w:rsidRDefault="00502FEE" w:rsidP="000E7A06">
            <w:pPr>
              <w:jc w:val="right"/>
              <w:rPr>
                <w:color w:val="000000"/>
                <w:sz w:val="21"/>
                <w:szCs w:val="21"/>
              </w:rPr>
            </w:pPr>
            <w:r>
              <w:rPr>
                <w:color w:val="000000"/>
                <w:sz w:val="21"/>
                <w:szCs w:val="21"/>
                <w:lang w:val="fr"/>
              </w:rPr>
              <w:t>9 866</w:t>
            </w:r>
          </w:p>
        </w:tc>
      </w:tr>
      <w:tr w:rsidR="00502FEE" w14:paraId="31D0420D" w14:textId="77777777" w:rsidTr="00731B08">
        <w:tc>
          <w:tcPr>
            <w:tcW w:w="3127" w:type="dxa"/>
            <w:tcBorders>
              <w:top w:val="nil"/>
              <w:left w:val="single" w:sz="4" w:space="0" w:color="auto"/>
              <w:bottom w:val="single" w:sz="4" w:space="0" w:color="auto"/>
              <w:right w:val="single" w:sz="4" w:space="0" w:color="auto"/>
            </w:tcBorders>
            <w:noWrap/>
            <w:vAlign w:val="bottom"/>
            <w:hideMark/>
          </w:tcPr>
          <w:p w14:paraId="7231FF05" w14:textId="77777777" w:rsidR="00502FEE" w:rsidRDefault="00502FEE" w:rsidP="000E7A06">
            <w:pPr>
              <w:jc w:val="left"/>
              <w:rPr>
                <w:color w:val="000000"/>
                <w:sz w:val="21"/>
                <w:szCs w:val="21"/>
              </w:rPr>
            </w:pPr>
            <w:r>
              <w:rPr>
                <w:color w:val="000000"/>
                <w:sz w:val="21"/>
                <w:szCs w:val="21"/>
                <w:lang w:val="fr"/>
              </w:rPr>
              <w:t>HCFC-141b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311596F" w14:textId="77777777" w:rsidR="00502FEE" w:rsidRDefault="00502FEE" w:rsidP="000E7A06">
            <w:pPr>
              <w:jc w:val="right"/>
              <w:rPr>
                <w:color w:val="000000"/>
                <w:sz w:val="21"/>
                <w:szCs w:val="21"/>
              </w:rPr>
            </w:pPr>
            <w:r>
              <w:rPr>
                <w:color w:val="000000"/>
                <w:sz w:val="21"/>
                <w:szCs w:val="21"/>
                <w:lang w:val="fr"/>
              </w:rPr>
              <w:t>107 872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BA0991E" w14:textId="77777777" w:rsidR="00502FEE" w:rsidRDefault="00502FEE" w:rsidP="000E7A06">
            <w:pPr>
              <w:jc w:val="right"/>
              <w:rPr>
                <w:color w:val="000000"/>
                <w:sz w:val="21"/>
                <w:szCs w:val="21"/>
              </w:rPr>
            </w:pPr>
            <w:r>
              <w:rPr>
                <w:color w:val="000000"/>
                <w:sz w:val="21"/>
                <w:szCs w:val="21"/>
                <w:lang w:val="fr"/>
              </w:rPr>
              <w:t>70 117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B1EEAAA" w14:textId="77777777" w:rsidR="00502FEE" w:rsidRDefault="00502FEE" w:rsidP="000E7A06">
            <w:pPr>
              <w:jc w:val="right"/>
              <w:rPr>
                <w:color w:val="000000"/>
                <w:sz w:val="21"/>
                <w:szCs w:val="21"/>
              </w:rPr>
            </w:pPr>
            <w:r>
              <w:rPr>
                <w:color w:val="000000"/>
                <w:sz w:val="21"/>
                <w:szCs w:val="21"/>
                <w:lang w:val="fr"/>
              </w:rPr>
              <w:t>35 058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C1D79A4" w14:textId="77777777" w:rsidR="00502FEE" w:rsidRDefault="00502FEE" w:rsidP="000E7A06">
            <w:pPr>
              <w:jc w:val="right"/>
              <w:rPr>
                <w:color w:val="000000"/>
                <w:sz w:val="21"/>
                <w:szCs w:val="21"/>
              </w:rPr>
            </w:pPr>
            <w:r>
              <w:rPr>
                <w:color w:val="000000"/>
                <w:sz w:val="21"/>
                <w:szCs w:val="21"/>
                <w:lang w:val="fr"/>
              </w:rPr>
              <w:t>2 697</w:t>
            </w:r>
          </w:p>
        </w:tc>
      </w:tr>
      <w:tr w:rsidR="00502FEE" w14:paraId="0BB6521F" w14:textId="77777777" w:rsidTr="00731B08">
        <w:tc>
          <w:tcPr>
            <w:tcW w:w="3127" w:type="dxa"/>
            <w:tcBorders>
              <w:top w:val="nil"/>
              <w:left w:val="single" w:sz="4" w:space="0" w:color="auto"/>
              <w:bottom w:val="single" w:sz="4" w:space="0" w:color="auto"/>
              <w:right w:val="single" w:sz="4" w:space="0" w:color="auto"/>
            </w:tcBorders>
            <w:noWrap/>
            <w:vAlign w:val="bottom"/>
            <w:hideMark/>
          </w:tcPr>
          <w:p w14:paraId="1D82AC6A" w14:textId="77777777" w:rsidR="00502FEE" w:rsidRDefault="00502FEE" w:rsidP="000E7A06">
            <w:pPr>
              <w:jc w:val="left"/>
              <w:rPr>
                <w:color w:val="000000"/>
                <w:sz w:val="21"/>
                <w:szCs w:val="21"/>
              </w:rPr>
            </w:pPr>
            <w:r>
              <w:rPr>
                <w:color w:val="000000"/>
                <w:sz w:val="21"/>
                <w:szCs w:val="21"/>
                <w:lang w:val="fr"/>
              </w:rPr>
              <w:t>HCFC-142b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91D211F" w14:textId="77777777" w:rsidR="00502FEE" w:rsidRDefault="00502FEE" w:rsidP="000E7A06">
            <w:pPr>
              <w:jc w:val="right"/>
              <w:rPr>
                <w:color w:val="000000"/>
                <w:sz w:val="21"/>
                <w:szCs w:val="21"/>
              </w:rPr>
            </w:pPr>
            <w:r>
              <w:rPr>
                <w:color w:val="000000"/>
                <w:sz w:val="21"/>
                <w:szCs w:val="21"/>
                <w:lang w:val="fr"/>
              </w:rPr>
              <w:t>33 195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D8C6819" w14:textId="77777777" w:rsidR="00502FEE" w:rsidRDefault="00502FEE" w:rsidP="000E7A06">
            <w:pPr>
              <w:jc w:val="right"/>
              <w:rPr>
                <w:color w:val="000000"/>
                <w:sz w:val="21"/>
                <w:szCs w:val="21"/>
              </w:rPr>
            </w:pPr>
            <w:r>
              <w:rPr>
                <w:color w:val="000000"/>
                <w:sz w:val="21"/>
                <w:szCs w:val="21"/>
                <w:lang w:val="fr"/>
              </w:rPr>
              <w:t>21 577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E8245A5" w14:textId="77777777" w:rsidR="00502FEE" w:rsidRDefault="00502FEE" w:rsidP="000E7A06">
            <w:pPr>
              <w:jc w:val="right"/>
              <w:rPr>
                <w:color w:val="000000"/>
                <w:sz w:val="21"/>
                <w:szCs w:val="21"/>
              </w:rPr>
            </w:pPr>
            <w:r>
              <w:rPr>
                <w:color w:val="000000"/>
                <w:sz w:val="21"/>
                <w:szCs w:val="21"/>
                <w:lang w:val="fr"/>
              </w:rPr>
              <w:t>10 789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6B6BE7B" w14:textId="77777777" w:rsidR="00502FEE" w:rsidRDefault="00502FEE" w:rsidP="000E7A06">
            <w:pPr>
              <w:jc w:val="right"/>
              <w:rPr>
                <w:color w:val="000000"/>
                <w:sz w:val="21"/>
                <w:szCs w:val="21"/>
              </w:rPr>
            </w:pPr>
            <w:r>
              <w:rPr>
                <w:color w:val="000000"/>
                <w:sz w:val="21"/>
                <w:szCs w:val="21"/>
                <w:lang w:val="fr"/>
              </w:rPr>
              <w:t>830</w:t>
            </w:r>
          </w:p>
        </w:tc>
      </w:tr>
      <w:tr w:rsidR="00502FEE" w14:paraId="1CF52736" w14:textId="77777777" w:rsidTr="00731B08">
        <w:tc>
          <w:tcPr>
            <w:tcW w:w="3127" w:type="dxa"/>
            <w:tcBorders>
              <w:top w:val="nil"/>
              <w:left w:val="single" w:sz="4" w:space="0" w:color="auto"/>
              <w:bottom w:val="single" w:sz="4" w:space="0" w:color="auto"/>
              <w:right w:val="single" w:sz="4" w:space="0" w:color="auto"/>
            </w:tcBorders>
            <w:noWrap/>
            <w:vAlign w:val="bottom"/>
            <w:hideMark/>
          </w:tcPr>
          <w:p w14:paraId="6C793624" w14:textId="77777777" w:rsidR="00502FEE" w:rsidRDefault="00502FEE" w:rsidP="000E7A06">
            <w:pPr>
              <w:jc w:val="left"/>
              <w:rPr>
                <w:color w:val="000000"/>
                <w:sz w:val="21"/>
                <w:szCs w:val="21"/>
              </w:rPr>
            </w:pPr>
            <w:r>
              <w:rPr>
                <w:color w:val="000000"/>
                <w:sz w:val="21"/>
                <w:szCs w:val="21"/>
                <w:lang w:val="fr"/>
              </w:rPr>
              <w:t>Total HCFC</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11EFCD7" w14:textId="77777777" w:rsidR="00502FEE" w:rsidRDefault="00502FEE" w:rsidP="000E7A06">
            <w:pPr>
              <w:jc w:val="right"/>
              <w:rPr>
                <w:color w:val="000000"/>
                <w:sz w:val="21"/>
                <w:szCs w:val="21"/>
              </w:rPr>
            </w:pPr>
            <w:r>
              <w:rPr>
                <w:color w:val="000000"/>
                <w:sz w:val="21"/>
                <w:szCs w:val="21"/>
                <w:lang w:val="fr"/>
              </w:rPr>
              <w:t>535 722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CD67E07" w14:textId="77777777" w:rsidR="00502FEE" w:rsidRDefault="00502FEE" w:rsidP="000E7A06">
            <w:pPr>
              <w:jc w:val="right"/>
              <w:rPr>
                <w:color w:val="000000"/>
                <w:sz w:val="21"/>
                <w:szCs w:val="21"/>
              </w:rPr>
            </w:pPr>
            <w:r>
              <w:rPr>
                <w:color w:val="000000"/>
                <w:sz w:val="21"/>
                <w:szCs w:val="21"/>
                <w:lang w:val="fr"/>
              </w:rPr>
              <w:t>348 219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BAD95AD" w14:textId="77777777" w:rsidR="00502FEE" w:rsidRDefault="00502FEE" w:rsidP="000E7A06">
            <w:pPr>
              <w:jc w:val="right"/>
              <w:rPr>
                <w:color w:val="000000"/>
                <w:sz w:val="21"/>
                <w:szCs w:val="21"/>
              </w:rPr>
            </w:pPr>
            <w:r>
              <w:rPr>
                <w:color w:val="000000"/>
                <w:sz w:val="21"/>
                <w:szCs w:val="21"/>
                <w:lang w:val="fr"/>
              </w:rPr>
              <w:t>174 110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D540FF5" w14:textId="77777777" w:rsidR="00502FEE" w:rsidRDefault="00502FEE" w:rsidP="000E7A06">
            <w:pPr>
              <w:jc w:val="right"/>
              <w:rPr>
                <w:color w:val="000000"/>
                <w:sz w:val="21"/>
                <w:szCs w:val="21"/>
              </w:rPr>
            </w:pPr>
            <w:r>
              <w:rPr>
                <w:color w:val="000000"/>
                <w:sz w:val="21"/>
                <w:szCs w:val="21"/>
                <w:lang w:val="fr"/>
              </w:rPr>
              <w:t>13 393</w:t>
            </w:r>
          </w:p>
        </w:tc>
      </w:tr>
    </w:tbl>
    <w:p w14:paraId="03EE0A2D" w14:textId="77777777" w:rsidR="00502FEE" w:rsidRPr="005703FE" w:rsidRDefault="00502FEE" w:rsidP="00502FEE">
      <w:pPr>
        <w:rPr>
          <w:sz w:val="20"/>
          <w:szCs w:val="20"/>
          <w:lang w:val="fr-FR"/>
        </w:rPr>
      </w:pPr>
      <w:r>
        <w:rPr>
          <w:sz w:val="20"/>
          <w:szCs w:val="20"/>
          <w:lang w:val="fr"/>
        </w:rPr>
        <w:t>(*) Les principaux HCFC consommés représentent plus de 99,0 % du niveau de référence total.</w:t>
      </w:r>
    </w:p>
    <w:p w14:paraId="5E0925BB" w14:textId="77777777" w:rsidR="00502FEE" w:rsidRPr="005703FE" w:rsidRDefault="00502FEE" w:rsidP="00502FEE">
      <w:pPr>
        <w:pStyle w:val="Heading1"/>
        <w:numPr>
          <w:ilvl w:val="0"/>
          <w:numId w:val="0"/>
        </w:numPr>
        <w:spacing w:after="0"/>
        <w:rPr>
          <w:lang w:val="fr-FR"/>
        </w:rPr>
      </w:pPr>
    </w:p>
    <w:p w14:paraId="1FF9586B" w14:textId="11454AFF" w:rsidR="00502FEE" w:rsidRPr="005703FE" w:rsidRDefault="00502FEE" w:rsidP="00502FEE">
      <w:pPr>
        <w:pStyle w:val="Heading1"/>
        <w:rPr>
          <w:lang w:val="fr-FR"/>
        </w:rPr>
      </w:pPr>
      <w:r>
        <w:rPr>
          <w:lang w:val="fr"/>
        </w:rPr>
        <w:t xml:space="preserve">Toutefois, les niveaux réels de consommation de HCFC et de HFC figurant dans les tableaux 3 et 4 dépendront d’un certain nombre de facteurs, notamment de la rapidité d’exécution des projets approuvés pour l’élimination des HCFC, de la croissance prévue de l’utilisation des équipements de réfrigération et de climatisation dans les pays visés à l’article 5, de l’adoption de frigorigènes de remplacement qui pourraient être utilisés comme substituts directs dans certaines applications (par exemple, R-407A ou R-407F pour remplacer le R-404A), et de l’adoption de technologies de remplacement des HCFC et HFC efficaces sur le plan des coûts. </w:t>
      </w:r>
    </w:p>
    <w:p w14:paraId="3BC1C069" w14:textId="12AD938F" w:rsidR="00502FEE" w:rsidRPr="005703FE" w:rsidRDefault="00502FEE" w:rsidP="00502FEE">
      <w:pPr>
        <w:pStyle w:val="Heading1"/>
        <w:rPr>
          <w:lang w:val="fr-FR"/>
        </w:rPr>
      </w:pPr>
      <w:r>
        <w:rPr>
          <w:lang w:val="fr"/>
        </w:rPr>
        <w:t>Le Comité exécutif a approuvé le financement de l’élimination des HCFC dans 145 pays visés à l’article 5, principalement dans le cadre de PGEH</w:t>
      </w:r>
      <w:r>
        <w:rPr>
          <w:rStyle w:val="FootnoteReference"/>
          <w:lang w:val="fr"/>
        </w:rPr>
        <w:footnoteReference w:id="15"/>
      </w:r>
      <w:r>
        <w:rPr>
          <w:lang w:val="fr"/>
        </w:rPr>
        <w:t>. À ce jour, la mise en œuvre des PGEH approuvés a permis de réduire la consommation de HCFC en avance sur les niveaux admissibles en vertu du Protocole. Par exemple, la consommation totale de HCFC en 2018 (365 131 tm) représentait 68 % du niveau de référence total et était inférieure de 117 019 tm au niveau de consommation admissible pour cette année (482 150 tm), comme indiqué au tableau 5.</w:t>
      </w:r>
    </w:p>
    <w:p w14:paraId="12FF572F" w14:textId="77777777" w:rsidR="00502FEE" w:rsidRPr="005703FE" w:rsidRDefault="00502FEE" w:rsidP="00502FEE">
      <w:pPr>
        <w:pStyle w:val="ListParagraph"/>
        <w:widowControl w:val="0"/>
        <w:ind w:left="0"/>
        <w:rPr>
          <w:b/>
          <w:bCs/>
          <w:szCs w:val="28"/>
          <w:lang w:val="fr-FR"/>
        </w:rPr>
      </w:pPr>
      <w:r>
        <w:rPr>
          <w:b/>
          <w:bCs/>
          <w:szCs w:val="28"/>
          <w:lang w:val="fr"/>
        </w:rPr>
        <w:t>Tableau 5. Consommation des trois principaux HCFC (tm)</w:t>
      </w:r>
    </w:p>
    <w:tbl>
      <w:tblPr>
        <w:tblW w:w="9297"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7"/>
        <w:gridCol w:w="1157"/>
        <w:gridCol w:w="1157"/>
        <w:gridCol w:w="1157"/>
        <w:gridCol w:w="1157"/>
        <w:gridCol w:w="1157"/>
        <w:gridCol w:w="1157"/>
        <w:gridCol w:w="978"/>
      </w:tblGrid>
      <w:tr w:rsidR="00502FEE" w:rsidRPr="00A47A8E" w14:paraId="1869B855" w14:textId="77777777" w:rsidTr="004A46EE">
        <w:trPr>
          <w:trHeight w:val="105"/>
          <w:tblHeader/>
        </w:trPr>
        <w:tc>
          <w:tcPr>
            <w:tcW w:w="137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68C07426" w14:textId="77777777" w:rsidR="00502FEE" w:rsidRPr="00A47A8E" w:rsidRDefault="00502FEE" w:rsidP="000E7A06">
            <w:pPr>
              <w:jc w:val="left"/>
              <w:rPr>
                <w:b/>
                <w:bCs/>
                <w:sz w:val="20"/>
                <w:szCs w:val="20"/>
              </w:rPr>
            </w:pPr>
            <w:r>
              <w:rPr>
                <w:b/>
                <w:bCs/>
                <w:sz w:val="20"/>
                <w:szCs w:val="20"/>
                <w:lang w:val="fr"/>
              </w:rPr>
              <w:t>Consommation</w:t>
            </w:r>
          </w:p>
        </w:tc>
        <w:tc>
          <w:tcPr>
            <w:tcW w:w="1157" w:type="dxa"/>
            <w:tcBorders>
              <w:top w:val="single" w:sz="4" w:space="0" w:color="auto"/>
              <w:left w:val="single" w:sz="4" w:space="0" w:color="auto"/>
              <w:bottom w:val="single" w:sz="4" w:space="0" w:color="auto"/>
              <w:right w:val="single" w:sz="4" w:space="0" w:color="auto"/>
            </w:tcBorders>
            <w:vAlign w:val="center"/>
            <w:hideMark/>
          </w:tcPr>
          <w:p w14:paraId="3A34B9FC" w14:textId="77777777" w:rsidR="00502FEE" w:rsidRPr="00A47A8E" w:rsidRDefault="00502FEE" w:rsidP="000E7A06">
            <w:pPr>
              <w:jc w:val="center"/>
              <w:rPr>
                <w:b/>
                <w:bCs/>
                <w:sz w:val="20"/>
                <w:szCs w:val="20"/>
              </w:rPr>
            </w:pPr>
            <w:r>
              <w:rPr>
                <w:b/>
                <w:bCs/>
                <w:sz w:val="20"/>
                <w:szCs w:val="20"/>
                <w:lang w:val="fr"/>
              </w:rPr>
              <w:t>Référence</w:t>
            </w:r>
          </w:p>
        </w:tc>
        <w:tc>
          <w:tcPr>
            <w:tcW w:w="1157" w:type="dxa"/>
            <w:tcBorders>
              <w:top w:val="single" w:sz="4" w:space="0" w:color="auto"/>
              <w:left w:val="single" w:sz="4" w:space="0" w:color="auto"/>
              <w:bottom w:val="single" w:sz="4" w:space="0" w:color="auto"/>
              <w:right w:val="single" w:sz="4" w:space="0" w:color="auto"/>
            </w:tcBorders>
            <w:noWrap/>
            <w:vAlign w:val="center"/>
            <w:hideMark/>
          </w:tcPr>
          <w:p w14:paraId="13CFCCC5" w14:textId="77777777" w:rsidR="00502FEE" w:rsidRPr="00A47A8E" w:rsidRDefault="00502FEE" w:rsidP="000E7A06">
            <w:pPr>
              <w:jc w:val="center"/>
              <w:rPr>
                <w:b/>
                <w:bCs/>
                <w:sz w:val="20"/>
                <w:szCs w:val="20"/>
              </w:rPr>
            </w:pPr>
            <w:r>
              <w:rPr>
                <w:b/>
                <w:bCs/>
                <w:sz w:val="20"/>
                <w:szCs w:val="20"/>
                <w:lang w:val="fr"/>
              </w:rPr>
              <w:t>2014</w:t>
            </w:r>
          </w:p>
        </w:tc>
        <w:tc>
          <w:tcPr>
            <w:tcW w:w="1157" w:type="dxa"/>
            <w:tcBorders>
              <w:top w:val="single" w:sz="4" w:space="0" w:color="auto"/>
              <w:left w:val="single" w:sz="4" w:space="0" w:color="auto"/>
              <w:bottom w:val="single" w:sz="4" w:space="0" w:color="auto"/>
              <w:right w:val="single" w:sz="4" w:space="0" w:color="auto"/>
            </w:tcBorders>
            <w:noWrap/>
            <w:vAlign w:val="center"/>
            <w:hideMark/>
          </w:tcPr>
          <w:p w14:paraId="25EF5B57" w14:textId="77777777" w:rsidR="00502FEE" w:rsidRPr="00A47A8E" w:rsidRDefault="00502FEE" w:rsidP="000E7A06">
            <w:pPr>
              <w:jc w:val="center"/>
              <w:rPr>
                <w:b/>
                <w:bCs/>
                <w:sz w:val="20"/>
                <w:szCs w:val="20"/>
              </w:rPr>
            </w:pPr>
            <w:r>
              <w:rPr>
                <w:b/>
                <w:bCs/>
                <w:sz w:val="20"/>
                <w:szCs w:val="20"/>
                <w:lang w:val="fr"/>
              </w:rPr>
              <w:t>2015</w:t>
            </w:r>
          </w:p>
        </w:tc>
        <w:tc>
          <w:tcPr>
            <w:tcW w:w="1157" w:type="dxa"/>
            <w:tcBorders>
              <w:top w:val="single" w:sz="4" w:space="0" w:color="auto"/>
              <w:left w:val="single" w:sz="4" w:space="0" w:color="auto"/>
              <w:bottom w:val="single" w:sz="4" w:space="0" w:color="auto"/>
              <w:right w:val="single" w:sz="4" w:space="0" w:color="auto"/>
            </w:tcBorders>
            <w:noWrap/>
            <w:vAlign w:val="center"/>
            <w:hideMark/>
          </w:tcPr>
          <w:p w14:paraId="6A8FCDCD" w14:textId="77777777" w:rsidR="00502FEE" w:rsidRPr="00A47A8E" w:rsidRDefault="00502FEE" w:rsidP="000E7A06">
            <w:pPr>
              <w:jc w:val="center"/>
              <w:rPr>
                <w:b/>
                <w:bCs/>
                <w:sz w:val="20"/>
                <w:szCs w:val="20"/>
              </w:rPr>
            </w:pPr>
            <w:r>
              <w:rPr>
                <w:b/>
                <w:bCs/>
                <w:sz w:val="20"/>
                <w:szCs w:val="20"/>
                <w:lang w:val="fr"/>
              </w:rPr>
              <w:t>2016</w:t>
            </w:r>
          </w:p>
        </w:tc>
        <w:tc>
          <w:tcPr>
            <w:tcW w:w="1157" w:type="dxa"/>
            <w:tcBorders>
              <w:top w:val="single" w:sz="4" w:space="0" w:color="auto"/>
              <w:left w:val="single" w:sz="4" w:space="0" w:color="auto"/>
              <w:bottom w:val="single" w:sz="4" w:space="0" w:color="auto"/>
              <w:right w:val="single" w:sz="4" w:space="0" w:color="auto"/>
            </w:tcBorders>
            <w:noWrap/>
            <w:vAlign w:val="center"/>
            <w:hideMark/>
          </w:tcPr>
          <w:p w14:paraId="29D73054" w14:textId="77777777" w:rsidR="00502FEE" w:rsidRPr="00A47A8E" w:rsidRDefault="00502FEE" w:rsidP="000E7A06">
            <w:pPr>
              <w:jc w:val="center"/>
              <w:rPr>
                <w:b/>
                <w:bCs/>
                <w:sz w:val="20"/>
                <w:szCs w:val="20"/>
              </w:rPr>
            </w:pPr>
            <w:r>
              <w:rPr>
                <w:b/>
                <w:bCs/>
                <w:sz w:val="20"/>
                <w:szCs w:val="20"/>
                <w:lang w:val="fr"/>
              </w:rPr>
              <w:t>2017</w:t>
            </w:r>
          </w:p>
        </w:tc>
        <w:tc>
          <w:tcPr>
            <w:tcW w:w="1157" w:type="dxa"/>
            <w:tcBorders>
              <w:top w:val="single" w:sz="4" w:space="0" w:color="auto"/>
              <w:left w:val="single" w:sz="4" w:space="0" w:color="auto"/>
              <w:bottom w:val="single" w:sz="4" w:space="0" w:color="auto"/>
              <w:right w:val="single" w:sz="4" w:space="0" w:color="auto"/>
            </w:tcBorders>
            <w:vAlign w:val="center"/>
            <w:hideMark/>
          </w:tcPr>
          <w:p w14:paraId="3F65CDD9" w14:textId="77777777" w:rsidR="00502FEE" w:rsidRPr="00A47A8E" w:rsidRDefault="00502FEE" w:rsidP="000E7A06">
            <w:pPr>
              <w:jc w:val="center"/>
              <w:rPr>
                <w:b/>
                <w:bCs/>
                <w:sz w:val="20"/>
                <w:szCs w:val="20"/>
              </w:rPr>
            </w:pPr>
            <w:r>
              <w:rPr>
                <w:b/>
                <w:bCs/>
                <w:sz w:val="20"/>
                <w:szCs w:val="20"/>
                <w:lang w:val="fr"/>
              </w:rPr>
              <w:t>2018</w:t>
            </w:r>
          </w:p>
        </w:tc>
        <w:tc>
          <w:tcPr>
            <w:tcW w:w="9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96D4AD" w14:textId="77777777" w:rsidR="00502FEE" w:rsidRPr="00A47A8E" w:rsidRDefault="00502FEE" w:rsidP="000E7A06">
            <w:pPr>
              <w:jc w:val="center"/>
              <w:rPr>
                <w:b/>
                <w:bCs/>
                <w:sz w:val="20"/>
                <w:szCs w:val="20"/>
              </w:rPr>
            </w:pPr>
            <w:r>
              <w:rPr>
                <w:b/>
                <w:bCs/>
                <w:sz w:val="20"/>
                <w:szCs w:val="20"/>
                <w:lang w:val="fr"/>
              </w:rPr>
              <w:t>% 2018 / référence</w:t>
            </w:r>
          </w:p>
        </w:tc>
      </w:tr>
      <w:tr w:rsidR="00502FEE" w:rsidRPr="00A47A8E" w14:paraId="05A06C58" w14:textId="77777777" w:rsidTr="004A46EE">
        <w:trPr>
          <w:trHeight w:val="58"/>
        </w:trPr>
        <w:tc>
          <w:tcPr>
            <w:tcW w:w="137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2AD1534C" w14:textId="77777777" w:rsidR="00502FEE" w:rsidRPr="00A47A8E" w:rsidRDefault="00502FEE" w:rsidP="000E7A06">
            <w:pPr>
              <w:jc w:val="left"/>
              <w:rPr>
                <w:b/>
                <w:sz w:val="20"/>
                <w:szCs w:val="20"/>
              </w:rPr>
            </w:pPr>
            <w:r>
              <w:rPr>
                <w:b/>
                <w:bCs/>
                <w:sz w:val="20"/>
                <w:szCs w:val="20"/>
                <w:lang w:val="fr"/>
              </w:rPr>
              <w:t>Déclarée</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3B7549D9" w14:textId="77777777" w:rsidR="00502FEE" w:rsidRPr="00A47A8E" w:rsidRDefault="00502FEE" w:rsidP="000E7A06">
            <w:pPr>
              <w:jc w:val="right"/>
              <w:rPr>
                <w:sz w:val="20"/>
                <w:szCs w:val="20"/>
              </w:rPr>
            </w:pP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D9EEF5D" w14:textId="77777777" w:rsidR="00502FEE" w:rsidRPr="00A47A8E" w:rsidRDefault="00502FEE" w:rsidP="000E7A06">
            <w:pPr>
              <w:jc w:val="right"/>
              <w:rPr>
                <w:sz w:val="20"/>
                <w:szCs w:val="20"/>
              </w:rPr>
            </w:pP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5517AFA" w14:textId="77777777" w:rsidR="00502FEE" w:rsidRPr="00A47A8E" w:rsidRDefault="00502FEE" w:rsidP="000E7A06">
            <w:pPr>
              <w:jc w:val="right"/>
              <w:rPr>
                <w:sz w:val="20"/>
                <w:szCs w:val="20"/>
              </w:rPr>
            </w:pP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1E7D1DD" w14:textId="77777777" w:rsidR="00502FEE" w:rsidRPr="00A47A8E" w:rsidRDefault="00502FEE" w:rsidP="000E7A06">
            <w:pPr>
              <w:jc w:val="right"/>
              <w:rPr>
                <w:sz w:val="20"/>
                <w:szCs w:val="20"/>
              </w:rPr>
            </w:pP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56AEDAA" w14:textId="77777777" w:rsidR="00502FEE" w:rsidRPr="00A47A8E" w:rsidRDefault="00502FEE" w:rsidP="000E7A06">
            <w:pPr>
              <w:jc w:val="right"/>
              <w:rPr>
                <w:sz w:val="20"/>
                <w:szCs w:val="20"/>
              </w:rPr>
            </w:pP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322C7F8E" w14:textId="77777777" w:rsidR="00502FEE" w:rsidRPr="00A47A8E" w:rsidRDefault="00502FEE" w:rsidP="000E7A06">
            <w:pPr>
              <w:jc w:val="right"/>
              <w:rPr>
                <w:sz w:val="20"/>
                <w:szCs w:val="20"/>
              </w:rPr>
            </w:pP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70263A88" w14:textId="77777777" w:rsidR="00502FEE" w:rsidRPr="00A47A8E" w:rsidRDefault="00502FEE" w:rsidP="000E7A06">
            <w:pPr>
              <w:jc w:val="right"/>
              <w:rPr>
                <w:sz w:val="20"/>
                <w:szCs w:val="20"/>
              </w:rPr>
            </w:pPr>
          </w:p>
        </w:tc>
      </w:tr>
      <w:tr w:rsidR="00502FEE" w:rsidRPr="00A47A8E" w14:paraId="1FF427A1" w14:textId="77777777" w:rsidTr="004A46EE">
        <w:trPr>
          <w:trHeight w:val="58"/>
        </w:trPr>
        <w:tc>
          <w:tcPr>
            <w:tcW w:w="137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76692609" w14:textId="77777777" w:rsidR="00502FEE" w:rsidRPr="00A47A8E" w:rsidRDefault="00502FEE" w:rsidP="000E7A06">
            <w:pPr>
              <w:jc w:val="left"/>
              <w:rPr>
                <w:color w:val="000000"/>
                <w:sz w:val="20"/>
                <w:szCs w:val="20"/>
              </w:rPr>
            </w:pPr>
            <w:r>
              <w:rPr>
                <w:color w:val="000000"/>
                <w:sz w:val="20"/>
                <w:szCs w:val="20"/>
                <w:lang w:val="fr"/>
              </w:rPr>
              <w:t>HCFC-22</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3AE51EB5" w14:textId="77777777" w:rsidR="00502FEE" w:rsidRPr="00A47A8E" w:rsidRDefault="00502FEE" w:rsidP="000E7A06">
            <w:pPr>
              <w:jc w:val="right"/>
              <w:rPr>
                <w:color w:val="000000"/>
                <w:sz w:val="20"/>
                <w:szCs w:val="20"/>
              </w:rPr>
            </w:pPr>
            <w:r>
              <w:rPr>
                <w:sz w:val="20"/>
                <w:szCs w:val="20"/>
                <w:lang w:val="fr"/>
              </w:rPr>
              <w:t>394 655</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02D7CDEA" w14:textId="77777777" w:rsidR="00502FEE" w:rsidRPr="00A47A8E" w:rsidRDefault="00502FEE" w:rsidP="000E7A06">
            <w:pPr>
              <w:jc w:val="right"/>
              <w:rPr>
                <w:color w:val="000000"/>
                <w:sz w:val="20"/>
                <w:szCs w:val="20"/>
              </w:rPr>
            </w:pPr>
            <w:r>
              <w:rPr>
                <w:sz w:val="20"/>
                <w:szCs w:val="20"/>
                <w:lang w:val="fr"/>
              </w:rPr>
              <w:t>341 207</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2C033A6A" w14:textId="77777777" w:rsidR="00502FEE" w:rsidRPr="00A47A8E" w:rsidRDefault="00502FEE" w:rsidP="000E7A06">
            <w:pPr>
              <w:jc w:val="right"/>
              <w:rPr>
                <w:color w:val="000000"/>
                <w:sz w:val="20"/>
                <w:szCs w:val="20"/>
              </w:rPr>
            </w:pPr>
            <w:r>
              <w:rPr>
                <w:sz w:val="20"/>
                <w:szCs w:val="20"/>
                <w:lang w:val="fr"/>
              </w:rPr>
              <w:t>298 506</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12E4B507" w14:textId="77777777" w:rsidR="00502FEE" w:rsidRPr="00A47A8E" w:rsidRDefault="00502FEE" w:rsidP="000E7A06">
            <w:pPr>
              <w:jc w:val="right"/>
              <w:rPr>
                <w:color w:val="000000"/>
                <w:sz w:val="20"/>
                <w:szCs w:val="20"/>
              </w:rPr>
            </w:pPr>
            <w:r>
              <w:rPr>
                <w:sz w:val="20"/>
                <w:szCs w:val="20"/>
                <w:lang w:val="fr"/>
              </w:rPr>
              <w:t>301 003</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6B0180B7" w14:textId="77777777" w:rsidR="00502FEE" w:rsidRPr="00A47A8E" w:rsidRDefault="00502FEE" w:rsidP="000E7A06">
            <w:pPr>
              <w:jc w:val="right"/>
              <w:rPr>
                <w:color w:val="000000"/>
                <w:sz w:val="20"/>
                <w:szCs w:val="20"/>
              </w:rPr>
            </w:pPr>
            <w:r>
              <w:rPr>
                <w:sz w:val="20"/>
                <w:szCs w:val="20"/>
                <w:lang w:val="fr"/>
              </w:rPr>
              <w:t>296 258</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33B3EF02" w14:textId="77777777" w:rsidR="00502FEE" w:rsidRPr="00A47A8E" w:rsidRDefault="00502FEE" w:rsidP="000E7A06">
            <w:pPr>
              <w:jc w:val="right"/>
              <w:rPr>
                <w:color w:val="000000"/>
                <w:sz w:val="20"/>
                <w:szCs w:val="20"/>
              </w:rPr>
            </w:pPr>
            <w:r>
              <w:rPr>
                <w:sz w:val="20"/>
                <w:szCs w:val="20"/>
                <w:lang w:val="fr"/>
              </w:rPr>
              <w:t>297 000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18E4E364" w14:textId="77777777" w:rsidR="00502FEE" w:rsidRPr="00A47A8E" w:rsidRDefault="00502FEE" w:rsidP="000E7A06">
            <w:pPr>
              <w:jc w:val="right"/>
              <w:rPr>
                <w:color w:val="000000"/>
                <w:sz w:val="20"/>
                <w:szCs w:val="20"/>
              </w:rPr>
            </w:pPr>
            <w:r>
              <w:rPr>
                <w:sz w:val="20"/>
                <w:szCs w:val="20"/>
                <w:lang w:val="fr"/>
              </w:rPr>
              <w:t>75,3</w:t>
            </w:r>
          </w:p>
        </w:tc>
      </w:tr>
      <w:tr w:rsidR="00502FEE" w:rsidRPr="00A47A8E" w14:paraId="7A6D0F3A" w14:textId="77777777" w:rsidTr="004A46EE">
        <w:trPr>
          <w:trHeight w:val="58"/>
        </w:trPr>
        <w:tc>
          <w:tcPr>
            <w:tcW w:w="137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74A11D15" w14:textId="77777777" w:rsidR="00502FEE" w:rsidRPr="00A47A8E" w:rsidRDefault="00502FEE" w:rsidP="000E7A06">
            <w:pPr>
              <w:rPr>
                <w:color w:val="000000"/>
                <w:sz w:val="20"/>
                <w:szCs w:val="20"/>
              </w:rPr>
            </w:pPr>
            <w:r>
              <w:rPr>
                <w:color w:val="000000"/>
                <w:sz w:val="20"/>
                <w:szCs w:val="20"/>
                <w:lang w:val="fr"/>
              </w:rPr>
              <w:t>HCFC-141b</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63E5A769" w14:textId="77777777" w:rsidR="00502FEE" w:rsidRPr="00A47A8E" w:rsidRDefault="00502FEE" w:rsidP="000E7A06">
            <w:pPr>
              <w:jc w:val="right"/>
              <w:rPr>
                <w:color w:val="000000"/>
                <w:sz w:val="20"/>
                <w:szCs w:val="20"/>
              </w:rPr>
            </w:pPr>
            <w:r>
              <w:rPr>
                <w:sz w:val="20"/>
                <w:szCs w:val="20"/>
                <w:lang w:val="fr"/>
              </w:rPr>
              <w:t>107 872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7C545FDA" w14:textId="77777777" w:rsidR="00502FEE" w:rsidRPr="00A47A8E" w:rsidRDefault="00502FEE" w:rsidP="000E7A06">
            <w:pPr>
              <w:jc w:val="right"/>
              <w:rPr>
                <w:color w:val="000000"/>
                <w:sz w:val="20"/>
                <w:szCs w:val="20"/>
              </w:rPr>
            </w:pPr>
            <w:r>
              <w:rPr>
                <w:sz w:val="20"/>
                <w:szCs w:val="20"/>
                <w:lang w:val="fr"/>
              </w:rPr>
              <w:t>89 452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4BEE1FF0" w14:textId="77777777" w:rsidR="00502FEE" w:rsidRPr="00A47A8E" w:rsidRDefault="00502FEE" w:rsidP="000E7A06">
            <w:pPr>
              <w:jc w:val="right"/>
              <w:rPr>
                <w:color w:val="000000"/>
                <w:sz w:val="20"/>
                <w:szCs w:val="20"/>
              </w:rPr>
            </w:pPr>
            <w:r>
              <w:rPr>
                <w:sz w:val="20"/>
                <w:szCs w:val="20"/>
                <w:lang w:val="fr"/>
              </w:rPr>
              <w:t>69 091</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094C09D7" w14:textId="77777777" w:rsidR="00502FEE" w:rsidRPr="00A47A8E" w:rsidRDefault="00502FEE" w:rsidP="000E7A06">
            <w:pPr>
              <w:jc w:val="right"/>
              <w:rPr>
                <w:color w:val="000000"/>
                <w:sz w:val="20"/>
                <w:szCs w:val="20"/>
              </w:rPr>
            </w:pPr>
            <w:r>
              <w:rPr>
                <w:sz w:val="20"/>
                <w:szCs w:val="20"/>
                <w:lang w:val="fr"/>
              </w:rPr>
              <w:t>65 103</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452233CE" w14:textId="77777777" w:rsidR="00502FEE" w:rsidRPr="00A47A8E" w:rsidRDefault="00502FEE" w:rsidP="000E7A06">
            <w:pPr>
              <w:jc w:val="right"/>
              <w:rPr>
                <w:color w:val="000000"/>
                <w:sz w:val="20"/>
                <w:szCs w:val="20"/>
              </w:rPr>
            </w:pPr>
            <w:r>
              <w:rPr>
                <w:sz w:val="20"/>
                <w:szCs w:val="20"/>
                <w:lang w:val="fr"/>
              </w:rPr>
              <w:t>63 493</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4C2A303D" w14:textId="77777777" w:rsidR="00502FEE" w:rsidRPr="00A47A8E" w:rsidRDefault="00502FEE" w:rsidP="000E7A06">
            <w:pPr>
              <w:jc w:val="right"/>
              <w:rPr>
                <w:color w:val="000000"/>
                <w:sz w:val="20"/>
                <w:szCs w:val="20"/>
              </w:rPr>
            </w:pPr>
            <w:r>
              <w:rPr>
                <w:sz w:val="20"/>
                <w:szCs w:val="20"/>
                <w:lang w:val="fr"/>
              </w:rPr>
              <w:t>56 990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09897C2A" w14:textId="77777777" w:rsidR="00502FEE" w:rsidRPr="00A47A8E" w:rsidRDefault="00502FEE" w:rsidP="000E7A06">
            <w:pPr>
              <w:jc w:val="right"/>
              <w:rPr>
                <w:color w:val="000000"/>
                <w:sz w:val="20"/>
                <w:szCs w:val="20"/>
              </w:rPr>
            </w:pPr>
            <w:r>
              <w:rPr>
                <w:sz w:val="20"/>
                <w:szCs w:val="20"/>
                <w:lang w:val="fr"/>
              </w:rPr>
              <w:t>52,8</w:t>
            </w:r>
          </w:p>
        </w:tc>
      </w:tr>
      <w:tr w:rsidR="00502FEE" w:rsidRPr="00A47A8E" w14:paraId="213FFEA9" w14:textId="77777777" w:rsidTr="004A46EE">
        <w:trPr>
          <w:trHeight w:val="58"/>
        </w:trPr>
        <w:tc>
          <w:tcPr>
            <w:tcW w:w="137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44EE1836" w14:textId="77777777" w:rsidR="00502FEE" w:rsidRPr="00A47A8E" w:rsidRDefault="00502FEE" w:rsidP="000E7A06">
            <w:pPr>
              <w:rPr>
                <w:color w:val="000000"/>
                <w:sz w:val="20"/>
                <w:szCs w:val="20"/>
              </w:rPr>
            </w:pPr>
            <w:r>
              <w:rPr>
                <w:color w:val="000000"/>
                <w:sz w:val="20"/>
                <w:szCs w:val="20"/>
                <w:lang w:val="fr"/>
              </w:rPr>
              <w:t>HCFC-142b</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7D239812" w14:textId="77777777" w:rsidR="00502FEE" w:rsidRPr="00A47A8E" w:rsidRDefault="00502FEE" w:rsidP="000E7A06">
            <w:pPr>
              <w:jc w:val="right"/>
              <w:rPr>
                <w:color w:val="000000"/>
                <w:sz w:val="20"/>
                <w:szCs w:val="20"/>
              </w:rPr>
            </w:pPr>
            <w:r>
              <w:rPr>
                <w:sz w:val="20"/>
                <w:szCs w:val="20"/>
                <w:lang w:val="fr"/>
              </w:rPr>
              <w:t>33 195</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598DDD2E" w14:textId="77777777" w:rsidR="00502FEE" w:rsidRPr="00A47A8E" w:rsidRDefault="00502FEE" w:rsidP="000E7A06">
            <w:pPr>
              <w:jc w:val="right"/>
              <w:rPr>
                <w:color w:val="000000"/>
                <w:sz w:val="20"/>
                <w:szCs w:val="20"/>
              </w:rPr>
            </w:pPr>
            <w:r>
              <w:rPr>
                <w:sz w:val="20"/>
                <w:szCs w:val="20"/>
                <w:lang w:val="fr"/>
              </w:rPr>
              <w:t>15 414</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326B0441" w14:textId="77777777" w:rsidR="00502FEE" w:rsidRPr="00A47A8E" w:rsidRDefault="00502FEE" w:rsidP="000E7A06">
            <w:pPr>
              <w:jc w:val="right"/>
              <w:rPr>
                <w:color w:val="000000"/>
                <w:sz w:val="20"/>
                <w:szCs w:val="20"/>
              </w:rPr>
            </w:pPr>
            <w:r>
              <w:rPr>
                <w:sz w:val="20"/>
                <w:szCs w:val="20"/>
                <w:lang w:val="fr"/>
              </w:rPr>
              <w:t>18 243</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4E8F0396" w14:textId="77777777" w:rsidR="00502FEE" w:rsidRPr="00A47A8E" w:rsidRDefault="00502FEE" w:rsidP="000E7A06">
            <w:pPr>
              <w:jc w:val="right"/>
              <w:rPr>
                <w:color w:val="000000"/>
                <w:sz w:val="20"/>
                <w:szCs w:val="20"/>
              </w:rPr>
            </w:pPr>
            <w:r>
              <w:rPr>
                <w:sz w:val="20"/>
                <w:szCs w:val="20"/>
                <w:lang w:val="fr"/>
              </w:rPr>
              <w:t>15 899</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5F896064" w14:textId="77777777" w:rsidR="00502FEE" w:rsidRPr="00A47A8E" w:rsidRDefault="00502FEE" w:rsidP="000E7A06">
            <w:pPr>
              <w:jc w:val="right"/>
              <w:rPr>
                <w:color w:val="000000"/>
                <w:sz w:val="20"/>
                <w:szCs w:val="20"/>
              </w:rPr>
            </w:pPr>
            <w:r>
              <w:rPr>
                <w:sz w:val="20"/>
                <w:szCs w:val="20"/>
                <w:lang w:val="fr"/>
              </w:rPr>
              <w:t>16 628</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3443C06F" w14:textId="77777777" w:rsidR="00502FEE" w:rsidRPr="00A47A8E" w:rsidRDefault="00502FEE" w:rsidP="000E7A06">
            <w:pPr>
              <w:jc w:val="right"/>
              <w:rPr>
                <w:color w:val="000000"/>
                <w:sz w:val="20"/>
                <w:szCs w:val="20"/>
              </w:rPr>
            </w:pPr>
            <w:r>
              <w:rPr>
                <w:sz w:val="20"/>
                <w:szCs w:val="20"/>
                <w:lang w:val="fr"/>
              </w:rPr>
              <w:t>11 140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263A2F94" w14:textId="77777777" w:rsidR="00502FEE" w:rsidRPr="00A47A8E" w:rsidRDefault="00502FEE" w:rsidP="000E7A06">
            <w:pPr>
              <w:jc w:val="right"/>
              <w:rPr>
                <w:color w:val="000000"/>
                <w:sz w:val="20"/>
                <w:szCs w:val="20"/>
              </w:rPr>
            </w:pPr>
            <w:r>
              <w:rPr>
                <w:sz w:val="20"/>
                <w:szCs w:val="20"/>
                <w:lang w:val="fr"/>
              </w:rPr>
              <w:t>33,6</w:t>
            </w:r>
          </w:p>
        </w:tc>
      </w:tr>
      <w:tr w:rsidR="00502FEE" w:rsidRPr="00A47A8E" w14:paraId="25E9672E" w14:textId="77777777" w:rsidTr="004A46EE">
        <w:trPr>
          <w:trHeight w:val="58"/>
        </w:trPr>
        <w:tc>
          <w:tcPr>
            <w:tcW w:w="137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2F194E38" w14:textId="77777777" w:rsidR="00502FEE" w:rsidRPr="00A47A8E" w:rsidRDefault="00502FEE" w:rsidP="000E7A06">
            <w:pPr>
              <w:rPr>
                <w:b/>
                <w:color w:val="000000"/>
                <w:sz w:val="20"/>
                <w:szCs w:val="20"/>
              </w:rPr>
            </w:pPr>
            <w:r>
              <w:rPr>
                <w:b/>
                <w:bCs/>
                <w:color w:val="000000"/>
                <w:sz w:val="20"/>
                <w:szCs w:val="20"/>
                <w:lang w:val="fr"/>
              </w:rPr>
              <w:t>Réelle</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78DA965A" w14:textId="77777777" w:rsidR="00502FEE" w:rsidRPr="00A47A8E" w:rsidRDefault="00502FEE" w:rsidP="000E7A06">
            <w:pPr>
              <w:jc w:val="right"/>
              <w:rPr>
                <w:color w:val="000000"/>
                <w:sz w:val="20"/>
                <w:szCs w:val="20"/>
              </w:rPr>
            </w:pPr>
            <w:r>
              <w:rPr>
                <w:sz w:val="20"/>
                <w:szCs w:val="20"/>
                <w:lang w:val="fr"/>
              </w:rPr>
              <w:t>535 722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74C6FCFE" w14:textId="77777777" w:rsidR="00502FEE" w:rsidRPr="00A47A8E" w:rsidRDefault="00502FEE" w:rsidP="000E7A06">
            <w:pPr>
              <w:jc w:val="right"/>
              <w:rPr>
                <w:color w:val="000000"/>
                <w:sz w:val="20"/>
                <w:szCs w:val="20"/>
              </w:rPr>
            </w:pPr>
            <w:r>
              <w:rPr>
                <w:sz w:val="20"/>
                <w:szCs w:val="20"/>
                <w:lang w:val="fr"/>
              </w:rPr>
              <w:t>446 073</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10E497AF" w14:textId="77777777" w:rsidR="00502FEE" w:rsidRPr="00A47A8E" w:rsidRDefault="00502FEE" w:rsidP="000E7A06">
            <w:pPr>
              <w:jc w:val="right"/>
              <w:rPr>
                <w:color w:val="000000"/>
                <w:sz w:val="20"/>
                <w:szCs w:val="20"/>
              </w:rPr>
            </w:pPr>
            <w:r>
              <w:rPr>
                <w:sz w:val="20"/>
                <w:szCs w:val="20"/>
                <w:lang w:val="fr"/>
              </w:rPr>
              <w:t>385 840</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2C9BCE58" w14:textId="77777777" w:rsidR="00502FEE" w:rsidRPr="00A47A8E" w:rsidRDefault="00502FEE" w:rsidP="000E7A06">
            <w:pPr>
              <w:jc w:val="right"/>
              <w:rPr>
                <w:color w:val="000000"/>
                <w:sz w:val="20"/>
                <w:szCs w:val="20"/>
              </w:rPr>
            </w:pPr>
            <w:r>
              <w:rPr>
                <w:sz w:val="20"/>
                <w:szCs w:val="20"/>
                <w:lang w:val="fr"/>
              </w:rPr>
              <w:t>382 005</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7047E187" w14:textId="77777777" w:rsidR="00502FEE" w:rsidRPr="00A47A8E" w:rsidRDefault="00502FEE" w:rsidP="000E7A06">
            <w:pPr>
              <w:jc w:val="right"/>
              <w:rPr>
                <w:color w:val="000000"/>
                <w:sz w:val="20"/>
                <w:szCs w:val="20"/>
              </w:rPr>
            </w:pPr>
            <w:r>
              <w:rPr>
                <w:sz w:val="20"/>
                <w:szCs w:val="20"/>
                <w:lang w:val="fr"/>
              </w:rPr>
              <w:t>376 380</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10A3F6E6" w14:textId="77777777" w:rsidR="00502FEE" w:rsidRPr="00A47A8E" w:rsidRDefault="00502FEE" w:rsidP="000E7A06">
            <w:pPr>
              <w:jc w:val="right"/>
              <w:rPr>
                <w:color w:val="000000"/>
                <w:sz w:val="20"/>
                <w:szCs w:val="20"/>
              </w:rPr>
            </w:pPr>
            <w:r>
              <w:rPr>
                <w:sz w:val="20"/>
                <w:szCs w:val="20"/>
                <w:lang w:val="fr"/>
              </w:rPr>
              <w:t>365 131</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7D439CF5" w14:textId="77777777" w:rsidR="00502FEE" w:rsidRPr="00A47A8E" w:rsidRDefault="00502FEE" w:rsidP="000E7A06">
            <w:pPr>
              <w:jc w:val="right"/>
              <w:rPr>
                <w:color w:val="000000"/>
                <w:sz w:val="20"/>
                <w:szCs w:val="20"/>
              </w:rPr>
            </w:pPr>
            <w:r>
              <w:rPr>
                <w:sz w:val="20"/>
                <w:szCs w:val="20"/>
                <w:lang w:val="fr"/>
              </w:rPr>
              <w:t>68,2</w:t>
            </w:r>
          </w:p>
        </w:tc>
      </w:tr>
      <w:tr w:rsidR="00502FEE" w:rsidRPr="00A47A8E" w14:paraId="288392C1" w14:textId="77777777" w:rsidTr="004A46EE">
        <w:trPr>
          <w:trHeight w:val="58"/>
        </w:trPr>
        <w:tc>
          <w:tcPr>
            <w:tcW w:w="137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06281313" w14:textId="77777777" w:rsidR="00502FEE" w:rsidRPr="00A47A8E" w:rsidRDefault="00502FEE" w:rsidP="000E7A06">
            <w:pPr>
              <w:jc w:val="left"/>
              <w:rPr>
                <w:b/>
                <w:sz w:val="20"/>
                <w:szCs w:val="20"/>
              </w:rPr>
            </w:pPr>
            <w:r>
              <w:rPr>
                <w:b/>
                <w:bCs/>
                <w:sz w:val="20"/>
                <w:szCs w:val="20"/>
                <w:lang w:val="fr"/>
              </w:rPr>
              <w:t>Admissible</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4A707EB1" w14:textId="77777777" w:rsidR="00502FEE" w:rsidRPr="00A47A8E" w:rsidRDefault="00502FEE" w:rsidP="000E7A06">
            <w:pPr>
              <w:jc w:val="right"/>
              <w:rPr>
                <w:sz w:val="20"/>
                <w:szCs w:val="20"/>
              </w:rPr>
            </w:pPr>
            <w:r>
              <w:rPr>
                <w:sz w:val="20"/>
                <w:szCs w:val="20"/>
                <w:lang w:val="fr"/>
              </w:rPr>
              <w:t>535 722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58B92E61" w14:textId="77777777" w:rsidR="00502FEE" w:rsidRPr="00A47A8E" w:rsidRDefault="00502FEE" w:rsidP="000E7A06">
            <w:pPr>
              <w:jc w:val="right"/>
              <w:rPr>
                <w:color w:val="000000"/>
                <w:sz w:val="20"/>
                <w:szCs w:val="20"/>
              </w:rPr>
            </w:pPr>
            <w:r>
              <w:rPr>
                <w:sz w:val="20"/>
                <w:szCs w:val="20"/>
                <w:lang w:val="fr"/>
              </w:rPr>
              <w:t>535 722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53353686" w14:textId="77777777" w:rsidR="00502FEE" w:rsidRPr="00A47A8E" w:rsidRDefault="00502FEE" w:rsidP="000E7A06">
            <w:pPr>
              <w:jc w:val="right"/>
              <w:rPr>
                <w:color w:val="000000"/>
                <w:sz w:val="20"/>
                <w:szCs w:val="20"/>
              </w:rPr>
            </w:pPr>
            <w:r>
              <w:rPr>
                <w:sz w:val="20"/>
                <w:szCs w:val="20"/>
                <w:lang w:val="fr"/>
              </w:rPr>
              <w:t>482 150</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3B79931D" w14:textId="77777777" w:rsidR="00502FEE" w:rsidRPr="00A47A8E" w:rsidRDefault="00502FEE" w:rsidP="000E7A06">
            <w:pPr>
              <w:jc w:val="right"/>
              <w:rPr>
                <w:color w:val="000000"/>
                <w:sz w:val="20"/>
                <w:szCs w:val="20"/>
              </w:rPr>
            </w:pPr>
            <w:r>
              <w:rPr>
                <w:sz w:val="20"/>
                <w:szCs w:val="20"/>
                <w:lang w:val="fr"/>
              </w:rPr>
              <w:t>482 150</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420D909C" w14:textId="77777777" w:rsidR="00502FEE" w:rsidRPr="00A47A8E" w:rsidRDefault="00502FEE" w:rsidP="000E7A06">
            <w:pPr>
              <w:jc w:val="right"/>
              <w:rPr>
                <w:color w:val="000000"/>
                <w:sz w:val="20"/>
                <w:szCs w:val="20"/>
              </w:rPr>
            </w:pPr>
            <w:r>
              <w:rPr>
                <w:sz w:val="20"/>
                <w:szCs w:val="20"/>
                <w:lang w:val="fr"/>
              </w:rPr>
              <w:t>482 150</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D7178AE" w14:textId="77777777" w:rsidR="00502FEE" w:rsidRPr="00A47A8E" w:rsidRDefault="00502FEE" w:rsidP="000E7A06">
            <w:pPr>
              <w:jc w:val="right"/>
              <w:rPr>
                <w:color w:val="000000"/>
                <w:sz w:val="20"/>
                <w:szCs w:val="20"/>
              </w:rPr>
            </w:pPr>
            <w:r>
              <w:rPr>
                <w:sz w:val="20"/>
                <w:szCs w:val="20"/>
                <w:lang w:val="fr"/>
              </w:rPr>
              <w:t>482 150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252F740B" w14:textId="77777777" w:rsidR="00502FEE" w:rsidRPr="00A47A8E" w:rsidRDefault="00502FEE" w:rsidP="000E7A06">
            <w:pPr>
              <w:jc w:val="right"/>
              <w:rPr>
                <w:sz w:val="20"/>
                <w:szCs w:val="20"/>
              </w:rPr>
            </w:pPr>
            <w:r>
              <w:rPr>
                <w:sz w:val="20"/>
                <w:szCs w:val="20"/>
                <w:lang w:val="fr"/>
              </w:rPr>
              <w:t xml:space="preserve"> </w:t>
            </w:r>
          </w:p>
        </w:tc>
      </w:tr>
      <w:tr w:rsidR="00502FEE" w:rsidRPr="00A47A8E" w14:paraId="409C47C6" w14:textId="77777777" w:rsidTr="004A46EE">
        <w:trPr>
          <w:trHeight w:val="58"/>
        </w:trPr>
        <w:tc>
          <w:tcPr>
            <w:tcW w:w="137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5AA1B7E6" w14:textId="77777777" w:rsidR="00502FEE" w:rsidRPr="00A47A8E" w:rsidRDefault="00502FEE" w:rsidP="000E7A06">
            <w:pPr>
              <w:jc w:val="left"/>
              <w:rPr>
                <w:sz w:val="20"/>
                <w:szCs w:val="20"/>
              </w:rPr>
            </w:pPr>
            <w:r>
              <w:rPr>
                <w:sz w:val="20"/>
                <w:szCs w:val="20"/>
                <w:lang w:val="fr"/>
              </w:rPr>
              <w:t>Différence</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0918DED4" w14:textId="77777777" w:rsidR="00502FEE" w:rsidRPr="00A47A8E" w:rsidRDefault="00502FEE" w:rsidP="000E7A06">
            <w:pPr>
              <w:jc w:val="right"/>
              <w:rPr>
                <w:sz w:val="20"/>
                <w:szCs w:val="20"/>
              </w:rPr>
            </w:pPr>
            <w:r>
              <w:rPr>
                <w:sz w:val="20"/>
                <w:szCs w:val="20"/>
                <w:lang w:val="fr"/>
              </w:rPr>
              <w:t xml:space="preserve"> </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1A29308D" w14:textId="77777777" w:rsidR="00502FEE" w:rsidRPr="00A47A8E" w:rsidRDefault="00502FEE" w:rsidP="000E7A06">
            <w:pPr>
              <w:jc w:val="right"/>
              <w:rPr>
                <w:color w:val="000000"/>
                <w:sz w:val="20"/>
                <w:szCs w:val="20"/>
              </w:rPr>
            </w:pPr>
            <w:r>
              <w:rPr>
                <w:sz w:val="20"/>
                <w:szCs w:val="20"/>
                <w:lang w:val="fr"/>
              </w:rPr>
              <w:t>(89 649)</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39385A47" w14:textId="77777777" w:rsidR="00502FEE" w:rsidRPr="00A47A8E" w:rsidRDefault="00502FEE" w:rsidP="000E7A06">
            <w:pPr>
              <w:jc w:val="right"/>
              <w:rPr>
                <w:color w:val="000000"/>
                <w:sz w:val="20"/>
                <w:szCs w:val="20"/>
              </w:rPr>
            </w:pPr>
            <w:r>
              <w:rPr>
                <w:sz w:val="20"/>
                <w:szCs w:val="20"/>
                <w:lang w:val="fr"/>
              </w:rPr>
              <w:t>(96 310)</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41EC3374" w14:textId="77777777" w:rsidR="00502FEE" w:rsidRPr="00A47A8E" w:rsidRDefault="00502FEE" w:rsidP="000E7A06">
            <w:pPr>
              <w:jc w:val="right"/>
              <w:rPr>
                <w:color w:val="000000"/>
                <w:sz w:val="20"/>
                <w:szCs w:val="20"/>
              </w:rPr>
            </w:pPr>
            <w:r>
              <w:rPr>
                <w:sz w:val="20"/>
                <w:szCs w:val="20"/>
                <w:lang w:val="fr"/>
              </w:rPr>
              <w:t>(100 145)</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1D7EC4EE" w14:textId="77777777" w:rsidR="00502FEE" w:rsidRPr="00A47A8E" w:rsidRDefault="00502FEE" w:rsidP="000E7A06">
            <w:pPr>
              <w:jc w:val="right"/>
              <w:rPr>
                <w:color w:val="000000"/>
                <w:sz w:val="20"/>
                <w:szCs w:val="20"/>
              </w:rPr>
            </w:pPr>
            <w:r>
              <w:rPr>
                <w:sz w:val="20"/>
                <w:szCs w:val="20"/>
                <w:lang w:val="fr"/>
              </w:rPr>
              <w:t>(105 770)</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355A57F" w14:textId="77777777" w:rsidR="00502FEE" w:rsidRPr="00A47A8E" w:rsidRDefault="00502FEE" w:rsidP="000E7A06">
            <w:pPr>
              <w:jc w:val="right"/>
              <w:rPr>
                <w:color w:val="000000"/>
                <w:sz w:val="20"/>
                <w:szCs w:val="20"/>
              </w:rPr>
            </w:pPr>
            <w:r>
              <w:rPr>
                <w:sz w:val="20"/>
                <w:szCs w:val="20"/>
                <w:lang w:val="fr"/>
              </w:rPr>
              <w:t>(117 019)</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27BAB41B" w14:textId="77777777" w:rsidR="00502FEE" w:rsidRPr="00A47A8E" w:rsidRDefault="00502FEE" w:rsidP="000E7A06">
            <w:pPr>
              <w:jc w:val="right"/>
              <w:rPr>
                <w:sz w:val="20"/>
                <w:szCs w:val="20"/>
              </w:rPr>
            </w:pPr>
            <w:r>
              <w:rPr>
                <w:sz w:val="20"/>
                <w:szCs w:val="20"/>
                <w:lang w:val="fr"/>
              </w:rPr>
              <w:t xml:space="preserve"> </w:t>
            </w:r>
          </w:p>
        </w:tc>
      </w:tr>
    </w:tbl>
    <w:p w14:paraId="467A5A36" w14:textId="77777777" w:rsidR="00502FEE" w:rsidRDefault="00502FEE" w:rsidP="00502FEE"/>
    <w:p w14:paraId="5EE396F1" w14:textId="1C4E18A9" w:rsidR="00502FEE" w:rsidRPr="005703FE" w:rsidRDefault="00502FEE" w:rsidP="001277B2">
      <w:pPr>
        <w:pStyle w:val="Heading1"/>
        <w:rPr>
          <w:lang w:val="fr-FR"/>
        </w:rPr>
      </w:pPr>
      <w:r>
        <w:rPr>
          <w:lang w:val="fr"/>
        </w:rPr>
        <w:t xml:space="preserve">Étant donné que les PGEH approuvés à ce jour visent l’élimination d’environ 60,6 % de la consommation de référence de HCFC, et que d’autres étapes de PGEH devraient être approuvées avant 2025, il est probable que les niveaux de consommation des HCFC pour 2020-2030 seront inférieurs à ceux indiqués au tableau 4. </w:t>
      </w:r>
    </w:p>
    <w:p w14:paraId="5C2286C6" w14:textId="77777777" w:rsidR="00502FEE" w:rsidRPr="005703FE" w:rsidRDefault="00502FEE" w:rsidP="00502FEE">
      <w:pPr>
        <w:pStyle w:val="Heading1"/>
        <w:widowControl w:val="0"/>
        <w:numPr>
          <w:ilvl w:val="0"/>
          <w:numId w:val="0"/>
        </w:numPr>
        <w:tabs>
          <w:tab w:val="num" w:pos="720"/>
        </w:tabs>
        <w:rPr>
          <w:b/>
          <w:lang w:val="fr-FR"/>
        </w:rPr>
      </w:pPr>
      <w:r>
        <w:rPr>
          <w:b/>
          <w:bCs/>
          <w:lang w:val="fr"/>
        </w:rPr>
        <w:t>Répartition des HCFC et des HFC dans le secteur manufacturier et le secteur de l’entretien des équipements de réfrigération</w:t>
      </w:r>
    </w:p>
    <w:p w14:paraId="339930FF" w14:textId="7C07E7B4" w:rsidR="00502FEE" w:rsidRPr="005703FE" w:rsidRDefault="00502FEE" w:rsidP="00502FEE">
      <w:pPr>
        <w:pStyle w:val="Heading1"/>
        <w:rPr>
          <w:lang w:val="fr-FR"/>
        </w:rPr>
      </w:pPr>
      <w:r>
        <w:rPr>
          <w:lang w:val="fr"/>
        </w:rPr>
        <w:t xml:space="preserve">Les informations provenant des PGEH approuvés indiquent que dans 95 pays (pour la plupart à faible volume de consommation), les HCFC ne sont utilisés que dans le secteur de l’entretien des équipements de réfrigération ; dans les 50 autres pays, les HCFC sont utilisés tant dans le secteur manufacturier (mousses PU et XPS, climatiseurs individuels, réfrigération commerciale, aérosols et solvants) que dans le secteur de l’entretien des équipements de réfrigération. </w:t>
      </w:r>
    </w:p>
    <w:p w14:paraId="16F98307" w14:textId="77777777" w:rsidR="00502FEE" w:rsidRPr="005703FE" w:rsidRDefault="00502FEE" w:rsidP="00502FEE">
      <w:pPr>
        <w:pStyle w:val="Heading1"/>
        <w:rPr>
          <w:lang w:val="fr-FR"/>
        </w:rPr>
      </w:pPr>
      <w:r>
        <w:rPr>
          <w:lang w:val="fr"/>
        </w:rPr>
        <w:lastRenderedPageBreak/>
        <w:t xml:space="preserve">Les informations contenues dans les rapports préparés par l’Équipe spéciale du GETE indiquent que plus de 95 % de la consommation totale de HFC dans les pays visés à l’article 5 provient du secteur de la réfrigération et de la climatisation, comme indiqué au tableau 6. </w:t>
      </w:r>
    </w:p>
    <w:p w14:paraId="7D245597" w14:textId="77777777" w:rsidR="00502FEE" w:rsidRPr="005703FE" w:rsidRDefault="00502FEE" w:rsidP="00502FEE">
      <w:pPr>
        <w:keepNext/>
        <w:keepLines/>
        <w:rPr>
          <w:b/>
          <w:lang w:val="fr-FR"/>
        </w:rPr>
      </w:pPr>
      <w:r>
        <w:rPr>
          <w:b/>
          <w:bCs/>
          <w:lang w:val="fr"/>
        </w:rPr>
        <w:t xml:space="preserve">Tableau 6. Répartition de la consommation de HFC dans les pays visés à l’article 5 </w:t>
      </w:r>
    </w:p>
    <w:tbl>
      <w:tblPr>
        <w:tblW w:w="9247" w:type="dxa"/>
        <w:tblInd w:w="108" w:type="dxa"/>
        <w:tblLayout w:type="fixed"/>
        <w:tblLook w:val="04A0" w:firstRow="1" w:lastRow="0" w:firstColumn="1" w:lastColumn="0" w:noHBand="0" w:noVBand="1"/>
      </w:tblPr>
      <w:tblGrid>
        <w:gridCol w:w="2947"/>
        <w:gridCol w:w="1575"/>
        <w:gridCol w:w="1575"/>
        <w:gridCol w:w="1575"/>
        <w:gridCol w:w="1575"/>
      </w:tblGrid>
      <w:tr w:rsidR="00502FEE" w14:paraId="040F7C60" w14:textId="77777777" w:rsidTr="0052276C">
        <w:trPr>
          <w:tblHeader/>
        </w:trPr>
        <w:tc>
          <w:tcPr>
            <w:tcW w:w="2947" w:type="dxa"/>
            <w:tcBorders>
              <w:top w:val="single" w:sz="4" w:space="0" w:color="auto"/>
              <w:left w:val="single" w:sz="4" w:space="0" w:color="auto"/>
              <w:bottom w:val="single" w:sz="4" w:space="0" w:color="auto"/>
              <w:right w:val="single" w:sz="4" w:space="0" w:color="auto"/>
            </w:tcBorders>
            <w:noWrap/>
            <w:vAlign w:val="bottom"/>
            <w:hideMark/>
          </w:tcPr>
          <w:p w14:paraId="75F48EF1" w14:textId="77777777" w:rsidR="00502FEE" w:rsidRPr="00641A6D" w:rsidRDefault="00502FEE" w:rsidP="000E7A06">
            <w:pPr>
              <w:jc w:val="left"/>
              <w:rPr>
                <w:b/>
                <w:color w:val="000000"/>
                <w:sz w:val="20"/>
                <w:szCs w:val="20"/>
              </w:rPr>
            </w:pPr>
            <w:r>
              <w:rPr>
                <w:b/>
                <w:bCs/>
                <w:color w:val="000000"/>
                <w:sz w:val="20"/>
                <w:szCs w:val="20"/>
                <w:lang w:val="fr"/>
              </w:rPr>
              <w:t>Secteur</w:t>
            </w:r>
          </w:p>
        </w:tc>
        <w:tc>
          <w:tcPr>
            <w:tcW w:w="1575" w:type="dxa"/>
            <w:tcBorders>
              <w:top w:val="single" w:sz="4" w:space="0" w:color="auto"/>
              <w:left w:val="nil"/>
              <w:bottom w:val="single" w:sz="4" w:space="0" w:color="auto"/>
              <w:right w:val="single" w:sz="4" w:space="0" w:color="auto"/>
            </w:tcBorders>
            <w:noWrap/>
            <w:vAlign w:val="center"/>
            <w:hideMark/>
          </w:tcPr>
          <w:p w14:paraId="421CB4F4" w14:textId="77777777" w:rsidR="00502FEE" w:rsidRPr="00641A6D" w:rsidRDefault="00502FEE" w:rsidP="000E7A06">
            <w:pPr>
              <w:jc w:val="center"/>
              <w:rPr>
                <w:b/>
                <w:color w:val="000000"/>
                <w:sz w:val="20"/>
                <w:szCs w:val="20"/>
              </w:rPr>
            </w:pPr>
            <w:r>
              <w:rPr>
                <w:b/>
                <w:bCs/>
                <w:color w:val="000000"/>
                <w:sz w:val="20"/>
                <w:szCs w:val="20"/>
                <w:lang w:val="fr"/>
              </w:rPr>
              <w:t>2015</w:t>
            </w:r>
          </w:p>
        </w:tc>
        <w:tc>
          <w:tcPr>
            <w:tcW w:w="1575" w:type="dxa"/>
            <w:tcBorders>
              <w:top w:val="single" w:sz="4" w:space="0" w:color="auto"/>
              <w:left w:val="nil"/>
              <w:bottom w:val="single" w:sz="4" w:space="0" w:color="auto"/>
              <w:right w:val="single" w:sz="4" w:space="0" w:color="auto"/>
            </w:tcBorders>
            <w:noWrap/>
            <w:vAlign w:val="center"/>
            <w:hideMark/>
          </w:tcPr>
          <w:p w14:paraId="6256C2CA" w14:textId="77777777" w:rsidR="00502FEE" w:rsidRPr="00641A6D" w:rsidRDefault="00502FEE" w:rsidP="000E7A06">
            <w:pPr>
              <w:jc w:val="center"/>
              <w:rPr>
                <w:b/>
                <w:color w:val="000000"/>
                <w:sz w:val="20"/>
                <w:szCs w:val="20"/>
              </w:rPr>
            </w:pPr>
            <w:r>
              <w:rPr>
                <w:b/>
                <w:bCs/>
                <w:color w:val="000000"/>
                <w:sz w:val="20"/>
                <w:szCs w:val="20"/>
                <w:lang w:val="fr"/>
              </w:rPr>
              <w:t>2020</w:t>
            </w:r>
          </w:p>
        </w:tc>
        <w:tc>
          <w:tcPr>
            <w:tcW w:w="1575" w:type="dxa"/>
            <w:tcBorders>
              <w:top w:val="single" w:sz="4" w:space="0" w:color="auto"/>
              <w:left w:val="nil"/>
              <w:bottom w:val="single" w:sz="4" w:space="0" w:color="auto"/>
              <w:right w:val="single" w:sz="4" w:space="0" w:color="auto"/>
            </w:tcBorders>
            <w:noWrap/>
            <w:vAlign w:val="center"/>
            <w:hideMark/>
          </w:tcPr>
          <w:p w14:paraId="357BAA88" w14:textId="77777777" w:rsidR="00502FEE" w:rsidRPr="00641A6D" w:rsidRDefault="00502FEE" w:rsidP="000E7A06">
            <w:pPr>
              <w:jc w:val="center"/>
              <w:rPr>
                <w:b/>
                <w:color w:val="000000"/>
                <w:sz w:val="20"/>
                <w:szCs w:val="20"/>
              </w:rPr>
            </w:pPr>
            <w:r>
              <w:rPr>
                <w:b/>
                <w:bCs/>
                <w:color w:val="000000"/>
                <w:sz w:val="20"/>
                <w:szCs w:val="20"/>
                <w:lang w:val="fr"/>
              </w:rPr>
              <w:t>2025</w:t>
            </w:r>
          </w:p>
        </w:tc>
        <w:tc>
          <w:tcPr>
            <w:tcW w:w="1575" w:type="dxa"/>
            <w:tcBorders>
              <w:top w:val="single" w:sz="4" w:space="0" w:color="auto"/>
              <w:left w:val="nil"/>
              <w:bottom w:val="single" w:sz="4" w:space="0" w:color="auto"/>
              <w:right w:val="single" w:sz="4" w:space="0" w:color="auto"/>
            </w:tcBorders>
            <w:noWrap/>
            <w:vAlign w:val="center"/>
            <w:hideMark/>
          </w:tcPr>
          <w:p w14:paraId="6449F381" w14:textId="77777777" w:rsidR="00502FEE" w:rsidRPr="00641A6D" w:rsidRDefault="00502FEE" w:rsidP="000E7A06">
            <w:pPr>
              <w:jc w:val="center"/>
              <w:rPr>
                <w:b/>
                <w:color w:val="000000"/>
                <w:sz w:val="20"/>
                <w:szCs w:val="20"/>
              </w:rPr>
            </w:pPr>
            <w:r>
              <w:rPr>
                <w:b/>
                <w:bCs/>
                <w:color w:val="000000"/>
                <w:sz w:val="20"/>
                <w:szCs w:val="20"/>
                <w:lang w:val="fr"/>
              </w:rPr>
              <w:t>2030</w:t>
            </w:r>
          </w:p>
        </w:tc>
      </w:tr>
      <w:tr w:rsidR="00502FEE" w14:paraId="01B29493" w14:textId="77777777" w:rsidTr="0052276C">
        <w:tc>
          <w:tcPr>
            <w:tcW w:w="2947" w:type="dxa"/>
            <w:tcBorders>
              <w:top w:val="nil"/>
              <w:left w:val="single" w:sz="4" w:space="0" w:color="auto"/>
              <w:bottom w:val="single" w:sz="4" w:space="0" w:color="auto"/>
              <w:right w:val="single" w:sz="4" w:space="0" w:color="auto"/>
            </w:tcBorders>
            <w:noWrap/>
            <w:vAlign w:val="bottom"/>
            <w:hideMark/>
          </w:tcPr>
          <w:p w14:paraId="6123208D" w14:textId="77777777" w:rsidR="00502FEE" w:rsidRPr="00641A6D" w:rsidRDefault="00502FEE" w:rsidP="000E7A06">
            <w:pPr>
              <w:jc w:val="left"/>
              <w:rPr>
                <w:b/>
                <w:color w:val="000000"/>
                <w:sz w:val="20"/>
                <w:szCs w:val="20"/>
              </w:rPr>
            </w:pPr>
            <w:r>
              <w:rPr>
                <w:b/>
                <w:bCs/>
                <w:color w:val="000000"/>
                <w:sz w:val="20"/>
                <w:szCs w:val="20"/>
                <w:lang w:val="fr"/>
              </w:rPr>
              <w:t>Tonnes métriques</w:t>
            </w:r>
          </w:p>
        </w:tc>
        <w:tc>
          <w:tcPr>
            <w:tcW w:w="1575" w:type="dxa"/>
            <w:tcBorders>
              <w:top w:val="nil"/>
              <w:left w:val="nil"/>
              <w:bottom w:val="single" w:sz="4" w:space="0" w:color="auto"/>
              <w:right w:val="single" w:sz="4" w:space="0" w:color="auto"/>
            </w:tcBorders>
            <w:noWrap/>
            <w:vAlign w:val="bottom"/>
            <w:hideMark/>
          </w:tcPr>
          <w:p w14:paraId="1BA4AB79" w14:textId="77777777" w:rsidR="00502FEE" w:rsidRPr="00641A6D" w:rsidRDefault="00502FEE" w:rsidP="000E7A06">
            <w:pPr>
              <w:jc w:val="left"/>
              <w:rPr>
                <w:b/>
                <w:color w:val="000000"/>
                <w:sz w:val="20"/>
                <w:szCs w:val="20"/>
              </w:rPr>
            </w:pPr>
            <w:r>
              <w:rPr>
                <w:b/>
                <w:bCs/>
                <w:color w:val="000000"/>
                <w:sz w:val="20"/>
                <w:szCs w:val="20"/>
                <w:lang w:val="fr"/>
              </w:rPr>
              <w:t> </w:t>
            </w:r>
          </w:p>
        </w:tc>
        <w:tc>
          <w:tcPr>
            <w:tcW w:w="1575" w:type="dxa"/>
            <w:tcBorders>
              <w:top w:val="nil"/>
              <w:left w:val="nil"/>
              <w:bottom w:val="single" w:sz="4" w:space="0" w:color="auto"/>
              <w:right w:val="single" w:sz="4" w:space="0" w:color="auto"/>
            </w:tcBorders>
            <w:noWrap/>
            <w:vAlign w:val="bottom"/>
            <w:hideMark/>
          </w:tcPr>
          <w:p w14:paraId="17530A2A" w14:textId="77777777" w:rsidR="00502FEE" w:rsidRPr="00641A6D" w:rsidRDefault="00502FEE" w:rsidP="000E7A06">
            <w:pPr>
              <w:jc w:val="left"/>
              <w:rPr>
                <w:b/>
                <w:color w:val="000000"/>
                <w:sz w:val="20"/>
                <w:szCs w:val="20"/>
              </w:rPr>
            </w:pPr>
            <w:r>
              <w:rPr>
                <w:b/>
                <w:bCs/>
                <w:color w:val="000000"/>
                <w:sz w:val="20"/>
                <w:szCs w:val="20"/>
                <w:lang w:val="fr"/>
              </w:rPr>
              <w:t> </w:t>
            </w:r>
          </w:p>
        </w:tc>
        <w:tc>
          <w:tcPr>
            <w:tcW w:w="1575" w:type="dxa"/>
            <w:tcBorders>
              <w:top w:val="nil"/>
              <w:left w:val="nil"/>
              <w:bottom w:val="single" w:sz="4" w:space="0" w:color="auto"/>
              <w:right w:val="single" w:sz="4" w:space="0" w:color="auto"/>
            </w:tcBorders>
            <w:noWrap/>
            <w:vAlign w:val="bottom"/>
            <w:hideMark/>
          </w:tcPr>
          <w:p w14:paraId="67B9B27D" w14:textId="77777777" w:rsidR="00502FEE" w:rsidRPr="00641A6D" w:rsidRDefault="00502FEE" w:rsidP="000E7A06">
            <w:pPr>
              <w:jc w:val="left"/>
              <w:rPr>
                <w:b/>
                <w:color w:val="000000"/>
                <w:sz w:val="20"/>
                <w:szCs w:val="20"/>
              </w:rPr>
            </w:pPr>
            <w:r>
              <w:rPr>
                <w:b/>
                <w:bCs/>
                <w:color w:val="000000"/>
                <w:sz w:val="20"/>
                <w:szCs w:val="20"/>
                <w:lang w:val="fr"/>
              </w:rPr>
              <w:t> </w:t>
            </w:r>
          </w:p>
        </w:tc>
        <w:tc>
          <w:tcPr>
            <w:tcW w:w="1575" w:type="dxa"/>
            <w:tcBorders>
              <w:top w:val="nil"/>
              <w:left w:val="nil"/>
              <w:bottom w:val="single" w:sz="4" w:space="0" w:color="auto"/>
              <w:right w:val="single" w:sz="4" w:space="0" w:color="auto"/>
            </w:tcBorders>
            <w:noWrap/>
            <w:vAlign w:val="bottom"/>
            <w:hideMark/>
          </w:tcPr>
          <w:p w14:paraId="5A015F51" w14:textId="77777777" w:rsidR="00502FEE" w:rsidRPr="00641A6D" w:rsidRDefault="00502FEE" w:rsidP="000E7A06">
            <w:pPr>
              <w:jc w:val="left"/>
              <w:rPr>
                <w:b/>
                <w:color w:val="000000"/>
                <w:sz w:val="20"/>
                <w:szCs w:val="20"/>
              </w:rPr>
            </w:pPr>
            <w:r>
              <w:rPr>
                <w:b/>
                <w:bCs/>
                <w:color w:val="000000"/>
                <w:sz w:val="20"/>
                <w:szCs w:val="20"/>
                <w:lang w:val="fr"/>
              </w:rPr>
              <w:t> </w:t>
            </w:r>
          </w:p>
        </w:tc>
      </w:tr>
      <w:tr w:rsidR="00502FEE" w14:paraId="714866FE" w14:textId="77777777" w:rsidTr="0052276C">
        <w:tc>
          <w:tcPr>
            <w:tcW w:w="2947" w:type="dxa"/>
            <w:tcBorders>
              <w:top w:val="nil"/>
              <w:left w:val="single" w:sz="4" w:space="0" w:color="auto"/>
              <w:bottom w:val="single" w:sz="4" w:space="0" w:color="auto"/>
              <w:right w:val="single" w:sz="4" w:space="0" w:color="auto"/>
            </w:tcBorders>
            <w:noWrap/>
            <w:vAlign w:val="bottom"/>
            <w:hideMark/>
          </w:tcPr>
          <w:p w14:paraId="3AFA7F54" w14:textId="77777777" w:rsidR="00502FEE" w:rsidRPr="00641A6D" w:rsidRDefault="00502FEE" w:rsidP="000E7A06">
            <w:pPr>
              <w:jc w:val="left"/>
              <w:rPr>
                <w:color w:val="000000"/>
                <w:sz w:val="20"/>
                <w:szCs w:val="20"/>
              </w:rPr>
            </w:pPr>
            <w:r>
              <w:rPr>
                <w:color w:val="000000"/>
                <w:sz w:val="20"/>
                <w:szCs w:val="20"/>
                <w:lang w:val="fr"/>
              </w:rPr>
              <w:t>Fabrication – réfrigération et climatisation</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6F38EA3" w14:textId="77777777" w:rsidR="00502FEE" w:rsidRPr="00641A6D" w:rsidRDefault="00502FEE" w:rsidP="000E7A06">
            <w:pPr>
              <w:jc w:val="right"/>
              <w:rPr>
                <w:color w:val="000000"/>
                <w:sz w:val="20"/>
                <w:szCs w:val="20"/>
              </w:rPr>
            </w:pPr>
            <w:r>
              <w:rPr>
                <w:color w:val="000000"/>
                <w:sz w:val="20"/>
                <w:szCs w:val="20"/>
                <w:lang w:val="fr"/>
              </w:rPr>
              <w:t>185 838</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8B3DAE2" w14:textId="77777777" w:rsidR="00502FEE" w:rsidRPr="00641A6D" w:rsidRDefault="00502FEE" w:rsidP="000E7A06">
            <w:pPr>
              <w:jc w:val="right"/>
              <w:rPr>
                <w:color w:val="000000"/>
                <w:sz w:val="20"/>
                <w:szCs w:val="20"/>
              </w:rPr>
            </w:pPr>
            <w:r>
              <w:rPr>
                <w:color w:val="000000"/>
                <w:sz w:val="20"/>
                <w:szCs w:val="20"/>
                <w:lang w:val="fr"/>
              </w:rPr>
              <w:t>281 619</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6E0D782" w14:textId="77777777" w:rsidR="00502FEE" w:rsidRPr="00641A6D" w:rsidRDefault="00502FEE" w:rsidP="000E7A06">
            <w:pPr>
              <w:jc w:val="right"/>
              <w:rPr>
                <w:color w:val="000000"/>
                <w:sz w:val="20"/>
                <w:szCs w:val="20"/>
              </w:rPr>
            </w:pPr>
            <w:r>
              <w:rPr>
                <w:color w:val="000000"/>
                <w:sz w:val="20"/>
                <w:szCs w:val="20"/>
                <w:lang w:val="fr"/>
              </w:rPr>
              <w:t>392 390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AB87409" w14:textId="77777777" w:rsidR="00502FEE" w:rsidRPr="00641A6D" w:rsidRDefault="00502FEE" w:rsidP="000E7A06">
            <w:pPr>
              <w:jc w:val="right"/>
              <w:rPr>
                <w:color w:val="000000"/>
                <w:sz w:val="20"/>
                <w:szCs w:val="20"/>
              </w:rPr>
            </w:pPr>
            <w:r>
              <w:rPr>
                <w:color w:val="000000"/>
                <w:sz w:val="20"/>
                <w:szCs w:val="20"/>
                <w:lang w:val="fr"/>
              </w:rPr>
              <w:t>510 596</w:t>
            </w:r>
          </w:p>
        </w:tc>
      </w:tr>
      <w:tr w:rsidR="00502FEE" w14:paraId="2DE1079E" w14:textId="77777777" w:rsidTr="0052276C">
        <w:tc>
          <w:tcPr>
            <w:tcW w:w="2947" w:type="dxa"/>
            <w:tcBorders>
              <w:top w:val="nil"/>
              <w:left w:val="single" w:sz="4" w:space="0" w:color="auto"/>
              <w:bottom w:val="single" w:sz="4" w:space="0" w:color="auto"/>
              <w:right w:val="single" w:sz="4" w:space="0" w:color="auto"/>
            </w:tcBorders>
            <w:noWrap/>
            <w:vAlign w:val="bottom"/>
            <w:hideMark/>
          </w:tcPr>
          <w:p w14:paraId="01A4036E" w14:textId="77777777" w:rsidR="00502FEE" w:rsidRPr="00641A6D" w:rsidRDefault="00502FEE" w:rsidP="000E7A06">
            <w:pPr>
              <w:jc w:val="left"/>
              <w:rPr>
                <w:color w:val="000000"/>
                <w:sz w:val="20"/>
                <w:szCs w:val="20"/>
              </w:rPr>
            </w:pPr>
            <w:r>
              <w:rPr>
                <w:color w:val="000000"/>
                <w:sz w:val="20"/>
                <w:szCs w:val="20"/>
                <w:lang w:val="fr"/>
              </w:rPr>
              <w:t>Entretien – réfrigération et climatisation</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0C244ED5" w14:textId="77777777" w:rsidR="00502FEE" w:rsidRPr="00641A6D" w:rsidRDefault="00502FEE" w:rsidP="000E7A06">
            <w:pPr>
              <w:jc w:val="right"/>
              <w:rPr>
                <w:color w:val="000000"/>
                <w:sz w:val="20"/>
                <w:szCs w:val="20"/>
              </w:rPr>
            </w:pPr>
            <w:r>
              <w:rPr>
                <w:color w:val="000000"/>
                <w:sz w:val="20"/>
                <w:szCs w:val="20"/>
                <w:lang w:val="fr"/>
              </w:rPr>
              <w:t>87 033</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67F0F9E0" w14:textId="77777777" w:rsidR="00502FEE" w:rsidRPr="00641A6D" w:rsidRDefault="00502FEE" w:rsidP="000E7A06">
            <w:pPr>
              <w:jc w:val="right"/>
              <w:rPr>
                <w:color w:val="000000"/>
                <w:sz w:val="20"/>
                <w:szCs w:val="20"/>
              </w:rPr>
            </w:pPr>
            <w:r>
              <w:rPr>
                <w:color w:val="000000"/>
                <w:sz w:val="20"/>
                <w:szCs w:val="20"/>
                <w:lang w:val="fr"/>
              </w:rPr>
              <w:t>176 493</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22AEEA12" w14:textId="77777777" w:rsidR="00502FEE" w:rsidRPr="00641A6D" w:rsidRDefault="00502FEE" w:rsidP="000E7A06">
            <w:pPr>
              <w:jc w:val="right"/>
              <w:rPr>
                <w:color w:val="000000"/>
                <w:sz w:val="20"/>
                <w:szCs w:val="20"/>
              </w:rPr>
            </w:pPr>
            <w:r>
              <w:rPr>
                <w:color w:val="000000"/>
                <w:sz w:val="20"/>
                <w:szCs w:val="20"/>
                <w:lang w:val="fr"/>
              </w:rPr>
              <w:t>305 922</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2B566EAF" w14:textId="77777777" w:rsidR="00502FEE" w:rsidRPr="00641A6D" w:rsidRDefault="00502FEE" w:rsidP="000E7A06">
            <w:pPr>
              <w:jc w:val="right"/>
              <w:rPr>
                <w:color w:val="000000"/>
                <w:sz w:val="20"/>
                <w:szCs w:val="20"/>
              </w:rPr>
            </w:pPr>
            <w:r>
              <w:rPr>
                <w:color w:val="000000"/>
                <w:sz w:val="20"/>
                <w:szCs w:val="20"/>
                <w:lang w:val="fr"/>
              </w:rPr>
              <w:t>468 550</w:t>
            </w:r>
          </w:p>
        </w:tc>
      </w:tr>
      <w:tr w:rsidR="00502FEE" w14:paraId="5095EFC3" w14:textId="77777777" w:rsidTr="0052276C">
        <w:tc>
          <w:tcPr>
            <w:tcW w:w="2947" w:type="dxa"/>
            <w:tcBorders>
              <w:top w:val="nil"/>
              <w:left w:val="single" w:sz="4" w:space="0" w:color="auto"/>
              <w:bottom w:val="single" w:sz="4" w:space="0" w:color="auto"/>
              <w:right w:val="single" w:sz="4" w:space="0" w:color="auto"/>
            </w:tcBorders>
            <w:noWrap/>
            <w:vAlign w:val="bottom"/>
            <w:hideMark/>
          </w:tcPr>
          <w:p w14:paraId="2CEDFC49" w14:textId="77777777" w:rsidR="00502FEE" w:rsidRPr="00641A6D" w:rsidRDefault="00502FEE" w:rsidP="000E7A06">
            <w:pPr>
              <w:jc w:val="left"/>
              <w:rPr>
                <w:color w:val="000000"/>
                <w:sz w:val="20"/>
                <w:szCs w:val="20"/>
              </w:rPr>
            </w:pPr>
            <w:r>
              <w:rPr>
                <w:color w:val="000000"/>
                <w:sz w:val="20"/>
                <w:szCs w:val="20"/>
                <w:lang w:val="fr"/>
              </w:rPr>
              <w:t>Autres secteurs</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40F445BA" w14:textId="087B4994" w:rsidR="00502FEE" w:rsidRPr="00641A6D" w:rsidRDefault="00502FEE" w:rsidP="009E32F0">
            <w:pPr>
              <w:jc w:val="right"/>
              <w:rPr>
                <w:color w:val="000000"/>
                <w:sz w:val="20"/>
                <w:szCs w:val="20"/>
              </w:rPr>
            </w:pPr>
            <w:r>
              <w:rPr>
                <w:color w:val="000000"/>
                <w:sz w:val="20"/>
                <w:szCs w:val="20"/>
                <w:lang w:val="fr"/>
              </w:rPr>
              <w:t>11 454</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7623B5CD" w14:textId="77777777" w:rsidR="00502FEE" w:rsidRPr="00641A6D" w:rsidRDefault="00502FEE" w:rsidP="000E7A06">
            <w:pPr>
              <w:jc w:val="right"/>
              <w:rPr>
                <w:color w:val="000000"/>
                <w:sz w:val="20"/>
                <w:szCs w:val="20"/>
              </w:rPr>
            </w:pPr>
            <w:r>
              <w:rPr>
                <w:color w:val="000000"/>
                <w:sz w:val="20"/>
                <w:szCs w:val="20"/>
                <w:lang w:val="fr"/>
              </w:rPr>
              <w:t>19 506</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53027361" w14:textId="3358009F" w:rsidR="00502FEE" w:rsidRPr="00641A6D" w:rsidRDefault="00502FEE" w:rsidP="009E32F0">
            <w:pPr>
              <w:jc w:val="right"/>
              <w:rPr>
                <w:color w:val="000000"/>
                <w:sz w:val="20"/>
                <w:szCs w:val="20"/>
              </w:rPr>
            </w:pPr>
            <w:r>
              <w:rPr>
                <w:color w:val="000000"/>
                <w:sz w:val="20"/>
                <w:szCs w:val="20"/>
                <w:lang w:val="fr"/>
              </w:rPr>
              <w:t>33 090</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20113E76" w14:textId="0806C218" w:rsidR="00502FEE" w:rsidRPr="00641A6D" w:rsidRDefault="00502FEE" w:rsidP="003B2427">
            <w:pPr>
              <w:jc w:val="right"/>
              <w:rPr>
                <w:color w:val="000000"/>
                <w:sz w:val="20"/>
                <w:szCs w:val="20"/>
              </w:rPr>
            </w:pPr>
            <w:r>
              <w:rPr>
                <w:color w:val="000000"/>
                <w:sz w:val="20"/>
                <w:szCs w:val="20"/>
                <w:lang w:val="fr"/>
              </w:rPr>
              <w:t>42 070</w:t>
            </w:r>
          </w:p>
        </w:tc>
      </w:tr>
      <w:tr w:rsidR="00502FEE" w14:paraId="3445D1E5" w14:textId="77777777" w:rsidTr="0052276C">
        <w:tc>
          <w:tcPr>
            <w:tcW w:w="2947" w:type="dxa"/>
            <w:tcBorders>
              <w:top w:val="nil"/>
              <w:left w:val="single" w:sz="4" w:space="0" w:color="auto"/>
              <w:bottom w:val="single" w:sz="4" w:space="0" w:color="auto"/>
              <w:right w:val="single" w:sz="4" w:space="0" w:color="auto"/>
            </w:tcBorders>
            <w:noWrap/>
            <w:vAlign w:val="bottom"/>
            <w:hideMark/>
          </w:tcPr>
          <w:p w14:paraId="231BDCD7" w14:textId="77777777" w:rsidR="00502FEE" w:rsidRPr="00641A6D" w:rsidRDefault="00502FEE" w:rsidP="000E7A06">
            <w:pPr>
              <w:jc w:val="left"/>
              <w:rPr>
                <w:color w:val="000000"/>
                <w:sz w:val="20"/>
                <w:szCs w:val="20"/>
              </w:rPr>
            </w:pPr>
            <w:r>
              <w:rPr>
                <w:color w:val="000000"/>
                <w:sz w:val="20"/>
                <w:szCs w:val="20"/>
                <w:lang w:val="fr"/>
              </w:rPr>
              <w:t>Total (tm)</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7EF3E524" w14:textId="19115700" w:rsidR="00502FEE" w:rsidRPr="00641A6D" w:rsidRDefault="00502FEE" w:rsidP="009E32F0">
            <w:pPr>
              <w:jc w:val="right"/>
              <w:rPr>
                <w:color w:val="000000"/>
                <w:sz w:val="20"/>
                <w:szCs w:val="20"/>
              </w:rPr>
            </w:pPr>
            <w:r>
              <w:rPr>
                <w:color w:val="000000"/>
                <w:sz w:val="20"/>
                <w:szCs w:val="20"/>
                <w:lang w:val="fr"/>
              </w:rPr>
              <w:t>284 325</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6DAA8964" w14:textId="77777777" w:rsidR="00502FEE" w:rsidRPr="00641A6D" w:rsidRDefault="00502FEE" w:rsidP="000E7A06">
            <w:pPr>
              <w:jc w:val="right"/>
              <w:rPr>
                <w:color w:val="000000"/>
                <w:sz w:val="20"/>
                <w:szCs w:val="20"/>
              </w:rPr>
            </w:pPr>
            <w:r>
              <w:rPr>
                <w:color w:val="000000"/>
                <w:sz w:val="20"/>
                <w:szCs w:val="20"/>
                <w:lang w:val="fr"/>
              </w:rPr>
              <w:t>477 618</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4265B026" w14:textId="06F6AE09" w:rsidR="00502FEE" w:rsidRPr="00641A6D" w:rsidRDefault="00502FEE" w:rsidP="009E32F0">
            <w:pPr>
              <w:jc w:val="right"/>
              <w:rPr>
                <w:color w:val="000000"/>
                <w:sz w:val="20"/>
                <w:szCs w:val="20"/>
              </w:rPr>
            </w:pPr>
            <w:r>
              <w:rPr>
                <w:color w:val="000000"/>
                <w:sz w:val="20"/>
                <w:szCs w:val="20"/>
                <w:lang w:val="fr"/>
              </w:rPr>
              <w:t>731 402</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52236E28" w14:textId="6EB697EF" w:rsidR="00502FEE" w:rsidRPr="00641A6D" w:rsidRDefault="00502FEE" w:rsidP="003B2427">
            <w:pPr>
              <w:jc w:val="right"/>
              <w:rPr>
                <w:color w:val="000000"/>
                <w:sz w:val="20"/>
                <w:szCs w:val="20"/>
              </w:rPr>
            </w:pPr>
            <w:r>
              <w:rPr>
                <w:color w:val="000000"/>
                <w:sz w:val="20"/>
                <w:szCs w:val="20"/>
                <w:lang w:val="fr"/>
              </w:rPr>
              <w:t>1 021 216</w:t>
            </w:r>
          </w:p>
        </w:tc>
      </w:tr>
      <w:tr w:rsidR="00502FEE" w14:paraId="70C210D2" w14:textId="77777777" w:rsidTr="0052276C">
        <w:tc>
          <w:tcPr>
            <w:tcW w:w="2947" w:type="dxa"/>
            <w:tcBorders>
              <w:top w:val="nil"/>
              <w:left w:val="single" w:sz="4" w:space="0" w:color="auto"/>
              <w:bottom w:val="single" w:sz="4" w:space="0" w:color="auto"/>
              <w:right w:val="single" w:sz="4" w:space="0" w:color="auto"/>
            </w:tcBorders>
            <w:noWrap/>
            <w:vAlign w:val="bottom"/>
            <w:hideMark/>
          </w:tcPr>
          <w:p w14:paraId="7591FE1A" w14:textId="77777777" w:rsidR="00502FEE" w:rsidRPr="00641A6D" w:rsidRDefault="00502FEE" w:rsidP="000E7A06">
            <w:pPr>
              <w:jc w:val="left"/>
              <w:rPr>
                <w:b/>
                <w:color w:val="000000"/>
                <w:sz w:val="20"/>
                <w:szCs w:val="20"/>
              </w:rPr>
            </w:pPr>
            <w:r>
              <w:rPr>
                <w:b/>
                <w:bCs/>
                <w:color w:val="000000"/>
                <w:sz w:val="20"/>
                <w:szCs w:val="20"/>
                <w:lang w:val="fr"/>
              </w:rPr>
              <w:t>Pourcentage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CCE2952" w14:textId="77777777" w:rsidR="00502FEE" w:rsidRPr="00641A6D" w:rsidRDefault="00502FEE" w:rsidP="000E7A06">
            <w:pPr>
              <w:jc w:val="left"/>
              <w:rPr>
                <w:color w:val="000000"/>
                <w:sz w:val="20"/>
                <w:szCs w:val="20"/>
              </w:rPr>
            </w:pPr>
            <w:r>
              <w:rPr>
                <w:color w:val="000000"/>
                <w:sz w:val="20"/>
                <w:szCs w:val="20"/>
                <w:lang w:val="fr"/>
              </w:rPr>
              <w:t>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C1434FD" w14:textId="77777777" w:rsidR="00502FEE" w:rsidRPr="00641A6D" w:rsidRDefault="00502FEE" w:rsidP="000E7A06">
            <w:pPr>
              <w:jc w:val="left"/>
              <w:rPr>
                <w:color w:val="000000"/>
                <w:sz w:val="20"/>
                <w:szCs w:val="20"/>
              </w:rPr>
            </w:pPr>
            <w:r>
              <w:rPr>
                <w:color w:val="000000"/>
                <w:sz w:val="20"/>
                <w:szCs w:val="20"/>
                <w:lang w:val="fr"/>
              </w:rPr>
              <w:t>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E418DAC" w14:textId="77777777" w:rsidR="00502FEE" w:rsidRPr="00641A6D" w:rsidRDefault="00502FEE" w:rsidP="000E7A06">
            <w:pPr>
              <w:jc w:val="left"/>
              <w:rPr>
                <w:color w:val="000000"/>
                <w:sz w:val="20"/>
                <w:szCs w:val="20"/>
              </w:rPr>
            </w:pPr>
            <w:r>
              <w:rPr>
                <w:color w:val="000000"/>
                <w:sz w:val="20"/>
                <w:szCs w:val="20"/>
                <w:lang w:val="fr"/>
              </w:rPr>
              <w:t>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3E4EF6E" w14:textId="77777777" w:rsidR="00502FEE" w:rsidRPr="00641A6D" w:rsidRDefault="00502FEE" w:rsidP="000E7A06">
            <w:pPr>
              <w:jc w:val="left"/>
              <w:rPr>
                <w:color w:val="000000"/>
                <w:sz w:val="20"/>
                <w:szCs w:val="20"/>
              </w:rPr>
            </w:pPr>
            <w:r>
              <w:rPr>
                <w:color w:val="000000"/>
                <w:sz w:val="20"/>
                <w:szCs w:val="20"/>
                <w:lang w:val="fr"/>
              </w:rPr>
              <w:t> </w:t>
            </w:r>
          </w:p>
        </w:tc>
      </w:tr>
      <w:tr w:rsidR="00502FEE" w14:paraId="31C21194" w14:textId="77777777" w:rsidTr="0052276C">
        <w:tc>
          <w:tcPr>
            <w:tcW w:w="2947" w:type="dxa"/>
            <w:tcBorders>
              <w:top w:val="nil"/>
              <w:left w:val="single" w:sz="4" w:space="0" w:color="auto"/>
              <w:bottom w:val="single" w:sz="4" w:space="0" w:color="auto"/>
              <w:right w:val="single" w:sz="4" w:space="0" w:color="auto"/>
            </w:tcBorders>
            <w:noWrap/>
            <w:vAlign w:val="bottom"/>
            <w:hideMark/>
          </w:tcPr>
          <w:p w14:paraId="600C3B87" w14:textId="77777777" w:rsidR="00502FEE" w:rsidRPr="00641A6D" w:rsidRDefault="00502FEE" w:rsidP="000E7A06">
            <w:pPr>
              <w:jc w:val="left"/>
              <w:rPr>
                <w:color w:val="000000"/>
                <w:sz w:val="20"/>
                <w:szCs w:val="20"/>
              </w:rPr>
            </w:pPr>
            <w:r>
              <w:rPr>
                <w:color w:val="000000"/>
                <w:sz w:val="20"/>
                <w:szCs w:val="20"/>
                <w:lang w:val="fr"/>
              </w:rPr>
              <w:t>Fabrication – réfrigération et climatisation</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05491F8" w14:textId="77777777" w:rsidR="00502FEE" w:rsidRPr="00641A6D" w:rsidRDefault="00502FEE" w:rsidP="000E7A06">
            <w:pPr>
              <w:jc w:val="right"/>
              <w:rPr>
                <w:color w:val="000000"/>
                <w:sz w:val="20"/>
                <w:szCs w:val="20"/>
              </w:rPr>
            </w:pPr>
            <w:r>
              <w:rPr>
                <w:color w:val="000000"/>
                <w:sz w:val="20"/>
                <w:szCs w:val="20"/>
                <w:lang w:val="fr"/>
              </w:rPr>
              <w:t>65,4</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770AE76" w14:textId="77777777" w:rsidR="00502FEE" w:rsidRPr="00641A6D" w:rsidRDefault="00502FEE" w:rsidP="000E7A06">
            <w:pPr>
              <w:jc w:val="right"/>
              <w:rPr>
                <w:color w:val="000000"/>
                <w:sz w:val="20"/>
                <w:szCs w:val="20"/>
              </w:rPr>
            </w:pPr>
            <w:r>
              <w:rPr>
                <w:color w:val="000000"/>
                <w:sz w:val="20"/>
                <w:szCs w:val="20"/>
                <w:lang w:val="fr"/>
              </w:rPr>
              <w:t>59,0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8E1B6C4" w14:textId="77777777" w:rsidR="00502FEE" w:rsidRPr="00641A6D" w:rsidRDefault="00502FEE" w:rsidP="000E7A06">
            <w:pPr>
              <w:jc w:val="right"/>
              <w:rPr>
                <w:color w:val="000000"/>
                <w:sz w:val="20"/>
                <w:szCs w:val="20"/>
              </w:rPr>
            </w:pPr>
            <w:r>
              <w:rPr>
                <w:color w:val="000000"/>
                <w:sz w:val="20"/>
                <w:szCs w:val="20"/>
                <w:lang w:val="fr"/>
              </w:rPr>
              <w:t>53,6</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62D4523" w14:textId="77777777" w:rsidR="00502FEE" w:rsidRPr="00641A6D" w:rsidRDefault="00502FEE" w:rsidP="000E7A06">
            <w:pPr>
              <w:jc w:val="right"/>
              <w:rPr>
                <w:color w:val="000000"/>
                <w:sz w:val="20"/>
                <w:szCs w:val="20"/>
              </w:rPr>
            </w:pPr>
            <w:r>
              <w:rPr>
                <w:color w:val="000000"/>
                <w:sz w:val="20"/>
                <w:szCs w:val="20"/>
                <w:lang w:val="fr"/>
              </w:rPr>
              <w:t>50,0</w:t>
            </w:r>
          </w:p>
        </w:tc>
      </w:tr>
      <w:tr w:rsidR="00502FEE" w14:paraId="31AE95E4" w14:textId="77777777" w:rsidTr="0052276C">
        <w:tc>
          <w:tcPr>
            <w:tcW w:w="2947" w:type="dxa"/>
            <w:tcBorders>
              <w:top w:val="nil"/>
              <w:left w:val="single" w:sz="4" w:space="0" w:color="auto"/>
              <w:bottom w:val="single" w:sz="4" w:space="0" w:color="auto"/>
              <w:right w:val="single" w:sz="4" w:space="0" w:color="auto"/>
            </w:tcBorders>
            <w:noWrap/>
            <w:vAlign w:val="bottom"/>
            <w:hideMark/>
          </w:tcPr>
          <w:p w14:paraId="7D2927A3" w14:textId="77777777" w:rsidR="00502FEE" w:rsidRPr="00641A6D" w:rsidRDefault="00502FEE" w:rsidP="000E7A06">
            <w:pPr>
              <w:jc w:val="left"/>
              <w:rPr>
                <w:color w:val="000000"/>
                <w:sz w:val="20"/>
                <w:szCs w:val="20"/>
              </w:rPr>
            </w:pPr>
            <w:r>
              <w:rPr>
                <w:color w:val="000000"/>
                <w:sz w:val="20"/>
                <w:szCs w:val="20"/>
                <w:lang w:val="fr"/>
              </w:rPr>
              <w:t>Entretien – réfrigération et climatisation</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EE2A65B" w14:textId="77777777" w:rsidR="00502FEE" w:rsidRPr="00641A6D" w:rsidRDefault="00502FEE" w:rsidP="000E7A06">
            <w:pPr>
              <w:jc w:val="right"/>
              <w:rPr>
                <w:color w:val="000000"/>
                <w:sz w:val="20"/>
                <w:szCs w:val="20"/>
              </w:rPr>
            </w:pPr>
            <w:r>
              <w:rPr>
                <w:color w:val="000000"/>
                <w:sz w:val="20"/>
                <w:szCs w:val="20"/>
                <w:lang w:val="fr"/>
              </w:rPr>
              <w:t>30,6</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814BA90" w14:textId="77777777" w:rsidR="00502FEE" w:rsidRPr="00641A6D" w:rsidRDefault="00502FEE" w:rsidP="000E7A06">
            <w:pPr>
              <w:jc w:val="right"/>
              <w:rPr>
                <w:color w:val="000000"/>
                <w:sz w:val="20"/>
                <w:szCs w:val="20"/>
              </w:rPr>
            </w:pPr>
            <w:r>
              <w:rPr>
                <w:color w:val="000000"/>
                <w:sz w:val="20"/>
                <w:szCs w:val="20"/>
                <w:lang w:val="fr"/>
              </w:rPr>
              <w:t>37,0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E46076B" w14:textId="77777777" w:rsidR="00502FEE" w:rsidRPr="00641A6D" w:rsidRDefault="00502FEE" w:rsidP="000E7A06">
            <w:pPr>
              <w:jc w:val="right"/>
              <w:rPr>
                <w:color w:val="000000"/>
                <w:sz w:val="20"/>
                <w:szCs w:val="20"/>
              </w:rPr>
            </w:pPr>
            <w:r>
              <w:rPr>
                <w:color w:val="000000"/>
                <w:sz w:val="20"/>
                <w:szCs w:val="20"/>
                <w:lang w:val="fr"/>
              </w:rPr>
              <w:t>41,8</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F977D4C" w14:textId="77777777" w:rsidR="00502FEE" w:rsidRPr="00641A6D" w:rsidRDefault="00502FEE" w:rsidP="000E7A06">
            <w:pPr>
              <w:jc w:val="right"/>
              <w:rPr>
                <w:color w:val="000000"/>
                <w:sz w:val="20"/>
                <w:szCs w:val="20"/>
              </w:rPr>
            </w:pPr>
            <w:r>
              <w:rPr>
                <w:color w:val="000000"/>
                <w:sz w:val="20"/>
                <w:szCs w:val="20"/>
                <w:lang w:val="fr"/>
              </w:rPr>
              <w:t>45,9</w:t>
            </w:r>
          </w:p>
        </w:tc>
      </w:tr>
      <w:tr w:rsidR="00502FEE" w14:paraId="49F99715" w14:textId="77777777" w:rsidTr="0052276C">
        <w:tc>
          <w:tcPr>
            <w:tcW w:w="2947" w:type="dxa"/>
            <w:tcBorders>
              <w:top w:val="nil"/>
              <w:left w:val="single" w:sz="4" w:space="0" w:color="auto"/>
              <w:bottom w:val="single" w:sz="4" w:space="0" w:color="auto"/>
              <w:right w:val="single" w:sz="4" w:space="0" w:color="auto"/>
            </w:tcBorders>
            <w:noWrap/>
            <w:vAlign w:val="bottom"/>
            <w:hideMark/>
          </w:tcPr>
          <w:p w14:paraId="11B91809" w14:textId="77777777" w:rsidR="00502FEE" w:rsidRPr="00641A6D" w:rsidRDefault="00502FEE" w:rsidP="000E7A06">
            <w:pPr>
              <w:jc w:val="left"/>
              <w:rPr>
                <w:color w:val="000000"/>
                <w:sz w:val="20"/>
                <w:szCs w:val="20"/>
              </w:rPr>
            </w:pPr>
            <w:r>
              <w:rPr>
                <w:color w:val="000000"/>
                <w:sz w:val="20"/>
                <w:szCs w:val="20"/>
                <w:lang w:val="fr"/>
              </w:rPr>
              <w:t>Autres secteurs</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4DBBA56" w14:textId="77777777" w:rsidR="00502FEE" w:rsidRPr="00641A6D" w:rsidRDefault="00502FEE" w:rsidP="000E7A06">
            <w:pPr>
              <w:jc w:val="right"/>
              <w:rPr>
                <w:color w:val="000000"/>
                <w:sz w:val="20"/>
                <w:szCs w:val="20"/>
              </w:rPr>
            </w:pPr>
            <w:r>
              <w:rPr>
                <w:color w:val="000000"/>
                <w:sz w:val="20"/>
                <w:szCs w:val="20"/>
                <w:lang w:val="fr"/>
              </w:rPr>
              <w:t>4,0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C881708" w14:textId="77777777" w:rsidR="00502FEE" w:rsidRPr="00641A6D" w:rsidRDefault="00502FEE" w:rsidP="000E7A06">
            <w:pPr>
              <w:jc w:val="right"/>
              <w:rPr>
                <w:color w:val="000000"/>
                <w:sz w:val="20"/>
                <w:szCs w:val="20"/>
              </w:rPr>
            </w:pPr>
            <w:r>
              <w:rPr>
                <w:color w:val="000000"/>
                <w:sz w:val="20"/>
                <w:szCs w:val="20"/>
                <w:lang w:val="fr"/>
              </w:rPr>
              <w:t>4,1</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BE88B0A" w14:textId="77777777" w:rsidR="00502FEE" w:rsidRPr="00641A6D" w:rsidRDefault="00502FEE" w:rsidP="000E7A06">
            <w:pPr>
              <w:jc w:val="right"/>
              <w:rPr>
                <w:color w:val="000000"/>
                <w:sz w:val="20"/>
                <w:szCs w:val="20"/>
              </w:rPr>
            </w:pPr>
            <w:r>
              <w:rPr>
                <w:color w:val="000000"/>
                <w:sz w:val="20"/>
                <w:szCs w:val="20"/>
                <w:lang w:val="fr"/>
              </w:rPr>
              <w:t>4,5</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32ABF4B" w14:textId="77777777" w:rsidR="00502FEE" w:rsidRPr="00641A6D" w:rsidRDefault="00502FEE" w:rsidP="000E7A06">
            <w:pPr>
              <w:jc w:val="right"/>
              <w:rPr>
                <w:color w:val="000000"/>
                <w:sz w:val="20"/>
                <w:szCs w:val="20"/>
              </w:rPr>
            </w:pPr>
            <w:r>
              <w:rPr>
                <w:color w:val="000000"/>
                <w:sz w:val="20"/>
                <w:szCs w:val="20"/>
                <w:lang w:val="fr"/>
              </w:rPr>
              <w:t>4,1</w:t>
            </w:r>
          </w:p>
        </w:tc>
      </w:tr>
    </w:tbl>
    <w:p w14:paraId="0725DDC5" w14:textId="77777777" w:rsidR="00502FEE" w:rsidRDefault="00502FEE" w:rsidP="00502FEE"/>
    <w:p w14:paraId="52B97993" w14:textId="79C59199" w:rsidR="00502FEE" w:rsidRPr="005703FE" w:rsidRDefault="00502FEE" w:rsidP="00502FEE">
      <w:pPr>
        <w:pStyle w:val="Heading1"/>
        <w:rPr>
          <w:lang w:val="fr-FR"/>
        </w:rPr>
      </w:pPr>
      <w:r>
        <w:rPr>
          <w:lang w:val="fr"/>
        </w:rPr>
        <w:t>Comme pour la répartition sectorielle des HCFC, on suppose que, dans environ 100 pays visés à l’article 5, les HFC sont uniquement utilisés dans le secteur de l’entretien des équipements de réfrigération. Cette hypothèse est étayée par les informations provenant d’enquêtes menées dans 119 pays visés à l’article 5 sur les solutions de remplacement des SAO</w:t>
      </w:r>
      <w:r>
        <w:rPr>
          <w:rStyle w:val="FootnoteReference"/>
          <w:lang w:val="fr"/>
        </w:rPr>
        <w:footnoteReference w:id="16"/>
      </w:r>
      <w:r>
        <w:rPr>
          <w:lang w:val="fr"/>
        </w:rPr>
        <w:t>, qui indiquent que la consommation de HFC dans le secteur de l’entretien représente 97 % de la consommation totale pour les pays à faible volume de consommation (PFV) et 76 % pour les autres pays</w:t>
      </w:r>
      <w:r>
        <w:rPr>
          <w:rStyle w:val="FootnoteReference"/>
          <w:lang w:val="fr"/>
        </w:rPr>
        <w:footnoteReference w:id="17"/>
      </w:r>
      <w:r>
        <w:rPr>
          <w:lang w:val="fr"/>
        </w:rPr>
        <w:t>.</w:t>
      </w:r>
    </w:p>
    <w:p w14:paraId="7437B71B" w14:textId="77777777" w:rsidR="00717343" w:rsidRDefault="00717343" w:rsidP="00502FEE">
      <w:pPr>
        <w:keepNext/>
        <w:ind w:left="1440" w:hanging="1440"/>
        <w:rPr>
          <w:b/>
          <w:bCs/>
          <w:lang w:val="fr"/>
        </w:rPr>
      </w:pPr>
    </w:p>
    <w:p w14:paraId="3079E048" w14:textId="7335DBA1" w:rsidR="00502FEE" w:rsidRPr="005703FE" w:rsidRDefault="00502FEE" w:rsidP="00502FEE">
      <w:pPr>
        <w:keepNext/>
        <w:ind w:left="1440" w:hanging="1440"/>
        <w:rPr>
          <w:b/>
          <w:lang w:val="fr-FR"/>
        </w:rPr>
      </w:pPr>
      <w:r>
        <w:rPr>
          <w:b/>
          <w:bCs/>
          <w:lang w:val="fr"/>
        </w:rPr>
        <w:t>PARTIE</w:t>
      </w:r>
      <w:r w:rsidR="00593D2B">
        <w:rPr>
          <w:b/>
          <w:bCs/>
          <w:lang w:val="fr"/>
        </w:rPr>
        <w:t> </w:t>
      </w:r>
      <w:r>
        <w:rPr>
          <w:b/>
          <w:bCs/>
          <w:lang w:val="fr"/>
        </w:rPr>
        <w:t>II</w:t>
      </w:r>
      <w:r>
        <w:rPr>
          <w:b/>
          <w:bCs/>
          <w:lang w:val="fr"/>
        </w:rPr>
        <w:tab/>
        <w:t>MISE EN ŒUVRE PARALLÈLE OU INTÉGRÉE DES ACTIVITÉS D’ÉLIMINATION DES HCFC ET DE RÉDUCTION PROGRESSIVE DES HFC</w:t>
      </w:r>
    </w:p>
    <w:p w14:paraId="4E9E08DD" w14:textId="77777777" w:rsidR="00502FEE" w:rsidRPr="005703FE" w:rsidRDefault="00502FEE" w:rsidP="00502FEE">
      <w:pPr>
        <w:rPr>
          <w:lang w:val="fr-FR"/>
        </w:rPr>
      </w:pPr>
    </w:p>
    <w:p w14:paraId="1FC6F6E8" w14:textId="1F391822" w:rsidR="00502FEE" w:rsidRPr="005703FE" w:rsidRDefault="00502FEE" w:rsidP="00502FEE">
      <w:pPr>
        <w:pStyle w:val="Heading1"/>
        <w:rPr>
          <w:lang w:val="fr-FR"/>
        </w:rPr>
      </w:pPr>
      <w:r>
        <w:rPr>
          <w:lang w:val="fr"/>
        </w:rPr>
        <w:t xml:space="preserve">La mise en œuvre parallèle et/ou intégrée des activités d’élimination des HCFC et de réduction progressive des HFC dépendra de plusieurs facteurs, notamment de l’utilisation sectorielle des substances réglementées (pour la fabrication ou l’entretien des équipements de réfrigération) et des calendriers de mise en œuvre ; des ressources disponibles pour soutenir ces activités et des économies potentielles ; de la capacité des institutions liées au Fonds multilatéral ; et des politiques que le Comité exécutif pourrait souhaiter établir. </w:t>
      </w:r>
    </w:p>
    <w:p w14:paraId="2EFAD5FC" w14:textId="77777777" w:rsidR="00502FEE" w:rsidRPr="005703FE" w:rsidRDefault="00502FEE" w:rsidP="00502FEE">
      <w:pPr>
        <w:rPr>
          <w:b/>
          <w:lang w:val="fr-FR"/>
        </w:rPr>
      </w:pPr>
      <w:r>
        <w:rPr>
          <w:b/>
          <w:bCs/>
          <w:lang w:val="fr"/>
        </w:rPr>
        <w:t>Considérations pour le secteur de l’entretien des équipements de réfrigération</w:t>
      </w:r>
    </w:p>
    <w:p w14:paraId="67EFE4C2" w14:textId="77777777" w:rsidR="00502FEE" w:rsidRPr="005703FE" w:rsidRDefault="00502FEE" w:rsidP="00502FEE">
      <w:pPr>
        <w:rPr>
          <w:lang w:val="fr-FR"/>
        </w:rPr>
      </w:pPr>
    </w:p>
    <w:p w14:paraId="7927D9DD" w14:textId="77777777" w:rsidR="00502FEE" w:rsidRPr="005703FE" w:rsidRDefault="00502FEE" w:rsidP="00641A6D">
      <w:pPr>
        <w:pStyle w:val="Heading1"/>
        <w:widowControl w:val="0"/>
        <w:rPr>
          <w:lang w:val="fr-FR"/>
        </w:rPr>
      </w:pPr>
      <w:r>
        <w:rPr>
          <w:lang w:val="fr"/>
        </w:rPr>
        <w:t xml:space="preserve">La grande majorité des activités mises en œuvre dans le secteur de l’entretien des équipements de réfrigération pourraient s’appliquer aussi bien à l’élimination des HCFC qu’à la réduction progressive des HFC. Ces activités concernent notamment la formation et la certification des techniciens ; le renforcement des écoles techniques et professionnelles et des associations de réfrigération ; la distribution d’équipements de base et d’outils d’entretien, y compris d’unités de récupération/recyclage ; les stratégies </w:t>
      </w:r>
      <w:r>
        <w:rPr>
          <w:lang w:val="fr"/>
        </w:rPr>
        <w:lastRenderedPageBreak/>
        <w:t xml:space="preserve">de confinement des frigorigènes ; et l’adoption de normes et de codes de pratique pour faciliter l’adoption sûre de frigorigènes à faible PRG inflammables et/ou toxiques. </w:t>
      </w:r>
    </w:p>
    <w:p w14:paraId="08DDE900" w14:textId="2FA0B11D" w:rsidR="00502FEE" w:rsidRPr="005703FE" w:rsidRDefault="00502FEE" w:rsidP="00502FEE">
      <w:pPr>
        <w:pStyle w:val="Heading1"/>
        <w:rPr>
          <w:lang w:val="fr-FR"/>
        </w:rPr>
      </w:pPr>
      <w:r>
        <w:rPr>
          <w:lang w:val="fr"/>
        </w:rPr>
        <w:t>Dans ces conditions, le chevauchement des calendriers de l’élimination des HCFC et de la réduction progressive des HFC pourrait permettre d’élaborer des stratégies intégrées, efficaces sur le plan des coûts et durables à long terme dans les pays visés à l’article 5, qui impliqueraient, entre autres</w:t>
      </w:r>
      <w:r>
        <w:rPr>
          <w:rStyle w:val="FootnoteReference"/>
          <w:lang w:val="fr"/>
        </w:rPr>
        <w:footnoteReference w:id="18"/>
      </w:r>
      <w:r>
        <w:rPr>
          <w:lang w:val="fr"/>
        </w:rPr>
        <w:t> :</w:t>
      </w:r>
    </w:p>
    <w:p w14:paraId="44406643" w14:textId="764FF44E" w:rsidR="00502FEE" w:rsidRPr="005703FE" w:rsidRDefault="00502FEE" w:rsidP="00502FEE">
      <w:pPr>
        <w:pStyle w:val="Heading2"/>
        <w:rPr>
          <w:lang w:val="fr-FR"/>
        </w:rPr>
      </w:pPr>
      <w:r>
        <w:rPr>
          <w:lang w:val="fr"/>
        </w:rPr>
        <w:t>L’élaboration, la révision ou l’adoption de normes et de codes susceptibles de faciliter l’adoption, l’exploitation et l’entretien des technologies de réfrigération utilisant des frigorigènes à faible PRG ;</w:t>
      </w:r>
    </w:p>
    <w:p w14:paraId="759FFA31" w14:textId="77777777" w:rsidR="00502FEE" w:rsidRPr="005703FE" w:rsidRDefault="00502FEE" w:rsidP="00502FEE">
      <w:pPr>
        <w:pStyle w:val="Heading2"/>
        <w:rPr>
          <w:lang w:val="fr-FR"/>
        </w:rPr>
      </w:pPr>
      <w:r>
        <w:rPr>
          <w:lang w:val="fr"/>
        </w:rPr>
        <w:t xml:space="preserve">Le renforcement des cadres réglementaires de gestion des frigorigènes par le biais, entre autres, de la certification des techniciens ; de l’accès à la vente/achat de frigorigènes par des techniciens formés/certifiés, de l’octroi de licences aux entreprises/ateliers d’entretien ; de l’étiquetage des frigorigènes, de la tenue de registres, du suivi et de la notification ; et du renforcement des capacités des autorités et des parties prenantes ; </w:t>
      </w:r>
    </w:p>
    <w:p w14:paraId="154E328C" w14:textId="77777777" w:rsidR="00502FEE" w:rsidRPr="005703FE" w:rsidRDefault="00502FEE" w:rsidP="00502FEE">
      <w:pPr>
        <w:pStyle w:val="Heading2"/>
        <w:rPr>
          <w:lang w:val="fr-FR"/>
        </w:rPr>
      </w:pPr>
      <w:r>
        <w:rPr>
          <w:lang w:val="fr"/>
        </w:rPr>
        <w:t xml:space="preserve">L’examen et la mise à jour périodique des programmes de formation des agents des douanes et des agents chargés de l’application de la loi concernant les obligations découlant du Protocole de Montréal et de l’Amendement de Kigali ; </w:t>
      </w:r>
    </w:p>
    <w:p w14:paraId="73F5EB5D" w14:textId="77777777" w:rsidR="00502FEE" w:rsidRPr="005703FE" w:rsidRDefault="00502FEE" w:rsidP="00502FEE">
      <w:pPr>
        <w:pStyle w:val="Heading2"/>
        <w:rPr>
          <w:lang w:val="fr-FR"/>
        </w:rPr>
      </w:pPr>
      <w:r>
        <w:rPr>
          <w:lang w:val="fr"/>
        </w:rPr>
        <w:t xml:space="preserve">Le renforcement des capacités des systèmes de formation professionnelle et des organismes de certification grâce à l’examen périodique des programmes de formation afin d’aborder les bonnes pratiques d’entretien et les questions de sécurité liées à l’inflammabilité et/ou à la toxicité des frigorigènes faisant l’objet d’une adoption progressive ; </w:t>
      </w:r>
    </w:p>
    <w:p w14:paraId="3C534C11" w14:textId="77777777" w:rsidR="00502FEE" w:rsidRPr="005703FE" w:rsidRDefault="00502FEE" w:rsidP="00502FEE">
      <w:pPr>
        <w:pStyle w:val="Heading2"/>
        <w:rPr>
          <w:lang w:val="fr-FR"/>
        </w:rPr>
      </w:pPr>
      <w:r>
        <w:rPr>
          <w:lang w:val="fr"/>
        </w:rPr>
        <w:t>L’élaboration ou le renforcement de stratégies autonomes de confinement des frigorigènes afin de s’assurer que les équipements de réfrigération installés puissent continuer de fonctionner jusqu’à la fin de leur vie utile ; l’évaluation des avantages et des défis de la récupération et du recyclage des frigorigènes ;</w:t>
      </w:r>
    </w:p>
    <w:p w14:paraId="6299F6A0" w14:textId="77777777" w:rsidR="00502FEE" w:rsidRPr="005703FE" w:rsidRDefault="00502FEE" w:rsidP="00502FEE">
      <w:pPr>
        <w:pStyle w:val="Heading2"/>
        <w:rPr>
          <w:lang w:val="fr-FR"/>
        </w:rPr>
      </w:pPr>
      <w:r>
        <w:rPr>
          <w:lang w:val="fr"/>
        </w:rPr>
        <w:t xml:space="preserve">Le renforcement de l’appui technique au sous-secteur de l’assemblage, de l’installation et du chargement initial de frigorigène, car il pourrait influencer l’apparition de technologies sur les marchés locaux ; </w:t>
      </w:r>
    </w:p>
    <w:p w14:paraId="479738C8" w14:textId="77777777" w:rsidR="00502FEE" w:rsidRPr="005703FE" w:rsidRDefault="00502FEE" w:rsidP="00502FEE">
      <w:pPr>
        <w:pStyle w:val="Heading2"/>
        <w:rPr>
          <w:lang w:val="fr-FR"/>
        </w:rPr>
      </w:pPr>
      <w:r>
        <w:rPr>
          <w:lang w:val="fr"/>
        </w:rPr>
        <w:t>L’évaluation, au moyen de modèles économiques, de la viabilité à long terme des activités mises en œuvre dans le secteur de l’entretien des équipements de réfrigération, en particulier les systèmes de récupération et de recyclage et les mécanismes d’incitation des utilisateurs finals ;</w:t>
      </w:r>
    </w:p>
    <w:p w14:paraId="0F6A36A3" w14:textId="77777777" w:rsidR="00502FEE" w:rsidRPr="005703FE" w:rsidRDefault="00502FEE" w:rsidP="00502FEE">
      <w:pPr>
        <w:pStyle w:val="Heading2"/>
        <w:rPr>
          <w:lang w:val="fr-FR"/>
        </w:rPr>
      </w:pPr>
      <w:r>
        <w:rPr>
          <w:lang w:val="fr"/>
        </w:rPr>
        <w:t xml:space="preserve">Le renforcement des associations de réfrigération et de climatisation, et leur participation à la mise en œuvre des activités liées au secteur. </w:t>
      </w:r>
    </w:p>
    <w:p w14:paraId="78BEC6DB" w14:textId="0DA5325A" w:rsidR="00502FEE" w:rsidRPr="005703FE" w:rsidRDefault="00502FEE" w:rsidP="00502FEE">
      <w:pPr>
        <w:pStyle w:val="Heading1"/>
        <w:rPr>
          <w:lang w:val="fr-FR"/>
        </w:rPr>
      </w:pPr>
      <w:r>
        <w:rPr>
          <w:lang w:val="fr"/>
        </w:rPr>
        <w:t xml:space="preserve">Une approche intégrée dans le secteur de l’entretien des équipements de réfrigération pourrait être mise en œuvre avec les institutions existantes établies avec l’aide du Fonds multilatéral qui mènent actuellement des activités d’élimination des HCFC. Les éléments nécessaires pour assurer cette coordination au niveau national devraient être évalués lors de l’élaboration de stratégies nationales harmonisées et de plans d’élimination et de réduction progressive pour assurer la mise en œuvre durable des activités. Bien que de nombreux éléments de ces stratégies puissent s’appliquer aux HCFC et aux HFC, des activités devraient être envisagées pour s’attaquer aux utilisations des HFC qui ne sont pas </w:t>
      </w:r>
      <w:r>
        <w:rPr>
          <w:lang w:val="fr"/>
        </w:rPr>
        <w:lastRenderedPageBreak/>
        <w:t>visées par les PGEH (par exemple, l’utilisation du HFC-134a dans la climatisation mobile et le transport frigorifique).</w:t>
      </w:r>
    </w:p>
    <w:p w14:paraId="49DFAFE0" w14:textId="77777777" w:rsidR="00502FEE" w:rsidRPr="00F614FE" w:rsidRDefault="00502FEE" w:rsidP="001277B2">
      <w:pPr>
        <w:keepNext/>
        <w:keepLines/>
        <w:rPr>
          <w:b/>
        </w:rPr>
      </w:pPr>
      <w:r>
        <w:rPr>
          <w:b/>
          <w:bCs/>
          <w:lang w:val="fr"/>
        </w:rPr>
        <w:t>Considérations pour le secteur manufacturier</w:t>
      </w:r>
    </w:p>
    <w:p w14:paraId="256B0901" w14:textId="77777777" w:rsidR="00502FEE" w:rsidRPr="00F614FE" w:rsidRDefault="00502FEE" w:rsidP="001277B2">
      <w:pPr>
        <w:keepNext/>
        <w:keepLines/>
      </w:pPr>
    </w:p>
    <w:p w14:paraId="16454308" w14:textId="6B9B7E6A" w:rsidR="00502FEE" w:rsidRPr="005703FE" w:rsidRDefault="00502FEE" w:rsidP="001277B2">
      <w:pPr>
        <w:pStyle w:val="Heading1"/>
        <w:keepNext/>
        <w:keepLines/>
        <w:rPr>
          <w:lang w:val="fr-FR"/>
        </w:rPr>
      </w:pPr>
      <w:r>
        <w:rPr>
          <w:lang w:val="fr"/>
        </w:rPr>
        <w:t>Pour la majorité des 50 pays visés à l’article 5 dotés d’entreprises de fabrication utilisant des HCFC, l’utilisation de ces substances dans le secteur manufacturier a été ou sera complètement éliminée lorsque les projets de conversion approuvés auront été achevés. Des activités supplémentaires seront nécessaires dans plusieurs pays pour achever l’élimination des HCFC utilisés dans le secteur manufacturier. Un aperçu des activités d’élimination des HCFC susceptibles d’être approuvées dans le secteur manufacturier est présenté ci-dessous :</w:t>
      </w:r>
    </w:p>
    <w:p w14:paraId="7A29514F" w14:textId="7706F479" w:rsidR="00502FEE" w:rsidRPr="005703FE" w:rsidRDefault="00502FEE" w:rsidP="00502FEE">
      <w:pPr>
        <w:pStyle w:val="Heading2"/>
        <w:rPr>
          <w:lang w:val="fr-FR"/>
        </w:rPr>
      </w:pPr>
      <w:r>
        <w:rPr>
          <w:lang w:val="fr"/>
        </w:rPr>
        <w:t>Phase III du plan sectoriel des climatiseurs individuels en Chine, visant l’élimination de 2 260 tonnes PAO de HCFC-22, et phase III du plan sectoriel de réfrigération industrielle et commerciale en Chine, visant l’élimination de 1 610 tonnes PAO de HCFC-22, devant être soumises entre 2020 et 2021 ;</w:t>
      </w:r>
    </w:p>
    <w:p w14:paraId="1E2147E0" w14:textId="33AADB3D" w:rsidR="00502FEE" w:rsidRPr="005703FE" w:rsidRDefault="00502FEE" w:rsidP="00502FEE">
      <w:pPr>
        <w:pStyle w:val="Heading2"/>
        <w:rPr>
          <w:lang w:val="fr-FR"/>
        </w:rPr>
      </w:pPr>
      <w:r>
        <w:rPr>
          <w:lang w:val="fr"/>
        </w:rPr>
        <w:t>Projets dans les secteurs des mousses PU et XPS, de la réfrigération commerciale et de la climatisation dans plusieurs pays (Algérie, Bahreïn, Costa Rica, Égypte, Koweït, Libye, Maroc, Pakistan, Somalie, Afrique du Sud), visant l’élimination d’environ 50,54 tonnes PAO de HCFC-141b, 96,50 tonnes PAO de HCFC-</w:t>
      </w:r>
      <w:r w:rsidR="00691C32">
        <w:rPr>
          <w:lang w:val="fr"/>
        </w:rPr>
        <w:t>22, et 11,10 tonnes PAO de HCFC</w:t>
      </w:r>
      <w:r w:rsidR="00691C32" w:rsidRPr="00691C32">
        <w:rPr>
          <w:lang w:val="fr"/>
        </w:rPr>
        <w:noBreakHyphen/>
      </w:r>
      <w:r>
        <w:rPr>
          <w:lang w:val="fr"/>
        </w:rPr>
        <w:t>142b</w:t>
      </w:r>
      <w:r>
        <w:rPr>
          <w:rStyle w:val="FootnoteReference"/>
          <w:lang w:val="fr"/>
        </w:rPr>
        <w:footnoteReference w:id="19"/>
      </w:r>
      <w:r>
        <w:rPr>
          <w:lang w:val="fr"/>
        </w:rPr>
        <w:t xml:space="preserve"> ; et </w:t>
      </w:r>
    </w:p>
    <w:p w14:paraId="7DCF1FBB" w14:textId="2E3628DA" w:rsidR="00502FEE" w:rsidRPr="005703FE" w:rsidRDefault="00502FEE" w:rsidP="00502FEE">
      <w:pPr>
        <w:pStyle w:val="Heading2"/>
        <w:rPr>
          <w:lang w:val="fr-FR"/>
        </w:rPr>
      </w:pPr>
      <w:r>
        <w:rPr>
          <w:lang w:val="fr"/>
        </w:rPr>
        <w:t xml:space="preserve">Autres activités d’élimination, principalement dans les secteurs de la réfrigération commerciale et de la fabrication de climatiseurs après 2022 dans le cadre de la phase III des PGEH de plusieurs pays visés à l’article 5. </w:t>
      </w:r>
    </w:p>
    <w:p w14:paraId="0E015474" w14:textId="6AB7B543" w:rsidR="00502FEE" w:rsidRPr="005703FE" w:rsidRDefault="00502FEE" w:rsidP="00717343">
      <w:pPr>
        <w:pStyle w:val="Heading1"/>
        <w:rPr>
          <w:lang w:val="fr-FR"/>
        </w:rPr>
      </w:pPr>
      <w:r>
        <w:rPr>
          <w:lang w:val="fr"/>
        </w:rPr>
        <w:t>L’ampleur et le calendrier de mise en œuvre des projets d’investissement sur les HFC dépendront entre autres de la nécessité de ces conversions pour assurer la conformité avec le Protocole de Montréal ; de la disponibilité sur les marchés locaux de technologies de remplacement efficaces sur le plan des coûts ; de la disponibilité des composants (</w:t>
      </w:r>
      <w:r w:rsidR="00717343">
        <w:rPr>
          <w:lang w:val="fr"/>
        </w:rPr>
        <w:t>par exemple,</w:t>
      </w:r>
      <w:r w:rsidR="00C87F85">
        <w:rPr>
          <w:lang w:val="fr"/>
        </w:rPr>
        <w:t xml:space="preserve"> </w:t>
      </w:r>
      <w:r w:rsidR="00717343">
        <w:rPr>
          <w:lang w:val="fr"/>
        </w:rPr>
        <w:t xml:space="preserve">des </w:t>
      </w:r>
      <w:r>
        <w:rPr>
          <w:lang w:val="fr"/>
        </w:rPr>
        <w:t>compresseurs, échangeurs de c</w:t>
      </w:r>
      <w:r w:rsidR="00717343">
        <w:rPr>
          <w:lang w:val="fr"/>
        </w:rPr>
        <w:t>haleur, commandes</w:t>
      </w:r>
      <w:r>
        <w:rPr>
          <w:lang w:val="fr"/>
        </w:rPr>
        <w:t>) nécessaires à la conversion des chaînes de fabrication ; des discussions du Comité exécutif relatives aux projets d’investissement sur les HFC ; et de la disponibilité de ressources financières au titre du Fonds multilatéral. Les projets d’investissement visant la réduction progressive des HFC pourraient être lancés à mesure que les projets visant l’élimination des HCFC seront achevés, de sorte à maintenir une charge de travail uniforme pour les institutions.</w:t>
      </w:r>
    </w:p>
    <w:p w14:paraId="6411A202" w14:textId="3CB53577" w:rsidR="00502FEE" w:rsidRPr="005703FE" w:rsidRDefault="00502FEE" w:rsidP="00502FEE">
      <w:pPr>
        <w:pStyle w:val="Heading1"/>
        <w:rPr>
          <w:lang w:val="fr-FR"/>
        </w:rPr>
      </w:pPr>
      <w:r>
        <w:rPr>
          <w:lang w:val="fr"/>
        </w:rPr>
        <w:t xml:space="preserve">Compte tenu de l’utilisation plus répandue des HFC dans le secteur manufacturier par rapport aux HCFC, les projets d’investissement visant les HFC devraient en principe être exécutés séparément de ceux visant les HCFC. Des possibilités de mise en œuvre intégrée sont toutefois possibles dans les entreprises qui fabriquent des équipements/produits à base de HCFC et de HFC et qui souhaitent convertir les deux technologies, comme expliqué ci-dessous : </w:t>
      </w:r>
    </w:p>
    <w:p w14:paraId="13810597" w14:textId="71D5FA95" w:rsidR="00502FEE" w:rsidRPr="005703FE" w:rsidRDefault="00502FEE" w:rsidP="00502FEE">
      <w:pPr>
        <w:pStyle w:val="Heading2"/>
        <w:rPr>
          <w:lang w:val="fr-FR"/>
        </w:rPr>
      </w:pPr>
      <w:r>
        <w:rPr>
          <w:lang w:val="fr"/>
        </w:rPr>
        <w:t xml:space="preserve">Entreprises fabriquant des mousses PU utilisant des formulations de polyols à base de HCFC-141b, HFC-245fa et/ou HFC-365mfc/HFC-227ea. Les formulations de polyols à faible PRG sont actuellement disponibles pour toutes les applications de mousses PU (bien que les technologies à base de HFO aient une disponibilité commerciale limitée dans plusieurs marchés). Seuls quelques pays visés à l’article 5 où l’élimination du HCFC-141b utilisé comme agent moussant n’est pas terminée (dont la Chine, qui éliminera complètement le HCFC-141b d’ici à 2026) pourraient envisager les avantages </w:t>
      </w:r>
      <w:r>
        <w:rPr>
          <w:lang w:val="fr"/>
        </w:rPr>
        <w:lastRenderedPageBreak/>
        <w:t xml:space="preserve">potentiels de l’intégration de l’élimination des HCFC et de la réduction progressive des HFC dans ce secteur ; </w:t>
      </w:r>
    </w:p>
    <w:p w14:paraId="57C023AF" w14:textId="71B9BF36" w:rsidR="00502FEE" w:rsidRPr="005703FE" w:rsidRDefault="00502FEE" w:rsidP="00327ADE">
      <w:pPr>
        <w:pStyle w:val="Heading2"/>
        <w:widowControl/>
        <w:rPr>
          <w:lang w:val="fr-FR"/>
        </w:rPr>
      </w:pPr>
      <w:r>
        <w:rPr>
          <w:lang w:val="fr"/>
        </w:rPr>
        <w:t>Entreprises fabriquant des mousses XPS utilisant des agents moussants à base de HCFC-22/HCFC-142b et de HFC-134a/HFC-152. Seuls quelques pays visés à l’article 5 où l’élimination du HCFC-22/HCFC-142b n’est pas achevée (dont la Chine, qui éliminera complètement le HCFC-22/HCFC-142b utilisé dans les mousses XPS en 2026) pourraient envisager l’intégration de l’élimination des HCFC et de la réduction progressive des HFC dans ce secteur, sachant que des technologies à faible PRG sont actuellement disponibles ;</w:t>
      </w:r>
    </w:p>
    <w:p w14:paraId="0125C266" w14:textId="09996965" w:rsidR="00502FEE" w:rsidRPr="005703FE" w:rsidRDefault="00502FEE" w:rsidP="00502FEE">
      <w:pPr>
        <w:pStyle w:val="Heading2"/>
        <w:rPr>
          <w:lang w:val="fr-FR"/>
        </w:rPr>
      </w:pPr>
      <w:r>
        <w:rPr>
          <w:lang w:val="fr"/>
        </w:rPr>
        <w:t>Entreprises fabriquant des climatiseurs individuels et/ou commerciaux avec des chaînes de production à base de HCFC-22 et R-410A. La conversion des deux chaînes de production pourrait être intégrée, ce qui permettrait de réduire les coûts associés, entre autres, à la conception du projet, à la sécurité si la substance de remplacement choisie est inflammable, aux composants (par exemple, compresseurs et échangeurs de chaleur grâce aux économies d’échelle), et à la formation, la certification, la vérification et la mise en service ;</w:t>
      </w:r>
    </w:p>
    <w:p w14:paraId="209F8405" w14:textId="232B21A8" w:rsidR="00502FEE" w:rsidRPr="005703FE" w:rsidRDefault="00502FEE" w:rsidP="00502FEE">
      <w:pPr>
        <w:pStyle w:val="Heading2"/>
        <w:rPr>
          <w:lang w:val="fr-FR"/>
        </w:rPr>
      </w:pPr>
      <w:r>
        <w:rPr>
          <w:lang w:val="fr"/>
        </w:rPr>
        <w:t>Entreprises fabriquant des équipements de réfrigération commerciale avec des chaînes de production utilisant différents frigorigènes (par exemple, HCFC-22, HFC-134a et/ou R-404A). Les conversions de produits à base de HFC pourraient être intégrées à la conversion en cours des produits à base de HCFC-22 (qui, dans la plupart des cas, en sont à un stade avancé de mise en œuvre), assurant l’élimination des HCFC et des HFC, avec des réductions potentielles des coûts totaux de conversion ; et</w:t>
      </w:r>
    </w:p>
    <w:p w14:paraId="229879CD" w14:textId="62B58B7D" w:rsidR="00502FEE" w:rsidRPr="005703FE" w:rsidRDefault="00502FEE" w:rsidP="00502FEE">
      <w:pPr>
        <w:pStyle w:val="Heading2"/>
        <w:rPr>
          <w:lang w:val="fr-FR"/>
        </w:rPr>
      </w:pPr>
      <w:r>
        <w:rPr>
          <w:lang w:val="fr"/>
        </w:rPr>
        <w:t>Entreprises fabriquant des refroidisseurs ou utilisant des substances réglementées dans la fabrication d’aérosols, de solvants et/ou d’équipements de lutte contre l’incendie. La quantité de substances réglementées utilisée dans ces secteurs est inférieure à celle utilisée dans le secteur des mousses et celui de la réfrigération et de la climatisation ; les conversions de ces entreprises pourraient donc être envisagées au cas par cas.</w:t>
      </w:r>
    </w:p>
    <w:p w14:paraId="4E85857A" w14:textId="77777777" w:rsidR="00502FEE" w:rsidRPr="005703FE" w:rsidRDefault="00502FEE" w:rsidP="00502FEE">
      <w:pPr>
        <w:pStyle w:val="Heading1"/>
        <w:rPr>
          <w:lang w:val="fr-FR"/>
        </w:rPr>
      </w:pPr>
      <w:r>
        <w:rPr>
          <w:lang w:val="fr"/>
        </w:rPr>
        <w:t>Compte tenu de ce qui précède, le tableau 7 présente une analyse préliminaire des modalités de mise en œuvre des projets d’investissement pendant la période 2020-2030, sur la base des informations disponibles à ce jour. Cette analyse pourra varier à mesure que de plus amples informations sur la consommation de HFC et la disponibilité de substances de remplacement dans différents secteurs deviendront disponibles.</w:t>
      </w:r>
    </w:p>
    <w:p w14:paraId="735E6CE6" w14:textId="77777777" w:rsidR="00502FEE" w:rsidRPr="005703FE" w:rsidRDefault="00502FEE" w:rsidP="00502FEE">
      <w:pPr>
        <w:rPr>
          <w:b/>
          <w:lang w:val="fr-FR"/>
        </w:rPr>
      </w:pPr>
      <w:r>
        <w:rPr>
          <w:b/>
          <w:bCs/>
          <w:lang w:val="fr"/>
        </w:rPr>
        <w:t xml:space="preserve">Tableau 7. Résumé des modalités de mise en œuvre des projets d’investissement </w:t>
      </w:r>
    </w:p>
    <w:tbl>
      <w:tblPr>
        <w:tblStyle w:val="TableGrid"/>
        <w:tblW w:w="9337" w:type="dxa"/>
        <w:tblInd w:w="108" w:type="dxa"/>
        <w:tblLook w:val="04A0" w:firstRow="1" w:lastRow="0" w:firstColumn="1" w:lastColumn="0" w:noHBand="0" w:noVBand="1"/>
      </w:tblPr>
      <w:tblGrid>
        <w:gridCol w:w="1447"/>
        <w:gridCol w:w="1134"/>
        <w:gridCol w:w="1134"/>
        <w:gridCol w:w="2976"/>
        <w:gridCol w:w="2646"/>
      </w:tblGrid>
      <w:tr w:rsidR="00502FEE" w:rsidRPr="00FE2D7C" w14:paraId="6472C8E6" w14:textId="77777777" w:rsidTr="00C87F85">
        <w:trPr>
          <w:tblHeader/>
        </w:trPr>
        <w:tc>
          <w:tcPr>
            <w:tcW w:w="1447" w:type="dxa"/>
            <w:vAlign w:val="center"/>
          </w:tcPr>
          <w:p w14:paraId="0884B855" w14:textId="77777777" w:rsidR="00502FEE" w:rsidRPr="00FE2D7C" w:rsidRDefault="00502FEE" w:rsidP="000E7A06">
            <w:pPr>
              <w:jc w:val="left"/>
              <w:rPr>
                <w:b/>
                <w:sz w:val="19"/>
                <w:szCs w:val="19"/>
              </w:rPr>
            </w:pPr>
            <w:r>
              <w:rPr>
                <w:b/>
                <w:bCs/>
                <w:sz w:val="19"/>
                <w:szCs w:val="19"/>
                <w:lang w:val="fr"/>
              </w:rPr>
              <w:t>Secteur</w:t>
            </w:r>
          </w:p>
        </w:tc>
        <w:tc>
          <w:tcPr>
            <w:tcW w:w="1134" w:type="dxa"/>
            <w:vAlign w:val="center"/>
          </w:tcPr>
          <w:p w14:paraId="66A04342" w14:textId="77777777" w:rsidR="00502FEE" w:rsidRPr="00FE2D7C" w:rsidRDefault="00502FEE" w:rsidP="000E7A06">
            <w:pPr>
              <w:jc w:val="center"/>
              <w:rPr>
                <w:b/>
                <w:sz w:val="19"/>
                <w:szCs w:val="19"/>
              </w:rPr>
            </w:pPr>
            <w:r>
              <w:rPr>
                <w:b/>
                <w:bCs/>
                <w:sz w:val="19"/>
                <w:szCs w:val="19"/>
                <w:lang w:val="fr"/>
              </w:rPr>
              <w:t xml:space="preserve">HCFC </w:t>
            </w:r>
          </w:p>
        </w:tc>
        <w:tc>
          <w:tcPr>
            <w:tcW w:w="1134" w:type="dxa"/>
            <w:vAlign w:val="center"/>
          </w:tcPr>
          <w:p w14:paraId="2D412587" w14:textId="77777777" w:rsidR="00502FEE" w:rsidRPr="00FE2D7C" w:rsidRDefault="00502FEE" w:rsidP="000E7A06">
            <w:pPr>
              <w:jc w:val="center"/>
              <w:rPr>
                <w:b/>
                <w:sz w:val="19"/>
                <w:szCs w:val="19"/>
              </w:rPr>
            </w:pPr>
            <w:r>
              <w:rPr>
                <w:b/>
                <w:bCs/>
                <w:sz w:val="19"/>
                <w:szCs w:val="19"/>
                <w:lang w:val="fr"/>
              </w:rPr>
              <w:t xml:space="preserve">HFC </w:t>
            </w:r>
          </w:p>
        </w:tc>
        <w:tc>
          <w:tcPr>
            <w:tcW w:w="2976" w:type="dxa"/>
            <w:vAlign w:val="center"/>
          </w:tcPr>
          <w:p w14:paraId="37496AC2" w14:textId="77777777" w:rsidR="00502FEE" w:rsidRPr="005703FE" w:rsidRDefault="00502FEE" w:rsidP="000E7A06">
            <w:pPr>
              <w:jc w:val="center"/>
              <w:rPr>
                <w:b/>
                <w:sz w:val="19"/>
                <w:szCs w:val="19"/>
                <w:lang w:val="fr-FR"/>
              </w:rPr>
            </w:pPr>
            <w:r>
              <w:rPr>
                <w:b/>
                <w:bCs/>
                <w:sz w:val="19"/>
                <w:szCs w:val="19"/>
                <w:lang w:val="fr"/>
              </w:rPr>
              <w:t>Type de mise en œuvre</w:t>
            </w:r>
          </w:p>
        </w:tc>
        <w:tc>
          <w:tcPr>
            <w:tcW w:w="2646" w:type="dxa"/>
            <w:vAlign w:val="center"/>
          </w:tcPr>
          <w:p w14:paraId="16916F98" w14:textId="77777777" w:rsidR="00502FEE" w:rsidRPr="00FE2D7C" w:rsidRDefault="00502FEE" w:rsidP="000E7A06">
            <w:pPr>
              <w:jc w:val="center"/>
              <w:rPr>
                <w:b/>
                <w:sz w:val="19"/>
                <w:szCs w:val="19"/>
              </w:rPr>
            </w:pPr>
            <w:r>
              <w:rPr>
                <w:b/>
                <w:bCs/>
                <w:sz w:val="19"/>
                <w:szCs w:val="19"/>
                <w:lang w:val="fr"/>
              </w:rPr>
              <w:t>Autres considérations</w:t>
            </w:r>
          </w:p>
        </w:tc>
      </w:tr>
      <w:tr w:rsidR="00502FEE" w:rsidRPr="00717343" w14:paraId="7174DE4E" w14:textId="77777777" w:rsidTr="00C87F85">
        <w:tc>
          <w:tcPr>
            <w:tcW w:w="1447" w:type="dxa"/>
            <w:tcMar>
              <w:left w:w="72" w:type="dxa"/>
              <w:right w:w="43" w:type="dxa"/>
            </w:tcMar>
          </w:tcPr>
          <w:p w14:paraId="2291FF9D" w14:textId="77777777" w:rsidR="00502FEE" w:rsidRPr="00FE2D7C" w:rsidRDefault="00502FEE" w:rsidP="000E7A06">
            <w:pPr>
              <w:jc w:val="left"/>
              <w:rPr>
                <w:sz w:val="19"/>
                <w:szCs w:val="19"/>
              </w:rPr>
            </w:pPr>
            <w:r>
              <w:rPr>
                <w:sz w:val="19"/>
                <w:szCs w:val="19"/>
                <w:lang w:val="fr"/>
              </w:rPr>
              <w:t>Mousses PU</w:t>
            </w:r>
          </w:p>
        </w:tc>
        <w:tc>
          <w:tcPr>
            <w:tcW w:w="1134" w:type="dxa"/>
            <w:tcMar>
              <w:left w:w="72" w:type="dxa"/>
              <w:right w:w="43" w:type="dxa"/>
            </w:tcMar>
          </w:tcPr>
          <w:p w14:paraId="5607FEA1" w14:textId="77777777" w:rsidR="00502FEE" w:rsidRPr="00FE2D7C" w:rsidRDefault="00502FEE" w:rsidP="000E7A06">
            <w:pPr>
              <w:jc w:val="left"/>
              <w:rPr>
                <w:sz w:val="19"/>
                <w:szCs w:val="19"/>
              </w:rPr>
            </w:pPr>
            <w:r>
              <w:rPr>
                <w:sz w:val="19"/>
                <w:szCs w:val="19"/>
                <w:lang w:val="fr"/>
              </w:rPr>
              <w:t>HCFC-141b</w:t>
            </w:r>
          </w:p>
        </w:tc>
        <w:tc>
          <w:tcPr>
            <w:tcW w:w="1134" w:type="dxa"/>
            <w:tcMar>
              <w:left w:w="72" w:type="dxa"/>
              <w:right w:w="43" w:type="dxa"/>
            </w:tcMar>
          </w:tcPr>
          <w:p w14:paraId="0BC0431A" w14:textId="77777777" w:rsidR="00502FEE" w:rsidRPr="00FE2D7C" w:rsidRDefault="00502FEE" w:rsidP="000E7A06">
            <w:pPr>
              <w:jc w:val="left"/>
              <w:rPr>
                <w:sz w:val="19"/>
                <w:szCs w:val="19"/>
              </w:rPr>
            </w:pPr>
            <w:r w:rsidRPr="005703FE">
              <w:rPr>
                <w:sz w:val="19"/>
                <w:szCs w:val="19"/>
              </w:rPr>
              <w:t>HFC-245fa</w:t>
            </w:r>
          </w:p>
          <w:p w14:paraId="69DB0366" w14:textId="77777777" w:rsidR="00502FEE" w:rsidRPr="00FE2D7C" w:rsidRDefault="00502FEE" w:rsidP="000E7A06">
            <w:pPr>
              <w:jc w:val="left"/>
              <w:rPr>
                <w:sz w:val="19"/>
                <w:szCs w:val="19"/>
              </w:rPr>
            </w:pPr>
            <w:r w:rsidRPr="005703FE">
              <w:rPr>
                <w:sz w:val="19"/>
                <w:szCs w:val="19"/>
              </w:rPr>
              <w:t>HFC-365mfc / HFC-227ea</w:t>
            </w:r>
          </w:p>
        </w:tc>
        <w:tc>
          <w:tcPr>
            <w:tcW w:w="2976" w:type="dxa"/>
            <w:tcMar>
              <w:left w:w="72" w:type="dxa"/>
              <w:right w:w="43" w:type="dxa"/>
            </w:tcMar>
          </w:tcPr>
          <w:p w14:paraId="121E60C9" w14:textId="0CE6604C" w:rsidR="00502FEE" w:rsidRPr="005703FE" w:rsidRDefault="00502FEE" w:rsidP="00F139D9">
            <w:pPr>
              <w:spacing w:after="60"/>
              <w:jc w:val="left"/>
              <w:rPr>
                <w:sz w:val="19"/>
                <w:szCs w:val="19"/>
                <w:lang w:val="fr-FR"/>
              </w:rPr>
            </w:pPr>
            <w:r>
              <w:rPr>
                <w:sz w:val="19"/>
                <w:szCs w:val="19"/>
                <w:lang w:val="fr"/>
              </w:rPr>
              <w:t>Les plans concernant le secteur des mousses PU ont atteint un stade avancé de mise en œuvre dans la plupart des pays où des substances de remplacement à faible PRG sont en cours d’adoption. La mise en œuvre intégrée pourrait donc être limitée aux cas où d’importantes activités d’élimination des HCFC sont attendues au cours des prochaines années.</w:t>
            </w:r>
          </w:p>
        </w:tc>
        <w:tc>
          <w:tcPr>
            <w:tcW w:w="2646" w:type="dxa"/>
            <w:tcMar>
              <w:left w:w="72" w:type="dxa"/>
              <w:right w:w="43" w:type="dxa"/>
            </w:tcMar>
          </w:tcPr>
          <w:p w14:paraId="3273B4BF" w14:textId="6CF35F55" w:rsidR="00502FEE" w:rsidRPr="005703FE" w:rsidRDefault="00502FEE" w:rsidP="000E7A06">
            <w:pPr>
              <w:spacing w:after="60"/>
              <w:jc w:val="left"/>
              <w:rPr>
                <w:sz w:val="19"/>
                <w:szCs w:val="19"/>
                <w:lang w:val="fr-FR"/>
              </w:rPr>
            </w:pPr>
            <w:r>
              <w:rPr>
                <w:sz w:val="19"/>
                <w:szCs w:val="19"/>
                <w:lang w:val="fr"/>
              </w:rPr>
              <w:t xml:space="preserve">L’élimination des HFC dans ce secteur pourrait contribuer à l’adoption durable des solutions de remplacement à faible PRG dans le cadre des plans d’élimination des HCFC. </w:t>
            </w:r>
          </w:p>
          <w:p w14:paraId="1BE9BFEE" w14:textId="7382C6B7" w:rsidR="00502FEE" w:rsidRPr="005703FE" w:rsidRDefault="00502FEE" w:rsidP="00D11FF2">
            <w:pPr>
              <w:spacing w:after="60"/>
              <w:jc w:val="left"/>
              <w:rPr>
                <w:sz w:val="19"/>
                <w:szCs w:val="19"/>
                <w:lang w:val="fr-FR"/>
              </w:rPr>
            </w:pPr>
            <w:r>
              <w:rPr>
                <w:sz w:val="19"/>
                <w:szCs w:val="19"/>
                <w:lang w:val="fr"/>
              </w:rPr>
              <w:t>La structure du marché promouvra la réduction progressive des HFC grâce à l’adoption croissante d’agents moussants à faible PRG dans un proche avenir, c’est-à-dire au cours des deux à trois prochaines années.</w:t>
            </w:r>
          </w:p>
        </w:tc>
      </w:tr>
      <w:tr w:rsidR="00502FEE" w:rsidRPr="00717343" w14:paraId="331BFC6C" w14:textId="77777777" w:rsidTr="00C87F85">
        <w:tc>
          <w:tcPr>
            <w:tcW w:w="1447" w:type="dxa"/>
            <w:tcMar>
              <w:left w:w="72" w:type="dxa"/>
              <w:right w:w="43" w:type="dxa"/>
            </w:tcMar>
          </w:tcPr>
          <w:p w14:paraId="2B81562A" w14:textId="77777777" w:rsidR="00502FEE" w:rsidRPr="00FE2D7C" w:rsidRDefault="00502FEE" w:rsidP="000E7A06">
            <w:pPr>
              <w:jc w:val="left"/>
              <w:rPr>
                <w:sz w:val="19"/>
                <w:szCs w:val="19"/>
              </w:rPr>
            </w:pPr>
            <w:r>
              <w:rPr>
                <w:sz w:val="19"/>
                <w:szCs w:val="19"/>
                <w:lang w:val="fr"/>
              </w:rPr>
              <w:t>Mousses XPS</w:t>
            </w:r>
          </w:p>
        </w:tc>
        <w:tc>
          <w:tcPr>
            <w:tcW w:w="1134" w:type="dxa"/>
            <w:tcMar>
              <w:left w:w="72" w:type="dxa"/>
              <w:right w:w="43" w:type="dxa"/>
            </w:tcMar>
          </w:tcPr>
          <w:p w14:paraId="1BD35E9B" w14:textId="77777777" w:rsidR="00502FEE" w:rsidRPr="00FE2D7C" w:rsidRDefault="00502FEE" w:rsidP="000E7A06">
            <w:pPr>
              <w:jc w:val="left"/>
              <w:rPr>
                <w:sz w:val="19"/>
                <w:szCs w:val="19"/>
              </w:rPr>
            </w:pPr>
            <w:r>
              <w:rPr>
                <w:sz w:val="19"/>
                <w:szCs w:val="19"/>
                <w:lang w:val="fr"/>
              </w:rPr>
              <w:t>HCFC-22/</w:t>
            </w:r>
          </w:p>
          <w:p w14:paraId="16E10F84" w14:textId="77777777" w:rsidR="00502FEE" w:rsidRPr="00FE2D7C" w:rsidRDefault="00502FEE" w:rsidP="000E7A06">
            <w:pPr>
              <w:jc w:val="left"/>
              <w:rPr>
                <w:sz w:val="19"/>
                <w:szCs w:val="19"/>
              </w:rPr>
            </w:pPr>
            <w:r>
              <w:rPr>
                <w:sz w:val="19"/>
                <w:szCs w:val="19"/>
                <w:lang w:val="fr"/>
              </w:rPr>
              <w:lastRenderedPageBreak/>
              <w:t>HCFC-142b</w:t>
            </w:r>
          </w:p>
        </w:tc>
        <w:tc>
          <w:tcPr>
            <w:tcW w:w="1134" w:type="dxa"/>
            <w:tcMar>
              <w:left w:w="72" w:type="dxa"/>
              <w:right w:w="43" w:type="dxa"/>
            </w:tcMar>
          </w:tcPr>
          <w:p w14:paraId="531CFF10" w14:textId="77777777" w:rsidR="00502FEE" w:rsidRPr="00FE2D7C" w:rsidRDefault="00502FEE" w:rsidP="000E7A06">
            <w:pPr>
              <w:jc w:val="left"/>
              <w:rPr>
                <w:sz w:val="19"/>
                <w:szCs w:val="19"/>
              </w:rPr>
            </w:pPr>
            <w:r>
              <w:rPr>
                <w:sz w:val="19"/>
                <w:szCs w:val="19"/>
                <w:lang w:val="fr"/>
              </w:rPr>
              <w:lastRenderedPageBreak/>
              <w:t>HFC-134a/</w:t>
            </w:r>
          </w:p>
          <w:p w14:paraId="1A71E6ED" w14:textId="77777777" w:rsidR="00502FEE" w:rsidRPr="00FE2D7C" w:rsidRDefault="00502FEE" w:rsidP="000E7A06">
            <w:pPr>
              <w:jc w:val="left"/>
              <w:rPr>
                <w:sz w:val="19"/>
                <w:szCs w:val="19"/>
              </w:rPr>
            </w:pPr>
            <w:r>
              <w:rPr>
                <w:sz w:val="19"/>
                <w:szCs w:val="19"/>
                <w:lang w:val="fr"/>
              </w:rPr>
              <w:lastRenderedPageBreak/>
              <w:t>HFC-152</w:t>
            </w:r>
          </w:p>
        </w:tc>
        <w:tc>
          <w:tcPr>
            <w:tcW w:w="2976" w:type="dxa"/>
            <w:tcMar>
              <w:left w:w="72" w:type="dxa"/>
              <w:right w:w="43" w:type="dxa"/>
            </w:tcMar>
          </w:tcPr>
          <w:p w14:paraId="1EB4CAF8" w14:textId="77777777" w:rsidR="00502FEE" w:rsidRPr="005703FE" w:rsidRDefault="00502FEE" w:rsidP="000E7A06">
            <w:pPr>
              <w:spacing w:after="60"/>
              <w:jc w:val="left"/>
              <w:rPr>
                <w:sz w:val="19"/>
                <w:szCs w:val="19"/>
                <w:lang w:val="fr-FR"/>
              </w:rPr>
            </w:pPr>
            <w:r>
              <w:rPr>
                <w:sz w:val="19"/>
                <w:szCs w:val="19"/>
                <w:lang w:val="fr"/>
              </w:rPr>
              <w:lastRenderedPageBreak/>
              <w:t xml:space="preserve">Les plans concernant le secteur des </w:t>
            </w:r>
            <w:r>
              <w:rPr>
                <w:sz w:val="19"/>
                <w:szCs w:val="19"/>
                <w:lang w:val="fr"/>
              </w:rPr>
              <w:lastRenderedPageBreak/>
              <w:t>mousses XPS ont atteint un stade avancé de mise en œuvre dans la plupart des pays où des substances de remplacement à faible PRG sont en cours d’adoption. La mise en œuvre intégrée pourrait donc être limitée aux cas où d’importantes activités d’élimination des HCFC sont attendues au cours des prochaines années.</w:t>
            </w:r>
          </w:p>
        </w:tc>
        <w:tc>
          <w:tcPr>
            <w:tcW w:w="2646" w:type="dxa"/>
            <w:tcMar>
              <w:left w:w="72" w:type="dxa"/>
              <w:right w:w="43" w:type="dxa"/>
            </w:tcMar>
          </w:tcPr>
          <w:p w14:paraId="18DB60C4" w14:textId="6059DF7A" w:rsidR="00502FEE" w:rsidRPr="005703FE" w:rsidRDefault="00F139D9" w:rsidP="00D11FF2">
            <w:pPr>
              <w:spacing w:after="60"/>
              <w:jc w:val="left"/>
              <w:rPr>
                <w:sz w:val="19"/>
                <w:szCs w:val="19"/>
                <w:lang w:val="fr-FR"/>
              </w:rPr>
            </w:pPr>
            <w:r>
              <w:rPr>
                <w:sz w:val="19"/>
                <w:szCs w:val="19"/>
                <w:lang w:val="fr"/>
              </w:rPr>
              <w:lastRenderedPageBreak/>
              <w:t xml:space="preserve">Des solutions de remplacement à </w:t>
            </w:r>
            <w:r>
              <w:rPr>
                <w:sz w:val="19"/>
                <w:szCs w:val="19"/>
                <w:lang w:val="fr"/>
              </w:rPr>
              <w:lastRenderedPageBreak/>
              <w:t>faible PRG sont adoptées dans le cadre des PGEH (CO</w:t>
            </w:r>
            <w:r>
              <w:rPr>
                <w:sz w:val="19"/>
                <w:szCs w:val="19"/>
                <w:vertAlign w:val="subscript"/>
                <w:lang w:val="fr"/>
              </w:rPr>
              <w:t>2</w:t>
            </w:r>
            <w:r>
              <w:rPr>
                <w:sz w:val="19"/>
                <w:szCs w:val="19"/>
                <w:lang w:val="fr"/>
              </w:rPr>
              <w:t xml:space="preserve">, isobutane et HFO). </w:t>
            </w:r>
          </w:p>
        </w:tc>
      </w:tr>
      <w:tr w:rsidR="00502FEE" w:rsidRPr="00717343" w14:paraId="1BAAAF52" w14:textId="77777777" w:rsidTr="00C87F85">
        <w:tc>
          <w:tcPr>
            <w:tcW w:w="1447" w:type="dxa"/>
            <w:tcMar>
              <w:left w:w="72" w:type="dxa"/>
              <w:right w:w="43" w:type="dxa"/>
            </w:tcMar>
          </w:tcPr>
          <w:p w14:paraId="53AF7E12" w14:textId="77777777" w:rsidR="00502FEE" w:rsidRPr="005703FE" w:rsidRDefault="00502FEE" w:rsidP="000E7A06">
            <w:pPr>
              <w:jc w:val="left"/>
              <w:rPr>
                <w:sz w:val="19"/>
                <w:szCs w:val="19"/>
                <w:lang w:val="fr-FR"/>
              </w:rPr>
            </w:pPr>
            <w:r>
              <w:rPr>
                <w:sz w:val="19"/>
                <w:szCs w:val="19"/>
                <w:lang w:val="fr"/>
              </w:rPr>
              <w:lastRenderedPageBreak/>
              <w:t>Réfrigération domestique (système de réfrigération)</w:t>
            </w:r>
          </w:p>
        </w:tc>
        <w:tc>
          <w:tcPr>
            <w:tcW w:w="1134" w:type="dxa"/>
            <w:tcMar>
              <w:left w:w="72" w:type="dxa"/>
              <w:right w:w="43" w:type="dxa"/>
            </w:tcMar>
          </w:tcPr>
          <w:p w14:paraId="0E845348" w14:textId="77777777" w:rsidR="00502FEE" w:rsidRPr="005703FE" w:rsidRDefault="00502FEE" w:rsidP="000E7A06">
            <w:pPr>
              <w:jc w:val="left"/>
              <w:rPr>
                <w:sz w:val="19"/>
                <w:szCs w:val="19"/>
                <w:lang w:val="fr-FR"/>
              </w:rPr>
            </w:pPr>
          </w:p>
        </w:tc>
        <w:tc>
          <w:tcPr>
            <w:tcW w:w="1134" w:type="dxa"/>
            <w:tcMar>
              <w:left w:w="72" w:type="dxa"/>
              <w:right w:w="43" w:type="dxa"/>
            </w:tcMar>
          </w:tcPr>
          <w:p w14:paraId="057BA35D" w14:textId="77777777" w:rsidR="00502FEE" w:rsidRPr="00FE2D7C" w:rsidRDefault="00502FEE" w:rsidP="000E7A06">
            <w:pPr>
              <w:jc w:val="left"/>
              <w:rPr>
                <w:sz w:val="19"/>
                <w:szCs w:val="19"/>
              </w:rPr>
            </w:pPr>
            <w:r>
              <w:rPr>
                <w:sz w:val="19"/>
                <w:szCs w:val="19"/>
                <w:lang w:val="fr"/>
              </w:rPr>
              <w:t>HFC-134a</w:t>
            </w:r>
          </w:p>
        </w:tc>
        <w:tc>
          <w:tcPr>
            <w:tcW w:w="2976" w:type="dxa"/>
            <w:tcMar>
              <w:left w:w="72" w:type="dxa"/>
              <w:right w:w="43" w:type="dxa"/>
            </w:tcMar>
          </w:tcPr>
          <w:p w14:paraId="7336CEB8" w14:textId="77777777" w:rsidR="00502FEE" w:rsidRPr="00FE2D7C" w:rsidRDefault="00502FEE" w:rsidP="000E7A06">
            <w:pPr>
              <w:spacing w:after="60"/>
              <w:jc w:val="left"/>
              <w:rPr>
                <w:sz w:val="19"/>
                <w:szCs w:val="19"/>
              </w:rPr>
            </w:pPr>
            <w:r>
              <w:rPr>
                <w:sz w:val="19"/>
                <w:szCs w:val="19"/>
                <w:lang w:val="fr"/>
              </w:rPr>
              <w:t xml:space="preserve">La conversion des panneaux HCFC-141b est déjà achevée dans la plupart des pays. Une mise en œuvre intégrée n’est pas possible. </w:t>
            </w:r>
          </w:p>
        </w:tc>
        <w:tc>
          <w:tcPr>
            <w:tcW w:w="2646" w:type="dxa"/>
            <w:tcMar>
              <w:left w:w="72" w:type="dxa"/>
              <w:right w:w="43" w:type="dxa"/>
            </w:tcMar>
          </w:tcPr>
          <w:p w14:paraId="18A561EE" w14:textId="77777777" w:rsidR="00502FEE" w:rsidRPr="005703FE" w:rsidRDefault="00502FEE" w:rsidP="000E7A06">
            <w:pPr>
              <w:spacing w:after="60"/>
              <w:jc w:val="left"/>
              <w:rPr>
                <w:sz w:val="19"/>
                <w:szCs w:val="19"/>
                <w:lang w:val="fr-FR"/>
              </w:rPr>
            </w:pPr>
            <w:r>
              <w:rPr>
                <w:sz w:val="19"/>
                <w:szCs w:val="19"/>
                <w:lang w:val="fr"/>
              </w:rPr>
              <w:t>Des solutions de remplacement des HFC efficaces sur le plan des coûts étant disponibles sur le marché local, ce secteur pourrait être converti dès maintenant.</w:t>
            </w:r>
          </w:p>
        </w:tc>
      </w:tr>
      <w:tr w:rsidR="00502FEE" w:rsidRPr="00717343" w14:paraId="7E7159AC" w14:textId="77777777" w:rsidTr="00C87F85">
        <w:tc>
          <w:tcPr>
            <w:tcW w:w="1447" w:type="dxa"/>
            <w:tcMar>
              <w:left w:w="72" w:type="dxa"/>
              <w:right w:w="43" w:type="dxa"/>
            </w:tcMar>
          </w:tcPr>
          <w:p w14:paraId="7E1497AE" w14:textId="77777777" w:rsidR="00502FEE" w:rsidRPr="00FE2D7C" w:rsidRDefault="00502FEE" w:rsidP="000E7A06">
            <w:pPr>
              <w:jc w:val="left"/>
              <w:rPr>
                <w:sz w:val="19"/>
                <w:szCs w:val="19"/>
              </w:rPr>
            </w:pPr>
            <w:r>
              <w:rPr>
                <w:sz w:val="19"/>
                <w:szCs w:val="19"/>
                <w:lang w:val="fr"/>
              </w:rPr>
              <w:t>Réfrigération commerciale (unités autonomes)</w:t>
            </w:r>
          </w:p>
        </w:tc>
        <w:tc>
          <w:tcPr>
            <w:tcW w:w="1134" w:type="dxa"/>
            <w:tcMar>
              <w:left w:w="72" w:type="dxa"/>
              <w:right w:w="43" w:type="dxa"/>
            </w:tcMar>
          </w:tcPr>
          <w:p w14:paraId="770BE592" w14:textId="77777777" w:rsidR="00502FEE" w:rsidRPr="00FE2D7C" w:rsidRDefault="00502FEE" w:rsidP="000E7A06">
            <w:pPr>
              <w:jc w:val="left"/>
              <w:rPr>
                <w:sz w:val="19"/>
                <w:szCs w:val="19"/>
              </w:rPr>
            </w:pPr>
          </w:p>
        </w:tc>
        <w:tc>
          <w:tcPr>
            <w:tcW w:w="1134" w:type="dxa"/>
            <w:tcMar>
              <w:left w:w="72" w:type="dxa"/>
              <w:right w:w="43" w:type="dxa"/>
            </w:tcMar>
          </w:tcPr>
          <w:p w14:paraId="1E72F984" w14:textId="77777777" w:rsidR="00502FEE" w:rsidRPr="00FE2D7C" w:rsidRDefault="00502FEE" w:rsidP="000E7A06">
            <w:pPr>
              <w:jc w:val="left"/>
              <w:rPr>
                <w:sz w:val="19"/>
                <w:szCs w:val="19"/>
              </w:rPr>
            </w:pPr>
            <w:r>
              <w:rPr>
                <w:sz w:val="19"/>
                <w:szCs w:val="19"/>
                <w:lang w:val="fr"/>
              </w:rPr>
              <w:t>HFC-134a</w:t>
            </w:r>
          </w:p>
          <w:p w14:paraId="3BDB10F3" w14:textId="77777777" w:rsidR="00502FEE" w:rsidRPr="00FE2D7C" w:rsidRDefault="00502FEE" w:rsidP="000E7A06">
            <w:pPr>
              <w:jc w:val="left"/>
              <w:rPr>
                <w:sz w:val="19"/>
                <w:szCs w:val="19"/>
              </w:rPr>
            </w:pPr>
            <w:r>
              <w:rPr>
                <w:sz w:val="19"/>
                <w:szCs w:val="19"/>
                <w:lang w:val="fr"/>
              </w:rPr>
              <w:t>R-404A</w:t>
            </w:r>
          </w:p>
          <w:p w14:paraId="5E260581" w14:textId="77777777" w:rsidR="00502FEE" w:rsidRPr="00FE2D7C" w:rsidRDefault="00502FEE" w:rsidP="000E7A06">
            <w:pPr>
              <w:jc w:val="left"/>
              <w:rPr>
                <w:sz w:val="19"/>
                <w:szCs w:val="19"/>
              </w:rPr>
            </w:pPr>
            <w:r>
              <w:rPr>
                <w:sz w:val="19"/>
                <w:szCs w:val="19"/>
                <w:lang w:val="fr"/>
              </w:rPr>
              <w:t>Mélanges</w:t>
            </w:r>
          </w:p>
        </w:tc>
        <w:tc>
          <w:tcPr>
            <w:tcW w:w="2976" w:type="dxa"/>
            <w:tcMar>
              <w:left w:w="72" w:type="dxa"/>
              <w:right w:w="43" w:type="dxa"/>
            </w:tcMar>
          </w:tcPr>
          <w:p w14:paraId="73AE0DC9" w14:textId="59191268" w:rsidR="00502FEE" w:rsidRPr="005703FE" w:rsidRDefault="00502FEE" w:rsidP="0079075E">
            <w:pPr>
              <w:spacing w:after="60"/>
              <w:jc w:val="left"/>
              <w:rPr>
                <w:sz w:val="19"/>
                <w:szCs w:val="19"/>
                <w:lang w:val="fr-FR"/>
              </w:rPr>
            </w:pPr>
            <w:r>
              <w:rPr>
                <w:sz w:val="19"/>
                <w:szCs w:val="19"/>
                <w:lang w:val="fr"/>
              </w:rPr>
              <w:t>La conversion des panneaux HCFC-141b est déjà achevée dans la plupart des pays. La mise en œuvre intégrée est possible dans les entreprises utilisant plusieurs frigorigènes pour différentes applications (par exemple, HCFC-22, HFC-134a et R-404A).</w:t>
            </w:r>
          </w:p>
        </w:tc>
        <w:tc>
          <w:tcPr>
            <w:tcW w:w="2646" w:type="dxa"/>
            <w:tcMar>
              <w:left w:w="72" w:type="dxa"/>
              <w:right w:w="43" w:type="dxa"/>
            </w:tcMar>
          </w:tcPr>
          <w:p w14:paraId="7753D5BF" w14:textId="1ABFB7E0" w:rsidR="00502FEE" w:rsidRPr="005703FE" w:rsidRDefault="00502FEE" w:rsidP="000E7A06">
            <w:pPr>
              <w:spacing w:after="60"/>
              <w:jc w:val="left"/>
              <w:rPr>
                <w:sz w:val="19"/>
                <w:szCs w:val="19"/>
                <w:lang w:val="fr-FR"/>
              </w:rPr>
            </w:pPr>
            <w:r>
              <w:rPr>
                <w:sz w:val="19"/>
                <w:szCs w:val="19"/>
                <w:lang w:val="fr"/>
              </w:rPr>
              <w:t xml:space="preserve">Plusieurs options techniques sont actuellement disponibles sur le marché tandis que d’autres sont en cours de développement. </w:t>
            </w:r>
          </w:p>
          <w:p w14:paraId="663BF8CB" w14:textId="77777777" w:rsidR="00502FEE" w:rsidRPr="005703FE" w:rsidRDefault="00502FEE" w:rsidP="000E7A06">
            <w:pPr>
              <w:spacing w:after="60"/>
              <w:jc w:val="left"/>
              <w:rPr>
                <w:sz w:val="19"/>
                <w:szCs w:val="19"/>
                <w:lang w:val="fr-FR"/>
              </w:rPr>
            </w:pPr>
            <w:r>
              <w:rPr>
                <w:sz w:val="19"/>
                <w:szCs w:val="19"/>
                <w:lang w:val="fr"/>
              </w:rPr>
              <w:t>De nouvelles normes pour les frigorigènes inflammables peuvent contribuer à l’adoption accélérée de la technologie à faible PRG.</w:t>
            </w:r>
          </w:p>
          <w:p w14:paraId="25C4800E" w14:textId="77777777" w:rsidR="00502FEE" w:rsidRPr="005703FE" w:rsidRDefault="00502FEE" w:rsidP="000E7A06">
            <w:pPr>
              <w:spacing w:after="60"/>
              <w:jc w:val="left"/>
              <w:rPr>
                <w:sz w:val="19"/>
                <w:szCs w:val="19"/>
                <w:lang w:val="fr-FR"/>
              </w:rPr>
            </w:pPr>
            <w:r>
              <w:rPr>
                <w:sz w:val="19"/>
                <w:szCs w:val="19"/>
                <w:lang w:val="fr"/>
              </w:rPr>
              <w:t>La fabrication de plus petites unités pourrait être convertie à court terme.</w:t>
            </w:r>
          </w:p>
        </w:tc>
      </w:tr>
      <w:tr w:rsidR="00502FEE" w:rsidRPr="00717343" w14:paraId="572562AD" w14:textId="77777777" w:rsidTr="00C87F85">
        <w:tc>
          <w:tcPr>
            <w:tcW w:w="1447" w:type="dxa"/>
            <w:tcMar>
              <w:left w:w="72" w:type="dxa"/>
              <w:right w:w="43" w:type="dxa"/>
            </w:tcMar>
          </w:tcPr>
          <w:p w14:paraId="5D8A0B5A" w14:textId="77777777" w:rsidR="00502FEE" w:rsidRPr="005703FE" w:rsidRDefault="00502FEE" w:rsidP="000E7A06">
            <w:pPr>
              <w:jc w:val="left"/>
              <w:rPr>
                <w:sz w:val="19"/>
                <w:szCs w:val="19"/>
                <w:lang w:val="fr-FR"/>
              </w:rPr>
            </w:pPr>
            <w:r>
              <w:rPr>
                <w:sz w:val="19"/>
                <w:szCs w:val="19"/>
                <w:lang w:val="fr"/>
              </w:rPr>
              <w:t xml:space="preserve">Réfrigération commerciale et industrielle de plus grande taille </w:t>
            </w:r>
          </w:p>
        </w:tc>
        <w:tc>
          <w:tcPr>
            <w:tcW w:w="1134" w:type="dxa"/>
            <w:tcMar>
              <w:left w:w="72" w:type="dxa"/>
              <w:right w:w="43" w:type="dxa"/>
            </w:tcMar>
          </w:tcPr>
          <w:p w14:paraId="13E25CE1" w14:textId="77777777" w:rsidR="00502FEE" w:rsidRPr="00FE2D7C" w:rsidRDefault="00502FEE" w:rsidP="000E7A06">
            <w:pPr>
              <w:jc w:val="left"/>
              <w:rPr>
                <w:sz w:val="19"/>
                <w:szCs w:val="19"/>
              </w:rPr>
            </w:pPr>
            <w:r>
              <w:rPr>
                <w:sz w:val="19"/>
                <w:szCs w:val="19"/>
                <w:lang w:val="fr"/>
              </w:rPr>
              <w:t>HCFC-22</w:t>
            </w:r>
          </w:p>
        </w:tc>
        <w:tc>
          <w:tcPr>
            <w:tcW w:w="1134" w:type="dxa"/>
            <w:tcMar>
              <w:left w:w="72" w:type="dxa"/>
              <w:right w:w="43" w:type="dxa"/>
            </w:tcMar>
          </w:tcPr>
          <w:p w14:paraId="6E11EDC4" w14:textId="77777777" w:rsidR="00502FEE" w:rsidRPr="00FE2D7C" w:rsidRDefault="00502FEE" w:rsidP="000E7A06">
            <w:pPr>
              <w:jc w:val="left"/>
              <w:rPr>
                <w:sz w:val="19"/>
                <w:szCs w:val="19"/>
              </w:rPr>
            </w:pPr>
            <w:r>
              <w:rPr>
                <w:sz w:val="19"/>
                <w:szCs w:val="19"/>
                <w:lang w:val="fr"/>
              </w:rPr>
              <w:t>HFC-134a</w:t>
            </w:r>
          </w:p>
          <w:p w14:paraId="40DB63BA" w14:textId="77777777" w:rsidR="00502FEE" w:rsidRPr="00FE2D7C" w:rsidRDefault="00502FEE" w:rsidP="000E7A06">
            <w:pPr>
              <w:jc w:val="left"/>
              <w:rPr>
                <w:sz w:val="19"/>
                <w:szCs w:val="19"/>
              </w:rPr>
            </w:pPr>
            <w:r>
              <w:rPr>
                <w:sz w:val="19"/>
                <w:szCs w:val="19"/>
                <w:lang w:val="fr"/>
              </w:rPr>
              <w:t>R-404A</w:t>
            </w:r>
          </w:p>
          <w:p w14:paraId="3B8DA339" w14:textId="77777777" w:rsidR="00502FEE" w:rsidRPr="00FE2D7C" w:rsidRDefault="00502FEE" w:rsidP="000E7A06">
            <w:pPr>
              <w:jc w:val="left"/>
              <w:rPr>
                <w:sz w:val="19"/>
                <w:szCs w:val="19"/>
              </w:rPr>
            </w:pPr>
          </w:p>
        </w:tc>
        <w:tc>
          <w:tcPr>
            <w:tcW w:w="2976" w:type="dxa"/>
            <w:tcMar>
              <w:left w:w="72" w:type="dxa"/>
              <w:right w:w="43" w:type="dxa"/>
            </w:tcMar>
          </w:tcPr>
          <w:p w14:paraId="43BB9494" w14:textId="77777777" w:rsidR="00502FEE" w:rsidRPr="005703FE" w:rsidRDefault="00502FEE" w:rsidP="000E7A06">
            <w:pPr>
              <w:spacing w:after="60"/>
              <w:jc w:val="left"/>
              <w:rPr>
                <w:sz w:val="19"/>
                <w:szCs w:val="19"/>
                <w:lang w:val="fr-FR"/>
              </w:rPr>
            </w:pPr>
            <w:r>
              <w:rPr>
                <w:sz w:val="19"/>
                <w:szCs w:val="19"/>
                <w:lang w:val="fr"/>
              </w:rPr>
              <w:t>À examiner au cas par cas, compte tenu de la diversité des applications et des types d’entreprises.</w:t>
            </w:r>
          </w:p>
          <w:p w14:paraId="0E3FC790" w14:textId="7BA890EC" w:rsidR="00502FEE" w:rsidRPr="005703FE" w:rsidRDefault="00502FEE" w:rsidP="006715AC">
            <w:pPr>
              <w:spacing w:after="60"/>
              <w:jc w:val="left"/>
              <w:rPr>
                <w:sz w:val="19"/>
                <w:szCs w:val="19"/>
                <w:lang w:val="fr-FR"/>
              </w:rPr>
            </w:pPr>
            <w:r>
              <w:rPr>
                <w:sz w:val="19"/>
                <w:szCs w:val="19"/>
                <w:lang w:val="fr"/>
              </w:rPr>
              <w:t xml:space="preserve">La mise en œuvre intégrée peut être possible dans les entreprises qui utilisent plusieurs frigorigènes pour différentes applications (par exemple, HCFC-22, HFC-134a et R-404A). </w:t>
            </w:r>
          </w:p>
        </w:tc>
        <w:tc>
          <w:tcPr>
            <w:tcW w:w="2646" w:type="dxa"/>
            <w:tcMar>
              <w:left w:w="72" w:type="dxa"/>
              <w:right w:w="43" w:type="dxa"/>
            </w:tcMar>
          </w:tcPr>
          <w:p w14:paraId="3FD791F7" w14:textId="77777777" w:rsidR="00502FEE" w:rsidRPr="005703FE" w:rsidRDefault="00502FEE" w:rsidP="000E7A06">
            <w:pPr>
              <w:spacing w:after="60"/>
              <w:jc w:val="left"/>
              <w:rPr>
                <w:sz w:val="19"/>
                <w:szCs w:val="19"/>
                <w:lang w:val="fr-FR"/>
              </w:rPr>
            </w:pPr>
            <w:r>
              <w:rPr>
                <w:sz w:val="19"/>
                <w:szCs w:val="19"/>
                <w:lang w:val="fr"/>
              </w:rPr>
              <w:t xml:space="preserve">Les conversions directes peuvent aider à réduire la dépendance au R-404A pour un coût relativement faible. </w:t>
            </w:r>
          </w:p>
          <w:p w14:paraId="4C07827A" w14:textId="552AE3FC" w:rsidR="00502FEE" w:rsidRPr="005703FE" w:rsidRDefault="00502FEE" w:rsidP="0079075E">
            <w:pPr>
              <w:spacing w:after="60"/>
              <w:jc w:val="left"/>
              <w:rPr>
                <w:sz w:val="19"/>
                <w:szCs w:val="19"/>
                <w:lang w:val="fr-FR"/>
              </w:rPr>
            </w:pPr>
            <w:r>
              <w:rPr>
                <w:sz w:val="19"/>
                <w:szCs w:val="19"/>
                <w:lang w:val="fr"/>
              </w:rPr>
              <w:t>De nouveaux mélanges ayant un PRG inférieur à 250 (dans la catégorie A2L)</w:t>
            </w:r>
            <w:r>
              <w:rPr>
                <w:rStyle w:val="FootnoteReference"/>
                <w:sz w:val="19"/>
                <w:lang w:val="fr"/>
              </w:rPr>
              <w:footnoteReference w:id="20"/>
            </w:r>
            <w:r>
              <w:rPr>
                <w:sz w:val="19"/>
                <w:szCs w:val="19"/>
                <w:lang w:val="fr"/>
              </w:rPr>
              <w:t xml:space="preserve"> et à 1 400 dans la catégorie ininflammable sont disponibles.</w:t>
            </w:r>
          </w:p>
        </w:tc>
      </w:tr>
      <w:tr w:rsidR="00502FEE" w:rsidRPr="00717343" w14:paraId="04199511" w14:textId="77777777" w:rsidTr="00C87F85">
        <w:tc>
          <w:tcPr>
            <w:tcW w:w="1447" w:type="dxa"/>
            <w:tcMar>
              <w:left w:w="72" w:type="dxa"/>
              <w:right w:w="43" w:type="dxa"/>
            </w:tcMar>
          </w:tcPr>
          <w:p w14:paraId="50477750" w14:textId="7636C1B5" w:rsidR="00502FEE" w:rsidRPr="00FE2D7C" w:rsidRDefault="00502FEE" w:rsidP="000E7A06">
            <w:pPr>
              <w:jc w:val="left"/>
              <w:rPr>
                <w:sz w:val="19"/>
                <w:szCs w:val="19"/>
              </w:rPr>
            </w:pPr>
            <w:r>
              <w:rPr>
                <w:sz w:val="19"/>
                <w:szCs w:val="19"/>
                <w:lang w:val="fr"/>
              </w:rPr>
              <w:t>Climatiseurs individuels et commerciaux</w:t>
            </w:r>
          </w:p>
        </w:tc>
        <w:tc>
          <w:tcPr>
            <w:tcW w:w="1134" w:type="dxa"/>
            <w:tcMar>
              <w:left w:w="72" w:type="dxa"/>
              <w:right w:w="43" w:type="dxa"/>
            </w:tcMar>
          </w:tcPr>
          <w:p w14:paraId="60B92A8D" w14:textId="77777777" w:rsidR="00502FEE" w:rsidRPr="00FE2D7C" w:rsidRDefault="00502FEE" w:rsidP="000E7A06">
            <w:pPr>
              <w:jc w:val="left"/>
              <w:rPr>
                <w:sz w:val="19"/>
                <w:szCs w:val="19"/>
              </w:rPr>
            </w:pPr>
            <w:r>
              <w:rPr>
                <w:sz w:val="19"/>
                <w:szCs w:val="19"/>
                <w:lang w:val="fr"/>
              </w:rPr>
              <w:t>HCFC-22</w:t>
            </w:r>
          </w:p>
        </w:tc>
        <w:tc>
          <w:tcPr>
            <w:tcW w:w="1134" w:type="dxa"/>
            <w:tcMar>
              <w:left w:w="72" w:type="dxa"/>
              <w:right w:w="43" w:type="dxa"/>
            </w:tcMar>
          </w:tcPr>
          <w:p w14:paraId="3AA2520B" w14:textId="77777777" w:rsidR="00502FEE" w:rsidRPr="005703FE" w:rsidRDefault="00502FEE" w:rsidP="000E7A06">
            <w:pPr>
              <w:jc w:val="left"/>
              <w:rPr>
                <w:sz w:val="19"/>
                <w:szCs w:val="19"/>
                <w:lang w:val="fr-FR"/>
              </w:rPr>
            </w:pPr>
            <w:r>
              <w:rPr>
                <w:sz w:val="19"/>
                <w:szCs w:val="19"/>
                <w:lang w:val="fr"/>
              </w:rPr>
              <w:t>R-410A</w:t>
            </w:r>
          </w:p>
          <w:p w14:paraId="00323C47" w14:textId="77777777" w:rsidR="00502FEE" w:rsidRPr="005703FE" w:rsidRDefault="00502FEE" w:rsidP="000E7A06">
            <w:pPr>
              <w:jc w:val="left"/>
              <w:rPr>
                <w:sz w:val="19"/>
                <w:szCs w:val="19"/>
                <w:lang w:val="fr-FR"/>
              </w:rPr>
            </w:pPr>
            <w:r>
              <w:rPr>
                <w:sz w:val="19"/>
                <w:szCs w:val="19"/>
                <w:lang w:val="fr"/>
              </w:rPr>
              <w:t>R-407C</w:t>
            </w:r>
          </w:p>
          <w:p w14:paraId="223F1FD3" w14:textId="77777777" w:rsidR="00502FEE" w:rsidRPr="005703FE" w:rsidRDefault="00502FEE" w:rsidP="000E7A06">
            <w:pPr>
              <w:jc w:val="left"/>
              <w:rPr>
                <w:sz w:val="19"/>
                <w:szCs w:val="19"/>
                <w:lang w:val="fr-FR"/>
              </w:rPr>
            </w:pPr>
            <w:r>
              <w:rPr>
                <w:sz w:val="19"/>
                <w:szCs w:val="19"/>
                <w:lang w:val="fr"/>
              </w:rPr>
              <w:t>Mélanges</w:t>
            </w:r>
          </w:p>
        </w:tc>
        <w:tc>
          <w:tcPr>
            <w:tcW w:w="2976" w:type="dxa"/>
            <w:tcMar>
              <w:left w:w="72" w:type="dxa"/>
              <w:right w:w="43" w:type="dxa"/>
            </w:tcMar>
          </w:tcPr>
          <w:p w14:paraId="6AB4A5B0" w14:textId="77777777" w:rsidR="00502FEE" w:rsidRPr="005703FE" w:rsidRDefault="00502FEE" w:rsidP="000E7A06">
            <w:pPr>
              <w:spacing w:after="60"/>
              <w:jc w:val="left"/>
              <w:rPr>
                <w:sz w:val="19"/>
                <w:szCs w:val="19"/>
                <w:lang w:val="fr-FR"/>
              </w:rPr>
            </w:pPr>
            <w:r>
              <w:rPr>
                <w:sz w:val="19"/>
                <w:szCs w:val="19"/>
                <w:lang w:val="fr"/>
              </w:rPr>
              <w:t>Une mise en œuvre parallèle est fort probable en raison de la forte consommation et de la croissance des HFC dans ces applications.</w:t>
            </w:r>
          </w:p>
          <w:p w14:paraId="2F453677" w14:textId="73904137" w:rsidR="00502FEE" w:rsidRPr="005703FE" w:rsidRDefault="00502FEE" w:rsidP="000E7A06">
            <w:pPr>
              <w:spacing w:after="60"/>
              <w:jc w:val="left"/>
              <w:rPr>
                <w:sz w:val="19"/>
                <w:szCs w:val="19"/>
                <w:lang w:val="fr-FR"/>
              </w:rPr>
            </w:pPr>
            <w:r>
              <w:rPr>
                <w:sz w:val="19"/>
                <w:szCs w:val="19"/>
                <w:lang w:val="fr"/>
              </w:rPr>
              <w:t xml:space="preserve">Potentiel de mise en œuvre intégrée dans les entreprises consommant des HCFC et des HFC, principalement du R-410A. Des entreprises qui n’étaient pas admissibles au titre d’activités d’élimination des HCFC pourraient envisager une mise en œuvre intégrée. </w:t>
            </w:r>
          </w:p>
        </w:tc>
        <w:tc>
          <w:tcPr>
            <w:tcW w:w="2646" w:type="dxa"/>
            <w:tcMar>
              <w:left w:w="72" w:type="dxa"/>
              <w:right w:w="43" w:type="dxa"/>
            </w:tcMar>
          </w:tcPr>
          <w:p w14:paraId="0D4751CB" w14:textId="77777777" w:rsidR="00502FEE" w:rsidRPr="005703FE" w:rsidRDefault="00502FEE" w:rsidP="000E7A06">
            <w:pPr>
              <w:spacing w:after="60"/>
              <w:jc w:val="left"/>
              <w:rPr>
                <w:sz w:val="19"/>
                <w:szCs w:val="19"/>
                <w:lang w:val="fr-FR"/>
              </w:rPr>
            </w:pPr>
            <w:r>
              <w:rPr>
                <w:sz w:val="19"/>
                <w:szCs w:val="19"/>
                <w:lang w:val="fr"/>
              </w:rPr>
              <w:t>Les normes de rendement énergétique des climatiseurs pourraient favoriser à court terme l’adoption du R-410A et d’autres frigorigènes à haut PRG ; des mesures gouvernementales pourraient être nécessaires pour éviter cette situation.</w:t>
            </w:r>
          </w:p>
        </w:tc>
      </w:tr>
      <w:tr w:rsidR="00502FEE" w:rsidRPr="00FE2D7C" w14:paraId="7B1E7864" w14:textId="77777777" w:rsidTr="00C87F85">
        <w:tc>
          <w:tcPr>
            <w:tcW w:w="1447" w:type="dxa"/>
            <w:tcMar>
              <w:left w:w="72" w:type="dxa"/>
              <w:right w:w="43" w:type="dxa"/>
            </w:tcMar>
          </w:tcPr>
          <w:p w14:paraId="53E75032" w14:textId="77777777" w:rsidR="00502FEE" w:rsidRPr="00FE2D7C" w:rsidRDefault="00502FEE" w:rsidP="000E7A06">
            <w:pPr>
              <w:jc w:val="left"/>
              <w:rPr>
                <w:sz w:val="19"/>
                <w:szCs w:val="19"/>
              </w:rPr>
            </w:pPr>
            <w:r>
              <w:rPr>
                <w:sz w:val="19"/>
                <w:szCs w:val="19"/>
                <w:lang w:val="fr"/>
              </w:rPr>
              <w:t>Refroidisseurs</w:t>
            </w:r>
          </w:p>
        </w:tc>
        <w:tc>
          <w:tcPr>
            <w:tcW w:w="1134" w:type="dxa"/>
            <w:tcMar>
              <w:left w:w="72" w:type="dxa"/>
              <w:right w:w="43" w:type="dxa"/>
            </w:tcMar>
          </w:tcPr>
          <w:p w14:paraId="6BFC61A2" w14:textId="77777777" w:rsidR="00502FEE" w:rsidRPr="00FE2D7C" w:rsidRDefault="00502FEE" w:rsidP="000E7A06">
            <w:pPr>
              <w:jc w:val="left"/>
              <w:rPr>
                <w:sz w:val="19"/>
                <w:szCs w:val="19"/>
              </w:rPr>
            </w:pPr>
            <w:r>
              <w:rPr>
                <w:sz w:val="19"/>
                <w:szCs w:val="19"/>
                <w:lang w:val="fr"/>
              </w:rPr>
              <w:t>HCFC-22</w:t>
            </w:r>
          </w:p>
        </w:tc>
        <w:tc>
          <w:tcPr>
            <w:tcW w:w="1134" w:type="dxa"/>
            <w:tcMar>
              <w:left w:w="72" w:type="dxa"/>
              <w:right w:w="43" w:type="dxa"/>
            </w:tcMar>
          </w:tcPr>
          <w:p w14:paraId="4C3A6B07" w14:textId="77777777" w:rsidR="00502FEE" w:rsidRPr="00FE2D7C" w:rsidRDefault="00502FEE" w:rsidP="000E7A06">
            <w:pPr>
              <w:jc w:val="left"/>
              <w:rPr>
                <w:sz w:val="19"/>
                <w:szCs w:val="19"/>
              </w:rPr>
            </w:pPr>
            <w:r>
              <w:rPr>
                <w:sz w:val="19"/>
                <w:szCs w:val="19"/>
                <w:lang w:val="fr"/>
              </w:rPr>
              <w:t>HFC-134a,</w:t>
            </w:r>
          </w:p>
          <w:p w14:paraId="7828CA06" w14:textId="77777777" w:rsidR="00502FEE" w:rsidRPr="00FE2D7C" w:rsidRDefault="00502FEE" w:rsidP="000E7A06">
            <w:pPr>
              <w:jc w:val="left"/>
              <w:rPr>
                <w:sz w:val="19"/>
                <w:szCs w:val="19"/>
              </w:rPr>
            </w:pPr>
            <w:r>
              <w:rPr>
                <w:sz w:val="19"/>
                <w:szCs w:val="19"/>
                <w:lang w:val="fr"/>
              </w:rPr>
              <w:t>R-410A,</w:t>
            </w:r>
          </w:p>
          <w:p w14:paraId="4FDB4A41" w14:textId="77777777" w:rsidR="00502FEE" w:rsidRPr="00FE2D7C" w:rsidRDefault="00502FEE" w:rsidP="000E7A06">
            <w:pPr>
              <w:jc w:val="left"/>
              <w:rPr>
                <w:sz w:val="19"/>
                <w:szCs w:val="19"/>
              </w:rPr>
            </w:pPr>
            <w:r>
              <w:rPr>
                <w:sz w:val="19"/>
                <w:szCs w:val="19"/>
                <w:lang w:val="fr"/>
              </w:rPr>
              <w:t>R-407C,</w:t>
            </w:r>
          </w:p>
          <w:p w14:paraId="2ABC860B" w14:textId="77777777" w:rsidR="00502FEE" w:rsidRPr="00FE2D7C" w:rsidRDefault="00502FEE" w:rsidP="000E7A06">
            <w:pPr>
              <w:jc w:val="left"/>
              <w:rPr>
                <w:sz w:val="19"/>
                <w:szCs w:val="19"/>
              </w:rPr>
            </w:pPr>
            <w:r>
              <w:rPr>
                <w:sz w:val="19"/>
                <w:szCs w:val="19"/>
                <w:lang w:val="fr"/>
              </w:rPr>
              <w:t xml:space="preserve">R-413A </w:t>
            </w:r>
          </w:p>
        </w:tc>
        <w:tc>
          <w:tcPr>
            <w:tcW w:w="2976" w:type="dxa"/>
            <w:tcMar>
              <w:left w:w="72" w:type="dxa"/>
              <w:right w:w="43" w:type="dxa"/>
            </w:tcMar>
          </w:tcPr>
          <w:p w14:paraId="1D6F1317" w14:textId="77777777" w:rsidR="00502FEE" w:rsidRPr="005703FE" w:rsidRDefault="00502FEE" w:rsidP="000E7A06">
            <w:pPr>
              <w:spacing w:after="60"/>
              <w:jc w:val="left"/>
              <w:rPr>
                <w:sz w:val="19"/>
                <w:szCs w:val="19"/>
                <w:lang w:val="fr-FR"/>
              </w:rPr>
            </w:pPr>
            <w:r>
              <w:rPr>
                <w:sz w:val="19"/>
                <w:szCs w:val="19"/>
                <w:lang w:val="fr"/>
              </w:rPr>
              <w:t>Semblable aux climatiseurs commerciaux, bien que les niveaux de consommation puissent être inférieurs. Ce secteur concerne davantage les utilisateurs finals et/ou les entreprises d’assemblage.</w:t>
            </w:r>
          </w:p>
          <w:p w14:paraId="493C0A95" w14:textId="77777777" w:rsidR="00502FEE" w:rsidRPr="005703FE" w:rsidRDefault="00502FEE" w:rsidP="000E7A06">
            <w:pPr>
              <w:spacing w:after="60"/>
              <w:jc w:val="left"/>
              <w:rPr>
                <w:sz w:val="19"/>
                <w:szCs w:val="19"/>
                <w:lang w:val="fr-FR"/>
              </w:rPr>
            </w:pPr>
            <w:r>
              <w:rPr>
                <w:sz w:val="19"/>
                <w:szCs w:val="19"/>
                <w:lang w:val="fr"/>
              </w:rPr>
              <w:t xml:space="preserve">Une mise en œuvre parallèle est fort </w:t>
            </w:r>
            <w:r>
              <w:rPr>
                <w:sz w:val="19"/>
                <w:szCs w:val="19"/>
                <w:lang w:val="fr"/>
              </w:rPr>
              <w:lastRenderedPageBreak/>
              <w:t>probable.</w:t>
            </w:r>
          </w:p>
        </w:tc>
        <w:tc>
          <w:tcPr>
            <w:tcW w:w="2646" w:type="dxa"/>
            <w:tcMar>
              <w:left w:w="72" w:type="dxa"/>
              <w:right w:w="43" w:type="dxa"/>
            </w:tcMar>
          </w:tcPr>
          <w:p w14:paraId="1F6EDCEF" w14:textId="77777777" w:rsidR="00502FEE" w:rsidRPr="00FE2D7C" w:rsidRDefault="00502FEE" w:rsidP="000E7A06">
            <w:pPr>
              <w:spacing w:after="60"/>
              <w:jc w:val="left"/>
              <w:rPr>
                <w:sz w:val="19"/>
                <w:szCs w:val="19"/>
              </w:rPr>
            </w:pPr>
            <w:r>
              <w:rPr>
                <w:sz w:val="19"/>
                <w:szCs w:val="19"/>
                <w:lang w:val="fr"/>
              </w:rPr>
              <w:lastRenderedPageBreak/>
              <w:t>Peu d’informations disponibles.</w:t>
            </w:r>
          </w:p>
        </w:tc>
      </w:tr>
      <w:tr w:rsidR="00502FEE" w:rsidRPr="00717343" w14:paraId="0F00A03C" w14:textId="77777777" w:rsidTr="00C87F85">
        <w:tc>
          <w:tcPr>
            <w:tcW w:w="1447" w:type="dxa"/>
            <w:tcMar>
              <w:left w:w="72" w:type="dxa"/>
              <w:right w:w="43" w:type="dxa"/>
            </w:tcMar>
          </w:tcPr>
          <w:p w14:paraId="5AFD7DAD" w14:textId="77777777" w:rsidR="00502FEE" w:rsidRPr="00FE2D7C" w:rsidRDefault="00502FEE" w:rsidP="000E7A06">
            <w:pPr>
              <w:jc w:val="left"/>
              <w:rPr>
                <w:sz w:val="19"/>
                <w:szCs w:val="19"/>
              </w:rPr>
            </w:pPr>
            <w:r>
              <w:rPr>
                <w:sz w:val="19"/>
                <w:szCs w:val="19"/>
                <w:lang w:val="fr"/>
              </w:rPr>
              <w:lastRenderedPageBreak/>
              <w:t>Aérosols</w:t>
            </w:r>
          </w:p>
        </w:tc>
        <w:tc>
          <w:tcPr>
            <w:tcW w:w="1134" w:type="dxa"/>
            <w:tcMar>
              <w:left w:w="72" w:type="dxa"/>
              <w:right w:w="43" w:type="dxa"/>
            </w:tcMar>
          </w:tcPr>
          <w:p w14:paraId="49CB3EAC" w14:textId="77777777" w:rsidR="00502FEE" w:rsidRPr="00FE2D7C" w:rsidRDefault="00502FEE" w:rsidP="000E7A06">
            <w:pPr>
              <w:jc w:val="left"/>
              <w:rPr>
                <w:sz w:val="19"/>
                <w:szCs w:val="19"/>
              </w:rPr>
            </w:pPr>
            <w:r>
              <w:rPr>
                <w:sz w:val="19"/>
                <w:szCs w:val="19"/>
                <w:lang w:val="fr"/>
              </w:rPr>
              <w:t>HCFC-22, HCFC-141b</w:t>
            </w:r>
          </w:p>
        </w:tc>
        <w:tc>
          <w:tcPr>
            <w:tcW w:w="1134" w:type="dxa"/>
            <w:tcMar>
              <w:left w:w="72" w:type="dxa"/>
              <w:right w:w="43" w:type="dxa"/>
            </w:tcMar>
          </w:tcPr>
          <w:p w14:paraId="15302ABF" w14:textId="77777777" w:rsidR="00502FEE" w:rsidRPr="005703FE" w:rsidRDefault="00502FEE" w:rsidP="000E7A06">
            <w:pPr>
              <w:jc w:val="left"/>
              <w:rPr>
                <w:sz w:val="19"/>
                <w:szCs w:val="19"/>
                <w:lang w:val="fr-FR"/>
              </w:rPr>
            </w:pPr>
            <w:r>
              <w:rPr>
                <w:sz w:val="19"/>
                <w:szCs w:val="19"/>
                <w:lang w:val="fr"/>
              </w:rPr>
              <w:t>HFC-134a dans les inhalateurs à doseur</w:t>
            </w:r>
          </w:p>
        </w:tc>
        <w:tc>
          <w:tcPr>
            <w:tcW w:w="2976" w:type="dxa"/>
            <w:tcMar>
              <w:left w:w="72" w:type="dxa"/>
              <w:right w:w="43" w:type="dxa"/>
            </w:tcMar>
          </w:tcPr>
          <w:p w14:paraId="73E4A831" w14:textId="75DAC60B" w:rsidR="00502FEE" w:rsidRPr="00FE2D7C" w:rsidRDefault="00502FEE" w:rsidP="000E7A06">
            <w:pPr>
              <w:spacing w:after="60"/>
              <w:jc w:val="left"/>
              <w:rPr>
                <w:sz w:val="19"/>
                <w:szCs w:val="19"/>
              </w:rPr>
            </w:pPr>
            <w:r>
              <w:rPr>
                <w:sz w:val="19"/>
                <w:szCs w:val="19"/>
                <w:lang w:val="fr"/>
              </w:rPr>
              <w:t xml:space="preserve">Mise en œuvre parallèle. </w:t>
            </w:r>
          </w:p>
        </w:tc>
        <w:tc>
          <w:tcPr>
            <w:tcW w:w="2646" w:type="dxa"/>
            <w:tcMar>
              <w:left w:w="72" w:type="dxa"/>
              <w:right w:w="43" w:type="dxa"/>
            </w:tcMar>
          </w:tcPr>
          <w:p w14:paraId="26155298" w14:textId="77777777" w:rsidR="00502FEE" w:rsidRPr="005703FE" w:rsidRDefault="00502FEE" w:rsidP="000E7A06">
            <w:pPr>
              <w:spacing w:after="60"/>
              <w:jc w:val="left"/>
              <w:rPr>
                <w:sz w:val="19"/>
                <w:szCs w:val="19"/>
                <w:lang w:val="fr-FR"/>
              </w:rPr>
            </w:pPr>
            <w:r>
              <w:rPr>
                <w:sz w:val="19"/>
                <w:szCs w:val="19"/>
                <w:lang w:val="fr"/>
              </w:rPr>
              <w:t xml:space="preserve">Les niveaux de consommation de HFC dans les inhalateurs à doseur et d’autres aérosols semblent faibles. </w:t>
            </w:r>
          </w:p>
          <w:p w14:paraId="1B0E4F30" w14:textId="2FADC56D" w:rsidR="00502FEE" w:rsidRPr="005703FE" w:rsidRDefault="00502FEE" w:rsidP="0079075E">
            <w:pPr>
              <w:spacing w:after="60"/>
              <w:jc w:val="left"/>
              <w:rPr>
                <w:sz w:val="19"/>
                <w:szCs w:val="19"/>
                <w:lang w:val="fr-FR"/>
              </w:rPr>
            </w:pPr>
            <w:r>
              <w:rPr>
                <w:sz w:val="19"/>
                <w:szCs w:val="19"/>
                <w:lang w:val="fr"/>
              </w:rPr>
              <w:t>Temps nécessaire pour développer une technologie sans HFC pour les inhalateurs à doseur.</w:t>
            </w:r>
          </w:p>
        </w:tc>
      </w:tr>
      <w:tr w:rsidR="00502FEE" w:rsidRPr="00717343" w14:paraId="78771AB3" w14:textId="77777777" w:rsidTr="00C87F85">
        <w:tc>
          <w:tcPr>
            <w:tcW w:w="1447" w:type="dxa"/>
            <w:tcMar>
              <w:left w:w="72" w:type="dxa"/>
              <w:right w:w="43" w:type="dxa"/>
            </w:tcMar>
          </w:tcPr>
          <w:p w14:paraId="260FCF54" w14:textId="77777777" w:rsidR="00502FEE" w:rsidRPr="00FE2D7C" w:rsidRDefault="00502FEE" w:rsidP="000E7A06">
            <w:pPr>
              <w:jc w:val="left"/>
              <w:rPr>
                <w:sz w:val="19"/>
                <w:szCs w:val="19"/>
              </w:rPr>
            </w:pPr>
            <w:r>
              <w:rPr>
                <w:sz w:val="19"/>
                <w:szCs w:val="19"/>
                <w:lang w:val="fr"/>
              </w:rPr>
              <w:t>Solvants</w:t>
            </w:r>
          </w:p>
        </w:tc>
        <w:tc>
          <w:tcPr>
            <w:tcW w:w="1134" w:type="dxa"/>
            <w:tcMar>
              <w:left w:w="72" w:type="dxa"/>
              <w:right w:w="43" w:type="dxa"/>
            </w:tcMar>
          </w:tcPr>
          <w:p w14:paraId="47917F77" w14:textId="77777777" w:rsidR="00502FEE" w:rsidRPr="00FE2D7C" w:rsidRDefault="00502FEE" w:rsidP="000E7A06">
            <w:pPr>
              <w:jc w:val="left"/>
              <w:rPr>
                <w:sz w:val="19"/>
                <w:szCs w:val="19"/>
              </w:rPr>
            </w:pPr>
            <w:r w:rsidRPr="005703FE">
              <w:rPr>
                <w:sz w:val="19"/>
                <w:szCs w:val="19"/>
              </w:rPr>
              <w:t>HCFC-141b,</w:t>
            </w:r>
          </w:p>
          <w:p w14:paraId="33D3C9AE" w14:textId="77777777" w:rsidR="00502FEE" w:rsidRPr="00FE2D7C" w:rsidRDefault="00502FEE" w:rsidP="000E7A06">
            <w:pPr>
              <w:jc w:val="left"/>
              <w:rPr>
                <w:sz w:val="19"/>
                <w:szCs w:val="19"/>
              </w:rPr>
            </w:pPr>
            <w:r w:rsidRPr="005703FE">
              <w:rPr>
                <w:sz w:val="19"/>
                <w:szCs w:val="19"/>
              </w:rPr>
              <w:t>HCFC-22,</w:t>
            </w:r>
          </w:p>
          <w:p w14:paraId="5EECDCB2" w14:textId="77777777" w:rsidR="00502FEE" w:rsidRPr="00FE2D7C" w:rsidRDefault="00502FEE" w:rsidP="000E7A06">
            <w:pPr>
              <w:jc w:val="left"/>
              <w:rPr>
                <w:sz w:val="19"/>
                <w:szCs w:val="19"/>
              </w:rPr>
            </w:pPr>
            <w:r w:rsidRPr="005703FE">
              <w:rPr>
                <w:sz w:val="19"/>
                <w:szCs w:val="19"/>
              </w:rPr>
              <w:t>HCFC-225ca</w:t>
            </w:r>
          </w:p>
          <w:p w14:paraId="3FDB7341" w14:textId="77777777" w:rsidR="00502FEE" w:rsidRPr="00FE2D7C" w:rsidRDefault="00502FEE" w:rsidP="000E7A06">
            <w:pPr>
              <w:jc w:val="left"/>
              <w:rPr>
                <w:sz w:val="19"/>
                <w:szCs w:val="19"/>
              </w:rPr>
            </w:pPr>
            <w:r w:rsidRPr="005703FE">
              <w:rPr>
                <w:sz w:val="19"/>
                <w:szCs w:val="19"/>
              </w:rPr>
              <w:t>HCFC-225cb</w:t>
            </w:r>
          </w:p>
        </w:tc>
        <w:tc>
          <w:tcPr>
            <w:tcW w:w="1134" w:type="dxa"/>
            <w:tcMar>
              <w:left w:w="72" w:type="dxa"/>
              <w:right w:w="43" w:type="dxa"/>
            </w:tcMar>
          </w:tcPr>
          <w:p w14:paraId="60E14F3D" w14:textId="77777777" w:rsidR="00502FEE" w:rsidRPr="00FE2D7C" w:rsidRDefault="00502FEE" w:rsidP="000E7A06">
            <w:pPr>
              <w:jc w:val="left"/>
              <w:rPr>
                <w:sz w:val="19"/>
                <w:szCs w:val="19"/>
              </w:rPr>
            </w:pPr>
            <w:r>
              <w:rPr>
                <w:sz w:val="19"/>
                <w:szCs w:val="19"/>
                <w:lang w:val="fr"/>
              </w:rPr>
              <w:t>Plusieurs mélanges de HFC</w:t>
            </w:r>
          </w:p>
        </w:tc>
        <w:tc>
          <w:tcPr>
            <w:tcW w:w="2976" w:type="dxa"/>
            <w:tcMar>
              <w:left w:w="72" w:type="dxa"/>
              <w:right w:w="43" w:type="dxa"/>
            </w:tcMar>
          </w:tcPr>
          <w:p w14:paraId="3EA9D411" w14:textId="77777777" w:rsidR="00502FEE" w:rsidRPr="00FE2D7C" w:rsidRDefault="00502FEE" w:rsidP="000E7A06">
            <w:pPr>
              <w:spacing w:after="60"/>
              <w:jc w:val="left"/>
              <w:rPr>
                <w:sz w:val="19"/>
                <w:szCs w:val="19"/>
              </w:rPr>
            </w:pPr>
            <w:r>
              <w:rPr>
                <w:sz w:val="19"/>
                <w:szCs w:val="19"/>
                <w:lang w:val="fr"/>
              </w:rPr>
              <w:t xml:space="preserve">À déterminer. </w:t>
            </w:r>
          </w:p>
        </w:tc>
        <w:tc>
          <w:tcPr>
            <w:tcW w:w="2646" w:type="dxa"/>
            <w:tcMar>
              <w:left w:w="72" w:type="dxa"/>
              <w:right w:w="43" w:type="dxa"/>
            </w:tcMar>
          </w:tcPr>
          <w:p w14:paraId="14396226" w14:textId="77777777" w:rsidR="00502FEE" w:rsidRPr="005703FE" w:rsidRDefault="00502FEE" w:rsidP="000E7A06">
            <w:pPr>
              <w:spacing w:after="60"/>
              <w:jc w:val="left"/>
              <w:rPr>
                <w:sz w:val="19"/>
                <w:szCs w:val="19"/>
                <w:lang w:val="fr-FR"/>
              </w:rPr>
            </w:pPr>
            <w:r>
              <w:rPr>
                <w:sz w:val="19"/>
                <w:szCs w:val="19"/>
                <w:lang w:val="fr"/>
              </w:rPr>
              <w:t>Les niveaux de consommation de HFC semblent faibles.</w:t>
            </w:r>
          </w:p>
        </w:tc>
      </w:tr>
      <w:tr w:rsidR="00502FEE" w:rsidRPr="00717343" w14:paraId="16EF2ED0" w14:textId="77777777" w:rsidTr="00C87F85">
        <w:tc>
          <w:tcPr>
            <w:tcW w:w="1447" w:type="dxa"/>
            <w:tcMar>
              <w:left w:w="72" w:type="dxa"/>
              <w:right w:w="43" w:type="dxa"/>
            </w:tcMar>
          </w:tcPr>
          <w:p w14:paraId="0C484F80" w14:textId="77777777" w:rsidR="00502FEE" w:rsidRPr="00FE2D7C" w:rsidRDefault="00502FEE" w:rsidP="000E7A06">
            <w:pPr>
              <w:jc w:val="left"/>
              <w:rPr>
                <w:sz w:val="19"/>
                <w:szCs w:val="19"/>
              </w:rPr>
            </w:pPr>
            <w:r>
              <w:rPr>
                <w:sz w:val="19"/>
                <w:szCs w:val="19"/>
                <w:lang w:val="fr"/>
              </w:rPr>
              <w:t>Lutte contre l’incendie</w:t>
            </w:r>
          </w:p>
        </w:tc>
        <w:tc>
          <w:tcPr>
            <w:tcW w:w="1134" w:type="dxa"/>
            <w:tcMar>
              <w:left w:w="72" w:type="dxa"/>
              <w:right w:w="43" w:type="dxa"/>
            </w:tcMar>
          </w:tcPr>
          <w:p w14:paraId="4D1E8863" w14:textId="77777777" w:rsidR="00502FEE" w:rsidRPr="00FE2D7C" w:rsidRDefault="00502FEE" w:rsidP="000E7A06">
            <w:pPr>
              <w:jc w:val="left"/>
              <w:rPr>
                <w:sz w:val="19"/>
                <w:szCs w:val="19"/>
              </w:rPr>
            </w:pPr>
            <w:r>
              <w:rPr>
                <w:sz w:val="19"/>
                <w:szCs w:val="19"/>
                <w:lang w:val="fr"/>
              </w:rPr>
              <w:t>HCFC-123</w:t>
            </w:r>
          </w:p>
        </w:tc>
        <w:tc>
          <w:tcPr>
            <w:tcW w:w="1134" w:type="dxa"/>
            <w:tcMar>
              <w:left w:w="72" w:type="dxa"/>
              <w:right w:w="43" w:type="dxa"/>
            </w:tcMar>
          </w:tcPr>
          <w:p w14:paraId="27632239" w14:textId="77777777" w:rsidR="00502FEE" w:rsidRPr="005703FE" w:rsidRDefault="00502FEE" w:rsidP="000E7A06">
            <w:pPr>
              <w:jc w:val="left"/>
              <w:rPr>
                <w:sz w:val="19"/>
                <w:szCs w:val="19"/>
                <w:lang w:val="fr-FR"/>
              </w:rPr>
            </w:pPr>
            <w:r>
              <w:rPr>
                <w:sz w:val="19"/>
                <w:szCs w:val="19"/>
                <w:lang w:val="fr"/>
              </w:rPr>
              <w:t>HFC-227ea, HFC-236fa, HFC-23, HFC-125 et autres HFC et mélanges</w:t>
            </w:r>
          </w:p>
        </w:tc>
        <w:tc>
          <w:tcPr>
            <w:tcW w:w="2976" w:type="dxa"/>
            <w:tcMar>
              <w:left w:w="72" w:type="dxa"/>
              <w:right w:w="43" w:type="dxa"/>
            </w:tcMar>
          </w:tcPr>
          <w:p w14:paraId="21249989" w14:textId="5CFBD673" w:rsidR="00502FEE" w:rsidRPr="005703FE" w:rsidRDefault="00502FEE" w:rsidP="0079075E">
            <w:pPr>
              <w:spacing w:after="60"/>
              <w:jc w:val="left"/>
              <w:rPr>
                <w:sz w:val="19"/>
                <w:szCs w:val="19"/>
                <w:lang w:val="fr-FR"/>
              </w:rPr>
            </w:pPr>
            <w:r>
              <w:rPr>
                <w:sz w:val="19"/>
                <w:szCs w:val="19"/>
                <w:lang w:val="fr"/>
              </w:rPr>
              <w:t>La mise en œuvre intégrée pourrait être envisagée dans environ 10 pays qui ne ciblent pas le HCFC-123 dans leur PGEH.</w:t>
            </w:r>
          </w:p>
        </w:tc>
        <w:tc>
          <w:tcPr>
            <w:tcW w:w="2646" w:type="dxa"/>
            <w:tcMar>
              <w:left w:w="72" w:type="dxa"/>
              <w:right w:w="43" w:type="dxa"/>
            </w:tcMar>
          </w:tcPr>
          <w:p w14:paraId="1422D26C" w14:textId="77777777" w:rsidR="00502FEE" w:rsidRPr="005703FE" w:rsidRDefault="00502FEE" w:rsidP="000E7A06">
            <w:pPr>
              <w:spacing w:after="60"/>
              <w:jc w:val="left"/>
              <w:rPr>
                <w:sz w:val="19"/>
                <w:szCs w:val="19"/>
                <w:lang w:val="fr-FR"/>
              </w:rPr>
            </w:pPr>
            <w:r>
              <w:rPr>
                <w:sz w:val="19"/>
                <w:szCs w:val="19"/>
                <w:lang w:val="fr"/>
              </w:rPr>
              <w:t>Les niveaux de consommation de HCFC-123 et de HFC semblent faibles dans ce secteur.</w:t>
            </w:r>
          </w:p>
        </w:tc>
      </w:tr>
    </w:tbl>
    <w:p w14:paraId="70E3902A" w14:textId="77777777" w:rsidR="00502FEE" w:rsidRPr="005703FE" w:rsidRDefault="00502FEE" w:rsidP="00502FEE">
      <w:pPr>
        <w:rPr>
          <w:lang w:val="fr-FR"/>
        </w:rPr>
      </w:pPr>
    </w:p>
    <w:p w14:paraId="162072C0" w14:textId="77777777" w:rsidR="00502FEE" w:rsidRPr="005703FE" w:rsidRDefault="00502FEE" w:rsidP="00502FEE">
      <w:pPr>
        <w:rPr>
          <w:b/>
          <w:lang w:val="fr-FR"/>
        </w:rPr>
      </w:pPr>
      <w:r>
        <w:rPr>
          <w:b/>
          <w:bCs/>
          <w:lang w:val="fr"/>
        </w:rPr>
        <w:t>Considérations pour le secteur de la production</w:t>
      </w:r>
    </w:p>
    <w:p w14:paraId="75DEE6AB" w14:textId="77777777" w:rsidR="00502FEE" w:rsidRPr="005703FE" w:rsidRDefault="00502FEE" w:rsidP="00502FEE">
      <w:pPr>
        <w:rPr>
          <w:lang w:val="fr-FR"/>
        </w:rPr>
      </w:pPr>
    </w:p>
    <w:p w14:paraId="034433CC" w14:textId="77777777" w:rsidR="00502FEE" w:rsidRPr="005703FE" w:rsidRDefault="00502FEE" w:rsidP="00502FEE">
      <w:pPr>
        <w:pStyle w:val="Heading1"/>
        <w:rPr>
          <w:lang w:val="fr-FR"/>
        </w:rPr>
      </w:pPr>
      <w:r>
        <w:rPr>
          <w:lang w:val="fr"/>
        </w:rPr>
        <w:t xml:space="preserve">Les HFC étant produits dans des chaînes différentes de celles des HCFC, la réduction progressive des HFC pourrait être mise en œuvre en parallèle avec les activités d’élimination des HCFC. Les HCFC et les HFC n’étant produits que dans deux pays visés à l’article 5, l’impact sur les institutions sera limité au niveau de travail requis dans ces pays. </w:t>
      </w:r>
    </w:p>
    <w:p w14:paraId="6A83CE62" w14:textId="77777777" w:rsidR="00502FEE" w:rsidRPr="005703FE" w:rsidRDefault="00502FEE" w:rsidP="00502FEE">
      <w:pPr>
        <w:pStyle w:val="Heading1"/>
        <w:rPr>
          <w:lang w:val="fr-FR"/>
        </w:rPr>
      </w:pPr>
      <w:r>
        <w:rPr>
          <w:lang w:val="fr"/>
        </w:rPr>
        <w:t>En outre, un nombre limité de pays produisant du HCFC-22 devraient mettre en œuvre en parallèle le contrôle des émissions de HFC-23 en tant que sous-produit de la production de HCFC-22.</w:t>
      </w:r>
    </w:p>
    <w:p w14:paraId="5D916510" w14:textId="77777777" w:rsidR="00502FEE" w:rsidRPr="005703FE" w:rsidRDefault="00502FEE" w:rsidP="00502FEE">
      <w:pPr>
        <w:pStyle w:val="Heading1"/>
        <w:numPr>
          <w:ilvl w:val="0"/>
          <w:numId w:val="0"/>
        </w:numPr>
        <w:rPr>
          <w:b/>
          <w:lang w:val="fr-FR"/>
        </w:rPr>
      </w:pPr>
      <w:r>
        <w:rPr>
          <w:b/>
          <w:bCs/>
          <w:lang w:val="fr"/>
        </w:rPr>
        <w:t>Disponibilité des ressources et rapport coût-efficacité</w:t>
      </w:r>
    </w:p>
    <w:p w14:paraId="2DDEF107" w14:textId="37F5E2D2" w:rsidR="00502FEE" w:rsidRPr="005703FE" w:rsidRDefault="00502FEE" w:rsidP="00502FEE">
      <w:pPr>
        <w:pStyle w:val="Heading1"/>
        <w:rPr>
          <w:lang w:val="fr-FR"/>
        </w:rPr>
      </w:pPr>
      <w:r>
        <w:rPr>
          <w:lang w:val="fr"/>
        </w:rPr>
        <w:t>Les ressources financières nécessaires à l’élimination complète des HCFC peuvent être estimées à partir des informations contenues dans les PGEH approuvés et des seuils de coût-efficacité établis pour les projets de réduction progressive des HCFC. Toutefois, les ressources financières nécessaires à l’élimination des HFC ne peuvent pas encore être évaluées, car elles dépendront du niveau de consommation de HFC au niveau des pays (encore inconnu) et d’un certain nombre de décisions de principe prises par les Parties au Protocole de Montréal et le Comité exécutif.</w:t>
      </w:r>
    </w:p>
    <w:p w14:paraId="5CD167B1" w14:textId="77777777" w:rsidR="00502FEE" w:rsidRPr="007D41CC" w:rsidRDefault="00502FEE" w:rsidP="00502FEE">
      <w:pPr>
        <w:pStyle w:val="Heading1"/>
        <w:numPr>
          <w:ilvl w:val="0"/>
          <w:numId w:val="0"/>
        </w:numPr>
        <w:rPr>
          <w:u w:val="single"/>
        </w:rPr>
      </w:pPr>
      <w:r>
        <w:rPr>
          <w:u w:val="single"/>
          <w:lang w:val="fr"/>
        </w:rPr>
        <w:t>Financement de l’élimination des HCFC</w:t>
      </w:r>
    </w:p>
    <w:p w14:paraId="6883DC72" w14:textId="68AFB051" w:rsidR="00502FEE" w:rsidRPr="005703FE" w:rsidRDefault="00502FEE" w:rsidP="00502FEE">
      <w:pPr>
        <w:pStyle w:val="Heading1"/>
        <w:rPr>
          <w:lang w:val="fr-FR"/>
        </w:rPr>
      </w:pPr>
      <w:r>
        <w:rPr>
          <w:lang w:val="fr"/>
        </w:rPr>
        <w:t>Depuis sa 60</w:t>
      </w:r>
      <w:r>
        <w:rPr>
          <w:vertAlign w:val="superscript"/>
          <w:lang w:val="fr"/>
        </w:rPr>
        <w:t>e</w:t>
      </w:r>
      <w:r>
        <w:rPr>
          <w:lang w:val="fr"/>
        </w:rPr>
        <w:t xml:space="preserve"> réunion, le Comité exécutif a approuvé le financement en principe de la mise en œuvre des PGEH. Conformément à la décision XIX/6, le Comité a, dans la mesure du possible, accordé la priorité aux projets et programmes efficaces sur le plan des coûts qui portent notamment sur des solutions de remplacement qui réduisent les autres impacts sur l’environnement, notamment sur le climat. Afin de faciliter l’adoption de technologies à faible PRG, les lignes directrices relatives aux coûts pour les phases I et II des PGEH</w:t>
      </w:r>
      <w:r>
        <w:rPr>
          <w:rStyle w:val="FootnoteReference"/>
          <w:lang w:val="fr"/>
        </w:rPr>
        <w:footnoteReference w:id="21"/>
      </w:r>
      <w:r>
        <w:rPr>
          <w:lang w:val="fr"/>
        </w:rPr>
        <w:t xml:space="preserve"> ont fourni des incitations lorsque des technologies à faible PRG ont été adoptées</w:t>
      </w:r>
      <w:r>
        <w:rPr>
          <w:rStyle w:val="FootnoteReference"/>
          <w:lang w:val="fr"/>
        </w:rPr>
        <w:footnoteReference w:id="22"/>
      </w:r>
      <w:r>
        <w:rPr>
          <w:lang w:val="fr"/>
        </w:rPr>
        <w:t xml:space="preserve">. </w:t>
      </w:r>
    </w:p>
    <w:p w14:paraId="25ACF7E1" w14:textId="13D3FEF2" w:rsidR="00502FEE" w:rsidRPr="005703FE" w:rsidRDefault="00502FEE" w:rsidP="00502FEE">
      <w:pPr>
        <w:pStyle w:val="Heading1"/>
        <w:widowControl w:val="0"/>
        <w:rPr>
          <w:lang w:val="fr-FR"/>
        </w:rPr>
      </w:pPr>
      <w:r>
        <w:rPr>
          <w:lang w:val="fr"/>
        </w:rPr>
        <w:lastRenderedPageBreak/>
        <w:t>Le Comité exécutif a approuvé la phase I de PGEH pour 144 pays et la phase II</w:t>
      </w:r>
      <w:r>
        <w:rPr>
          <w:szCs w:val="28"/>
          <w:lang w:val="fr"/>
        </w:rPr>
        <w:t xml:space="preserve"> </w:t>
      </w:r>
      <w:r>
        <w:rPr>
          <w:lang w:val="fr"/>
        </w:rPr>
        <w:t>pour 34 pays, pour une valeur totale de 1,36 milliard $US (approuvée en principe), dont 805,33 millions $US ont été déboursés pour assurer la conformité avec les niveaux de contrôle du Protocole de Montréal comme suit :</w:t>
      </w:r>
    </w:p>
    <w:p w14:paraId="77AE2CE1" w14:textId="77777777" w:rsidR="00502FEE" w:rsidRPr="005703FE" w:rsidRDefault="00502FEE" w:rsidP="00502FEE">
      <w:pPr>
        <w:pStyle w:val="Heading2"/>
        <w:rPr>
          <w:lang w:val="fr-FR"/>
        </w:rPr>
      </w:pPr>
      <w:r>
        <w:rPr>
          <w:lang w:val="fr"/>
        </w:rPr>
        <w:t>Trois pays (Antigua-et-Barbuda [PFV] ainsi que le Qatar et le Yémen) pour assurer la conformité jusqu’en 2015. Bien que ces pays n’aient pas présenté de demandes pour la phase II, ils sont en conformité avec le Protocole de Montréal ;</w:t>
      </w:r>
    </w:p>
    <w:p w14:paraId="6FFCB224" w14:textId="77777777" w:rsidR="00502FEE" w:rsidRPr="005703FE" w:rsidRDefault="00502FEE" w:rsidP="00502FEE">
      <w:pPr>
        <w:pStyle w:val="Heading2"/>
        <w:rPr>
          <w:lang w:val="fr-FR"/>
        </w:rPr>
      </w:pPr>
      <w:r>
        <w:rPr>
          <w:lang w:val="fr"/>
        </w:rPr>
        <w:t>Cent neuf pays (62 PFV et 35 pays hors PFV, plus 12 pays insulaires du Pacifique) pour assurer la conformité jusqu’en 2020 ;</w:t>
      </w:r>
    </w:p>
    <w:p w14:paraId="4C4AF967" w14:textId="77777777" w:rsidR="00502FEE" w:rsidRPr="005703FE" w:rsidRDefault="00502FEE" w:rsidP="00502FEE">
      <w:pPr>
        <w:pStyle w:val="Heading2"/>
        <w:rPr>
          <w:lang w:val="fr-FR"/>
        </w:rPr>
      </w:pPr>
      <w:r>
        <w:rPr>
          <w:lang w:val="fr"/>
        </w:rPr>
        <w:t>Vingt pays pour assurer la conformité jusqu’en 2025 ; et</w:t>
      </w:r>
    </w:p>
    <w:p w14:paraId="734EB4AA" w14:textId="77777777" w:rsidR="00502FEE" w:rsidRPr="005703FE" w:rsidRDefault="00502FEE" w:rsidP="00502FEE">
      <w:pPr>
        <w:pStyle w:val="Heading2"/>
        <w:rPr>
          <w:lang w:val="fr-FR"/>
        </w:rPr>
      </w:pPr>
      <w:r>
        <w:rPr>
          <w:lang w:val="fr"/>
        </w:rPr>
        <w:t>Douze PFV pour éliminer complètement les HCFC entre 2020 et 2025 (Bhoutan, Cambodge, Croatie</w:t>
      </w:r>
      <w:r>
        <w:rPr>
          <w:rStyle w:val="FootnoteReference"/>
          <w:lang w:val="fr"/>
        </w:rPr>
        <w:footnoteReference w:id="23"/>
      </w:r>
      <w:r>
        <w:rPr>
          <w:lang w:val="fr"/>
        </w:rPr>
        <w:t>, Guyana, Kenya, Kirghizistan, Maldives, Maurice, Namibie, Papouasie-Nouvelle-Guinée, Saint-Vincent-et-les Grenadines et Seychelles).</w:t>
      </w:r>
    </w:p>
    <w:p w14:paraId="2D75CC34" w14:textId="1370BCFF" w:rsidR="00502FEE" w:rsidRPr="005703FE" w:rsidRDefault="00502FEE" w:rsidP="00502FEE">
      <w:pPr>
        <w:pStyle w:val="Heading1"/>
        <w:rPr>
          <w:lang w:val="fr-FR"/>
        </w:rPr>
      </w:pPr>
      <w:r>
        <w:rPr>
          <w:lang w:val="fr"/>
        </w:rPr>
        <w:t>La mise en œuvre des PGEH approuvés entraînera l’élimination de plus de 61 % du point de départ de la réduction globale de la consommation de HCFC et de 85 % de la consommation de HCFC-141b contenu dans les polyols prémélangés importés, comme indiqué au tableau 8.</w:t>
      </w:r>
    </w:p>
    <w:p w14:paraId="1B27B6D7" w14:textId="5544BBE5" w:rsidR="00502FEE" w:rsidRPr="005703FE" w:rsidRDefault="00502FEE" w:rsidP="00502FEE">
      <w:pPr>
        <w:keepNext/>
        <w:rPr>
          <w:b/>
          <w:lang w:val="fr-FR"/>
        </w:rPr>
      </w:pPr>
      <w:r>
        <w:rPr>
          <w:b/>
          <w:bCs/>
          <w:lang w:val="fr"/>
        </w:rPr>
        <w:t>Tableau 8. Consommation totale restante de HCFC par substance (tonnes PAO)*</w:t>
      </w:r>
    </w:p>
    <w:tbl>
      <w:tblPr>
        <w:tblW w:w="9243" w:type="dxa"/>
        <w:tblInd w:w="108" w:type="dxa"/>
        <w:tblLayout w:type="fixed"/>
        <w:tblLook w:val="04A0" w:firstRow="1" w:lastRow="0" w:firstColumn="1" w:lastColumn="0" w:noHBand="0" w:noVBand="1"/>
      </w:tblPr>
      <w:tblGrid>
        <w:gridCol w:w="1872"/>
        <w:gridCol w:w="1474"/>
        <w:gridCol w:w="1474"/>
        <w:gridCol w:w="1474"/>
        <w:gridCol w:w="1474"/>
        <w:gridCol w:w="1475"/>
      </w:tblGrid>
      <w:tr w:rsidR="00502FEE" w:rsidRPr="00AD032C" w14:paraId="751787E5" w14:textId="77777777" w:rsidTr="00FD7E3B">
        <w:trPr>
          <w:tblHeader/>
        </w:trPr>
        <w:tc>
          <w:tcPr>
            <w:tcW w:w="1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E28AD" w14:textId="77777777" w:rsidR="00502FEE" w:rsidRPr="00F026F6" w:rsidRDefault="00502FEE" w:rsidP="000E7A06">
            <w:pPr>
              <w:jc w:val="left"/>
              <w:rPr>
                <w:b/>
                <w:bCs/>
                <w:sz w:val="20"/>
                <w:szCs w:val="20"/>
              </w:rPr>
            </w:pPr>
            <w:r>
              <w:rPr>
                <w:b/>
                <w:bCs/>
                <w:sz w:val="20"/>
                <w:szCs w:val="20"/>
                <w:lang w:val="fr"/>
              </w:rPr>
              <w:t>HCFC</w:t>
            </w:r>
          </w:p>
        </w:tc>
        <w:tc>
          <w:tcPr>
            <w:tcW w:w="14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78B5522" w14:textId="77777777" w:rsidR="00502FEE" w:rsidRPr="00F026F6" w:rsidRDefault="00502FEE" w:rsidP="000E7A06">
            <w:pPr>
              <w:jc w:val="center"/>
              <w:rPr>
                <w:b/>
                <w:bCs/>
                <w:sz w:val="20"/>
                <w:szCs w:val="20"/>
              </w:rPr>
            </w:pPr>
            <w:r>
              <w:rPr>
                <w:b/>
                <w:bCs/>
                <w:sz w:val="20"/>
                <w:szCs w:val="20"/>
                <w:lang w:val="fr"/>
              </w:rPr>
              <w:t>Référence</w:t>
            </w:r>
          </w:p>
        </w:tc>
        <w:tc>
          <w:tcPr>
            <w:tcW w:w="14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74DBC7C" w14:textId="77777777" w:rsidR="00502FEE" w:rsidRPr="00F026F6" w:rsidRDefault="00502FEE" w:rsidP="000E7A06">
            <w:pPr>
              <w:jc w:val="center"/>
              <w:rPr>
                <w:b/>
                <w:bCs/>
                <w:sz w:val="20"/>
                <w:szCs w:val="20"/>
              </w:rPr>
            </w:pPr>
            <w:r>
              <w:rPr>
                <w:b/>
                <w:bCs/>
                <w:sz w:val="20"/>
                <w:szCs w:val="20"/>
                <w:lang w:val="fr"/>
              </w:rPr>
              <w:t>Point de départ</w:t>
            </w:r>
          </w:p>
        </w:tc>
        <w:tc>
          <w:tcPr>
            <w:tcW w:w="14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C44D7A8" w14:textId="77777777" w:rsidR="00502FEE" w:rsidRPr="00F026F6" w:rsidRDefault="00502FEE" w:rsidP="000E7A06">
            <w:pPr>
              <w:jc w:val="center"/>
              <w:rPr>
                <w:b/>
                <w:bCs/>
                <w:sz w:val="20"/>
                <w:szCs w:val="20"/>
              </w:rPr>
            </w:pPr>
            <w:r>
              <w:rPr>
                <w:b/>
                <w:bCs/>
                <w:sz w:val="20"/>
                <w:szCs w:val="20"/>
                <w:lang w:val="fr"/>
              </w:rPr>
              <w:t xml:space="preserve">Approuvée </w:t>
            </w:r>
          </w:p>
        </w:tc>
        <w:tc>
          <w:tcPr>
            <w:tcW w:w="14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8123679" w14:textId="77777777" w:rsidR="00502FEE" w:rsidRPr="00F026F6" w:rsidRDefault="00502FEE" w:rsidP="000E7A06">
            <w:pPr>
              <w:jc w:val="center"/>
              <w:rPr>
                <w:b/>
                <w:bCs/>
                <w:sz w:val="20"/>
                <w:szCs w:val="20"/>
              </w:rPr>
            </w:pPr>
            <w:r>
              <w:rPr>
                <w:b/>
                <w:bCs/>
                <w:sz w:val="20"/>
                <w:szCs w:val="20"/>
                <w:lang w:val="fr"/>
              </w:rPr>
              <w:t>Restante</w:t>
            </w:r>
          </w:p>
        </w:tc>
        <w:tc>
          <w:tcPr>
            <w:tcW w:w="147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DC0B61E" w14:textId="77777777" w:rsidR="00502FEE" w:rsidRPr="00F026F6" w:rsidRDefault="00502FEE" w:rsidP="000E7A06">
            <w:pPr>
              <w:jc w:val="center"/>
              <w:rPr>
                <w:b/>
                <w:bCs/>
                <w:sz w:val="20"/>
                <w:szCs w:val="20"/>
              </w:rPr>
            </w:pPr>
            <w:r>
              <w:rPr>
                <w:b/>
                <w:bCs/>
                <w:sz w:val="20"/>
                <w:szCs w:val="20"/>
                <w:lang w:val="fr"/>
              </w:rPr>
              <w:t>% de la cons. approuvée</w:t>
            </w:r>
          </w:p>
        </w:tc>
      </w:tr>
      <w:tr w:rsidR="00502FEE" w:rsidRPr="00AD032C" w14:paraId="436D3048" w14:textId="77777777" w:rsidTr="00FD7E3B">
        <w:tc>
          <w:tcPr>
            <w:tcW w:w="1872" w:type="dxa"/>
            <w:tcBorders>
              <w:top w:val="nil"/>
              <w:left w:val="single" w:sz="4" w:space="0" w:color="auto"/>
              <w:bottom w:val="single" w:sz="4" w:space="0" w:color="auto"/>
              <w:right w:val="single" w:sz="4" w:space="0" w:color="auto"/>
            </w:tcBorders>
            <w:shd w:val="clear" w:color="auto" w:fill="auto"/>
            <w:noWrap/>
            <w:hideMark/>
          </w:tcPr>
          <w:p w14:paraId="22C544B8" w14:textId="77777777" w:rsidR="00502FEE" w:rsidRPr="00F026F6" w:rsidRDefault="00502FEE" w:rsidP="000E7A06">
            <w:pPr>
              <w:rPr>
                <w:sz w:val="20"/>
                <w:szCs w:val="20"/>
              </w:rPr>
            </w:pPr>
            <w:r>
              <w:rPr>
                <w:sz w:val="20"/>
                <w:szCs w:val="20"/>
                <w:lang w:val="fr"/>
              </w:rPr>
              <w:t>HCFC-123</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04EA094F" w14:textId="77777777" w:rsidR="00502FEE" w:rsidRPr="00F026F6" w:rsidRDefault="00502FEE" w:rsidP="000E7A06">
            <w:pPr>
              <w:jc w:val="right"/>
              <w:rPr>
                <w:sz w:val="20"/>
                <w:szCs w:val="20"/>
              </w:rPr>
            </w:pPr>
            <w:r>
              <w:rPr>
                <w:sz w:val="20"/>
                <w:szCs w:val="20"/>
                <w:lang w:val="fr"/>
              </w:rPr>
              <w:t>32,22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173D399" w14:textId="77777777" w:rsidR="00502FEE" w:rsidRPr="00F026F6" w:rsidRDefault="00502FEE" w:rsidP="000E7A06">
            <w:pPr>
              <w:jc w:val="right"/>
              <w:rPr>
                <w:sz w:val="20"/>
                <w:szCs w:val="20"/>
              </w:rPr>
            </w:pPr>
            <w:r>
              <w:rPr>
                <w:sz w:val="20"/>
                <w:szCs w:val="20"/>
                <w:lang w:val="fr"/>
              </w:rPr>
              <w:t>30,25</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3895B63" w14:textId="77777777" w:rsidR="00502FEE" w:rsidRPr="00F026F6" w:rsidRDefault="00502FEE" w:rsidP="000E7A06">
            <w:pPr>
              <w:jc w:val="right"/>
              <w:rPr>
                <w:sz w:val="20"/>
                <w:szCs w:val="20"/>
              </w:rPr>
            </w:pPr>
            <w:r>
              <w:rPr>
                <w:sz w:val="20"/>
                <w:szCs w:val="20"/>
                <w:lang w:val="fr"/>
              </w:rPr>
              <w:t>3,12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783D7C0" w14:textId="77777777" w:rsidR="00502FEE" w:rsidRPr="00F026F6" w:rsidRDefault="00502FEE" w:rsidP="000E7A06">
            <w:pPr>
              <w:jc w:val="right"/>
              <w:rPr>
                <w:sz w:val="20"/>
                <w:szCs w:val="20"/>
              </w:rPr>
            </w:pPr>
            <w:r>
              <w:rPr>
                <w:sz w:val="20"/>
                <w:szCs w:val="20"/>
                <w:lang w:val="fr"/>
              </w:rPr>
              <w:t>27,13</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17F8EB72" w14:textId="77777777" w:rsidR="00502FEE" w:rsidRPr="00F026F6" w:rsidRDefault="00502FEE" w:rsidP="000E7A06">
            <w:pPr>
              <w:jc w:val="right"/>
              <w:rPr>
                <w:sz w:val="20"/>
                <w:szCs w:val="20"/>
              </w:rPr>
            </w:pPr>
            <w:r>
              <w:rPr>
                <w:sz w:val="20"/>
                <w:szCs w:val="20"/>
                <w:lang w:val="fr"/>
              </w:rPr>
              <w:t>10,31</w:t>
            </w:r>
          </w:p>
        </w:tc>
      </w:tr>
      <w:tr w:rsidR="00502FEE" w:rsidRPr="00AD032C" w14:paraId="4C55E063" w14:textId="77777777" w:rsidTr="00FD7E3B">
        <w:tc>
          <w:tcPr>
            <w:tcW w:w="1872" w:type="dxa"/>
            <w:tcBorders>
              <w:top w:val="nil"/>
              <w:left w:val="single" w:sz="4" w:space="0" w:color="auto"/>
              <w:bottom w:val="single" w:sz="4" w:space="0" w:color="auto"/>
              <w:right w:val="single" w:sz="4" w:space="0" w:color="auto"/>
            </w:tcBorders>
            <w:shd w:val="clear" w:color="auto" w:fill="auto"/>
            <w:noWrap/>
            <w:hideMark/>
          </w:tcPr>
          <w:p w14:paraId="4EE21904" w14:textId="77777777" w:rsidR="00502FEE" w:rsidRPr="00F026F6" w:rsidRDefault="00502FEE" w:rsidP="000E7A06">
            <w:pPr>
              <w:rPr>
                <w:sz w:val="20"/>
                <w:szCs w:val="20"/>
              </w:rPr>
            </w:pPr>
            <w:r>
              <w:rPr>
                <w:sz w:val="20"/>
                <w:szCs w:val="20"/>
                <w:lang w:val="fr"/>
              </w:rPr>
              <w:t>HCFC-124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52E686A5" w14:textId="77777777" w:rsidR="00502FEE" w:rsidRPr="00F026F6" w:rsidRDefault="00502FEE" w:rsidP="000E7A06">
            <w:pPr>
              <w:jc w:val="right"/>
              <w:rPr>
                <w:sz w:val="20"/>
                <w:szCs w:val="20"/>
              </w:rPr>
            </w:pPr>
            <w:r>
              <w:rPr>
                <w:sz w:val="20"/>
                <w:szCs w:val="20"/>
                <w:lang w:val="fr"/>
              </w:rPr>
              <w:t>26,57</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0C839C3" w14:textId="77777777" w:rsidR="00502FEE" w:rsidRPr="00F026F6" w:rsidRDefault="00502FEE" w:rsidP="000E7A06">
            <w:pPr>
              <w:jc w:val="right"/>
              <w:rPr>
                <w:sz w:val="20"/>
                <w:szCs w:val="20"/>
              </w:rPr>
            </w:pPr>
            <w:r>
              <w:rPr>
                <w:sz w:val="20"/>
                <w:szCs w:val="20"/>
                <w:lang w:val="fr"/>
              </w:rPr>
              <w:t>26,20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4C5CD52A" w14:textId="77777777" w:rsidR="00502FEE" w:rsidRPr="00F026F6" w:rsidRDefault="00502FEE" w:rsidP="000E7A06">
            <w:pPr>
              <w:jc w:val="right"/>
              <w:rPr>
                <w:sz w:val="20"/>
                <w:szCs w:val="20"/>
              </w:rPr>
            </w:pPr>
            <w:r>
              <w:rPr>
                <w:sz w:val="20"/>
                <w:szCs w:val="20"/>
                <w:lang w:val="fr"/>
              </w:rPr>
              <w:t>0,49</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06A98AE" w14:textId="77777777" w:rsidR="00502FEE" w:rsidRPr="00F026F6" w:rsidRDefault="00502FEE" w:rsidP="000E7A06">
            <w:pPr>
              <w:jc w:val="right"/>
              <w:rPr>
                <w:sz w:val="20"/>
                <w:szCs w:val="20"/>
              </w:rPr>
            </w:pPr>
            <w:r>
              <w:rPr>
                <w:sz w:val="20"/>
                <w:szCs w:val="20"/>
                <w:lang w:val="fr"/>
              </w:rPr>
              <w:t>25,71</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34701EAF" w14:textId="77777777" w:rsidR="00502FEE" w:rsidRPr="00F026F6" w:rsidRDefault="00502FEE" w:rsidP="000E7A06">
            <w:pPr>
              <w:jc w:val="right"/>
              <w:rPr>
                <w:sz w:val="20"/>
                <w:szCs w:val="20"/>
              </w:rPr>
            </w:pPr>
            <w:r>
              <w:rPr>
                <w:sz w:val="20"/>
                <w:szCs w:val="20"/>
                <w:lang w:val="fr"/>
              </w:rPr>
              <w:t>1,87</w:t>
            </w:r>
          </w:p>
        </w:tc>
      </w:tr>
      <w:tr w:rsidR="00502FEE" w:rsidRPr="00AD032C" w14:paraId="6581BCC8" w14:textId="77777777" w:rsidTr="00FD7E3B">
        <w:tc>
          <w:tcPr>
            <w:tcW w:w="1872" w:type="dxa"/>
            <w:tcBorders>
              <w:top w:val="nil"/>
              <w:left w:val="single" w:sz="4" w:space="0" w:color="auto"/>
              <w:bottom w:val="single" w:sz="4" w:space="0" w:color="auto"/>
              <w:right w:val="single" w:sz="4" w:space="0" w:color="auto"/>
            </w:tcBorders>
            <w:shd w:val="clear" w:color="auto" w:fill="auto"/>
            <w:noWrap/>
            <w:hideMark/>
          </w:tcPr>
          <w:p w14:paraId="158E1461" w14:textId="77777777" w:rsidR="00502FEE" w:rsidRPr="00F026F6" w:rsidRDefault="00502FEE" w:rsidP="000E7A06">
            <w:pPr>
              <w:rPr>
                <w:sz w:val="20"/>
                <w:szCs w:val="20"/>
              </w:rPr>
            </w:pPr>
            <w:r>
              <w:rPr>
                <w:sz w:val="20"/>
                <w:szCs w:val="20"/>
                <w:lang w:val="fr"/>
              </w:rPr>
              <w:t>HCFC-141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06B07B9F" w14:textId="77777777" w:rsidR="00502FEE" w:rsidRPr="00F026F6" w:rsidRDefault="00502FEE" w:rsidP="000E7A06">
            <w:pPr>
              <w:jc w:val="right"/>
              <w:rPr>
                <w:sz w:val="20"/>
                <w:szCs w:val="20"/>
              </w:rPr>
            </w:pPr>
            <w:r>
              <w:rPr>
                <w:sz w:val="20"/>
                <w:szCs w:val="20"/>
                <w:lang w:val="fr"/>
              </w:rPr>
              <w:t>1,90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B8346F2" w14:textId="77777777" w:rsidR="00502FEE" w:rsidRPr="00F026F6" w:rsidRDefault="00502FEE" w:rsidP="000E7A06">
            <w:pPr>
              <w:jc w:val="right"/>
              <w:rPr>
                <w:sz w:val="20"/>
                <w:szCs w:val="20"/>
              </w:rPr>
            </w:pPr>
            <w:r>
              <w:rPr>
                <w:sz w:val="20"/>
                <w:szCs w:val="20"/>
                <w:lang w:val="fr"/>
              </w:rPr>
              <w:t>0,94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64596FE" w14:textId="77777777" w:rsidR="00502FEE" w:rsidRPr="00F026F6" w:rsidRDefault="00502FEE" w:rsidP="000E7A06">
            <w:pPr>
              <w:jc w:val="right"/>
              <w:rPr>
                <w:sz w:val="20"/>
                <w:szCs w:val="20"/>
              </w:rPr>
            </w:pPr>
            <w:r>
              <w:rPr>
                <w:sz w:val="20"/>
                <w:szCs w:val="20"/>
                <w:lang w:val="fr"/>
              </w:rPr>
              <w:t>0,94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6BE6963" w14:textId="77777777" w:rsidR="00502FEE" w:rsidRPr="00F026F6" w:rsidRDefault="00502FEE" w:rsidP="000E7A06">
            <w:pPr>
              <w:jc w:val="right"/>
              <w:rPr>
                <w:sz w:val="20"/>
                <w:szCs w:val="20"/>
              </w:rPr>
            </w:pPr>
            <w:r>
              <w:rPr>
                <w:sz w:val="20"/>
                <w:szCs w:val="20"/>
                <w:lang w:val="fr"/>
              </w:rPr>
              <w:t>0,00</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71DDD001" w14:textId="77777777" w:rsidR="00502FEE" w:rsidRPr="00F026F6" w:rsidRDefault="00502FEE" w:rsidP="000E7A06">
            <w:pPr>
              <w:jc w:val="right"/>
              <w:rPr>
                <w:sz w:val="20"/>
                <w:szCs w:val="20"/>
              </w:rPr>
            </w:pPr>
            <w:r>
              <w:rPr>
                <w:sz w:val="20"/>
                <w:szCs w:val="20"/>
                <w:lang w:val="fr"/>
              </w:rPr>
              <w:t>100,00</w:t>
            </w:r>
          </w:p>
        </w:tc>
      </w:tr>
      <w:tr w:rsidR="00502FEE" w:rsidRPr="00AD032C" w14:paraId="02A9773B" w14:textId="77777777" w:rsidTr="00FD7E3B">
        <w:tc>
          <w:tcPr>
            <w:tcW w:w="1872" w:type="dxa"/>
            <w:tcBorders>
              <w:top w:val="nil"/>
              <w:left w:val="single" w:sz="4" w:space="0" w:color="auto"/>
              <w:bottom w:val="single" w:sz="4" w:space="0" w:color="auto"/>
              <w:right w:val="single" w:sz="4" w:space="0" w:color="auto"/>
            </w:tcBorders>
            <w:shd w:val="clear" w:color="auto" w:fill="auto"/>
            <w:noWrap/>
            <w:hideMark/>
          </w:tcPr>
          <w:p w14:paraId="3D343FC4" w14:textId="77777777" w:rsidR="00502FEE" w:rsidRPr="00F026F6" w:rsidRDefault="00502FEE" w:rsidP="000E7A06">
            <w:pPr>
              <w:rPr>
                <w:sz w:val="20"/>
                <w:szCs w:val="20"/>
              </w:rPr>
            </w:pPr>
            <w:r>
              <w:rPr>
                <w:sz w:val="20"/>
                <w:szCs w:val="20"/>
                <w:lang w:val="fr"/>
              </w:rPr>
              <w:t>HCFC-141b</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187F0664" w14:textId="77777777" w:rsidR="00502FEE" w:rsidRPr="00F026F6" w:rsidRDefault="00502FEE" w:rsidP="000E7A06">
            <w:pPr>
              <w:jc w:val="right"/>
              <w:rPr>
                <w:sz w:val="20"/>
                <w:szCs w:val="20"/>
              </w:rPr>
            </w:pPr>
            <w:r>
              <w:rPr>
                <w:sz w:val="20"/>
                <w:szCs w:val="20"/>
                <w:lang w:val="fr"/>
              </w:rPr>
              <w:t>10 680,79</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5C24E90B" w14:textId="77777777" w:rsidR="00502FEE" w:rsidRPr="00F026F6" w:rsidRDefault="00502FEE" w:rsidP="000E7A06">
            <w:pPr>
              <w:jc w:val="right"/>
              <w:rPr>
                <w:sz w:val="20"/>
                <w:szCs w:val="20"/>
              </w:rPr>
            </w:pPr>
            <w:r>
              <w:rPr>
                <w:sz w:val="20"/>
                <w:szCs w:val="20"/>
                <w:lang w:val="fr"/>
              </w:rPr>
              <w:t>10 677,15</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0F0D261D" w14:textId="77777777" w:rsidR="00502FEE" w:rsidRPr="00F026F6" w:rsidRDefault="00502FEE" w:rsidP="000E7A06">
            <w:pPr>
              <w:jc w:val="right"/>
              <w:rPr>
                <w:sz w:val="20"/>
                <w:szCs w:val="20"/>
              </w:rPr>
            </w:pPr>
            <w:r>
              <w:rPr>
                <w:sz w:val="20"/>
                <w:szCs w:val="20"/>
                <w:lang w:val="fr"/>
              </w:rPr>
              <w:t>10 572,20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067BD538" w14:textId="77777777" w:rsidR="00502FEE" w:rsidRPr="00F026F6" w:rsidRDefault="00502FEE" w:rsidP="000E7A06">
            <w:pPr>
              <w:jc w:val="right"/>
              <w:rPr>
                <w:sz w:val="20"/>
                <w:szCs w:val="20"/>
              </w:rPr>
            </w:pPr>
            <w:r>
              <w:rPr>
                <w:sz w:val="20"/>
                <w:szCs w:val="20"/>
                <w:lang w:val="fr"/>
              </w:rPr>
              <w:t>104,95</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57AF7F0A" w14:textId="77777777" w:rsidR="00502FEE" w:rsidRPr="00F026F6" w:rsidRDefault="00502FEE" w:rsidP="000E7A06">
            <w:pPr>
              <w:jc w:val="right"/>
              <w:rPr>
                <w:sz w:val="20"/>
                <w:szCs w:val="20"/>
              </w:rPr>
            </w:pPr>
            <w:r>
              <w:rPr>
                <w:sz w:val="20"/>
                <w:szCs w:val="20"/>
                <w:lang w:val="fr"/>
              </w:rPr>
              <w:t>99,02</w:t>
            </w:r>
          </w:p>
        </w:tc>
      </w:tr>
      <w:tr w:rsidR="00502FEE" w:rsidRPr="00AD032C" w14:paraId="6959B7FE" w14:textId="77777777" w:rsidTr="00FD7E3B">
        <w:tc>
          <w:tcPr>
            <w:tcW w:w="1872" w:type="dxa"/>
            <w:tcBorders>
              <w:top w:val="nil"/>
              <w:left w:val="single" w:sz="4" w:space="0" w:color="auto"/>
              <w:bottom w:val="single" w:sz="4" w:space="0" w:color="auto"/>
              <w:right w:val="single" w:sz="4" w:space="0" w:color="auto"/>
            </w:tcBorders>
            <w:shd w:val="clear" w:color="auto" w:fill="auto"/>
            <w:noWrap/>
            <w:hideMark/>
          </w:tcPr>
          <w:p w14:paraId="3A4FC8AF" w14:textId="77777777" w:rsidR="00502FEE" w:rsidRPr="00F026F6" w:rsidRDefault="00502FEE" w:rsidP="000E7A06">
            <w:pPr>
              <w:rPr>
                <w:sz w:val="20"/>
                <w:szCs w:val="20"/>
              </w:rPr>
            </w:pPr>
            <w:r>
              <w:rPr>
                <w:sz w:val="20"/>
                <w:szCs w:val="20"/>
                <w:lang w:val="fr"/>
              </w:rPr>
              <w:t>HCFC-142b</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1D2A889" w14:textId="77777777" w:rsidR="00502FEE" w:rsidRPr="00F026F6" w:rsidRDefault="00502FEE" w:rsidP="000E7A06">
            <w:pPr>
              <w:jc w:val="right"/>
              <w:rPr>
                <w:sz w:val="20"/>
                <w:szCs w:val="20"/>
              </w:rPr>
            </w:pPr>
            <w:r>
              <w:rPr>
                <w:sz w:val="20"/>
                <w:szCs w:val="20"/>
                <w:lang w:val="fr"/>
              </w:rPr>
              <w:t>1 996,91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9985AC6" w14:textId="77777777" w:rsidR="00502FEE" w:rsidRPr="00F026F6" w:rsidRDefault="00502FEE" w:rsidP="000E7A06">
            <w:pPr>
              <w:jc w:val="right"/>
              <w:rPr>
                <w:sz w:val="20"/>
                <w:szCs w:val="20"/>
              </w:rPr>
            </w:pPr>
            <w:r>
              <w:rPr>
                <w:sz w:val="20"/>
                <w:szCs w:val="20"/>
                <w:lang w:val="fr"/>
              </w:rPr>
              <w:t>2 016,79</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54DF30F3" w14:textId="77777777" w:rsidR="00502FEE" w:rsidRPr="00F026F6" w:rsidRDefault="00502FEE" w:rsidP="000E7A06">
            <w:pPr>
              <w:jc w:val="right"/>
              <w:rPr>
                <w:sz w:val="20"/>
                <w:szCs w:val="20"/>
              </w:rPr>
            </w:pPr>
            <w:r>
              <w:rPr>
                <w:sz w:val="20"/>
                <w:szCs w:val="20"/>
                <w:lang w:val="fr"/>
              </w:rPr>
              <w:t>1 290,01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1165BE03" w14:textId="77777777" w:rsidR="00502FEE" w:rsidRPr="00F026F6" w:rsidRDefault="00502FEE" w:rsidP="000E7A06">
            <w:pPr>
              <w:jc w:val="right"/>
              <w:rPr>
                <w:sz w:val="20"/>
                <w:szCs w:val="20"/>
              </w:rPr>
            </w:pPr>
            <w:r>
              <w:rPr>
                <w:sz w:val="20"/>
                <w:szCs w:val="20"/>
                <w:lang w:val="fr"/>
              </w:rPr>
              <w:t>726,78</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07372381" w14:textId="77777777" w:rsidR="00502FEE" w:rsidRPr="00F026F6" w:rsidRDefault="00502FEE" w:rsidP="000E7A06">
            <w:pPr>
              <w:jc w:val="right"/>
              <w:rPr>
                <w:sz w:val="20"/>
                <w:szCs w:val="20"/>
              </w:rPr>
            </w:pPr>
            <w:r>
              <w:rPr>
                <w:sz w:val="20"/>
                <w:szCs w:val="20"/>
                <w:lang w:val="fr"/>
              </w:rPr>
              <w:t>63,96</w:t>
            </w:r>
          </w:p>
        </w:tc>
      </w:tr>
      <w:tr w:rsidR="00502FEE" w:rsidRPr="00AD032C" w14:paraId="0ED88615" w14:textId="77777777" w:rsidTr="00FD7E3B">
        <w:tc>
          <w:tcPr>
            <w:tcW w:w="1872" w:type="dxa"/>
            <w:tcBorders>
              <w:top w:val="nil"/>
              <w:left w:val="single" w:sz="4" w:space="0" w:color="auto"/>
              <w:bottom w:val="single" w:sz="4" w:space="0" w:color="auto"/>
              <w:right w:val="single" w:sz="4" w:space="0" w:color="auto"/>
            </w:tcBorders>
            <w:shd w:val="clear" w:color="auto" w:fill="auto"/>
            <w:noWrap/>
            <w:hideMark/>
          </w:tcPr>
          <w:p w14:paraId="31F48AF4" w14:textId="77777777" w:rsidR="00502FEE" w:rsidRPr="00F026F6" w:rsidRDefault="00502FEE" w:rsidP="000E7A06">
            <w:pPr>
              <w:rPr>
                <w:sz w:val="20"/>
                <w:szCs w:val="20"/>
              </w:rPr>
            </w:pPr>
            <w:r>
              <w:rPr>
                <w:sz w:val="20"/>
                <w:szCs w:val="20"/>
                <w:lang w:val="fr"/>
              </w:rPr>
              <w:t>HCFC-21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0D8379E7" w14:textId="77777777" w:rsidR="00502FEE" w:rsidRPr="00F026F6" w:rsidRDefault="00502FEE" w:rsidP="000E7A06">
            <w:pPr>
              <w:jc w:val="right"/>
              <w:rPr>
                <w:sz w:val="20"/>
                <w:szCs w:val="20"/>
              </w:rPr>
            </w:pPr>
            <w:r>
              <w:rPr>
                <w:sz w:val="20"/>
                <w:szCs w:val="20"/>
                <w:lang w:val="fr"/>
              </w:rPr>
              <w:t>1,50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07E83C6F" w14:textId="77777777" w:rsidR="00502FEE" w:rsidRPr="00F026F6" w:rsidRDefault="00502FEE" w:rsidP="000E7A06">
            <w:pPr>
              <w:jc w:val="right"/>
              <w:rPr>
                <w:sz w:val="20"/>
                <w:szCs w:val="20"/>
              </w:rPr>
            </w:pPr>
            <w:r>
              <w:rPr>
                <w:sz w:val="20"/>
                <w:szCs w:val="20"/>
                <w:lang w:val="fr"/>
              </w:rPr>
              <w:t>0,74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3631390" w14:textId="77777777" w:rsidR="00502FEE" w:rsidRPr="00F026F6" w:rsidRDefault="00502FEE" w:rsidP="000E7A06">
            <w:pPr>
              <w:jc w:val="right"/>
              <w:rPr>
                <w:sz w:val="20"/>
                <w:szCs w:val="20"/>
              </w:rPr>
            </w:pPr>
            <w:r>
              <w:rPr>
                <w:sz w:val="20"/>
                <w:szCs w:val="20"/>
                <w:lang w:val="fr"/>
              </w:rPr>
              <w:t>0,74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AF25FB8" w14:textId="77777777" w:rsidR="00502FEE" w:rsidRPr="00F026F6" w:rsidRDefault="00502FEE" w:rsidP="000E7A06">
            <w:pPr>
              <w:jc w:val="right"/>
              <w:rPr>
                <w:sz w:val="20"/>
                <w:szCs w:val="20"/>
              </w:rPr>
            </w:pPr>
            <w:r>
              <w:rPr>
                <w:sz w:val="20"/>
                <w:szCs w:val="20"/>
                <w:lang w:val="fr"/>
              </w:rPr>
              <w:t>0,00</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7F4ED89A" w14:textId="77777777" w:rsidR="00502FEE" w:rsidRPr="00F026F6" w:rsidRDefault="00502FEE" w:rsidP="000E7A06">
            <w:pPr>
              <w:jc w:val="right"/>
              <w:rPr>
                <w:sz w:val="20"/>
                <w:szCs w:val="20"/>
              </w:rPr>
            </w:pPr>
            <w:r>
              <w:rPr>
                <w:sz w:val="20"/>
                <w:szCs w:val="20"/>
                <w:lang w:val="fr"/>
              </w:rPr>
              <w:t>100,00</w:t>
            </w:r>
          </w:p>
        </w:tc>
      </w:tr>
      <w:tr w:rsidR="00502FEE" w:rsidRPr="00AD032C" w14:paraId="442A0FEE" w14:textId="77777777" w:rsidTr="00FD7E3B">
        <w:tc>
          <w:tcPr>
            <w:tcW w:w="1872" w:type="dxa"/>
            <w:tcBorders>
              <w:top w:val="nil"/>
              <w:left w:val="single" w:sz="4" w:space="0" w:color="auto"/>
              <w:bottom w:val="single" w:sz="4" w:space="0" w:color="auto"/>
              <w:right w:val="single" w:sz="4" w:space="0" w:color="auto"/>
            </w:tcBorders>
            <w:shd w:val="clear" w:color="auto" w:fill="auto"/>
            <w:noWrap/>
            <w:hideMark/>
          </w:tcPr>
          <w:p w14:paraId="239C8A1B" w14:textId="77777777" w:rsidR="00502FEE" w:rsidRPr="00F026F6" w:rsidRDefault="00502FEE" w:rsidP="000E7A06">
            <w:pPr>
              <w:rPr>
                <w:sz w:val="20"/>
                <w:szCs w:val="20"/>
              </w:rPr>
            </w:pPr>
            <w:r>
              <w:rPr>
                <w:sz w:val="20"/>
                <w:szCs w:val="20"/>
                <w:lang w:val="fr"/>
              </w:rPr>
              <w:t>HCFC-22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476AE34F" w14:textId="77777777" w:rsidR="00502FEE" w:rsidRPr="00F026F6" w:rsidRDefault="00502FEE" w:rsidP="000E7A06">
            <w:pPr>
              <w:jc w:val="right"/>
              <w:rPr>
                <w:sz w:val="20"/>
                <w:szCs w:val="20"/>
              </w:rPr>
            </w:pPr>
            <w:r>
              <w:rPr>
                <w:sz w:val="20"/>
                <w:szCs w:val="20"/>
                <w:lang w:val="fr"/>
              </w:rPr>
              <w:t>20 351,61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6A9F1BB3" w14:textId="77777777" w:rsidR="00502FEE" w:rsidRPr="00F026F6" w:rsidRDefault="00502FEE" w:rsidP="000E7A06">
            <w:pPr>
              <w:jc w:val="right"/>
              <w:rPr>
                <w:sz w:val="20"/>
                <w:szCs w:val="20"/>
              </w:rPr>
            </w:pPr>
            <w:r>
              <w:rPr>
                <w:sz w:val="20"/>
                <w:szCs w:val="20"/>
                <w:lang w:val="fr"/>
              </w:rPr>
              <w:t>19 876,31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4F67F3C" w14:textId="77777777" w:rsidR="00502FEE" w:rsidRPr="00F026F6" w:rsidRDefault="00502FEE" w:rsidP="000E7A06">
            <w:pPr>
              <w:jc w:val="right"/>
              <w:rPr>
                <w:sz w:val="20"/>
                <w:szCs w:val="20"/>
              </w:rPr>
            </w:pPr>
            <w:r>
              <w:rPr>
                <w:sz w:val="20"/>
                <w:szCs w:val="20"/>
                <w:lang w:val="fr"/>
              </w:rPr>
              <w:t>8 199,54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F7C1F81" w14:textId="77777777" w:rsidR="00502FEE" w:rsidRPr="00F026F6" w:rsidRDefault="00502FEE" w:rsidP="000E7A06">
            <w:pPr>
              <w:jc w:val="right"/>
              <w:rPr>
                <w:sz w:val="20"/>
                <w:szCs w:val="20"/>
              </w:rPr>
            </w:pPr>
            <w:r>
              <w:rPr>
                <w:sz w:val="20"/>
                <w:szCs w:val="20"/>
                <w:lang w:val="fr"/>
              </w:rPr>
              <w:t>11 676,77</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47D15155" w14:textId="77777777" w:rsidR="00502FEE" w:rsidRPr="00F026F6" w:rsidRDefault="00502FEE" w:rsidP="000E7A06">
            <w:pPr>
              <w:jc w:val="right"/>
              <w:rPr>
                <w:sz w:val="20"/>
                <w:szCs w:val="20"/>
              </w:rPr>
            </w:pPr>
            <w:r>
              <w:rPr>
                <w:sz w:val="20"/>
                <w:szCs w:val="20"/>
                <w:lang w:val="fr"/>
              </w:rPr>
              <w:t>41,25</w:t>
            </w:r>
          </w:p>
        </w:tc>
      </w:tr>
      <w:tr w:rsidR="00502FEE" w:rsidRPr="00AD032C" w14:paraId="0AD56DEA" w14:textId="77777777" w:rsidTr="00FD7E3B">
        <w:tc>
          <w:tcPr>
            <w:tcW w:w="1872" w:type="dxa"/>
            <w:tcBorders>
              <w:top w:val="nil"/>
              <w:left w:val="single" w:sz="4" w:space="0" w:color="auto"/>
              <w:bottom w:val="single" w:sz="4" w:space="0" w:color="auto"/>
              <w:right w:val="single" w:sz="4" w:space="0" w:color="auto"/>
            </w:tcBorders>
            <w:shd w:val="clear" w:color="auto" w:fill="auto"/>
            <w:noWrap/>
            <w:hideMark/>
          </w:tcPr>
          <w:p w14:paraId="1CB20670" w14:textId="77777777" w:rsidR="00502FEE" w:rsidRPr="00F026F6" w:rsidRDefault="00502FEE" w:rsidP="000E7A06">
            <w:pPr>
              <w:rPr>
                <w:sz w:val="20"/>
                <w:szCs w:val="20"/>
              </w:rPr>
            </w:pPr>
            <w:r>
              <w:rPr>
                <w:sz w:val="20"/>
                <w:szCs w:val="20"/>
                <w:lang w:val="fr"/>
              </w:rPr>
              <w:t>HCFC-225</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4ADBC85" w14:textId="77777777" w:rsidR="00502FEE" w:rsidRPr="00F026F6" w:rsidRDefault="00502FEE" w:rsidP="000E7A06">
            <w:pPr>
              <w:jc w:val="right"/>
              <w:rPr>
                <w:sz w:val="20"/>
                <w:szCs w:val="20"/>
              </w:rPr>
            </w:pPr>
            <w:r>
              <w:rPr>
                <w:sz w:val="20"/>
                <w:szCs w:val="20"/>
                <w:lang w:val="fr"/>
              </w:rPr>
              <w:t>4,12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48261F3F" w14:textId="77777777" w:rsidR="00502FEE" w:rsidRPr="00F026F6" w:rsidRDefault="00502FEE" w:rsidP="000E7A06">
            <w:pPr>
              <w:jc w:val="right"/>
              <w:rPr>
                <w:sz w:val="20"/>
                <w:szCs w:val="20"/>
              </w:rPr>
            </w:pPr>
            <w:r>
              <w:rPr>
                <w:sz w:val="20"/>
                <w:szCs w:val="20"/>
                <w:lang w:val="fr"/>
              </w:rPr>
              <w:t>2,82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9898122" w14:textId="77777777" w:rsidR="00502FEE" w:rsidRPr="00F026F6" w:rsidRDefault="00502FEE" w:rsidP="000E7A06">
            <w:pPr>
              <w:jc w:val="right"/>
              <w:rPr>
                <w:sz w:val="20"/>
                <w:szCs w:val="20"/>
              </w:rPr>
            </w:pPr>
            <w:r>
              <w:rPr>
                <w:sz w:val="20"/>
                <w:szCs w:val="20"/>
                <w:lang w:val="fr"/>
              </w:rPr>
              <w:t>1,13</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B2BFFF8" w14:textId="77777777" w:rsidR="00502FEE" w:rsidRPr="00F026F6" w:rsidRDefault="00502FEE" w:rsidP="000E7A06">
            <w:pPr>
              <w:jc w:val="right"/>
              <w:rPr>
                <w:sz w:val="20"/>
                <w:szCs w:val="20"/>
              </w:rPr>
            </w:pPr>
            <w:r>
              <w:rPr>
                <w:sz w:val="20"/>
                <w:szCs w:val="20"/>
                <w:lang w:val="fr"/>
              </w:rPr>
              <w:t>1,69</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5207A86E" w14:textId="77777777" w:rsidR="00502FEE" w:rsidRPr="00F026F6" w:rsidRDefault="00502FEE" w:rsidP="000E7A06">
            <w:pPr>
              <w:jc w:val="right"/>
              <w:rPr>
                <w:sz w:val="20"/>
                <w:szCs w:val="20"/>
              </w:rPr>
            </w:pPr>
            <w:r>
              <w:rPr>
                <w:sz w:val="20"/>
                <w:szCs w:val="20"/>
                <w:lang w:val="fr"/>
              </w:rPr>
              <w:t>40,07</w:t>
            </w:r>
          </w:p>
        </w:tc>
      </w:tr>
      <w:tr w:rsidR="00502FEE" w:rsidRPr="00AD032C" w14:paraId="4CA016C8" w14:textId="77777777" w:rsidTr="00FD7E3B">
        <w:tc>
          <w:tcPr>
            <w:tcW w:w="1872" w:type="dxa"/>
            <w:tcBorders>
              <w:top w:val="nil"/>
              <w:left w:val="single" w:sz="4" w:space="0" w:color="auto"/>
              <w:bottom w:val="single" w:sz="4" w:space="0" w:color="auto"/>
              <w:right w:val="single" w:sz="4" w:space="0" w:color="auto"/>
            </w:tcBorders>
            <w:shd w:val="clear" w:color="auto" w:fill="auto"/>
            <w:noWrap/>
            <w:hideMark/>
          </w:tcPr>
          <w:p w14:paraId="38E65757" w14:textId="77777777" w:rsidR="00502FEE" w:rsidRPr="00F026F6" w:rsidRDefault="00502FEE" w:rsidP="000E7A06">
            <w:pPr>
              <w:rPr>
                <w:sz w:val="20"/>
                <w:szCs w:val="20"/>
              </w:rPr>
            </w:pPr>
            <w:r>
              <w:rPr>
                <w:sz w:val="20"/>
                <w:szCs w:val="20"/>
                <w:lang w:val="fr"/>
              </w:rPr>
              <w:t>HCFC-225ca</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7B17A52" w14:textId="77777777" w:rsidR="00502FEE" w:rsidRPr="00F026F6" w:rsidRDefault="00502FEE" w:rsidP="000E7A06">
            <w:pPr>
              <w:jc w:val="right"/>
              <w:rPr>
                <w:sz w:val="20"/>
                <w:szCs w:val="20"/>
              </w:rPr>
            </w:pPr>
            <w:r>
              <w:rPr>
                <w:sz w:val="20"/>
                <w:szCs w:val="20"/>
                <w:lang w:val="fr"/>
              </w:rPr>
              <w:t>0,50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6EAE9432" w14:textId="77777777" w:rsidR="00502FEE" w:rsidRPr="00F026F6" w:rsidRDefault="00502FEE" w:rsidP="000E7A06">
            <w:pPr>
              <w:jc w:val="right"/>
              <w:rPr>
                <w:sz w:val="20"/>
                <w:szCs w:val="20"/>
              </w:rPr>
            </w:pPr>
            <w:r>
              <w:rPr>
                <w:sz w:val="20"/>
                <w:szCs w:val="20"/>
                <w:lang w:val="fr"/>
              </w:rPr>
              <w:t>0,42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A783E79" w14:textId="77777777" w:rsidR="00502FEE" w:rsidRPr="00F026F6" w:rsidRDefault="00502FEE" w:rsidP="000E7A06">
            <w:pPr>
              <w:jc w:val="right"/>
              <w:rPr>
                <w:sz w:val="20"/>
                <w:szCs w:val="20"/>
              </w:rPr>
            </w:pPr>
            <w:r>
              <w:rPr>
                <w:sz w:val="20"/>
                <w:szCs w:val="20"/>
                <w:lang w:val="fr"/>
              </w:rPr>
              <w:t>-</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201689F" w14:textId="77777777" w:rsidR="00502FEE" w:rsidRPr="00F026F6" w:rsidRDefault="00502FEE" w:rsidP="000E7A06">
            <w:pPr>
              <w:jc w:val="right"/>
              <w:rPr>
                <w:sz w:val="20"/>
                <w:szCs w:val="20"/>
              </w:rPr>
            </w:pPr>
            <w:r>
              <w:rPr>
                <w:sz w:val="20"/>
                <w:szCs w:val="20"/>
                <w:lang w:val="fr"/>
              </w:rPr>
              <w:t>0,42</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7B176C3B" w14:textId="77777777" w:rsidR="00502FEE" w:rsidRPr="00F026F6" w:rsidRDefault="00502FEE" w:rsidP="000E7A06">
            <w:pPr>
              <w:jc w:val="right"/>
              <w:rPr>
                <w:sz w:val="20"/>
                <w:szCs w:val="20"/>
              </w:rPr>
            </w:pPr>
            <w:r>
              <w:rPr>
                <w:sz w:val="20"/>
                <w:szCs w:val="20"/>
                <w:lang w:val="fr"/>
              </w:rPr>
              <w:t>0,00</w:t>
            </w:r>
          </w:p>
        </w:tc>
      </w:tr>
      <w:tr w:rsidR="00502FEE" w:rsidRPr="00AD032C" w14:paraId="414835B4" w14:textId="77777777" w:rsidTr="00FD7E3B">
        <w:tc>
          <w:tcPr>
            <w:tcW w:w="1872" w:type="dxa"/>
            <w:tcBorders>
              <w:top w:val="nil"/>
              <w:left w:val="single" w:sz="4" w:space="0" w:color="auto"/>
              <w:bottom w:val="single" w:sz="4" w:space="0" w:color="auto"/>
              <w:right w:val="single" w:sz="4" w:space="0" w:color="auto"/>
            </w:tcBorders>
            <w:shd w:val="clear" w:color="auto" w:fill="auto"/>
            <w:noWrap/>
            <w:hideMark/>
          </w:tcPr>
          <w:p w14:paraId="3496E088" w14:textId="77777777" w:rsidR="00502FEE" w:rsidRPr="00F026F6" w:rsidRDefault="00502FEE" w:rsidP="000E7A06">
            <w:pPr>
              <w:rPr>
                <w:sz w:val="20"/>
                <w:szCs w:val="20"/>
              </w:rPr>
            </w:pPr>
            <w:r>
              <w:rPr>
                <w:sz w:val="20"/>
                <w:szCs w:val="20"/>
                <w:lang w:val="fr"/>
              </w:rPr>
              <w:t>HCFC-225cb</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1B308E23" w14:textId="77777777" w:rsidR="00502FEE" w:rsidRPr="00F026F6" w:rsidRDefault="00502FEE" w:rsidP="000E7A06">
            <w:pPr>
              <w:jc w:val="right"/>
              <w:rPr>
                <w:sz w:val="20"/>
                <w:szCs w:val="20"/>
              </w:rPr>
            </w:pPr>
            <w:r>
              <w:rPr>
                <w:sz w:val="20"/>
                <w:szCs w:val="20"/>
                <w:lang w:val="fr"/>
              </w:rPr>
              <w:t>0,70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0C98831" w14:textId="77777777" w:rsidR="00502FEE" w:rsidRPr="00F026F6" w:rsidRDefault="00502FEE" w:rsidP="000E7A06">
            <w:pPr>
              <w:jc w:val="right"/>
              <w:rPr>
                <w:sz w:val="20"/>
                <w:szCs w:val="20"/>
              </w:rPr>
            </w:pPr>
            <w:r>
              <w:rPr>
                <w:sz w:val="20"/>
                <w:szCs w:val="20"/>
                <w:lang w:val="fr"/>
              </w:rPr>
              <w:t>0,68</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E7A9179" w14:textId="77777777" w:rsidR="00502FEE" w:rsidRPr="00F026F6" w:rsidRDefault="00502FEE" w:rsidP="000E7A06">
            <w:pPr>
              <w:jc w:val="right"/>
              <w:rPr>
                <w:sz w:val="20"/>
                <w:szCs w:val="20"/>
              </w:rPr>
            </w:pPr>
            <w:r>
              <w:rPr>
                <w:sz w:val="20"/>
                <w:szCs w:val="20"/>
                <w:lang w:val="fr"/>
              </w:rPr>
              <w:t>-</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F2BA858" w14:textId="77777777" w:rsidR="00502FEE" w:rsidRPr="00F026F6" w:rsidRDefault="00502FEE" w:rsidP="000E7A06">
            <w:pPr>
              <w:jc w:val="right"/>
              <w:rPr>
                <w:sz w:val="20"/>
                <w:szCs w:val="20"/>
              </w:rPr>
            </w:pPr>
            <w:r>
              <w:rPr>
                <w:sz w:val="20"/>
                <w:szCs w:val="20"/>
                <w:lang w:val="fr"/>
              </w:rPr>
              <w:t>0,68</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48E62C8F" w14:textId="77777777" w:rsidR="00502FEE" w:rsidRPr="00F026F6" w:rsidRDefault="00502FEE" w:rsidP="000E7A06">
            <w:pPr>
              <w:jc w:val="right"/>
              <w:rPr>
                <w:sz w:val="20"/>
                <w:szCs w:val="20"/>
              </w:rPr>
            </w:pPr>
            <w:r>
              <w:rPr>
                <w:sz w:val="20"/>
                <w:szCs w:val="20"/>
                <w:lang w:val="fr"/>
              </w:rPr>
              <w:t>0,00</w:t>
            </w:r>
          </w:p>
        </w:tc>
      </w:tr>
      <w:tr w:rsidR="00502FEE" w:rsidRPr="00AE77A4" w14:paraId="0F8F5F33" w14:textId="77777777" w:rsidTr="00FD7E3B">
        <w:tc>
          <w:tcPr>
            <w:tcW w:w="1872" w:type="dxa"/>
            <w:tcBorders>
              <w:top w:val="nil"/>
              <w:left w:val="single" w:sz="4" w:space="0" w:color="auto"/>
              <w:bottom w:val="single" w:sz="4" w:space="0" w:color="auto"/>
              <w:right w:val="single" w:sz="4" w:space="0" w:color="auto"/>
            </w:tcBorders>
            <w:shd w:val="clear" w:color="auto" w:fill="auto"/>
            <w:noWrap/>
            <w:hideMark/>
          </w:tcPr>
          <w:p w14:paraId="0A41065F" w14:textId="77777777" w:rsidR="00502FEE" w:rsidRPr="00E53925" w:rsidRDefault="00502FEE" w:rsidP="000E7A06">
            <w:pPr>
              <w:rPr>
                <w:b/>
                <w:sz w:val="20"/>
                <w:szCs w:val="20"/>
              </w:rPr>
            </w:pPr>
            <w:r>
              <w:rPr>
                <w:b/>
                <w:bCs/>
                <w:sz w:val="20"/>
                <w:szCs w:val="20"/>
                <w:lang w:val="fr"/>
              </w:rPr>
              <w:t>Total</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B9E2507" w14:textId="77777777" w:rsidR="00502FEE" w:rsidRPr="00E53925" w:rsidRDefault="00502FEE" w:rsidP="000E7A06">
            <w:pPr>
              <w:jc w:val="right"/>
              <w:rPr>
                <w:b/>
                <w:sz w:val="20"/>
                <w:szCs w:val="20"/>
              </w:rPr>
            </w:pPr>
            <w:r>
              <w:rPr>
                <w:b/>
                <w:bCs/>
                <w:sz w:val="20"/>
                <w:szCs w:val="20"/>
                <w:lang w:val="fr"/>
              </w:rPr>
              <w:t>33 096,82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CFF786C" w14:textId="77777777" w:rsidR="00502FEE" w:rsidRPr="00E53925" w:rsidRDefault="00502FEE" w:rsidP="000E7A06">
            <w:pPr>
              <w:jc w:val="right"/>
              <w:rPr>
                <w:b/>
                <w:sz w:val="20"/>
                <w:szCs w:val="20"/>
              </w:rPr>
            </w:pPr>
            <w:r>
              <w:rPr>
                <w:b/>
                <w:bCs/>
                <w:sz w:val="20"/>
                <w:szCs w:val="20"/>
                <w:lang w:val="fr"/>
              </w:rPr>
              <w:t>32 632,30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6FBBC33D" w14:textId="77777777" w:rsidR="00502FEE" w:rsidRPr="00E53925" w:rsidRDefault="00502FEE" w:rsidP="000E7A06">
            <w:pPr>
              <w:jc w:val="right"/>
              <w:rPr>
                <w:b/>
                <w:sz w:val="20"/>
                <w:szCs w:val="20"/>
              </w:rPr>
            </w:pPr>
            <w:r>
              <w:rPr>
                <w:b/>
                <w:bCs/>
                <w:sz w:val="20"/>
                <w:szCs w:val="20"/>
                <w:lang w:val="fr"/>
              </w:rPr>
              <w:t>20 068,17</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113DECAE" w14:textId="77777777" w:rsidR="00502FEE" w:rsidRPr="00E53925" w:rsidRDefault="00502FEE" w:rsidP="000E7A06">
            <w:pPr>
              <w:jc w:val="right"/>
              <w:rPr>
                <w:b/>
                <w:sz w:val="20"/>
                <w:szCs w:val="20"/>
              </w:rPr>
            </w:pPr>
            <w:r>
              <w:rPr>
                <w:b/>
                <w:bCs/>
                <w:sz w:val="20"/>
                <w:szCs w:val="20"/>
                <w:lang w:val="fr"/>
              </w:rPr>
              <w:t>12 564,13</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0FAD89E2" w14:textId="77777777" w:rsidR="00502FEE" w:rsidRPr="00E53925" w:rsidRDefault="00502FEE" w:rsidP="000E7A06">
            <w:pPr>
              <w:jc w:val="right"/>
              <w:rPr>
                <w:b/>
                <w:sz w:val="20"/>
                <w:szCs w:val="20"/>
              </w:rPr>
            </w:pPr>
            <w:r>
              <w:rPr>
                <w:b/>
                <w:bCs/>
                <w:sz w:val="20"/>
                <w:szCs w:val="20"/>
                <w:lang w:val="fr"/>
              </w:rPr>
              <w:t>61,50</w:t>
            </w:r>
          </w:p>
        </w:tc>
      </w:tr>
      <w:tr w:rsidR="00502FEE" w:rsidRPr="00AD032C" w14:paraId="127781A7" w14:textId="77777777" w:rsidTr="00FD7E3B">
        <w:tc>
          <w:tcPr>
            <w:tcW w:w="1872" w:type="dxa"/>
            <w:tcBorders>
              <w:top w:val="nil"/>
              <w:left w:val="single" w:sz="4" w:space="0" w:color="auto"/>
              <w:bottom w:val="single" w:sz="4" w:space="0" w:color="auto"/>
              <w:right w:val="single" w:sz="4" w:space="0" w:color="auto"/>
            </w:tcBorders>
            <w:shd w:val="clear" w:color="auto" w:fill="auto"/>
            <w:noWrap/>
            <w:hideMark/>
          </w:tcPr>
          <w:p w14:paraId="0A43CE92" w14:textId="6F05630F" w:rsidR="00502FEE" w:rsidRPr="00F026F6" w:rsidRDefault="00502FEE" w:rsidP="000E7A06">
            <w:pPr>
              <w:rPr>
                <w:sz w:val="20"/>
                <w:szCs w:val="20"/>
              </w:rPr>
            </w:pPr>
            <w:r>
              <w:rPr>
                <w:sz w:val="20"/>
                <w:szCs w:val="20"/>
                <w:lang w:val="fr"/>
              </w:rPr>
              <w:t>Polyol HCFC-141b**</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14:paraId="66585C80" w14:textId="77777777" w:rsidR="00502FEE" w:rsidRPr="00F026F6" w:rsidRDefault="00502FEE" w:rsidP="000E7A06">
            <w:pPr>
              <w:jc w:val="right"/>
              <w:rPr>
                <w:sz w:val="20"/>
                <w:szCs w:val="20"/>
              </w:rPr>
            </w:pPr>
            <w:r>
              <w:rPr>
                <w:sz w:val="20"/>
                <w:szCs w:val="20"/>
                <w:lang w:val="fr"/>
              </w:rPr>
              <w:t xml:space="preserve">53,20 </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14:paraId="66E193CF" w14:textId="77777777" w:rsidR="00502FEE" w:rsidRPr="00F026F6" w:rsidRDefault="00502FEE" w:rsidP="000E7A06">
            <w:pPr>
              <w:jc w:val="right"/>
              <w:rPr>
                <w:sz w:val="20"/>
                <w:szCs w:val="20"/>
              </w:rPr>
            </w:pPr>
            <w:r>
              <w:rPr>
                <w:sz w:val="20"/>
                <w:szCs w:val="20"/>
                <w:lang w:val="fr"/>
              </w:rPr>
              <w:t xml:space="preserve">661,81 </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14:paraId="76F048F5" w14:textId="77777777" w:rsidR="00502FEE" w:rsidRPr="00F026F6" w:rsidRDefault="00502FEE" w:rsidP="000E7A06">
            <w:pPr>
              <w:jc w:val="right"/>
              <w:rPr>
                <w:sz w:val="20"/>
                <w:szCs w:val="20"/>
              </w:rPr>
            </w:pPr>
            <w:r>
              <w:rPr>
                <w:sz w:val="20"/>
                <w:szCs w:val="20"/>
                <w:lang w:val="fr"/>
              </w:rPr>
              <w:t xml:space="preserve">559,39 </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14:paraId="7B2BDA42" w14:textId="77777777" w:rsidR="00502FEE" w:rsidRPr="00F026F6" w:rsidRDefault="00502FEE" w:rsidP="000E7A06">
            <w:pPr>
              <w:jc w:val="right"/>
              <w:rPr>
                <w:sz w:val="20"/>
                <w:szCs w:val="20"/>
              </w:rPr>
            </w:pPr>
            <w:r>
              <w:rPr>
                <w:sz w:val="20"/>
                <w:szCs w:val="20"/>
                <w:lang w:val="fr"/>
              </w:rPr>
              <w:t xml:space="preserve">102,42 </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14:paraId="5C610E89" w14:textId="77777777" w:rsidR="00502FEE" w:rsidRPr="00F026F6" w:rsidRDefault="00502FEE" w:rsidP="000E7A06">
            <w:pPr>
              <w:jc w:val="right"/>
              <w:rPr>
                <w:sz w:val="20"/>
                <w:szCs w:val="20"/>
              </w:rPr>
            </w:pPr>
            <w:r>
              <w:rPr>
                <w:sz w:val="20"/>
                <w:szCs w:val="20"/>
                <w:lang w:val="fr"/>
              </w:rPr>
              <w:t>84,52</w:t>
            </w:r>
          </w:p>
        </w:tc>
      </w:tr>
    </w:tbl>
    <w:p w14:paraId="0DB59C04" w14:textId="77777777" w:rsidR="00502FEE" w:rsidRPr="005703FE" w:rsidRDefault="00502FEE" w:rsidP="00502FEE">
      <w:pPr>
        <w:pStyle w:val="Title2"/>
        <w:widowControl w:val="0"/>
        <w:jc w:val="left"/>
        <w:rPr>
          <w:b w:val="0"/>
          <w:caps w:val="0"/>
          <w:sz w:val="18"/>
          <w:szCs w:val="18"/>
          <w:lang w:val="fr-FR"/>
        </w:rPr>
      </w:pPr>
      <w:r>
        <w:rPr>
          <w:b w:val="0"/>
          <w:caps w:val="0"/>
          <w:sz w:val="18"/>
          <w:szCs w:val="18"/>
          <w:lang w:val="fr"/>
        </w:rPr>
        <w:t>* Depuis la 83</w:t>
      </w:r>
      <w:r>
        <w:rPr>
          <w:b w:val="0"/>
          <w:caps w:val="0"/>
          <w:sz w:val="18"/>
          <w:szCs w:val="18"/>
          <w:vertAlign w:val="superscript"/>
          <w:lang w:val="fr"/>
        </w:rPr>
        <w:t>e</w:t>
      </w:r>
      <w:r>
        <w:rPr>
          <w:b w:val="0"/>
          <w:caps w:val="0"/>
          <w:sz w:val="18"/>
          <w:szCs w:val="18"/>
          <w:lang w:val="fr"/>
        </w:rPr>
        <w:t xml:space="preserve"> réunion, pour les PFV et les autres pays.</w:t>
      </w:r>
    </w:p>
    <w:p w14:paraId="0B2F0FB6" w14:textId="77777777" w:rsidR="00502FEE" w:rsidRPr="005703FE" w:rsidRDefault="00502FEE" w:rsidP="00502FEE">
      <w:pPr>
        <w:pStyle w:val="Title2"/>
        <w:widowControl w:val="0"/>
        <w:jc w:val="left"/>
        <w:rPr>
          <w:b w:val="0"/>
          <w:caps w:val="0"/>
          <w:sz w:val="18"/>
          <w:szCs w:val="18"/>
          <w:lang w:val="fr-FR"/>
        </w:rPr>
      </w:pPr>
      <w:r>
        <w:rPr>
          <w:b w:val="0"/>
          <w:caps w:val="0"/>
          <w:sz w:val="18"/>
          <w:szCs w:val="18"/>
          <w:lang w:val="fr"/>
        </w:rPr>
        <w:t xml:space="preserve">** HCFC-141b contenu dans les polyols prémélangés importés. </w:t>
      </w:r>
    </w:p>
    <w:p w14:paraId="277A6CD2" w14:textId="77777777" w:rsidR="00502FEE" w:rsidRPr="005703FE" w:rsidRDefault="00502FEE" w:rsidP="00502FEE">
      <w:pPr>
        <w:pStyle w:val="Heading1"/>
        <w:numPr>
          <w:ilvl w:val="0"/>
          <w:numId w:val="0"/>
        </w:numPr>
        <w:spacing w:after="0"/>
        <w:rPr>
          <w:lang w:val="fr-FR"/>
        </w:rPr>
      </w:pPr>
    </w:p>
    <w:p w14:paraId="1EAD7481" w14:textId="61AB32A2" w:rsidR="00502FEE" w:rsidRPr="005703FE" w:rsidRDefault="00502FEE" w:rsidP="00502FEE">
      <w:pPr>
        <w:pStyle w:val="Heading1"/>
        <w:rPr>
          <w:lang w:val="fr-FR"/>
        </w:rPr>
      </w:pPr>
      <w:r>
        <w:rPr>
          <w:lang w:val="fr"/>
        </w:rPr>
        <w:t>Si toutes les demandes de tranches de financement qui ont été soumises à la 84</w:t>
      </w:r>
      <w:r>
        <w:rPr>
          <w:vertAlign w:val="superscript"/>
          <w:lang w:val="fr"/>
        </w:rPr>
        <w:t>e</w:t>
      </w:r>
      <w:r>
        <w:rPr>
          <w:lang w:val="fr"/>
        </w:rPr>
        <w:t xml:space="preserve"> réunion sont approuvées par le Comité exécutif, le solde du financement dont le décaissement a été approuvé en principe pour la période 2020-2030 s’élève à 379,5 millions $US (soit 5,1 millions $US pour les PFV et 374,4 millions $US pour les autres pays). </w:t>
      </w:r>
    </w:p>
    <w:p w14:paraId="7F5B45E3" w14:textId="2FC8963D" w:rsidR="00502FEE" w:rsidRPr="005703FE" w:rsidRDefault="00502FEE" w:rsidP="00502FEE">
      <w:pPr>
        <w:pStyle w:val="Heading1"/>
        <w:rPr>
          <w:lang w:val="fr-FR"/>
        </w:rPr>
      </w:pPr>
      <w:r>
        <w:rPr>
          <w:lang w:val="fr"/>
        </w:rPr>
        <w:t xml:space="preserve">Un financement supplémentaire sera nécessaire pour parvenir à l’élimination complète des HCFC dans les pays visés à l’article 5. Pour les PFV, le financement supplémentaire s’élève à 56,1 millions $US, sur la base du niveau maximum de financement fixé par la décision 74/50. Pour les pays hors PFV, la consommation restante de HCFC à éliminer s’élève à 12 340 tonnes PAO. Bien qu’il soit possible de déterminer l’admissibilité à un financement de la consommation restante et sa répartition sectorielle lorsque les pays visés à l’article 5 présentent leurs demandes pour la phase suivante de leur PGEH, aux </w:t>
      </w:r>
      <w:r>
        <w:rPr>
          <w:lang w:val="fr"/>
        </w:rPr>
        <w:lastRenderedPageBreak/>
        <w:t xml:space="preserve">fins du présent document, on peut supposer que 90 % de la consommation restante est admissible à un financement (soit 11 000 tonnes PAO). Sur cette quantité, environ 4 000 tonnes PAO proviennent de HCFC-22 utilisé dans le secteur manufacturier, et 7 000 tonnes PAO de HCFC-22 utilisé dans le secteur de l’entretien des équipements de réfrigération (avec un rapport coût-efficacité de 4,80 $US/kg). </w:t>
      </w:r>
    </w:p>
    <w:p w14:paraId="6B950B2D" w14:textId="77777777" w:rsidR="00502FEE" w:rsidRPr="005703FE" w:rsidRDefault="00502FEE" w:rsidP="00502FEE">
      <w:pPr>
        <w:pStyle w:val="Heading2"/>
        <w:numPr>
          <w:ilvl w:val="0"/>
          <w:numId w:val="0"/>
        </w:numPr>
        <w:rPr>
          <w:bCs/>
          <w:iCs/>
          <w:u w:val="single"/>
          <w:lang w:val="fr-FR"/>
        </w:rPr>
      </w:pPr>
      <w:r>
        <w:rPr>
          <w:u w:val="single"/>
          <w:lang w:val="fr"/>
        </w:rPr>
        <w:t>Financement de la réduction progressive des HFC</w:t>
      </w:r>
    </w:p>
    <w:p w14:paraId="4FDAA4F9" w14:textId="185E5465" w:rsidR="00502FEE" w:rsidRPr="005703FE" w:rsidRDefault="00502FEE" w:rsidP="00AA1E26">
      <w:pPr>
        <w:pStyle w:val="Heading1"/>
        <w:numPr>
          <w:ilvl w:val="0"/>
          <w:numId w:val="31"/>
        </w:numPr>
        <w:rPr>
          <w:lang w:val="fr-FR"/>
        </w:rPr>
      </w:pPr>
      <w:r>
        <w:rPr>
          <w:lang w:val="fr"/>
        </w:rPr>
        <w:t>Depuis l’adoption de l’Amendement de Kigali, le Comité exécutif a examiné les seuils de coût-efficacité pour le secteur manufacturier utilisant des HFC et a décidé que des informations supplémentaires sont nécessaires pour acquérir de l’expérience sur les surcoûts d’investissement et les surcoûts d’exploitation liés à la réduction progressive des HFC. En conséquence, le Comité a approuvé, jusqu’à sa 84</w:t>
      </w:r>
      <w:r>
        <w:rPr>
          <w:vertAlign w:val="superscript"/>
          <w:lang w:val="fr"/>
        </w:rPr>
        <w:t>e</w:t>
      </w:r>
      <w:r>
        <w:rPr>
          <w:lang w:val="fr"/>
        </w:rPr>
        <w:t xml:space="preserve"> réunion</w:t>
      </w:r>
      <w:r>
        <w:rPr>
          <w:rStyle w:val="FootnoteReference"/>
          <w:szCs w:val="22"/>
          <w:lang w:val="fr"/>
        </w:rPr>
        <w:footnoteReference w:id="24"/>
      </w:r>
      <w:r>
        <w:rPr>
          <w:lang w:val="fr"/>
        </w:rPr>
        <w:t>, un nombre limité de projets d’investissement autonomes visant les HFC qui remplissent certaines conditions préalables, à examiner au cas par cas en tenant compte de leur maturité technologique, de leur reproductibilité et de leur répartition géographique (décisions 78/3 et 79/45). À sa 83</w:t>
      </w:r>
      <w:r>
        <w:rPr>
          <w:vertAlign w:val="superscript"/>
          <w:lang w:val="fr"/>
        </w:rPr>
        <w:t>e</w:t>
      </w:r>
      <w:r>
        <w:rPr>
          <w:lang w:val="fr"/>
        </w:rPr>
        <w:t xml:space="preserve"> réunion, le Comité a approuvé un montant total de 14,4 millions $US pour 10 projets d’investissement liés aux HFC dans neuf pays visés à l’article 5</w:t>
      </w:r>
      <w:r>
        <w:rPr>
          <w:rStyle w:val="FootnoteReference"/>
          <w:lang w:val="fr"/>
        </w:rPr>
        <w:footnoteReference w:id="25"/>
      </w:r>
      <w:r>
        <w:rPr>
          <w:lang w:val="fr"/>
        </w:rPr>
        <w:t>. Bien que le niveau de financement puisse uniquement être évalué lorsque la consommation réelle de HFC est connue et les seuils de coût-efficacité ont été établis, le Comité exécutif a examiné et approuvé des projets d’élimination au cas par cas dans des situations comparables où des seuils de coût-efficacité n’ont pas été établis.</w:t>
      </w:r>
    </w:p>
    <w:p w14:paraId="11F7C664" w14:textId="7E2EA658" w:rsidR="00502FEE" w:rsidRPr="005703FE" w:rsidRDefault="00502FEE" w:rsidP="00502FEE">
      <w:pPr>
        <w:pStyle w:val="Heading1"/>
        <w:rPr>
          <w:lang w:val="fr-FR"/>
        </w:rPr>
      </w:pPr>
      <w:r>
        <w:rPr>
          <w:lang w:val="fr"/>
        </w:rPr>
        <w:t>En ce qui concerne la réduction progressive des HFC dans le secteur de l’entretien des équipements de réfrigération, le Comité exécutif a demandé au Secrétariat de préparer, pour la 85</w:t>
      </w:r>
      <w:r>
        <w:rPr>
          <w:vertAlign w:val="superscript"/>
          <w:lang w:val="fr"/>
        </w:rPr>
        <w:t>e</w:t>
      </w:r>
      <w:r>
        <w:rPr>
          <w:lang w:val="fr"/>
        </w:rPr>
        <w:t xml:space="preserve"> réunion, un document analysant le niveau et les modalités de financement de la réduction progressive des HFC dans ce secteur (décision 83/65). </w:t>
      </w:r>
    </w:p>
    <w:p w14:paraId="6982AD50" w14:textId="77777777" w:rsidR="00502FEE" w:rsidRPr="005703FE" w:rsidRDefault="00502FEE" w:rsidP="00502FEE">
      <w:pPr>
        <w:keepNext/>
        <w:rPr>
          <w:b/>
          <w:lang w:val="fr-FR"/>
        </w:rPr>
      </w:pPr>
      <w:r>
        <w:rPr>
          <w:b/>
          <w:bCs/>
          <w:lang w:val="fr"/>
        </w:rPr>
        <w:t>Capacité des institutions du Fonds et des pays visés à l’article 5</w:t>
      </w:r>
    </w:p>
    <w:p w14:paraId="553FBEBD" w14:textId="77777777" w:rsidR="00502FEE" w:rsidRPr="005703FE" w:rsidRDefault="00502FEE" w:rsidP="00502FEE">
      <w:pPr>
        <w:keepNext/>
        <w:rPr>
          <w:lang w:val="fr-FR"/>
        </w:rPr>
      </w:pPr>
    </w:p>
    <w:p w14:paraId="098528FD" w14:textId="5CB319E4" w:rsidR="00502FEE" w:rsidRPr="005703FE" w:rsidRDefault="00502FEE" w:rsidP="00502FEE">
      <w:pPr>
        <w:pStyle w:val="Heading1"/>
        <w:rPr>
          <w:lang w:val="fr-FR"/>
        </w:rPr>
      </w:pPr>
      <w:r>
        <w:rPr>
          <w:lang w:val="fr"/>
        </w:rPr>
        <w:t>Aux fins du présent document, les institutions du Fonds désignent les agences bilatérales et d’exécution et leurs rôles et responsabilités (en tant qu’agences principales ou de coopération) pour aider les pays visés à l’article 5 à mettre en œuvre leurs plans d’élimination ; et les pays visés à l’article 5 désignent les UNO, établies grâce au soutien au renforcement institutionnel, qui ont joué un rôle croissant dans la mise en œuvre des activités d’élimination, et les UGP financées par des PNE, qui ont renforcé les capacités des UNO. Le présent document examine également le Programme d’aide à la conformité (PAC) du PNUE, compte tenu de son rôle spécifique pour aider les pays visés à l’article 5 en matière de conformité.</w:t>
      </w:r>
    </w:p>
    <w:p w14:paraId="54821A98" w14:textId="77777777" w:rsidR="00502FEE" w:rsidRPr="00695AA0" w:rsidRDefault="00502FEE" w:rsidP="00502FEE">
      <w:pPr>
        <w:rPr>
          <w:bCs/>
          <w:iCs/>
          <w:u w:val="single"/>
        </w:rPr>
      </w:pPr>
      <w:r>
        <w:rPr>
          <w:u w:val="single"/>
          <w:lang w:val="fr"/>
        </w:rPr>
        <w:t>UNO et UGP</w:t>
      </w:r>
    </w:p>
    <w:p w14:paraId="1E432B43" w14:textId="77777777" w:rsidR="00502FEE" w:rsidRPr="00695AA0" w:rsidRDefault="00502FEE" w:rsidP="00502FEE"/>
    <w:p w14:paraId="11DF6E5A" w14:textId="79BD4886" w:rsidR="00502FEE" w:rsidRPr="005703FE" w:rsidRDefault="00502FEE" w:rsidP="00DA4013">
      <w:pPr>
        <w:pStyle w:val="Heading1"/>
        <w:widowControl w:val="0"/>
        <w:rPr>
          <w:lang w:val="fr-FR"/>
        </w:rPr>
      </w:pPr>
      <w:r>
        <w:rPr>
          <w:lang w:val="fr"/>
        </w:rPr>
        <w:t>Le soutien du Fonds multilatéral au renforcement institutionnel est unique dans le domaine du financement de l’environnement et du développement durable dans la mesure où les pays visés à l’article 5 reçoivent depuis plus de 25 ans un soutien continu pour renforcer leurs capacités. En fait, ce soutien a été essentiel à la réalisation des objectifs fixés par le Protocole de Montréal</w:t>
      </w:r>
      <w:r>
        <w:rPr>
          <w:rStyle w:val="FootnoteReference"/>
          <w:lang w:val="fr"/>
        </w:rPr>
        <w:footnoteReference w:id="26"/>
      </w:r>
      <w:r>
        <w:rPr>
          <w:lang w:val="fr"/>
        </w:rPr>
        <w:t xml:space="preserve">. </w:t>
      </w:r>
    </w:p>
    <w:p w14:paraId="43993156" w14:textId="77777777" w:rsidR="00502FEE" w:rsidRPr="005703FE" w:rsidRDefault="00502FEE" w:rsidP="00502FEE">
      <w:pPr>
        <w:pStyle w:val="Heading1"/>
        <w:rPr>
          <w:lang w:val="fr-FR"/>
        </w:rPr>
      </w:pPr>
      <w:r>
        <w:rPr>
          <w:lang w:val="fr"/>
        </w:rPr>
        <w:t xml:space="preserve">Ce soutien a contribué à des réalisations importantes : ratification du Protocole de Montréal et de ses cinq amendements ; atteinte des objectifs d’élimination fixés par le Protocole ; adoption de nouvelles lois et réglementations ; communication en temps voulu des données de consommation et de production </w:t>
      </w:r>
      <w:r>
        <w:rPr>
          <w:lang w:val="fr"/>
        </w:rPr>
        <w:lastRenderedPageBreak/>
        <w:t>sur les substances réglementées, conformément à l’article 7 du Protocole, et des rapports des programmes nationaux ; intégration réussie des questions de protection de l’ozone dans les plans nationaux ; sensibilisation et coordination des nombreux acteurs ; et soutien à la mise en œuvre des plans d’élimination. De fait, les données disponibles permettent d’affirmer que les objectifs fixés par le Protocole de Montréal n’auraient pu être atteints sans le soutien au renforcement institutionnel.</w:t>
      </w:r>
    </w:p>
    <w:p w14:paraId="67068462" w14:textId="35616B79" w:rsidR="00502FEE" w:rsidRPr="005703FE" w:rsidRDefault="00502FEE" w:rsidP="00502FEE">
      <w:pPr>
        <w:pStyle w:val="Heading1"/>
        <w:rPr>
          <w:lang w:val="fr-FR"/>
        </w:rPr>
      </w:pPr>
      <w:r>
        <w:rPr>
          <w:lang w:val="fr"/>
        </w:rPr>
        <w:t>Depuis la première approbation à la 7</w:t>
      </w:r>
      <w:r>
        <w:rPr>
          <w:vertAlign w:val="superscript"/>
          <w:lang w:val="fr"/>
        </w:rPr>
        <w:t>e</w:t>
      </w:r>
      <w:r>
        <w:rPr>
          <w:lang w:val="fr"/>
        </w:rPr>
        <w:t xml:space="preserve"> réunion, les niveaux de financement du renforcement institutionnel ont augmenté à la 35</w:t>
      </w:r>
      <w:r>
        <w:rPr>
          <w:vertAlign w:val="superscript"/>
          <w:lang w:val="fr"/>
        </w:rPr>
        <w:t>e</w:t>
      </w:r>
      <w:r>
        <w:rPr>
          <w:lang w:val="fr"/>
        </w:rPr>
        <w:t xml:space="preserve"> réunion (de 30 %) et à la 74</w:t>
      </w:r>
      <w:r>
        <w:rPr>
          <w:vertAlign w:val="superscript"/>
          <w:lang w:val="fr"/>
        </w:rPr>
        <w:t>e</w:t>
      </w:r>
      <w:r>
        <w:rPr>
          <w:lang w:val="fr"/>
        </w:rPr>
        <w:t xml:space="preserve"> réunion (de 28 %). Cette dernière augmentation a été décidée à la suite de l’analyse du document sur l’examen du financement des projets de renforcement institutionnel</w:t>
      </w:r>
      <w:r>
        <w:rPr>
          <w:rStyle w:val="FootnoteReference"/>
          <w:lang w:val="fr"/>
        </w:rPr>
        <w:footnoteReference w:id="27"/>
      </w:r>
      <w:r>
        <w:rPr>
          <w:lang w:val="fr"/>
        </w:rPr>
        <w:t xml:space="preserve"> préparé conformément à la décision 61/43 b)</w:t>
      </w:r>
      <w:r>
        <w:rPr>
          <w:rStyle w:val="FootnoteReference"/>
          <w:lang w:val="fr"/>
        </w:rPr>
        <w:footnoteReference w:id="28"/>
      </w:r>
      <w:r>
        <w:rPr>
          <w:lang w:val="fr"/>
        </w:rPr>
        <w:t>. Lors de cette réunion, les membres ont souligné l’importance des projets de renforcement institutionnel et des UNO, qu’ils ont jugés essentiels au succès du Protocole de Montréal, et ont décidé d’accroître le niveau de financement du renforcement institutionnel et d’examiner la question à la première réunion de 2020 (c’est-à-dire la 85</w:t>
      </w:r>
      <w:r>
        <w:rPr>
          <w:vertAlign w:val="superscript"/>
          <w:lang w:val="fr"/>
        </w:rPr>
        <w:t>e</w:t>
      </w:r>
      <w:r>
        <w:rPr>
          <w:lang w:val="fr"/>
        </w:rPr>
        <w:t xml:space="preserve"> réunion) (décision 74/51 c) et d))</w:t>
      </w:r>
      <w:r>
        <w:rPr>
          <w:rStyle w:val="FootnoteReference"/>
          <w:lang w:val="fr"/>
        </w:rPr>
        <w:footnoteReference w:id="29"/>
      </w:r>
      <w:r>
        <w:rPr>
          <w:lang w:val="fr"/>
        </w:rPr>
        <w:t xml:space="preserve">. </w:t>
      </w:r>
    </w:p>
    <w:p w14:paraId="0011A322" w14:textId="77777777" w:rsidR="00502FEE" w:rsidRPr="005703FE" w:rsidRDefault="00502FEE" w:rsidP="00936884">
      <w:pPr>
        <w:pStyle w:val="Heading1"/>
        <w:rPr>
          <w:lang w:val="fr-FR"/>
        </w:rPr>
      </w:pPr>
      <w:r>
        <w:rPr>
          <w:lang w:val="fr"/>
        </w:rPr>
        <w:t>La charge de travail supplémentaire des UNO liée à l’Amendement de Kigali aurait trait à la collecte et à la communication de la production et de la consommation de HFC en vertu de l’article 7 du Protocole de Montréal ; à l’examen, à la mise à jour et à l’élargissement des cadres législatifs et réglementaires, notamment des systèmes opérationnels de permis d’importation/exportation et de quotas, en tenant compte des HCFC et des HFC ; et au respect de ces cadres réglementaires. Cette charge de travail supplémentaire serait abordée lors de l’analyse de l’augmentation du financement du renforcement institutionnel qui sera examinée à la 85</w:t>
      </w:r>
      <w:r>
        <w:rPr>
          <w:vertAlign w:val="superscript"/>
          <w:lang w:val="fr"/>
        </w:rPr>
        <w:t>e</w:t>
      </w:r>
      <w:r>
        <w:rPr>
          <w:lang w:val="fr"/>
        </w:rPr>
        <w:t xml:space="preserve"> réunion.</w:t>
      </w:r>
    </w:p>
    <w:p w14:paraId="3FAC08AC" w14:textId="1EBA5907" w:rsidR="00502FEE" w:rsidRPr="005703FE" w:rsidRDefault="00502FEE" w:rsidP="00502FEE">
      <w:pPr>
        <w:pStyle w:val="Heading1"/>
        <w:widowControl w:val="0"/>
        <w:rPr>
          <w:lang w:val="fr-FR"/>
        </w:rPr>
      </w:pPr>
      <w:r>
        <w:rPr>
          <w:color w:val="000000" w:themeColor="text1"/>
          <w:lang w:val="fr"/>
        </w:rPr>
        <w:t xml:space="preserve">Le rôle des UNO dans la coordination de la mise en œuvre des activités d’élimination a été renforcé grâce à la création des UGP financées au titre des PNE. </w:t>
      </w:r>
      <w:r>
        <w:rPr>
          <w:lang w:val="fr"/>
        </w:rPr>
        <w:t xml:space="preserve">Dans le cadre de l’élimination des HCFC, l’UGP est devenue partie intégrante des PGEH et des fonctions spécifiques, distinctes de celles de l’UNO lui sont assignées pour la préparation des plans d’action annuels, la gestion des activités avec les parties prenantes, ainsi que la surveillance et la communication des progrès relatifs aux PGEH. Les UGP sont établies soit avec une structure distincte, soit dans le contexte plus large de la coordination, du suivi et de la gestion des projets, et leur mandat est inclus dans l’annexe 5-A de l’accord entre le gouvernement concerné et le Comité exécutif. </w:t>
      </w:r>
    </w:p>
    <w:p w14:paraId="45D5869A" w14:textId="3BC19049" w:rsidR="00502FEE" w:rsidRPr="005703FE" w:rsidRDefault="00502FEE" w:rsidP="00502FEE">
      <w:pPr>
        <w:pStyle w:val="Heading1"/>
        <w:rPr>
          <w:lang w:val="fr-FR"/>
        </w:rPr>
      </w:pPr>
      <w:r>
        <w:rPr>
          <w:lang w:val="fr"/>
        </w:rPr>
        <w:t>Le niveau de financement de l’UGP est fondé sur une évaluation du type de projets et d’activités d’élimination qui seront mis en œuvre au cours de l’ensemble du PGEH et varie entre une moyenne de 5 % et un maximum de 10 % du financement total du PGEH pour les pays hors PFV et de 20 % pour les PFV.</w:t>
      </w:r>
    </w:p>
    <w:p w14:paraId="2B999A70" w14:textId="77777777" w:rsidR="00502FEE" w:rsidRPr="001427A4" w:rsidRDefault="00502FEE" w:rsidP="00DA4013">
      <w:pPr>
        <w:keepNext/>
        <w:keepLines/>
        <w:rPr>
          <w:bCs/>
          <w:iCs/>
          <w:u w:val="single"/>
        </w:rPr>
      </w:pPr>
      <w:r>
        <w:rPr>
          <w:u w:val="single"/>
          <w:lang w:val="fr"/>
        </w:rPr>
        <w:lastRenderedPageBreak/>
        <w:t xml:space="preserve">Agences bilatérales et d’exécution </w:t>
      </w:r>
    </w:p>
    <w:p w14:paraId="3EC68205" w14:textId="77777777" w:rsidR="00502FEE" w:rsidRDefault="00502FEE" w:rsidP="00DA4013">
      <w:pPr>
        <w:keepNext/>
        <w:keepLines/>
      </w:pPr>
    </w:p>
    <w:p w14:paraId="6076D0A8" w14:textId="47B0616F" w:rsidR="00502FEE" w:rsidRPr="005703FE" w:rsidRDefault="00502FEE" w:rsidP="00DA4013">
      <w:pPr>
        <w:pStyle w:val="Heading1"/>
        <w:keepNext/>
        <w:keepLines/>
        <w:rPr>
          <w:lang w:val="fr-FR"/>
        </w:rPr>
      </w:pPr>
      <w:r>
        <w:rPr>
          <w:lang w:val="fr"/>
        </w:rPr>
        <w:t>En 2001-2002, dans le cadre de la planification stratégique du Fonds multilatéral, le Comité exécutif a adopté une approche axée sur les pays</w:t>
      </w:r>
      <w:r>
        <w:rPr>
          <w:rStyle w:val="FootnoteReference"/>
          <w:color w:val="000000" w:themeColor="text1"/>
          <w:lang w:val="fr"/>
        </w:rPr>
        <w:footnoteReference w:id="30"/>
      </w:r>
      <w:r>
        <w:rPr>
          <w:lang w:val="fr"/>
        </w:rPr>
        <w:t xml:space="preserve"> et a éliminé les parts des agences dans les fonds des projets d’investissement</w:t>
      </w:r>
      <w:r>
        <w:rPr>
          <w:rStyle w:val="FootnoteReference"/>
          <w:color w:val="000000" w:themeColor="text1"/>
          <w:lang w:val="fr"/>
        </w:rPr>
        <w:footnoteReference w:id="31"/>
      </w:r>
      <w:r>
        <w:rPr>
          <w:lang w:val="fr"/>
        </w:rPr>
        <w:t>. À sa 35</w:t>
      </w:r>
      <w:r>
        <w:rPr>
          <w:vertAlign w:val="superscript"/>
          <w:lang w:val="fr"/>
        </w:rPr>
        <w:t>e</w:t>
      </w:r>
      <w:r>
        <w:rPr>
          <w:lang w:val="fr"/>
        </w:rPr>
        <w:t xml:space="preserve"> réunion, le Comité exécutif a approuvé pour la première fois le budget du PAC</w:t>
      </w:r>
      <w:r>
        <w:rPr>
          <w:vertAlign w:val="superscript"/>
          <w:lang w:val="fr"/>
        </w:rPr>
        <w:footnoteReference w:id="32"/>
      </w:r>
      <w:r>
        <w:rPr>
          <w:lang w:val="fr"/>
        </w:rPr>
        <w:t xml:space="preserve"> pour le PNUE et, à sa 38</w:t>
      </w:r>
      <w:r>
        <w:rPr>
          <w:vertAlign w:val="superscript"/>
          <w:lang w:val="fr"/>
        </w:rPr>
        <w:t>e</w:t>
      </w:r>
      <w:r>
        <w:rPr>
          <w:lang w:val="fr"/>
        </w:rPr>
        <w:t xml:space="preserve"> réunion, il a approuvé les budgets des coûts de base du PNUD, de l’ONUDI et de la Banque mondiale, et ajusté les coûts d’appui d’agence associés aux propositions de projets</w:t>
      </w:r>
      <w:r>
        <w:rPr>
          <w:rStyle w:val="FootnoteReference"/>
          <w:lang w:val="fr"/>
        </w:rPr>
        <w:footnoteReference w:id="33"/>
      </w:r>
      <w:r>
        <w:rPr>
          <w:lang w:val="fr"/>
        </w:rPr>
        <w:t>.</w:t>
      </w:r>
    </w:p>
    <w:p w14:paraId="492FAAE0" w14:textId="77777777" w:rsidR="00502FEE" w:rsidRPr="005703FE" w:rsidRDefault="00502FEE" w:rsidP="00CB7DE8">
      <w:pPr>
        <w:pStyle w:val="Heading1"/>
        <w:widowControl w:val="0"/>
        <w:rPr>
          <w:lang w:val="fr-FR"/>
        </w:rPr>
      </w:pPr>
      <w:r>
        <w:rPr>
          <w:snapToGrid w:val="0"/>
          <w:lang w:val="fr"/>
        </w:rPr>
        <w:t>Les principales fonctions des services centraux consistent à examiner les demandes de projets et à préparer les propositions de projets ; à assurer la coordination avec les représentants des gouvernements, à conclure des accords juridiques et à définir le mandat des sous-traitants ; à présenter des rapports périodiques, des plans d’activité, des propositions de projets pour le compte des pays visés à l’article 5, des rapports sur des projets spécifiques en cours, des rapports d’achèvement de projet pour examen par le Comité, en abordant toutes les questions soulevées par le Secrétariat ; à mobiliser des ressources supplémentaires pour la mise en œuvre des projets approuvés, si nécessaire, à gérer les documents contractuels et comptables ainsi que le processus de soumission ; à procéder au suivi de la mise en œuvre, notamment des visites dans les pays si des retards excessifs ou des difficultés sont constatés ; et à participer aux réunions du Comité exécutif et du Secrétariat.</w:t>
      </w:r>
    </w:p>
    <w:p w14:paraId="44BB3827" w14:textId="77777777" w:rsidR="00502FEE" w:rsidRPr="005703FE" w:rsidRDefault="00502FEE" w:rsidP="00CB7DE8">
      <w:pPr>
        <w:pStyle w:val="Heading1"/>
        <w:keepNext/>
        <w:keepLines/>
        <w:rPr>
          <w:lang w:val="fr-FR"/>
        </w:rPr>
      </w:pPr>
      <w:r>
        <w:rPr>
          <w:lang w:val="fr"/>
        </w:rPr>
        <w:t>Les demandes de financement des coûts de base sont présentées à la dernière réunion de chaque année, pour examen par le Comité exécutif</w:t>
      </w:r>
      <w:r>
        <w:rPr>
          <w:rStyle w:val="FootnoteReference"/>
          <w:lang w:val="fr"/>
        </w:rPr>
        <w:footnoteReference w:id="34"/>
      </w:r>
      <w:r>
        <w:rPr>
          <w:lang w:val="fr"/>
        </w:rPr>
        <w:t xml:space="preserve">. Le Secrétariat examine les demandes de financement et formule une recommandation concernant leur approbation. </w:t>
      </w:r>
    </w:p>
    <w:p w14:paraId="5D6615C5" w14:textId="77777777" w:rsidR="00502FEE" w:rsidRPr="005703FE" w:rsidRDefault="00502FEE" w:rsidP="00CB7DE8">
      <w:pPr>
        <w:pStyle w:val="Heading1"/>
        <w:widowControl w:val="0"/>
        <w:rPr>
          <w:snapToGrid w:val="0"/>
          <w:lang w:val="fr-FR"/>
        </w:rPr>
      </w:pPr>
      <w:r>
        <w:rPr>
          <w:lang w:val="fr"/>
        </w:rPr>
        <w:t xml:space="preserve">En ce qui concerne la mise en œuvre des plans d’élimination, </w:t>
      </w:r>
      <w:r>
        <w:rPr>
          <w:snapToGrid w:val="0"/>
          <w:lang w:val="fr"/>
        </w:rPr>
        <w:t>les rôles et responsabilités des agences bilatérales et d’exécution, financés par les coûts d’appui d’agence, sont décrits à l’annexe 6 des accords de PGEH, et comprennent les éléments suivants :</w:t>
      </w:r>
    </w:p>
    <w:p w14:paraId="305E0C18" w14:textId="77777777" w:rsidR="00502FEE" w:rsidRPr="005703FE" w:rsidRDefault="00502FEE" w:rsidP="00502FEE">
      <w:pPr>
        <w:pStyle w:val="Heading2"/>
        <w:rPr>
          <w:snapToGrid w:val="0"/>
          <w:lang w:val="fr-FR"/>
        </w:rPr>
      </w:pPr>
      <w:r>
        <w:rPr>
          <w:snapToGrid w:val="0"/>
          <w:u w:val="single"/>
          <w:lang w:val="fr"/>
        </w:rPr>
        <w:t>Agence principale</w:t>
      </w:r>
      <w:r>
        <w:rPr>
          <w:snapToGrid w:val="0"/>
          <w:lang w:val="fr"/>
        </w:rPr>
        <w:t xml:space="preserve"> : Assurer la vérification financière et celle des performances en application de l’accord et selon les procédures et les exigences internes ; préparer des rapports périodiques concernant les tranches de financement antérieures et des plans d’action pour la tranche de financement suivante ; assurer une vérification indépendante contrôlant que les objectifs d’élimination ont bien été atteints et que les activités de la tranche correspondante ont été achevées ; répondre aux exigences de remise de rapport pour les rapports périodiques et les plans généraux ; veiller à ce que des experts techniques indépendants compétents réalisent les examens techniques requis ; effectuer les missions de supervision requises ; assurer l’existence d’un mécanisme opérationnel </w:t>
      </w:r>
      <w:r>
        <w:rPr>
          <w:snapToGrid w:val="0"/>
          <w:lang w:val="fr"/>
        </w:rPr>
        <w:lastRenderedPageBreak/>
        <w:t xml:space="preserve">permettant la mise en œuvre efficace et transparente du plan d’élimination, et la communication de données exactes ; et apporter une aide en matière de politique, de gestion et de soutien technique ; </w:t>
      </w:r>
    </w:p>
    <w:p w14:paraId="2302D348" w14:textId="77777777" w:rsidR="00502FEE" w:rsidRPr="005703FE" w:rsidRDefault="00502FEE" w:rsidP="00502FEE">
      <w:pPr>
        <w:pStyle w:val="Heading2"/>
        <w:rPr>
          <w:snapToGrid w:val="0"/>
          <w:lang w:val="fr-FR"/>
        </w:rPr>
      </w:pPr>
      <w:r>
        <w:rPr>
          <w:snapToGrid w:val="0"/>
          <w:u w:val="single"/>
          <w:lang w:val="fr"/>
        </w:rPr>
        <w:t>Agence de coopération</w:t>
      </w:r>
      <w:r>
        <w:rPr>
          <w:snapToGrid w:val="0"/>
          <w:lang w:val="fr"/>
        </w:rPr>
        <w:t xml:space="preserve"> : </w:t>
      </w:r>
      <w:r>
        <w:rPr>
          <w:noProof/>
          <w:lang w:val="fr"/>
        </w:rPr>
        <w:t>Apporter une assistance stratégique, administrative et technique si nécessaire</w:t>
      </w:r>
      <w:r>
        <w:rPr>
          <w:snapToGrid w:val="0"/>
          <w:lang w:val="fr"/>
        </w:rPr>
        <w:t> ; mettre en œuvre et évaluer des activités financées par l’agence de coopération, tout en consultant l’agence principale pour assurer le déroulement coordonné des activités ; et s’entendre avec l’agence principale sur toutes dispositions de planification, de coordination et d’établissement de rapport nécessaires en vue de faciliter la mise en œuvre du plan.</w:t>
      </w:r>
    </w:p>
    <w:p w14:paraId="3E702D79" w14:textId="77777777" w:rsidR="00502FEE" w:rsidRPr="005703FE" w:rsidRDefault="00502FEE" w:rsidP="00502FEE">
      <w:pPr>
        <w:pStyle w:val="Heading1"/>
        <w:rPr>
          <w:lang w:val="fr-FR"/>
        </w:rPr>
      </w:pPr>
      <w:r>
        <w:rPr>
          <w:lang w:val="fr"/>
        </w:rPr>
        <w:t xml:space="preserve">À mesure que les pays visés à l’article 5 ratifient l’Amendement de Kigali et contractent les obligations associées, le soutien des agences bilatérales et d’exécution sera nécessaire lors de la conception de leurs stratégies de réduction progressive des HFC, en plus de l’appui actuellement fourni à la mise en œuvre de leurs PGEH. Pour réduire les HFC d’ici à 2024 (première mesure de contrôle pour les pays du groupe 1 de l’article 5), la mise en œuvre des activités sur les HFC devrait commencer au moins deux ans à l’avance. Toutefois, en l’absence de données de consommation sur les HFC, il est impossible de déterminer le nombre de pays visés à l’article 5 qui auraient besoin d’une assistance immédiate.  </w:t>
      </w:r>
    </w:p>
    <w:p w14:paraId="708D5D43" w14:textId="77777777" w:rsidR="00502FEE" w:rsidRPr="005703FE" w:rsidRDefault="00502FEE" w:rsidP="00502FEE">
      <w:pPr>
        <w:pStyle w:val="Heading1"/>
        <w:rPr>
          <w:snapToGrid w:val="0"/>
          <w:lang w:val="fr-FR"/>
        </w:rPr>
      </w:pPr>
      <w:r>
        <w:rPr>
          <w:snapToGrid w:val="0"/>
          <w:lang w:val="fr"/>
        </w:rPr>
        <w:t>D’après les plans d’activités 2020-2022 des agences d’exécution, la charge de travail supplémentaire liée à la préparation des plans de réduction progressive des HFC au cours de cette période semble être comparable à celle liée à la préparation des étapes des PGEH. La conception des plans de réduction progressive des HFC semble être graduelle (les six premiers plans pourraient être soumis en 2022) et la charge de travail initiale pour les prochaines années peut donc être absorbée avec les ressources existantes et les dépenses d’appui supplémentaires associées aux nouvelles activités.</w:t>
      </w:r>
    </w:p>
    <w:p w14:paraId="7A3FB92A" w14:textId="639074D2" w:rsidR="00502FEE" w:rsidRPr="005703FE" w:rsidRDefault="00502FEE" w:rsidP="00DC2DDD">
      <w:pPr>
        <w:pStyle w:val="Heading1"/>
        <w:rPr>
          <w:snapToGrid w:val="0"/>
          <w:lang w:val="fr-FR"/>
        </w:rPr>
      </w:pPr>
      <w:r>
        <w:rPr>
          <w:snapToGrid w:val="0"/>
          <w:lang w:val="fr"/>
        </w:rPr>
        <w:t xml:space="preserve">Les agences bilatérales et d’exécution ont indiqué que les activités actuelles d’élimination des HCFC et la mise en œuvre de l’Amendement de Kigali par le biais des activités connexes de réduction progressive des HFC présentent de nouveaux défis dans le cadre de l’aide apportée aux pays visés à l’article 5 en vue du respect de leurs obligations au titre du Protocole de Montréal et de la mise en œuvre de l’Amendement de Kigali. </w:t>
      </w:r>
    </w:p>
    <w:p w14:paraId="79AF7AC3" w14:textId="77777777" w:rsidR="00502FEE" w:rsidRPr="005703FE" w:rsidRDefault="00502FEE" w:rsidP="00502FEE">
      <w:pPr>
        <w:rPr>
          <w:i/>
          <w:iCs/>
          <w:snapToGrid w:val="0"/>
          <w:lang w:val="fr-FR"/>
        </w:rPr>
      </w:pPr>
      <w:r>
        <w:rPr>
          <w:i/>
          <w:iCs/>
          <w:snapToGrid w:val="0"/>
          <w:lang w:val="fr"/>
        </w:rPr>
        <w:t>Programme d’aide à la conformité du PNUE</w:t>
      </w:r>
    </w:p>
    <w:p w14:paraId="5C058A71" w14:textId="77777777" w:rsidR="00502FEE" w:rsidRPr="005703FE" w:rsidRDefault="00502FEE" w:rsidP="00502FEE">
      <w:pPr>
        <w:rPr>
          <w:lang w:val="fr-FR"/>
        </w:rPr>
      </w:pPr>
    </w:p>
    <w:p w14:paraId="5B9CF7C7" w14:textId="3ED668BB" w:rsidR="00502FEE" w:rsidRPr="005703FE" w:rsidRDefault="00502FEE" w:rsidP="00502FEE">
      <w:pPr>
        <w:pStyle w:val="Heading1"/>
        <w:rPr>
          <w:lang w:val="fr-FR"/>
        </w:rPr>
      </w:pPr>
      <w:r>
        <w:rPr>
          <w:lang w:val="fr"/>
        </w:rPr>
        <w:t>Le PAC</w:t>
      </w:r>
      <w:r>
        <w:rPr>
          <w:rStyle w:val="FootnoteReference"/>
          <w:lang w:val="fr"/>
        </w:rPr>
        <w:footnoteReference w:id="35"/>
      </w:r>
      <w:r>
        <w:rPr>
          <w:lang w:val="fr"/>
        </w:rPr>
        <w:t xml:space="preserve"> du PNUE a été approuvé pour fournir des services et une assistance aux pays visés à l’article 5, par le biais d’une présence régionale, afin de veiller au respect des obligations de conformité de ces pays au titre du Protocole de Montréal. Le PAC a renforcé la capacité des gouvernements, en particulier des </w:t>
      </w:r>
      <w:r>
        <w:rPr>
          <w:color w:val="000000" w:themeColor="text1"/>
          <w:lang w:val="fr"/>
        </w:rPr>
        <w:t>UNO</w:t>
      </w:r>
      <w:r>
        <w:rPr>
          <w:lang w:val="fr"/>
        </w:rPr>
        <w:t xml:space="preserve">, des ministères et des autres parties prenantes, à élaborer et à faire appliquer les politiques et réglementations nécessaires à la mise en œuvre du Protocole de Montréal, ainsi qu’à prendre des décisions éclairées sur les cadres réglementaires, institutionnels et politiques, ainsi que sur les technologies de remplacement en accord avec les objectifs d’élimination convenus. </w:t>
      </w:r>
    </w:p>
    <w:p w14:paraId="2FDA6842" w14:textId="7991D1A1" w:rsidR="00502FEE" w:rsidRPr="005703FE" w:rsidRDefault="00502FEE" w:rsidP="00B86E57">
      <w:pPr>
        <w:pStyle w:val="Heading1"/>
        <w:widowControl w:val="0"/>
        <w:rPr>
          <w:lang w:val="fr-FR"/>
        </w:rPr>
      </w:pPr>
      <w:r>
        <w:rPr>
          <w:lang w:val="fr"/>
        </w:rPr>
        <w:lastRenderedPageBreak/>
        <w:t>Les demandes de financement concernant le budget du PAC sont soumises chaque année à l’examen du Comité exécutif et comprennent un rapport d’activité complet sur les activités mises en œuvre l’année précédente, un rapport financier sur les décaissements et un programme de travail pour l’année suivante</w:t>
      </w:r>
      <w:r>
        <w:rPr>
          <w:rStyle w:val="FootnoteReference"/>
          <w:lang w:val="fr"/>
        </w:rPr>
        <w:footnoteReference w:id="36"/>
      </w:r>
      <w:r>
        <w:rPr>
          <w:lang w:val="fr"/>
        </w:rPr>
        <w:t xml:space="preserve">. La demande de financement du PAC prévoit 82 % pour les dépenses de personnel et de fonctionnement et 18 % pour les coûts d’activité. Le Secrétariat examine les demandes et formule une recommandation concernant leur approbation. </w:t>
      </w:r>
    </w:p>
    <w:p w14:paraId="68DE7315" w14:textId="77777777" w:rsidR="00502FEE" w:rsidRPr="005703FE" w:rsidRDefault="00502FEE" w:rsidP="00502FEE">
      <w:pPr>
        <w:rPr>
          <w:b/>
          <w:lang w:val="fr-FR"/>
        </w:rPr>
      </w:pPr>
      <w:r>
        <w:rPr>
          <w:b/>
          <w:bCs/>
          <w:lang w:val="fr"/>
        </w:rPr>
        <w:t>Coopération entre les institutions du Fonds et d’autres institutions</w:t>
      </w:r>
    </w:p>
    <w:p w14:paraId="38F1D4EE" w14:textId="77777777" w:rsidR="00502FEE" w:rsidRPr="005703FE" w:rsidRDefault="00502FEE" w:rsidP="00502FEE">
      <w:pPr>
        <w:rPr>
          <w:lang w:val="fr-FR"/>
        </w:rPr>
      </w:pPr>
    </w:p>
    <w:p w14:paraId="3082824F" w14:textId="221983E4" w:rsidR="00502FEE" w:rsidRPr="005703FE" w:rsidRDefault="00502FEE" w:rsidP="00DA4013">
      <w:pPr>
        <w:pStyle w:val="Heading1"/>
        <w:widowControl w:val="0"/>
        <w:rPr>
          <w:lang w:val="fr-FR"/>
        </w:rPr>
      </w:pPr>
      <w:r>
        <w:rPr>
          <w:lang w:val="fr"/>
        </w:rPr>
        <w:t>Le besoin et le niveau de coopération entre les institutions du Fonds multilatéral et d’autres institutions ne participant pas à l’élimination des HCFC (c’est-à-dire les services des douanes, le secteur privé et ses associations, les importateurs et distributeurs de substances réglementées et d’équipements, les établissements de formation professionnelle ou autre, les universités et les organisations non gouvernementales) seront soumis à des considérations supplémentaires découlant de l’Amendement de Kigali, comme le contrôle des émissions du HFC-23, et le rendement énergétique dans les secteurs de l’entretien et/ou de la fabrication d’équipements de réfrigération.</w:t>
      </w:r>
    </w:p>
    <w:p w14:paraId="19CDCDFE" w14:textId="07230790" w:rsidR="00502FEE" w:rsidRPr="005703FE" w:rsidRDefault="00502FEE" w:rsidP="00502FEE">
      <w:pPr>
        <w:pStyle w:val="Heading1"/>
        <w:rPr>
          <w:lang w:val="fr-FR"/>
        </w:rPr>
      </w:pPr>
      <w:r>
        <w:rPr>
          <w:lang w:val="fr"/>
        </w:rPr>
        <w:t>Pour ce qui est du secteur de la production, le contrôle des émissions de HFC-23 en tant que sous-produit de la production de HCFC-22 concerne un nombre limité de pays. Pour ce qui est des questions liées au rendement énergétique, le Comité exécutif doit fournir des orientations sur la façon dont il souhaite aborder la question ainsi que l’éventuelle coopération avec d’autres institutions. À sa 82</w:t>
      </w:r>
      <w:r>
        <w:rPr>
          <w:vertAlign w:val="superscript"/>
          <w:lang w:val="fr"/>
        </w:rPr>
        <w:t>e</w:t>
      </w:r>
      <w:r w:rsidR="00527897">
        <w:rPr>
          <w:lang w:val="fr"/>
        </w:rPr>
        <w:t> </w:t>
      </w:r>
      <w:r>
        <w:rPr>
          <w:lang w:val="fr"/>
        </w:rPr>
        <w:t>réunion, le Comité exécutif a demandé au Secrétariat de préparer un document pour la 83</w:t>
      </w:r>
      <w:r>
        <w:rPr>
          <w:vertAlign w:val="superscript"/>
          <w:lang w:val="fr"/>
        </w:rPr>
        <w:t>e</w:t>
      </w:r>
      <w:r>
        <w:rPr>
          <w:lang w:val="fr"/>
        </w:rPr>
        <w:t xml:space="preserve"> réunion devant fournir, dans un premier temps, des informations sur les fonds et les institutions financières qui mobilisent des ressources dans le domaine du rendement énergétique afin de les utiliser pour réduire progressivement les HFC au titre du Fonds multilatéral (décision 82/83 d)). Le Comité exécutif a examiné le document à sa 83</w:t>
      </w:r>
      <w:r>
        <w:rPr>
          <w:vertAlign w:val="superscript"/>
          <w:lang w:val="fr"/>
        </w:rPr>
        <w:t>e</w:t>
      </w:r>
      <w:r>
        <w:rPr>
          <w:lang w:val="fr"/>
        </w:rPr>
        <w:t xml:space="preserve"> réunion</w:t>
      </w:r>
      <w:r>
        <w:rPr>
          <w:rStyle w:val="FootnoteReference"/>
          <w:lang w:val="fr"/>
        </w:rPr>
        <w:footnoteReference w:id="37"/>
      </w:r>
      <w:r>
        <w:rPr>
          <w:lang w:val="fr"/>
        </w:rPr>
        <w:t xml:space="preserve"> et continuera d’en débattre à sa 84</w:t>
      </w:r>
      <w:r>
        <w:rPr>
          <w:vertAlign w:val="superscript"/>
          <w:lang w:val="fr"/>
        </w:rPr>
        <w:t>e</w:t>
      </w:r>
      <w:r>
        <w:rPr>
          <w:lang w:val="fr"/>
        </w:rPr>
        <w:t xml:space="preserve"> réunion (décision 83/63), raison pour laquelle il a été soumis à nouveau par Secrétariat</w:t>
      </w:r>
      <w:r>
        <w:rPr>
          <w:rStyle w:val="FootnoteReference"/>
          <w:lang w:val="fr"/>
        </w:rPr>
        <w:footnoteReference w:id="38"/>
      </w:r>
      <w:r>
        <w:rPr>
          <w:lang w:val="fr"/>
        </w:rPr>
        <w:t>.</w:t>
      </w:r>
    </w:p>
    <w:p w14:paraId="07645315" w14:textId="77777777" w:rsidR="00502FEE" w:rsidRPr="006F6FFB" w:rsidRDefault="00502FEE" w:rsidP="00502FEE">
      <w:pPr>
        <w:rPr>
          <w:b/>
        </w:rPr>
      </w:pPr>
      <w:r>
        <w:rPr>
          <w:b/>
          <w:bCs/>
          <w:lang w:val="fr"/>
        </w:rPr>
        <w:t>Politiques du Comité exécutif</w:t>
      </w:r>
    </w:p>
    <w:p w14:paraId="2ED3FCE2" w14:textId="77777777" w:rsidR="00502FEE" w:rsidRPr="006F6FFB" w:rsidRDefault="00502FEE" w:rsidP="00502FEE"/>
    <w:p w14:paraId="1599430B" w14:textId="38F501C0" w:rsidR="00502FEE" w:rsidRPr="005703FE" w:rsidRDefault="00502FEE" w:rsidP="00502FEE">
      <w:pPr>
        <w:pStyle w:val="Heading1"/>
        <w:rPr>
          <w:lang w:val="fr-FR"/>
        </w:rPr>
      </w:pPr>
      <w:r>
        <w:rPr>
          <w:lang w:val="fr"/>
        </w:rPr>
        <w:t>Bien que de nouvelles politiques relatives à la réduction progressive des HFC pourraient être nécessaires, la décision 79/46 b) iii) permet aux pays du groupe 1 des pays visés à l’article 5</w:t>
      </w:r>
      <w:r>
        <w:rPr>
          <w:rStyle w:val="FootnoteReference"/>
          <w:lang w:val="fr"/>
        </w:rPr>
        <w:footnoteReference w:id="39"/>
      </w:r>
      <w:r>
        <w:rPr>
          <w:lang w:val="fr"/>
        </w:rPr>
        <w:t xml:space="preserve"> qui ont ratifié l’Amendement de Kigali de demander un financement pour la préparation de plans nationaux visant à satisfaire aux obligations de réduction initiale des HFC, cinq ans avant leur entrée en vigueur (soit en 2019, car le gel de la consommation est fixé à 2024)</w:t>
      </w:r>
      <w:r>
        <w:rPr>
          <w:rStyle w:val="FootnoteReference"/>
          <w:lang w:val="fr"/>
        </w:rPr>
        <w:footnoteReference w:id="40"/>
      </w:r>
      <w:r>
        <w:rPr>
          <w:lang w:val="fr"/>
        </w:rPr>
        <w:t xml:space="preserve">. </w:t>
      </w:r>
    </w:p>
    <w:p w14:paraId="33ADC7C7" w14:textId="77777777" w:rsidR="00502FEE" w:rsidRPr="005703FE" w:rsidRDefault="00502FEE" w:rsidP="00502FEE">
      <w:pPr>
        <w:pStyle w:val="Heading1"/>
        <w:numPr>
          <w:ilvl w:val="0"/>
          <w:numId w:val="0"/>
        </w:numPr>
        <w:rPr>
          <w:bCs/>
          <w:iCs/>
          <w:u w:val="single"/>
          <w:lang w:val="fr-FR"/>
        </w:rPr>
      </w:pPr>
      <w:r>
        <w:rPr>
          <w:u w:val="single"/>
          <w:lang w:val="fr"/>
        </w:rPr>
        <w:t>Préparation des propositions de projets de réduction progressive des HFC</w:t>
      </w:r>
    </w:p>
    <w:p w14:paraId="2CD5DB69" w14:textId="0C8C264C" w:rsidR="00502FEE" w:rsidRPr="005703FE" w:rsidRDefault="00DC2DDD" w:rsidP="00502FEE">
      <w:pPr>
        <w:pStyle w:val="Heading1"/>
        <w:rPr>
          <w:lang w:val="fr-FR"/>
        </w:rPr>
      </w:pPr>
      <w:r>
        <w:rPr>
          <w:lang w:val="fr"/>
        </w:rPr>
        <w:t>Les lignes directrices relatives à la préparation des plans de réduction progressive des HFC pourraient être élaborées selon une approche proche de celle utilisée pour les lignes directrices relatives à la préparation des PGEH (adoptées à la 54</w:t>
      </w:r>
      <w:r>
        <w:rPr>
          <w:vertAlign w:val="superscript"/>
          <w:lang w:val="fr"/>
        </w:rPr>
        <w:t>e</w:t>
      </w:r>
      <w:r>
        <w:rPr>
          <w:lang w:val="fr"/>
        </w:rPr>
        <w:t xml:space="preserve"> réunion). Lors de la phase préparatoire des PGEH, le Comité exécutif a financé une aide pour inclure les mesures de réglementation des HCFC dans la législation, les réglementations et les systèmes d’octroi de permis, et a décidé de demander la confirmation de sa mise en œuvre en tant que condition préalable au financement de la mise en œuvre du PGEH (décision 54/39)</w:t>
      </w:r>
      <w:r>
        <w:rPr>
          <w:rStyle w:val="FootnoteReference"/>
          <w:lang w:val="fr"/>
        </w:rPr>
        <w:footnoteReference w:id="41"/>
      </w:r>
      <w:r>
        <w:rPr>
          <w:lang w:val="fr"/>
        </w:rPr>
        <w:t xml:space="preserve">. La structure des coûts utilisée pour déterminer les niveaux de financement de la préparation des projets </w:t>
      </w:r>
      <w:r>
        <w:rPr>
          <w:lang w:val="fr"/>
        </w:rPr>
        <w:lastRenderedPageBreak/>
        <w:t>d’investissement et des activités connexes, ainsi que les éléments de financement relatifs à la préparation des PGEH ont été convenus à la 56</w:t>
      </w:r>
      <w:r>
        <w:rPr>
          <w:vertAlign w:val="superscript"/>
          <w:lang w:val="fr"/>
        </w:rPr>
        <w:t>e</w:t>
      </w:r>
      <w:r>
        <w:rPr>
          <w:lang w:val="fr"/>
        </w:rPr>
        <w:t xml:space="preserve"> réunion (décision 56/16)</w:t>
      </w:r>
      <w:r>
        <w:rPr>
          <w:rStyle w:val="FootnoteReference"/>
          <w:lang w:val="fr"/>
        </w:rPr>
        <w:footnoteReference w:id="42"/>
      </w:r>
      <w:r>
        <w:rPr>
          <w:lang w:val="fr"/>
        </w:rPr>
        <w:t>. Les directives relatives à la préparation de la phase II des PGEH ont été approuvées à la 71</w:t>
      </w:r>
      <w:r>
        <w:rPr>
          <w:vertAlign w:val="superscript"/>
          <w:lang w:val="fr"/>
        </w:rPr>
        <w:t>e</w:t>
      </w:r>
      <w:r>
        <w:rPr>
          <w:lang w:val="fr"/>
        </w:rPr>
        <w:t xml:space="preserve"> réunion (décision 71/42)</w:t>
      </w:r>
      <w:r>
        <w:rPr>
          <w:rStyle w:val="FootnoteReference"/>
          <w:lang w:val="fr"/>
        </w:rPr>
        <w:footnoteReference w:id="43"/>
      </w:r>
      <w:r>
        <w:rPr>
          <w:lang w:val="fr"/>
        </w:rPr>
        <w:t xml:space="preserve">. </w:t>
      </w:r>
    </w:p>
    <w:p w14:paraId="234F14E0" w14:textId="005A7A73" w:rsidR="00502FEE" w:rsidRPr="005703FE" w:rsidRDefault="00502FEE" w:rsidP="00502FEE">
      <w:pPr>
        <w:pStyle w:val="Heading1"/>
        <w:rPr>
          <w:lang w:val="fr-FR"/>
        </w:rPr>
      </w:pPr>
      <w:r>
        <w:rPr>
          <w:lang w:val="fr"/>
        </w:rPr>
        <w:t>Les agences bilatérales et d’exécution ont inclus le financement pour la préparation des propositions de projets sur les HFC dans leurs plans d’activités 2020-2022. Toutefois, des lignes directrices relatives à la préparation et à la présentation de plans de réduction progressive des HFC devraient être élaborées et approuvées. Divers éléments des lignes directrices élaborées pour les phases I et II des PGEH sont pertinents pour l’élimination des HFC ; toutefois, une décision sur la mise en œuvre parallèle ou intégrée de différents éléments des activités d’élimination des HCFC et de réduction progressive des HFC au cours de la période 2020-2030 aura un impact sur l’élaboration des lignes directrices sur les HFC.</w:t>
      </w:r>
    </w:p>
    <w:p w14:paraId="2BE0A506" w14:textId="2DBA46CF" w:rsidR="00502FEE" w:rsidRPr="003716D2" w:rsidRDefault="00502FEE" w:rsidP="00502FEE">
      <w:pPr>
        <w:rPr>
          <w:b/>
        </w:rPr>
      </w:pPr>
      <w:r>
        <w:rPr>
          <w:b/>
          <w:bCs/>
          <w:lang w:val="fr"/>
        </w:rPr>
        <w:t>PARTIE</w:t>
      </w:r>
      <w:r w:rsidR="00593D2B">
        <w:rPr>
          <w:b/>
          <w:bCs/>
          <w:lang w:val="fr"/>
        </w:rPr>
        <w:t> </w:t>
      </w:r>
      <w:r>
        <w:rPr>
          <w:b/>
          <w:bCs/>
          <w:lang w:val="fr"/>
        </w:rPr>
        <w:t>III</w:t>
      </w:r>
      <w:r>
        <w:rPr>
          <w:b/>
          <w:bCs/>
          <w:lang w:val="fr"/>
        </w:rPr>
        <w:tab/>
        <w:t>OBSERVATIONS</w:t>
      </w:r>
    </w:p>
    <w:p w14:paraId="6427B43D" w14:textId="77777777" w:rsidR="00502FEE" w:rsidRDefault="00502FEE" w:rsidP="00502FEE"/>
    <w:p w14:paraId="623A78ED" w14:textId="00213BCC" w:rsidR="00502FEE" w:rsidRPr="005703FE" w:rsidRDefault="00502FEE" w:rsidP="00DA4013">
      <w:pPr>
        <w:pStyle w:val="Heading1"/>
        <w:widowControl w:val="0"/>
        <w:rPr>
          <w:lang w:val="fr-FR"/>
        </w:rPr>
      </w:pPr>
      <w:r>
        <w:rPr>
          <w:lang w:val="fr"/>
        </w:rPr>
        <w:t xml:space="preserve">La mise en œuvre parallèle ou intégrée de l’élimination des HCFC et de la réduction progressive des HFC dans les pays visés à l’article 5 dépendra d’un certain nombre de facteurs, notamment des quantités de HCFC et de HFC qui devraient être réduites par les pays visés à l’article 5 pendant la période 2020-2030 pour atteindre les objectifs de réglementation fixés par le Protocole ; de l’utilisation sectorielle des substances réglementées dans le secteur manufacturier et/ou le secteur de l’entretien des équipements de réfrigération ; de la disponibilité de ressources financières ; de la capacité des institutions exécutant les activités proposées ; ainsi que des nouvelles politiques et décisions du Comité exécutif. </w:t>
      </w:r>
    </w:p>
    <w:p w14:paraId="783E0418" w14:textId="419C16D6" w:rsidR="00502FEE" w:rsidRPr="005703FE" w:rsidRDefault="00502FEE" w:rsidP="00502FEE">
      <w:pPr>
        <w:pStyle w:val="Heading1"/>
        <w:rPr>
          <w:lang w:val="fr-FR"/>
        </w:rPr>
      </w:pPr>
      <w:r>
        <w:rPr>
          <w:lang w:val="fr"/>
        </w:rPr>
        <w:t>L’analyse présentée dans ce document permet de tirer les conclusions suivantes concernant la période 2020-2030 :</w:t>
      </w:r>
    </w:p>
    <w:p w14:paraId="00570C15" w14:textId="053F0016" w:rsidR="008505E3" w:rsidRPr="005703FE" w:rsidRDefault="008505E3" w:rsidP="00502FEE">
      <w:pPr>
        <w:pStyle w:val="Heading2"/>
        <w:rPr>
          <w:lang w:val="fr-FR"/>
        </w:rPr>
      </w:pPr>
      <w:r>
        <w:rPr>
          <w:lang w:val="fr"/>
        </w:rPr>
        <w:t>Bien que l’on connaisse les volumes de production et de consommation de HCFC devant être réduits entre 2020 et 2030 ainsi que les secteurs dans lesquels ces réductions devraient intervenir, il est encore trop tôt pour disposer d’une estimation globale fiable de la quantité de HFC que les pays visés à l’article 5 devront réduire pour se conformer au Protocole de Montréal, car les données de consommation et de production ne commenceront à être collectées et communiquées au titre de l’article 7 du Protocole que dans les quelques années à venir ;</w:t>
      </w:r>
    </w:p>
    <w:p w14:paraId="7E30116A" w14:textId="51B6CE14" w:rsidR="00502FEE" w:rsidRPr="005703FE" w:rsidRDefault="00502FEE" w:rsidP="00502FEE">
      <w:pPr>
        <w:pStyle w:val="Heading2"/>
        <w:rPr>
          <w:lang w:val="fr-FR"/>
        </w:rPr>
      </w:pPr>
      <w:r>
        <w:rPr>
          <w:lang w:val="fr"/>
        </w:rPr>
        <w:t>Le secteur de l’entretien des équipements de réfrigération jouera un rôle clé dans l’élimination de la consommation restante (et décroissante) de HCFC dans tous les pays visés à l’article 5 ainsi que dans la réduction progressive de la consommation de HFC, en notant que, dans environ 100 pays, les HFC sont uniquement utilisés dans ce secteur ;</w:t>
      </w:r>
    </w:p>
    <w:p w14:paraId="151903B9" w14:textId="649A2611" w:rsidR="00502FEE" w:rsidRPr="005703FE" w:rsidRDefault="008505E3" w:rsidP="00AA1E26">
      <w:pPr>
        <w:pStyle w:val="Heading2"/>
        <w:rPr>
          <w:lang w:val="fr-FR"/>
        </w:rPr>
      </w:pPr>
      <w:r>
        <w:rPr>
          <w:lang w:val="fr"/>
        </w:rPr>
        <w:t>Étant donné que la majorité des activités mises en œuvre dans le secteur de l’entretien des équipements de réfrigération pourraient s’appliquer aussi bien à l’élimination des HCFC qu’à la réduction progressive des HFC, leur chevauchement offre aux pays visés à l’article 5 la possibilité de mettre en œuvre des plans intégrés dans ce secteur, couvrant tous les frigorigènes et permettant ainsi une exécution intégrée et efficace sur le plan des coûts. Le Comité exécutif examinera, à sa 85</w:t>
      </w:r>
      <w:r>
        <w:rPr>
          <w:vertAlign w:val="superscript"/>
          <w:lang w:val="fr"/>
        </w:rPr>
        <w:t>e</w:t>
      </w:r>
      <w:r>
        <w:rPr>
          <w:lang w:val="fr"/>
        </w:rPr>
        <w:t xml:space="preserve"> réunion, un document contenant une analyse du niveau et des modalités de financement de la réduction progressive des HFC dans le secteur de l’entretien des équipements de réfrigération (décision 83/65) ;</w:t>
      </w:r>
    </w:p>
    <w:p w14:paraId="7BB09F8E" w14:textId="2B464717" w:rsidR="00502FEE" w:rsidRPr="005703FE" w:rsidRDefault="00502FEE" w:rsidP="00502FEE">
      <w:pPr>
        <w:pStyle w:val="Heading2"/>
        <w:rPr>
          <w:lang w:val="fr-FR"/>
        </w:rPr>
      </w:pPr>
      <w:r>
        <w:rPr>
          <w:lang w:val="fr"/>
        </w:rPr>
        <w:t xml:space="preserve">La consommation restante de HCFC utilisés dans le secteur manufacturier ne concernera que quelques pays visés à l’article 5 et aura essentiellement trait aux applications de </w:t>
      </w:r>
      <w:r>
        <w:rPr>
          <w:lang w:val="fr"/>
        </w:rPr>
        <w:lastRenderedPageBreak/>
        <w:t>réfrigération et de climatisation ;</w:t>
      </w:r>
    </w:p>
    <w:p w14:paraId="35840B15" w14:textId="5D8F0879" w:rsidR="0011030A" w:rsidRPr="005703FE" w:rsidRDefault="0011030A" w:rsidP="00E70287">
      <w:pPr>
        <w:pStyle w:val="Heading2"/>
        <w:widowControl/>
        <w:rPr>
          <w:lang w:val="fr-FR"/>
        </w:rPr>
      </w:pPr>
      <w:r>
        <w:rPr>
          <w:lang w:val="fr"/>
        </w:rPr>
        <w:t>Les projets d’investissement visant l’élimination des HCFC et/ou des HFC dans le secteur manufacturier devraient être mis en œuvre en parallèle compte tenu de la nature différente des entreprises concernées, à l’exception des entreprises qui fabriquent des équipements ou des produits à base de HCFC et de HFC et qui souhaitent les convertir en même temps ;</w:t>
      </w:r>
    </w:p>
    <w:p w14:paraId="41E5F223" w14:textId="030CDE14" w:rsidR="00502FEE" w:rsidRPr="005703FE" w:rsidRDefault="00502FEE" w:rsidP="00502FEE">
      <w:pPr>
        <w:pStyle w:val="Heading2"/>
        <w:rPr>
          <w:lang w:val="fr-FR"/>
        </w:rPr>
      </w:pPr>
      <w:r>
        <w:rPr>
          <w:lang w:val="fr"/>
        </w:rPr>
        <w:t>Des technologies de remplacement efficaces sur le plan des coûts sont actuellement disponibles pour la conversion des équipements unitaires de réfrigération domestique et commerciale utilisant des HFC et de quelques autres applications qui pourraient être mises en œuvre immédiatement, réduisant ainsi la demande future en HFC associée aux pratiques d’entretien ;</w:t>
      </w:r>
    </w:p>
    <w:p w14:paraId="2FA7D131" w14:textId="127FBAE7" w:rsidR="00502FEE" w:rsidRPr="005703FE" w:rsidRDefault="00502FEE" w:rsidP="00502FEE">
      <w:pPr>
        <w:pStyle w:val="Heading2"/>
        <w:rPr>
          <w:lang w:val="fr-FR"/>
        </w:rPr>
      </w:pPr>
      <w:r>
        <w:rPr>
          <w:lang w:val="fr"/>
        </w:rPr>
        <w:t>D’après les informations disponibles, la production de HFC serait limitée à deux pays visés à l’article 5. La réduction progressive de la production de HFC serait mise en œuvre en parallèle avec les activités d’élimination des HCFC, car les substances réglementées sont produites sur des chaînes différentes. Le moment choisi pour aborder la question de la production de HFC dépendrait du taux d’élimination des HFC dans différentes applications ; et</w:t>
      </w:r>
    </w:p>
    <w:p w14:paraId="7FE29394" w14:textId="67523AD6" w:rsidR="001424DC" w:rsidRPr="005703FE" w:rsidRDefault="001424DC" w:rsidP="001424DC">
      <w:pPr>
        <w:pStyle w:val="Heading2"/>
        <w:rPr>
          <w:lang w:val="fr-FR"/>
        </w:rPr>
      </w:pPr>
      <w:r>
        <w:rPr>
          <w:lang w:val="fr"/>
        </w:rPr>
        <w:t>L’augmentation de la charge de travail des UNO associée à la réduction progressive des HFC et le financement connexe seront examinés à la 85</w:t>
      </w:r>
      <w:r>
        <w:rPr>
          <w:vertAlign w:val="superscript"/>
          <w:lang w:val="fr"/>
        </w:rPr>
        <w:t>e</w:t>
      </w:r>
      <w:r>
        <w:rPr>
          <w:lang w:val="fr"/>
        </w:rPr>
        <w:t xml:space="preserve"> réunion.</w:t>
      </w:r>
    </w:p>
    <w:p w14:paraId="53FA4ADE" w14:textId="1F97BFE9" w:rsidR="001C78C6" w:rsidRPr="005703FE" w:rsidRDefault="00502FEE" w:rsidP="00AA1E26">
      <w:pPr>
        <w:pStyle w:val="Heading1"/>
        <w:numPr>
          <w:ilvl w:val="0"/>
          <w:numId w:val="31"/>
        </w:numPr>
        <w:rPr>
          <w:strike/>
          <w:lang w:val="fr-FR"/>
        </w:rPr>
      </w:pPr>
      <w:r>
        <w:rPr>
          <w:lang w:val="fr"/>
        </w:rPr>
        <w:t>Le financement associé à la réduction progressive des HFC dépendra d’un certain nombre de décisions de principe prises par les Parties au Protocole de Montréal et le Comité exécutif, y compris celles découlant des discussions de la 85</w:t>
      </w:r>
      <w:r>
        <w:rPr>
          <w:vertAlign w:val="superscript"/>
          <w:lang w:val="fr"/>
        </w:rPr>
        <w:t>e</w:t>
      </w:r>
      <w:r>
        <w:rPr>
          <w:lang w:val="fr"/>
        </w:rPr>
        <w:t xml:space="preserve"> réunion sur les projets relatifs au renforcement institutionnel et au secteur de l’entretien des équipements de réfrigération, ainsi que des décisions sur les seuils de coût-efficacité pour les secteurs manufacturiers dans le contexte des lignes directrices sur les coûts relatives à la réduction progressive des HFC. D’autres décisions, telles que celles relatives à la présentation de projets d’investissement autonomes sur les HFC ou de plans de réduction progressive des HFC, permettraient de mieux comprendre quand ces fonds pourraient être disponibles aux pays visés à l’article 5. </w:t>
      </w:r>
    </w:p>
    <w:p w14:paraId="6821D9B9" w14:textId="7D37F56B" w:rsidR="0011030A" w:rsidRPr="005703FE" w:rsidRDefault="0011030A" w:rsidP="00AA1E26">
      <w:pPr>
        <w:pStyle w:val="Heading1"/>
        <w:rPr>
          <w:lang w:val="fr-FR"/>
        </w:rPr>
      </w:pPr>
      <w:r>
        <w:rPr>
          <w:lang w:val="fr"/>
        </w:rPr>
        <w:t>À leur trente et unième réunion, les Parties au Protocole de Montréal sont convenues de la portée de l’étude sur la reconstitution du Fonds multilatéral pour l’application du Protocole de Montréal pour la période 2021-2023</w:t>
      </w:r>
      <w:r>
        <w:rPr>
          <w:rStyle w:val="FootnoteReference"/>
          <w:lang w:val="fr"/>
        </w:rPr>
        <w:footnoteReference w:id="44"/>
      </w:r>
      <w:r>
        <w:rPr>
          <w:lang w:val="fr"/>
        </w:rPr>
        <w:t>. Les Parties ont demandé au GETE d’établir un rapport devant être remis à la 42</w:t>
      </w:r>
      <w:r>
        <w:rPr>
          <w:vertAlign w:val="superscript"/>
          <w:lang w:val="fr"/>
        </w:rPr>
        <w:t>e</w:t>
      </w:r>
      <w:r w:rsidR="00754879">
        <w:rPr>
          <w:lang w:val="fr"/>
        </w:rPr>
        <w:t> </w:t>
      </w:r>
      <w:r>
        <w:rPr>
          <w:lang w:val="fr"/>
        </w:rPr>
        <w:t>Réunion des Parties du Groupe de travail à composition non limitée pour permettre aux Parties, à leur 32</w:t>
      </w:r>
      <w:r>
        <w:rPr>
          <w:vertAlign w:val="superscript"/>
          <w:lang w:val="fr"/>
        </w:rPr>
        <w:t>e</w:t>
      </w:r>
      <w:r>
        <w:rPr>
          <w:lang w:val="fr"/>
        </w:rPr>
        <w:t xml:space="preserve"> Réunion, de prendre une décision sur le montant approprié de la reconstitution du Fonds multilatéral pour la période 2021–2023. Lors de l’élaboration du rapport, le GETE devrait tenir compte, entre autres : des décisions, règles et lignes directrices convenues par le Comité exécutif lors de ses réunions, jusqu’à sa 85</w:t>
      </w:r>
      <w:r>
        <w:rPr>
          <w:vertAlign w:val="superscript"/>
          <w:lang w:val="fr"/>
        </w:rPr>
        <w:t>e</w:t>
      </w:r>
      <w:r>
        <w:rPr>
          <w:lang w:val="fr"/>
        </w:rPr>
        <w:t xml:space="preserve"> réunion incluse ; du coût de l’appui à un nombre limité de projets autonomes visant la réduction progressive des HFC, conformément au paragraphe 4 de la décision XXX/5</w:t>
      </w:r>
      <w:r>
        <w:rPr>
          <w:vertAlign w:val="superscript"/>
          <w:lang w:val="fr"/>
        </w:rPr>
        <w:footnoteReference w:id="45"/>
      </w:r>
      <w:r>
        <w:rPr>
          <w:lang w:val="fr"/>
        </w:rPr>
        <w:t> ; de la nécessité d’affecter des ressources aux parties visées à l’article 5 pour se conformer à l’Amendement de Kigali, notamment la préparation et, si nécessaire, l’application des plans de réduction progressive des HFC pouvant inclure des activités préalables dans le secteur de l’entretien et des utilisateurs finals pour respecter les exigences de l’Amendement de Kigali en s’attaquant au fort taux de croissance de la consommation de HFC. Il s’ensuit que toute décision sur ces questions prise aux 84</w:t>
      </w:r>
      <w:r>
        <w:rPr>
          <w:vertAlign w:val="superscript"/>
          <w:lang w:val="fr"/>
        </w:rPr>
        <w:t>e</w:t>
      </w:r>
      <w:r>
        <w:rPr>
          <w:lang w:val="fr"/>
        </w:rPr>
        <w:t xml:space="preserve"> et 85</w:t>
      </w:r>
      <w:r>
        <w:rPr>
          <w:vertAlign w:val="superscript"/>
          <w:lang w:val="fr"/>
        </w:rPr>
        <w:t>e</w:t>
      </w:r>
      <w:r>
        <w:rPr>
          <w:lang w:val="fr"/>
        </w:rPr>
        <w:t xml:space="preserve"> réunions sera examinée par le GETE.</w:t>
      </w:r>
    </w:p>
    <w:p w14:paraId="5B29A977" w14:textId="490EF5D8" w:rsidR="00450379" w:rsidRPr="005703FE" w:rsidRDefault="00502FEE" w:rsidP="00B54500">
      <w:pPr>
        <w:pStyle w:val="Heading1"/>
        <w:rPr>
          <w:lang w:val="fr-FR"/>
        </w:rPr>
      </w:pPr>
      <w:r>
        <w:rPr>
          <w:lang w:val="fr"/>
        </w:rPr>
        <w:lastRenderedPageBreak/>
        <w:t>Il est probable que la charge de travail augmentera avec l’approbation du financement des activités de réduction progressive des HFC, qui viendront s’ajouter aux activités d’élimination des HCFC. Comme indiqué précédemment au Comité exécutif</w:t>
      </w:r>
      <w:r>
        <w:rPr>
          <w:rStyle w:val="FootnoteReference"/>
          <w:lang w:val="fr"/>
        </w:rPr>
        <w:footnoteReference w:id="46"/>
      </w:r>
      <w:r>
        <w:rPr>
          <w:lang w:val="fr"/>
        </w:rPr>
        <w:t xml:space="preserve">, les activités de réduction progressive des HFC, ainsi que les activités existantes d’élimination des HCFC, devraient élargir la portée et la complexité des travaux menés au titre du Fonds multilatéral, notamment ceux du Comité exécutif, des agences bilatérales et d’exécution, du Secrétariat et du Trésorier. </w:t>
      </w:r>
    </w:p>
    <w:p w14:paraId="7A21C8F7" w14:textId="20DD7A6C" w:rsidR="00502FEE" w:rsidRPr="005703FE" w:rsidRDefault="00502FEE" w:rsidP="00B54500">
      <w:pPr>
        <w:pStyle w:val="Heading1"/>
        <w:rPr>
          <w:lang w:val="fr-FR"/>
        </w:rPr>
      </w:pPr>
      <w:r>
        <w:rPr>
          <w:lang w:val="fr"/>
        </w:rPr>
        <w:t xml:space="preserve">Les agences bilatérales et d’exécution ont déjà constaté une augmentation du volume de travail lié à la préparation des propositions de projet et des activités de facilitation pour relever les défis liés à la réduction progressive des HFC comme, par exemple, les mesures réglementaires supplémentaires devant être mises en place et le nombre accru de substances et de mélanges pour lesquels des informations doivent être recueillies et communiquées par les UNO, la conception d’une stratégie de réduction progressive des HFC qui soit compatible avec l’élimination des HCFC, ou les travaux préparatoires dans le secteur de l’entretien des équipements de réfrigération pour faciliter l’adoption sûre de technologies à faible PRG qui pourraient être inflammables ou toxiques. </w:t>
      </w:r>
    </w:p>
    <w:p w14:paraId="7D27AABB" w14:textId="625FEF1B" w:rsidR="00502FEE" w:rsidRPr="005703FE" w:rsidRDefault="00502FEE" w:rsidP="00502FEE">
      <w:pPr>
        <w:pStyle w:val="Heading1"/>
        <w:rPr>
          <w:lang w:val="fr-FR"/>
        </w:rPr>
      </w:pPr>
      <w:r>
        <w:rPr>
          <w:lang w:val="fr"/>
        </w:rPr>
        <w:t>La charge de travail des institutions du Fonds dépendra des activités pluriannuelles prescrites, de la capacité et de l’aptitude des pays visés à l’article 5 à gérer simultanément les activités d’élimination des HCFC et de réduction progressive des HFC, et du calendrier de ces ac</w:t>
      </w:r>
      <w:r w:rsidR="003611DB">
        <w:rPr>
          <w:lang w:val="fr"/>
        </w:rPr>
        <w:t>tivités pendant la période 2020</w:t>
      </w:r>
      <w:r w:rsidR="003611DB">
        <w:rPr>
          <w:lang w:val="fr"/>
        </w:rPr>
        <w:noBreakHyphen/>
      </w:r>
      <w:r>
        <w:rPr>
          <w:lang w:val="fr"/>
        </w:rPr>
        <w:t xml:space="preserve">2030. Les activités qui font ou feront partie des portefeuilles des institutions du Fonds comprennent, entre autres : </w:t>
      </w:r>
    </w:p>
    <w:p w14:paraId="75CDC3A3" w14:textId="77777777" w:rsidR="00502FEE" w:rsidRPr="005703FE" w:rsidRDefault="00502FEE" w:rsidP="00502FEE">
      <w:pPr>
        <w:pStyle w:val="Heading2"/>
        <w:rPr>
          <w:lang w:val="fr-FR"/>
        </w:rPr>
      </w:pPr>
      <w:r>
        <w:rPr>
          <w:lang w:val="fr"/>
        </w:rPr>
        <w:t xml:space="preserve">La mise en œuvre des PGEH approuvés et des obligations de communication de rapports au Fonds multilatéral ; </w:t>
      </w:r>
    </w:p>
    <w:p w14:paraId="71D74038" w14:textId="757ACE86" w:rsidR="00502FEE" w:rsidRPr="005703FE" w:rsidRDefault="00502FEE" w:rsidP="00435F9D">
      <w:pPr>
        <w:pStyle w:val="Heading2"/>
        <w:keepNext/>
        <w:widowControl/>
        <w:rPr>
          <w:lang w:val="fr-FR"/>
        </w:rPr>
      </w:pPr>
      <w:r>
        <w:rPr>
          <w:lang w:val="fr"/>
        </w:rPr>
        <w:t xml:space="preserve">L’achèvement des activités de facilitation approuvées qui appuieront la ratification rapide de l’Amendement de Kigali, selon les besoins, et renforceront les capacités des parties prenantes nationales en vue de la mise en œuvre à long terme des activités d’élimination des HCFC et de réduction progressive des HFC ; </w:t>
      </w:r>
    </w:p>
    <w:p w14:paraId="69C795DC" w14:textId="77777777" w:rsidR="00502FEE" w:rsidRPr="005703FE" w:rsidRDefault="00502FEE" w:rsidP="00502FEE">
      <w:pPr>
        <w:pStyle w:val="Heading2"/>
        <w:rPr>
          <w:lang w:val="fr-FR"/>
        </w:rPr>
      </w:pPr>
      <w:r>
        <w:rPr>
          <w:lang w:val="fr"/>
        </w:rPr>
        <w:t xml:space="preserve">L’examen des cadres juridiques, réglementaires et institutionnels, y compris les systèmes de permis d’importation/exportation, les systèmes de quotas et les régimes d’application, à l’appui des activités d’élimination des HCFC et de réduction progressive des HFC ; </w:t>
      </w:r>
    </w:p>
    <w:p w14:paraId="28CCF9F5" w14:textId="77777777" w:rsidR="00502FEE" w:rsidRPr="005703FE" w:rsidRDefault="00502FEE" w:rsidP="00502FEE">
      <w:pPr>
        <w:pStyle w:val="Heading2"/>
        <w:rPr>
          <w:lang w:val="fr-FR"/>
        </w:rPr>
      </w:pPr>
      <w:r>
        <w:rPr>
          <w:lang w:val="fr"/>
        </w:rPr>
        <w:t xml:space="preserve">L’analyse des niveaux et tendances en matière de consommation et de production de HCFC et de HFC, et le renforcement des capacités des institutions nationales en matière de collecte de données, de notification et de suivi ; </w:t>
      </w:r>
    </w:p>
    <w:p w14:paraId="5A9DE818" w14:textId="612BE016" w:rsidR="00502FEE" w:rsidRPr="005703FE" w:rsidRDefault="00502FEE" w:rsidP="00C213C4">
      <w:pPr>
        <w:pStyle w:val="Heading2"/>
        <w:rPr>
          <w:lang w:val="fr-FR"/>
        </w:rPr>
      </w:pPr>
      <w:r>
        <w:rPr>
          <w:lang w:val="fr"/>
        </w:rPr>
        <w:t>Le renforcement des capacités et des compétences techniques des représentants des gouvernements responsables de la mise en œuvre du Protocole de Montréal, des agents des douanes, des techniciens en réfrigération et des autres acteurs clés participant aux activités d’élimination des HCFC et de réduction progressive des HFC ; et</w:t>
      </w:r>
    </w:p>
    <w:p w14:paraId="58954206" w14:textId="77777777" w:rsidR="00C213C4" w:rsidRPr="005703FE" w:rsidRDefault="00C213C4" w:rsidP="00C213C4">
      <w:pPr>
        <w:rPr>
          <w:lang w:val="fr-FR"/>
        </w:rPr>
      </w:pPr>
    </w:p>
    <w:p w14:paraId="76DDD47B" w14:textId="77777777" w:rsidR="00502FEE" w:rsidRPr="005703FE" w:rsidRDefault="00502FEE" w:rsidP="00502FEE">
      <w:pPr>
        <w:pStyle w:val="Heading2"/>
        <w:rPr>
          <w:lang w:val="fr-FR"/>
        </w:rPr>
      </w:pPr>
      <w:r>
        <w:rPr>
          <w:lang w:val="fr"/>
        </w:rPr>
        <w:t>L’assistance à un nombre limité de pays visés à l’article 5 disposant d’installations de production de HCFC dans le cadre de l’élimination des émissions de HFC-23 en tant que sous-produit.</w:t>
      </w:r>
    </w:p>
    <w:p w14:paraId="372D64E0" w14:textId="7D423905" w:rsidR="00502FEE" w:rsidRPr="005703FE" w:rsidRDefault="00502FEE" w:rsidP="00502FEE">
      <w:pPr>
        <w:pStyle w:val="Heading1"/>
        <w:rPr>
          <w:lang w:val="fr-FR"/>
        </w:rPr>
      </w:pPr>
      <w:r>
        <w:rPr>
          <w:lang w:val="fr"/>
        </w:rPr>
        <w:t>Le Comité exécutif examinera à sa 85</w:t>
      </w:r>
      <w:r>
        <w:rPr>
          <w:vertAlign w:val="superscript"/>
          <w:lang w:val="fr"/>
        </w:rPr>
        <w:t>e</w:t>
      </w:r>
      <w:r>
        <w:rPr>
          <w:lang w:val="fr"/>
        </w:rPr>
        <w:t xml:space="preserve"> réunion les augmentations possibles du soutien au fonctionnement des UNO financé dans le cadre de projets de renforcement institutionnel. Les augmentations potentielles du financement du Secrétariat du Fonds, du Trésorier, des services centraux du </w:t>
      </w:r>
      <w:r>
        <w:rPr>
          <w:lang w:val="fr"/>
        </w:rPr>
        <w:lastRenderedPageBreak/>
        <w:t>PNUD, de l’ONUDI et de la Banque mondiale, ainsi que du PAC du PNUE, ne pourront être évaluées que lorsque la charge de travail réelle pendant la période 2020-2030 sera mieux connue.</w:t>
      </w:r>
    </w:p>
    <w:p w14:paraId="6383B852" w14:textId="77777777" w:rsidR="00502FEE" w:rsidRPr="005703FE" w:rsidRDefault="00502FEE" w:rsidP="00502FEE">
      <w:pPr>
        <w:pStyle w:val="Heading1"/>
        <w:rPr>
          <w:lang w:val="fr-FR"/>
        </w:rPr>
      </w:pPr>
      <w:r>
        <w:rPr>
          <w:lang w:val="fr"/>
        </w:rPr>
        <w:t>Des orientations devraient être fournies par le Comité exécutif concernant l’éventuelle coopération avec d’autres institutions sur les questions liées au rendement énergétique, en particulier dans le secteur manufacturier. Le Comité exécutif poursuivra ses délibérations sur cette question à sa 84</w:t>
      </w:r>
      <w:r>
        <w:rPr>
          <w:vertAlign w:val="superscript"/>
          <w:lang w:val="fr"/>
        </w:rPr>
        <w:t>e</w:t>
      </w:r>
      <w:r>
        <w:rPr>
          <w:lang w:val="fr"/>
        </w:rPr>
        <w:t xml:space="preserve"> réunion.</w:t>
      </w:r>
    </w:p>
    <w:p w14:paraId="4F42FE8D" w14:textId="77777777" w:rsidR="00502FEE" w:rsidRPr="003716D2" w:rsidRDefault="00502FEE" w:rsidP="00502FEE">
      <w:pPr>
        <w:pStyle w:val="Heading1"/>
        <w:numPr>
          <w:ilvl w:val="0"/>
          <w:numId w:val="0"/>
        </w:numPr>
        <w:rPr>
          <w:b/>
        </w:rPr>
      </w:pPr>
      <w:r>
        <w:rPr>
          <w:b/>
          <w:bCs/>
          <w:lang w:val="fr"/>
        </w:rPr>
        <w:t xml:space="preserve">Recommandation </w:t>
      </w:r>
    </w:p>
    <w:p w14:paraId="02938183" w14:textId="77777777" w:rsidR="008340DF" w:rsidRPr="005703FE" w:rsidRDefault="00502FEE" w:rsidP="00502FEE">
      <w:pPr>
        <w:pStyle w:val="Heading1"/>
        <w:rPr>
          <w:lang w:val="fr-FR"/>
        </w:rPr>
      </w:pPr>
      <w:r>
        <w:rPr>
          <w:lang w:val="fr"/>
        </w:rPr>
        <w:t>Le Comité exécutif est invité à :</w:t>
      </w:r>
    </w:p>
    <w:p w14:paraId="582C3C1E" w14:textId="3AD3D6BC" w:rsidR="00502FEE" w:rsidRPr="005703FE" w:rsidRDefault="008340DF" w:rsidP="008340DF">
      <w:pPr>
        <w:pStyle w:val="Heading2"/>
        <w:rPr>
          <w:lang w:val="fr-FR"/>
        </w:rPr>
      </w:pPr>
      <w:r>
        <w:rPr>
          <w:lang w:val="fr"/>
        </w:rPr>
        <w:t>Prendre note de l’analyse des conséquences de la mise en œuvre en parallèle ou intégrée des activités d’élimination des HCFC et de réduction progressive des HFC figurant dans le document UNEP/OzL.Pro/ExCom/84/65 ;</w:t>
      </w:r>
    </w:p>
    <w:p w14:paraId="4E57E853" w14:textId="5122D74F" w:rsidR="00DA4013" w:rsidRPr="005703FE" w:rsidRDefault="008340DF" w:rsidP="00DA4013">
      <w:pPr>
        <w:pStyle w:val="Heading2"/>
        <w:rPr>
          <w:lang w:val="fr-FR"/>
        </w:rPr>
      </w:pPr>
      <w:r>
        <w:rPr>
          <w:lang w:val="fr"/>
        </w:rPr>
        <w:t>Demander au Secrétariat de préparer une mise à jour de l’analyse visée à l’alinéa a) pour la 87</w:t>
      </w:r>
      <w:r>
        <w:rPr>
          <w:vertAlign w:val="superscript"/>
          <w:lang w:val="fr"/>
        </w:rPr>
        <w:t>e</w:t>
      </w:r>
      <w:r>
        <w:rPr>
          <w:lang w:val="fr"/>
        </w:rPr>
        <w:t xml:space="preserve"> réunion.</w:t>
      </w:r>
    </w:p>
    <w:p w14:paraId="40AAD474" w14:textId="77777777" w:rsidR="0076046B" w:rsidRPr="005703FE" w:rsidRDefault="0076046B" w:rsidP="0076046B">
      <w:pPr>
        <w:rPr>
          <w:lang w:val="fr-FR"/>
        </w:rPr>
      </w:pPr>
    </w:p>
    <w:p w14:paraId="26A684D6" w14:textId="7631522F" w:rsidR="0076046B" w:rsidRPr="0076046B" w:rsidRDefault="00E87D56" w:rsidP="0076046B">
      <w:pPr>
        <w:ind w:left="2880" w:firstLine="720"/>
      </w:pPr>
      <w:r>
        <w:rPr>
          <w:lang w:val="fr"/>
        </w:rPr>
        <w:t xml:space="preserve">   _________________</w:t>
      </w:r>
    </w:p>
    <w:sectPr w:rsidR="0076046B" w:rsidRPr="0076046B"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77CD3B" w16cid:durableId="2157DA5F"/>
  <w16cid:commentId w16cid:paraId="58330767" w16cid:durableId="21574E2E"/>
  <w16cid:commentId w16cid:paraId="065666EF" w16cid:durableId="2157CAEA"/>
  <w16cid:commentId w16cid:paraId="5EC5997D" w16cid:durableId="2157CB86"/>
  <w16cid:commentId w16cid:paraId="5D118D2A" w16cid:durableId="2157D7BF"/>
  <w16cid:commentId w16cid:paraId="3CACB3B5" w16cid:durableId="2157D86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241C3" w14:textId="77777777" w:rsidR="003846D2" w:rsidRDefault="003846D2" w:rsidP="004A504B">
      <w:r>
        <w:separator/>
      </w:r>
    </w:p>
  </w:endnote>
  <w:endnote w:type="continuationSeparator" w:id="0">
    <w:p w14:paraId="4F38F31D" w14:textId="77777777" w:rsidR="003846D2" w:rsidRDefault="003846D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15545" w14:textId="08BBDEC8" w:rsidR="001277B2" w:rsidRPr="0033525D" w:rsidRDefault="001277B2">
    <w:pPr>
      <w:jc w:val="center"/>
    </w:pPr>
    <w:r>
      <w:rPr>
        <w:lang w:val="fr"/>
      </w:rPr>
      <w:fldChar w:fldCharType="begin"/>
    </w:r>
    <w:r>
      <w:rPr>
        <w:lang w:val="fr"/>
      </w:rPr>
      <w:instrText xml:space="preserve"> PAGE </w:instrText>
    </w:r>
    <w:r>
      <w:rPr>
        <w:lang w:val="fr"/>
      </w:rPr>
      <w:fldChar w:fldCharType="separate"/>
    </w:r>
    <w:r w:rsidR="002B1F50">
      <w:rPr>
        <w:noProof/>
        <w:lang w:val="fr"/>
      </w:rPr>
      <w:t>6</w:t>
    </w:r>
    <w:r>
      <w:rPr>
        <w:noProof/>
        <w:lang w:val="f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10D71" w14:textId="6A46D6F3" w:rsidR="001277B2" w:rsidRPr="0033525D" w:rsidRDefault="001277B2">
    <w:pPr>
      <w:jc w:val="center"/>
    </w:pPr>
    <w:r>
      <w:rPr>
        <w:lang w:val="fr"/>
      </w:rPr>
      <w:fldChar w:fldCharType="begin"/>
    </w:r>
    <w:r>
      <w:rPr>
        <w:lang w:val="fr"/>
      </w:rPr>
      <w:instrText xml:space="preserve"> PAGE </w:instrText>
    </w:r>
    <w:r>
      <w:rPr>
        <w:lang w:val="fr"/>
      </w:rPr>
      <w:fldChar w:fldCharType="separate"/>
    </w:r>
    <w:r w:rsidR="002B1F50">
      <w:rPr>
        <w:noProof/>
        <w:lang w:val="fr"/>
      </w:rPr>
      <w:t>5</w:t>
    </w:r>
    <w:r>
      <w:rPr>
        <w:noProof/>
        <w:lang w:val="f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36056" w14:textId="77777777" w:rsidR="001277B2" w:rsidRPr="005703FE" w:rsidRDefault="001277B2"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3B33B090" w14:textId="77777777" w:rsidR="001277B2" w:rsidRPr="005703FE" w:rsidRDefault="001277B2"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75C3CF" w14:textId="77777777" w:rsidR="003846D2" w:rsidRDefault="003846D2" w:rsidP="004A504B">
      <w:r>
        <w:separator/>
      </w:r>
    </w:p>
  </w:footnote>
  <w:footnote w:type="continuationSeparator" w:id="0">
    <w:p w14:paraId="42155459" w14:textId="77777777" w:rsidR="003846D2" w:rsidRDefault="003846D2" w:rsidP="004A504B">
      <w:r>
        <w:continuationSeparator/>
      </w:r>
    </w:p>
  </w:footnote>
  <w:footnote w:id="1">
    <w:p w14:paraId="340B1D05" w14:textId="77777777" w:rsidR="001277B2" w:rsidRDefault="001277B2" w:rsidP="00502FEE">
      <w:pPr>
        <w:pStyle w:val="FootnoteText"/>
      </w:pPr>
      <w:r>
        <w:rPr>
          <w:rStyle w:val="FootnoteReference"/>
          <w:lang w:val="fr"/>
        </w:rPr>
        <w:footnoteRef/>
      </w:r>
      <w:r>
        <w:rPr>
          <w:lang w:val="fr"/>
        </w:rPr>
        <w:t xml:space="preserve"> UNEP/OzL.Pro/ExCom/80/16</w:t>
      </w:r>
    </w:p>
  </w:footnote>
  <w:footnote w:id="2">
    <w:p w14:paraId="296525A7" w14:textId="1510144D" w:rsidR="001277B2" w:rsidRDefault="001277B2" w:rsidP="00502FEE">
      <w:pPr>
        <w:pStyle w:val="FootnoteText"/>
        <w:rPr>
          <w:lang w:val="fr"/>
        </w:rPr>
      </w:pPr>
      <w:r>
        <w:rPr>
          <w:rStyle w:val="FootnoteReference"/>
          <w:lang w:val="fr"/>
        </w:rPr>
        <w:footnoteRef/>
      </w:r>
      <w:r>
        <w:rPr>
          <w:lang w:val="fr"/>
        </w:rPr>
        <w:t xml:space="preserve"> UNEP/OzL.Pro/ExCom/81/55</w:t>
      </w:r>
    </w:p>
    <w:p w14:paraId="24E78E7D" w14:textId="77777777" w:rsidR="00BE0E37" w:rsidRDefault="00BE0E37" w:rsidP="00502FEE">
      <w:pPr>
        <w:pStyle w:val="FootnoteText"/>
      </w:pPr>
    </w:p>
  </w:footnote>
  <w:footnote w:id="3">
    <w:p w14:paraId="28625388" w14:textId="77777777" w:rsidR="001277B2" w:rsidRPr="005703FE" w:rsidRDefault="001277B2" w:rsidP="00502FEE">
      <w:pPr>
        <w:pStyle w:val="FootnoteText"/>
        <w:rPr>
          <w:lang w:val="fr-FR"/>
        </w:rPr>
      </w:pPr>
      <w:r>
        <w:rPr>
          <w:rStyle w:val="FootnoteReference"/>
          <w:lang w:val="fr"/>
        </w:rPr>
        <w:footnoteRef/>
      </w:r>
      <w:r>
        <w:rPr>
          <w:lang w:val="fr"/>
        </w:rPr>
        <w:t xml:space="preserve"> Ces substances sont les plus couramment consommées et produites par les pays visés à l’article 5. Les pays qui ont déclaré avoir consommé et produit des substances du groupe I de l’annexe B (autres CFC) et du groupe II de l’annexe C (HCFC) se sont conformés à leurs obligations d’élimination. Dans quelques pays, les Parties ont autorisé la consommation et la production de certaines substances réglementées (CFC, CTC et MB essentiellement) après la date fixée pour l’élimination des utilisations essentielles ou critiques.</w:t>
      </w:r>
    </w:p>
  </w:footnote>
  <w:footnote w:id="4">
    <w:p w14:paraId="5F2B5668" w14:textId="77777777" w:rsidR="001277B2" w:rsidRPr="005703FE" w:rsidRDefault="001277B2" w:rsidP="00502FEE">
      <w:pPr>
        <w:pStyle w:val="FootnoteText"/>
        <w:rPr>
          <w:lang w:val="fr-FR"/>
        </w:rPr>
      </w:pPr>
      <w:r>
        <w:rPr>
          <w:rStyle w:val="FootnoteReference"/>
          <w:lang w:val="fr"/>
        </w:rPr>
        <w:footnoteRef/>
      </w:r>
      <w:r>
        <w:rPr>
          <w:lang w:val="fr"/>
        </w:rPr>
        <w:t xml:space="preserve"> Montréal, 9-11 octobre 2019.</w:t>
      </w:r>
    </w:p>
  </w:footnote>
  <w:footnote w:id="5">
    <w:p w14:paraId="1C9EB0FF" w14:textId="77777777" w:rsidR="001277B2" w:rsidRPr="005703FE" w:rsidRDefault="001277B2" w:rsidP="00502FEE">
      <w:pPr>
        <w:pStyle w:val="FootnoteText"/>
        <w:rPr>
          <w:lang w:val="fr-FR"/>
        </w:rPr>
      </w:pPr>
      <w:r>
        <w:rPr>
          <w:rStyle w:val="FootnoteReference"/>
          <w:lang w:val="fr"/>
        </w:rPr>
        <w:footnoteRef/>
      </w:r>
      <w:r>
        <w:rPr>
          <w:lang w:val="fr"/>
        </w:rPr>
        <w:t xml:space="preserve"> L’Amendement de Kigali est entré en vigueur le 1</w:t>
      </w:r>
      <w:r>
        <w:rPr>
          <w:vertAlign w:val="superscript"/>
          <w:lang w:val="fr"/>
        </w:rPr>
        <w:t>er</w:t>
      </w:r>
      <w:r>
        <w:rPr>
          <w:lang w:val="fr"/>
        </w:rPr>
        <w:t> janvier 2019.</w:t>
      </w:r>
    </w:p>
  </w:footnote>
  <w:footnote w:id="6">
    <w:p w14:paraId="0EF8D89E" w14:textId="5A774DCD" w:rsidR="001277B2" w:rsidRPr="005703FE" w:rsidRDefault="001277B2" w:rsidP="00502FEE">
      <w:pPr>
        <w:pStyle w:val="FootnoteText"/>
        <w:rPr>
          <w:lang w:val="fr-FR"/>
        </w:rPr>
      </w:pPr>
      <w:r>
        <w:rPr>
          <w:rStyle w:val="FootnoteReference"/>
          <w:lang w:val="fr"/>
        </w:rPr>
        <w:footnoteRef/>
      </w:r>
      <w:r>
        <w:rPr>
          <w:lang w:val="fr"/>
        </w:rPr>
        <w:t xml:space="preserve"> Les pays du groupe 1 comprennent tous les pays visés à l’article 5 sauf les 10 pays du groupe 2.</w:t>
      </w:r>
    </w:p>
  </w:footnote>
  <w:footnote w:id="7">
    <w:p w14:paraId="7B9ADECA" w14:textId="77777777" w:rsidR="001277B2" w:rsidRPr="005703FE" w:rsidRDefault="001277B2" w:rsidP="00502FEE">
      <w:pPr>
        <w:pStyle w:val="FootnoteText"/>
        <w:rPr>
          <w:lang w:val="fr-FR"/>
        </w:rPr>
      </w:pPr>
      <w:r>
        <w:rPr>
          <w:rStyle w:val="FootnoteReference"/>
          <w:lang w:val="fr"/>
        </w:rPr>
        <w:footnoteRef/>
      </w:r>
      <w:r>
        <w:rPr>
          <w:lang w:val="fr"/>
        </w:rPr>
        <w:t xml:space="preserve"> Pays du groupe 2 : Arabie saoudite, Bahreïn, Inde, Iraq, Koweït, Oman, Pakistan, Qatar, Émirats arabes unis et République islamique d’Iran. À titre indicatif, la valeur de référence globale des HCFC aux fins de conformité de ces pays est l’équivalent de 13,7 % de la valeur de référence globale des HCFC pour tous les pays visés à l’article 5.</w:t>
      </w:r>
    </w:p>
  </w:footnote>
  <w:footnote w:id="8">
    <w:p w14:paraId="7F61F0D4" w14:textId="77777777" w:rsidR="001277B2" w:rsidRPr="005703FE" w:rsidRDefault="001277B2" w:rsidP="00502FEE">
      <w:pPr>
        <w:pStyle w:val="FootnoteText"/>
        <w:rPr>
          <w:lang w:val="fr-FR"/>
        </w:rPr>
      </w:pPr>
      <w:r>
        <w:rPr>
          <w:rStyle w:val="FootnoteReference"/>
          <w:lang w:val="fr"/>
        </w:rPr>
        <w:footnoteRef/>
      </w:r>
      <w:r>
        <w:rPr>
          <w:lang w:val="fr"/>
        </w:rPr>
        <w:t xml:space="preserve"> Le HFC-23, dont le PRG est de 14 800, est essentiellement un sous-produit de la production de HCFC-22.</w:t>
      </w:r>
    </w:p>
  </w:footnote>
  <w:footnote w:id="9">
    <w:p w14:paraId="6B1E0D8A" w14:textId="35FBE6D0" w:rsidR="001277B2" w:rsidRPr="005703FE" w:rsidRDefault="001277B2">
      <w:pPr>
        <w:pStyle w:val="FootnoteText"/>
        <w:rPr>
          <w:lang w:val="fr-FR"/>
        </w:rPr>
      </w:pPr>
      <w:r>
        <w:rPr>
          <w:rStyle w:val="FootnoteReference"/>
          <w:lang w:val="fr"/>
        </w:rPr>
        <w:footnoteRef/>
      </w:r>
      <w:r>
        <w:rPr>
          <w:lang w:val="fr"/>
        </w:rPr>
        <w:t>Sources : Données communiquées au titre de l’article 7 et rapport de l’Équipe spéciale du Groupe de l’évaluation technique et économique (GETE) au titre des décisions XXV/5 et XXVI/9.</w:t>
      </w:r>
    </w:p>
  </w:footnote>
  <w:footnote w:id="10">
    <w:p w14:paraId="6B60E22F" w14:textId="77777777" w:rsidR="001277B2" w:rsidRPr="005703FE" w:rsidRDefault="001277B2" w:rsidP="00502FEE">
      <w:pPr>
        <w:pStyle w:val="FootnoteText"/>
        <w:rPr>
          <w:lang w:val="fr-FR"/>
        </w:rPr>
      </w:pPr>
      <w:r>
        <w:rPr>
          <w:rStyle w:val="FootnoteReference"/>
          <w:lang w:val="fr"/>
        </w:rPr>
        <w:footnoteRef/>
      </w:r>
      <w:r>
        <w:rPr>
          <w:lang w:val="fr"/>
        </w:rPr>
        <w:t xml:space="preserve"> La consommation de référence de HCFC est calculée à partir de la consommation moyenne pour 2009 et 2010.</w:t>
      </w:r>
    </w:p>
  </w:footnote>
  <w:footnote w:id="11">
    <w:p w14:paraId="7ED217F0" w14:textId="77777777" w:rsidR="001277B2" w:rsidRPr="005703FE" w:rsidRDefault="001277B2" w:rsidP="00502FEE">
      <w:pPr>
        <w:pStyle w:val="FootnoteText"/>
        <w:rPr>
          <w:lang w:val="fr-FR"/>
        </w:rPr>
      </w:pPr>
      <w:r>
        <w:rPr>
          <w:rStyle w:val="FootnoteReference"/>
          <w:lang w:val="fr"/>
        </w:rPr>
        <w:footnoteRef/>
      </w:r>
      <w:r>
        <w:rPr>
          <w:lang w:val="fr"/>
        </w:rPr>
        <w:t xml:space="preserve"> Une étude sur les solutions de remplacement des SAO a également été réalisée dans 119 pays visés à l’article 5, qui ont fourni des informations préliminaires sur leur consommation de HFC pour les années 2012-2015.</w:t>
      </w:r>
    </w:p>
  </w:footnote>
  <w:footnote w:id="12">
    <w:p w14:paraId="5CED3D8F" w14:textId="77777777" w:rsidR="001277B2" w:rsidRPr="005703FE" w:rsidRDefault="001277B2" w:rsidP="00502FEE">
      <w:pPr>
        <w:pStyle w:val="FootnoteText"/>
        <w:rPr>
          <w:lang w:val="fr-FR"/>
        </w:rPr>
      </w:pPr>
      <w:r>
        <w:rPr>
          <w:rStyle w:val="FootnoteReference"/>
          <w:lang w:val="fr"/>
        </w:rPr>
        <w:footnoteRef/>
      </w:r>
      <w:r>
        <w:rPr>
          <w:lang w:val="fr"/>
        </w:rPr>
        <w:t xml:space="preserve"> Les rapports de l’Équipe spéciale du GETE fournissent des données globales sur la consommation et la production de HFC, ainsi que des projections pour chaque période quinquennale entre 2010 et 2030. Le rapport Velders et al. (2015) fournit des informations sur les abondances atmosphériques et les forçages climatiques futurs à partir de scénarios sur les émissions mondiales et régionales de HFC.</w:t>
      </w:r>
    </w:p>
  </w:footnote>
  <w:footnote w:id="13">
    <w:p w14:paraId="145F7C08" w14:textId="45742AB6" w:rsidR="001277B2" w:rsidRPr="005703FE" w:rsidRDefault="001277B2" w:rsidP="00502FEE">
      <w:pPr>
        <w:pStyle w:val="FootnoteText"/>
        <w:rPr>
          <w:szCs w:val="20"/>
          <w:lang w:val="fr-FR"/>
        </w:rPr>
      </w:pPr>
      <w:r>
        <w:rPr>
          <w:rStyle w:val="FootnoteReference"/>
          <w:szCs w:val="20"/>
          <w:lang w:val="fr"/>
        </w:rPr>
        <w:footnoteRef/>
      </w:r>
      <w:r>
        <w:rPr>
          <w:szCs w:val="20"/>
          <w:lang w:val="fr"/>
        </w:rPr>
        <w:t xml:space="preserve"> À titre indicatif, la valeur de référence globale pour la production de HCFC dans les pays visés à l’article 5 s’élève à 501 265 tm (dont 430 962 tm produites par un seul pays).</w:t>
      </w:r>
    </w:p>
  </w:footnote>
  <w:footnote w:id="14">
    <w:p w14:paraId="2E25F3A8" w14:textId="77777777" w:rsidR="001277B2" w:rsidRPr="0069182C" w:rsidRDefault="001277B2" w:rsidP="00502FEE">
      <w:pPr>
        <w:pStyle w:val="FootnoteText"/>
      </w:pPr>
      <w:r>
        <w:rPr>
          <w:rStyle w:val="FootnoteReference"/>
          <w:lang w:val="fr"/>
        </w:rPr>
        <w:footnoteRef/>
      </w:r>
      <w:r w:rsidRPr="005703FE">
        <w:rPr>
          <w:lang w:val="en-CA"/>
        </w:rPr>
        <w:t xml:space="preserve"> Source : UNEP/OzL.Pro/ExCom/82/66 (tableau 2).</w:t>
      </w:r>
    </w:p>
  </w:footnote>
  <w:footnote w:id="15">
    <w:p w14:paraId="01014914" w14:textId="2FDA7815" w:rsidR="001277B2" w:rsidRPr="005703FE" w:rsidRDefault="001277B2" w:rsidP="00502FEE">
      <w:pPr>
        <w:pStyle w:val="FootnoteText"/>
        <w:rPr>
          <w:lang w:val="fr-FR"/>
        </w:rPr>
      </w:pPr>
      <w:r>
        <w:rPr>
          <w:rStyle w:val="FootnoteReference"/>
          <w:lang w:val="fr"/>
        </w:rPr>
        <w:footnoteRef/>
      </w:r>
      <w:r>
        <w:rPr>
          <w:lang w:val="fr"/>
        </w:rPr>
        <w:t xml:space="preserve"> Un seul pays, la République arabe syrienne, n’a pas de PGEH approuvé en raison de la situation dans le pays. Le financement d’un projet d’investissement autonome visant à éliminer 12,9 tonnes PAO de HCFC dans le secteur de la réfrigération et de la climatisation, soit 9,6 % du niveau de référence des HCFC, a été approuvé à la 62</w:t>
      </w:r>
      <w:r>
        <w:rPr>
          <w:vertAlign w:val="superscript"/>
          <w:lang w:val="fr"/>
        </w:rPr>
        <w:t>e</w:t>
      </w:r>
      <w:r>
        <w:rPr>
          <w:lang w:val="fr"/>
        </w:rPr>
        <w:t xml:space="preserve"> réunion et un financement supplémentaire a été approuvé à la 83</w:t>
      </w:r>
      <w:r>
        <w:rPr>
          <w:vertAlign w:val="superscript"/>
          <w:lang w:val="fr"/>
        </w:rPr>
        <w:t>e</w:t>
      </w:r>
      <w:r>
        <w:rPr>
          <w:lang w:val="fr"/>
        </w:rPr>
        <w:t xml:space="preserve"> réunion en vue de la préparation de la phase II du PGEH.</w:t>
      </w:r>
    </w:p>
  </w:footnote>
  <w:footnote w:id="16">
    <w:p w14:paraId="295D3DF6" w14:textId="3CF4C72F" w:rsidR="001277B2" w:rsidRPr="005703FE" w:rsidRDefault="001277B2" w:rsidP="00717343">
      <w:pPr>
        <w:pStyle w:val="FootnoteText"/>
        <w:rPr>
          <w:lang w:val="fr-FR"/>
        </w:rPr>
      </w:pPr>
      <w:r>
        <w:rPr>
          <w:rStyle w:val="FootnoteReference"/>
          <w:lang w:val="fr"/>
        </w:rPr>
        <w:footnoteRef/>
      </w:r>
      <w:r>
        <w:rPr>
          <w:lang w:val="fr"/>
        </w:rPr>
        <w:t xml:space="preserve"> Le paragraphe 4 de la décision XXVI/9 demande au Comité exécutif d’envisager de fournir, à la demande des pays, un soutien financier supplémentaire pour la réalisation d’inventaires ou d’enquêtes sur les substances de remplacement des SAO dans les pays visés à l’article 5 intéressés. </w:t>
      </w:r>
      <w:r w:rsidR="00717343">
        <w:rPr>
          <w:lang w:val="fr"/>
        </w:rPr>
        <w:t>L</w:t>
      </w:r>
      <w:r>
        <w:rPr>
          <w:lang w:val="fr"/>
        </w:rPr>
        <w:t xml:space="preserve">e financement de 127 enquêtes a été approuvé dans ce contexte. </w:t>
      </w:r>
      <w:r w:rsidR="00717343">
        <w:rPr>
          <w:lang w:val="fr"/>
        </w:rPr>
        <w:t>A la 80</w:t>
      </w:r>
      <w:r w:rsidR="00717343" w:rsidRPr="00717343">
        <w:rPr>
          <w:vertAlign w:val="superscript"/>
          <w:lang w:val="fr"/>
        </w:rPr>
        <w:t>e</w:t>
      </w:r>
      <w:r w:rsidR="00717343">
        <w:rPr>
          <w:lang w:val="fr"/>
        </w:rPr>
        <w:t xml:space="preserve"> réunion, </w:t>
      </w:r>
      <w:r w:rsidR="00717343">
        <w:rPr>
          <w:lang w:val="fr"/>
        </w:rPr>
        <w:t>l</w:t>
      </w:r>
      <w:r>
        <w:rPr>
          <w:lang w:val="fr"/>
        </w:rPr>
        <w:t>es résultats des enquêtes menées dans 119 pays (77 PFV et 42 autres pays) ont été présentés à la 80</w:t>
      </w:r>
      <w:r>
        <w:rPr>
          <w:vertAlign w:val="superscript"/>
          <w:lang w:val="fr"/>
        </w:rPr>
        <w:t>e</w:t>
      </w:r>
      <w:r>
        <w:rPr>
          <w:lang w:val="fr"/>
        </w:rPr>
        <w:t xml:space="preserve"> réunion dans le document UNEP/OzL.Pro/ExCom/80/54. </w:t>
      </w:r>
    </w:p>
  </w:footnote>
  <w:footnote w:id="17">
    <w:p w14:paraId="791EDAF6" w14:textId="77777777" w:rsidR="001277B2" w:rsidRPr="005703FE" w:rsidRDefault="001277B2" w:rsidP="00502FEE">
      <w:pPr>
        <w:pStyle w:val="FootnoteText"/>
        <w:rPr>
          <w:lang w:val="fr-FR"/>
        </w:rPr>
      </w:pPr>
      <w:r>
        <w:rPr>
          <w:rStyle w:val="FootnoteReference"/>
          <w:lang w:val="fr"/>
        </w:rPr>
        <w:footnoteRef/>
      </w:r>
      <w:r>
        <w:rPr>
          <w:lang w:val="fr"/>
        </w:rPr>
        <w:t xml:space="preserve"> La valeur de référence globale pour les HCFC dans les 42 pays hors PFV représente 24 % de la valeur de référence globale de tous les pays hors PFV, tandis que la valeur de référence globale pour les HCFC des 77 PFV représente 91 % de la valeur de référence globale de tous les PFV. On notera que les plus grands consommateurs, à savoir le Brésil, la Chine et l’Inde, n’ont pas participé à l’enquête.</w:t>
      </w:r>
    </w:p>
  </w:footnote>
  <w:footnote w:id="18">
    <w:p w14:paraId="2FC2F77B" w14:textId="7A54973E" w:rsidR="001277B2" w:rsidRPr="005703FE" w:rsidRDefault="001277B2" w:rsidP="00502FEE">
      <w:pPr>
        <w:pStyle w:val="FootnoteText"/>
        <w:rPr>
          <w:lang w:val="fr-FR"/>
        </w:rPr>
      </w:pPr>
      <w:r>
        <w:rPr>
          <w:rStyle w:val="FootnoteReference"/>
          <w:lang w:val="fr"/>
        </w:rPr>
        <w:footnoteRef/>
      </w:r>
      <w:r>
        <w:rPr>
          <w:lang w:val="fr"/>
        </w:rPr>
        <w:t xml:space="preserve"> Extrait du paragraphe 92 du document UNEP/OzL.Pro/ExCom/82/64.</w:t>
      </w:r>
    </w:p>
  </w:footnote>
  <w:footnote w:id="19">
    <w:p w14:paraId="659CFF53" w14:textId="1D9D4936" w:rsidR="001277B2" w:rsidRPr="005703FE" w:rsidRDefault="001277B2" w:rsidP="00502FEE">
      <w:pPr>
        <w:pStyle w:val="FootnoteText"/>
        <w:rPr>
          <w:lang w:val="fr-FR"/>
        </w:rPr>
      </w:pPr>
      <w:r>
        <w:rPr>
          <w:rStyle w:val="FootnoteReference"/>
          <w:lang w:val="fr"/>
        </w:rPr>
        <w:footnoteRef/>
      </w:r>
      <w:r>
        <w:rPr>
          <w:lang w:val="fr"/>
        </w:rPr>
        <w:t xml:space="preserve"> Sur la base des informations contenues dans les plans d’activités 2020-2022 soumis à la 84</w:t>
      </w:r>
      <w:r>
        <w:rPr>
          <w:vertAlign w:val="superscript"/>
          <w:lang w:val="fr"/>
        </w:rPr>
        <w:t>e</w:t>
      </w:r>
      <w:r>
        <w:rPr>
          <w:lang w:val="fr"/>
        </w:rPr>
        <w:t xml:space="preserve"> réunion (UNEP/OzL.Pro/ExCom/84/26 à 84/31).</w:t>
      </w:r>
    </w:p>
  </w:footnote>
  <w:footnote w:id="20">
    <w:p w14:paraId="52FC0498" w14:textId="75B16A7B" w:rsidR="001277B2" w:rsidRPr="005703FE" w:rsidRDefault="001277B2" w:rsidP="00502FEE">
      <w:pPr>
        <w:pStyle w:val="FootnoteText"/>
        <w:rPr>
          <w:lang w:val="fr-FR"/>
        </w:rPr>
      </w:pPr>
      <w:r>
        <w:rPr>
          <w:rStyle w:val="FootnoteReference"/>
          <w:lang w:val="fr"/>
        </w:rPr>
        <w:footnoteRef/>
      </w:r>
      <w:r>
        <w:rPr>
          <w:lang w:val="fr"/>
        </w:rPr>
        <w:t xml:space="preserve"> Les frigorigènes A2L sont dits « légèrement inflammables ».</w:t>
      </w:r>
    </w:p>
  </w:footnote>
  <w:footnote w:id="21">
    <w:p w14:paraId="29491536" w14:textId="77777777" w:rsidR="001277B2" w:rsidRPr="005703FE" w:rsidRDefault="001277B2" w:rsidP="00502FEE">
      <w:pPr>
        <w:pStyle w:val="FootnoteText"/>
        <w:rPr>
          <w:lang w:val="fr-FR"/>
        </w:rPr>
      </w:pPr>
      <w:r>
        <w:rPr>
          <w:rStyle w:val="FootnoteReference"/>
          <w:lang w:val="fr"/>
        </w:rPr>
        <w:footnoteRef/>
      </w:r>
      <w:r>
        <w:rPr>
          <w:lang w:val="fr"/>
        </w:rPr>
        <w:t xml:space="preserve"> Décisions 60/44 et 74/50, respectivement.</w:t>
      </w:r>
    </w:p>
  </w:footnote>
  <w:footnote w:id="22">
    <w:p w14:paraId="73BF71DC" w14:textId="77777777" w:rsidR="001277B2" w:rsidRPr="005703FE" w:rsidRDefault="001277B2" w:rsidP="00502FEE">
      <w:pPr>
        <w:pStyle w:val="FootnoteText"/>
        <w:rPr>
          <w:lang w:val="fr-FR"/>
        </w:rPr>
      </w:pPr>
      <w:r>
        <w:rPr>
          <w:rStyle w:val="FootnoteReference"/>
          <w:lang w:val="fr"/>
        </w:rPr>
        <w:footnoteRef/>
      </w:r>
      <w:r>
        <w:rPr>
          <w:lang w:val="fr"/>
        </w:rPr>
        <w:t xml:space="preserve"> Jusqu’à 25 % au-delà du seuil de coût-efficacité est fourni lorsque des technologies de remplacement à faible PRG sont introduites (décision 60/44 f) iv)) ; et pour la phase II du PGEH, jusqu’à 40 % au-delà du seuil de coût-efficacité est fourni lorsque des technologies de remplacement à faible PRG sont introduites par les PME dans le secteur des mousses dont la consommation est inférieure à 20 tm (décision 74/50 c) iii)).</w:t>
      </w:r>
    </w:p>
  </w:footnote>
  <w:footnote w:id="23">
    <w:p w14:paraId="127FFC70" w14:textId="77777777" w:rsidR="001277B2" w:rsidRPr="005703FE" w:rsidRDefault="001277B2" w:rsidP="00502FEE">
      <w:pPr>
        <w:pStyle w:val="FootnoteText"/>
        <w:rPr>
          <w:lang w:val="fr-FR"/>
        </w:rPr>
      </w:pPr>
      <w:r>
        <w:rPr>
          <w:rStyle w:val="FootnoteReference"/>
          <w:lang w:val="fr"/>
        </w:rPr>
        <w:footnoteRef/>
      </w:r>
      <w:r>
        <w:rPr>
          <w:lang w:val="fr"/>
        </w:rPr>
        <w:t xml:space="preserve"> La Croatie est un pays non visé à l’article 5 depuis 2014 et a complètement éliminé les HCFC en 2015.</w:t>
      </w:r>
    </w:p>
  </w:footnote>
  <w:footnote w:id="24">
    <w:p w14:paraId="5303FD5F" w14:textId="77777777" w:rsidR="001277B2" w:rsidRPr="005703FE" w:rsidRDefault="001277B2" w:rsidP="00502FEE">
      <w:pPr>
        <w:pStyle w:val="FootnoteText"/>
        <w:ind w:left="1253" w:hanging="1253"/>
        <w:rPr>
          <w:szCs w:val="18"/>
          <w:lang w:val="fr-FR"/>
        </w:rPr>
      </w:pPr>
      <w:r>
        <w:rPr>
          <w:rStyle w:val="FootnoteReference"/>
          <w:sz w:val="18"/>
          <w:lang w:val="fr"/>
        </w:rPr>
        <w:footnoteRef/>
      </w:r>
      <w:r>
        <w:rPr>
          <w:szCs w:val="18"/>
          <w:lang w:val="fr"/>
        </w:rPr>
        <w:t xml:space="preserve"> Décision 81/53.</w:t>
      </w:r>
    </w:p>
  </w:footnote>
  <w:footnote w:id="25">
    <w:p w14:paraId="5B1C178D" w14:textId="77777777" w:rsidR="001277B2" w:rsidRPr="005703FE" w:rsidRDefault="001277B2" w:rsidP="00502FEE">
      <w:pPr>
        <w:pStyle w:val="FootnoteText"/>
        <w:rPr>
          <w:lang w:val="fr-FR"/>
        </w:rPr>
      </w:pPr>
      <w:r>
        <w:rPr>
          <w:rStyle w:val="FootnoteReference"/>
          <w:lang w:val="fr"/>
        </w:rPr>
        <w:footnoteRef/>
      </w:r>
      <w:r>
        <w:rPr>
          <w:lang w:val="fr"/>
        </w:rPr>
        <w:t xml:space="preserve"> Argentine, Bangladesh, Chine, Chine, Jordanie, Liban, Liban, Mexique, République dominicaine, Thaïlande et Zimbabwe.</w:t>
      </w:r>
    </w:p>
  </w:footnote>
  <w:footnote w:id="26">
    <w:p w14:paraId="5FC06798" w14:textId="77777777" w:rsidR="001277B2" w:rsidRPr="005703FE" w:rsidRDefault="001277B2" w:rsidP="00502FEE">
      <w:pPr>
        <w:pStyle w:val="FootnoteText"/>
        <w:rPr>
          <w:lang w:val="fr-FR"/>
        </w:rPr>
      </w:pPr>
      <w:r>
        <w:rPr>
          <w:rStyle w:val="FootnoteReference"/>
          <w:lang w:val="fr"/>
        </w:rPr>
        <w:footnoteRef/>
      </w:r>
      <w:r>
        <w:rPr>
          <w:lang w:val="fr"/>
        </w:rPr>
        <w:t xml:space="preserve"> À sa 74</w:t>
      </w:r>
      <w:r>
        <w:rPr>
          <w:vertAlign w:val="superscript"/>
          <w:lang w:val="fr"/>
        </w:rPr>
        <w:t>e</w:t>
      </w:r>
      <w:r>
        <w:rPr>
          <w:lang w:val="fr"/>
        </w:rPr>
        <w:t xml:space="preserve"> réunion, le Comité exécutif a examiné un document sur le financement des projets de renforcement institutionnel (UNEP/OzL.Pro/ExCom/74/51), qui dressait l’historique de ce type de financement, analysait ses liens avec les autres formes d’appui institutionnel fournies par les UGP et le PAC, et évaluait sa pertinence dans la perspective du respect du Protocole par les pays visés à l’article 5.</w:t>
      </w:r>
    </w:p>
  </w:footnote>
  <w:footnote w:id="27">
    <w:p w14:paraId="73531738" w14:textId="77777777" w:rsidR="001277B2" w:rsidRPr="005703FE" w:rsidRDefault="001277B2" w:rsidP="00502FEE">
      <w:pPr>
        <w:pStyle w:val="FootnoteText"/>
        <w:rPr>
          <w:lang w:val="fr-FR"/>
        </w:rPr>
      </w:pPr>
      <w:r>
        <w:rPr>
          <w:rStyle w:val="FootnoteReference"/>
          <w:lang w:val="fr"/>
        </w:rPr>
        <w:footnoteRef/>
      </w:r>
      <w:r>
        <w:rPr>
          <w:lang w:val="fr"/>
        </w:rPr>
        <w:t xml:space="preserve"> UNEP/OzL.Pro/ExCom/74/51</w:t>
      </w:r>
    </w:p>
  </w:footnote>
  <w:footnote w:id="28">
    <w:p w14:paraId="55AEB9DA" w14:textId="77777777" w:rsidR="001277B2" w:rsidRPr="005703FE" w:rsidRDefault="001277B2" w:rsidP="00502FEE">
      <w:pPr>
        <w:pStyle w:val="FootnoteText"/>
        <w:rPr>
          <w:lang w:val="fr-FR"/>
        </w:rPr>
      </w:pPr>
      <w:r>
        <w:rPr>
          <w:rStyle w:val="FootnoteReference"/>
          <w:lang w:val="fr"/>
        </w:rPr>
        <w:footnoteRef/>
      </w:r>
      <w:r>
        <w:rPr>
          <w:lang w:val="fr"/>
        </w:rPr>
        <w:t xml:space="preserve"> Maintenir le financement pour le soutien au renforcement des institutions (RI) au niveau actuel, et renouveler les projets de RI pour la période de deux ans à partir de la 61</w:t>
      </w:r>
      <w:r>
        <w:rPr>
          <w:vertAlign w:val="superscript"/>
          <w:lang w:val="fr"/>
        </w:rPr>
        <w:t>e</w:t>
      </w:r>
      <w:r>
        <w:rPr>
          <w:lang w:val="fr"/>
        </w:rPr>
        <w:t xml:space="preserve"> réunion, en tenant compte des décisions 59/17 et 59/47 b) qui ont permis aux parties de l’Article 5 de présenter leurs projets de RI comme des projets autonomes ou au sein de leurs PGEH, et de réviser le financement continu du RI à ces niveaux lors de la première réunion du Comité exécutif en 2015.</w:t>
      </w:r>
    </w:p>
  </w:footnote>
  <w:footnote w:id="29">
    <w:p w14:paraId="2B1CB970" w14:textId="77777777" w:rsidR="001277B2" w:rsidRPr="005703FE" w:rsidRDefault="001277B2" w:rsidP="00502FEE">
      <w:pPr>
        <w:pStyle w:val="FootnoteText"/>
        <w:rPr>
          <w:lang w:val="fr-FR"/>
        </w:rPr>
      </w:pPr>
      <w:r>
        <w:rPr>
          <w:rStyle w:val="FootnoteReference"/>
          <w:lang w:val="fr"/>
        </w:rPr>
        <w:footnoteRef/>
      </w:r>
      <w:r>
        <w:rPr>
          <w:lang w:val="fr"/>
        </w:rPr>
        <w:t xml:space="preserve"> La décision 74/51 a été approuvée avant l’adoption de l’Amendement de Kigali (octobre 2016), dans le cadre duquel les Parties ont demandé (paragraphe 21 de la décision XXVIII/2) au Comité exécutif d’augmenter l’appui au renforcement institutionnel compte tenu des nouveaux engagements relatifs aux HFC au titre de l’Amendement.</w:t>
      </w:r>
    </w:p>
  </w:footnote>
  <w:footnote w:id="30">
    <w:p w14:paraId="0802BDFB" w14:textId="77777777" w:rsidR="001277B2" w:rsidRPr="005703FE" w:rsidRDefault="001277B2" w:rsidP="00502FEE">
      <w:pPr>
        <w:pStyle w:val="FootnoteText"/>
        <w:rPr>
          <w:szCs w:val="20"/>
          <w:lang w:val="fr-FR"/>
        </w:rPr>
      </w:pPr>
      <w:r>
        <w:rPr>
          <w:rStyle w:val="FootnoteReference"/>
          <w:szCs w:val="20"/>
          <w:lang w:val="fr"/>
        </w:rPr>
        <w:footnoteRef/>
      </w:r>
      <w:r>
        <w:rPr>
          <w:szCs w:val="20"/>
          <w:lang w:val="fr"/>
        </w:rPr>
        <w:t xml:space="preserve"> À sa 33</w:t>
      </w:r>
      <w:r>
        <w:rPr>
          <w:szCs w:val="20"/>
          <w:vertAlign w:val="superscript"/>
          <w:lang w:val="fr"/>
        </w:rPr>
        <w:t>e</w:t>
      </w:r>
      <w:r>
        <w:rPr>
          <w:szCs w:val="20"/>
          <w:lang w:val="fr"/>
        </w:rPr>
        <w:t xml:space="preserve"> réunion, le Comité exécutif a, entre autres, adopté comme base de ses futurs travaux de planification stratégique, le cadre sur les objectifs, priorités, problèmes et modalités pour la planification stratégique du Fonds multilatéral pendant la période de conformité (décision 33/54 a)).</w:t>
      </w:r>
    </w:p>
  </w:footnote>
  <w:footnote w:id="31">
    <w:p w14:paraId="6C3EF3D0" w14:textId="77777777" w:rsidR="001277B2" w:rsidRPr="005703FE" w:rsidRDefault="001277B2" w:rsidP="00502FEE">
      <w:pPr>
        <w:pStyle w:val="FootnoteText"/>
        <w:rPr>
          <w:szCs w:val="20"/>
          <w:lang w:val="fr-FR"/>
        </w:rPr>
      </w:pPr>
      <w:r>
        <w:rPr>
          <w:rStyle w:val="FootnoteReference"/>
          <w:szCs w:val="20"/>
          <w:lang w:val="fr"/>
        </w:rPr>
        <w:footnoteRef/>
      </w:r>
      <w:r>
        <w:rPr>
          <w:szCs w:val="20"/>
          <w:lang w:val="fr"/>
        </w:rPr>
        <w:t xml:space="preserve"> À sa 17</w:t>
      </w:r>
      <w:r>
        <w:rPr>
          <w:szCs w:val="20"/>
          <w:vertAlign w:val="superscript"/>
          <w:lang w:val="fr"/>
        </w:rPr>
        <w:t>e</w:t>
      </w:r>
      <w:r>
        <w:rPr>
          <w:szCs w:val="20"/>
          <w:lang w:val="fr"/>
        </w:rPr>
        <w:t xml:space="preserve"> réunion, le Comité a décidé, entre autres, d’allouer les fonds destinés aux projets d’investissement de la façon suivante : Banque mondiale 45 %, PNUD 30 % et ONUDI 25 %. Que toute insuffisance dans les parts de la Banque mondiale et du PNUD devra être compensée par les fonds correspondant aux projets approuvés de l’ONUDI ; que le PNUD et l’ONUDI devront coordonner leurs activités de préparation de projets dans les pays à faible volume de consommation de SAO, de façon qu’une seule agence soit responsable de chacun de ces pays (décision 17/21 a) i)).</w:t>
      </w:r>
    </w:p>
  </w:footnote>
  <w:footnote w:id="32">
    <w:p w14:paraId="461C6427" w14:textId="77777777" w:rsidR="001277B2" w:rsidRPr="005703FE" w:rsidRDefault="001277B2" w:rsidP="00502FEE">
      <w:pPr>
        <w:pStyle w:val="FootnoteText"/>
        <w:tabs>
          <w:tab w:val="left" w:pos="0"/>
        </w:tabs>
        <w:rPr>
          <w:szCs w:val="20"/>
          <w:lang w:val="fr-FR"/>
        </w:rPr>
      </w:pPr>
      <w:r>
        <w:rPr>
          <w:rStyle w:val="FootnoteReference"/>
          <w:szCs w:val="20"/>
          <w:lang w:val="fr"/>
        </w:rPr>
        <w:footnoteRef/>
      </w:r>
      <w:r>
        <w:rPr>
          <w:szCs w:val="20"/>
          <w:lang w:val="fr"/>
        </w:rPr>
        <w:t xml:space="preserve"> UNEP/OzL.Pro/ExCom/35/8 Add.1 et décision 35/36.</w:t>
      </w:r>
    </w:p>
  </w:footnote>
  <w:footnote w:id="33">
    <w:p w14:paraId="4A3B1418" w14:textId="77777777" w:rsidR="001277B2" w:rsidRPr="005703FE" w:rsidRDefault="001277B2" w:rsidP="00502FEE">
      <w:pPr>
        <w:pStyle w:val="FootnoteText"/>
        <w:rPr>
          <w:lang w:val="fr-FR"/>
        </w:rPr>
      </w:pPr>
      <w:r>
        <w:rPr>
          <w:rStyle w:val="FootnoteReference"/>
          <w:lang w:val="fr"/>
        </w:rPr>
        <w:footnoteRef/>
      </w:r>
      <w:r>
        <w:rPr>
          <w:lang w:val="fr"/>
        </w:rPr>
        <w:t xml:space="preserve"> </w:t>
      </w:r>
      <w:r>
        <w:rPr>
          <w:szCs w:val="20"/>
          <w:lang w:val="fr"/>
        </w:rPr>
        <w:t>Les coûts d’appui d’agence du PNUD, de l’ONUDI et de la Banque mondiale varient de 6,5 à 9,0 % selon le type et le coût du projet. Les coûts d’appui d’agence des agences bilatérales et du PNUE varient de 11 à 13 % selon le coût du projet. Les coûts de vérification dans les pays hors PFV sont généralement couverts par les coûts d’appui des agences d’exécution principales, tandis que les coûts de vérification dans les PFV sont approuvés par le Comité exécutif.</w:t>
      </w:r>
    </w:p>
  </w:footnote>
  <w:footnote w:id="34">
    <w:p w14:paraId="577EB416" w14:textId="2124E0C1" w:rsidR="001277B2" w:rsidRPr="005703FE" w:rsidRDefault="001277B2" w:rsidP="00502FEE">
      <w:pPr>
        <w:pStyle w:val="FootnoteText"/>
        <w:rPr>
          <w:lang w:val="fr-FR"/>
        </w:rPr>
      </w:pPr>
      <w:r>
        <w:rPr>
          <w:rStyle w:val="FootnoteReference"/>
          <w:lang w:val="fr"/>
        </w:rPr>
        <w:footnoteRef/>
      </w:r>
      <w:r>
        <w:rPr>
          <w:lang w:val="fr"/>
        </w:rPr>
        <w:t xml:space="preserve"> Des demandes de financement des coûts de base ont été soumises à la 84</w:t>
      </w:r>
      <w:r>
        <w:rPr>
          <w:vertAlign w:val="superscript"/>
          <w:lang w:val="fr"/>
        </w:rPr>
        <w:t>e</w:t>
      </w:r>
      <w:r>
        <w:rPr>
          <w:lang w:val="fr"/>
        </w:rPr>
        <w:t xml:space="preserve"> réunion (UNEP/OzL.Pro/ExCom/84/38).</w:t>
      </w:r>
    </w:p>
  </w:footnote>
  <w:footnote w:id="35">
    <w:p w14:paraId="32CF81E4" w14:textId="2EF04FAE" w:rsidR="001277B2" w:rsidRPr="005703FE" w:rsidRDefault="001277B2" w:rsidP="00502FEE">
      <w:pPr>
        <w:pStyle w:val="FootnoteText"/>
        <w:rPr>
          <w:lang w:val="fr-FR"/>
        </w:rPr>
      </w:pPr>
      <w:r>
        <w:rPr>
          <w:rStyle w:val="FootnoteReference"/>
          <w:lang w:val="fr"/>
        </w:rPr>
        <w:footnoteRef/>
      </w:r>
      <w:r>
        <w:rPr>
          <w:lang w:val="fr"/>
        </w:rPr>
        <w:t xml:space="preserve"> Voir annexes 1A et 1B du document UNEP/OzL.Pro/ExCom/80/28. Le PAC soutient 145 pays visés à l’article 5 fort différents en matière de taille, de population, et de consommation et de production de SAO. Ces pays comprennent 48 pays classés par l’ONU en tant que pays parmi les moins avancés (PMA) et 38 pays classés en tant que petits États insulaires en développement (PEID). Si les approches et les difficultés varient selon les régions et les pays, les pays visés à l’article 5 rencontrent également des difficultés communes concernant la mise en œuvre de leurs PGEH. Le PAC offre en moyenne plus de 500 services d’aide à la conformité chaque année aux pays visés à l’article 5 afin de leur permettre d’atteindre et de maintenir leur conformité. Les services du PAC couvrent un large éventail de sujets, notamment le soutien au renforcement des capacités techniques pour ce qui est des infrastructures réglementaires, des politiques, des systèmes d’octroi de permis et de quotas, de l’application de la réglementation, et des techniciens en réfrigération. Ces services ont permis aux UNO de relever les différents défis technologiques, d’assurer la conformité et d’atteindre les objectifs nationaux d’élimination des SAO.</w:t>
      </w:r>
    </w:p>
  </w:footnote>
  <w:footnote w:id="36">
    <w:p w14:paraId="5DB6CFC2" w14:textId="4D56BA24" w:rsidR="001277B2" w:rsidRPr="005703FE" w:rsidRDefault="001277B2" w:rsidP="00502FEE">
      <w:pPr>
        <w:pStyle w:val="FootnoteText"/>
        <w:rPr>
          <w:lang w:val="fr-FR"/>
        </w:rPr>
      </w:pPr>
      <w:r>
        <w:rPr>
          <w:rStyle w:val="FootnoteReference"/>
          <w:lang w:val="fr"/>
        </w:rPr>
        <w:footnoteRef/>
      </w:r>
      <w:r>
        <w:rPr>
          <w:lang w:val="fr"/>
        </w:rPr>
        <w:t xml:space="preserve"> Le budget du PAC du PNUE pour 2020 a été soumis à la 84</w:t>
      </w:r>
      <w:r>
        <w:rPr>
          <w:vertAlign w:val="superscript"/>
          <w:lang w:val="fr"/>
        </w:rPr>
        <w:t>e</w:t>
      </w:r>
      <w:r>
        <w:rPr>
          <w:lang w:val="fr"/>
        </w:rPr>
        <w:t xml:space="preserve"> réunion (UNEP/OzL.Pro/ExCom/84/37).</w:t>
      </w:r>
    </w:p>
  </w:footnote>
  <w:footnote w:id="37">
    <w:p w14:paraId="494D2DB4" w14:textId="77777777" w:rsidR="001277B2" w:rsidRPr="005703FE" w:rsidRDefault="001277B2" w:rsidP="00502FEE">
      <w:pPr>
        <w:pStyle w:val="FootnoteText"/>
        <w:rPr>
          <w:lang w:val="fr-FR"/>
        </w:rPr>
      </w:pPr>
      <w:r>
        <w:rPr>
          <w:rStyle w:val="FootnoteReference"/>
          <w:lang w:val="fr"/>
        </w:rPr>
        <w:footnoteRef/>
      </w:r>
      <w:r>
        <w:rPr>
          <w:lang w:val="fr"/>
        </w:rPr>
        <w:t xml:space="preserve"> UNEP/OzL.Pro/ExCom/83/41</w:t>
      </w:r>
    </w:p>
  </w:footnote>
  <w:footnote w:id="38">
    <w:p w14:paraId="30DF1F45" w14:textId="4071DCBA" w:rsidR="001277B2" w:rsidRPr="005703FE" w:rsidRDefault="001277B2" w:rsidP="00502FEE">
      <w:pPr>
        <w:pStyle w:val="FootnoteText"/>
        <w:rPr>
          <w:lang w:val="fr-FR"/>
        </w:rPr>
      </w:pPr>
      <w:r>
        <w:rPr>
          <w:rStyle w:val="FootnoteReference"/>
          <w:lang w:val="fr"/>
        </w:rPr>
        <w:footnoteRef/>
      </w:r>
      <w:r>
        <w:rPr>
          <w:lang w:val="fr"/>
        </w:rPr>
        <w:t xml:space="preserve"> UNEP/OzL.Pro/ExCom/84/68</w:t>
      </w:r>
    </w:p>
  </w:footnote>
  <w:footnote w:id="39">
    <w:p w14:paraId="7ABF5B7A" w14:textId="69AD99A4" w:rsidR="001277B2" w:rsidRPr="005703FE" w:rsidRDefault="001277B2" w:rsidP="00502FEE">
      <w:pPr>
        <w:pStyle w:val="FootnoteText"/>
        <w:rPr>
          <w:lang w:val="fr-FR"/>
        </w:rPr>
      </w:pPr>
      <w:r>
        <w:rPr>
          <w:rStyle w:val="FootnoteReference"/>
          <w:lang w:val="fr"/>
        </w:rPr>
        <w:footnoteRef/>
      </w:r>
      <w:r>
        <w:rPr>
          <w:lang w:val="fr"/>
        </w:rPr>
        <w:t xml:space="preserve"> Au 3 novembre 2019, 57 pays visés à l’article 5 avaient ratifié l’Amendement de Kigali.</w:t>
      </w:r>
    </w:p>
  </w:footnote>
  <w:footnote w:id="40">
    <w:p w14:paraId="1A25471E" w14:textId="0FABB767" w:rsidR="001277B2" w:rsidRPr="005703FE" w:rsidRDefault="001277B2" w:rsidP="00502FEE">
      <w:pPr>
        <w:pStyle w:val="FootnoteText"/>
        <w:rPr>
          <w:lang w:val="fr-FR"/>
        </w:rPr>
      </w:pPr>
      <w:r>
        <w:rPr>
          <w:rStyle w:val="FootnoteReference"/>
          <w:lang w:val="fr"/>
        </w:rPr>
        <w:footnoteRef/>
      </w:r>
      <w:r>
        <w:rPr>
          <w:lang w:val="fr"/>
        </w:rPr>
        <w:t xml:space="preserve"> Les plans d’activités 2020-2022 soumis par les agences bilatérales et d’exécution à la 84</w:t>
      </w:r>
      <w:r>
        <w:rPr>
          <w:vertAlign w:val="superscript"/>
          <w:lang w:val="fr"/>
        </w:rPr>
        <w:t>e</w:t>
      </w:r>
      <w:r>
        <w:rPr>
          <w:lang w:val="fr"/>
        </w:rPr>
        <w:t xml:space="preserve"> réunion comprenaient le financement préparatoire des plans de réduction progressive des HFC pour 16 pays en 2020, 12 en 2021 et un en 2022.</w:t>
      </w:r>
    </w:p>
  </w:footnote>
  <w:footnote w:id="41">
    <w:p w14:paraId="2325FDAD" w14:textId="77777777" w:rsidR="001277B2" w:rsidRPr="005703FE" w:rsidRDefault="001277B2" w:rsidP="00502FEE">
      <w:pPr>
        <w:pStyle w:val="FootnoteText"/>
        <w:rPr>
          <w:lang w:val="fr-FR"/>
        </w:rPr>
      </w:pPr>
      <w:r>
        <w:rPr>
          <w:rStyle w:val="FootnoteReference"/>
          <w:lang w:val="fr"/>
        </w:rPr>
        <w:footnoteRef/>
      </w:r>
      <w:r>
        <w:rPr>
          <w:lang w:val="fr"/>
        </w:rPr>
        <w:t xml:space="preserve"> UNEP/OzL.Pro/ExCom/54/59</w:t>
      </w:r>
    </w:p>
  </w:footnote>
  <w:footnote w:id="42">
    <w:p w14:paraId="03819D09" w14:textId="77777777" w:rsidR="001277B2" w:rsidRPr="005703FE" w:rsidRDefault="001277B2" w:rsidP="00502FEE">
      <w:pPr>
        <w:pStyle w:val="FootnoteText"/>
        <w:rPr>
          <w:lang w:val="fr-FR"/>
        </w:rPr>
      </w:pPr>
      <w:r>
        <w:rPr>
          <w:rStyle w:val="FootnoteReference"/>
          <w:lang w:val="fr"/>
        </w:rPr>
        <w:footnoteRef/>
      </w:r>
      <w:r>
        <w:rPr>
          <w:lang w:val="fr"/>
        </w:rPr>
        <w:t xml:space="preserve"> UNEP/OzL.Pro/ExCom/56/64</w:t>
      </w:r>
    </w:p>
  </w:footnote>
  <w:footnote w:id="43">
    <w:p w14:paraId="1E7204D0" w14:textId="4C980114" w:rsidR="001277B2" w:rsidRPr="005703FE" w:rsidRDefault="001277B2" w:rsidP="00502FEE">
      <w:pPr>
        <w:pStyle w:val="FootnoteText"/>
        <w:rPr>
          <w:lang w:val="fr-FR"/>
        </w:rPr>
      </w:pPr>
      <w:r>
        <w:rPr>
          <w:rStyle w:val="FootnoteReference"/>
          <w:lang w:val="fr"/>
        </w:rPr>
        <w:footnoteRef/>
      </w:r>
      <w:r>
        <w:rPr>
          <w:lang w:val="fr"/>
        </w:rPr>
        <w:t xml:space="preserve"> UNEP/OzL.Pro/ExCom/71/64</w:t>
      </w:r>
    </w:p>
  </w:footnote>
  <w:footnote w:id="44">
    <w:p w14:paraId="3F9B258D" w14:textId="77777777" w:rsidR="001277B2" w:rsidRPr="005703FE" w:rsidRDefault="001277B2" w:rsidP="0011030A">
      <w:pPr>
        <w:pStyle w:val="FootnoteText"/>
        <w:rPr>
          <w:lang w:val="fr-FR"/>
        </w:rPr>
      </w:pPr>
      <w:r>
        <w:rPr>
          <w:rStyle w:val="FootnoteReference"/>
          <w:lang w:val="fr"/>
        </w:rPr>
        <w:footnoteRef/>
      </w:r>
      <w:r>
        <w:rPr>
          <w:lang w:val="fr"/>
        </w:rPr>
        <w:t xml:space="preserve"> UNEP/OzL.Pro.31/L.2/Add.2</w:t>
      </w:r>
    </w:p>
  </w:footnote>
  <w:footnote w:id="45">
    <w:p w14:paraId="3413D670" w14:textId="07958C0A" w:rsidR="001277B2" w:rsidRPr="005703FE" w:rsidRDefault="001277B2" w:rsidP="008340DF">
      <w:pPr>
        <w:pStyle w:val="FootnoteText"/>
        <w:rPr>
          <w:lang w:val="fr-FR"/>
        </w:rPr>
      </w:pPr>
      <w:r>
        <w:rPr>
          <w:rStyle w:val="FootnoteReference"/>
          <w:lang w:val="fr"/>
        </w:rPr>
        <w:footnoteRef/>
      </w:r>
      <w:r>
        <w:rPr>
          <w:lang w:val="fr"/>
        </w:rPr>
        <w:t xml:space="preserve"> Pour continuer d’appuyer des projets autonomes dans les pays visés au paragraphe 1 de l’article 5, conformément à la décision 79/45.</w:t>
      </w:r>
    </w:p>
  </w:footnote>
  <w:footnote w:id="46">
    <w:p w14:paraId="172F6F4A" w14:textId="77777777" w:rsidR="001277B2" w:rsidRPr="00420ED6" w:rsidRDefault="001277B2" w:rsidP="00502FEE">
      <w:pPr>
        <w:rPr>
          <w:sz w:val="20"/>
          <w:szCs w:val="20"/>
        </w:rPr>
      </w:pPr>
      <w:r>
        <w:rPr>
          <w:rStyle w:val="FootnoteReference"/>
          <w:rFonts w:eastAsiaTheme="minorHAnsi"/>
          <w:sz w:val="20"/>
          <w:szCs w:val="20"/>
          <w:lang w:val="fr"/>
        </w:rPr>
        <w:footnoteRef/>
      </w:r>
      <w:r>
        <w:rPr>
          <w:sz w:val="20"/>
          <w:szCs w:val="20"/>
          <w:lang w:val="fr"/>
        </w:rPr>
        <w:t xml:space="preserve"> UNEP/OzL.Pro/ExCom/80/16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F6D66" w14:textId="05772501" w:rsidR="001277B2" w:rsidRPr="0033525D" w:rsidRDefault="00CB7DE8">
    <w:r>
      <w:rPr>
        <w:lang w:val="fr"/>
      </w:rPr>
      <w:fldChar w:fldCharType="begin"/>
    </w:r>
    <w:r>
      <w:rPr>
        <w:lang w:val="fr"/>
      </w:rPr>
      <w:instrText xml:space="preserve"> DOCPROPERTY "Document number"  \* MERGEFORMAT </w:instrText>
    </w:r>
    <w:r>
      <w:rPr>
        <w:lang w:val="fr"/>
      </w:rPr>
      <w:fldChar w:fldCharType="separate"/>
    </w:r>
    <w:r>
      <w:rPr>
        <w:lang w:val="fr"/>
      </w:rPr>
      <w:t>UNEP/OzL.Pro/ExCom/84/65</w:t>
    </w:r>
    <w:r>
      <w:rPr>
        <w:lang w:val="fr"/>
      </w:rPr>
      <w:fldChar w:fldCharType="end"/>
    </w:r>
  </w:p>
  <w:p w14:paraId="12A4B408" w14:textId="77777777" w:rsidR="001277B2" w:rsidRPr="0033525D" w:rsidRDefault="001277B2"/>
  <w:p w14:paraId="539B3F71" w14:textId="77777777" w:rsidR="001277B2" w:rsidRPr="0033525D" w:rsidRDefault="001277B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1E9C9" w14:textId="34385CC7" w:rsidR="001277B2" w:rsidRPr="0033525D" w:rsidRDefault="00CB7DE8">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UNEP/OzL.Pro/ExCom/84/65</w:t>
    </w:r>
    <w:r>
      <w:rPr>
        <w:lang w:val="fr"/>
      </w:rPr>
      <w:fldChar w:fldCharType="end"/>
    </w:r>
  </w:p>
  <w:p w14:paraId="4F9281E9" w14:textId="77777777" w:rsidR="001277B2" w:rsidRPr="0033525D" w:rsidRDefault="001277B2"/>
  <w:p w14:paraId="428EA2D5" w14:textId="77777777" w:rsidR="001277B2" w:rsidRPr="0033525D" w:rsidRDefault="001277B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7C06E68"/>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B941D8"/>
    <w:multiLevelType w:val="hybridMultilevel"/>
    <w:tmpl w:val="17021CE6"/>
    <w:lvl w:ilvl="0" w:tplc="EA742A88">
      <w:start w:val="2"/>
      <w:numFmt w:val="decimal"/>
      <w:lvlText w:val="%1."/>
      <w:lvlJc w:val="left"/>
      <w:pPr>
        <w:ind w:left="720" w:hanging="360"/>
      </w:pPr>
      <w:rPr>
        <w:rFonts w:eastAsia="SimSu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33D4C62"/>
    <w:multiLevelType w:val="hybridMultilevel"/>
    <w:tmpl w:val="69C8A2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5FF09D3"/>
    <w:multiLevelType w:val="hybridMultilevel"/>
    <w:tmpl w:val="49EE96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4" w15:restartNumberingAfterBreak="0">
    <w:nsid w:val="55044FEF"/>
    <w:multiLevelType w:val="hybridMultilevel"/>
    <w:tmpl w:val="9DC034FA"/>
    <w:lvl w:ilvl="0" w:tplc="5512E53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A732709"/>
    <w:multiLevelType w:val="hybridMultilevel"/>
    <w:tmpl w:val="16C26B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2866A57"/>
    <w:multiLevelType w:val="multilevel"/>
    <w:tmpl w:val="D6B8C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3AE5F87"/>
    <w:multiLevelType w:val="hybridMultilevel"/>
    <w:tmpl w:val="0038C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1"/>
  </w:num>
  <w:num w:numId="18">
    <w:abstractNumId w:val="22"/>
  </w:num>
  <w:num w:numId="19">
    <w:abstractNumId w:val="29"/>
  </w:num>
  <w:num w:numId="20">
    <w:abstractNumId w:val="1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6"/>
  </w:num>
  <w:num w:numId="24">
    <w:abstractNumId w:val="12"/>
  </w:num>
  <w:num w:numId="25">
    <w:abstractNumId w:val="27"/>
  </w:num>
  <w:num w:numId="26">
    <w:abstractNumId w:val="25"/>
  </w:num>
  <w:num w:numId="27">
    <w:abstractNumId w:val="28"/>
  </w:num>
  <w:num w:numId="28">
    <w:abstractNumId w:val="15"/>
  </w:num>
  <w:num w:numId="29">
    <w:abstractNumId w:val="19"/>
  </w:num>
  <w:num w:numId="30">
    <w:abstractNumId w:val="23"/>
  </w:num>
  <w:num w:numId="31">
    <w:abstractNumId w:val="10"/>
    <w:lvlOverride w:ilvl="1">
      <w:lvl w:ilvl="1">
        <w:start w:val="1"/>
        <w:numFmt w:val="lowerLetter"/>
        <w:pStyle w:val="Heading2"/>
        <w:lvlText w:val="(%2)"/>
        <w:lvlJc w:val="left"/>
        <w:pPr>
          <w:tabs>
            <w:tab w:val="num" w:pos="0"/>
          </w:tabs>
          <w:ind w:left="1440" w:hanging="720"/>
        </w:pPr>
        <w:rPr>
          <w:rFonts w:hint="default"/>
          <w:b w:val="0"/>
        </w:rPr>
      </w:lvl>
    </w:lvlOverride>
  </w:num>
  <w:num w:numId="32">
    <w:abstractNumId w:val="26"/>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14"/>
  </w:num>
  <w:num w:numId="36">
    <w:abstractNumId w:val="13"/>
  </w:num>
  <w:num w:numId="37">
    <w:abstractNumId w:val="10"/>
  </w:num>
  <w:num w:numId="38">
    <w:abstractNumId w:val="10"/>
  </w:num>
  <w:num w:numId="39">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ctiveWritingStyle w:appName="MSWord" w:lang="fr-BE" w:vendorID="64" w:dllVersion="6" w:nlCheck="1" w:checkStyle="0"/>
  <w:activeWritingStyle w:appName="MSWord" w:lang="en-GB" w:vendorID="64" w:dllVersion="6" w:nlCheck="1" w:checkStyle="0"/>
  <w:activeWritingStyle w:appName="MSWord" w:lang="en-CA" w:vendorID="64" w:dllVersion="6" w:nlCheck="1" w:checkStyle="0"/>
  <w:activeWritingStyle w:appName="MSWord" w:lang="en-US" w:vendorID="64" w:dllVersion="6" w:nlCheck="1" w:checkStyle="0"/>
  <w:activeWritingStyle w:appName="MSWord" w:lang="en-AU"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n-CA" w:vendorID="64" w:dllVersion="131078" w:nlCheck="1" w:checkStyle="0"/>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fr-CA"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26BD3"/>
    <w:rsid w:val="00000FED"/>
    <w:rsid w:val="0000434E"/>
    <w:rsid w:val="000069F7"/>
    <w:rsid w:val="00010B06"/>
    <w:rsid w:val="00017C3F"/>
    <w:rsid w:val="000211A9"/>
    <w:rsid w:val="00022464"/>
    <w:rsid w:val="00030835"/>
    <w:rsid w:val="00030C48"/>
    <w:rsid w:val="00031260"/>
    <w:rsid w:val="0003681A"/>
    <w:rsid w:val="00040625"/>
    <w:rsid w:val="0004297E"/>
    <w:rsid w:val="000477C6"/>
    <w:rsid w:val="000505AC"/>
    <w:rsid w:val="0005185F"/>
    <w:rsid w:val="00052C5C"/>
    <w:rsid w:val="00053620"/>
    <w:rsid w:val="00054050"/>
    <w:rsid w:val="00061EC2"/>
    <w:rsid w:val="00072757"/>
    <w:rsid w:val="00077ADD"/>
    <w:rsid w:val="00080ED0"/>
    <w:rsid w:val="00085B8F"/>
    <w:rsid w:val="00086905"/>
    <w:rsid w:val="00090481"/>
    <w:rsid w:val="00090B19"/>
    <w:rsid w:val="00092009"/>
    <w:rsid w:val="00093C64"/>
    <w:rsid w:val="000A6C26"/>
    <w:rsid w:val="000B0AC0"/>
    <w:rsid w:val="000B6EAC"/>
    <w:rsid w:val="000C204B"/>
    <w:rsid w:val="000C353F"/>
    <w:rsid w:val="000C4AA7"/>
    <w:rsid w:val="000C567F"/>
    <w:rsid w:val="000D07A0"/>
    <w:rsid w:val="000D4C17"/>
    <w:rsid w:val="000D52A4"/>
    <w:rsid w:val="000E05D3"/>
    <w:rsid w:val="000E07BC"/>
    <w:rsid w:val="000E1344"/>
    <w:rsid w:val="000E3956"/>
    <w:rsid w:val="000E3B00"/>
    <w:rsid w:val="000E59CB"/>
    <w:rsid w:val="000E7A06"/>
    <w:rsid w:val="000E7FEA"/>
    <w:rsid w:val="000F1CD4"/>
    <w:rsid w:val="000F3176"/>
    <w:rsid w:val="000F4103"/>
    <w:rsid w:val="000F4CB0"/>
    <w:rsid w:val="000F70A7"/>
    <w:rsid w:val="00101F98"/>
    <w:rsid w:val="0011030A"/>
    <w:rsid w:val="00113CCA"/>
    <w:rsid w:val="00116A25"/>
    <w:rsid w:val="00120E9E"/>
    <w:rsid w:val="00121AEF"/>
    <w:rsid w:val="00122F25"/>
    <w:rsid w:val="00127192"/>
    <w:rsid w:val="001277B2"/>
    <w:rsid w:val="00135980"/>
    <w:rsid w:val="001424DC"/>
    <w:rsid w:val="001427A4"/>
    <w:rsid w:val="00143AF7"/>
    <w:rsid w:val="00146D49"/>
    <w:rsid w:val="0015211F"/>
    <w:rsid w:val="00160873"/>
    <w:rsid w:val="00164719"/>
    <w:rsid w:val="00166FC4"/>
    <w:rsid w:val="001677AC"/>
    <w:rsid w:val="001677F3"/>
    <w:rsid w:val="00175443"/>
    <w:rsid w:val="001765E6"/>
    <w:rsid w:val="001804EA"/>
    <w:rsid w:val="00185362"/>
    <w:rsid w:val="00186908"/>
    <w:rsid w:val="00190A61"/>
    <w:rsid w:val="00191DE4"/>
    <w:rsid w:val="00195538"/>
    <w:rsid w:val="001966E3"/>
    <w:rsid w:val="001A3342"/>
    <w:rsid w:val="001A3E3D"/>
    <w:rsid w:val="001A412A"/>
    <w:rsid w:val="001A7049"/>
    <w:rsid w:val="001B1D88"/>
    <w:rsid w:val="001B1E40"/>
    <w:rsid w:val="001B2EDE"/>
    <w:rsid w:val="001B6487"/>
    <w:rsid w:val="001B7C92"/>
    <w:rsid w:val="001B7D69"/>
    <w:rsid w:val="001C335C"/>
    <w:rsid w:val="001C3C80"/>
    <w:rsid w:val="001C3CDD"/>
    <w:rsid w:val="001C764E"/>
    <w:rsid w:val="001C78C6"/>
    <w:rsid w:val="001D3A6E"/>
    <w:rsid w:val="001E1052"/>
    <w:rsid w:val="001E21B1"/>
    <w:rsid w:val="001E2F11"/>
    <w:rsid w:val="001E2F93"/>
    <w:rsid w:val="001E3389"/>
    <w:rsid w:val="001E61E5"/>
    <w:rsid w:val="001F1FF3"/>
    <w:rsid w:val="001F2159"/>
    <w:rsid w:val="001F29A6"/>
    <w:rsid w:val="001F42C1"/>
    <w:rsid w:val="001F5E22"/>
    <w:rsid w:val="001F687B"/>
    <w:rsid w:val="0020092E"/>
    <w:rsid w:val="00201BFB"/>
    <w:rsid w:val="00202B02"/>
    <w:rsid w:val="00202B86"/>
    <w:rsid w:val="00204963"/>
    <w:rsid w:val="002071B0"/>
    <w:rsid w:val="00213B82"/>
    <w:rsid w:val="00214863"/>
    <w:rsid w:val="002156B4"/>
    <w:rsid w:val="00224062"/>
    <w:rsid w:val="00236EE2"/>
    <w:rsid w:val="00242C35"/>
    <w:rsid w:val="00245AAC"/>
    <w:rsid w:val="00246469"/>
    <w:rsid w:val="0025038C"/>
    <w:rsid w:val="00253222"/>
    <w:rsid w:val="00262847"/>
    <w:rsid w:val="00264ACF"/>
    <w:rsid w:val="00274053"/>
    <w:rsid w:val="00281BB2"/>
    <w:rsid w:val="002840EB"/>
    <w:rsid w:val="002919A7"/>
    <w:rsid w:val="00294E31"/>
    <w:rsid w:val="00297DCD"/>
    <w:rsid w:val="002A7287"/>
    <w:rsid w:val="002B08D9"/>
    <w:rsid w:val="002B1F50"/>
    <w:rsid w:val="002B72E9"/>
    <w:rsid w:val="002C7998"/>
    <w:rsid w:val="002D2807"/>
    <w:rsid w:val="002D6CB6"/>
    <w:rsid w:val="002E1C10"/>
    <w:rsid w:val="002E52B1"/>
    <w:rsid w:val="002F1E53"/>
    <w:rsid w:val="002F263D"/>
    <w:rsid w:val="002F277D"/>
    <w:rsid w:val="002F2CAA"/>
    <w:rsid w:val="002F7974"/>
    <w:rsid w:val="0030052C"/>
    <w:rsid w:val="00311614"/>
    <w:rsid w:val="00311A63"/>
    <w:rsid w:val="00311DF9"/>
    <w:rsid w:val="003151EF"/>
    <w:rsid w:val="00316E04"/>
    <w:rsid w:val="00322FAC"/>
    <w:rsid w:val="00323987"/>
    <w:rsid w:val="00324CC9"/>
    <w:rsid w:val="00327ADE"/>
    <w:rsid w:val="003306E1"/>
    <w:rsid w:val="003320E4"/>
    <w:rsid w:val="0033525D"/>
    <w:rsid w:val="003359B5"/>
    <w:rsid w:val="003414F3"/>
    <w:rsid w:val="003418C3"/>
    <w:rsid w:val="00341E46"/>
    <w:rsid w:val="00342889"/>
    <w:rsid w:val="00343DF4"/>
    <w:rsid w:val="0034504C"/>
    <w:rsid w:val="00346674"/>
    <w:rsid w:val="003512CB"/>
    <w:rsid w:val="00355E53"/>
    <w:rsid w:val="0035613E"/>
    <w:rsid w:val="003611DB"/>
    <w:rsid w:val="00361902"/>
    <w:rsid w:val="00363EE9"/>
    <w:rsid w:val="0036427C"/>
    <w:rsid w:val="00364A75"/>
    <w:rsid w:val="00366505"/>
    <w:rsid w:val="0037118E"/>
    <w:rsid w:val="003716D2"/>
    <w:rsid w:val="00373B0B"/>
    <w:rsid w:val="00376128"/>
    <w:rsid w:val="0037742E"/>
    <w:rsid w:val="00377D56"/>
    <w:rsid w:val="0038105F"/>
    <w:rsid w:val="0038245A"/>
    <w:rsid w:val="003840E6"/>
    <w:rsid w:val="003846D2"/>
    <w:rsid w:val="00384D3F"/>
    <w:rsid w:val="00385613"/>
    <w:rsid w:val="00385A2E"/>
    <w:rsid w:val="00385CFC"/>
    <w:rsid w:val="003919B9"/>
    <w:rsid w:val="0039337A"/>
    <w:rsid w:val="003955E7"/>
    <w:rsid w:val="00395D8E"/>
    <w:rsid w:val="003A2921"/>
    <w:rsid w:val="003A3189"/>
    <w:rsid w:val="003A3CA7"/>
    <w:rsid w:val="003A5E91"/>
    <w:rsid w:val="003A79F5"/>
    <w:rsid w:val="003B2427"/>
    <w:rsid w:val="003B33BD"/>
    <w:rsid w:val="003B569D"/>
    <w:rsid w:val="003B5BC6"/>
    <w:rsid w:val="003B6A4C"/>
    <w:rsid w:val="003C0C29"/>
    <w:rsid w:val="003C305B"/>
    <w:rsid w:val="003C30B9"/>
    <w:rsid w:val="003C3C0E"/>
    <w:rsid w:val="003C5BBF"/>
    <w:rsid w:val="003D4FAC"/>
    <w:rsid w:val="003D6261"/>
    <w:rsid w:val="003E0B13"/>
    <w:rsid w:val="003E27A6"/>
    <w:rsid w:val="003E35B7"/>
    <w:rsid w:val="003E3CC1"/>
    <w:rsid w:val="003E59C7"/>
    <w:rsid w:val="003E7906"/>
    <w:rsid w:val="003F113F"/>
    <w:rsid w:val="003F3C50"/>
    <w:rsid w:val="003F4449"/>
    <w:rsid w:val="003F5FBE"/>
    <w:rsid w:val="004026AB"/>
    <w:rsid w:val="00402929"/>
    <w:rsid w:val="00406A6A"/>
    <w:rsid w:val="00406B22"/>
    <w:rsid w:val="00411616"/>
    <w:rsid w:val="004165F1"/>
    <w:rsid w:val="004174B4"/>
    <w:rsid w:val="004328A7"/>
    <w:rsid w:val="00434C74"/>
    <w:rsid w:val="00435BB9"/>
    <w:rsid w:val="00435F9D"/>
    <w:rsid w:val="004442B5"/>
    <w:rsid w:val="00450379"/>
    <w:rsid w:val="004521E4"/>
    <w:rsid w:val="00456EB4"/>
    <w:rsid w:val="0046014D"/>
    <w:rsid w:val="0046421B"/>
    <w:rsid w:val="004718F3"/>
    <w:rsid w:val="004731B8"/>
    <w:rsid w:val="0047446C"/>
    <w:rsid w:val="00475040"/>
    <w:rsid w:val="00480B01"/>
    <w:rsid w:val="00481D21"/>
    <w:rsid w:val="0048493F"/>
    <w:rsid w:val="004857DA"/>
    <w:rsid w:val="00493D40"/>
    <w:rsid w:val="004967B6"/>
    <w:rsid w:val="004A0861"/>
    <w:rsid w:val="004A0DAD"/>
    <w:rsid w:val="004A46EE"/>
    <w:rsid w:val="004A504B"/>
    <w:rsid w:val="004A6911"/>
    <w:rsid w:val="004A74D4"/>
    <w:rsid w:val="004B1535"/>
    <w:rsid w:val="004B32D2"/>
    <w:rsid w:val="004B54E0"/>
    <w:rsid w:val="004B6EF9"/>
    <w:rsid w:val="004B7384"/>
    <w:rsid w:val="004C4269"/>
    <w:rsid w:val="004D408A"/>
    <w:rsid w:val="004D469D"/>
    <w:rsid w:val="004D56E1"/>
    <w:rsid w:val="004D6236"/>
    <w:rsid w:val="004D6BA3"/>
    <w:rsid w:val="004D7F90"/>
    <w:rsid w:val="004E1A10"/>
    <w:rsid w:val="004E41F7"/>
    <w:rsid w:val="004E4DBB"/>
    <w:rsid w:val="004E4E41"/>
    <w:rsid w:val="004E575E"/>
    <w:rsid w:val="004E7F9C"/>
    <w:rsid w:val="004F0443"/>
    <w:rsid w:val="004F18A7"/>
    <w:rsid w:val="004F291E"/>
    <w:rsid w:val="004F3493"/>
    <w:rsid w:val="004F5143"/>
    <w:rsid w:val="005005AB"/>
    <w:rsid w:val="00501936"/>
    <w:rsid w:val="00502FEE"/>
    <w:rsid w:val="005115D9"/>
    <w:rsid w:val="00512B09"/>
    <w:rsid w:val="00513A54"/>
    <w:rsid w:val="00515B2F"/>
    <w:rsid w:val="00520F6F"/>
    <w:rsid w:val="0052276C"/>
    <w:rsid w:val="00522E27"/>
    <w:rsid w:val="00525B6D"/>
    <w:rsid w:val="00527897"/>
    <w:rsid w:val="00533796"/>
    <w:rsid w:val="005476A2"/>
    <w:rsid w:val="00550C25"/>
    <w:rsid w:val="00553522"/>
    <w:rsid w:val="005553C2"/>
    <w:rsid w:val="00555D75"/>
    <w:rsid w:val="0055635F"/>
    <w:rsid w:val="00560DF0"/>
    <w:rsid w:val="00562827"/>
    <w:rsid w:val="0056509D"/>
    <w:rsid w:val="0056523F"/>
    <w:rsid w:val="0056759C"/>
    <w:rsid w:val="005703FE"/>
    <w:rsid w:val="00571B37"/>
    <w:rsid w:val="00573639"/>
    <w:rsid w:val="00575959"/>
    <w:rsid w:val="00593D2B"/>
    <w:rsid w:val="00594A16"/>
    <w:rsid w:val="0059513E"/>
    <w:rsid w:val="005A4390"/>
    <w:rsid w:val="005B12A2"/>
    <w:rsid w:val="005B48FF"/>
    <w:rsid w:val="005B5BB0"/>
    <w:rsid w:val="005C5637"/>
    <w:rsid w:val="005D0272"/>
    <w:rsid w:val="005D67AB"/>
    <w:rsid w:val="006031EC"/>
    <w:rsid w:val="00604C15"/>
    <w:rsid w:val="00607A8F"/>
    <w:rsid w:val="00614A9C"/>
    <w:rsid w:val="00614BE0"/>
    <w:rsid w:val="006158D5"/>
    <w:rsid w:val="006214E5"/>
    <w:rsid w:val="00625D83"/>
    <w:rsid w:val="00626881"/>
    <w:rsid w:val="00634E2F"/>
    <w:rsid w:val="00641A6D"/>
    <w:rsid w:val="00642461"/>
    <w:rsid w:val="0064332C"/>
    <w:rsid w:val="00643338"/>
    <w:rsid w:val="00654845"/>
    <w:rsid w:val="006553D4"/>
    <w:rsid w:val="006623E7"/>
    <w:rsid w:val="00662A45"/>
    <w:rsid w:val="00662B80"/>
    <w:rsid w:val="00664070"/>
    <w:rsid w:val="00665C2D"/>
    <w:rsid w:val="00670F6C"/>
    <w:rsid w:val="006715AC"/>
    <w:rsid w:val="00675795"/>
    <w:rsid w:val="00682586"/>
    <w:rsid w:val="00682FB8"/>
    <w:rsid w:val="006849A0"/>
    <w:rsid w:val="006852C7"/>
    <w:rsid w:val="006852CE"/>
    <w:rsid w:val="00686EAD"/>
    <w:rsid w:val="0069182C"/>
    <w:rsid w:val="00691C32"/>
    <w:rsid w:val="00692ACF"/>
    <w:rsid w:val="00693369"/>
    <w:rsid w:val="0069451C"/>
    <w:rsid w:val="00695AA0"/>
    <w:rsid w:val="006A69FA"/>
    <w:rsid w:val="006B4F05"/>
    <w:rsid w:val="006B5EDF"/>
    <w:rsid w:val="006C0138"/>
    <w:rsid w:val="006C1727"/>
    <w:rsid w:val="006C289F"/>
    <w:rsid w:val="006C32FD"/>
    <w:rsid w:val="006C39CE"/>
    <w:rsid w:val="006C6468"/>
    <w:rsid w:val="006D0FCC"/>
    <w:rsid w:val="006D1D2D"/>
    <w:rsid w:val="006D2262"/>
    <w:rsid w:val="006D54FC"/>
    <w:rsid w:val="006E1FC3"/>
    <w:rsid w:val="006E5BA7"/>
    <w:rsid w:val="006F0F43"/>
    <w:rsid w:val="006F619F"/>
    <w:rsid w:val="006F6FFB"/>
    <w:rsid w:val="00700F47"/>
    <w:rsid w:val="0070616B"/>
    <w:rsid w:val="00706369"/>
    <w:rsid w:val="00706FDA"/>
    <w:rsid w:val="00711F9A"/>
    <w:rsid w:val="00713810"/>
    <w:rsid w:val="00717343"/>
    <w:rsid w:val="00722AE9"/>
    <w:rsid w:val="007303A5"/>
    <w:rsid w:val="00730B3E"/>
    <w:rsid w:val="007318A1"/>
    <w:rsid w:val="00731B08"/>
    <w:rsid w:val="0073420B"/>
    <w:rsid w:val="007344A9"/>
    <w:rsid w:val="00736694"/>
    <w:rsid w:val="007379AE"/>
    <w:rsid w:val="007455AF"/>
    <w:rsid w:val="00745993"/>
    <w:rsid w:val="00746415"/>
    <w:rsid w:val="0074760E"/>
    <w:rsid w:val="00754879"/>
    <w:rsid w:val="00754ABA"/>
    <w:rsid w:val="00755CB3"/>
    <w:rsid w:val="0076046B"/>
    <w:rsid w:val="00762AD0"/>
    <w:rsid w:val="00773E9D"/>
    <w:rsid w:val="00781DDC"/>
    <w:rsid w:val="0078380D"/>
    <w:rsid w:val="00784CD9"/>
    <w:rsid w:val="0079075E"/>
    <w:rsid w:val="00790F07"/>
    <w:rsid w:val="007956A5"/>
    <w:rsid w:val="007A1546"/>
    <w:rsid w:val="007A228C"/>
    <w:rsid w:val="007A368E"/>
    <w:rsid w:val="007A36CC"/>
    <w:rsid w:val="007A5868"/>
    <w:rsid w:val="007B04CE"/>
    <w:rsid w:val="007B360C"/>
    <w:rsid w:val="007B6871"/>
    <w:rsid w:val="007B7A2F"/>
    <w:rsid w:val="007C227C"/>
    <w:rsid w:val="007C3D33"/>
    <w:rsid w:val="007C7512"/>
    <w:rsid w:val="007D294A"/>
    <w:rsid w:val="007D47D2"/>
    <w:rsid w:val="007D6EC0"/>
    <w:rsid w:val="007D7E1D"/>
    <w:rsid w:val="007E68D9"/>
    <w:rsid w:val="007F7487"/>
    <w:rsid w:val="00805A6F"/>
    <w:rsid w:val="00811266"/>
    <w:rsid w:val="00815327"/>
    <w:rsid w:val="00821462"/>
    <w:rsid w:val="008305D1"/>
    <w:rsid w:val="0083195E"/>
    <w:rsid w:val="00831979"/>
    <w:rsid w:val="00832AA7"/>
    <w:rsid w:val="00833824"/>
    <w:rsid w:val="008340DF"/>
    <w:rsid w:val="00842816"/>
    <w:rsid w:val="008505E3"/>
    <w:rsid w:val="00851352"/>
    <w:rsid w:val="008550AA"/>
    <w:rsid w:val="008611B8"/>
    <w:rsid w:val="00861271"/>
    <w:rsid w:val="008631C2"/>
    <w:rsid w:val="00863230"/>
    <w:rsid w:val="00870FD7"/>
    <w:rsid w:val="008717D8"/>
    <w:rsid w:val="0087215C"/>
    <w:rsid w:val="00876407"/>
    <w:rsid w:val="00876B97"/>
    <w:rsid w:val="00880E35"/>
    <w:rsid w:val="00881179"/>
    <w:rsid w:val="008856E7"/>
    <w:rsid w:val="0088681B"/>
    <w:rsid w:val="008875FE"/>
    <w:rsid w:val="00887F8E"/>
    <w:rsid w:val="00892ED6"/>
    <w:rsid w:val="00896234"/>
    <w:rsid w:val="00897E43"/>
    <w:rsid w:val="008A0E3A"/>
    <w:rsid w:val="008A1051"/>
    <w:rsid w:val="008A5740"/>
    <w:rsid w:val="008B1D8C"/>
    <w:rsid w:val="008B2217"/>
    <w:rsid w:val="008B25EA"/>
    <w:rsid w:val="008C1684"/>
    <w:rsid w:val="008C5488"/>
    <w:rsid w:val="008C5738"/>
    <w:rsid w:val="008C79DF"/>
    <w:rsid w:val="008C7EAD"/>
    <w:rsid w:val="008D04C0"/>
    <w:rsid w:val="008D0CFE"/>
    <w:rsid w:val="008D256A"/>
    <w:rsid w:val="008D3375"/>
    <w:rsid w:val="008D54C2"/>
    <w:rsid w:val="008D5C1F"/>
    <w:rsid w:val="008D604D"/>
    <w:rsid w:val="008D6152"/>
    <w:rsid w:val="008E3C6B"/>
    <w:rsid w:val="008E41E7"/>
    <w:rsid w:val="008E7702"/>
    <w:rsid w:val="008F0F81"/>
    <w:rsid w:val="008F27BF"/>
    <w:rsid w:val="0090744F"/>
    <w:rsid w:val="00907C94"/>
    <w:rsid w:val="009142EC"/>
    <w:rsid w:val="00914346"/>
    <w:rsid w:val="009154C3"/>
    <w:rsid w:val="00923540"/>
    <w:rsid w:val="0092400D"/>
    <w:rsid w:val="00926767"/>
    <w:rsid w:val="00931200"/>
    <w:rsid w:val="00935DDE"/>
    <w:rsid w:val="009361D5"/>
    <w:rsid w:val="00936884"/>
    <w:rsid w:val="00937602"/>
    <w:rsid w:val="009428A4"/>
    <w:rsid w:val="009504CC"/>
    <w:rsid w:val="00952B08"/>
    <w:rsid w:val="009539D5"/>
    <w:rsid w:val="009554A3"/>
    <w:rsid w:val="009622C9"/>
    <w:rsid w:val="009659F4"/>
    <w:rsid w:val="009668A8"/>
    <w:rsid w:val="009709B0"/>
    <w:rsid w:val="00970D60"/>
    <w:rsid w:val="00983B40"/>
    <w:rsid w:val="009874D0"/>
    <w:rsid w:val="00993772"/>
    <w:rsid w:val="0099463C"/>
    <w:rsid w:val="009960E5"/>
    <w:rsid w:val="009972E7"/>
    <w:rsid w:val="009974A9"/>
    <w:rsid w:val="00997FE2"/>
    <w:rsid w:val="009A63D4"/>
    <w:rsid w:val="009A7ADC"/>
    <w:rsid w:val="009B1C60"/>
    <w:rsid w:val="009B43F6"/>
    <w:rsid w:val="009C19B7"/>
    <w:rsid w:val="009D7C51"/>
    <w:rsid w:val="009E196C"/>
    <w:rsid w:val="009E32F0"/>
    <w:rsid w:val="009E4C10"/>
    <w:rsid w:val="009E7FD1"/>
    <w:rsid w:val="009F36BF"/>
    <w:rsid w:val="009F5BC9"/>
    <w:rsid w:val="009F6DE1"/>
    <w:rsid w:val="00A00A6A"/>
    <w:rsid w:val="00A07C73"/>
    <w:rsid w:val="00A10240"/>
    <w:rsid w:val="00A10468"/>
    <w:rsid w:val="00A111B6"/>
    <w:rsid w:val="00A13DC5"/>
    <w:rsid w:val="00A15263"/>
    <w:rsid w:val="00A22130"/>
    <w:rsid w:val="00A25087"/>
    <w:rsid w:val="00A2547B"/>
    <w:rsid w:val="00A26D27"/>
    <w:rsid w:val="00A35E44"/>
    <w:rsid w:val="00A376EE"/>
    <w:rsid w:val="00A42A99"/>
    <w:rsid w:val="00A4482F"/>
    <w:rsid w:val="00A46FBA"/>
    <w:rsid w:val="00A47A8E"/>
    <w:rsid w:val="00A50BDB"/>
    <w:rsid w:val="00A5151A"/>
    <w:rsid w:val="00A54156"/>
    <w:rsid w:val="00A54DEF"/>
    <w:rsid w:val="00A56465"/>
    <w:rsid w:val="00A57E0A"/>
    <w:rsid w:val="00A65E72"/>
    <w:rsid w:val="00A762EA"/>
    <w:rsid w:val="00A77B9D"/>
    <w:rsid w:val="00A823F6"/>
    <w:rsid w:val="00A83544"/>
    <w:rsid w:val="00A8657A"/>
    <w:rsid w:val="00A93BBA"/>
    <w:rsid w:val="00A943DC"/>
    <w:rsid w:val="00A948C5"/>
    <w:rsid w:val="00A96794"/>
    <w:rsid w:val="00A9759F"/>
    <w:rsid w:val="00AA0A89"/>
    <w:rsid w:val="00AA1A20"/>
    <w:rsid w:val="00AA1E26"/>
    <w:rsid w:val="00AA474F"/>
    <w:rsid w:val="00AA4E5C"/>
    <w:rsid w:val="00AA5566"/>
    <w:rsid w:val="00AA6429"/>
    <w:rsid w:val="00AB262A"/>
    <w:rsid w:val="00AB3A66"/>
    <w:rsid w:val="00AC01AA"/>
    <w:rsid w:val="00AC4F72"/>
    <w:rsid w:val="00AD0B8B"/>
    <w:rsid w:val="00AD176C"/>
    <w:rsid w:val="00AD1B2D"/>
    <w:rsid w:val="00AD358B"/>
    <w:rsid w:val="00AD46B9"/>
    <w:rsid w:val="00AD592C"/>
    <w:rsid w:val="00AE77AA"/>
    <w:rsid w:val="00AF2277"/>
    <w:rsid w:val="00AF741A"/>
    <w:rsid w:val="00B019A1"/>
    <w:rsid w:val="00B01ADB"/>
    <w:rsid w:val="00B026B0"/>
    <w:rsid w:val="00B04161"/>
    <w:rsid w:val="00B056F9"/>
    <w:rsid w:val="00B11E3D"/>
    <w:rsid w:val="00B17E82"/>
    <w:rsid w:val="00B252C4"/>
    <w:rsid w:val="00B26BD3"/>
    <w:rsid w:val="00B31F72"/>
    <w:rsid w:val="00B3316C"/>
    <w:rsid w:val="00B416E7"/>
    <w:rsid w:val="00B45425"/>
    <w:rsid w:val="00B4575A"/>
    <w:rsid w:val="00B45A8D"/>
    <w:rsid w:val="00B470B2"/>
    <w:rsid w:val="00B516F9"/>
    <w:rsid w:val="00B53375"/>
    <w:rsid w:val="00B54500"/>
    <w:rsid w:val="00B575BA"/>
    <w:rsid w:val="00B70D3D"/>
    <w:rsid w:val="00B76429"/>
    <w:rsid w:val="00B775F0"/>
    <w:rsid w:val="00B8522E"/>
    <w:rsid w:val="00B86E57"/>
    <w:rsid w:val="00B902C8"/>
    <w:rsid w:val="00B956D4"/>
    <w:rsid w:val="00B97147"/>
    <w:rsid w:val="00B97446"/>
    <w:rsid w:val="00BA56CC"/>
    <w:rsid w:val="00BA7432"/>
    <w:rsid w:val="00BB461D"/>
    <w:rsid w:val="00BB6BAA"/>
    <w:rsid w:val="00BC1AA0"/>
    <w:rsid w:val="00BC1C5E"/>
    <w:rsid w:val="00BC2495"/>
    <w:rsid w:val="00BC7EB9"/>
    <w:rsid w:val="00BD2643"/>
    <w:rsid w:val="00BD56B1"/>
    <w:rsid w:val="00BD5D40"/>
    <w:rsid w:val="00BD6558"/>
    <w:rsid w:val="00BD68A0"/>
    <w:rsid w:val="00BD68A1"/>
    <w:rsid w:val="00BE0E37"/>
    <w:rsid w:val="00BE3300"/>
    <w:rsid w:val="00BE7FCA"/>
    <w:rsid w:val="00BF1472"/>
    <w:rsid w:val="00BF3022"/>
    <w:rsid w:val="00BF3214"/>
    <w:rsid w:val="00BF5573"/>
    <w:rsid w:val="00C070E5"/>
    <w:rsid w:val="00C1010B"/>
    <w:rsid w:val="00C104A8"/>
    <w:rsid w:val="00C12448"/>
    <w:rsid w:val="00C15867"/>
    <w:rsid w:val="00C200F7"/>
    <w:rsid w:val="00C20826"/>
    <w:rsid w:val="00C213C4"/>
    <w:rsid w:val="00C2296D"/>
    <w:rsid w:val="00C23155"/>
    <w:rsid w:val="00C255E9"/>
    <w:rsid w:val="00C3556E"/>
    <w:rsid w:val="00C35DBB"/>
    <w:rsid w:val="00C3666E"/>
    <w:rsid w:val="00C40C41"/>
    <w:rsid w:val="00C43A14"/>
    <w:rsid w:val="00C45885"/>
    <w:rsid w:val="00C47DF7"/>
    <w:rsid w:val="00C50F22"/>
    <w:rsid w:val="00C55303"/>
    <w:rsid w:val="00C55D61"/>
    <w:rsid w:val="00C57971"/>
    <w:rsid w:val="00C65BD7"/>
    <w:rsid w:val="00C76BA4"/>
    <w:rsid w:val="00C83A48"/>
    <w:rsid w:val="00C83CA3"/>
    <w:rsid w:val="00C85865"/>
    <w:rsid w:val="00C85E85"/>
    <w:rsid w:val="00C85F6C"/>
    <w:rsid w:val="00C87907"/>
    <w:rsid w:val="00C87F85"/>
    <w:rsid w:val="00C93ED1"/>
    <w:rsid w:val="00CA1787"/>
    <w:rsid w:val="00CA2EAE"/>
    <w:rsid w:val="00CA4AC1"/>
    <w:rsid w:val="00CB0316"/>
    <w:rsid w:val="00CB0A14"/>
    <w:rsid w:val="00CB0B11"/>
    <w:rsid w:val="00CB408E"/>
    <w:rsid w:val="00CB4D51"/>
    <w:rsid w:val="00CB5354"/>
    <w:rsid w:val="00CB68E5"/>
    <w:rsid w:val="00CB7DE8"/>
    <w:rsid w:val="00CC1784"/>
    <w:rsid w:val="00CC299E"/>
    <w:rsid w:val="00CC6236"/>
    <w:rsid w:val="00CC6A14"/>
    <w:rsid w:val="00CC70A3"/>
    <w:rsid w:val="00CD3C15"/>
    <w:rsid w:val="00CD3F78"/>
    <w:rsid w:val="00CD4442"/>
    <w:rsid w:val="00CD4FFA"/>
    <w:rsid w:val="00CD53C3"/>
    <w:rsid w:val="00CD574E"/>
    <w:rsid w:val="00CE2D1E"/>
    <w:rsid w:val="00CE4737"/>
    <w:rsid w:val="00CE4C22"/>
    <w:rsid w:val="00CF41EC"/>
    <w:rsid w:val="00CF5D04"/>
    <w:rsid w:val="00D04DE4"/>
    <w:rsid w:val="00D0546C"/>
    <w:rsid w:val="00D063F1"/>
    <w:rsid w:val="00D11FF2"/>
    <w:rsid w:val="00D13CD0"/>
    <w:rsid w:val="00D14F22"/>
    <w:rsid w:val="00D16647"/>
    <w:rsid w:val="00D22563"/>
    <w:rsid w:val="00D26E52"/>
    <w:rsid w:val="00D30C7C"/>
    <w:rsid w:val="00D31299"/>
    <w:rsid w:val="00D32C48"/>
    <w:rsid w:val="00D434F5"/>
    <w:rsid w:val="00D4385B"/>
    <w:rsid w:val="00D439EF"/>
    <w:rsid w:val="00D4741C"/>
    <w:rsid w:val="00D47ACD"/>
    <w:rsid w:val="00D51B89"/>
    <w:rsid w:val="00D5341C"/>
    <w:rsid w:val="00D57918"/>
    <w:rsid w:val="00D62899"/>
    <w:rsid w:val="00D647AE"/>
    <w:rsid w:val="00D649AA"/>
    <w:rsid w:val="00D66982"/>
    <w:rsid w:val="00D67C3F"/>
    <w:rsid w:val="00D72F55"/>
    <w:rsid w:val="00D73DC6"/>
    <w:rsid w:val="00D74C1A"/>
    <w:rsid w:val="00D754C1"/>
    <w:rsid w:val="00D77393"/>
    <w:rsid w:val="00D77A35"/>
    <w:rsid w:val="00D81B3E"/>
    <w:rsid w:val="00D84190"/>
    <w:rsid w:val="00D86695"/>
    <w:rsid w:val="00D90C70"/>
    <w:rsid w:val="00D90E49"/>
    <w:rsid w:val="00D96ADE"/>
    <w:rsid w:val="00DA0CE2"/>
    <w:rsid w:val="00DA4013"/>
    <w:rsid w:val="00DA6515"/>
    <w:rsid w:val="00DA68E9"/>
    <w:rsid w:val="00DB0C98"/>
    <w:rsid w:val="00DB29A4"/>
    <w:rsid w:val="00DB7FCC"/>
    <w:rsid w:val="00DC2DDD"/>
    <w:rsid w:val="00DC6A10"/>
    <w:rsid w:val="00DD1EFD"/>
    <w:rsid w:val="00DD2749"/>
    <w:rsid w:val="00DE2D7F"/>
    <w:rsid w:val="00DE3B55"/>
    <w:rsid w:val="00DE45BB"/>
    <w:rsid w:val="00DE657E"/>
    <w:rsid w:val="00DE7337"/>
    <w:rsid w:val="00DF3B54"/>
    <w:rsid w:val="00DF4704"/>
    <w:rsid w:val="00DF6280"/>
    <w:rsid w:val="00E024AA"/>
    <w:rsid w:val="00E04D9F"/>
    <w:rsid w:val="00E05B7A"/>
    <w:rsid w:val="00E10440"/>
    <w:rsid w:val="00E22308"/>
    <w:rsid w:val="00E250F1"/>
    <w:rsid w:val="00E33F10"/>
    <w:rsid w:val="00E3550D"/>
    <w:rsid w:val="00E3759A"/>
    <w:rsid w:val="00E377FC"/>
    <w:rsid w:val="00E41335"/>
    <w:rsid w:val="00E422A8"/>
    <w:rsid w:val="00E45BA6"/>
    <w:rsid w:val="00E469A0"/>
    <w:rsid w:val="00E51DD2"/>
    <w:rsid w:val="00E521B0"/>
    <w:rsid w:val="00E522C7"/>
    <w:rsid w:val="00E614E0"/>
    <w:rsid w:val="00E61A99"/>
    <w:rsid w:val="00E70287"/>
    <w:rsid w:val="00E718D8"/>
    <w:rsid w:val="00E73F7F"/>
    <w:rsid w:val="00E758FD"/>
    <w:rsid w:val="00E75DC8"/>
    <w:rsid w:val="00E76F8E"/>
    <w:rsid w:val="00E85409"/>
    <w:rsid w:val="00E85B4C"/>
    <w:rsid w:val="00E87D56"/>
    <w:rsid w:val="00E92362"/>
    <w:rsid w:val="00E92776"/>
    <w:rsid w:val="00E931D1"/>
    <w:rsid w:val="00E95420"/>
    <w:rsid w:val="00EA429F"/>
    <w:rsid w:val="00EA4F9E"/>
    <w:rsid w:val="00EA63CA"/>
    <w:rsid w:val="00EA6D3B"/>
    <w:rsid w:val="00EB00AD"/>
    <w:rsid w:val="00EB0D16"/>
    <w:rsid w:val="00EB136C"/>
    <w:rsid w:val="00EB2B43"/>
    <w:rsid w:val="00EB480E"/>
    <w:rsid w:val="00EB5EC6"/>
    <w:rsid w:val="00EB753B"/>
    <w:rsid w:val="00EB7FC9"/>
    <w:rsid w:val="00EC54A2"/>
    <w:rsid w:val="00ED27E8"/>
    <w:rsid w:val="00ED4065"/>
    <w:rsid w:val="00ED7137"/>
    <w:rsid w:val="00EE5C64"/>
    <w:rsid w:val="00EE66BA"/>
    <w:rsid w:val="00EE70F9"/>
    <w:rsid w:val="00EF2DBA"/>
    <w:rsid w:val="00EF525B"/>
    <w:rsid w:val="00F03016"/>
    <w:rsid w:val="00F032DE"/>
    <w:rsid w:val="00F034DF"/>
    <w:rsid w:val="00F06300"/>
    <w:rsid w:val="00F07A58"/>
    <w:rsid w:val="00F139D9"/>
    <w:rsid w:val="00F13A30"/>
    <w:rsid w:val="00F177C1"/>
    <w:rsid w:val="00F20CD8"/>
    <w:rsid w:val="00F21088"/>
    <w:rsid w:val="00F2223F"/>
    <w:rsid w:val="00F268BE"/>
    <w:rsid w:val="00F26E2B"/>
    <w:rsid w:val="00F2761F"/>
    <w:rsid w:val="00F30E21"/>
    <w:rsid w:val="00F327E7"/>
    <w:rsid w:val="00F34CD8"/>
    <w:rsid w:val="00F35746"/>
    <w:rsid w:val="00F36047"/>
    <w:rsid w:val="00F36AC1"/>
    <w:rsid w:val="00F41A40"/>
    <w:rsid w:val="00F41D79"/>
    <w:rsid w:val="00F447C7"/>
    <w:rsid w:val="00F5211B"/>
    <w:rsid w:val="00F52C7D"/>
    <w:rsid w:val="00F54EAC"/>
    <w:rsid w:val="00F554A9"/>
    <w:rsid w:val="00F568A8"/>
    <w:rsid w:val="00F5771B"/>
    <w:rsid w:val="00F614FE"/>
    <w:rsid w:val="00F6484B"/>
    <w:rsid w:val="00F64A8B"/>
    <w:rsid w:val="00F716FD"/>
    <w:rsid w:val="00F76486"/>
    <w:rsid w:val="00F80355"/>
    <w:rsid w:val="00F87C43"/>
    <w:rsid w:val="00F90889"/>
    <w:rsid w:val="00F96C8C"/>
    <w:rsid w:val="00F97C4E"/>
    <w:rsid w:val="00FA1893"/>
    <w:rsid w:val="00FA3766"/>
    <w:rsid w:val="00FA41D4"/>
    <w:rsid w:val="00FB0936"/>
    <w:rsid w:val="00FB0C81"/>
    <w:rsid w:val="00FC0159"/>
    <w:rsid w:val="00FC2200"/>
    <w:rsid w:val="00FC2540"/>
    <w:rsid w:val="00FC5488"/>
    <w:rsid w:val="00FD3201"/>
    <w:rsid w:val="00FD7E3B"/>
    <w:rsid w:val="00FE36FB"/>
    <w:rsid w:val="00FE7A8F"/>
    <w:rsid w:val="00FF00AB"/>
    <w:rsid w:val="00FF0204"/>
    <w:rsid w:val="00FF0F63"/>
    <w:rsid w:val="00FF3AED"/>
    <w:rsid w:val="00FF4F36"/>
    <w:rsid w:val="00FF5F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8FE432"/>
  <w15:docId w15:val="{4873EFD8-8B7C-498E-8B28-341946426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E1A10"/>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1F687B"/>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1F687B"/>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1F687B"/>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F687B"/>
    <w:pPr>
      <w:spacing w:after="160" w:line="240" w:lineRule="exact"/>
    </w:pPr>
    <w:rPr>
      <w:sz w:val="20"/>
      <w:szCs w:val="18"/>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8681B"/>
    <w:rPr>
      <w:sz w:val="22"/>
      <w:szCs w:val="22"/>
      <w:lang w:val="en-GB"/>
    </w:rPr>
  </w:style>
  <w:style w:type="paragraph" w:styleId="ListParagraph">
    <w:name w:val="List Paragraph"/>
    <w:basedOn w:val="Normal"/>
    <w:uiPriority w:val="34"/>
    <w:qFormat/>
    <w:rsid w:val="00245AAC"/>
    <w:pPr>
      <w:ind w:left="720"/>
      <w:contextualSpacing/>
    </w:pPr>
  </w:style>
  <w:style w:type="character" w:styleId="Hyperlink">
    <w:name w:val="Hyperlink"/>
    <w:basedOn w:val="DefaultParagraphFont"/>
    <w:uiPriority w:val="99"/>
    <w:unhideWhenUsed/>
    <w:rsid w:val="0092400D"/>
    <w:rPr>
      <w:color w:val="0000FF" w:themeColor="hyperlink"/>
      <w:u w:val="single"/>
    </w:rPr>
  </w:style>
  <w:style w:type="numbering" w:customStyle="1" w:styleId="ArticleSection11">
    <w:name w:val="Article / Section11"/>
    <w:basedOn w:val="NoList"/>
    <w:next w:val="ArticleSection"/>
    <w:semiHidden/>
    <w:rsid w:val="008A1051"/>
  </w:style>
  <w:style w:type="paragraph" w:customStyle="1" w:styleId="Default">
    <w:name w:val="Default"/>
    <w:rsid w:val="00C255E9"/>
    <w:pPr>
      <w:widowControl w:val="0"/>
      <w:autoSpaceDE w:val="0"/>
      <w:autoSpaceDN w:val="0"/>
      <w:adjustRightInd w:val="0"/>
    </w:pPr>
    <w:rPr>
      <w:color w:val="000000"/>
      <w:sz w:val="24"/>
      <w:szCs w:val="24"/>
    </w:rPr>
  </w:style>
  <w:style w:type="paragraph" w:customStyle="1" w:styleId="Title2">
    <w:name w:val="Title2"/>
    <w:rsid w:val="0056523F"/>
    <w:pPr>
      <w:jc w:val="center"/>
      <w:outlineLvl w:val="0"/>
    </w:pPr>
    <w:rPr>
      <w:b/>
      <w:caps/>
      <w:sz w:val="22"/>
      <w:szCs w:val="22"/>
      <w:lang w:val="en-GB"/>
    </w:rPr>
  </w:style>
  <w:style w:type="paragraph" w:styleId="Revision">
    <w:name w:val="Revision"/>
    <w:hidden/>
    <w:uiPriority w:val="99"/>
    <w:semiHidden/>
    <w:rsid w:val="00C47DF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39488">
      <w:bodyDiv w:val="1"/>
      <w:marLeft w:val="0"/>
      <w:marRight w:val="0"/>
      <w:marTop w:val="0"/>
      <w:marBottom w:val="0"/>
      <w:divBdr>
        <w:top w:val="none" w:sz="0" w:space="0" w:color="auto"/>
        <w:left w:val="none" w:sz="0" w:space="0" w:color="auto"/>
        <w:bottom w:val="none" w:sz="0" w:space="0" w:color="auto"/>
        <w:right w:val="none" w:sz="0" w:space="0" w:color="auto"/>
      </w:divBdr>
    </w:div>
    <w:div w:id="667907931">
      <w:bodyDiv w:val="1"/>
      <w:marLeft w:val="0"/>
      <w:marRight w:val="0"/>
      <w:marTop w:val="0"/>
      <w:marBottom w:val="0"/>
      <w:divBdr>
        <w:top w:val="none" w:sz="0" w:space="0" w:color="auto"/>
        <w:left w:val="none" w:sz="0" w:space="0" w:color="auto"/>
        <w:bottom w:val="none" w:sz="0" w:space="0" w:color="auto"/>
        <w:right w:val="none" w:sz="0" w:space="0" w:color="auto"/>
      </w:divBdr>
    </w:div>
    <w:div w:id="737636179">
      <w:bodyDiv w:val="1"/>
      <w:marLeft w:val="0"/>
      <w:marRight w:val="0"/>
      <w:marTop w:val="0"/>
      <w:marBottom w:val="0"/>
      <w:divBdr>
        <w:top w:val="none" w:sz="0" w:space="0" w:color="auto"/>
        <w:left w:val="none" w:sz="0" w:space="0" w:color="auto"/>
        <w:bottom w:val="none" w:sz="0" w:space="0" w:color="auto"/>
        <w:right w:val="none" w:sz="0" w:space="0" w:color="auto"/>
      </w:divBdr>
    </w:div>
    <w:div w:id="8450247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23"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UNEP/OzL.Pro/ExCom/84/65</Document_x0020_Number>
  </documentManagement>
</p:properties>
</file>

<file path=customXml/itemProps1.xml><?xml version="1.0" encoding="utf-8"?>
<ds:datastoreItem xmlns:ds="http://schemas.openxmlformats.org/officeDocument/2006/customXml" ds:itemID="{B8158E11-7841-4C97-81B8-972B0201CFA0}"/>
</file>

<file path=customXml/itemProps2.xml><?xml version="1.0" encoding="utf-8"?>
<ds:datastoreItem xmlns:ds="http://schemas.openxmlformats.org/officeDocument/2006/customXml" ds:itemID="{12B1276E-29E3-41F5-99C2-3F94C63D708E}"/>
</file>

<file path=customXml/itemProps3.xml><?xml version="1.0" encoding="utf-8"?>
<ds:datastoreItem xmlns:ds="http://schemas.openxmlformats.org/officeDocument/2006/customXml" ds:itemID="{E3030EEF-EF2E-4F7A-810C-0552E39EF604}"/>
</file>

<file path=customXml/itemProps4.xml><?xml version="1.0" encoding="utf-8"?>
<ds:datastoreItem xmlns:ds="http://schemas.openxmlformats.org/officeDocument/2006/customXml" ds:itemID="{A01B633A-1DB8-467E-A81D-3CF061873157}"/>
</file>

<file path=docProps/app.xml><?xml version="1.0" encoding="utf-8"?>
<Properties xmlns="http://schemas.openxmlformats.org/officeDocument/2006/extended-properties" xmlns:vt="http://schemas.openxmlformats.org/officeDocument/2006/docPropsVTypes">
  <Template>Eec84G</Template>
  <TotalTime>54</TotalTime>
  <Pages>24</Pages>
  <Words>10824</Words>
  <Characters>61700</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Analyse des conséquences de la mise en œuvre en parallèle ou intégrée des activités d’élimination des HCFC et de réduction progressive des HFC (décision 81/69)</vt:lpstr>
    </vt:vector>
  </TitlesOfParts>
  <Company>UNMFS</Company>
  <LinksUpToDate>false</LinksUpToDate>
  <CharactersWithSpaces>72380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des conséquences de la mise en œuvre en parallèle ou intégrée des activités d’élimination des HCFC et de réduction progressive des HFC</dc:title>
  <dc:subject>84th</dc:subject>
  <dc:creator>Patricia Chau</dc:creator>
  <cp:keywords>84th</cp:keywords>
  <dc:description>FSM</dc:description>
  <cp:lastModifiedBy>HBE</cp:lastModifiedBy>
  <cp:revision>39</cp:revision>
  <cp:lastPrinted>2019-11-20T00:05:00Z</cp:lastPrinted>
  <dcterms:created xsi:type="dcterms:W3CDTF">2019-11-20T00:12:00Z</dcterms:created>
  <dcterms:modified xsi:type="dcterms:W3CDTF">2019-12-04T21:28:00Z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UNEP/OzL.Pro/ExCom/84/65</vt:lpwstr>
  </property>
  <property fmtid="{D5CDD505-2E9C-101B-9397-08002B2CF9AE}" pid="3" name="Revision date">
    <vt:lpwstr>11/19/2019</vt:lpwstr>
  </property>
  <property fmtid="{D5CDD505-2E9C-101B-9397-08002B2CF9AE}" pid="4" name="ContentTypeId">
    <vt:lpwstr>0x010100109683CADC4F284EA5F0B82357B5BF3A</vt:lpwstr>
  </property>
</Properties>
</file>