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C3791E8" w14:textId="77777777" w:rsidTr="009C59F7">
        <w:trPr>
          <w:trHeight w:val="720"/>
        </w:trPr>
        <w:tc>
          <w:tcPr>
            <w:tcW w:w="5490" w:type="dxa"/>
            <w:gridSpan w:val="2"/>
            <w:tcBorders>
              <w:bottom w:val="single" w:sz="18" w:space="0" w:color="auto"/>
            </w:tcBorders>
          </w:tcPr>
          <w:p w14:paraId="793EAB0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743339A6"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66F0811C"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E5742F"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BADE281" wp14:editId="48D72A2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8477CF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517A037" w14:textId="77777777" w:rsidR="005539AB" w:rsidRDefault="005539AB" w:rsidP="005539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66A539E" w14:textId="77777777" w:rsidR="005539AB" w:rsidRDefault="005539AB" w:rsidP="005539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816B4FB" w14:textId="77777777" w:rsidR="005539AB" w:rsidRDefault="005539AB" w:rsidP="005539AB">
            <w:pPr>
              <w:rPr>
                <w:rFonts w:ascii="Univers" w:hAnsi="Univers"/>
                <w:b/>
                <w:sz w:val="32"/>
                <w:lang w:val="fr-CA"/>
              </w:rPr>
            </w:pPr>
            <w:r>
              <w:rPr>
                <w:rFonts w:ascii="Univers" w:hAnsi="Univers"/>
                <w:b/>
                <w:sz w:val="32"/>
                <w:lang w:val="fr-CA"/>
              </w:rPr>
              <w:t>Nations Unies pour</w:t>
            </w:r>
          </w:p>
          <w:p w14:paraId="75B9726B" w14:textId="5B85B7F5" w:rsidR="00C15867" w:rsidRPr="009B0D30" w:rsidRDefault="005539AB" w:rsidP="00BD65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Univers" w:hAnsi="Univers"/>
                <w:b/>
                <w:sz w:val="32"/>
                <w:lang w:val="fr-CA"/>
              </w:rPr>
              <w:t>l’environnement</w:t>
            </w:r>
          </w:p>
        </w:tc>
        <w:tc>
          <w:tcPr>
            <w:tcW w:w="4590" w:type="dxa"/>
            <w:tcBorders>
              <w:top w:val="nil"/>
              <w:left w:val="nil"/>
              <w:bottom w:val="single" w:sz="36" w:space="0" w:color="auto"/>
              <w:right w:val="nil"/>
            </w:tcBorders>
          </w:tcPr>
          <w:p w14:paraId="152C1F63" w14:textId="77777777" w:rsidR="007B59B4" w:rsidRDefault="007B59B4" w:rsidP="009C59F7"/>
          <w:p w14:paraId="66676BCE" w14:textId="2402A978" w:rsidR="00C15867" w:rsidRPr="009B0D30" w:rsidRDefault="00C15867" w:rsidP="009C59F7">
            <w:r>
              <w:t>Distr.</w:t>
            </w:r>
          </w:p>
          <w:p w14:paraId="289F9E45" w14:textId="77777777" w:rsidR="00923540" w:rsidRPr="009B0D30" w:rsidRDefault="00923540" w:rsidP="00923540">
            <w:r>
              <w:t>GÉNÉRALE</w:t>
            </w:r>
          </w:p>
          <w:p w14:paraId="0164C317" w14:textId="77777777" w:rsidR="00C15867" w:rsidRPr="009B0D30" w:rsidRDefault="00C15867" w:rsidP="009C59F7"/>
          <w:p w14:paraId="119CEBD3" w14:textId="7FB69D75" w:rsidR="00C15867" w:rsidRPr="009B0D30" w:rsidRDefault="00830EB5" w:rsidP="009C59F7">
            <w:fldSimple w:instr=" DOCPROPERTY &quot;Document number&quot;  \* MERGEFORMAT ">
              <w:r w:rsidR="00D623AF">
                <w:t>UNEP/OzL.Pro/ExCom/97/75</w:t>
              </w:r>
            </w:fldSimple>
          </w:p>
          <w:p w14:paraId="4C0FC669" w14:textId="60E4F0D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71A7E">
              <w:t>1</w:t>
            </w:r>
            <w:r w:rsidR="005539AB" w:rsidRPr="00D623AF">
              <w:rPr>
                <w:vertAlign w:val="superscript"/>
              </w:rPr>
              <w:t>er</w:t>
            </w:r>
            <w:r w:rsidR="00371A7E" w:rsidRPr="00D623AF">
              <w:rPr>
                <w:vertAlign w:val="superscript"/>
              </w:rPr>
              <w:t xml:space="preserve"> </w:t>
            </w:r>
            <w:r w:rsidR="005539AB">
              <w:t>novembre</w:t>
            </w:r>
            <w:r w:rsidR="00371A7E">
              <w:t xml:space="preserve"> 2025</w:t>
            </w:r>
            <w:r w:rsidRPr="009B0D30">
              <w:fldChar w:fldCharType="end"/>
            </w:r>
          </w:p>
          <w:p w14:paraId="76C01F4A" w14:textId="77777777" w:rsidR="007B59B4" w:rsidRDefault="007B59B4" w:rsidP="009C59F7">
            <w:r>
              <w:rPr>
                <w:caps/>
              </w:rPr>
              <w:br/>
            </w:r>
            <w:r w:rsidR="00C15867">
              <w:t xml:space="preserve">FRANÇAIS </w:t>
            </w:r>
          </w:p>
          <w:p w14:paraId="4861B1D8" w14:textId="61FE6045" w:rsidR="00C15867" w:rsidRPr="009B0D30" w:rsidRDefault="00C15867" w:rsidP="009C59F7">
            <w:r>
              <w:t>ORIGINAL : ANGLAIS</w:t>
            </w:r>
          </w:p>
        </w:tc>
      </w:tr>
    </w:tbl>
    <w:p w14:paraId="3396009D" w14:textId="77777777" w:rsidR="00CA59FB" w:rsidRDefault="00C15867" w:rsidP="00CA59FB">
      <w:pPr>
        <w:jc w:val="left"/>
      </w:pPr>
      <w:r>
        <w:t>COMITÉ EXÉCUTIF</w:t>
      </w:r>
      <w:r>
        <w:br/>
        <w:t xml:space="preserve">  DU FONDS MULTILATÉRAL AUX FINS</w:t>
      </w:r>
      <w:r>
        <w:br/>
        <w:t xml:space="preserve">  D'APPLICATION DU PROTOCOLE DE MONTRÉAL</w:t>
      </w:r>
      <w:r>
        <w:br/>
        <w:t>Quatre-vingt-dix-septième réunion</w:t>
      </w:r>
    </w:p>
    <w:p w14:paraId="1CA26107" w14:textId="77777777" w:rsidR="00CA59FB" w:rsidRDefault="00CA59FB" w:rsidP="00CA59FB">
      <w:pPr>
        <w:jc w:val="left"/>
      </w:pPr>
      <w:r>
        <w:t>Montréal, 1-5 décembre 2025</w:t>
      </w:r>
    </w:p>
    <w:p w14:paraId="1C7102CA" w14:textId="4770A51F" w:rsidR="0079781A" w:rsidRDefault="0079781A" w:rsidP="0079781A">
      <w:pPr>
        <w:jc w:val="left"/>
      </w:pPr>
      <w:r>
        <w:t>Point 9 d) de l'ordre du jour provisoire</w:t>
      </w:r>
      <w:r>
        <w:rPr>
          <w:rStyle w:val="FootnoteReference"/>
        </w:rPr>
        <w:footnoteReference w:id="1"/>
      </w:r>
    </w:p>
    <w:p w14:paraId="3684D088" w14:textId="77777777" w:rsidR="00C15867" w:rsidRPr="009B0D30" w:rsidRDefault="00C15867" w:rsidP="00CA59FB">
      <w:pPr>
        <w:jc w:val="left"/>
      </w:pPr>
    </w:p>
    <w:p w14:paraId="2040C062" w14:textId="77777777" w:rsidR="002024B6" w:rsidRPr="002024B6" w:rsidRDefault="002024B6" w:rsidP="002024B6"/>
    <w:p w14:paraId="6F21344F" w14:textId="77777777" w:rsidR="002024B6" w:rsidRPr="002024B6" w:rsidRDefault="002024B6" w:rsidP="002024B6"/>
    <w:p w14:paraId="67E0AA31" w14:textId="77777777" w:rsidR="004E7F9C" w:rsidRPr="00D623AF" w:rsidRDefault="004E7F9C" w:rsidP="005C670D">
      <w:pPr>
        <w:pStyle w:val="Title1"/>
        <w:jc w:val="right"/>
        <w:rPr>
          <w:b w:val="0"/>
          <w:lang w:val="fr-FR"/>
        </w:rPr>
      </w:pPr>
    </w:p>
    <w:p w14:paraId="21B8424D" w14:textId="2F2AB2FF" w:rsidR="00891B19" w:rsidRPr="00D623AF" w:rsidRDefault="00D623AF" w:rsidP="00891B19">
      <w:pPr>
        <w:jc w:val="center"/>
        <w:rPr>
          <w:b/>
          <w:highlight w:val="yellow"/>
          <w:lang w:val="fr-FR"/>
        </w:rPr>
      </w:pPr>
      <w:r>
        <w:rPr>
          <w:b/>
        </w:rPr>
        <w:t>PROPOSITION DE PROJET : SIERRA LEONE</w:t>
      </w:r>
      <w:r w:rsidR="00440574">
        <w:rPr>
          <w:b/>
        </w:rPr>
        <w:t xml:space="preserve"> (LA)</w:t>
      </w:r>
    </w:p>
    <w:p w14:paraId="34D45306" w14:textId="77777777" w:rsidR="00891B19" w:rsidRPr="00D623AF" w:rsidRDefault="00891B19" w:rsidP="00891B19">
      <w:pPr>
        <w:rPr>
          <w:highlight w:val="yellow"/>
          <w:lang w:val="fr-FR"/>
        </w:rPr>
      </w:pPr>
    </w:p>
    <w:p w14:paraId="5081D8DB" w14:textId="77777777" w:rsidR="00891B19" w:rsidRPr="00D623AF" w:rsidRDefault="00891B19" w:rsidP="00891B19">
      <w:pPr>
        <w:rPr>
          <w:highlight w:val="yellow"/>
          <w:lang w:val="fr-FR"/>
        </w:rPr>
      </w:pPr>
    </w:p>
    <w:p w14:paraId="206934EF" w14:textId="77777777" w:rsidR="00891B19" w:rsidRPr="00D623AF" w:rsidRDefault="00891B19" w:rsidP="00891B19">
      <w:pPr>
        <w:ind w:firstLine="720"/>
        <w:rPr>
          <w:lang w:val="fr-FR"/>
        </w:rPr>
      </w:pPr>
      <w:r>
        <w:t xml:space="preserve">Ce document présente les commentaires et la recommandation du secrétariat sur la proposition de projet suivante : </w:t>
      </w:r>
    </w:p>
    <w:p w14:paraId="7F207376" w14:textId="77777777" w:rsidR="00891B19" w:rsidRPr="00062266" w:rsidRDefault="00891B19" w:rsidP="00891B19">
      <w:pPr>
        <w:spacing w:before="240" w:after="240"/>
        <w:rPr>
          <w:u w:val="single"/>
          <w:lang w:val="en-GB"/>
        </w:rPr>
      </w:pPr>
      <w:r>
        <w:rPr>
          <w:u w:val="single"/>
        </w:rPr>
        <w:t>Rendement énergétique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1984"/>
        <w:gridCol w:w="1555"/>
      </w:tblGrid>
      <w:tr w:rsidR="00891B19" w:rsidRPr="00891B19" w14:paraId="25C4346F" w14:textId="77777777" w:rsidTr="004C06A5">
        <w:trPr>
          <w:trHeight w:val="300"/>
        </w:trPr>
        <w:tc>
          <w:tcPr>
            <w:tcW w:w="5954" w:type="dxa"/>
            <w:hideMark/>
          </w:tcPr>
          <w:p w14:paraId="43897472" w14:textId="60A39CA2" w:rsidR="00891B19" w:rsidRPr="00D623AF" w:rsidRDefault="00891B19" w:rsidP="00891B19">
            <w:pPr>
              <w:numPr>
                <w:ilvl w:val="0"/>
                <w:numId w:val="27"/>
              </w:numPr>
              <w:ind w:hanging="830"/>
              <w:contextualSpacing/>
              <w:rPr>
                <w:lang w:val="fr-FR"/>
              </w:rPr>
            </w:pPr>
            <w:r>
              <w:t>Projet pilote visant à maintenir et/ou améliorer le rendement énergétique des technologies et appareils de remplacement dans le cadre de la réduction des HFC (activités ne nécessitant pas d'investissement) : projet de démonstration pour l'utilisation du R</w:t>
            </w:r>
            <w:r>
              <w:noBreakHyphen/>
              <w:t>290 comme frigorigène dans la réfrigération à usage commercial</w:t>
            </w:r>
          </w:p>
          <w:p w14:paraId="1AFA7061" w14:textId="4A798E22" w:rsidR="00063788" w:rsidRPr="00D623AF" w:rsidRDefault="00063788" w:rsidP="00063788">
            <w:pPr>
              <w:ind w:left="720"/>
              <w:contextualSpacing/>
              <w:rPr>
                <w:lang w:val="fr-FR"/>
              </w:rPr>
            </w:pPr>
          </w:p>
        </w:tc>
        <w:tc>
          <w:tcPr>
            <w:tcW w:w="1984" w:type="dxa"/>
            <w:hideMark/>
          </w:tcPr>
          <w:p w14:paraId="14B5EC1E" w14:textId="40C6451A" w:rsidR="00891B19" w:rsidRPr="00D623AF" w:rsidRDefault="00B7504C" w:rsidP="00891B19">
            <w:pPr>
              <w:jc w:val="center"/>
              <w:rPr>
                <w:lang w:val="fr-FR"/>
              </w:rPr>
            </w:pPr>
            <w:r>
              <w:t>Gouvernement du Royaume-Uni de Grande-Bretagne et d’Irlande du Nord</w:t>
            </w:r>
          </w:p>
        </w:tc>
        <w:tc>
          <w:tcPr>
            <w:tcW w:w="1555" w:type="dxa"/>
          </w:tcPr>
          <w:p w14:paraId="222FFB30" w14:textId="77777777" w:rsidR="00891B19" w:rsidRPr="00062266" w:rsidRDefault="00891B19" w:rsidP="00891B19">
            <w:pPr>
              <w:ind w:right="-251"/>
              <w:jc w:val="center"/>
              <w:rPr>
                <w:lang w:val="en-GB"/>
              </w:rPr>
            </w:pPr>
            <w:r>
              <w:t>Examen individuel</w:t>
            </w:r>
          </w:p>
        </w:tc>
      </w:tr>
    </w:tbl>
    <w:p w14:paraId="356DAE1F" w14:textId="77777777" w:rsidR="0091245C" w:rsidRDefault="0091245C" w:rsidP="00891B19">
      <w:pPr>
        <w:jc w:val="left"/>
        <w:rPr>
          <w:b/>
          <w:highlight w:val="yellow"/>
          <w:lang w:val="en-GB"/>
        </w:rPr>
      </w:pPr>
    </w:p>
    <w:p w14:paraId="731C518D" w14:textId="78195AA1" w:rsidR="00891B19" w:rsidRPr="00891B19" w:rsidRDefault="00891B19" w:rsidP="00891B19">
      <w:pPr>
        <w:jc w:val="left"/>
        <w:rPr>
          <w:b/>
          <w:highlight w:val="yellow"/>
          <w:lang w:val="en-GB"/>
        </w:rPr>
      </w:pPr>
      <w:r w:rsidRPr="00891B19">
        <w:rPr>
          <w:b/>
          <w:highlight w:val="yellow"/>
          <w:lang w:val="en-GB"/>
        </w:rPr>
        <w:br w:type="page"/>
      </w:r>
    </w:p>
    <w:p w14:paraId="20717627" w14:textId="77777777" w:rsidR="00891B19" w:rsidRPr="00D623AF" w:rsidRDefault="00891B19" w:rsidP="00891B19">
      <w:pPr>
        <w:jc w:val="center"/>
        <w:rPr>
          <w:b/>
          <w:lang w:val="fr-FR"/>
        </w:rPr>
      </w:pPr>
      <w:r>
        <w:rPr>
          <w:b/>
        </w:rPr>
        <w:lastRenderedPageBreak/>
        <w:t>FICHE D'ÉVALUATION DU PROJET – PROJET NON PLURIANNUEL</w:t>
      </w:r>
    </w:p>
    <w:p w14:paraId="3BCE673F" w14:textId="77777777" w:rsidR="00891B19" w:rsidRPr="00D623AF" w:rsidRDefault="00891B19" w:rsidP="00891B19">
      <w:pPr>
        <w:jc w:val="center"/>
        <w:rPr>
          <w:b/>
          <w:lang w:val="fr-FR"/>
        </w:rPr>
      </w:pPr>
    </w:p>
    <w:p w14:paraId="785BB4C0" w14:textId="71297465" w:rsidR="00891B19" w:rsidRPr="00D623AF" w:rsidRDefault="00532AC0" w:rsidP="00891B19">
      <w:pPr>
        <w:ind w:left="142"/>
        <w:jc w:val="center"/>
        <w:rPr>
          <w:b/>
          <w:lang w:val="fr-FR"/>
        </w:rPr>
      </w:pPr>
      <w:r>
        <w:rPr>
          <w:b/>
        </w:rPr>
        <w:t>Sierra Leone</w:t>
      </w:r>
      <w:r w:rsidR="00440574">
        <w:rPr>
          <w:b/>
        </w:rPr>
        <w:t xml:space="preserve"> (La)</w:t>
      </w:r>
    </w:p>
    <w:p w14:paraId="713213EC" w14:textId="77777777" w:rsidR="00891B19" w:rsidRPr="00D623AF" w:rsidRDefault="00891B19" w:rsidP="00891B19">
      <w:pPr>
        <w:ind w:left="142"/>
        <w:jc w:val="center"/>
        <w:rPr>
          <w:b/>
          <w:lang w:val="fr-FR"/>
        </w:rPr>
      </w:pPr>
    </w:p>
    <w:p w14:paraId="29332D69" w14:textId="074F9A81" w:rsidR="00891B19" w:rsidRPr="00D623AF" w:rsidRDefault="00606F8A" w:rsidP="00D623AF">
      <w:pPr>
        <w:tabs>
          <w:tab w:val="left" w:pos="5400"/>
        </w:tabs>
        <w:ind w:right="-450" w:hanging="450"/>
        <w:rPr>
          <w:b/>
          <w:sz w:val="20"/>
          <w:lang w:val="fr-FR"/>
        </w:rPr>
      </w:pPr>
      <w:bookmarkStart w:id="0" w:name="_Hlk149308122"/>
      <w:r>
        <w:rPr>
          <w:b/>
          <w:caps/>
          <w:sz w:val="20"/>
        </w:rPr>
        <w:t xml:space="preserve">         TITRE DU PROJET</w:t>
      </w:r>
      <w:bookmarkEnd w:id="0"/>
      <w:r>
        <w:rPr>
          <w:b/>
          <w:sz w:val="20"/>
        </w:rPr>
        <w:tab/>
      </w:r>
      <w:r>
        <w:rPr>
          <w:b/>
          <w:caps/>
          <w:sz w:val="20"/>
        </w:rPr>
        <w:t>AGENCES BILATÉRALES/D'EXÉCUTION</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6897"/>
        <w:gridCol w:w="2453"/>
      </w:tblGrid>
      <w:tr w:rsidR="00891B19" w:rsidRPr="005D171A" w14:paraId="26851E83" w14:textId="77777777" w:rsidTr="00606F8A">
        <w:trPr>
          <w:trHeight w:val="251"/>
        </w:trPr>
        <w:tc>
          <w:tcPr>
            <w:tcW w:w="0" w:type="auto"/>
            <w:tcBorders>
              <w:right w:val="single" w:sz="4" w:space="0" w:color="auto"/>
            </w:tcBorders>
          </w:tcPr>
          <w:p w14:paraId="2B61E58B" w14:textId="302968C3" w:rsidR="00891B19" w:rsidRPr="005D171A" w:rsidRDefault="00891B19" w:rsidP="00891B19">
            <w:pPr>
              <w:tabs>
                <w:tab w:val="left" w:pos="383"/>
              </w:tabs>
              <w:rPr>
                <w:sz w:val="20"/>
                <w:szCs w:val="20"/>
              </w:rPr>
            </w:pPr>
            <w:bookmarkStart w:id="1" w:name="_Hlk183010580"/>
            <w:r>
              <w:rPr>
                <w:sz w:val="20"/>
                <w:szCs w:val="20"/>
              </w:rPr>
              <w:t>Projet pilote visant à maintenir et/ou améliorer le rendement énergétique des technologies et appareils de remplacement dans le cadre de la réduction des HFC (activités ne nécessitant pas d'investissement)</w:t>
            </w:r>
            <w:bookmarkEnd w:id="1"/>
            <w:r>
              <w:rPr>
                <w:sz w:val="20"/>
                <w:szCs w:val="20"/>
              </w:rPr>
              <w:t>: projet de démonstration pour l'utilisation du R-290 comme frigorigène dans la réfrigération à usage commercial</w:t>
            </w:r>
          </w:p>
        </w:tc>
        <w:tc>
          <w:tcPr>
            <w:tcW w:w="0" w:type="auto"/>
            <w:tcBorders>
              <w:top w:val="single" w:sz="4" w:space="0" w:color="auto"/>
              <w:left w:val="single" w:sz="4" w:space="0" w:color="auto"/>
              <w:bottom w:val="single" w:sz="4" w:space="0" w:color="auto"/>
            </w:tcBorders>
          </w:tcPr>
          <w:p w14:paraId="65AFDB83" w14:textId="18C313C6" w:rsidR="00891B19" w:rsidRPr="005D171A" w:rsidRDefault="00B7504C" w:rsidP="00891B19">
            <w:pPr>
              <w:jc w:val="right"/>
              <w:rPr>
                <w:sz w:val="20"/>
                <w:szCs w:val="20"/>
              </w:rPr>
            </w:pPr>
            <w:r>
              <w:rPr>
                <w:sz w:val="20"/>
                <w:szCs w:val="20"/>
              </w:rPr>
              <w:t>Gouvernement du Royaume-Uni de Grande-Bretagne et d’Irlande du Nord</w:t>
            </w:r>
          </w:p>
        </w:tc>
      </w:tr>
    </w:tbl>
    <w:p w14:paraId="5BF04CF9" w14:textId="77777777" w:rsidR="00891B19" w:rsidRPr="005D171A" w:rsidRDefault="00891B19" w:rsidP="00891B19">
      <w:pPr>
        <w:rPr>
          <w:sz w:val="20"/>
          <w:szCs w:val="20"/>
        </w:rPr>
      </w:pPr>
    </w:p>
    <w:p w14:paraId="2CC5CDF1" w14:textId="2E215BDB" w:rsidR="00891B19" w:rsidRPr="00A87C11" w:rsidRDefault="00606F8A" w:rsidP="00891B19">
      <w:pPr>
        <w:ind w:hanging="426"/>
        <w:rPr>
          <w:sz w:val="20"/>
          <w:lang w:val="en-GB"/>
        </w:rPr>
      </w:pPr>
      <w:r>
        <w:rPr>
          <w:b/>
          <w:caps/>
          <w:sz w:val="20"/>
        </w:rPr>
        <w:t xml:space="preserve">        OBJECTIF DU PROJET</w:t>
      </w:r>
    </w:p>
    <w:tbl>
      <w:tblPr>
        <w:tblStyle w:val="TableGrid"/>
        <w:tblW w:w="0" w:type="auto"/>
        <w:jc w:val="center"/>
        <w:tblLook w:val="01E0" w:firstRow="1" w:lastRow="1" w:firstColumn="1" w:lastColumn="1" w:noHBand="0" w:noVBand="0"/>
      </w:tblPr>
      <w:tblGrid>
        <w:gridCol w:w="9350"/>
      </w:tblGrid>
      <w:tr w:rsidR="00891B19" w:rsidRPr="00891B19" w14:paraId="5F458B64" w14:textId="77777777" w:rsidTr="00606F8A">
        <w:trPr>
          <w:trHeight w:val="1007"/>
          <w:jc w:val="center"/>
        </w:trPr>
        <w:tc>
          <w:tcPr>
            <w:tcW w:w="0" w:type="auto"/>
            <w:vAlign w:val="center"/>
          </w:tcPr>
          <w:p w14:paraId="3B7A5617" w14:textId="2299876D" w:rsidR="00891B19" w:rsidRPr="00D623AF" w:rsidRDefault="00FA1727" w:rsidP="006061AE">
            <w:pPr>
              <w:pStyle w:val="Heading1"/>
              <w:numPr>
                <w:ilvl w:val="0"/>
                <w:numId w:val="0"/>
              </w:numPr>
              <w:rPr>
                <w:color w:val="000000" w:themeColor="text1"/>
                <w:sz w:val="20"/>
                <w:szCs w:val="20"/>
                <w:lang w:val="fr-FR"/>
              </w:rPr>
            </w:pPr>
            <w:r>
              <w:rPr>
                <w:color w:val="000000" w:themeColor="text1"/>
                <w:sz w:val="20"/>
                <w:szCs w:val="20"/>
              </w:rPr>
              <w:t xml:space="preserve">Ce projet pilote a pour but d'améliorer le rendement énergétique dans le secteur de la réfrigération à usage commercial à travers la démonstration de l'utilisation d'appareils fonctionnant au R-290 dans un supermarché en Sierra Leone. Le projet vise à démontrer les avantages potentiels que renferme cette technologie en termes de réduction de la consommation énergétique et de performance du frigorigène. Il s'inscrit dans la stratégie à long terme du plan de mise en œuvre de l'amendement de Kigali relatif à la réduction des HFC, qui consiste à faciliter l'adoption de solutions de remplacement à faible potentiel de réchauffement de la planète et à haut rendement énergétique dans les applications de réfrigération à usage commercial. </w:t>
            </w:r>
          </w:p>
        </w:tc>
      </w:tr>
    </w:tbl>
    <w:p w14:paraId="0A016FC5" w14:textId="77777777" w:rsidR="00891B19" w:rsidRPr="00D623AF" w:rsidRDefault="00891B19" w:rsidP="00891B19">
      <w:pPr>
        <w:rPr>
          <w:sz w:val="20"/>
          <w:highlight w:val="yellow"/>
          <w:lang w:val="fr-FR"/>
        </w:rPr>
      </w:pPr>
    </w:p>
    <w:tbl>
      <w:tblPr>
        <w:tblStyle w:val="TableGrid"/>
        <w:tblW w:w="0" w:type="auto"/>
        <w:jc w:val="center"/>
        <w:tblLook w:val="01E0" w:firstRow="1" w:lastRow="1" w:firstColumn="1" w:lastColumn="1" w:noHBand="0" w:noVBand="0"/>
      </w:tblPr>
      <w:tblGrid>
        <w:gridCol w:w="3845"/>
        <w:gridCol w:w="5505"/>
      </w:tblGrid>
      <w:tr w:rsidR="00CF719C" w:rsidRPr="00891B19" w14:paraId="5C01B56C" w14:textId="77777777" w:rsidTr="00606F8A">
        <w:trPr>
          <w:jc w:val="center"/>
        </w:trPr>
        <w:tc>
          <w:tcPr>
            <w:tcW w:w="0" w:type="auto"/>
          </w:tcPr>
          <w:p w14:paraId="74299661" w14:textId="77777777" w:rsidR="00891B19" w:rsidRPr="00A06CC0" w:rsidRDefault="00891B19" w:rsidP="00C36809">
            <w:pPr>
              <w:jc w:val="left"/>
              <w:rPr>
                <w:sz w:val="20"/>
                <w:szCs w:val="20"/>
                <w:lang w:val="en-GB"/>
              </w:rPr>
            </w:pPr>
            <w:r>
              <w:rPr>
                <w:b/>
                <w:caps/>
                <w:sz w:val="20"/>
                <w:szCs w:val="20"/>
              </w:rPr>
              <w:t>Organisme national de coordination</w:t>
            </w:r>
          </w:p>
        </w:tc>
        <w:tc>
          <w:tcPr>
            <w:tcW w:w="0" w:type="auto"/>
          </w:tcPr>
          <w:p w14:paraId="7A7B01D1" w14:textId="6027F82E" w:rsidR="00891B19" w:rsidRPr="00D623AF" w:rsidRDefault="00891B19" w:rsidP="00891B19">
            <w:pPr>
              <w:jc w:val="right"/>
              <w:rPr>
                <w:sz w:val="20"/>
                <w:szCs w:val="20"/>
                <w:lang w:val="fr-FR"/>
              </w:rPr>
            </w:pPr>
            <w:r>
              <w:rPr>
                <w:sz w:val="20"/>
                <w:szCs w:val="20"/>
              </w:rPr>
              <w:t>Unité nationale de l'ozone, Agence de protection de l'environnement de Sierra Leone</w:t>
            </w:r>
          </w:p>
        </w:tc>
      </w:tr>
    </w:tbl>
    <w:p w14:paraId="4899CBDF" w14:textId="77777777" w:rsidR="00891B19" w:rsidRPr="00D623AF" w:rsidRDefault="00891B19" w:rsidP="00891B19">
      <w:pPr>
        <w:tabs>
          <w:tab w:val="left" w:pos="4248"/>
        </w:tabs>
        <w:ind w:left="113"/>
        <w:jc w:val="left"/>
        <w:rPr>
          <w:sz w:val="20"/>
          <w:szCs w:val="20"/>
          <w:highlight w:val="yellow"/>
          <w:lang w:val="fr-FR"/>
        </w:rPr>
      </w:pPr>
    </w:p>
    <w:tbl>
      <w:tblPr>
        <w:tblStyle w:val="TableGrid"/>
        <w:tblW w:w="0" w:type="auto"/>
        <w:jc w:val="center"/>
        <w:tblLook w:val="01E0" w:firstRow="1" w:lastRow="1" w:firstColumn="1" w:lastColumn="1" w:noHBand="0" w:noVBand="0"/>
      </w:tblPr>
      <w:tblGrid>
        <w:gridCol w:w="2689"/>
        <w:gridCol w:w="1586"/>
        <w:gridCol w:w="2524"/>
        <w:gridCol w:w="2551"/>
      </w:tblGrid>
      <w:tr w:rsidR="00891B19" w:rsidRPr="00891B19" w14:paraId="79A24259" w14:textId="77777777" w:rsidTr="000D6361">
        <w:trPr>
          <w:jc w:val="center"/>
        </w:trPr>
        <w:tc>
          <w:tcPr>
            <w:tcW w:w="2689" w:type="dxa"/>
          </w:tcPr>
          <w:p w14:paraId="4F2F0978" w14:textId="77777777" w:rsidR="00891B19" w:rsidRPr="00D623AF" w:rsidRDefault="00891B19" w:rsidP="00C36809">
            <w:pPr>
              <w:jc w:val="left"/>
              <w:rPr>
                <w:b/>
                <w:caps/>
                <w:sz w:val="20"/>
                <w:szCs w:val="20"/>
                <w:lang w:val="fr-FR"/>
              </w:rPr>
            </w:pPr>
            <w:r>
              <w:rPr>
                <w:b/>
                <w:sz w:val="20"/>
              </w:rPr>
              <w:t>DONNÉES DE L'ARTICLE 7 LES PLUS RÉCENTES (Annexe F)</w:t>
            </w:r>
          </w:p>
        </w:tc>
        <w:tc>
          <w:tcPr>
            <w:tcW w:w="1586" w:type="dxa"/>
          </w:tcPr>
          <w:p w14:paraId="5A8B2A2B" w14:textId="43BC53E3" w:rsidR="00891B19" w:rsidRPr="009E6488" w:rsidRDefault="00891B19" w:rsidP="00891B19">
            <w:pPr>
              <w:jc w:val="left"/>
              <w:rPr>
                <w:sz w:val="20"/>
                <w:szCs w:val="20"/>
                <w:lang w:val="en-GB"/>
              </w:rPr>
            </w:pPr>
            <w:r>
              <w:rPr>
                <w:b/>
                <w:bCs/>
                <w:sz w:val="20"/>
                <w:szCs w:val="20"/>
              </w:rPr>
              <w:t>Année :</w:t>
            </w:r>
            <w:r>
              <w:rPr>
                <w:sz w:val="20"/>
                <w:szCs w:val="20"/>
              </w:rPr>
              <w:t xml:space="preserve"> </w:t>
            </w:r>
            <w:r>
              <w:rPr>
                <w:color w:val="000000" w:themeColor="text1"/>
                <w:sz w:val="20"/>
                <w:szCs w:val="20"/>
              </w:rPr>
              <w:t>2024</w:t>
            </w:r>
          </w:p>
        </w:tc>
        <w:tc>
          <w:tcPr>
            <w:tcW w:w="2524" w:type="dxa"/>
          </w:tcPr>
          <w:p w14:paraId="27DD8AD7" w14:textId="3D1E51AA" w:rsidR="00891B19" w:rsidRPr="00891B19" w:rsidRDefault="005D79E1" w:rsidP="00891B19">
            <w:pPr>
              <w:jc w:val="center"/>
              <w:rPr>
                <w:sz w:val="20"/>
                <w:szCs w:val="20"/>
                <w:highlight w:val="yellow"/>
                <w:lang w:val="en-GB"/>
              </w:rPr>
            </w:pPr>
            <w:r>
              <w:rPr>
                <w:sz w:val="20"/>
                <w:szCs w:val="20"/>
              </w:rPr>
              <w:t>129,65 tonnes métriques (mt)</w:t>
            </w:r>
          </w:p>
        </w:tc>
        <w:tc>
          <w:tcPr>
            <w:tcW w:w="2551" w:type="dxa"/>
          </w:tcPr>
          <w:p w14:paraId="79241E10" w14:textId="4339435C" w:rsidR="00891B19" w:rsidRPr="00891B19" w:rsidRDefault="00493717" w:rsidP="00B641DF">
            <w:pPr>
              <w:jc w:val="right"/>
              <w:rPr>
                <w:sz w:val="20"/>
                <w:szCs w:val="20"/>
                <w:highlight w:val="yellow"/>
                <w:lang w:val="en-GB"/>
              </w:rPr>
            </w:pPr>
            <w:r>
              <w:rPr>
                <w:sz w:val="20"/>
                <w:szCs w:val="20"/>
              </w:rPr>
              <w:t>271 158 t éq. CO</w:t>
            </w:r>
            <w:r w:rsidRPr="002E4253">
              <w:rPr>
                <w:sz w:val="20"/>
                <w:szCs w:val="20"/>
                <w:vertAlign w:val="subscript"/>
              </w:rPr>
              <w:t>2</w:t>
            </w:r>
          </w:p>
        </w:tc>
      </w:tr>
    </w:tbl>
    <w:p w14:paraId="60D837F5" w14:textId="77777777" w:rsidR="00891B19" w:rsidRPr="00891B19" w:rsidRDefault="00891B19" w:rsidP="00891B19">
      <w:pPr>
        <w:jc w:val="center"/>
        <w:rPr>
          <w:sz w:val="10"/>
          <w:szCs w:val="10"/>
          <w:highlight w:val="yellow"/>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5"/>
        <w:gridCol w:w="3135"/>
      </w:tblGrid>
      <w:tr w:rsidR="00891B19" w:rsidRPr="00891B19" w14:paraId="3ABC7DA9" w14:textId="77777777" w:rsidTr="00606F8A">
        <w:trPr>
          <w:trHeight w:val="250"/>
          <w:jc w:val="center"/>
        </w:trPr>
        <w:tc>
          <w:tcPr>
            <w:tcW w:w="0" w:type="auto"/>
            <w:tcBorders>
              <w:top w:val="single" w:sz="4" w:space="0" w:color="auto"/>
              <w:left w:val="single" w:sz="4" w:space="0" w:color="auto"/>
              <w:right w:val="single" w:sz="4" w:space="0" w:color="auto"/>
            </w:tcBorders>
          </w:tcPr>
          <w:p w14:paraId="61E793EF" w14:textId="77777777" w:rsidR="00891B19" w:rsidRPr="00971DF0"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Pr>
                <w:b/>
                <w:sz w:val="20"/>
              </w:rPr>
              <w:t>Particularité</w:t>
            </w:r>
          </w:p>
        </w:tc>
        <w:tc>
          <w:tcPr>
            <w:tcW w:w="0" w:type="auto"/>
            <w:tcBorders>
              <w:top w:val="single" w:sz="4" w:space="0" w:color="auto"/>
              <w:left w:val="single" w:sz="4" w:space="0" w:color="auto"/>
              <w:bottom w:val="single" w:sz="4" w:space="0" w:color="auto"/>
              <w:right w:val="single" w:sz="4" w:space="0" w:color="auto"/>
            </w:tcBorders>
          </w:tcPr>
          <w:p w14:paraId="0C23212D" w14:textId="77777777" w:rsidR="00891B19" w:rsidRPr="00D623AF"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Pr>
                <w:sz w:val="20"/>
              </w:rPr>
              <w:t>Activités ne nécessitant pas d'investissement</w:t>
            </w:r>
          </w:p>
        </w:tc>
      </w:tr>
      <w:tr w:rsidR="001E4CD9" w:rsidRPr="00891B19" w14:paraId="2EFAA069" w14:textId="77777777" w:rsidTr="00077925">
        <w:trPr>
          <w:trHeight w:val="250"/>
          <w:jc w:val="center"/>
        </w:trPr>
        <w:tc>
          <w:tcPr>
            <w:tcW w:w="0" w:type="auto"/>
            <w:vMerge w:val="restart"/>
            <w:tcBorders>
              <w:top w:val="single" w:sz="4" w:space="0" w:color="auto"/>
              <w:left w:val="single" w:sz="4" w:space="0" w:color="auto"/>
              <w:right w:val="single" w:sz="4" w:space="0" w:color="auto"/>
            </w:tcBorders>
            <w:vAlign w:val="center"/>
          </w:tcPr>
          <w:p w14:paraId="3132E044" w14:textId="553506F1" w:rsidR="001E4CD9" w:rsidRPr="00D623AF" w:rsidRDefault="001E4CD9" w:rsidP="00B641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lang w:val="fr-FR"/>
              </w:rPr>
            </w:pPr>
            <w:r>
              <w:rPr>
                <w:bCs/>
                <w:sz w:val="20"/>
              </w:rPr>
              <w:t>HFC utilisés par le secteur de l'entretien (données 2024 relatives au programme de pays)</w:t>
            </w:r>
          </w:p>
        </w:tc>
        <w:tc>
          <w:tcPr>
            <w:tcW w:w="0" w:type="auto"/>
            <w:tcBorders>
              <w:top w:val="single" w:sz="4" w:space="0" w:color="auto"/>
              <w:left w:val="single" w:sz="4" w:space="0" w:color="auto"/>
              <w:bottom w:val="single" w:sz="4" w:space="0" w:color="auto"/>
              <w:right w:val="single" w:sz="4" w:space="0" w:color="auto"/>
            </w:tcBorders>
          </w:tcPr>
          <w:p w14:paraId="07D26F0B" w14:textId="4C2CCAFE" w:rsidR="001E4CD9" w:rsidRPr="000D6361" w:rsidRDefault="00CD7816" w:rsidP="00B641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rPr>
              <w:t>132,95 mt</w:t>
            </w:r>
          </w:p>
        </w:tc>
      </w:tr>
      <w:tr w:rsidR="001E4CD9" w:rsidRPr="00891B19" w14:paraId="60D2DCFC" w14:textId="77777777" w:rsidTr="00E86CF6">
        <w:trPr>
          <w:trHeight w:val="250"/>
          <w:jc w:val="center"/>
        </w:trPr>
        <w:tc>
          <w:tcPr>
            <w:tcW w:w="0" w:type="auto"/>
            <w:vMerge/>
            <w:tcBorders>
              <w:left w:val="single" w:sz="4" w:space="0" w:color="auto"/>
              <w:right w:val="single" w:sz="4" w:space="0" w:color="auto"/>
            </w:tcBorders>
          </w:tcPr>
          <w:p w14:paraId="1AAB71FF" w14:textId="77777777" w:rsidR="001E4CD9" w:rsidRPr="00971DF0" w:rsidRDefault="001E4CD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0" w:type="auto"/>
            <w:tcBorders>
              <w:top w:val="single" w:sz="4" w:space="0" w:color="auto"/>
              <w:left w:val="single" w:sz="4" w:space="0" w:color="auto"/>
              <w:bottom w:val="single" w:sz="4" w:space="0" w:color="auto"/>
              <w:right w:val="single" w:sz="4" w:space="0" w:color="auto"/>
            </w:tcBorders>
          </w:tcPr>
          <w:p w14:paraId="3E410E6A" w14:textId="01426335" w:rsidR="001E4CD9" w:rsidRPr="000D6361" w:rsidRDefault="006B5E9B" w:rsidP="00B641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szCs w:val="20"/>
              </w:rPr>
              <w:t>281 307 t éq. CO</w:t>
            </w:r>
            <w:r>
              <w:rPr>
                <w:sz w:val="20"/>
                <w:szCs w:val="20"/>
                <w:vertAlign w:val="subscript"/>
              </w:rPr>
              <w:t>2</w:t>
            </w:r>
          </w:p>
        </w:tc>
      </w:tr>
      <w:tr w:rsidR="00891B19" w:rsidRPr="00891B19" w14:paraId="7B5F45F1" w14:textId="77777777" w:rsidTr="00606F8A">
        <w:trPr>
          <w:trHeight w:val="262"/>
          <w:jc w:val="center"/>
        </w:trPr>
        <w:tc>
          <w:tcPr>
            <w:tcW w:w="0" w:type="auto"/>
            <w:tcBorders>
              <w:top w:val="single" w:sz="4" w:space="0" w:color="auto"/>
              <w:left w:val="single" w:sz="4" w:space="0" w:color="auto"/>
              <w:bottom w:val="single" w:sz="4" w:space="0" w:color="auto"/>
              <w:right w:val="single" w:sz="4" w:space="0" w:color="auto"/>
            </w:tcBorders>
          </w:tcPr>
          <w:p w14:paraId="6C2D8CB7" w14:textId="77777777" w:rsidR="00891B19" w:rsidRPr="00D623AF"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rPr>
              <w:t>Durée du projet (en mois) :</w:t>
            </w:r>
          </w:p>
        </w:tc>
        <w:tc>
          <w:tcPr>
            <w:tcW w:w="0" w:type="auto"/>
            <w:tcBorders>
              <w:top w:val="single" w:sz="4" w:space="0" w:color="auto"/>
              <w:left w:val="single" w:sz="4" w:space="0" w:color="auto"/>
              <w:bottom w:val="single" w:sz="4" w:space="0" w:color="auto"/>
              <w:right w:val="single" w:sz="4" w:space="0" w:color="auto"/>
            </w:tcBorders>
          </w:tcPr>
          <w:p w14:paraId="2A7C3DE5" w14:textId="0D79699A" w:rsidR="00891B19" w:rsidRPr="00726BB1" w:rsidRDefault="00726BB1" w:rsidP="00891B19">
            <w:pPr>
              <w:jc w:val="right"/>
              <w:rPr>
                <w:sz w:val="20"/>
                <w:szCs w:val="20"/>
                <w:lang w:val="en-GB"/>
              </w:rPr>
            </w:pPr>
            <w:r>
              <w:rPr>
                <w:sz w:val="20"/>
                <w:szCs w:val="20"/>
              </w:rPr>
              <w:t>24</w:t>
            </w:r>
          </w:p>
        </w:tc>
      </w:tr>
      <w:tr w:rsidR="00891B19" w:rsidRPr="00891B19" w14:paraId="6F42F960"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110B20E5" w14:textId="77777777" w:rsidR="00891B19" w:rsidRPr="00D623AF"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rPr>
              <w:t>Montant initial demandé (en $US) :</w:t>
            </w:r>
          </w:p>
        </w:tc>
        <w:tc>
          <w:tcPr>
            <w:tcW w:w="0" w:type="auto"/>
            <w:tcBorders>
              <w:top w:val="single" w:sz="4" w:space="0" w:color="auto"/>
              <w:left w:val="single" w:sz="4" w:space="0" w:color="auto"/>
              <w:bottom w:val="single" w:sz="4" w:space="0" w:color="auto"/>
              <w:right w:val="single" w:sz="4" w:space="0" w:color="auto"/>
            </w:tcBorders>
          </w:tcPr>
          <w:p w14:paraId="72F9ABDC" w14:textId="5F121837" w:rsidR="00891B19" w:rsidRPr="005D319A" w:rsidRDefault="005D319A"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rPr>
              <w:t xml:space="preserve">265 836 </w:t>
            </w:r>
          </w:p>
        </w:tc>
      </w:tr>
      <w:tr w:rsidR="00891B19" w:rsidRPr="00891B19" w14:paraId="3B250274"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7765CBC9" w14:textId="574E0D2E" w:rsidR="00891B19" w:rsidRPr="00D623AF" w:rsidRDefault="00891B19" w:rsidP="00C82191">
            <w:pPr>
              <w:tabs>
                <w:tab w:val="left" w:pos="-717"/>
                <w:tab w:val="left" w:pos="2"/>
                <w:tab w:val="left" w:pos="722"/>
                <w:tab w:val="left" w:pos="1442"/>
                <w:tab w:val="left" w:pos="2162"/>
                <w:tab w:val="left" w:pos="2810"/>
              </w:tabs>
              <w:rPr>
                <w:sz w:val="20"/>
                <w:lang w:val="fr-FR"/>
              </w:rPr>
            </w:pPr>
            <w:r>
              <w:rPr>
                <w:sz w:val="20"/>
              </w:rPr>
              <w:t>Coût final du projet (en $US) :</w:t>
            </w:r>
            <w:r>
              <w:rPr>
                <w:sz w:val="20"/>
              </w:rPr>
              <w:tab/>
            </w:r>
          </w:p>
        </w:tc>
        <w:tc>
          <w:tcPr>
            <w:tcW w:w="0" w:type="auto"/>
            <w:tcBorders>
              <w:top w:val="single" w:sz="4" w:space="0" w:color="auto"/>
              <w:left w:val="single" w:sz="4" w:space="0" w:color="auto"/>
              <w:bottom w:val="single" w:sz="4" w:space="0" w:color="auto"/>
              <w:right w:val="single" w:sz="4" w:space="0" w:color="auto"/>
            </w:tcBorders>
          </w:tcPr>
          <w:p w14:paraId="1747DE3A" w14:textId="0A46FF80" w:rsidR="00891B19" w:rsidRPr="00DE29A9" w:rsidRDefault="00CB2914" w:rsidP="00891B19">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Pr>
                <w:sz w:val="20"/>
                <w:szCs w:val="20"/>
              </w:rPr>
              <w:t>289 336</w:t>
            </w:r>
          </w:p>
        </w:tc>
      </w:tr>
      <w:tr w:rsidR="00891B19" w:rsidRPr="00891B19" w14:paraId="4B55FA6F"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15DBFC80" w14:textId="49CBD5C0" w:rsidR="00891B19" w:rsidRPr="00B160CA"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Pr>
                <w:sz w:val="20"/>
              </w:rPr>
              <w:t>Subvention demandée (en $US) :</w:t>
            </w:r>
          </w:p>
        </w:tc>
        <w:tc>
          <w:tcPr>
            <w:tcW w:w="0" w:type="auto"/>
            <w:tcBorders>
              <w:top w:val="single" w:sz="4" w:space="0" w:color="auto"/>
              <w:left w:val="single" w:sz="4" w:space="0" w:color="auto"/>
              <w:bottom w:val="single" w:sz="4" w:space="0" w:color="auto"/>
              <w:right w:val="single" w:sz="4" w:space="0" w:color="auto"/>
            </w:tcBorders>
          </w:tcPr>
          <w:p w14:paraId="3372849B" w14:textId="7D225D38" w:rsidR="00891B19" w:rsidRPr="00DE29A9" w:rsidRDefault="00F133E5"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rPr>
              <w:t>256 139</w:t>
            </w:r>
          </w:p>
        </w:tc>
      </w:tr>
      <w:tr w:rsidR="00891B19" w:rsidRPr="00891B19" w14:paraId="28FDBF3D"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3C756325" w14:textId="68E239AF" w:rsidR="00891B19" w:rsidRPr="00D623AF"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rPr>
              <w:t>Coûts d'appui de l'agence d'exécution (en $US) :</w:t>
            </w:r>
          </w:p>
        </w:tc>
        <w:tc>
          <w:tcPr>
            <w:tcW w:w="0" w:type="auto"/>
            <w:tcBorders>
              <w:top w:val="single" w:sz="4" w:space="0" w:color="auto"/>
              <w:left w:val="single" w:sz="4" w:space="0" w:color="auto"/>
              <w:bottom w:val="single" w:sz="4" w:space="0" w:color="auto"/>
              <w:right w:val="single" w:sz="4" w:space="0" w:color="auto"/>
            </w:tcBorders>
          </w:tcPr>
          <w:p w14:paraId="7E694EB7" w14:textId="6B0807B0" w:rsidR="00891B19" w:rsidRPr="00DE29A9" w:rsidRDefault="00726644"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rPr>
              <w:t>33 298</w:t>
            </w:r>
          </w:p>
        </w:tc>
      </w:tr>
      <w:tr w:rsidR="00891B19" w:rsidRPr="00891B19" w14:paraId="6407C194"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299E4B46" w14:textId="61CF4DA2" w:rsidR="00891B19" w:rsidRPr="00D623AF"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rPr>
              <w:t>Coût total du projet pour le Fonds multilatéral (en $US) :</w:t>
            </w:r>
          </w:p>
        </w:tc>
        <w:tc>
          <w:tcPr>
            <w:tcW w:w="0" w:type="auto"/>
            <w:tcBorders>
              <w:top w:val="single" w:sz="4" w:space="0" w:color="auto"/>
              <w:left w:val="single" w:sz="4" w:space="0" w:color="auto"/>
              <w:bottom w:val="single" w:sz="4" w:space="0" w:color="auto"/>
              <w:right w:val="single" w:sz="4" w:space="0" w:color="auto"/>
            </w:tcBorders>
          </w:tcPr>
          <w:p w14:paraId="38BA742D" w14:textId="297A8A1C" w:rsidR="00891B19" w:rsidRPr="00DE29A9" w:rsidRDefault="00C8629D"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rPr>
              <w:t>289 437</w:t>
            </w:r>
          </w:p>
        </w:tc>
      </w:tr>
      <w:tr w:rsidR="00891B19" w:rsidRPr="00891B19" w14:paraId="1E5FF724" w14:textId="77777777" w:rsidTr="00606F8A">
        <w:trPr>
          <w:trHeight w:val="119"/>
          <w:jc w:val="center"/>
        </w:trPr>
        <w:tc>
          <w:tcPr>
            <w:tcW w:w="0" w:type="auto"/>
            <w:tcBorders>
              <w:top w:val="single" w:sz="4" w:space="0" w:color="auto"/>
              <w:left w:val="single" w:sz="4" w:space="0" w:color="auto"/>
              <w:bottom w:val="single" w:sz="4" w:space="0" w:color="auto"/>
              <w:right w:val="single" w:sz="4" w:space="0" w:color="auto"/>
            </w:tcBorders>
          </w:tcPr>
          <w:p w14:paraId="189A45CD" w14:textId="06967F9A" w:rsidR="00891B19" w:rsidRPr="00B160CA" w:rsidRDefault="00891B19" w:rsidP="00891B19">
            <w:pPr>
              <w:rPr>
                <w:sz w:val="20"/>
                <w:szCs w:val="20"/>
                <w:lang w:val="en-GB"/>
              </w:rPr>
            </w:pPr>
            <w:r>
              <w:rPr>
                <w:sz w:val="20"/>
                <w:szCs w:val="20"/>
              </w:rPr>
              <w:t>Cofinancement (en $US) :</w:t>
            </w:r>
          </w:p>
        </w:tc>
        <w:tc>
          <w:tcPr>
            <w:tcW w:w="0" w:type="auto"/>
            <w:tcBorders>
              <w:top w:val="single" w:sz="4" w:space="0" w:color="auto"/>
              <w:left w:val="single" w:sz="4" w:space="0" w:color="auto"/>
              <w:bottom w:val="single" w:sz="4" w:space="0" w:color="auto"/>
              <w:right w:val="single" w:sz="4" w:space="0" w:color="auto"/>
            </w:tcBorders>
          </w:tcPr>
          <w:p w14:paraId="717486B0" w14:textId="4C4DFF81" w:rsidR="00891B19" w:rsidRPr="00DE29A9" w:rsidRDefault="00570F06" w:rsidP="00891B19">
            <w:pPr>
              <w:jc w:val="right"/>
              <w:rPr>
                <w:sz w:val="20"/>
                <w:szCs w:val="20"/>
                <w:lang w:val="en-GB"/>
              </w:rPr>
            </w:pPr>
            <w:r>
              <w:rPr>
                <w:sz w:val="20"/>
                <w:szCs w:val="20"/>
              </w:rPr>
              <w:t>33 197</w:t>
            </w:r>
          </w:p>
        </w:tc>
      </w:tr>
      <w:tr w:rsidR="00891B19" w:rsidRPr="00891B19" w14:paraId="5C41740D"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6298D474" w14:textId="77777777" w:rsidR="00891B19" w:rsidRPr="00B160CA"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Pr>
                <w:sz w:val="20"/>
              </w:rPr>
              <w:t>Économies d'énergie (kWh/an) :</w:t>
            </w:r>
          </w:p>
        </w:tc>
        <w:tc>
          <w:tcPr>
            <w:tcW w:w="0" w:type="auto"/>
            <w:tcBorders>
              <w:top w:val="single" w:sz="4" w:space="0" w:color="auto"/>
              <w:left w:val="single" w:sz="4" w:space="0" w:color="auto"/>
              <w:bottom w:val="single" w:sz="4" w:space="0" w:color="auto"/>
              <w:right w:val="single" w:sz="4" w:space="0" w:color="auto"/>
            </w:tcBorders>
          </w:tcPr>
          <w:p w14:paraId="1C1B3EB5" w14:textId="31FB8A55" w:rsidR="00891B19" w:rsidRPr="00DE29A9" w:rsidRDefault="00290DF1"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rPr>
              <w:t>95 058</w:t>
            </w:r>
          </w:p>
        </w:tc>
      </w:tr>
      <w:tr w:rsidR="00891B19" w:rsidRPr="00891B19" w14:paraId="1D833A58" w14:textId="77777777" w:rsidTr="00606F8A">
        <w:trPr>
          <w:trHeight w:val="239"/>
          <w:jc w:val="center"/>
        </w:trPr>
        <w:tc>
          <w:tcPr>
            <w:tcW w:w="0" w:type="auto"/>
            <w:tcBorders>
              <w:top w:val="single" w:sz="4" w:space="0" w:color="auto"/>
              <w:left w:val="single" w:sz="4" w:space="0" w:color="auto"/>
              <w:bottom w:val="single" w:sz="4" w:space="0" w:color="auto"/>
              <w:right w:val="single" w:sz="4" w:space="0" w:color="auto"/>
            </w:tcBorders>
          </w:tcPr>
          <w:p w14:paraId="560E0FCE" w14:textId="77777777" w:rsidR="00891B19" w:rsidRPr="00D623AF"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rPr>
              <w:t>État du financement de contrepartie (O/N) :</w:t>
            </w:r>
          </w:p>
        </w:tc>
        <w:tc>
          <w:tcPr>
            <w:tcW w:w="0" w:type="auto"/>
            <w:tcBorders>
              <w:top w:val="single" w:sz="4" w:space="0" w:color="auto"/>
              <w:left w:val="single" w:sz="4" w:space="0" w:color="auto"/>
              <w:bottom w:val="single" w:sz="4" w:space="0" w:color="auto"/>
              <w:right w:val="single" w:sz="4" w:space="0" w:color="auto"/>
            </w:tcBorders>
          </w:tcPr>
          <w:p w14:paraId="7481400D" w14:textId="77777777" w:rsidR="00891B19" w:rsidRPr="00DE29A9" w:rsidRDefault="00891B19"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rPr>
              <w:t>O</w:t>
            </w:r>
          </w:p>
        </w:tc>
      </w:tr>
      <w:tr w:rsidR="00891B19" w:rsidRPr="00891B19" w14:paraId="21ED3A16"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4E62131E" w14:textId="77777777" w:rsidR="00891B19" w:rsidRPr="00D623AF"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rPr>
              <w:t>Étapes clés du suivi du projet incluses (O/N) :</w:t>
            </w:r>
          </w:p>
        </w:tc>
        <w:tc>
          <w:tcPr>
            <w:tcW w:w="0" w:type="auto"/>
            <w:tcBorders>
              <w:top w:val="single" w:sz="4" w:space="0" w:color="auto"/>
              <w:left w:val="single" w:sz="4" w:space="0" w:color="auto"/>
              <w:bottom w:val="single" w:sz="4" w:space="0" w:color="auto"/>
              <w:right w:val="single" w:sz="4" w:space="0" w:color="auto"/>
            </w:tcBorders>
          </w:tcPr>
          <w:p w14:paraId="238434E0" w14:textId="77777777" w:rsidR="00891B19" w:rsidRPr="00DE29A9" w:rsidRDefault="00891B19"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rPr>
              <w:t>O</w:t>
            </w:r>
          </w:p>
        </w:tc>
      </w:tr>
      <w:tr w:rsidR="00891B19" w:rsidRPr="00891B19" w14:paraId="21F7667F" w14:textId="77777777" w:rsidTr="00606F8A">
        <w:trPr>
          <w:trHeight w:val="250"/>
          <w:jc w:val="center"/>
        </w:trPr>
        <w:tc>
          <w:tcPr>
            <w:tcW w:w="0" w:type="auto"/>
            <w:tcBorders>
              <w:top w:val="single" w:sz="4" w:space="0" w:color="auto"/>
              <w:left w:val="single" w:sz="4" w:space="0" w:color="auto"/>
              <w:bottom w:val="single" w:sz="4" w:space="0" w:color="auto"/>
              <w:right w:val="single" w:sz="4" w:space="0" w:color="auto"/>
            </w:tcBorders>
          </w:tcPr>
          <w:p w14:paraId="24DA2720" w14:textId="77777777" w:rsidR="00891B19" w:rsidRPr="00D623AF"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rPr>
              <w:t>Normes minimales de performance énergétique (MEPS) disponibles pour le secteur concerné (O/N) :</w:t>
            </w:r>
          </w:p>
        </w:tc>
        <w:tc>
          <w:tcPr>
            <w:tcW w:w="0" w:type="auto"/>
            <w:tcBorders>
              <w:top w:val="single" w:sz="4" w:space="0" w:color="auto"/>
              <w:left w:val="single" w:sz="4" w:space="0" w:color="auto"/>
              <w:bottom w:val="single" w:sz="4" w:space="0" w:color="auto"/>
              <w:right w:val="single" w:sz="4" w:space="0" w:color="auto"/>
            </w:tcBorders>
          </w:tcPr>
          <w:p w14:paraId="601BB4E4" w14:textId="5263B928" w:rsidR="00891B19" w:rsidRPr="00DE29A9" w:rsidRDefault="00891B19" w:rsidP="00891B1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rPr>
              <w:t>N*</w:t>
            </w:r>
          </w:p>
        </w:tc>
      </w:tr>
    </w:tbl>
    <w:p w14:paraId="3313C910" w14:textId="049FC21E" w:rsidR="00891B19" w:rsidRPr="00D623AF" w:rsidRDefault="00ED5F15" w:rsidP="00891B19">
      <w:pPr>
        <w:rPr>
          <w:sz w:val="20"/>
          <w:szCs w:val="20"/>
          <w:lang w:val="fr-FR"/>
        </w:rPr>
      </w:pPr>
      <w:r>
        <w:rPr>
          <w:sz w:val="20"/>
          <w:szCs w:val="20"/>
        </w:rPr>
        <w:t>* Des normes MEPS sont en cours d'élaboration pour les réfrigérateurs domestiques et les équipements de climatisation résidentiels</w:t>
      </w:r>
    </w:p>
    <w:p w14:paraId="11A3C25A" w14:textId="77777777" w:rsidR="0094180C" w:rsidRPr="00D623AF" w:rsidRDefault="0094180C" w:rsidP="00891B19">
      <w:pPr>
        <w:rPr>
          <w:highlight w:val="yellow"/>
          <w:lang w:val="fr-FR"/>
        </w:rPr>
      </w:pPr>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1"/>
        <w:gridCol w:w="3256"/>
      </w:tblGrid>
      <w:tr w:rsidR="00891B19" w:rsidRPr="00062266" w14:paraId="35846C77" w14:textId="77777777" w:rsidTr="00842F34">
        <w:trPr>
          <w:trHeight w:val="296"/>
          <w:jc w:val="center"/>
        </w:trPr>
        <w:tc>
          <w:tcPr>
            <w:tcW w:w="6071" w:type="dxa"/>
            <w:tcBorders>
              <w:top w:val="single" w:sz="4" w:space="0" w:color="auto"/>
              <w:left w:val="single" w:sz="4" w:space="0" w:color="auto"/>
              <w:bottom w:val="single" w:sz="4" w:space="0" w:color="auto"/>
              <w:right w:val="single" w:sz="4" w:space="0" w:color="auto"/>
            </w:tcBorders>
          </w:tcPr>
          <w:p w14:paraId="1915299B" w14:textId="77777777" w:rsidR="00891B19" w:rsidRPr="00062266"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Pr>
                <w:b/>
                <w:sz w:val="20"/>
              </w:rPr>
              <w:t>RECOMMANDATION DU SECRÉTARIAT</w:t>
            </w:r>
          </w:p>
        </w:tc>
        <w:tc>
          <w:tcPr>
            <w:tcW w:w="3256" w:type="dxa"/>
            <w:tcBorders>
              <w:top w:val="single" w:sz="4" w:space="0" w:color="auto"/>
              <w:left w:val="single" w:sz="4" w:space="0" w:color="auto"/>
              <w:bottom w:val="single" w:sz="4" w:space="0" w:color="auto"/>
              <w:right w:val="single" w:sz="4" w:space="0" w:color="auto"/>
            </w:tcBorders>
          </w:tcPr>
          <w:p w14:paraId="5BE9DB06" w14:textId="77777777" w:rsidR="00891B19" w:rsidRPr="00062266" w:rsidRDefault="00891B19" w:rsidP="00891B1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Pr>
                <w:sz w:val="20"/>
              </w:rPr>
              <w:t>Examen individuel</w:t>
            </w:r>
          </w:p>
        </w:tc>
      </w:tr>
    </w:tbl>
    <w:p w14:paraId="3441F1AA" w14:textId="77777777" w:rsidR="00891B19" w:rsidRPr="00062266" w:rsidRDefault="00891B19" w:rsidP="00891B19">
      <w:pPr>
        <w:rPr>
          <w:lang w:val="en-GB"/>
        </w:rPr>
      </w:pPr>
    </w:p>
    <w:p w14:paraId="60E0D7D4" w14:textId="77777777" w:rsidR="00891B19" w:rsidRPr="00891B19" w:rsidRDefault="00891B19" w:rsidP="00891B19">
      <w:pPr>
        <w:jc w:val="left"/>
        <w:rPr>
          <w:b/>
          <w:highlight w:val="yellow"/>
          <w:lang w:val="en-GB"/>
        </w:rPr>
      </w:pPr>
      <w:r w:rsidRPr="00891B19">
        <w:rPr>
          <w:b/>
          <w:highlight w:val="yellow"/>
          <w:lang w:val="en-GB"/>
        </w:rPr>
        <w:br w:type="page"/>
      </w:r>
    </w:p>
    <w:p w14:paraId="2CC4CE63" w14:textId="77777777" w:rsidR="00891B19" w:rsidRPr="00891B19" w:rsidRDefault="00891B19" w:rsidP="00891B19">
      <w:pPr>
        <w:tabs>
          <w:tab w:val="left" w:pos="5530"/>
        </w:tabs>
        <w:jc w:val="center"/>
        <w:rPr>
          <w:b/>
          <w:lang w:val="en-GB"/>
        </w:rPr>
      </w:pPr>
      <w:r>
        <w:rPr>
          <w:b/>
        </w:rPr>
        <w:lastRenderedPageBreak/>
        <w:t>DESCRIPTION DU PROJET</w:t>
      </w:r>
    </w:p>
    <w:p w14:paraId="152E74CC" w14:textId="77777777" w:rsidR="00891B19" w:rsidRPr="00891B19" w:rsidRDefault="00891B19" w:rsidP="00891B19">
      <w:pPr>
        <w:spacing w:before="240" w:after="240"/>
        <w:rPr>
          <w:b/>
          <w:bCs/>
          <w:lang w:val="en-GB"/>
        </w:rPr>
      </w:pPr>
      <w:r>
        <w:rPr>
          <w:b/>
          <w:bCs/>
        </w:rPr>
        <w:t>Contexte</w:t>
      </w:r>
    </w:p>
    <w:p w14:paraId="32437EDE" w14:textId="1D1034B3" w:rsidR="00891B19" w:rsidRPr="00D623AF" w:rsidRDefault="00891B19" w:rsidP="00891B19">
      <w:pPr>
        <w:numPr>
          <w:ilvl w:val="0"/>
          <w:numId w:val="1"/>
        </w:numPr>
        <w:spacing w:after="240"/>
        <w:outlineLvl w:val="0"/>
        <w:rPr>
          <w:lang w:val="fr-FR"/>
        </w:rPr>
      </w:pPr>
      <w:r>
        <w:t>Au nom du Gouvernement de la Sierra Leone, le Gouvernement du Royaume-Uni de Grande-Bretagne et d'Irlande du Nord</w:t>
      </w:r>
      <w:r>
        <w:rPr>
          <w:rStyle w:val="FootnoteReference"/>
        </w:rPr>
        <w:footnoteReference w:id="2"/>
      </w:r>
      <w:r>
        <w:t xml:space="preserve"> a présenté, conformément à la décision 91/65, une demande de </w:t>
      </w:r>
      <w:bookmarkStart w:id="2" w:name="_Hlk148535980"/>
      <w:r>
        <w:t>projet pilote visant à améliorer le rendement énergétique des technologies et appareils de remplacement dans le cadre de la réduction des HFC (activités ne nécessitant pas d'investissement)</w:t>
      </w:r>
      <w:bookmarkEnd w:id="2"/>
      <w:r>
        <w:t>, pour un montant de 265 836 $US, auxquels s'ajoutent les coûts d'appui des agences d'un montant de 34 559 $US, telle que présentée initialement</w:t>
      </w:r>
      <w:r>
        <w:rPr>
          <w:vertAlign w:val="superscript"/>
        </w:rPr>
        <w:footnoteReference w:id="3"/>
      </w:r>
      <w:r>
        <w:t>.</w:t>
      </w:r>
    </w:p>
    <w:p w14:paraId="03EFF404" w14:textId="58A935EA" w:rsidR="00FF12DC" w:rsidRDefault="00FF12DC" w:rsidP="00FF12DC">
      <w:pPr>
        <w:spacing w:after="240"/>
        <w:outlineLvl w:val="0"/>
        <w:rPr>
          <w:u w:val="single"/>
        </w:rPr>
      </w:pPr>
      <w:r>
        <w:rPr>
          <w:u w:val="single"/>
        </w:rPr>
        <w:t>État d'avancement de la mise en œuvre des activités liées au rendement énergétique financées par le Fonds multilatéral</w:t>
      </w:r>
    </w:p>
    <w:p w14:paraId="10AA9C2F" w14:textId="65DB8405" w:rsidR="00FF12DC" w:rsidRPr="00D623AF" w:rsidRDefault="00FF12DC" w:rsidP="00440574">
      <w:pPr>
        <w:numPr>
          <w:ilvl w:val="0"/>
          <w:numId w:val="1"/>
        </w:numPr>
        <w:spacing w:after="120"/>
        <w:outlineLvl w:val="0"/>
        <w:rPr>
          <w:lang w:val="fr-FR"/>
        </w:rPr>
      </w:pPr>
      <w:r>
        <w:t>Les activités supplémentaires visant à maintenir le rendement énergétique dans le secteur de l'entretien de l'équipement de réfrigération dans le cadre du plan de gestion de l'élimination des HCFC (décision 89/6) approuvé à la 93</w:t>
      </w:r>
      <w:r>
        <w:rPr>
          <w:vertAlign w:val="superscript"/>
        </w:rPr>
        <w:t>e</w:t>
      </w:r>
      <w:r>
        <w:t> réunion</w:t>
      </w:r>
      <w:r>
        <w:rPr>
          <w:rStyle w:val="FootnoteReference"/>
        </w:rPr>
        <w:footnoteReference w:id="4"/>
      </w:r>
      <w:r>
        <w:t xml:space="preserve"> comprenaient l'élaboration de normes minimales de performance énergétique (MEPS) pour les réfrigérateurs domestiques et les équipements de climatisation résidentiels à travers l'adaptation des MEPS régionales de la CEDEAO</w:t>
      </w:r>
      <w:r>
        <w:rPr>
          <w:rStyle w:val="FootnoteReference"/>
        </w:rPr>
        <w:footnoteReference w:id="5"/>
      </w:r>
      <w:r>
        <w:t xml:space="preserve"> pour les appareils de réfrigération et de climatisation aux besoins nationaux, le renforcement des capacités des douaniers en matière d'application de la réglementation, la sensibilisation des parties prenantes aux MEPS et au rendement énergétique, ainsi que la mise à jour des codes des techniciens en réfrigération et climatisation et l'élaboration de manuels de formation reflétant les normes de rendement énergétique.</w:t>
      </w:r>
    </w:p>
    <w:p w14:paraId="6266CC6F" w14:textId="77777777" w:rsidR="00891B19" w:rsidRPr="00891B19" w:rsidRDefault="00891B19" w:rsidP="00440574">
      <w:pPr>
        <w:spacing w:after="120"/>
        <w:rPr>
          <w:b/>
          <w:bCs/>
          <w:lang w:val="en-GB"/>
        </w:rPr>
      </w:pPr>
      <w:r>
        <w:rPr>
          <w:b/>
          <w:bCs/>
        </w:rPr>
        <w:t>Projet pilote écoénergétique</w:t>
      </w:r>
    </w:p>
    <w:p w14:paraId="1CBDAA99" w14:textId="41A65572" w:rsidR="00891B19" w:rsidRPr="00D623AF" w:rsidRDefault="00532AC0" w:rsidP="00440574">
      <w:pPr>
        <w:numPr>
          <w:ilvl w:val="0"/>
          <w:numId w:val="1"/>
        </w:numPr>
        <w:spacing w:after="120"/>
        <w:outlineLvl w:val="0"/>
        <w:rPr>
          <w:lang w:val="fr-FR"/>
        </w:rPr>
      </w:pPr>
      <w:r>
        <w:t>La Sierra Leone a ratifié l'amendement de Kigali le 15 juin 2020, en instaurant un système de quotas d'importation de HFC à compter d'avril 2024. Dans le cadre de la phase I du plan de mise en œuvre de l'Amendement de Kigali relatif aux HFC (KIP) approuvé à la 94</w:t>
      </w:r>
      <w:r>
        <w:rPr>
          <w:vertAlign w:val="superscript"/>
        </w:rPr>
        <w:t>e</w:t>
      </w:r>
      <w:r>
        <w:t> réunion</w:t>
      </w:r>
      <w:r>
        <w:rPr>
          <w:rStyle w:val="FootnoteReference"/>
        </w:rPr>
        <w:footnoteReference w:id="6"/>
      </w:r>
      <w:r>
        <w:t xml:space="preserve">, le pays s'est engagé à réduire sa consommation de HFC de 10 % d'ici à 2029. </w:t>
      </w:r>
    </w:p>
    <w:p w14:paraId="3346751E" w14:textId="77777777" w:rsidR="00891B19" w:rsidRPr="00AE0C92" w:rsidRDefault="00891B19" w:rsidP="00440574">
      <w:pPr>
        <w:spacing w:after="120"/>
        <w:rPr>
          <w:u w:val="single"/>
          <w:lang w:val="en-GB"/>
        </w:rPr>
      </w:pPr>
      <w:r>
        <w:rPr>
          <w:u w:val="single"/>
        </w:rPr>
        <w:t>Cadre politique, réglementaire et institutionnel</w:t>
      </w:r>
    </w:p>
    <w:p w14:paraId="1392DCB8" w14:textId="5C1BEEE0" w:rsidR="00C93FA3" w:rsidRPr="00967A3F" w:rsidRDefault="00323CC7" w:rsidP="00440574">
      <w:pPr>
        <w:pStyle w:val="Heading1"/>
        <w:spacing w:after="120"/>
      </w:pPr>
      <w:r>
        <w:t>L'unité nationale de l'ozone (UNO), créée sous l'égide de l'Agence de protection de l'environnement (EPA) du Ministère de l'environnement et du changement climatique, coordonne et supervise les activités liées à l'élimination des substances réglementées par le Protocole de Montréal. L'UNO et les agences compétentes relevant du Ministère de l'énergie collaborent étroitement dans le cadre du Comité directeur national du Protocole de Montréal, l'organe central de prise de décision pour les projets et activités soutenus par le Fonds multilatéral (MLF). Par ailleurs, les deux autorités collaborent étroitement sur des initiatives relatives au rendement énergétique dans le secteur de la réfrigération et de la climatisation, notamment l'élaboration de MEPS. Le Bureau de normalisation de la Sierra Leone est chargé de l'élaboration des MEPS. Cependant, le Ministère de l'énergie (département du rendement énergétique), l'organisme de contrôle (Commission de régulation de l'électricité et de l'eau de la Sierra Leone), l'EPA et des représentants de l'industrie font partie du comité de normalisation chargé d'approuver les MEPS.</w:t>
      </w:r>
    </w:p>
    <w:p w14:paraId="5D70F6DF" w14:textId="2A71DFDC" w:rsidR="00891B19" w:rsidRPr="00D623AF" w:rsidRDefault="00891B19" w:rsidP="00440574">
      <w:pPr>
        <w:spacing w:after="120"/>
        <w:outlineLvl w:val="0"/>
        <w:rPr>
          <w:u w:val="single"/>
          <w:lang w:val="fr-FR"/>
        </w:rPr>
      </w:pPr>
      <w:r>
        <w:rPr>
          <w:u w:val="single"/>
        </w:rPr>
        <w:t>Consommation de</w:t>
      </w:r>
      <w:r w:rsidR="00115E70">
        <w:rPr>
          <w:u w:val="single"/>
        </w:rPr>
        <w:t>s</w:t>
      </w:r>
      <w:r>
        <w:rPr>
          <w:u w:val="single"/>
        </w:rPr>
        <w:t xml:space="preserve"> HFC et contexte sectoriel</w:t>
      </w:r>
    </w:p>
    <w:p w14:paraId="51BBAA58" w14:textId="2EC3B0D9" w:rsidR="00891B19" w:rsidRPr="00D623AF" w:rsidRDefault="00891B19" w:rsidP="00440574">
      <w:pPr>
        <w:numPr>
          <w:ilvl w:val="0"/>
          <w:numId w:val="1"/>
        </w:numPr>
        <w:spacing w:after="120"/>
        <w:outlineLvl w:val="0"/>
        <w:rPr>
          <w:lang w:val="fr-FR" w:eastAsia="zh-CN"/>
        </w:rPr>
      </w:pPr>
      <w:r>
        <w:t>La consommation de base des HFC pour la Sierra Leone a été fixée à 350 905 tonnes d'équivalent CO</w:t>
      </w:r>
      <w:r>
        <w:rPr>
          <w:vertAlign w:val="subscript"/>
        </w:rPr>
        <w:t>2</w:t>
      </w:r>
      <w:r>
        <w:t xml:space="preserve"> (t éq. CO</w:t>
      </w:r>
      <w:r>
        <w:rPr>
          <w:vertAlign w:val="subscript"/>
        </w:rPr>
        <w:t>2</w:t>
      </w:r>
      <w:r>
        <w:t>). Le tableau 1 présente la consommation des HFC en Sierra Leone.</w:t>
      </w:r>
    </w:p>
    <w:p w14:paraId="2782C9F0" w14:textId="512BE058" w:rsidR="00891B19" w:rsidRPr="00D623AF" w:rsidRDefault="00891B19" w:rsidP="00891B19">
      <w:pPr>
        <w:keepNext/>
        <w:rPr>
          <w:b/>
          <w:bCs/>
          <w:lang w:val="fr-FR" w:eastAsia="zh-CN"/>
        </w:rPr>
      </w:pPr>
      <w:r>
        <w:rPr>
          <w:b/>
          <w:bCs/>
        </w:rPr>
        <w:lastRenderedPageBreak/>
        <w:t>Tableau 1. Consommation des HFC en Sierra Leone (données de l'article 7 pour 2020–2024)</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844FB6" w:rsidRPr="0021315E" w14:paraId="2E87E350" w14:textId="4E1A0CE5" w:rsidTr="00045E13">
        <w:trPr>
          <w:trHeight w:val="300"/>
          <w:tblHeader/>
        </w:trPr>
        <w:tc>
          <w:tcPr>
            <w:tcW w:w="1589" w:type="pct"/>
            <w:noWrap/>
            <w:vAlign w:val="center"/>
            <w:hideMark/>
          </w:tcPr>
          <w:p w14:paraId="5F89B91A" w14:textId="77777777" w:rsidR="00844FB6" w:rsidRPr="0021315E" w:rsidRDefault="00844FB6" w:rsidP="00891B19">
            <w:pPr>
              <w:keepNext/>
              <w:jc w:val="left"/>
              <w:rPr>
                <w:b/>
                <w:bCs/>
                <w:color w:val="000000"/>
                <w:sz w:val="20"/>
                <w:szCs w:val="20"/>
                <w:lang w:val="en-GB" w:eastAsia="en-CA"/>
              </w:rPr>
            </w:pPr>
            <w:r>
              <w:rPr>
                <w:b/>
                <w:bCs/>
                <w:color w:val="000000"/>
                <w:sz w:val="20"/>
                <w:szCs w:val="20"/>
              </w:rPr>
              <w:t>Consommation des HFC</w:t>
            </w:r>
          </w:p>
        </w:tc>
        <w:tc>
          <w:tcPr>
            <w:tcW w:w="683" w:type="pct"/>
            <w:noWrap/>
            <w:vAlign w:val="center"/>
            <w:hideMark/>
          </w:tcPr>
          <w:p w14:paraId="281E1993" w14:textId="77777777" w:rsidR="00844FB6" w:rsidRPr="0021315E" w:rsidRDefault="00844FB6" w:rsidP="00891B19">
            <w:pPr>
              <w:keepNext/>
              <w:jc w:val="center"/>
              <w:rPr>
                <w:b/>
                <w:bCs/>
                <w:color w:val="000000"/>
                <w:sz w:val="20"/>
                <w:szCs w:val="20"/>
                <w:lang w:val="en-GB" w:eastAsia="en-CA"/>
              </w:rPr>
            </w:pPr>
            <w:r>
              <w:rPr>
                <w:b/>
                <w:bCs/>
                <w:color w:val="000000"/>
                <w:sz w:val="20"/>
                <w:szCs w:val="20"/>
              </w:rPr>
              <w:t>2020</w:t>
            </w:r>
          </w:p>
        </w:tc>
        <w:tc>
          <w:tcPr>
            <w:tcW w:w="683" w:type="pct"/>
            <w:noWrap/>
            <w:vAlign w:val="center"/>
            <w:hideMark/>
          </w:tcPr>
          <w:p w14:paraId="25C7F379" w14:textId="77777777" w:rsidR="00844FB6" w:rsidRPr="0021315E" w:rsidRDefault="00844FB6" w:rsidP="00891B19">
            <w:pPr>
              <w:keepNext/>
              <w:jc w:val="center"/>
              <w:rPr>
                <w:b/>
                <w:bCs/>
                <w:color w:val="000000"/>
                <w:sz w:val="20"/>
                <w:szCs w:val="20"/>
                <w:lang w:val="en-GB" w:eastAsia="en-CA"/>
              </w:rPr>
            </w:pPr>
            <w:r>
              <w:rPr>
                <w:b/>
                <w:bCs/>
                <w:color w:val="000000"/>
                <w:sz w:val="20"/>
                <w:szCs w:val="20"/>
              </w:rPr>
              <w:t>2021</w:t>
            </w:r>
          </w:p>
        </w:tc>
        <w:tc>
          <w:tcPr>
            <w:tcW w:w="683" w:type="pct"/>
            <w:noWrap/>
            <w:vAlign w:val="center"/>
            <w:hideMark/>
          </w:tcPr>
          <w:p w14:paraId="02D41EFC" w14:textId="77777777" w:rsidR="00844FB6" w:rsidRPr="0021315E" w:rsidRDefault="00844FB6" w:rsidP="00891B19">
            <w:pPr>
              <w:keepNext/>
              <w:jc w:val="center"/>
              <w:rPr>
                <w:b/>
                <w:bCs/>
                <w:color w:val="000000"/>
                <w:sz w:val="20"/>
                <w:szCs w:val="20"/>
                <w:lang w:val="en-GB" w:eastAsia="en-CA"/>
              </w:rPr>
            </w:pPr>
            <w:r>
              <w:rPr>
                <w:b/>
                <w:bCs/>
                <w:color w:val="000000"/>
                <w:sz w:val="20"/>
                <w:szCs w:val="20"/>
              </w:rPr>
              <w:t>2022</w:t>
            </w:r>
          </w:p>
        </w:tc>
        <w:tc>
          <w:tcPr>
            <w:tcW w:w="681" w:type="pct"/>
            <w:vAlign w:val="center"/>
          </w:tcPr>
          <w:p w14:paraId="1EB55B9A" w14:textId="77777777" w:rsidR="00844FB6" w:rsidRPr="0021315E" w:rsidRDefault="00844FB6" w:rsidP="00891B19">
            <w:pPr>
              <w:keepNext/>
              <w:jc w:val="center"/>
              <w:rPr>
                <w:b/>
                <w:bCs/>
                <w:color w:val="000000" w:themeColor="text1"/>
                <w:sz w:val="20"/>
                <w:szCs w:val="20"/>
                <w:lang w:val="en-GB" w:eastAsia="en-CA"/>
              </w:rPr>
            </w:pPr>
            <w:r>
              <w:rPr>
                <w:b/>
                <w:bCs/>
                <w:color w:val="000000" w:themeColor="text1"/>
                <w:sz w:val="20"/>
                <w:szCs w:val="20"/>
              </w:rPr>
              <w:t>2023</w:t>
            </w:r>
          </w:p>
        </w:tc>
        <w:tc>
          <w:tcPr>
            <w:tcW w:w="681" w:type="pct"/>
            <w:vAlign w:val="center"/>
          </w:tcPr>
          <w:p w14:paraId="586D8A07" w14:textId="3A3AE5AC" w:rsidR="00844FB6" w:rsidRPr="0021315E" w:rsidRDefault="00844FB6" w:rsidP="00891B19">
            <w:pPr>
              <w:keepNext/>
              <w:jc w:val="center"/>
              <w:rPr>
                <w:b/>
                <w:bCs/>
                <w:color w:val="000000" w:themeColor="text1"/>
                <w:sz w:val="20"/>
                <w:szCs w:val="20"/>
                <w:lang w:val="en-GB" w:eastAsia="en-CA"/>
              </w:rPr>
            </w:pPr>
            <w:r>
              <w:rPr>
                <w:b/>
                <w:bCs/>
                <w:color w:val="000000" w:themeColor="text1"/>
                <w:sz w:val="20"/>
                <w:szCs w:val="20"/>
              </w:rPr>
              <w:t>2024</w:t>
            </w:r>
          </w:p>
        </w:tc>
      </w:tr>
      <w:tr w:rsidR="00844FB6" w:rsidRPr="0021315E" w14:paraId="20AAB676" w14:textId="5153A6F1" w:rsidTr="00045E13">
        <w:trPr>
          <w:trHeight w:val="300"/>
        </w:trPr>
        <w:tc>
          <w:tcPr>
            <w:tcW w:w="1589" w:type="pct"/>
            <w:noWrap/>
            <w:vAlign w:val="center"/>
            <w:hideMark/>
          </w:tcPr>
          <w:p w14:paraId="2E283FAB" w14:textId="77777777" w:rsidR="00844FB6" w:rsidRPr="0021315E" w:rsidRDefault="00844FB6" w:rsidP="00891B19">
            <w:pPr>
              <w:keepNext/>
              <w:jc w:val="left"/>
              <w:rPr>
                <w:color w:val="000000"/>
                <w:sz w:val="20"/>
                <w:szCs w:val="20"/>
                <w:lang w:val="en-GB" w:eastAsia="en-CA"/>
              </w:rPr>
            </w:pPr>
            <w:r>
              <w:rPr>
                <w:color w:val="000000"/>
                <w:sz w:val="20"/>
                <w:szCs w:val="20"/>
              </w:rPr>
              <w:t xml:space="preserve">mt </w:t>
            </w:r>
          </w:p>
        </w:tc>
        <w:tc>
          <w:tcPr>
            <w:tcW w:w="683" w:type="pct"/>
            <w:noWrap/>
            <w:vAlign w:val="center"/>
          </w:tcPr>
          <w:p w14:paraId="1F13AB05" w14:textId="1FCCB19A" w:rsidR="00844FB6" w:rsidRPr="0021315E" w:rsidRDefault="00D87BDF" w:rsidP="00891B19">
            <w:pPr>
              <w:keepNext/>
              <w:jc w:val="center"/>
              <w:rPr>
                <w:color w:val="000000"/>
                <w:sz w:val="20"/>
                <w:szCs w:val="20"/>
                <w:lang w:val="en-GB" w:eastAsia="en-CA"/>
              </w:rPr>
            </w:pPr>
            <w:r>
              <w:rPr>
                <w:color w:val="000000"/>
                <w:sz w:val="20"/>
                <w:szCs w:val="20"/>
              </w:rPr>
              <w:t>115,99</w:t>
            </w:r>
          </w:p>
        </w:tc>
        <w:tc>
          <w:tcPr>
            <w:tcW w:w="683" w:type="pct"/>
            <w:noWrap/>
            <w:vAlign w:val="center"/>
          </w:tcPr>
          <w:p w14:paraId="5094B296" w14:textId="6A66CDB5" w:rsidR="00844FB6" w:rsidRPr="0021315E" w:rsidRDefault="003912F8" w:rsidP="00891B19">
            <w:pPr>
              <w:keepNext/>
              <w:jc w:val="center"/>
              <w:rPr>
                <w:color w:val="000000"/>
                <w:sz w:val="20"/>
                <w:szCs w:val="20"/>
                <w:lang w:val="en-GB" w:eastAsia="en-CA"/>
              </w:rPr>
            </w:pPr>
            <w:r>
              <w:rPr>
                <w:color w:val="000000"/>
                <w:sz w:val="20"/>
                <w:szCs w:val="20"/>
              </w:rPr>
              <w:t>136,86</w:t>
            </w:r>
          </w:p>
        </w:tc>
        <w:tc>
          <w:tcPr>
            <w:tcW w:w="683" w:type="pct"/>
            <w:noWrap/>
            <w:vAlign w:val="center"/>
          </w:tcPr>
          <w:p w14:paraId="7394012D" w14:textId="0A9B7971" w:rsidR="00844FB6" w:rsidRPr="0021315E" w:rsidRDefault="003912F8" w:rsidP="00891B19">
            <w:pPr>
              <w:keepNext/>
              <w:jc w:val="center"/>
              <w:rPr>
                <w:color w:val="000000"/>
                <w:sz w:val="20"/>
                <w:szCs w:val="20"/>
                <w:lang w:val="en-GB" w:eastAsia="en-CA"/>
              </w:rPr>
            </w:pPr>
            <w:r>
              <w:rPr>
                <w:color w:val="000000"/>
                <w:sz w:val="20"/>
                <w:szCs w:val="20"/>
              </w:rPr>
              <w:t>172,83</w:t>
            </w:r>
          </w:p>
        </w:tc>
        <w:tc>
          <w:tcPr>
            <w:tcW w:w="681" w:type="pct"/>
            <w:vAlign w:val="center"/>
          </w:tcPr>
          <w:p w14:paraId="0FFE0FA4" w14:textId="49DFD7A0" w:rsidR="00844FB6" w:rsidRPr="0021315E" w:rsidRDefault="003912F8" w:rsidP="00891B19">
            <w:pPr>
              <w:keepNext/>
              <w:jc w:val="center"/>
              <w:rPr>
                <w:color w:val="000000" w:themeColor="text1"/>
                <w:sz w:val="20"/>
                <w:szCs w:val="20"/>
                <w:lang w:val="en-GB" w:eastAsia="en-CA"/>
              </w:rPr>
            </w:pPr>
            <w:r>
              <w:rPr>
                <w:color w:val="000000" w:themeColor="text1"/>
                <w:sz w:val="20"/>
                <w:szCs w:val="20"/>
              </w:rPr>
              <w:t>143,51</w:t>
            </w:r>
          </w:p>
        </w:tc>
        <w:tc>
          <w:tcPr>
            <w:tcW w:w="681" w:type="pct"/>
            <w:vAlign w:val="center"/>
          </w:tcPr>
          <w:p w14:paraId="11384ADD" w14:textId="6595F9B0" w:rsidR="00844FB6" w:rsidRPr="0021315E" w:rsidRDefault="003912F8" w:rsidP="00891B19">
            <w:pPr>
              <w:keepNext/>
              <w:jc w:val="center"/>
              <w:rPr>
                <w:color w:val="000000" w:themeColor="text1"/>
                <w:sz w:val="20"/>
                <w:szCs w:val="20"/>
                <w:lang w:val="en-GB" w:eastAsia="en-CA"/>
              </w:rPr>
            </w:pPr>
            <w:r>
              <w:rPr>
                <w:color w:val="000000" w:themeColor="text1"/>
                <w:sz w:val="20"/>
                <w:szCs w:val="20"/>
              </w:rPr>
              <w:t>129,65</w:t>
            </w:r>
          </w:p>
        </w:tc>
      </w:tr>
      <w:tr w:rsidR="004F7D3A" w:rsidRPr="0021315E" w14:paraId="696B5651" w14:textId="74AB955A" w:rsidTr="00045E13">
        <w:trPr>
          <w:trHeight w:val="300"/>
        </w:trPr>
        <w:tc>
          <w:tcPr>
            <w:tcW w:w="1589" w:type="pct"/>
            <w:noWrap/>
            <w:vAlign w:val="center"/>
          </w:tcPr>
          <w:p w14:paraId="502682F7" w14:textId="77777777" w:rsidR="004F7D3A" w:rsidRPr="0021315E" w:rsidRDefault="004F7D3A" w:rsidP="004F7D3A">
            <w:pPr>
              <w:jc w:val="left"/>
              <w:rPr>
                <w:color w:val="1E1E1E"/>
                <w:sz w:val="20"/>
                <w:szCs w:val="20"/>
                <w:lang w:val="en-GB"/>
              </w:rPr>
            </w:pPr>
            <w:r>
              <w:rPr>
                <w:color w:val="1E1E1E"/>
                <w:sz w:val="20"/>
                <w:szCs w:val="20"/>
              </w:rPr>
              <w:t>t éq. CO</w:t>
            </w:r>
            <w:r w:rsidRPr="00A17FC3">
              <w:rPr>
                <w:color w:val="1E1E1E"/>
                <w:sz w:val="20"/>
                <w:szCs w:val="20"/>
                <w:vertAlign w:val="subscript"/>
              </w:rPr>
              <w:t>2</w:t>
            </w:r>
          </w:p>
        </w:tc>
        <w:tc>
          <w:tcPr>
            <w:tcW w:w="683" w:type="pct"/>
            <w:tcBorders>
              <w:top w:val="single" w:sz="6" w:space="0" w:color="auto"/>
              <w:left w:val="single" w:sz="6" w:space="0" w:color="auto"/>
              <w:bottom w:val="single" w:sz="6" w:space="0" w:color="auto"/>
              <w:right w:val="single" w:sz="6" w:space="0" w:color="auto"/>
            </w:tcBorders>
            <w:noWrap/>
            <w:vAlign w:val="center"/>
          </w:tcPr>
          <w:p w14:paraId="3E18C424" w14:textId="2E86E43D" w:rsidR="004F7D3A" w:rsidRPr="0021315E" w:rsidRDefault="004F7D3A" w:rsidP="004F7D3A">
            <w:pPr>
              <w:jc w:val="center"/>
              <w:rPr>
                <w:color w:val="000000"/>
                <w:sz w:val="20"/>
                <w:szCs w:val="20"/>
                <w:lang w:val="en-GB" w:eastAsia="en-CA"/>
              </w:rPr>
            </w:pPr>
            <w:r>
              <w:rPr>
                <w:rStyle w:val="normaltextrun"/>
                <w:color w:val="000000"/>
                <w:sz w:val="20"/>
                <w:szCs w:val="20"/>
              </w:rPr>
              <w:t>250 376</w:t>
            </w:r>
            <w:r>
              <w:rPr>
                <w:rStyle w:val="eop"/>
                <w:color w:val="000000"/>
                <w:sz w:val="20"/>
                <w:szCs w:val="20"/>
              </w:rPr>
              <w:t> </w:t>
            </w:r>
          </w:p>
        </w:tc>
        <w:tc>
          <w:tcPr>
            <w:tcW w:w="683" w:type="pct"/>
            <w:tcBorders>
              <w:top w:val="single" w:sz="6" w:space="0" w:color="auto"/>
              <w:left w:val="single" w:sz="6" w:space="0" w:color="auto"/>
              <w:bottom w:val="single" w:sz="6" w:space="0" w:color="auto"/>
              <w:right w:val="single" w:sz="6" w:space="0" w:color="auto"/>
            </w:tcBorders>
            <w:noWrap/>
            <w:vAlign w:val="center"/>
          </w:tcPr>
          <w:p w14:paraId="5729746A" w14:textId="07EEC351" w:rsidR="004F7D3A" w:rsidRPr="0021315E" w:rsidRDefault="004F7D3A" w:rsidP="004F7D3A">
            <w:pPr>
              <w:jc w:val="center"/>
              <w:rPr>
                <w:color w:val="000000"/>
                <w:sz w:val="20"/>
                <w:szCs w:val="20"/>
                <w:lang w:val="en-GB" w:eastAsia="en-CA"/>
              </w:rPr>
            </w:pPr>
            <w:r>
              <w:rPr>
                <w:rStyle w:val="normaltextrun"/>
                <w:color w:val="000000"/>
                <w:sz w:val="20"/>
                <w:szCs w:val="20"/>
              </w:rPr>
              <w:t>308 252</w:t>
            </w:r>
            <w:r>
              <w:rPr>
                <w:rStyle w:val="eop"/>
                <w:color w:val="000000"/>
                <w:sz w:val="20"/>
                <w:szCs w:val="20"/>
              </w:rPr>
              <w:t> </w:t>
            </w:r>
          </w:p>
        </w:tc>
        <w:tc>
          <w:tcPr>
            <w:tcW w:w="683" w:type="pct"/>
            <w:tcBorders>
              <w:top w:val="single" w:sz="6" w:space="0" w:color="auto"/>
              <w:left w:val="single" w:sz="6" w:space="0" w:color="auto"/>
              <w:bottom w:val="single" w:sz="6" w:space="0" w:color="auto"/>
              <w:right w:val="single" w:sz="6" w:space="0" w:color="auto"/>
            </w:tcBorders>
            <w:noWrap/>
            <w:vAlign w:val="center"/>
          </w:tcPr>
          <w:p w14:paraId="6C63F074" w14:textId="6DC7B504" w:rsidR="004F7D3A" w:rsidRPr="0021315E" w:rsidRDefault="004F7D3A" w:rsidP="004F7D3A">
            <w:pPr>
              <w:jc w:val="center"/>
              <w:rPr>
                <w:color w:val="000000"/>
                <w:sz w:val="20"/>
                <w:szCs w:val="20"/>
                <w:lang w:val="en-GB" w:eastAsia="en-CA"/>
              </w:rPr>
            </w:pPr>
            <w:r>
              <w:rPr>
                <w:rStyle w:val="normaltextrun"/>
                <w:color w:val="000000"/>
                <w:sz w:val="20"/>
                <w:szCs w:val="20"/>
              </w:rPr>
              <w:t>386 912</w:t>
            </w:r>
            <w:r>
              <w:rPr>
                <w:rStyle w:val="eop"/>
                <w:color w:val="000000"/>
                <w:sz w:val="20"/>
                <w:szCs w:val="20"/>
              </w:rPr>
              <w:t> </w:t>
            </w:r>
          </w:p>
        </w:tc>
        <w:tc>
          <w:tcPr>
            <w:tcW w:w="681" w:type="pct"/>
            <w:vAlign w:val="center"/>
          </w:tcPr>
          <w:p w14:paraId="510C8C33" w14:textId="09DF9854" w:rsidR="004F7D3A" w:rsidRPr="0021315E" w:rsidRDefault="002D54A8" w:rsidP="004F7D3A">
            <w:pPr>
              <w:jc w:val="center"/>
              <w:rPr>
                <w:color w:val="000000" w:themeColor="text1"/>
                <w:sz w:val="20"/>
                <w:szCs w:val="20"/>
                <w:lang w:val="en-GB" w:eastAsia="en-CA"/>
              </w:rPr>
            </w:pPr>
            <w:r>
              <w:rPr>
                <w:color w:val="000000" w:themeColor="text1"/>
                <w:sz w:val="20"/>
                <w:szCs w:val="20"/>
              </w:rPr>
              <w:t>298 480</w:t>
            </w:r>
          </w:p>
        </w:tc>
        <w:tc>
          <w:tcPr>
            <w:tcW w:w="681" w:type="pct"/>
            <w:vAlign w:val="center"/>
          </w:tcPr>
          <w:p w14:paraId="758D9B46" w14:textId="42C98DD2" w:rsidR="004F7D3A" w:rsidRPr="0021315E" w:rsidRDefault="002D54A8" w:rsidP="004F7D3A">
            <w:pPr>
              <w:jc w:val="center"/>
              <w:rPr>
                <w:color w:val="000000" w:themeColor="text1"/>
                <w:sz w:val="20"/>
                <w:szCs w:val="20"/>
                <w:lang w:val="en-GB" w:eastAsia="en-CA"/>
              </w:rPr>
            </w:pPr>
            <w:r>
              <w:rPr>
                <w:color w:val="000000" w:themeColor="text1"/>
                <w:sz w:val="20"/>
                <w:szCs w:val="20"/>
              </w:rPr>
              <w:t>271 158</w:t>
            </w:r>
          </w:p>
        </w:tc>
      </w:tr>
    </w:tbl>
    <w:p w14:paraId="7540847C" w14:textId="02693F8E" w:rsidR="00891B19" w:rsidRPr="00BC77EA" w:rsidRDefault="00DA4779" w:rsidP="001B1B89">
      <w:pPr>
        <w:numPr>
          <w:ilvl w:val="0"/>
          <w:numId w:val="1"/>
        </w:numPr>
        <w:spacing w:before="240" w:after="240"/>
        <w:outlineLvl w:val="0"/>
      </w:pPr>
      <w:r>
        <w:t xml:space="preserve">La Sierra Leone importe uniquement des HFC destinés à être utilisés dans le secteur de l'entretien des équipements de réfrigération et de climatisation. Comme indiqué dans le KIP, en 2022, le sous-secteur de la réfrigération à usage commercial était le sous-secteur qui consommait le plus de HFC en tonnes d'équivalent </w:t>
      </w:r>
      <w:r w:rsidR="00D623AF">
        <w:t>CO</w:t>
      </w:r>
      <w:r w:rsidR="00D623AF">
        <w:rPr>
          <w:vertAlign w:val="subscript"/>
        </w:rPr>
        <w:t>2</w:t>
      </w:r>
      <w:r>
        <w:t xml:space="preserve"> (119 952 t éq. CO</w:t>
      </w:r>
      <w:r>
        <w:rPr>
          <w:vertAlign w:val="subscript"/>
        </w:rPr>
        <w:t>2</w:t>
      </w:r>
      <w:r>
        <w:t xml:space="preserve">), soit 31 % de la consommation totale de HFC en tonnes équivalent </w:t>
      </w:r>
      <w:r w:rsidR="00D623AF">
        <w:t>CO</w:t>
      </w:r>
      <w:r w:rsidR="00D623AF">
        <w:rPr>
          <w:vertAlign w:val="subscript"/>
        </w:rPr>
        <w:t>2</w:t>
      </w:r>
      <w:r w:rsidR="00D623AF">
        <w:rPr>
          <w:sz w:val="32"/>
          <w:szCs w:val="32"/>
          <w:vertAlign w:val="subscript"/>
        </w:rPr>
        <w:t>.</w:t>
      </w:r>
    </w:p>
    <w:p w14:paraId="72D3E782" w14:textId="441F9C65" w:rsidR="0015285E" w:rsidRDefault="0015285E" w:rsidP="00D623AF">
      <w:pPr>
        <w:numPr>
          <w:ilvl w:val="0"/>
          <w:numId w:val="1"/>
        </w:numPr>
        <w:spacing w:after="120"/>
        <w:outlineLvl w:val="0"/>
      </w:pPr>
      <w:bookmarkStart w:id="4" w:name="_Hlk126662278"/>
      <w:bookmarkStart w:id="5" w:name="_Hlk126934445"/>
      <w:r>
        <w:t>Le secteur des supermarchés en Sierra Leone connaît une croissance régulière, stimulée par l'urbanisation rapide des grandes villes et soutenue par l'essor d'une classe moyenne à la recherche d'une expérience d'achat plus organisée. On estime actuellement à 39 le nombre de supermarchés (grandes et moyennes surfaces) dans le pays, ce qui représente une augmentation d'environ 8,33 % par rapport à 2023. Le secteur comprend une combinaison de points de vente individuels et de nombreux supermarchés de petites et moyennes surfaces, ainsi que quelques chaînes plus importantes. Les systèmes de réfrigération utilisés dans ces supermarchés sont généralement constitués de modules enfichables dont la puissance frigorifique varie entre 40 kW et 60 kW. Les HFC sont les frigorigènes les plus couramment utilisés dans ces systèmes, en particulier le R-404A et le HFC-134a.</w:t>
      </w:r>
    </w:p>
    <w:p w14:paraId="153392F5" w14:textId="03DFAA03" w:rsidR="00891B19" w:rsidRPr="006B24BC" w:rsidRDefault="00891B19" w:rsidP="00D623AF">
      <w:pPr>
        <w:spacing w:after="120"/>
        <w:outlineLvl w:val="0"/>
        <w:rPr>
          <w:u w:val="single"/>
          <w:lang w:val="en-GB"/>
        </w:rPr>
      </w:pPr>
      <w:r>
        <w:rPr>
          <w:u w:val="single"/>
        </w:rPr>
        <w:t xml:space="preserve">Objectif du projet </w:t>
      </w:r>
    </w:p>
    <w:p w14:paraId="76998928" w14:textId="2BF97B5E" w:rsidR="00891B19" w:rsidRPr="00D623AF" w:rsidRDefault="00891B19" w:rsidP="00D623AF">
      <w:pPr>
        <w:numPr>
          <w:ilvl w:val="0"/>
          <w:numId w:val="1"/>
        </w:numPr>
        <w:spacing w:after="120"/>
        <w:outlineLvl w:val="0"/>
        <w:rPr>
          <w:lang w:val="fr-FR"/>
        </w:rPr>
      </w:pPr>
      <w:r>
        <w:t>Le projet pilote vise à démontrer les performances et le rendement énergétique d'un supermarché utilisant exclusivement un frigorigène à base d'hydrocarbures (HC) en Sierra Leone et, de manière générale, à améliorer le déploiement d'appareils de réfrigération commerciale à haut rendement énergétique utilisant un frigorigène à faible potentiel de réchauffement de la planète (PRP).</w:t>
      </w:r>
      <w:r>
        <w:rPr>
          <w:rStyle w:val="normaltextrun"/>
          <w:color w:val="000000"/>
          <w:shd w:val="clear" w:color="auto" w:fill="FFFFFF"/>
        </w:rPr>
        <w:t xml:space="preserve"> Ceci s'inscrit dans la stratégie à long terme du KIP qui consiste à faciliter l'adoption de solutions de remplacement éco-énergétiques à faible PRP dans les applications de réfrigération à usage commercial.</w:t>
      </w:r>
      <w:r>
        <w:rPr>
          <w:rStyle w:val="eop"/>
          <w:color w:val="000000"/>
          <w:shd w:val="clear" w:color="auto" w:fill="FFFFFF"/>
        </w:rPr>
        <w:t xml:space="preserve"> Le projet propose également l'élaboration de MEPS pour les appareils de réfrigération commerciale. </w:t>
      </w:r>
      <w:r>
        <w:t xml:space="preserve">Une fois le projet pilote entièrement développé, la Sierra Leone disposera du premier supermarché bien établi et à haut rendement énergétique utilisant une technologie 100 % HC. </w:t>
      </w:r>
    </w:p>
    <w:p w14:paraId="288DEBB8" w14:textId="77777777" w:rsidR="00891B19" w:rsidRPr="004F0B54" w:rsidRDefault="00891B19" w:rsidP="00D623AF">
      <w:pPr>
        <w:keepNext/>
        <w:spacing w:after="120"/>
        <w:rPr>
          <w:lang w:val="en-GB"/>
        </w:rPr>
      </w:pPr>
      <w:r>
        <w:rPr>
          <w:u w:val="single"/>
        </w:rPr>
        <w:t>Activités proposées</w:t>
      </w:r>
      <w:r>
        <w:t xml:space="preserve"> </w:t>
      </w:r>
    </w:p>
    <w:p w14:paraId="2449227F" w14:textId="45466494" w:rsidR="001E02CA" w:rsidRPr="00D623AF" w:rsidRDefault="004F0B54" w:rsidP="00D623AF">
      <w:pPr>
        <w:pStyle w:val="Heading1"/>
        <w:spacing w:after="120"/>
        <w:rPr>
          <w:lang w:val="fr-FR"/>
        </w:rPr>
      </w:pPr>
      <w:r>
        <w:t>Les activités et la ventilation des coûts associés (telles que présentées initialement) sont décrites ci-dessous.</w:t>
      </w:r>
    </w:p>
    <w:p w14:paraId="43DB073F" w14:textId="12C1B1A4" w:rsidR="006452AF" w:rsidRPr="00D623AF" w:rsidRDefault="006452AF" w:rsidP="00440574">
      <w:pPr>
        <w:rPr>
          <w:b/>
          <w:bCs/>
          <w:lang w:val="fr-FR"/>
        </w:rPr>
      </w:pPr>
      <w:r>
        <w:rPr>
          <w:b/>
          <w:bCs/>
        </w:rPr>
        <w:t>Tableau 2. Budget total du projet et ventilation des sources de financement, tels que présentés</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96"/>
        <w:gridCol w:w="1134"/>
        <w:gridCol w:w="1134"/>
        <w:gridCol w:w="988"/>
      </w:tblGrid>
      <w:tr w:rsidR="001E02CA" w:rsidRPr="00D73D50" w14:paraId="12DD4C72" w14:textId="77777777" w:rsidTr="00440574">
        <w:trPr>
          <w:trHeight w:val="555"/>
          <w:tblHeader/>
        </w:trPr>
        <w:tc>
          <w:tcPr>
            <w:tcW w:w="6096" w:type="dxa"/>
            <w:tcBorders>
              <w:bottom w:val="single" w:sz="4" w:space="0" w:color="auto"/>
            </w:tcBorders>
            <w:shd w:val="clear" w:color="auto" w:fill="FFFFFF" w:themeFill="background1"/>
            <w:tcMar>
              <w:left w:w="105" w:type="dxa"/>
              <w:right w:w="105" w:type="dxa"/>
            </w:tcMar>
            <w:vAlign w:val="center"/>
          </w:tcPr>
          <w:p w14:paraId="24BD1D42" w14:textId="77777777" w:rsidR="001E02CA" w:rsidRPr="00325D5F" w:rsidRDefault="001E02CA" w:rsidP="00853C07">
            <w:pPr>
              <w:jc w:val="center"/>
              <w:rPr>
                <w:b/>
                <w:bCs/>
                <w:color w:val="000000" w:themeColor="text1"/>
                <w:sz w:val="20"/>
                <w:szCs w:val="20"/>
                <w:lang w:val="en-GB"/>
              </w:rPr>
            </w:pPr>
            <w:r>
              <w:rPr>
                <w:b/>
                <w:bCs/>
                <w:color w:val="000000" w:themeColor="text1"/>
                <w:sz w:val="20"/>
                <w:szCs w:val="20"/>
              </w:rPr>
              <w:t>Point</w:t>
            </w:r>
          </w:p>
        </w:tc>
        <w:tc>
          <w:tcPr>
            <w:tcW w:w="1134" w:type="dxa"/>
            <w:tcBorders>
              <w:bottom w:val="single" w:sz="4" w:space="0" w:color="auto"/>
            </w:tcBorders>
            <w:shd w:val="clear" w:color="auto" w:fill="FFFFFF" w:themeFill="background1"/>
            <w:tcMar>
              <w:left w:w="105" w:type="dxa"/>
              <w:right w:w="105" w:type="dxa"/>
            </w:tcMar>
            <w:vAlign w:val="center"/>
          </w:tcPr>
          <w:p w14:paraId="06182C85" w14:textId="77777777" w:rsidR="001E02CA" w:rsidRPr="00325D5F" w:rsidRDefault="001E02CA" w:rsidP="00853C07">
            <w:pPr>
              <w:jc w:val="center"/>
              <w:rPr>
                <w:b/>
                <w:bCs/>
                <w:color w:val="000000" w:themeColor="text1"/>
                <w:sz w:val="20"/>
                <w:szCs w:val="20"/>
                <w:lang w:val="en-GB"/>
              </w:rPr>
            </w:pPr>
            <w:r>
              <w:rPr>
                <w:b/>
                <w:bCs/>
                <w:color w:val="000000" w:themeColor="text1"/>
                <w:sz w:val="20"/>
                <w:szCs w:val="20"/>
              </w:rPr>
              <w:t>Total</w:t>
            </w:r>
          </w:p>
          <w:p w14:paraId="68709EFD" w14:textId="4D9BF98A" w:rsidR="001E02CA" w:rsidRPr="00325D5F" w:rsidRDefault="001E02CA" w:rsidP="00853C07">
            <w:pPr>
              <w:jc w:val="center"/>
              <w:rPr>
                <w:color w:val="000000" w:themeColor="text1"/>
                <w:sz w:val="20"/>
                <w:szCs w:val="20"/>
                <w:lang w:val="en-GB"/>
              </w:rPr>
            </w:pPr>
            <w:r>
              <w:rPr>
                <w:b/>
                <w:bCs/>
                <w:color w:val="000000" w:themeColor="text1"/>
                <w:sz w:val="20"/>
                <w:szCs w:val="20"/>
              </w:rPr>
              <w:t xml:space="preserve"> (en </w:t>
            </w:r>
            <w:r>
              <w:rPr>
                <w:b/>
                <w:bCs/>
                <w:sz w:val="20"/>
              </w:rPr>
              <w:t>$US</w:t>
            </w:r>
            <w:r>
              <w:rPr>
                <w:b/>
                <w:bCs/>
                <w:color w:val="000000" w:themeColor="text1"/>
                <w:sz w:val="20"/>
                <w:szCs w:val="20"/>
              </w:rPr>
              <w:t>)</w:t>
            </w:r>
          </w:p>
        </w:tc>
        <w:tc>
          <w:tcPr>
            <w:tcW w:w="1134" w:type="dxa"/>
            <w:tcBorders>
              <w:bottom w:val="single" w:sz="4" w:space="0" w:color="auto"/>
            </w:tcBorders>
            <w:shd w:val="clear" w:color="auto" w:fill="FFFFFF" w:themeFill="background1"/>
            <w:tcMar>
              <w:left w:w="105" w:type="dxa"/>
              <w:right w:w="105" w:type="dxa"/>
            </w:tcMar>
            <w:vAlign w:val="center"/>
          </w:tcPr>
          <w:p w14:paraId="43904459" w14:textId="77777777" w:rsidR="001E02CA" w:rsidRPr="00D623AF" w:rsidRDefault="001E02CA" w:rsidP="00853C07">
            <w:pPr>
              <w:jc w:val="center"/>
              <w:rPr>
                <w:b/>
                <w:bCs/>
                <w:color w:val="000000" w:themeColor="text1"/>
                <w:sz w:val="20"/>
                <w:szCs w:val="20"/>
                <w:lang w:val="fr-FR"/>
              </w:rPr>
            </w:pPr>
            <w:r>
              <w:rPr>
                <w:b/>
                <w:bCs/>
                <w:color w:val="000000" w:themeColor="text1"/>
                <w:sz w:val="20"/>
                <w:szCs w:val="20"/>
              </w:rPr>
              <w:t>Financement du MLF</w:t>
            </w:r>
          </w:p>
          <w:p w14:paraId="109AEE84" w14:textId="77777777" w:rsidR="001E02CA" w:rsidRPr="00D623AF" w:rsidRDefault="001E02CA" w:rsidP="00853C07">
            <w:pPr>
              <w:jc w:val="center"/>
              <w:rPr>
                <w:color w:val="000000" w:themeColor="text1"/>
                <w:sz w:val="20"/>
                <w:szCs w:val="20"/>
                <w:lang w:val="fr-FR"/>
              </w:rPr>
            </w:pPr>
            <w:r>
              <w:rPr>
                <w:b/>
                <w:bCs/>
                <w:color w:val="000000" w:themeColor="text1"/>
                <w:sz w:val="20"/>
                <w:szCs w:val="20"/>
              </w:rPr>
              <w:t>(en $US)</w:t>
            </w:r>
          </w:p>
        </w:tc>
        <w:tc>
          <w:tcPr>
            <w:tcW w:w="988" w:type="dxa"/>
            <w:tcBorders>
              <w:bottom w:val="single" w:sz="4" w:space="0" w:color="auto"/>
            </w:tcBorders>
            <w:shd w:val="clear" w:color="auto" w:fill="FFFFFF" w:themeFill="background1"/>
            <w:tcMar>
              <w:left w:w="105" w:type="dxa"/>
              <w:right w:w="105" w:type="dxa"/>
            </w:tcMar>
            <w:vAlign w:val="center"/>
          </w:tcPr>
          <w:p w14:paraId="22BCEBD0" w14:textId="6E461353" w:rsidR="001E02CA" w:rsidRPr="00325D5F" w:rsidRDefault="001E02CA" w:rsidP="00853C07">
            <w:pPr>
              <w:jc w:val="center"/>
              <w:rPr>
                <w:b/>
                <w:bCs/>
                <w:color w:val="000000" w:themeColor="text1"/>
                <w:sz w:val="20"/>
                <w:szCs w:val="20"/>
                <w:lang w:val="en-GB"/>
              </w:rPr>
            </w:pPr>
            <w:r>
              <w:rPr>
                <w:b/>
                <w:bCs/>
                <w:color w:val="000000" w:themeColor="text1"/>
                <w:sz w:val="20"/>
                <w:szCs w:val="20"/>
              </w:rPr>
              <w:t>Cofinancement*</w:t>
            </w:r>
          </w:p>
          <w:p w14:paraId="44AF4455" w14:textId="77777777" w:rsidR="001E02CA" w:rsidRPr="00325D5F" w:rsidRDefault="001E02CA" w:rsidP="00853C07">
            <w:pPr>
              <w:jc w:val="center"/>
              <w:rPr>
                <w:color w:val="000000" w:themeColor="text1"/>
                <w:sz w:val="20"/>
                <w:szCs w:val="20"/>
                <w:lang w:val="en-GB"/>
              </w:rPr>
            </w:pPr>
            <w:r>
              <w:rPr>
                <w:b/>
                <w:bCs/>
                <w:color w:val="000000" w:themeColor="text1"/>
                <w:sz w:val="20"/>
                <w:szCs w:val="20"/>
              </w:rPr>
              <w:t>(en $US)</w:t>
            </w:r>
          </w:p>
        </w:tc>
      </w:tr>
      <w:tr w:rsidR="007077C4" w:rsidRPr="00D54082" w14:paraId="743FA676" w14:textId="77777777" w:rsidTr="00440574">
        <w:trPr>
          <w:trHeight w:val="270"/>
        </w:trPr>
        <w:tc>
          <w:tcPr>
            <w:tcW w:w="9352" w:type="dxa"/>
            <w:gridSpan w:val="4"/>
            <w:tcBorders>
              <w:bottom w:val="single" w:sz="4" w:space="0" w:color="auto"/>
              <w:right w:val="single" w:sz="4" w:space="0" w:color="auto"/>
            </w:tcBorders>
            <w:tcMar>
              <w:left w:w="105" w:type="dxa"/>
              <w:right w:w="105" w:type="dxa"/>
            </w:tcMar>
            <w:vAlign w:val="center"/>
          </w:tcPr>
          <w:p w14:paraId="35F4326F" w14:textId="546387DF" w:rsidR="007077C4" w:rsidRPr="007077C4" w:rsidRDefault="007077C4" w:rsidP="007077C4">
            <w:pPr>
              <w:pStyle w:val="ListParagraph"/>
              <w:numPr>
                <w:ilvl w:val="0"/>
                <w:numId w:val="37"/>
              </w:numPr>
              <w:rPr>
                <w:color w:val="000000" w:themeColor="text1"/>
                <w:sz w:val="20"/>
                <w:szCs w:val="20"/>
              </w:rPr>
            </w:pPr>
            <w:r>
              <w:rPr>
                <w:b/>
                <w:bCs/>
                <w:i/>
                <w:iCs/>
                <w:color w:val="000000" w:themeColor="text1"/>
                <w:sz w:val="20"/>
                <w:szCs w:val="20"/>
              </w:rPr>
              <w:t>Remplacement des appareils de réfrigération à base de HFC par des appareils à base de R-290 dans le supermarché Freetown Mall</w:t>
            </w:r>
          </w:p>
        </w:tc>
      </w:tr>
      <w:tr w:rsidR="007077C4" w:rsidRPr="00D54082" w14:paraId="2724467C" w14:textId="77777777" w:rsidTr="00440574">
        <w:trPr>
          <w:trHeight w:val="1449"/>
        </w:trPr>
        <w:tc>
          <w:tcPr>
            <w:tcW w:w="6096" w:type="dxa"/>
            <w:tcBorders>
              <w:top w:val="single" w:sz="4" w:space="0" w:color="auto"/>
              <w:right w:val="single" w:sz="4" w:space="0" w:color="auto"/>
            </w:tcBorders>
            <w:tcMar>
              <w:left w:w="105" w:type="dxa"/>
              <w:right w:w="105" w:type="dxa"/>
            </w:tcMar>
            <w:vAlign w:val="center"/>
          </w:tcPr>
          <w:p w14:paraId="411D585E" w14:textId="61272860" w:rsidR="007077C4" w:rsidRPr="00D623AF" w:rsidRDefault="007077C4" w:rsidP="007077C4">
            <w:pPr>
              <w:pStyle w:val="Heading1"/>
              <w:numPr>
                <w:ilvl w:val="0"/>
                <w:numId w:val="0"/>
              </w:numPr>
              <w:spacing w:after="0"/>
              <w:rPr>
                <w:sz w:val="20"/>
                <w:szCs w:val="20"/>
                <w:lang w:val="fr-FR"/>
              </w:rPr>
            </w:pPr>
            <w:r>
              <w:rPr>
                <w:sz w:val="20"/>
                <w:szCs w:val="20"/>
              </w:rPr>
              <w:t>Achat d'appareils fonctionnant au R-290</w:t>
            </w:r>
            <w:r>
              <w:rPr>
                <w:rStyle w:val="FootnoteReference"/>
                <w:sz w:val="20"/>
                <w:szCs w:val="20"/>
              </w:rPr>
              <w:footnoteReference w:id="7"/>
            </w:r>
            <w:r>
              <w:rPr>
                <w:sz w:val="20"/>
                <w:szCs w:val="20"/>
              </w:rPr>
              <w:t xml:space="preserve"> (vitrines réfrigérées et congélateurs, armoires réfrigérées pour bouteilles et légumes, machines à glaçons et armoires réfrigérées pour viande suspendue), expédition, certification, inspection avant expédition et dédouanement des achats internationaux, imprévus (Gouvernement du Royaume-Uni) (210 836 $US) ;</w:t>
            </w:r>
          </w:p>
          <w:p w14:paraId="7492A77D" w14:textId="3FA33E5E" w:rsidR="007077C4" w:rsidRPr="00D623AF" w:rsidRDefault="007077C4" w:rsidP="007077C4">
            <w:pPr>
              <w:pStyle w:val="Heading1"/>
              <w:numPr>
                <w:ilvl w:val="0"/>
                <w:numId w:val="0"/>
              </w:numPr>
              <w:spacing w:after="0"/>
              <w:rPr>
                <w:sz w:val="20"/>
                <w:szCs w:val="20"/>
                <w:lang w:val="fr-FR"/>
              </w:rPr>
            </w:pPr>
            <w:r>
              <w:rPr>
                <w:sz w:val="20"/>
                <w:szCs w:val="20"/>
              </w:rPr>
              <w:lastRenderedPageBreak/>
              <w:t>Suppression de l'ancien système de réfrigération, y compris la récupération des anciens frigorigènes, l'installation, la tuyauterie et les travaux électriques (bénéficiaire) (12 000 $US) ;</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9306F74" w14:textId="56885A68" w:rsidR="007077C4" w:rsidRPr="00325D5F" w:rsidRDefault="007077C4" w:rsidP="007077C4">
            <w:pPr>
              <w:jc w:val="right"/>
              <w:rPr>
                <w:color w:val="000000"/>
                <w:sz w:val="20"/>
                <w:szCs w:val="20"/>
                <w:lang w:val="es-MX"/>
              </w:rPr>
            </w:pPr>
            <w:r>
              <w:rPr>
                <w:color w:val="000000"/>
                <w:sz w:val="20"/>
                <w:szCs w:val="20"/>
              </w:rPr>
              <w:lastRenderedPageBreak/>
              <w:t>222 836</w:t>
            </w:r>
          </w:p>
        </w:tc>
        <w:tc>
          <w:tcPr>
            <w:tcW w:w="1134"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2309786" w14:textId="08A4BFD3" w:rsidR="007077C4" w:rsidRPr="00325D5F" w:rsidRDefault="007077C4" w:rsidP="007077C4">
            <w:pPr>
              <w:jc w:val="right"/>
              <w:rPr>
                <w:color w:val="000000" w:themeColor="text1"/>
                <w:sz w:val="20"/>
                <w:szCs w:val="20"/>
                <w:lang w:val="en-GB"/>
              </w:rPr>
            </w:pPr>
            <w:r>
              <w:rPr>
                <w:color w:val="000000" w:themeColor="text1"/>
                <w:sz w:val="20"/>
                <w:szCs w:val="20"/>
              </w:rPr>
              <w:t>210 836</w:t>
            </w:r>
          </w:p>
        </w:tc>
        <w:tc>
          <w:tcPr>
            <w:tcW w:w="98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D31B61C" w14:textId="6B3F4F83" w:rsidR="007077C4" w:rsidRPr="00325D5F" w:rsidRDefault="007077C4" w:rsidP="007077C4">
            <w:pPr>
              <w:jc w:val="right"/>
              <w:rPr>
                <w:color w:val="000000" w:themeColor="text1"/>
                <w:sz w:val="20"/>
                <w:szCs w:val="20"/>
                <w:lang w:val="en-GB"/>
              </w:rPr>
            </w:pPr>
            <w:r>
              <w:rPr>
                <w:color w:val="000000" w:themeColor="text1"/>
                <w:sz w:val="20"/>
                <w:szCs w:val="20"/>
              </w:rPr>
              <w:t>12 000</w:t>
            </w:r>
          </w:p>
        </w:tc>
      </w:tr>
      <w:tr w:rsidR="007077C4" w:rsidRPr="00D73D50" w14:paraId="5C02CE8D" w14:textId="77777777" w:rsidTr="00853C07">
        <w:trPr>
          <w:trHeight w:val="42"/>
        </w:trPr>
        <w:tc>
          <w:tcPr>
            <w:tcW w:w="9352" w:type="dxa"/>
            <w:gridSpan w:val="4"/>
            <w:tcBorders>
              <w:right w:val="single" w:sz="4" w:space="0" w:color="auto"/>
            </w:tcBorders>
            <w:tcMar>
              <w:left w:w="105" w:type="dxa"/>
              <w:right w:w="105" w:type="dxa"/>
            </w:tcMar>
            <w:vAlign w:val="center"/>
          </w:tcPr>
          <w:p w14:paraId="35B0D5B2" w14:textId="3908287D" w:rsidR="007077C4" w:rsidRPr="0089118F" w:rsidRDefault="007077C4" w:rsidP="00B641DF">
            <w:pPr>
              <w:pStyle w:val="ListParagraph"/>
              <w:keepNext/>
              <w:numPr>
                <w:ilvl w:val="0"/>
                <w:numId w:val="37"/>
              </w:numPr>
              <w:jc w:val="left"/>
              <w:rPr>
                <w:b/>
                <w:bCs/>
                <w:i/>
                <w:iCs/>
                <w:color w:val="000000"/>
                <w:sz w:val="20"/>
                <w:szCs w:val="20"/>
                <w:lang w:val="es-MX"/>
              </w:rPr>
            </w:pPr>
            <w:r>
              <w:rPr>
                <w:b/>
                <w:bCs/>
                <w:i/>
                <w:iCs/>
                <w:color w:val="000000" w:themeColor="text1"/>
                <w:sz w:val="20"/>
                <w:szCs w:val="20"/>
              </w:rPr>
              <w:t>Assistance technique</w:t>
            </w:r>
          </w:p>
        </w:tc>
      </w:tr>
      <w:tr w:rsidR="007077C4" w:rsidRPr="00D73D50" w14:paraId="6E46DE60" w14:textId="77777777" w:rsidTr="00077925">
        <w:trPr>
          <w:trHeight w:val="96"/>
        </w:trPr>
        <w:tc>
          <w:tcPr>
            <w:tcW w:w="6096" w:type="dxa"/>
            <w:tcMar>
              <w:left w:w="105" w:type="dxa"/>
              <w:right w:w="105" w:type="dxa"/>
            </w:tcMar>
            <w:vAlign w:val="center"/>
          </w:tcPr>
          <w:p w14:paraId="09C7BD31" w14:textId="6A209DBA" w:rsidR="007077C4" w:rsidRPr="007A04FF" w:rsidRDefault="007077C4" w:rsidP="00B641DF">
            <w:pPr>
              <w:keepNext/>
              <w:rPr>
                <w:color w:val="000000"/>
                <w:sz w:val="20"/>
                <w:szCs w:val="20"/>
              </w:rPr>
            </w:pPr>
            <w:r>
              <w:rPr>
                <w:color w:val="000000" w:themeColor="text1"/>
                <w:sz w:val="20"/>
                <w:szCs w:val="20"/>
              </w:rPr>
              <w:t>Consultants techniques locaux et internationaux pour la mise en œuvre et la coordination du projet (Gouvernement du Royaume-Uni) (25 000 $US) ;</w:t>
            </w:r>
          </w:p>
          <w:p w14:paraId="72BADC99" w14:textId="2EB58764" w:rsidR="007077C4" w:rsidRPr="007A04FF" w:rsidRDefault="007077C4" w:rsidP="00B641DF">
            <w:pPr>
              <w:keepNext/>
              <w:rPr>
                <w:color w:val="000000"/>
                <w:sz w:val="20"/>
                <w:szCs w:val="20"/>
              </w:rPr>
            </w:pPr>
            <w:r>
              <w:rPr>
                <w:color w:val="000000" w:themeColor="text1"/>
                <w:sz w:val="20"/>
                <w:szCs w:val="20"/>
              </w:rPr>
              <w:t>Accompagnement du personnel pour la mise en œuvre, le suivi et la communication des résultats du projet, l'analyse et la diffusion des résultats ; et démonstration de la technologie à diverses parties prenantes, à l'administration et à la direction (bénéficiaire) (11 500 $US)</w:t>
            </w:r>
          </w:p>
        </w:tc>
        <w:tc>
          <w:tcPr>
            <w:tcW w:w="1134" w:type="dxa"/>
            <w:tcMar>
              <w:left w:w="105" w:type="dxa"/>
              <w:right w:w="105" w:type="dxa"/>
            </w:tcMar>
            <w:vAlign w:val="center"/>
          </w:tcPr>
          <w:p w14:paraId="13401024" w14:textId="4D473470" w:rsidR="007077C4" w:rsidRPr="00325D5F" w:rsidRDefault="007077C4" w:rsidP="00B641DF">
            <w:pPr>
              <w:keepNext/>
              <w:jc w:val="right"/>
              <w:rPr>
                <w:color w:val="000000"/>
                <w:sz w:val="20"/>
                <w:szCs w:val="20"/>
                <w:lang w:val="es-MX"/>
              </w:rPr>
            </w:pPr>
            <w:r>
              <w:rPr>
                <w:color w:val="000000"/>
                <w:sz w:val="20"/>
                <w:szCs w:val="20"/>
              </w:rPr>
              <w:t>36 500</w:t>
            </w:r>
          </w:p>
        </w:tc>
        <w:tc>
          <w:tcPr>
            <w:tcW w:w="1134" w:type="dxa"/>
            <w:tcMar>
              <w:left w:w="105" w:type="dxa"/>
              <w:right w:w="105" w:type="dxa"/>
            </w:tcMar>
            <w:vAlign w:val="center"/>
          </w:tcPr>
          <w:p w14:paraId="1BB7FBBD" w14:textId="10087DD0" w:rsidR="007077C4" w:rsidRPr="00325D5F" w:rsidRDefault="007077C4" w:rsidP="00B641DF">
            <w:pPr>
              <w:keepNext/>
              <w:jc w:val="right"/>
              <w:rPr>
                <w:color w:val="000000"/>
                <w:sz w:val="20"/>
                <w:szCs w:val="20"/>
                <w:lang w:val="es-MX"/>
              </w:rPr>
            </w:pPr>
            <w:r>
              <w:rPr>
                <w:color w:val="000000"/>
                <w:sz w:val="20"/>
                <w:szCs w:val="20"/>
              </w:rPr>
              <w:t>25 000</w:t>
            </w:r>
          </w:p>
        </w:tc>
        <w:tc>
          <w:tcPr>
            <w:tcW w:w="988" w:type="dxa"/>
            <w:tcBorders>
              <w:top w:val="single" w:sz="4" w:space="0" w:color="auto"/>
            </w:tcBorders>
            <w:tcMar>
              <w:left w:w="105" w:type="dxa"/>
              <w:right w:w="105" w:type="dxa"/>
            </w:tcMar>
            <w:vAlign w:val="center"/>
          </w:tcPr>
          <w:p w14:paraId="7C414026" w14:textId="1C65B145" w:rsidR="007077C4" w:rsidRPr="00325D5F" w:rsidRDefault="007077C4" w:rsidP="00B641DF">
            <w:pPr>
              <w:keepNext/>
              <w:jc w:val="right"/>
              <w:rPr>
                <w:color w:val="000000"/>
                <w:sz w:val="20"/>
                <w:szCs w:val="20"/>
                <w:lang w:val="es-MX"/>
              </w:rPr>
            </w:pPr>
            <w:r>
              <w:rPr>
                <w:color w:val="000000"/>
                <w:sz w:val="20"/>
                <w:szCs w:val="20"/>
              </w:rPr>
              <w:t>11 500</w:t>
            </w:r>
          </w:p>
        </w:tc>
      </w:tr>
      <w:tr w:rsidR="007077C4" w:rsidRPr="00D73D50" w14:paraId="5C230FFB" w14:textId="77777777" w:rsidTr="00292EEE">
        <w:trPr>
          <w:trHeight w:val="93"/>
        </w:trPr>
        <w:tc>
          <w:tcPr>
            <w:tcW w:w="9352" w:type="dxa"/>
            <w:gridSpan w:val="4"/>
            <w:tcMar>
              <w:left w:w="105" w:type="dxa"/>
              <w:right w:w="105" w:type="dxa"/>
            </w:tcMar>
            <w:vAlign w:val="center"/>
          </w:tcPr>
          <w:p w14:paraId="7EDF6B44" w14:textId="6E97864F" w:rsidR="007077C4" w:rsidRPr="00D623AF" w:rsidRDefault="007077C4" w:rsidP="0089118F">
            <w:pPr>
              <w:pStyle w:val="ListParagraph"/>
              <w:numPr>
                <w:ilvl w:val="0"/>
                <w:numId w:val="37"/>
              </w:numPr>
              <w:jc w:val="left"/>
              <w:rPr>
                <w:b/>
                <w:bCs/>
                <w:i/>
                <w:iCs/>
                <w:color w:val="000000"/>
                <w:sz w:val="20"/>
                <w:szCs w:val="20"/>
                <w:lang w:val="fr-FR"/>
              </w:rPr>
            </w:pPr>
            <w:r>
              <w:rPr>
                <w:b/>
                <w:bCs/>
                <w:i/>
                <w:iCs/>
                <w:color w:val="000000"/>
                <w:sz w:val="20"/>
                <w:szCs w:val="20"/>
              </w:rPr>
              <w:t>Élaboration de MEPS et d'étiquettes pour les réfrigérateurs commerciaux</w:t>
            </w:r>
          </w:p>
        </w:tc>
      </w:tr>
      <w:tr w:rsidR="007077C4" w:rsidRPr="00D73D50" w14:paraId="7F6426F0" w14:textId="77777777" w:rsidTr="00B641DF">
        <w:trPr>
          <w:trHeight w:val="93"/>
        </w:trPr>
        <w:tc>
          <w:tcPr>
            <w:tcW w:w="6096" w:type="dxa"/>
            <w:tcMar>
              <w:left w:w="105" w:type="dxa"/>
              <w:right w:w="105" w:type="dxa"/>
            </w:tcMar>
            <w:vAlign w:val="center"/>
          </w:tcPr>
          <w:p w14:paraId="2FCDEA5C" w14:textId="3F197A4F" w:rsidR="007077C4" w:rsidRPr="007A04FF" w:rsidRDefault="007077C4" w:rsidP="007077C4">
            <w:pPr>
              <w:jc w:val="left"/>
              <w:rPr>
                <w:color w:val="000000"/>
                <w:sz w:val="20"/>
                <w:szCs w:val="20"/>
              </w:rPr>
            </w:pPr>
            <w:r>
              <w:rPr>
                <w:color w:val="000000" w:themeColor="text1"/>
                <w:sz w:val="20"/>
                <w:szCs w:val="20"/>
              </w:rPr>
              <w:t>Enquête nationale sur le rendement énergétique des réfrigérateurs commerciaux, élaboration de MEPS et d'étiquettes pour les réfrigérateurs commerciaux (y compris leur publication au Journal officiel) et ateliers de sensibilisation selon les besoins (proposés comme élément facultatif et inclus lors de l'examen) (Gouvernement du Royaume-Uni) (30 000 $US)</w:t>
            </w:r>
          </w:p>
        </w:tc>
        <w:tc>
          <w:tcPr>
            <w:tcW w:w="1134" w:type="dxa"/>
            <w:tcMar>
              <w:left w:w="105" w:type="dxa"/>
              <w:right w:w="105" w:type="dxa"/>
            </w:tcMar>
            <w:vAlign w:val="center"/>
          </w:tcPr>
          <w:p w14:paraId="09A48B0A" w14:textId="24642306" w:rsidR="007077C4" w:rsidRPr="00325D5F" w:rsidRDefault="007077C4" w:rsidP="00532F45">
            <w:pPr>
              <w:jc w:val="right"/>
              <w:rPr>
                <w:color w:val="000000"/>
                <w:sz w:val="20"/>
                <w:szCs w:val="20"/>
                <w:lang w:val="es-MX"/>
              </w:rPr>
            </w:pPr>
            <w:r>
              <w:rPr>
                <w:color w:val="000000"/>
                <w:sz w:val="20"/>
                <w:szCs w:val="20"/>
              </w:rPr>
              <w:t>30 000</w:t>
            </w:r>
          </w:p>
        </w:tc>
        <w:tc>
          <w:tcPr>
            <w:tcW w:w="1134" w:type="dxa"/>
            <w:tcMar>
              <w:left w:w="105" w:type="dxa"/>
              <w:right w:w="105" w:type="dxa"/>
            </w:tcMar>
            <w:vAlign w:val="center"/>
          </w:tcPr>
          <w:p w14:paraId="0876BA48" w14:textId="38EB5B31" w:rsidR="007077C4" w:rsidRPr="00325D5F" w:rsidRDefault="007077C4" w:rsidP="00532F45">
            <w:pPr>
              <w:jc w:val="right"/>
              <w:rPr>
                <w:color w:val="000000"/>
                <w:sz w:val="20"/>
                <w:szCs w:val="20"/>
                <w:lang w:val="es-MX"/>
              </w:rPr>
            </w:pPr>
            <w:r>
              <w:rPr>
                <w:color w:val="000000"/>
                <w:sz w:val="20"/>
                <w:szCs w:val="20"/>
              </w:rPr>
              <w:t>30 000</w:t>
            </w:r>
          </w:p>
        </w:tc>
        <w:tc>
          <w:tcPr>
            <w:tcW w:w="988" w:type="dxa"/>
            <w:tcMar>
              <w:left w:w="105" w:type="dxa"/>
              <w:right w:w="105" w:type="dxa"/>
            </w:tcMar>
            <w:vAlign w:val="center"/>
          </w:tcPr>
          <w:p w14:paraId="4DD4FFBF" w14:textId="6A3B1512" w:rsidR="007077C4" w:rsidRPr="00325D5F" w:rsidRDefault="007077C4" w:rsidP="00532F45">
            <w:pPr>
              <w:jc w:val="right"/>
              <w:rPr>
                <w:color w:val="000000"/>
                <w:sz w:val="20"/>
                <w:szCs w:val="20"/>
                <w:lang w:val="es-MX"/>
              </w:rPr>
            </w:pPr>
            <w:r>
              <w:rPr>
                <w:color w:val="000000"/>
                <w:sz w:val="20"/>
                <w:szCs w:val="20"/>
              </w:rPr>
              <w:t>0</w:t>
            </w:r>
          </w:p>
        </w:tc>
      </w:tr>
      <w:tr w:rsidR="007077C4" w:rsidRPr="00D73D50" w14:paraId="57A829B9" w14:textId="77777777" w:rsidTr="00F5140B">
        <w:trPr>
          <w:trHeight w:val="93"/>
        </w:trPr>
        <w:tc>
          <w:tcPr>
            <w:tcW w:w="6096" w:type="dxa"/>
            <w:tcMar>
              <w:left w:w="105" w:type="dxa"/>
              <w:right w:w="105" w:type="dxa"/>
            </w:tcMar>
            <w:vAlign w:val="center"/>
          </w:tcPr>
          <w:p w14:paraId="09B76E58" w14:textId="696FB9B8" w:rsidR="007077C4" w:rsidRPr="002A2A80" w:rsidRDefault="007077C4" w:rsidP="007077C4">
            <w:pPr>
              <w:jc w:val="left"/>
              <w:rPr>
                <w:b/>
                <w:bCs/>
                <w:color w:val="000000" w:themeColor="text1"/>
                <w:sz w:val="20"/>
                <w:szCs w:val="20"/>
              </w:rPr>
            </w:pPr>
            <w:r>
              <w:rPr>
                <w:b/>
                <w:bCs/>
                <w:color w:val="000000" w:themeColor="text1"/>
                <w:sz w:val="20"/>
                <w:szCs w:val="20"/>
              </w:rPr>
              <w:t>Total</w:t>
            </w:r>
          </w:p>
        </w:tc>
        <w:tc>
          <w:tcPr>
            <w:tcW w:w="1134" w:type="dxa"/>
            <w:tcMar>
              <w:left w:w="105" w:type="dxa"/>
              <w:right w:w="105" w:type="dxa"/>
            </w:tcMar>
          </w:tcPr>
          <w:p w14:paraId="5D10E4D5" w14:textId="4B3C8746" w:rsidR="007077C4" w:rsidRPr="002A2A80" w:rsidRDefault="007077C4" w:rsidP="007077C4">
            <w:pPr>
              <w:jc w:val="right"/>
              <w:rPr>
                <w:b/>
                <w:bCs/>
                <w:color w:val="000000"/>
                <w:sz w:val="20"/>
                <w:szCs w:val="20"/>
              </w:rPr>
            </w:pPr>
            <w:r w:rsidRPr="002A2A80">
              <w:rPr>
                <w:b/>
                <w:bCs/>
                <w:color w:val="000000"/>
                <w:sz w:val="20"/>
                <w:szCs w:val="20"/>
              </w:rPr>
              <w:fldChar w:fldCharType="begin"/>
            </w:r>
            <w:r w:rsidRPr="002A2A80">
              <w:rPr>
                <w:b/>
                <w:bCs/>
                <w:color w:val="000000"/>
                <w:sz w:val="20"/>
                <w:szCs w:val="20"/>
              </w:rPr>
              <w:instrText xml:space="preserve"> =SUM(RIGHT) </w:instrText>
            </w:r>
            <w:r w:rsidRPr="002A2A80">
              <w:rPr>
                <w:b/>
                <w:bCs/>
                <w:color w:val="000000"/>
                <w:sz w:val="20"/>
                <w:szCs w:val="20"/>
              </w:rPr>
              <w:fldChar w:fldCharType="separate"/>
            </w:r>
            <w:r w:rsidRPr="002A2A80">
              <w:rPr>
                <w:b/>
                <w:bCs/>
                <w:noProof/>
                <w:color w:val="000000"/>
                <w:sz w:val="20"/>
                <w:szCs w:val="20"/>
              </w:rPr>
              <w:t>28</w:t>
            </w:r>
            <w:r>
              <w:rPr>
                <w:b/>
                <w:bCs/>
                <w:noProof/>
                <w:color w:val="000000"/>
                <w:sz w:val="20"/>
                <w:szCs w:val="20"/>
              </w:rPr>
              <w:t>9</w:t>
            </w:r>
            <w:r w:rsidR="0003429D">
              <w:rPr>
                <w:b/>
                <w:bCs/>
                <w:noProof/>
                <w:color w:val="000000"/>
                <w:sz w:val="20"/>
                <w:szCs w:val="20"/>
              </w:rPr>
              <w:t> </w:t>
            </w:r>
            <w:r w:rsidRPr="002A2A80">
              <w:rPr>
                <w:b/>
                <w:bCs/>
                <w:noProof/>
                <w:color w:val="000000"/>
                <w:sz w:val="20"/>
                <w:szCs w:val="20"/>
              </w:rPr>
              <w:t>336</w:t>
            </w:r>
            <w:r w:rsidRPr="002A2A80">
              <w:rPr>
                <w:b/>
                <w:bCs/>
                <w:color w:val="000000"/>
                <w:sz w:val="20"/>
                <w:szCs w:val="20"/>
              </w:rPr>
              <w:fldChar w:fldCharType="end"/>
            </w:r>
          </w:p>
        </w:tc>
        <w:tc>
          <w:tcPr>
            <w:tcW w:w="1134" w:type="dxa"/>
            <w:tcMar>
              <w:left w:w="105" w:type="dxa"/>
              <w:right w:w="105" w:type="dxa"/>
            </w:tcMar>
          </w:tcPr>
          <w:p w14:paraId="6C27A86D" w14:textId="6E1C046C" w:rsidR="007077C4" w:rsidRPr="002A2A80" w:rsidRDefault="007077C4" w:rsidP="00491312">
            <w:pPr>
              <w:jc w:val="right"/>
              <w:rPr>
                <w:b/>
                <w:bCs/>
                <w:color w:val="000000"/>
                <w:sz w:val="20"/>
                <w:szCs w:val="20"/>
                <w:lang w:val="es-MX"/>
              </w:rPr>
            </w:pPr>
            <w:r>
              <w:rPr>
                <w:b/>
                <w:bCs/>
                <w:color w:val="000000"/>
                <w:sz w:val="20"/>
                <w:szCs w:val="20"/>
              </w:rPr>
              <w:t>265 836</w:t>
            </w:r>
          </w:p>
        </w:tc>
        <w:tc>
          <w:tcPr>
            <w:tcW w:w="988" w:type="dxa"/>
            <w:tcMar>
              <w:left w:w="105" w:type="dxa"/>
              <w:right w:w="105" w:type="dxa"/>
            </w:tcMar>
          </w:tcPr>
          <w:p w14:paraId="487550C3" w14:textId="0E8F7A72" w:rsidR="007077C4" w:rsidRPr="002A2A80" w:rsidRDefault="007077C4" w:rsidP="007077C4">
            <w:pPr>
              <w:jc w:val="right"/>
              <w:rPr>
                <w:b/>
                <w:bCs/>
                <w:color w:val="000000"/>
                <w:sz w:val="20"/>
                <w:szCs w:val="20"/>
                <w:lang w:val="es-MX"/>
              </w:rPr>
            </w:pPr>
            <w:r>
              <w:rPr>
                <w:b/>
                <w:bCs/>
                <w:color w:val="000000"/>
                <w:sz w:val="20"/>
                <w:szCs w:val="20"/>
              </w:rPr>
              <w:t>23 500</w:t>
            </w:r>
          </w:p>
        </w:tc>
      </w:tr>
    </w:tbl>
    <w:p w14:paraId="4331F699" w14:textId="67F5A1AE" w:rsidR="00A3237F" w:rsidRPr="009232FC" w:rsidRDefault="005D7011" w:rsidP="006C5319">
      <w:pPr>
        <w:pStyle w:val="Heading1"/>
        <w:numPr>
          <w:ilvl w:val="0"/>
          <w:numId w:val="0"/>
        </w:numPr>
        <w:rPr>
          <w:sz w:val="20"/>
          <w:szCs w:val="20"/>
        </w:rPr>
      </w:pPr>
      <w:r>
        <w:rPr>
          <w:sz w:val="20"/>
          <w:szCs w:val="20"/>
        </w:rPr>
        <w:t>* La proposition initiale prévoyait un cofinancement de 51 400 $US de la part du bénéficiaire pour les réparations et l'entretien pendant 15 ans, ainsi que pour les imprévus. Ce point n'a pas été abordé lors des discussions relatives au projet, car l'entretien régulier d'un actif tout au long de son cycle de vie est une pratique courante pour tout utilisateur final.</w:t>
      </w:r>
    </w:p>
    <w:p w14:paraId="668890D1" w14:textId="3C66FF46" w:rsidR="00CC1E8A" w:rsidRPr="00970956" w:rsidRDefault="00CC1E8A" w:rsidP="00B641DF">
      <w:pPr>
        <w:pStyle w:val="Heading1"/>
      </w:pPr>
      <w:r>
        <w:t>Le projet devrait permettre de réduire la consommation d'énergie d'environ 40 %. La réduction annuelle de la consommation d'énergie devrait atteindre 95 058 kWh, ce qui se traduirait par une économie estimée à 31 643 $US sur le coût annuel total de l'électricité. Les résultats, basés sur le suivi des performances en matière de rendement énergétique, seraient communiqués aux parties prenantes concernées dans le cadre d'activités de sensibilisation et de rayonnement afin de faciliter l'adoption généralisée de cette technologie. Compte tenu de la forte croissance prévue des grandes et moyennes surfaces en Sierra Leone et de son objectif de réduction des HFC, ce projet devrait permettre de freiner la progression de la consommation de HFC dans les supermarchés et favoriser l'adoption de technologies éco-énergétiques à faible PRP dans le pays.</w:t>
      </w:r>
    </w:p>
    <w:p w14:paraId="65182386" w14:textId="69968ED0" w:rsidR="00891B19" w:rsidRPr="000C6573" w:rsidRDefault="00891B19" w:rsidP="000C6573">
      <w:pPr>
        <w:pStyle w:val="Heading1"/>
        <w:numPr>
          <w:ilvl w:val="0"/>
          <w:numId w:val="0"/>
        </w:numPr>
        <w:rPr>
          <w:lang w:val="en-GB"/>
        </w:rPr>
      </w:pPr>
      <w:r>
        <w:rPr>
          <w:u w:val="single"/>
        </w:rPr>
        <w:t>Coût total du projet pilote</w:t>
      </w:r>
    </w:p>
    <w:p w14:paraId="7A823767" w14:textId="01EDF5E3" w:rsidR="00855665" w:rsidRDefault="00891B19" w:rsidP="00891B19">
      <w:pPr>
        <w:numPr>
          <w:ilvl w:val="0"/>
          <w:numId w:val="1"/>
        </w:numPr>
        <w:spacing w:after="240"/>
        <w:outlineLvl w:val="0"/>
        <w:rPr>
          <w:lang w:val="en-GB"/>
        </w:rPr>
      </w:pPr>
      <w:r>
        <w:t xml:space="preserve">Le projet devrait être achevé dans un délai de 24 mois (de janvier 2026 à décembre 2027) pour un coût total de 265 836 $US, auxquels s'ajoutent les coûts d'appui de l'agence, tel que présenté initialement. L'entreprise bénéficiaire apporterait un cofinancement de 23 500 $US. </w:t>
      </w:r>
    </w:p>
    <w:bookmarkEnd w:id="4"/>
    <w:bookmarkEnd w:id="5"/>
    <w:p w14:paraId="641A8A01" w14:textId="77777777" w:rsidR="00891B19" w:rsidRPr="00D623AF" w:rsidRDefault="00891B19" w:rsidP="00891B19">
      <w:pPr>
        <w:keepNext/>
        <w:jc w:val="center"/>
        <w:rPr>
          <w:b/>
          <w:bCs/>
          <w:lang w:val="fr-FR"/>
        </w:rPr>
      </w:pPr>
      <w:r>
        <w:rPr>
          <w:b/>
          <w:bCs/>
        </w:rPr>
        <w:lastRenderedPageBreak/>
        <w:t>COMMENTAIRES ET RECOMMANDATIONS DU SECRÉTARIAT</w:t>
      </w:r>
    </w:p>
    <w:p w14:paraId="692D4651" w14:textId="77777777" w:rsidR="00891B19" w:rsidRPr="00D623AF" w:rsidRDefault="00891B19" w:rsidP="00891B19">
      <w:pPr>
        <w:keepNext/>
        <w:rPr>
          <w:b/>
          <w:bCs/>
          <w:lang w:val="fr-FR"/>
        </w:rPr>
      </w:pPr>
    </w:p>
    <w:p w14:paraId="08EF783B" w14:textId="77777777" w:rsidR="00891B19" w:rsidRPr="000668C6" w:rsidRDefault="00891B19" w:rsidP="00891B19">
      <w:pPr>
        <w:keepNext/>
        <w:rPr>
          <w:b/>
          <w:bCs/>
          <w:lang w:val="en-GB"/>
        </w:rPr>
      </w:pPr>
      <w:r>
        <w:rPr>
          <w:b/>
          <w:bCs/>
        </w:rPr>
        <w:t>COMMENTAIRES</w:t>
      </w:r>
    </w:p>
    <w:p w14:paraId="65E42B00" w14:textId="77777777" w:rsidR="00891B19" w:rsidRPr="00D623AF" w:rsidRDefault="00891B19" w:rsidP="00891B19">
      <w:pPr>
        <w:numPr>
          <w:ilvl w:val="0"/>
          <w:numId w:val="1"/>
        </w:numPr>
        <w:spacing w:before="240" w:after="240"/>
        <w:outlineLvl w:val="0"/>
        <w:rPr>
          <w:lang w:val="fr-FR"/>
        </w:rPr>
      </w:pPr>
      <w:r>
        <w:t>Le secrétariat a examiné la proposition de projet à la lumière des activités décrites dans les décisions 89/6 et 91/65 ainsi que celles mises en œuvre dans le cadre de la phase I du KIP.</w:t>
      </w:r>
    </w:p>
    <w:p w14:paraId="7D528859" w14:textId="77777777" w:rsidR="00891B19" w:rsidRPr="00D623AF" w:rsidRDefault="00891B19" w:rsidP="00891B19">
      <w:pPr>
        <w:keepNext/>
        <w:spacing w:before="240" w:after="240"/>
        <w:rPr>
          <w:u w:val="single"/>
          <w:lang w:val="fr-FR"/>
        </w:rPr>
      </w:pPr>
      <w:r>
        <w:rPr>
          <w:u w:val="single"/>
        </w:rPr>
        <w:t xml:space="preserve">Admissibilité en vertu de la décision 91/65 </w:t>
      </w:r>
    </w:p>
    <w:p w14:paraId="4DB3F28C" w14:textId="6B4F0273" w:rsidR="00EA45E9" w:rsidRPr="00EA45E9" w:rsidRDefault="00EA45E9" w:rsidP="00EA45E9">
      <w:pPr>
        <w:pStyle w:val="Heading1"/>
      </w:pPr>
      <w:r>
        <w:t>Conformément à la décision 91/65, le Gouvernement de la Sierra Leone a confirmé que l'UNO coordonnera ses efforts avec les autorités compétentes en matière de rendement énergétique et les organismes nationaux de normalisation afin de faciliter la prise en compte de la transition vers d'autres frigorigènes lors de l'élaboration de normes de rendement énergétique dans les secteurs/applications concernés ; que, si la Sierra Leone a mobilisé ou devait mobiliser des fonds provenant de sources autres que le MLF pour des composantes liées au rendement énergétique dans le cadre de la réduction des HFC, le projet n'entraînera pas de duplication des activités entre celles financées par le MLF et celles financées par d'autres sources ; que les informations sur l'avancement du projet, ses résultats et les principaux enseignements tirés seront communiquées, selon qu'il convient ; et que la date d'achèvement du projet sera fixée à 24 mois au plus tard après la date d'approbation par le Comité exécutif et qu'un rapport détaillé sur le projet sera soumis au Comité exécutif dans les six mois suivant la date d'achèvement du projet.</w:t>
      </w:r>
    </w:p>
    <w:p w14:paraId="0F1E49A5" w14:textId="77777777" w:rsidR="00891B19" w:rsidRPr="00D623AF" w:rsidRDefault="00891B19" w:rsidP="00891B19">
      <w:pPr>
        <w:keepNext/>
        <w:rPr>
          <w:u w:val="single"/>
          <w:lang w:val="fr-FR"/>
        </w:rPr>
      </w:pPr>
      <w:r>
        <w:rPr>
          <w:u w:val="single"/>
        </w:rPr>
        <w:t>Relation par rapport à la réduction des HFC et au plan de mise en œuvre de l'Amendement de Kigali relatif aux HFC</w:t>
      </w:r>
    </w:p>
    <w:p w14:paraId="45D696D1" w14:textId="77777777" w:rsidR="00F6411B" w:rsidRPr="00D623AF" w:rsidRDefault="00F6411B" w:rsidP="00891B19">
      <w:pPr>
        <w:keepNext/>
        <w:rPr>
          <w:u w:val="single"/>
          <w:lang w:val="fr-FR"/>
        </w:rPr>
      </w:pPr>
    </w:p>
    <w:p w14:paraId="711E9889" w14:textId="1468BCE3" w:rsidR="00A61AA2" w:rsidRDefault="00A61AA2" w:rsidP="00A61AA2">
      <w:pPr>
        <w:pStyle w:val="Heading1"/>
      </w:pPr>
      <w:r>
        <w:t>Le projet pilote complète la phase I du KIP. Les activités du KIP comprennent la mise à jour du programme de formation, la formation de techniciens et l'organisation d'ateliers de sensibilisation à l'intention des importateurs sur les frigorigènes à faible PRP. Le Gouvernement met également en place une interdiction d'importer des appareils fonctionnant aux HFC dans les secteurs de la réfrigération domestique et de la réfrigération commerciale autonome. Ces activités favoriseront l'adoption de la technologie qui fera l'objet de la démonstration dans le cadre de ce projet pilote.</w:t>
      </w:r>
    </w:p>
    <w:p w14:paraId="09EAE731" w14:textId="1F140461" w:rsidR="00242734" w:rsidRPr="00242734" w:rsidRDefault="00107C29" w:rsidP="00A61AA2">
      <w:pPr>
        <w:pStyle w:val="Heading1"/>
        <w:rPr>
          <w:rFonts w:asciiTheme="majorBidi" w:hAnsiTheme="majorBidi" w:cstheme="majorBidi"/>
          <w:u w:val="single"/>
        </w:rPr>
      </w:pPr>
      <w:r>
        <w:t>La plupart des supermarchés de la Sierra Leone utilisent des appareils à base de HFC-134a et de R-404A. La démonstration de la technologie R-290 contribuera à renforcer les capacités des parties prenantes et à sensibiliser le secteur de la réfrigération commerciale aux technologies à faible PRP et à leurs performances. Cela contribuera à la réalisation de l'objectif du KIP qui consiste à réduire la consommation de HFC à fort PRP tout en soutenant les efforts du pays pour atteindre l'objectif de réduction de 10 % par rapport au niveau de référence d'ici à 2029, l'accent étant mis sur le secteur de l'entretien des systèmes de réfrigération et de climatisation. De plus, les résultats et la diffusion de ce projet pilote favoriseront l'adoption et l'acceptation par les utilisateurs finaux d'appareils de réfrigération commerciale à base de R-290 à haut rendement énergétique, soutenant ainsi les étapes futures du KIP.</w:t>
      </w:r>
    </w:p>
    <w:p w14:paraId="3680E308" w14:textId="3287418F" w:rsidR="00BC4938" w:rsidRPr="00956307" w:rsidRDefault="00BC4938" w:rsidP="00242734">
      <w:pPr>
        <w:pStyle w:val="Heading1"/>
        <w:numPr>
          <w:ilvl w:val="0"/>
          <w:numId w:val="0"/>
        </w:numPr>
        <w:rPr>
          <w:rFonts w:asciiTheme="majorBidi" w:hAnsiTheme="majorBidi" w:cstheme="majorBidi"/>
          <w:u w:val="single"/>
        </w:rPr>
      </w:pPr>
      <w:r>
        <w:rPr>
          <w:rFonts w:asciiTheme="majorBidi" w:hAnsiTheme="majorBidi" w:cstheme="majorBidi"/>
          <w:u w:val="single"/>
        </w:rPr>
        <w:t>Cadre politique, réglementaire et institutionnel</w:t>
      </w:r>
    </w:p>
    <w:p w14:paraId="03737506" w14:textId="125AB120" w:rsidR="00C56506" w:rsidRPr="00D623AF" w:rsidRDefault="003E324C" w:rsidP="00C56506">
      <w:pPr>
        <w:pStyle w:val="Heading1"/>
        <w:rPr>
          <w:lang w:val="fr-FR"/>
        </w:rPr>
      </w:pPr>
      <w:r>
        <w:t>En ce qui concerne l'interdiction d'importer des réfrigérateurs domestiques et des appareils de réfrigération autonomes commerciaux fonctionnant au HFC-134a, initialement prévue pour le 1er janvier 2025 dans le cadre de la phase I du KIP, le Gouvernement du Royaume-Uni a expliqué que la mise en œuvre avait pris du retard ; toutefois, la réglementation a été adoptée et est entrée en vigueur en juin 2025.</w:t>
      </w:r>
    </w:p>
    <w:p w14:paraId="7D30E10B" w14:textId="20E3666D" w:rsidR="003D0D4E" w:rsidRPr="00D623AF" w:rsidRDefault="004026D7" w:rsidP="00BC4938">
      <w:pPr>
        <w:pStyle w:val="Heading1"/>
        <w:rPr>
          <w:lang w:val="fr-FR"/>
        </w:rPr>
      </w:pPr>
      <w:r>
        <w:t xml:space="preserve">En ce qui concerne l'élaboration et la mise en œuvre des MEPS pour les appareils de réfrigération commerciale, il a été expliqué que ce projet permettra de réaliser une évaluation du marché du rendement énergétique dans le secteur de la réfrigération commerciale, ainsi que d'élaborer et de publier des MEPS et des étiquettes pour les appareils de réfrigération commerciale au cours de la période couverte par le projet. </w:t>
      </w:r>
      <w:r>
        <w:lastRenderedPageBreak/>
        <w:t>La mise en œuvre des MEPS est un processus complexe et long qui nécessite l'accord de plusieurs ministères et l'approbation finale du Parlement. Il est donc difficile de prévoir un calendrier pour la mise en œuvre des MEPS. Il a été convenu que le Gouvernement de la Sierra Leone élaborera des MEPS et des étiquettes pour les appareils de réfrigération commerciale d'ici au 31 décembre 2027.</w:t>
      </w:r>
    </w:p>
    <w:p w14:paraId="69918607" w14:textId="7CF9D467" w:rsidR="00891B19" w:rsidRPr="00D623AF" w:rsidRDefault="00891B19" w:rsidP="00891B19">
      <w:pPr>
        <w:spacing w:after="240"/>
        <w:outlineLvl w:val="0"/>
        <w:rPr>
          <w:lang w:val="fr-FR"/>
        </w:rPr>
      </w:pPr>
      <w:r>
        <w:rPr>
          <w:u w:val="single"/>
        </w:rPr>
        <w:t>Questions techniques et relatives aux coûts</w:t>
      </w:r>
    </w:p>
    <w:p w14:paraId="04C39194" w14:textId="0EA2AF98" w:rsidR="002E6CEE" w:rsidRPr="002E6CEE" w:rsidRDefault="002E6CEE" w:rsidP="002E6CEE">
      <w:pPr>
        <w:pStyle w:val="Heading1"/>
        <w:numPr>
          <w:ilvl w:val="0"/>
          <w:numId w:val="0"/>
        </w:numPr>
        <w:rPr>
          <w:i/>
          <w:iCs/>
          <w:lang w:val="en-GB"/>
        </w:rPr>
      </w:pPr>
      <w:r>
        <w:rPr>
          <w:i/>
          <w:iCs/>
        </w:rPr>
        <w:t>Sélection de la technologie</w:t>
      </w:r>
    </w:p>
    <w:p w14:paraId="1B744DF7" w14:textId="72B2EBAB" w:rsidR="00BC4938" w:rsidRPr="00D623AF" w:rsidRDefault="00356362" w:rsidP="002B2A5D">
      <w:pPr>
        <w:numPr>
          <w:ilvl w:val="0"/>
          <w:numId w:val="1"/>
        </w:numPr>
        <w:spacing w:after="240"/>
        <w:outlineLvl w:val="0"/>
        <w:rPr>
          <w:i/>
          <w:iCs/>
          <w:lang w:val="fr-FR"/>
        </w:rPr>
      </w:pPr>
      <w:r>
        <w:t xml:space="preserve">Interrogé sur le processus et les raisons qui ont motivé le choix de la technologie R-290 pour les supermarchés, le Gouvernement du Royaume-Uni a indiqué que, pendant la phase de planification, différentes technologies de réfrigération à faible PRP avaient été évaluées en fonction de leur rendement énergétique, de leur sécurité, de leur complexité technique, de leur coût, de leur impact environnemental, de leur disponibilité sur le marché et de leur viabilité à long terme, en tenant compte du contexte local. Les systèmes HC ont été considérés comme une option appropriée pour la taille des équipements inclus dans la démonstration en raison de leur faible PRP, de leurs propriétés thermophysiques favorables, de leur rendement énergétique élevé et de la possibilité de les déployer en toute sécurité grâce à la mise en place de normes, de formations et de procédures d'entretien appropriées. En Sierra Leone, diverses normes de sécurité concernant la réfrigération et la climatisation ont récemment été révisées afin d'élargir leur champ d'application tout en maintenant un niveau de risque très faible. Le projet garantira que les nouveaux systèmes de refroidissement installés respectent des niveaux de sécurité élevés et les normes de sécurité applicables. </w:t>
      </w:r>
    </w:p>
    <w:p w14:paraId="1662419D" w14:textId="32994DD5" w:rsidR="002E6CEE" w:rsidRPr="00D623AF" w:rsidRDefault="002E6CEE" w:rsidP="002E6CEE">
      <w:pPr>
        <w:pStyle w:val="Heading1"/>
        <w:rPr>
          <w:i/>
          <w:iCs/>
          <w:lang w:val="fr-FR"/>
        </w:rPr>
      </w:pPr>
      <w:r>
        <w:t xml:space="preserve">Le Secrétariat a demandé un bref aperçu de l'adoption des réfrigérateurs à base de frigorigène HC en Sierra Leone et de l'état d'avancement de la formation des techniciens à leur utilisation en toute sécurité. Le Gouvernement du Royaume-Uni a indiqué que des progrès visibles avaient été réalisés dans l'adoption des systèmes de réfrigération à base de HC, grâce aux efforts déployés par l'UNO, les agences d'exécution et d'autres partenaires. Les techniciens ont acquis des connaissances sur la manipulation sûre des HC. De plus, les programmes de formation continue comprennent des modules sur les HC dans le cadre de la formation générale des techniciens et du programme national de certification. </w:t>
      </w:r>
    </w:p>
    <w:p w14:paraId="029ECDE7" w14:textId="059C3C0F" w:rsidR="002E6CEE" w:rsidRPr="002E6CEE" w:rsidRDefault="002E6CEE" w:rsidP="001C3AC8">
      <w:pPr>
        <w:pStyle w:val="Heading1"/>
        <w:keepNext/>
        <w:numPr>
          <w:ilvl w:val="0"/>
          <w:numId w:val="0"/>
        </w:numPr>
        <w:rPr>
          <w:i/>
          <w:iCs/>
          <w:lang w:val="en-GB"/>
        </w:rPr>
      </w:pPr>
      <w:r>
        <w:rPr>
          <w:i/>
          <w:iCs/>
        </w:rPr>
        <w:t>Sélection du bénéficiaire</w:t>
      </w:r>
    </w:p>
    <w:p w14:paraId="789F1A1F" w14:textId="44390F09" w:rsidR="00671D97" w:rsidRPr="00D623AF" w:rsidRDefault="00CE6A1A" w:rsidP="00671D97">
      <w:pPr>
        <w:pStyle w:val="Heading1"/>
        <w:rPr>
          <w:lang w:val="fr-FR"/>
        </w:rPr>
      </w:pPr>
      <w:r>
        <w:t>En ce qui concerne le processus de sélection du bénéficiaire, il a été indiqué que le supermarché Freetown Mall avait été sélectionné sur la base de critères tels que son emplacement dans la zone urbaine occidentale, la présence de techniciens certifiés en matière de réfrigération et de climatisation assurant l'entretien courant, sa superficie comprise entre celle d'un supermarché de surface moyenne et celle d'un supermarché de grande surface, son système de réfrigération fonctionnant aux HFC, sa volonté de cofinancer la mise en œuvre du projet et la disponibilité de son personnel pour fournir des informations essentielles à l'équipe du projet. Le centre commercial Freetown Mall dispose d'une gamme de systèmes de refroidissement centralisés, de rafraîchisseurs de bouteilles, de vitrines réfrigérées, de chambres froides et de congélateurs coffres qui fonctionnent principalement au R-404A et au HFC-134a. La quantité et le type d'équipement seront sélectionnés en fonction de la capacité à maintenir la puissance frigorifique existante. Tous les équipements HFC existants seront remplacés par les nouveaux équipements HC. La charge totale de frigorigène contenue dans cet équipement est d'environ 21,85 kg, pour une capacité de refroidissement estimée à environ 53,22 kW.</w:t>
      </w:r>
    </w:p>
    <w:p w14:paraId="01D0496D" w14:textId="77777777" w:rsidR="000332FE" w:rsidRDefault="00A21CD0" w:rsidP="000332FE">
      <w:pPr>
        <w:spacing w:after="240"/>
        <w:outlineLvl w:val="0"/>
        <w:rPr>
          <w:i/>
          <w:iCs/>
          <w:lang w:val="en-GB"/>
        </w:rPr>
      </w:pPr>
      <w:r>
        <w:rPr>
          <w:i/>
          <w:iCs/>
        </w:rPr>
        <w:t>Plan de mise en œuvre</w:t>
      </w:r>
    </w:p>
    <w:p w14:paraId="2A71CCF6" w14:textId="033766AD" w:rsidR="00A064FA" w:rsidRPr="00D623AF" w:rsidRDefault="000332FE" w:rsidP="000332FE">
      <w:pPr>
        <w:pStyle w:val="Heading1"/>
        <w:rPr>
          <w:lang w:val="fr-FR"/>
        </w:rPr>
      </w:pPr>
      <w:r>
        <w:t xml:space="preserve">Le projet nécessitera une conception et une planification approfondies afin de déterminer la charge de refroidissement, de sélectionner les équipements appropriés et d'élaborer des plans techniques détaillés, notamment la disposition du système, la tuyauterie, les connexions électriques et les systèmes de contrôle, conformément aux réglementations en matière de sécurité et d'environnement. L'installation respectera le </w:t>
      </w:r>
      <w:r>
        <w:lastRenderedPageBreak/>
        <w:t>plan de conception et intégrera tous les composants nécessaires, les systèmes électriques et les commandes étant surveillés et ajustés. Le système sera testé, mis en service, puis suivi d'une formation destinée au personnel du supermarché qui portera sur son fonctionnement, l'entretien de base et les procédures d'urgence le concernant. Un calendrier sera défini pour assurer l'entretien et la surveillance périodiques et ainsi garantir l'efficacité du fonctionnement, la prévention des problèmes et la sécurité. L'ancien appareil sera retiré, le frigorigène sera récupéré et l'appareil sera démonté.</w:t>
      </w:r>
    </w:p>
    <w:p w14:paraId="22BFE5CD" w14:textId="3ED31B65" w:rsidR="002E6CEE" w:rsidRPr="00D623AF" w:rsidRDefault="002E6CEE" w:rsidP="002E6CEE">
      <w:pPr>
        <w:spacing w:after="240"/>
        <w:outlineLvl w:val="0"/>
        <w:rPr>
          <w:i/>
          <w:iCs/>
          <w:lang w:val="fr-FR"/>
        </w:rPr>
      </w:pPr>
      <w:r>
        <w:rPr>
          <w:i/>
          <w:iCs/>
        </w:rPr>
        <w:t>Suivi de la consommation énergétique et diffusion des résultats</w:t>
      </w:r>
    </w:p>
    <w:p w14:paraId="23F98490" w14:textId="3AAE5466" w:rsidR="000D76BE" w:rsidRPr="00D623AF" w:rsidRDefault="00AD0A6D" w:rsidP="003C45A1">
      <w:pPr>
        <w:numPr>
          <w:ilvl w:val="0"/>
          <w:numId w:val="1"/>
        </w:numPr>
        <w:spacing w:after="240"/>
        <w:outlineLvl w:val="0"/>
        <w:rPr>
          <w:i/>
          <w:iCs/>
          <w:lang w:val="fr-FR"/>
        </w:rPr>
      </w:pPr>
      <w:r>
        <w:t>Le projet fera l'objet d'un suivi pendant une période de 12 mois (six mois avant et six mois après) à l'aide de compteurs intelligents et la consommation d'énergie du supermarché sera comparée à un scénario de statu quo. Les résultats seront analysés, notamment les évaluations financières coûts-avantages, et diffusés dans le cadre d'activités de sensibilisation par le biais de supports accessibles. Un événement officiel sera couvert par les médias. D'autres propriétaires de supermarchés et entreprises de services seront invités à observer le système et à examiner les données relatives aux économies d'énergie, qui seront également communiquées à des parties prenantes telles que le Ministère de l'énergie. Des MEPS et des étiquettes pour frigorigènes seront élaborées afin de mettre en avant les avantages technologiques. Elles s'accompagneront de formations visant à encourager leur adoption à l'échelle du secteur.</w:t>
      </w:r>
    </w:p>
    <w:p w14:paraId="07DF66A6" w14:textId="719333F1" w:rsidR="00B079C0" w:rsidRPr="00D623AF" w:rsidRDefault="008748EE" w:rsidP="003C45A1">
      <w:pPr>
        <w:numPr>
          <w:ilvl w:val="0"/>
          <w:numId w:val="1"/>
        </w:numPr>
        <w:spacing w:after="240"/>
        <w:outlineLvl w:val="0"/>
        <w:rPr>
          <w:i/>
          <w:iCs/>
          <w:lang w:val="fr-FR"/>
        </w:rPr>
      </w:pPr>
      <w:r>
        <w:t>En ce qui concerne l'impact régional, il a été mentionné que le projet devrait avoir des répercussions dans la sous-région de la CEDEAO, car il s'agira de l'un des premiers supermarchés à haut rendement énergétique entièrement basé sur la technologie HC en Afrique de l'Ouest. Les résultats seront présentés dans le cadre de diverses réunions relatives au Protocole de Montréal (par exemple, les réunions du réseau du PNUE), à titre d'exemple de bonne pratique, afin d'encourager d'autres pays à s'en inspirer et à reproduire ces résultats chez eux.</w:t>
      </w:r>
    </w:p>
    <w:p w14:paraId="34A7FA7D" w14:textId="77777777" w:rsidR="00215E75" w:rsidRDefault="00B76B6C" w:rsidP="00215E75">
      <w:pPr>
        <w:spacing w:after="240"/>
        <w:outlineLvl w:val="0"/>
        <w:rPr>
          <w:i/>
          <w:iCs/>
          <w:lang w:val="en-GB"/>
        </w:rPr>
      </w:pPr>
      <w:r>
        <w:rPr>
          <w:i/>
          <w:iCs/>
        </w:rPr>
        <w:t>Coût</w:t>
      </w:r>
    </w:p>
    <w:p w14:paraId="0223479E" w14:textId="36AA4EE0" w:rsidR="006C767F" w:rsidRPr="00D623AF" w:rsidRDefault="00A95B35" w:rsidP="00215E75">
      <w:pPr>
        <w:pStyle w:val="Heading1"/>
        <w:rPr>
          <w:i/>
          <w:iCs/>
          <w:lang w:val="fr-FR"/>
        </w:rPr>
      </w:pPr>
      <w:r>
        <w:t xml:space="preserve">Bien que le coût global du projet corresponde au montant des appareils achetés et installés, le secrétariat a demandé si le supermarché bénéficiaire serait en mesure d'apporter un cofinancement plus important, compte tenu des économies d'énergie attendues et du fait que les appareils existants seraient finalement remplacés par les fonds du bénéficiaire en l'absence du projet. Le Gouvernement du Royaume-Uni a indiqué qu'en Sierra Leone, il est difficile de trouver une installation répondant aux critères requis, notamment des techniciens certifiés en réfrigération et climatisation assurant l'entretien courant et disposés à permettre à d'autres utilisateurs d'accéder à la technologie, tous ces éléments étant importants pour la mise en œuvre et la promotion de la technologie HC dans le secteur de la réfrigération commerciale. Ce supermarché a accepté d'apporter un cofinancement et s'est déclaré disposé à soutenir la mise en œuvre et la promotion des activités. À la suite de discussions supplémentaires sur le budget, le niveau de cofinancement a été augmenté de 9 697 $US, et le même montant a été déduit du coût des appareils couverts par le financement du MLF. </w:t>
      </w:r>
    </w:p>
    <w:p w14:paraId="1D822533" w14:textId="2C890D83" w:rsidR="00EC6F4F" w:rsidRPr="00D623AF" w:rsidRDefault="009C7930" w:rsidP="00215E75">
      <w:pPr>
        <w:pStyle w:val="Heading1"/>
        <w:rPr>
          <w:i/>
          <w:iCs/>
          <w:lang w:val="fr-FR"/>
        </w:rPr>
      </w:pPr>
      <w:r>
        <w:t xml:space="preserve">En outre, il a été annoncé que le pays recevrait une contribution en nature du Gouvernement allemand, sous la forme d'une aide à la préparation de supports et de manuels de formation sur la manipulation sécurisée des HC (pour la réfrigération commerciale), de formations sur la récupération et la fin de vie, et de la fourniture d'équipements aux centres de formation. Une aide sera également fournie pour l'élaboration de la structure de base des MEPS et des étiquettes relatives à la réfrigération commerciale. </w:t>
      </w:r>
    </w:p>
    <w:p w14:paraId="10F80F21" w14:textId="77777777" w:rsidR="00891B19" w:rsidRPr="00E10943" w:rsidRDefault="00891B19" w:rsidP="00891B19">
      <w:pPr>
        <w:rPr>
          <w:u w:val="single"/>
          <w:lang w:val="en-GB"/>
        </w:rPr>
      </w:pPr>
      <w:r>
        <w:rPr>
          <w:u w:val="single"/>
        </w:rPr>
        <w:t>Coût convenu du projet pilote</w:t>
      </w:r>
    </w:p>
    <w:p w14:paraId="176924FB" w14:textId="77777777" w:rsidR="00891B19" w:rsidRPr="00E10943" w:rsidRDefault="00891B19" w:rsidP="00891B19">
      <w:pPr>
        <w:rPr>
          <w:u w:val="single"/>
          <w:lang w:val="en-GB"/>
        </w:rPr>
      </w:pPr>
    </w:p>
    <w:p w14:paraId="37BC694E" w14:textId="200A95E3" w:rsidR="00891B19" w:rsidRDefault="00891B19" w:rsidP="00741D23">
      <w:pPr>
        <w:pStyle w:val="Heading1"/>
      </w:pPr>
      <w:r>
        <w:t>Les coûts convenus pour la mise en œuvre du projet pilote visant à mettre en avant les performances et le rendement énergétique d'un supermarché fonctionnant entièrement au HC en Sierra Leone s'élèvent à 289 336 $US, dont 256 139 $US provenant du MLF et 33 197 $US provenant du cofinancement du bénéficiaire, comme l'indique le tableau 3.</w:t>
      </w:r>
    </w:p>
    <w:p w14:paraId="0E23F89F" w14:textId="5B545B56" w:rsidR="00D32206" w:rsidRPr="00A17056" w:rsidRDefault="00D32206" w:rsidP="00D32206">
      <w:pPr>
        <w:rPr>
          <w:b/>
          <w:bCs/>
        </w:rPr>
      </w:pPr>
      <w:r>
        <w:rPr>
          <w:b/>
          <w:bCs/>
        </w:rPr>
        <w:lastRenderedPageBreak/>
        <w:t>Tableau 3. Budget total du projet et ventilation des sources de financement, tel que convenu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176"/>
        <w:gridCol w:w="935"/>
        <w:gridCol w:w="1734"/>
        <w:gridCol w:w="1510"/>
      </w:tblGrid>
      <w:tr w:rsidR="00F27A01" w:rsidRPr="00D73D50" w14:paraId="1FD18006" w14:textId="77777777" w:rsidTr="00047389">
        <w:trPr>
          <w:trHeight w:val="555"/>
          <w:tblHeader/>
        </w:trPr>
        <w:tc>
          <w:tcPr>
            <w:tcW w:w="0" w:type="auto"/>
            <w:shd w:val="clear" w:color="auto" w:fill="FFFFFF" w:themeFill="background1"/>
            <w:tcMar>
              <w:left w:w="105" w:type="dxa"/>
              <w:right w:w="105" w:type="dxa"/>
            </w:tcMar>
            <w:vAlign w:val="center"/>
          </w:tcPr>
          <w:p w14:paraId="44E0B04C" w14:textId="77777777" w:rsidR="00F27A01" w:rsidRPr="006D7554" w:rsidRDefault="00F27A01" w:rsidP="00853C07">
            <w:pPr>
              <w:jc w:val="center"/>
              <w:rPr>
                <w:b/>
                <w:bCs/>
                <w:color w:val="000000" w:themeColor="text1"/>
                <w:sz w:val="20"/>
                <w:szCs w:val="20"/>
                <w:lang w:val="en-GB"/>
              </w:rPr>
            </w:pPr>
            <w:r>
              <w:rPr>
                <w:b/>
                <w:bCs/>
                <w:color w:val="000000" w:themeColor="text1"/>
                <w:sz w:val="20"/>
                <w:szCs w:val="20"/>
              </w:rPr>
              <w:t>Point</w:t>
            </w:r>
          </w:p>
        </w:tc>
        <w:tc>
          <w:tcPr>
            <w:tcW w:w="0" w:type="auto"/>
            <w:tcBorders>
              <w:bottom w:val="single" w:sz="4" w:space="0" w:color="auto"/>
            </w:tcBorders>
            <w:shd w:val="clear" w:color="auto" w:fill="FFFFFF" w:themeFill="background1"/>
            <w:tcMar>
              <w:left w:w="105" w:type="dxa"/>
              <w:right w:w="105" w:type="dxa"/>
            </w:tcMar>
            <w:vAlign w:val="center"/>
          </w:tcPr>
          <w:p w14:paraId="7AD83144" w14:textId="77777777" w:rsidR="00F27A01" w:rsidRPr="006D7554" w:rsidRDefault="00F27A01" w:rsidP="00853C07">
            <w:pPr>
              <w:jc w:val="center"/>
              <w:rPr>
                <w:b/>
                <w:bCs/>
                <w:color w:val="000000" w:themeColor="text1"/>
                <w:sz w:val="20"/>
                <w:szCs w:val="20"/>
                <w:lang w:val="en-GB"/>
              </w:rPr>
            </w:pPr>
            <w:r>
              <w:rPr>
                <w:b/>
                <w:bCs/>
                <w:color w:val="000000" w:themeColor="text1"/>
                <w:sz w:val="20"/>
                <w:szCs w:val="20"/>
              </w:rPr>
              <w:t>Total</w:t>
            </w:r>
          </w:p>
          <w:p w14:paraId="52E6FFDA" w14:textId="077C4D54" w:rsidR="00F27A01" w:rsidRPr="006D7554" w:rsidRDefault="00F27A01" w:rsidP="00853C07">
            <w:pPr>
              <w:jc w:val="center"/>
              <w:rPr>
                <w:color w:val="000000" w:themeColor="text1"/>
                <w:sz w:val="20"/>
                <w:szCs w:val="20"/>
                <w:lang w:val="en-GB"/>
              </w:rPr>
            </w:pPr>
            <w:r>
              <w:rPr>
                <w:b/>
                <w:bCs/>
                <w:color w:val="000000" w:themeColor="text1"/>
                <w:sz w:val="20"/>
                <w:szCs w:val="20"/>
              </w:rPr>
              <w:t xml:space="preserve"> (en </w:t>
            </w:r>
            <w:r>
              <w:rPr>
                <w:b/>
                <w:bCs/>
                <w:sz w:val="20"/>
              </w:rPr>
              <w:t>$US</w:t>
            </w:r>
            <w:r>
              <w:rPr>
                <w:b/>
                <w:bCs/>
                <w:color w:val="000000" w:themeColor="text1"/>
                <w:sz w:val="20"/>
                <w:szCs w:val="20"/>
              </w:rPr>
              <w:t>)</w:t>
            </w:r>
          </w:p>
        </w:tc>
        <w:tc>
          <w:tcPr>
            <w:tcW w:w="0" w:type="auto"/>
            <w:tcBorders>
              <w:bottom w:val="single" w:sz="4" w:space="0" w:color="auto"/>
            </w:tcBorders>
            <w:shd w:val="clear" w:color="auto" w:fill="FFFFFF" w:themeFill="background1"/>
            <w:tcMar>
              <w:left w:w="105" w:type="dxa"/>
              <w:right w:w="105" w:type="dxa"/>
            </w:tcMar>
            <w:vAlign w:val="center"/>
          </w:tcPr>
          <w:p w14:paraId="02F23BAB" w14:textId="77777777" w:rsidR="00F27A01" w:rsidRPr="00D623AF" w:rsidRDefault="00F27A01" w:rsidP="00853C07">
            <w:pPr>
              <w:jc w:val="center"/>
              <w:rPr>
                <w:b/>
                <w:bCs/>
                <w:color w:val="000000" w:themeColor="text1"/>
                <w:sz w:val="20"/>
                <w:szCs w:val="20"/>
                <w:lang w:val="fr-FR"/>
              </w:rPr>
            </w:pPr>
            <w:r>
              <w:rPr>
                <w:b/>
                <w:bCs/>
                <w:color w:val="000000" w:themeColor="text1"/>
                <w:sz w:val="20"/>
                <w:szCs w:val="20"/>
              </w:rPr>
              <w:t>Financement du MLF</w:t>
            </w:r>
          </w:p>
          <w:p w14:paraId="21E7D10F" w14:textId="77777777" w:rsidR="00F27A01" w:rsidRPr="00D623AF" w:rsidRDefault="00F27A01" w:rsidP="00853C07">
            <w:pPr>
              <w:jc w:val="center"/>
              <w:rPr>
                <w:color w:val="000000" w:themeColor="text1"/>
                <w:sz w:val="20"/>
                <w:szCs w:val="20"/>
                <w:lang w:val="fr-FR"/>
              </w:rPr>
            </w:pPr>
            <w:r>
              <w:rPr>
                <w:b/>
                <w:bCs/>
                <w:color w:val="000000" w:themeColor="text1"/>
                <w:sz w:val="20"/>
                <w:szCs w:val="20"/>
              </w:rPr>
              <w:t>(en $US)</w:t>
            </w:r>
          </w:p>
        </w:tc>
        <w:tc>
          <w:tcPr>
            <w:tcW w:w="0" w:type="auto"/>
            <w:tcBorders>
              <w:bottom w:val="single" w:sz="4" w:space="0" w:color="auto"/>
            </w:tcBorders>
            <w:shd w:val="clear" w:color="auto" w:fill="FFFFFF" w:themeFill="background1"/>
            <w:tcMar>
              <w:left w:w="105" w:type="dxa"/>
              <w:right w:w="105" w:type="dxa"/>
            </w:tcMar>
            <w:vAlign w:val="center"/>
          </w:tcPr>
          <w:p w14:paraId="554C004C" w14:textId="77777777" w:rsidR="00F27A01" w:rsidRPr="006D7554" w:rsidRDefault="00F27A01" w:rsidP="00853C07">
            <w:pPr>
              <w:jc w:val="center"/>
              <w:rPr>
                <w:b/>
                <w:bCs/>
                <w:color w:val="000000" w:themeColor="text1"/>
                <w:sz w:val="20"/>
                <w:szCs w:val="20"/>
                <w:lang w:val="en-GB"/>
              </w:rPr>
            </w:pPr>
            <w:r>
              <w:rPr>
                <w:b/>
                <w:bCs/>
                <w:color w:val="000000" w:themeColor="text1"/>
                <w:sz w:val="20"/>
                <w:szCs w:val="20"/>
              </w:rPr>
              <w:t>Cofinancement</w:t>
            </w:r>
          </w:p>
          <w:p w14:paraId="5FB437E7" w14:textId="77777777" w:rsidR="00F27A01" w:rsidRPr="006D7554" w:rsidRDefault="00F27A01" w:rsidP="00853C07">
            <w:pPr>
              <w:jc w:val="center"/>
              <w:rPr>
                <w:color w:val="000000" w:themeColor="text1"/>
                <w:sz w:val="20"/>
                <w:szCs w:val="20"/>
                <w:lang w:val="en-GB"/>
              </w:rPr>
            </w:pPr>
            <w:r>
              <w:rPr>
                <w:b/>
                <w:bCs/>
                <w:color w:val="000000" w:themeColor="text1"/>
                <w:sz w:val="20"/>
                <w:szCs w:val="20"/>
              </w:rPr>
              <w:t>(en $US)</w:t>
            </w:r>
          </w:p>
        </w:tc>
      </w:tr>
      <w:tr w:rsidR="00AC5768" w:rsidRPr="00D54082" w14:paraId="5BA5D8CA" w14:textId="77777777" w:rsidTr="00047389">
        <w:trPr>
          <w:trHeight w:val="119"/>
        </w:trPr>
        <w:tc>
          <w:tcPr>
            <w:tcW w:w="0" w:type="auto"/>
            <w:tcBorders>
              <w:right w:val="single" w:sz="4" w:space="0" w:color="auto"/>
            </w:tcBorders>
            <w:tcMar>
              <w:left w:w="105" w:type="dxa"/>
              <w:right w:w="105" w:type="dxa"/>
            </w:tcMar>
            <w:vAlign w:val="center"/>
          </w:tcPr>
          <w:p w14:paraId="1A4BF424" w14:textId="521DAC2F" w:rsidR="00AC5768" w:rsidRPr="00AC5768" w:rsidRDefault="00AC5768" w:rsidP="00AC5768">
            <w:pPr>
              <w:pStyle w:val="ListParagraph"/>
              <w:numPr>
                <w:ilvl w:val="0"/>
                <w:numId w:val="36"/>
              </w:numPr>
              <w:rPr>
                <w:color w:val="000000" w:themeColor="text1"/>
                <w:sz w:val="20"/>
                <w:szCs w:val="20"/>
              </w:rPr>
            </w:pPr>
            <w:r>
              <w:rPr>
                <w:color w:val="000000" w:themeColor="text1"/>
                <w:sz w:val="20"/>
                <w:szCs w:val="20"/>
              </w:rPr>
              <w:t>Remplacement des appareils de réfrigération à base de HFC par des appareils à base de R-290</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EE1C7CA" w14:textId="17E4F096" w:rsidR="00AC5768" w:rsidRPr="00AC5768" w:rsidRDefault="008E06F6" w:rsidP="00AC5768">
            <w:pPr>
              <w:jc w:val="right"/>
              <w:rPr>
                <w:color w:val="000000"/>
                <w:sz w:val="20"/>
                <w:szCs w:val="20"/>
                <w:lang w:val="es-MX"/>
              </w:rPr>
            </w:pPr>
            <w:r>
              <w:rPr>
                <w:color w:val="000000"/>
                <w:sz w:val="20"/>
                <w:szCs w:val="20"/>
              </w:rPr>
              <w:t>222 836</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6BA91DB" w14:textId="47DF096A" w:rsidR="00AC5768" w:rsidRPr="00AC5768" w:rsidRDefault="00E93211" w:rsidP="00AC5768">
            <w:pPr>
              <w:jc w:val="right"/>
              <w:rPr>
                <w:color w:val="000000" w:themeColor="text1"/>
                <w:sz w:val="20"/>
                <w:szCs w:val="20"/>
                <w:lang w:val="en-GB"/>
              </w:rPr>
            </w:pPr>
            <w:r>
              <w:rPr>
                <w:color w:val="000000" w:themeColor="text1"/>
                <w:sz w:val="20"/>
                <w:szCs w:val="20"/>
              </w:rPr>
              <w:t>201 139</w:t>
            </w:r>
          </w:p>
        </w:tc>
        <w:tc>
          <w:tcPr>
            <w:tcW w:w="0" w:type="auto"/>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E7A79F8" w14:textId="07AE3F93" w:rsidR="00AC5768" w:rsidRPr="00AC5768" w:rsidRDefault="00BE6256" w:rsidP="00AC5768">
            <w:pPr>
              <w:jc w:val="right"/>
              <w:rPr>
                <w:color w:val="000000" w:themeColor="text1"/>
                <w:sz w:val="20"/>
                <w:szCs w:val="20"/>
                <w:lang w:val="en-GB"/>
              </w:rPr>
            </w:pPr>
            <w:r>
              <w:rPr>
                <w:color w:val="000000" w:themeColor="text1"/>
                <w:sz w:val="20"/>
                <w:szCs w:val="20"/>
              </w:rPr>
              <w:t>21 697</w:t>
            </w:r>
          </w:p>
        </w:tc>
      </w:tr>
      <w:tr w:rsidR="00AC5768" w:rsidRPr="00D73D50" w14:paraId="7FD0A7A1" w14:textId="77777777" w:rsidTr="00047389">
        <w:trPr>
          <w:trHeight w:val="386"/>
        </w:trPr>
        <w:tc>
          <w:tcPr>
            <w:tcW w:w="0" w:type="auto"/>
            <w:tcMar>
              <w:left w:w="105" w:type="dxa"/>
              <w:right w:w="105" w:type="dxa"/>
            </w:tcMar>
            <w:vAlign w:val="center"/>
          </w:tcPr>
          <w:p w14:paraId="2BC86CA4" w14:textId="615DB86D" w:rsidR="00AC5768" w:rsidRPr="00AC5768" w:rsidRDefault="00AC5768" w:rsidP="00AC5768">
            <w:pPr>
              <w:pStyle w:val="ListParagraph"/>
              <w:numPr>
                <w:ilvl w:val="0"/>
                <w:numId w:val="36"/>
              </w:numPr>
              <w:rPr>
                <w:color w:val="000000"/>
                <w:sz w:val="20"/>
                <w:szCs w:val="20"/>
              </w:rPr>
            </w:pPr>
            <w:r>
              <w:rPr>
                <w:color w:val="000000"/>
                <w:sz w:val="20"/>
                <w:szCs w:val="20"/>
              </w:rPr>
              <w:t>Assistance technique</w:t>
            </w:r>
          </w:p>
        </w:tc>
        <w:tc>
          <w:tcPr>
            <w:tcW w:w="0" w:type="auto"/>
            <w:tcMar>
              <w:left w:w="105" w:type="dxa"/>
              <w:right w:w="105" w:type="dxa"/>
            </w:tcMar>
            <w:vAlign w:val="center"/>
          </w:tcPr>
          <w:p w14:paraId="42FCAB37" w14:textId="5B0893B7" w:rsidR="00AC5768" w:rsidRPr="006D7554" w:rsidRDefault="00304278" w:rsidP="00AC5768">
            <w:pPr>
              <w:jc w:val="right"/>
              <w:rPr>
                <w:color w:val="000000"/>
                <w:sz w:val="20"/>
                <w:szCs w:val="20"/>
                <w:lang w:val="es-MX"/>
              </w:rPr>
            </w:pPr>
            <w:r>
              <w:rPr>
                <w:color w:val="000000"/>
                <w:sz w:val="20"/>
                <w:szCs w:val="20"/>
              </w:rPr>
              <w:t>36 500</w:t>
            </w:r>
          </w:p>
        </w:tc>
        <w:tc>
          <w:tcPr>
            <w:tcW w:w="0" w:type="auto"/>
            <w:tcMar>
              <w:left w:w="105" w:type="dxa"/>
              <w:right w:w="105" w:type="dxa"/>
            </w:tcMar>
            <w:vAlign w:val="center"/>
          </w:tcPr>
          <w:p w14:paraId="72413C70" w14:textId="0C597C34" w:rsidR="00AC5768" w:rsidRPr="006D7554" w:rsidRDefault="00304278" w:rsidP="00AC5768">
            <w:pPr>
              <w:jc w:val="right"/>
              <w:rPr>
                <w:color w:val="000000"/>
                <w:sz w:val="20"/>
                <w:szCs w:val="20"/>
                <w:lang w:val="es-MX"/>
              </w:rPr>
            </w:pPr>
            <w:r>
              <w:rPr>
                <w:color w:val="000000"/>
                <w:sz w:val="20"/>
                <w:szCs w:val="20"/>
              </w:rPr>
              <w:t>25 000</w:t>
            </w:r>
          </w:p>
        </w:tc>
        <w:tc>
          <w:tcPr>
            <w:tcW w:w="0" w:type="auto"/>
            <w:tcBorders>
              <w:top w:val="single" w:sz="4" w:space="0" w:color="auto"/>
            </w:tcBorders>
            <w:tcMar>
              <w:left w:w="105" w:type="dxa"/>
              <w:right w:w="105" w:type="dxa"/>
            </w:tcMar>
            <w:vAlign w:val="center"/>
          </w:tcPr>
          <w:p w14:paraId="4BB87E43" w14:textId="46014139" w:rsidR="00AC5768" w:rsidRPr="006D7554" w:rsidRDefault="00BD331E" w:rsidP="00AC5768">
            <w:pPr>
              <w:jc w:val="right"/>
              <w:rPr>
                <w:color w:val="000000"/>
                <w:sz w:val="20"/>
                <w:szCs w:val="20"/>
                <w:lang w:val="es-MX"/>
              </w:rPr>
            </w:pPr>
            <w:r>
              <w:rPr>
                <w:color w:val="000000"/>
                <w:sz w:val="20"/>
                <w:szCs w:val="20"/>
              </w:rPr>
              <w:t>11 500</w:t>
            </w:r>
          </w:p>
        </w:tc>
      </w:tr>
      <w:tr w:rsidR="00AC5768" w:rsidRPr="00D73D50" w14:paraId="64176595" w14:textId="77777777" w:rsidTr="00047389">
        <w:trPr>
          <w:trHeight w:val="93"/>
        </w:trPr>
        <w:tc>
          <w:tcPr>
            <w:tcW w:w="0" w:type="auto"/>
            <w:tcMar>
              <w:left w:w="105" w:type="dxa"/>
              <w:right w:w="105" w:type="dxa"/>
            </w:tcMar>
            <w:vAlign w:val="center"/>
          </w:tcPr>
          <w:p w14:paraId="0C0CB588" w14:textId="7E865DF9" w:rsidR="00AC5768" w:rsidRPr="00AC5768" w:rsidRDefault="00AC5768" w:rsidP="00AC5768">
            <w:pPr>
              <w:pStyle w:val="ListParagraph"/>
              <w:numPr>
                <w:ilvl w:val="0"/>
                <w:numId w:val="36"/>
              </w:numPr>
              <w:jc w:val="left"/>
              <w:rPr>
                <w:color w:val="000000"/>
                <w:sz w:val="20"/>
                <w:szCs w:val="20"/>
              </w:rPr>
            </w:pPr>
            <w:r>
              <w:rPr>
                <w:color w:val="000000"/>
                <w:sz w:val="20"/>
                <w:szCs w:val="20"/>
              </w:rPr>
              <w:t>Élaboration de MEPS et d'étiquettes pour les réfrigérateurs commerciaux</w:t>
            </w:r>
          </w:p>
        </w:tc>
        <w:tc>
          <w:tcPr>
            <w:tcW w:w="0" w:type="auto"/>
            <w:tcMar>
              <w:left w:w="105" w:type="dxa"/>
              <w:right w:w="105" w:type="dxa"/>
            </w:tcMar>
            <w:vAlign w:val="center"/>
          </w:tcPr>
          <w:p w14:paraId="5E9CDA87" w14:textId="5ABB1FBB" w:rsidR="00AC5768" w:rsidRPr="006D7554" w:rsidRDefault="00AC5768" w:rsidP="00AC5768">
            <w:pPr>
              <w:jc w:val="right"/>
              <w:rPr>
                <w:color w:val="000000"/>
                <w:sz w:val="20"/>
                <w:szCs w:val="20"/>
                <w:lang w:val="es-MX"/>
              </w:rPr>
            </w:pPr>
            <w:r>
              <w:rPr>
                <w:color w:val="000000"/>
                <w:sz w:val="20"/>
                <w:szCs w:val="20"/>
              </w:rPr>
              <w:t>30 000</w:t>
            </w:r>
          </w:p>
        </w:tc>
        <w:tc>
          <w:tcPr>
            <w:tcW w:w="0" w:type="auto"/>
            <w:tcMar>
              <w:left w:w="105" w:type="dxa"/>
              <w:right w:w="105" w:type="dxa"/>
            </w:tcMar>
            <w:vAlign w:val="center"/>
          </w:tcPr>
          <w:p w14:paraId="427848C1" w14:textId="71A2BDF6" w:rsidR="00AC5768" w:rsidRPr="006D7554" w:rsidRDefault="00AC5768" w:rsidP="00AC5768">
            <w:pPr>
              <w:jc w:val="right"/>
              <w:rPr>
                <w:color w:val="000000"/>
                <w:sz w:val="20"/>
                <w:szCs w:val="20"/>
                <w:lang w:val="es-MX"/>
              </w:rPr>
            </w:pPr>
            <w:r>
              <w:rPr>
                <w:color w:val="000000"/>
                <w:sz w:val="20"/>
                <w:szCs w:val="20"/>
              </w:rPr>
              <w:t>30 000</w:t>
            </w:r>
          </w:p>
        </w:tc>
        <w:tc>
          <w:tcPr>
            <w:tcW w:w="0" w:type="auto"/>
            <w:tcMar>
              <w:left w:w="105" w:type="dxa"/>
              <w:right w:w="105" w:type="dxa"/>
            </w:tcMar>
            <w:vAlign w:val="center"/>
          </w:tcPr>
          <w:p w14:paraId="1B8BFA8B" w14:textId="49250B4E" w:rsidR="00AC5768" w:rsidRPr="006D7554" w:rsidRDefault="00941C3B" w:rsidP="00AC5768">
            <w:pPr>
              <w:jc w:val="right"/>
              <w:rPr>
                <w:color w:val="000000"/>
                <w:sz w:val="20"/>
                <w:szCs w:val="20"/>
                <w:lang w:val="es-MX"/>
              </w:rPr>
            </w:pPr>
            <w:r>
              <w:rPr>
                <w:color w:val="000000"/>
                <w:sz w:val="20"/>
                <w:szCs w:val="20"/>
              </w:rPr>
              <w:t>-</w:t>
            </w:r>
          </w:p>
        </w:tc>
      </w:tr>
      <w:tr w:rsidR="00AC5768" w:rsidRPr="00D73D50" w14:paraId="36A23113" w14:textId="77777777" w:rsidTr="00047389">
        <w:trPr>
          <w:trHeight w:val="466"/>
        </w:trPr>
        <w:tc>
          <w:tcPr>
            <w:tcW w:w="0" w:type="auto"/>
            <w:tcMar>
              <w:left w:w="105" w:type="dxa"/>
              <w:right w:w="105" w:type="dxa"/>
            </w:tcMar>
            <w:vAlign w:val="center"/>
          </w:tcPr>
          <w:p w14:paraId="0968E366" w14:textId="08697580" w:rsidR="00AC5768" w:rsidRPr="006D7554" w:rsidRDefault="00AC5768" w:rsidP="00AC5768">
            <w:pPr>
              <w:jc w:val="left"/>
              <w:rPr>
                <w:b/>
                <w:bCs/>
                <w:color w:val="000000" w:themeColor="text1"/>
                <w:sz w:val="20"/>
                <w:szCs w:val="20"/>
                <w:lang w:val="en-GB"/>
              </w:rPr>
            </w:pPr>
            <w:r>
              <w:rPr>
                <w:b/>
                <w:bCs/>
                <w:color w:val="000000" w:themeColor="text1"/>
                <w:sz w:val="20"/>
                <w:szCs w:val="20"/>
              </w:rPr>
              <w:t>TOTAL*</w:t>
            </w:r>
          </w:p>
        </w:tc>
        <w:tc>
          <w:tcPr>
            <w:tcW w:w="0" w:type="auto"/>
            <w:tcMar>
              <w:left w:w="105" w:type="dxa"/>
              <w:right w:w="105" w:type="dxa"/>
            </w:tcMar>
            <w:vAlign w:val="center"/>
          </w:tcPr>
          <w:p w14:paraId="17E8691E" w14:textId="4A4D26A0" w:rsidR="00AC5768" w:rsidRPr="006D7554" w:rsidRDefault="006F436E" w:rsidP="00AC5768">
            <w:pPr>
              <w:jc w:val="right"/>
              <w:rPr>
                <w:b/>
                <w:bCs/>
                <w:color w:val="000000" w:themeColor="text1"/>
                <w:sz w:val="20"/>
                <w:szCs w:val="20"/>
                <w:lang w:val="en-GB"/>
              </w:rPr>
            </w:pPr>
            <w:r>
              <w:rPr>
                <w:b/>
                <w:bCs/>
                <w:color w:val="000000" w:themeColor="text1"/>
                <w:sz w:val="20"/>
                <w:szCs w:val="20"/>
              </w:rPr>
              <w:fldChar w:fldCharType="begin"/>
            </w:r>
            <w:r>
              <w:rPr>
                <w:b/>
                <w:bCs/>
                <w:color w:val="000000" w:themeColor="text1"/>
                <w:sz w:val="20"/>
                <w:szCs w:val="20"/>
                <w:lang w:val="en-GB"/>
              </w:rPr>
              <w:instrText xml:space="preserve"> =SUM(ABOVE) </w:instrText>
            </w:r>
            <w:r>
              <w:rPr>
                <w:b/>
                <w:bCs/>
                <w:color w:val="000000" w:themeColor="text1"/>
                <w:sz w:val="20"/>
                <w:szCs w:val="20"/>
                <w:lang w:val="en-GB"/>
              </w:rPr>
              <w:fldChar w:fldCharType="separate"/>
            </w:r>
            <w:r>
              <w:rPr>
                <w:b/>
                <w:bCs/>
                <w:noProof/>
                <w:color w:val="000000" w:themeColor="text1"/>
                <w:sz w:val="20"/>
                <w:szCs w:val="20"/>
                <w:lang w:val="en-GB"/>
              </w:rPr>
              <w:t>28</w:t>
            </w:r>
            <w:r w:rsidR="00BD331E">
              <w:rPr>
                <w:b/>
                <w:bCs/>
                <w:noProof/>
                <w:color w:val="000000" w:themeColor="text1"/>
                <w:sz w:val="20"/>
                <w:szCs w:val="20"/>
                <w:lang w:val="en-GB"/>
              </w:rPr>
              <w:t>9</w:t>
            </w:r>
            <w:r w:rsidR="00CA52BF">
              <w:rPr>
                <w:b/>
                <w:bCs/>
                <w:noProof/>
                <w:color w:val="000000" w:themeColor="text1"/>
                <w:sz w:val="20"/>
                <w:szCs w:val="20"/>
                <w:lang w:val="en-GB"/>
              </w:rPr>
              <w:t> </w:t>
            </w:r>
            <w:r>
              <w:rPr>
                <w:b/>
                <w:bCs/>
                <w:noProof/>
                <w:color w:val="000000" w:themeColor="text1"/>
                <w:sz w:val="20"/>
                <w:szCs w:val="20"/>
                <w:lang w:val="en-GB"/>
              </w:rPr>
              <w:t>336</w:t>
            </w:r>
            <w:r>
              <w:rPr>
                <w:b/>
                <w:bCs/>
                <w:color w:val="000000" w:themeColor="text1"/>
                <w:sz w:val="20"/>
                <w:szCs w:val="20"/>
                <w:lang w:val="en-GB"/>
              </w:rPr>
              <w:fldChar w:fldCharType="end"/>
            </w:r>
          </w:p>
        </w:tc>
        <w:tc>
          <w:tcPr>
            <w:tcW w:w="0" w:type="auto"/>
            <w:tcMar>
              <w:left w:w="105" w:type="dxa"/>
              <w:right w:w="105" w:type="dxa"/>
            </w:tcMar>
            <w:vAlign w:val="center"/>
          </w:tcPr>
          <w:p w14:paraId="4A156C0E" w14:textId="773D1B66" w:rsidR="00AC5768" w:rsidRPr="006D7554" w:rsidRDefault="00C66570" w:rsidP="00C66570">
            <w:pPr>
              <w:jc w:val="right"/>
              <w:rPr>
                <w:b/>
                <w:bCs/>
                <w:color w:val="000000" w:themeColor="text1"/>
                <w:sz w:val="20"/>
                <w:szCs w:val="20"/>
                <w:lang w:val="en-GB"/>
              </w:rPr>
            </w:pPr>
            <w:r>
              <w:rPr>
                <w:b/>
                <w:bCs/>
                <w:color w:val="000000" w:themeColor="text1"/>
                <w:sz w:val="20"/>
                <w:szCs w:val="20"/>
              </w:rPr>
              <w:fldChar w:fldCharType="begin"/>
            </w:r>
            <w:r>
              <w:rPr>
                <w:b/>
                <w:bCs/>
                <w:color w:val="000000" w:themeColor="text1"/>
                <w:sz w:val="20"/>
                <w:szCs w:val="20"/>
                <w:lang w:val="en-GB"/>
              </w:rPr>
              <w:instrText xml:space="preserve"> =SUM(ABOVE) </w:instrText>
            </w:r>
            <w:r>
              <w:rPr>
                <w:b/>
                <w:bCs/>
                <w:color w:val="000000" w:themeColor="text1"/>
                <w:sz w:val="20"/>
                <w:szCs w:val="20"/>
                <w:lang w:val="en-GB"/>
              </w:rPr>
              <w:fldChar w:fldCharType="separate"/>
            </w:r>
            <w:r>
              <w:rPr>
                <w:b/>
                <w:bCs/>
                <w:noProof/>
                <w:color w:val="000000" w:themeColor="text1"/>
                <w:sz w:val="20"/>
                <w:szCs w:val="20"/>
                <w:lang w:val="en-GB"/>
              </w:rPr>
              <w:t>256</w:t>
            </w:r>
            <w:r w:rsidR="000F48CC">
              <w:rPr>
                <w:b/>
                <w:bCs/>
                <w:noProof/>
                <w:color w:val="000000" w:themeColor="text1"/>
                <w:sz w:val="20"/>
                <w:szCs w:val="20"/>
                <w:lang w:val="en-GB"/>
              </w:rPr>
              <w:t> </w:t>
            </w:r>
            <w:r>
              <w:rPr>
                <w:b/>
                <w:bCs/>
                <w:noProof/>
                <w:color w:val="000000" w:themeColor="text1"/>
                <w:sz w:val="20"/>
                <w:szCs w:val="20"/>
                <w:lang w:val="en-GB"/>
              </w:rPr>
              <w:t>139</w:t>
            </w:r>
            <w:r>
              <w:rPr>
                <w:b/>
                <w:bCs/>
                <w:color w:val="000000" w:themeColor="text1"/>
                <w:sz w:val="20"/>
                <w:szCs w:val="20"/>
                <w:lang w:val="en-GB"/>
              </w:rPr>
              <w:fldChar w:fldCharType="end"/>
            </w:r>
          </w:p>
        </w:tc>
        <w:tc>
          <w:tcPr>
            <w:tcW w:w="0" w:type="auto"/>
            <w:tcMar>
              <w:left w:w="105" w:type="dxa"/>
              <w:right w:w="105" w:type="dxa"/>
            </w:tcMar>
            <w:vAlign w:val="center"/>
          </w:tcPr>
          <w:p w14:paraId="32DF2BDB" w14:textId="05AF89A9" w:rsidR="003A4F46" w:rsidRPr="006D7554" w:rsidRDefault="00C66570" w:rsidP="003A4F46">
            <w:pPr>
              <w:jc w:val="right"/>
              <w:rPr>
                <w:b/>
                <w:bCs/>
                <w:color w:val="000000" w:themeColor="text1"/>
                <w:sz w:val="20"/>
                <w:szCs w:val="20"/>
                <w:lang w:val="en-GB"/>
              </w:rPr>
            </w:pPr>
            <w:r>
              <w:rPr>
                <w:b/>
                <w:bCs/>
                <w:color w:val="000000" w:themeColor="text1"/>
                <w:sz w:val="20"/>
                <w:szCs w:val="20"/>
              </w:rPr>
              <w:fldChar w:fldCharType="begin"/>
            </w:r>
            <w:r>
              <w:rPr>
                <w:b/>
                <w:bCs/>
                <w:color w:val="000000" w:themeColor="text1"/>
                <w:sz w:val="20"/>
                <w:szCs w:val="20"/>
                <w:lang w:val="en-GB"/>
              </w:rPr>
              <w:instrText xml:space="preserve"> =SUM(ABOVE) </w:instrText>
            </w:r>
            <w:r>
              <w:rPr>
                <w:b/>
                <w:bCs/>
                <w:color w:val="000000" w:themeColor="text1"/>
                <w:sz w:val="20"/>
                <w:szCs w:val="20"/>
                <w:lang w:val="en-GB"/>
              </w:rPr>
              <w:fldChar w:fldCharType="separate"/>
            </w:r>
            <w:r w:rsidR="00BD331E">
              <w:rPr>
                <w:b/>
                <w:bCs/>
                <w:noProof/>
                <w:color w:val="000000" w:themeColor="text1"/>
                <w:sz w:val="20"/>
                <w:szCs w:val="20"/>
                <w:lang w:val="en-GB"/>
              </w:rPr>
              <w:t>33</w:t>
            </w:r>
            <w:r w:rsidR="000F48CC">
              <w:rPr>
                <w:b/>
                <w:bCs/>
                <w:noProof/>
                <w:color w:val="000000" w:themeColor="text1"/>
                <w:sz w:val="20"/>
                <w:szCs w:val="20"/>
                <w:lang w:val="en-GB"/>
              </w:rPr>
              <w:t> </w:t>
            </w:r>
            <w:r>
              <w:rPr>
                <w:b/>
                <w:bCs/>
                <w:noProof/>
                <w:color w:val="000000" w:themeColor="text1"/>
                <w:sz w:val="20"/>
                <w:szCs w:val="20"/>
                <w:lang w:val="en-GB"/>
              </w:rPr>
              <w:t>197</w:t>
            </w:r>
            <w:r>
              <w:rPr>
                <w:b/>
                <w:bCs/>
                <w:color w:val="000000" w:themeColor="text1"/>
                <w:sz w:val="20"/>
                <w:szCs w:val="20"/>
                <w:lang w:val="en-GB"/>
              </w:rPr>
              <w:fldChar w:fldCharType="end"/>
            </w:r>
          </w:p>
        </w:tc>
      </w:tr>
    </w:tbl>
    <w:p w14:paraId="3C55DBDE" w14:textId="030CCE84" w:rsidR="00F27A01" w:rsidRPr="00D623AF" w:rsidRDefault="00685724" w:rsidP="00F27A01">
      <w:pPr>
        <w:spacing w:after="240"/>
        <w:outlineLvl w:val="0"/>
        <w:rPr>
          <w:sz w:val="20"/>
          <w:szCs w:val="20"/>
          <w:lang w:val="fr-FR"/>
        </w:rPr>
      </w:pPr>
      <w:r>
        <w:t>* Contribution en nature sous forme de matériel de formation, de formation des techniciens, d'équipement pour les centres de formation et d'aide à la rédaction des MEPS et des étiquettes pour la réfrigération commerciale.</w:t>
      </w:r>
    </w:p>
    <w:p w14:paraId="6699305B" w14:textId="148284B4" w:rsidR="00070801" w:rsidRDefault="00070801" w:rsidP="007E684B">
      <w:pPr>
        <w:keepNext/>
        <w:rPr>
          <w:u w:val="single"/>
        </w:rPr>
      </w:pPr>
      <w:r>
        <w:rPr>
          <w:u w:val="single"/>
        </w:rPr>
        <w:t xml:space="preserve">Améliorations en termes de rendement énergétique et estimations préliminaires des économies d'électricité </w:t>
      </w:r>
    </w:p>
    <w:p w14:paraId="5B4E69CF" w14:textId="77777777" w:rsidR="00070801" w:rsidRDefault="00070801" w:rsidP="007E684B">
      <w:pPr>
        <w:keepNext/>
        <w:rPr>
          <w:u w:val="single"/>
        </w:rPr>
      </w:pPr>
    </w:p>
    <w:p w14:paraId="69E8193A" w14:textId="34603497" w:rsidR="00070801" w:rsidRDefault="00070801" w:rsidP="00070801">
      <w:pPr>
        <w:pStyle w:val="Heading1"/>
      </w:pPr>
      <w:r>
        <w:t xml:space="preserve">Le Gouvernement du Royaume-Uni a estimé que le remplacement des appareils fonctionnant au HFC par des systèmes à haut rendement utilisant des frigorigènes à faible PRP permettrait de réaliser des économies d'énergie d'environ 40 % (95 058 kWh/an) et que les économies d'électricité annuelles s'élèveraient à 31 643 $US. </w:t>
      </w:r>
    </w:p>
    <w:p w14:paraId="725A1442" w14:textId="71411C50" w:rsidR="00891B19" w:rsidRPr="00D623AF" w:rsidRDefault="00891B19" w:rsidP="00FA18C2">
      <w:pPr>
        <w:pStyle w:val="Heading1"/>
        <w:keepNext/>
        <w:numPr>
          <w:ilvl w:val="0"/>
          <w:numId w:val="0"/>
        </w:numPr>
        <w:rPr>
          <w:u w:val="single"/>
          <w:lang w:val="fr-FR"/>
        </w:rPr>
      </w:pPr>
      <w:r>
        <w:rPr>
          <w:u w:val="single"/>
        </w:rPr>
        <w:t>Durabilité, reproductibilité et évaluation des risques</w:t>
      </w:r>
    </w:p>
    <w:p w14:paraId="4A3E02C8" w14:textId="63173C42" w:rsidR="00BB1907" w:rsidRPr="00D623AF" w:rsidRDefault="00453347" w:rsidP="00F854DE">
      <w:pPr>
        <w:pStyle w:val="Heading1"/>
        <w:rPr>
          <w:lang w:val="fr-FR"/>
        </w:rPr>
      </w:pPr>
      <w:r>
        <w:t xml:space="preserve">Le projet pilote actuel permettrait de démontrer aux parties prenantes nationales concernées les performances des appareils de réfrigération commerciale à haut rendement énergétique et fonctionnant au HC dans les supermarchés. Le projet prendra également en charge l'élaboration de MEPS pour les appareils de réfrigération commerciale. Les efforts de sensibilisation et de rayonnement favoriseront une adoption plus large de cette technologie. La Sierra Leone compte environ 39 grandes et moyennes surfaces, soit une augmentation de 8,33 % depuis 2023, la demande croissante étant stimulée par la croissance démographique. La plupart des supermarchés existants et récemment installés utilisent des frigorigènes HFC tels que le R-404A et le HFC-134a, ce qui présente un fort potentiel de reproduction. Le supermarché bénéficiaire mettra les nouveaux systèmes installés à la disposition des techniciens et spécialistes locaux afin de valider le concept. Les économies d'énergie réalisées grâce au projet seront largement diffusées auprès des parties prenantes concernées. Ainsi, ce projet contribuerait à accélérer l'adoption d'appareils de réfrigération commerciale à haut rendement énergétique fonctionnant au HC et soutiendrait l'adoption par la Sierra Leone de MEPS pour les appareils de réfrigération commerciale. Le principal risque identifié est l'adoption de la technologie. Ce risque sera atténué par la mise en œuvre d'activités de formation et de sensibilisation, notamment la formation des techniciens à la manipulation des appareils HC, prévue dans le cadre de la phase I du KIP. </w:t>
      </w:r>
    </w:p>
    <w:p w14:paraId="3DAB84D7" w14:textId="69142549" w:rsidR="00891B19" w:rsidRPr="00C753E5" w:rsidRDefault="00453347" w:rsidP="00B641DF">
      <w:pPr>
        <w:pStyle w:val="Heading1"/>
        <w:keepNext/>
        <w:numPr>
          <w:ilvl w:val="0"/>
          <w:numId w:val="0"/>
        </w:numPr>
        <w:rPr>
          <w:lang w:val="en-GB"/>
        </w:rPr>
      </w:pPr>
      <w:r>
        <w:rPr>
          <w:b/>
        </w:rPr>
        <w:t>RECOMMANDATION</w:t>
      </w:r>
    </w:p>
    <w:p w14:paraId="781409C3" w14:textId="58054957" w:rsidR="00891B19" w:rsidRPr="00D623AF" w:rsidRDefault="00891B19" w:rsidP="00891B19">
      <w:pPr>
        <w:numPr>
          <w:ilvl w:val="0"/>
          <w:numId w:val="1"/>
        </w:numPr>
        <w:spacing w:after="240"/>
        <w:outlineLvl w:val="0"/>
        <w:rPr>
          <w:lang w:val="fr-FR"/>
        </w:rPr>
      </w:pPr>
      <w:r>
        <w:t>Le Comité exécutif pourrait envisager d'approuver le projet pilote visant à maintenir et/ou à améliorer le rendement énergétique des technologies et appareils de remplacement dans le cadre de la réduction des HFC (activités ne nécessitant pas d'investissement) : projet de démonstration pour l'utilisation du R-290 comme frigorigène dans la réfrigération commerciale en Sierra Leone, d'un montant de 256 139 $US, auxquels s'ajoutent les coûts d'appui des agences de 33 298 $US pour le Gouvernement du Royaume-Uni de Grande-Bretagne et d'Irlande du Nord, en notant :</w:t>
      </w:r>
    </w:p>
    <w:p w14:paraId="33C77FFE" w14:textId="09ADEFF3" w:rsidR="00891B19" w:rsidRPr="00D623AF" w:rsidRDefault="00891B19" w:rsidP="00891B19">
      <w:pPr>
        <w:widowControl w:val="0"/>
        <w:numPr>
          <w:ilvl w:val="1"/>
          <w:numId w:val="23"/>
        </w:numPr>
        <w:spacing w:after="240"/>
        <w:ind w:left="1418" w:hanging="709"/>
        <w:outlineLvl w:val="1"/>
        <w:rPr>
          <w:lang w:val="fr-FR"/>
        </w:rPr>
      </w:pPr>
      <w:r>
        <w:t xml:space="preserve">Que le Gouvernement de la Sierra Leone s'est engagé à respecter les conditions énoncées dans la décision 91/65 b) iv)b. à b iv)d. ; </w:t>
      </w:r>
    </w:p>
    <w:p w14:paraId="02CC31CA" w14:textId="36FA6A31" w:rsidR="00FB3210" w:rsidRPr="00D623AF" w:rsidRDefault="008A24A1" w:rsidP="00FB3210">
      <w:pPr>
        <w:widowControl w:val="0"/>
        <w:numPr>
          <w:ilvl w:val="1"/>
          <w:numId w:val="23"/>
        </w:numPr>
        <w:spacing w:after="240"/>
        <w:ind w:left="1418" w:hanging="709"/>
        <w:outlineLvl w:val="1"/>
        <w:rPr>
          <w:lang w:val="fr-FR"/>
        </w:rPr>
      </w:pPr>
      <w:r>
        <w:lastRenderedPageBreak/>
        <w:t>Que le Gouvernement de la Sierra Leone élabore des normes minimales de performance énergétique et des étiquettes pour les appareils de réfrigération commerciale d'ici au 31 décembre 2027 ; et</w:t>
      </w:r>
    </w:p>
    <w:p w14:paraId="0785FA62" w14:textId="3431CF71" w:rsidR="00891B19" w:rsidRPr="00D623AF" w:rsidRDefault="00891B19" w:rsidP="00891B19">
      <w:pPr>
        <w:widowControl w:val="0"/>
        <w:numPr>
          <w:ilvl w:val="1"/>
          <w:numId w:val="23"/>
        </w:numPr>
        <w:spacing w:after="240"/>
        <w:ind w:left="1418" w:hanging="709"/>
        <w:outlineLvl w:val="1"/>
        <w:rPr>
          <w:lang w:val="fr-FR"/>
        </w:rPr>
      </w:pPr>
      <w:r>
        <w:t xml:space="preserve">Que le projet serait achevé sur le plan opérationnel au plus tard le 31 décembre 2027 et qu'un rapport détaillé sur le projet serait soumis au Comité exécutif dans les six mois suivant la date d'achèvement du projet, comprenant une description détaillée des activités entreprises pour diffuser les résultats des démonstrations technologiques et promouvoir l'adoption des technologies de remplacement à haut rendement énergétique sélectionnées.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91B19" w:rsidRPr="00891B19" w14:paraId="0C5F3978" w14:textId="77777777" w:rsidTr="001945B0">
        <w:tc>
          <w:tcPr>
            <w:tcW w:w="1870" w:type="dxa"/>
          </w:tcPr>
          <w:p w14:paraId="39E3438A" w14:textId="77777777" w:rsidR="00891B19" w:rsidRPr="00D623AF" w:rsidRDefault="00891B19" w:rsidP="00891B19">
            <w:pPr>
              <w:rPr>
                <w:lang w:val="fr-FR"/>
              </w:rPr>
            </w:pPr>
          </w:p>
        </w:tc>
        <w:tc>
          <w:tcPr>
            <w:tcW w:w="1870" w:type="dxa"/>
          </w:tcPr>
          <w:p w14:paraId="5EA2D8FA" w14:textId="77777777" w:rsidR="00891B19" w:rsidRPr="00D623AF" w:rsidRDefault="00891B19" w:rsidP="00891B19">
            <w:pPr>
              <w:rPr>
                <w:lang w:val="fr-FR"/>
              </w:rPr>
            </w:pPr>
          </w:p>
        </w:tc>
        <w:tc>
          <w:tcPr>
            <w:tcW w:w="1870" w:type="dxa"/>
            <w:tcBorders>
              <w:bottom w:val="single" w:sz="4" w:space="0" w:color="auto"/>
            </w:tcBorders>
          </w:tcPr>
          <w:p w14:paraId="286AD27A" w14:textId="77777777" w:rsidR="00891B19" w:rsidRPr="00D623AF" w:rsidRDefault="00891B19" w:rsidP="00891B19">
            <w:pPr>
              <w:rPr>
                <w:lang w:val="fr-FR"/>
              </w:rPr>
            </w:pPr>
          </w:p>
        </w:tc>
        <w:tc>
          <w:tcPr>
            <w:tcW w:w="1870" w:type="dxa"/>
          </w:tcPr>
          <w:p w14:paraId="25195C20" w14:textId="77777777" w:rsidR="00891B19" w:rsidRPr="00D623AF" w:rsidRDefault="00891B19" w:rsidP="00891B19">
            <w:pPr>
              <w:rPr>
                <w:lang w:val="fr-FR"/>
              </w:rPr>
            </w:pPr>
          </w:p>
        </w:tc>
        <w:tc>
          <w:tcPr>
            <w:tcW w:w="1870" w:type="dxa"/>
          </w:tcPr>
          <w:p w14:paraId="58F00E3E" w14:textId="77777777" w:rsidR="00891B19" w:rsidRPr="00D623AF" w:rsidRDefault="00891B19" w:rsidP="00891B19">
            <w:pPr>
              <w:rPr>
                <w:lang w:val="fr-FR"/>
              </w:rPr>
            </w:pPr>
          </w:p>
        </w:tc>
      </w:tr>
    </w:tbl>
    <w:p w14:paraId="74DBB4A4" w14:textId="77777777" w:rsidR="00E85409" w:rsidRPr="009B0D30" w:rsidRDefault="00E85409" w:rsidP="00532AC0"/>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19CA4" w14:textId="77777777" w:rsidR="0010509B" w:rsidRDefault="0010509B" w:rsidP="004A504B">
      <w:r>
        <w:separator/>
      </w:r>
    </w:p>
  </w:endnote>
  <w:endnote w:type="continuationSeparator" w:id="0">
    <w:p w14:paraId="048B54FF" w14:textId="77777777" w:rsidR="0010509B" w:rsidRDefault="001050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19EF8" w14:textId="77777777" w:rsidR="003F5A5C" w:rsidRDefault="003F5A5C" w:rsidP="003F5A5C">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169DC508" w14:textId="461C54CE" w:rsidR="004E7F9C" w:rsidRDefault="003F5A5C" w:rsidP="003F5A5C">
    <w:pPr>
      <w:pBdr>
        <w:top w:val="single" w:sz="4" w:space="1" w:color="auto"/>
        <w:left w:val="single" w:sz="4" w:space="4" w:color="auto"/>
        <w:bottom w:val="single" w:sz="4" w:space="1" w:color="auto"/>
        <w:right w:val="single" w:sz="4" w:space="4" w:color="auto"/>
      </w:pBdr>
      <w:jc w:val="center"/>
      <w:rPr>
        <w:sz w:val="18"/>
        <w:szCs w:val="18"/>
      </w:rPr>
    </w:pPr>
    <w:r w:rsidRPr="00C72ACD">
      <w:rPr>
        <w:rFonts w:cs="MS Serif"/>
        <w:sz w:val="18"/>
        <w:szCs w:val="18"/>
        <w:lang w:val="fr-FR"/>
      </w:rPr>
      <w:t>sont présentés sous réserve des décisions pouvant être prises par le Comité exécutif après leur publication.</w:t>
    </w:r>
  </w:p>
  <w:p w14:paraId="3D9C7DE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BF35F" w14:textId="77777777" w:rsidR="0010509B" w:rsidRDefault="0010509B" w:rsidP="004A504B">
      <w:r>
        <w:separator/>
      </w:r>
    </w:p>
  </w:footnote>
  <w:footnote w:type="continuationSeparator" w:id="0">
    <w:p w14:paraId="16700D36" w14:textId="77777777" w:rsidR="0010509B" w:rsidRDefault="0010509B" w:rsidP="004A504B">
      <w:r>
        <w:continuationSeparator/>
      </w:r>
    </w:p>
  </w:footnote>
  <w:footnote w:id="1">
    <w:p w14:paraId="64356227" w14:textId="77777777" w:rsidR="0079781A" w:rsidRPr="00D623AF" w:rsidRDefault="0079781A" w:rsidP="0079781A">
      <w:pPr>
        <w:pStyle w:val="FootnoteText"/>
        <w:rPr>
          <w:lang w:val="fr-FR"/>
        </w:rPr>
      </w:pPr>
      <w:r>
        <w:rPr>
          <w:rStyle w:val="FootnoteReference"/>
        </w:rPr>
        <w:footnoteRef/>
      </w:r>
      <w:r>
        <w:t xml:space="preserve"> UNEP/OzL.Pro/ExCom/97/1</w:t>
      </w:r>
    </w:p>
  </w:footnote>
  <w:footnote w:id="2">
    <w:p w14:paraId="11C28ACD" w14:textId="2E6BEA7E" w:rsidR="009264C2" w:rsidRPr="009264C2" w:rsidRDefault="009264C2">
      <w:pPr>
        <w:pStyle w:val="FootnoteText"/>
      </w:pPr>
      <w:r>
        <w:rPr>
          <w:rStyle w:val="FootnoteReference"/>
        </w:rPr>
        <w:footnoteRef/>
      </w:r>
      <w:r>
        <w:t xml:space="preserve"> Le projet proposé sera soutenu par l'assistance bilatérale du Gouvernement du Royaume-Uni et mis en œuvre par le Gouvernement allemand.</w:t>
      </w:r>
    </w:p>
  </w:footnote>
  <w:footnote w:id="3">
    <w:p w14:paraId="48B544FC" w14:textId="4801D511" w:rsidR="00891B19" w:rsidRPr="00D623AF" w:rsidRDefault="00891B19" w:rsidP="00891B19">
      <w:pPr>
        <w:pStyle w:val="FootnoteText"/>
        <w:rPr>
          <w:lang w:val="fr-FR"/>
        </w:rPr>
      </w:pPr>
      <w:r>
        <w:rPr>
          <w:rStyle w:val="FootnoteReference"/>
        </w:rPr>
        <w:footnoteRef/>
      </w:r>
      <w:r>
        <w:t xml:space="preserve"> Selon la lettre du 22 août 2025 de l'</w:t>
      </w:r>
      <w:bookmarkStart w:id="3" w:name="_Hlk209096937"/>
      <w:r>
        <w:t xml:space="preserve">Agence de protection de l'environnement </w:t>
      </w:r>
      <w:bookmarkEnd w:id="3"/>
      <w:r>
        <w:t>de Sierra Leone au secrétariat.</w:t>
      </w:r>
    </w:p>
  </w:footnote>
  <w:footnote w:id="4">
    <w:p w14:paraId="7C367689" w14:textId="77777777" w:rsidR="00FF12DC" w:rsidRPr="00D623AF" w:rsidRDefault="00FF12DC" w:rsidP="00FF12DC">
      <w:pPr>
        <w:pStyle w:val="FootnoteText"/>
        <w:rPr>
          <w:lang w:val="fr-FR"/>
        </w:rPr>
      </w:pPr>
      <w:r>
        <w:rPr>
          <w:rStyle w:val="FootnoteReference"/>
        </w:rPr>
        <w:footnoteRef/>
      </w:r>
      <w:r>
        <w:t xml:space="preserve"> Décision 93/36</w:t>
      </w:r>
    </w:p>
  </w:footnote>
  <w:footnote w:id="5">
    <w:p w14:paraId="506E6034" w14:textId="77777777" w:rsidR="00FF12DC" w:rsidRPr="00D623AF" w:rsidRDefault="00FF12DC" w:rsidP="00FF12DC">
      <w:pPr>
        <w:pStyle w:val="FootnoteText"/>
        <w:rPr>
          <w:lang w:val="fr-FR"/>
        </w:rPr>
      </w:pPr>
      <w:r>
        <w:rPr>
          <w:rStyle w:val="FootnoteReference"/>
        </w:rPr>
        <w:footnoteRef/>
      </w:r>
      <w:r>
        <w:t xml:space="preserve"> Communauté économique des États de l'Afrique de l'Ouest</w:t>
      </w:r>
    </w:p>
  </w:footnote>
  <w:footnote w:id="6">
    <w:p w14:paraId="2528C0D2" w14:textId="14164D4C" w:rsidR="00026973" w:rsidRPr="00026973" w:rsidRDefault="00026973">
      <w:pPr>
        <w:pStyle w:val="FootnoteText"/>
      </w:pPr>
      <w:r>
        <w:rPr>
          <w:rStyle w:val="FootnoteReference"/>
        </w:rPr>
        <w:footnoteRef/>
      </w:r>
      <w:r>
        <w:t xml:space="preserve"> Décision 94/52</w:t>
      </w:r>
    </w:p>
  </w:footnote>
  <w:footnote w:id="7">
    <w:p w14:paraId="40EDE27C" w14:textId="53F6D1F3" w:rsidR="007077C4" w:rsidRPr="00D623AF" w:rsidRDefault="007077C4">
      <w:pPr>
        <w:pStyle w:val="FootnoteText"/>
        <w:rPr>
          <w:lang w:val="fr-FR"/>
        </w:rPr>
      </w:pPr>
      <w:r>
        <w:rPr>
          <w:rStyle w:val="FootnoteReference"/>
        </w:rPr>
        <w:footnoteRef/>
      </w:r>
      <w:r>
        <w:t xml:space="preserve"> Deux vitrines réfrigérées (2 m) avec vitre, deux vitrines réfrigérées (2,5 m) avec vitre, 17 congélateurs coffres (1,8 m) avec portes vitrées (600 l), 17 congélateurs coffres à glaces (1,4 m) avec portes vitrées (400 l), 10 rafraîchisseurs de bouteilles multi-étages enfichables (1,1 m) avec portes vitrées (1 100 l), deux machines à glaçons 400 kg, une armoire multiétages à légumes (2 m) (2 000 l), une armoire réfrigérée pour viande suspendue avec trois portes vitrées (2 m) (2 000 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3B2857CC" w:rsidR="00DC6A10" w:rsidRPr="0033525D" w:rsidRDefault="00C11D3F">
    <w:fldSimple w:instr=" DOCPROPERTY &quot;Document number&quot;  \* MERGEFORMAT ">
      <w:r w:rsidR="00D623AF">
        <w:t>UNEP/OzL.Pro/ExCom/97/75</w:t>
      </w:r>
    </w:fldSimple>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768B8C4D" w:rsidR="00DC6A10" w:rsidRPr="0033525D" w:rsidRDefault="00C11D3F">
    <w:pPr>
      <w:jc w:val="right"/>
    </w:pPr>
    <w:fldSimple w:instr=" DOCPROPERTY &quot;Document number&quot;  \* MERGEFORMAT ">
      <w:r w:rsidR="00D623AF">
        <w:t>UNEP/OzL.Pro/ExCom/97/75</w:t>
      </w:r>
    </w:fldSimple>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E1EA50A"/>
    <w:lvl w:ilvl="0">
      <w:start w:val="1"/>
      <w:numFmt w:val="decimal"/>
      <w:pStyle w:val="Heading1"/>
      <w:lvlText w:val="%1."/>
      <w:lvlJc w:val="left"/>
      <w:pPr>
        <w:tabs>
          <w:tab w:val="num" w:pos="0"/>
        </w:tabs>
        <w:ind w:left="0" w:firstLine="0"/>
      </w:pPr>
      <w:rPr>
        <w:rFonts w:ascii="Times New Roman" w:hAnsi="Times New Roman" w:cs="Times New Roman" w:hint="default"/>
        <w:i w:val="0"/>
        <w:i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033660"/>
    <w:multiLevelType w:val="hybridMultilevel"/>
    <w:tmpl w:val="E3442838"/>
    <w:lvl w:ilvl="0" w:tplc="E9121102">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1449494C"/>
    <w:multiLevelType w:val="hybridMultilevel"/>
    <w:tmpl w:val="D6028E36"/>
    <w:lvl w:ilvl="0" w:tplc="4148E00C">
      <w:start w:val="1"/>
      <w:numFmt w:val="decimal"/>
      <w:lvlText w:val="%1."/>
      <w:lvlJc w:val="left"/>
      <w:pPr>
        <w:ind w:left="720" w:hanging="360"/>
      </w:pPr>
    </w:lvl>
    <w:lvl w:ilvl="1" w:tplc="140C0017">
      <w:start w:val="1"/>
      <w:numFmt w:val="lowerLetter"/>
      <w:lvlText w:val="%2)"/>
      <w:lvlJc w:val="left"/>
      <w:pPr>
        <w:ind w:left="1440" w:hanging="360"/>
      </w:p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AA6628B"/>
    <w:multiLevelType w:val="hybridMultilevel"/>
    <w:tmpl w:val="B1488DD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3D739B"/>
    <w:multiLevelType w:val="hybridMultilevel"/>
    <w:tmpl w:val="F1806C60"/>
    <w:lvl w:ilvl="0" w:tplc="4B7C577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063A7B7"/>
    <w:multiLevelType w:val="hybridMultilevel"/>
    <w:tmpl w:val="11901A7A"/>
    <w:styleLink w:val="1ai1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5711CE02"/>
    <w:multiLevelType w:val="multilevel"/>
    <w:tmpl w:val="00F4CC7A"/>
    <w:styleLink w:val="1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6B278D6"/>
    <w:multiLevelType w:val="multilevel"/>
    <w:tmpl w:val="8E1EA50A"/>
    <w:styleLink w:val="CurrentList1"/>
    <w:lvl w:ilvl="0">
      <w:start w:val="1"/>
      <w:numFmt w:val="decimal"/>
      <w:lvlText w:val="%1."/>
      <w:lvlJc w:val="left"/>
      <w:pPr>
        <w:tabs>
          <w:tab w:val="num" w:pos="0"/>
        </w:tabs>
        <w:ind w:left="0" w:firstLine="0"/>
      </w:pPr>
      <w:rPr>
        <w:rFonts w:ascii="Times New Roman" w:hAnsi="Times New Roman" w:cs="Times New Roman" w:hint="default"/>
        <w:i w:val="0"/>
        <w:iCs w:val="0"/>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6899D02A"/>
    <w:multiLevelType w:val="hybridMultilevel"/>
    <w:tmpl w:val="EBEE8874"/>
    <w:styleLink w:val="ArticleSection1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7"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2090910"/>
    <w:multiLevelType w:val="hybridMultilevel"/>
    <w:tmpl w:val="0BD0A96C"/>
    <w:lvl w:ilvl="0" w:tplc="A9BAAED8">
      <w:start w:val="1"/>
      <w:numFmt w:val="decimal"/>
      <w:lvlText w:val="%1."/>
      <w:lvlJc w:val="left"/>
      <w:pPr>
        <w:ind w:left="360" w:hanging="360"/>
      </w:pPr>
      <w:rPr>
        <w:rFonts w:hint="default"/>
        <w:b/>
        <w:i/>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E3A5CB5"/>
    <w:multiLevelType w:val="hybridMultilevel"/>
    <w:tmpl w:val="B1488DD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0"/>
  </w:num>
  <w:num w:numId="18" w16cid:durableId="559828470">
    <w:abstractNumId w:val="21"/>
  </w:num>
  <w:num w:numId="19" w16cid:durableId="1488010068">
    <w:abstractNumId w:val="29"/>
  </w:num>
  <w:num w:numId="20" w16cid:durableId="444007775">
    <w:abstractNumId w:val="17"/>
  </w:num>
  <w:num w:numId="21" w16cid:durableId="2137481371">
    <w:abstractNumId w:val="17"/>
    <w:lvlOverride w:ilvl="0">
      <w:startOverride w:val="1"/>
    </w:lvlOverride>
  </w:num>
  <w:num w:numId="22" w16cid:durableId="275909297">
    <w:abstractNumId w:val="22"/>
  </w:num>
  <w:num w:numId="23" w16cid:durableId="598296029">
    <w:abstractNumId w:val="12"/>
  </w:num>
  <w:num w:numId="24" w16cid:durableId="1074813681">
    <w:abstractNumId w:val="23"/>
  </w:num>
  <w:num w:numId="25" w16cid:durableId="1725564835">
    <w:abstractNumId w:val="19"/>
  </w:num>
  <w:num w:numId="26" w16cid:durableId="1269001707">
    <w:abstractNumId w:val="26"/>
  </w:num>
  <w:num w:numId="27" w16cid:durableId="527648014">
    <w:abstractNumId w:val="24"/>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4"/>
  </w:num>
  <w:num w:numId="30" w16cid:durableId="1364675030">
    <w:abstractNumId w:val="27"/>
  </w:num>
  <w:num w:numId="31" w16cid:durableId="1971327864">
    <w:abstractNumId w:val="13"/>
  </w:num>
  <w:num w:numId="32" w16cid:durableId="2087142399">
    <w:abstractNumId w:val="25"/>
  </w:num>
  <w:num w:numId="33" w16cid:durableId="1956332110">
    <w:abstractNumId w:val="30"/>
  </w:num>
  <w:num w:numId="34" w16cid:durableId="675807376">
    <w:abstractNumId w:val="15"/>
  </w:num>
  <w:num w:numId="35" w16cid:durableId="1483426706">
    <w:abstractNumId w:val="11"/>
  </w:num>
  <w:num w:numId="36" w16cid:durableId="1997764830">
    <w:abstractNumId w:val="18"/>
  </w:num>
  <w:num w:numId="37" w16cid:durableId="553734284">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648"/>
    <w:rsid w:val="00000FA9"/>
    <w:rsid w:val="00000FED"/>
    <w:rsid w:val="000031CF"/>
    <w:rsid w:val="00003376"/>
    <w:rsid w:val="0000364C"/>
    <w:rsid w:val="00003EFF"/>
    <w:rsid w:val="0000434E"/>
    <w:rsid w:val="000065A0"/>
    <w:rsid w:val="00011280"/>
    <w:rsid w:val="000118DB"/>
    <w:rsid w:val="00014E7C"/>
    <w:rsid w:val="00015405"/>
    <w:rsid w:val="00016489"/>
    <w:rsid w:val="00016BCA"/>
    <w:rsid w:val="000211A9"/>
    <w:rsid w:val="00021238"/>
    <w:rsid w:val="00022071"/>
    <w:rsid w:val="00022B68"/>
    <w:rsid w:val="00025CBB"/>
    <w:rsid w:val="00026973"/>
    <w:rsid w:val="000310EA"/>
    <w:rsid w:val="00031260"/>
    <w:rsid w:val="000332FE"/>
    <w:rsid w:val="000337AF"/>
    <w:rsid w:val="0003429D"/>
    <w:rsid w:val="00035DF6"/>
    <w:rsid w:val="0003681A"/>
    <w:rsid w:val="000372B7"/>
    <w:rsid w:val="00037DED"/>
    <w:rsid w:val="00037E1D"/>
    <w:rsid w:val="00040C7A"/>
    <w:rsid w:val="00041550"/>
    <w:rsid w:val="000441A8"/>
    <w:rsid w:val="00045E13"/>
    <w:rsid w:val="00046B39"/>
    <w:rsid w:val="00047389"/>
    <w:rsid w:val="000501DD"/>
    <w:rsid w:val="00050F6C"/>
    <w:rsid w:val="00050F6E"/>
    <w:rsid w:val="000521C4"/>
    <w:rsid w:val="00054958"/>
    <w:rsid w:val="000553AC"/>
    <w:rsid w:val="0005757F"/>
    <w:rsid w:val="000577D5"/>
    <w:rsid w:val="00060E4C"/>
    <w:rsid w:val="00061EC2"/>
    <w:rsid w:val="00062266"/>
    <w:rsid w:val="00063788"/>
    <w:rsid w:val="000639A8"/>
    <w:rsid w:val="00064B69"/>
    <w:rsid w:val="00064F00"/>
    <w:rsid w:val="000668C6"/>
    <w:rsid w:val="00066CE8"/>
    <w:rsid w:val="00067E32"/>
    <w:rsid w:val="00070127"/>
    <w:rsid w:val="00070801"/>
    <w:rsid w:val="0007160B"/>
    <w:rsid w:val="00074B1D"/>
    <w:rsid w:val="00077925"/>
    <w:rsid w:val="00077B05"/>
    <w:rsid w:val="00080ED0"/>
    <w:rsid w:val="00081A40"/>
    <w:rsid w:val="00081EDF"/>
    <w:rsid w:val="00083521"/>
    <w:rsid w:val="00085B8F"/>
    <w:rsid w:val="00090107"/>
    <w:rsid w:val="00090278"/>
    <w:rsid w:val="00090481"/>
    <w:rsid w:val="00092C90"/>
    <w:rsid w:val="00093CA0"/>
    <w:rsid w:val="000954C6"/>
    <w:rsid w:val="000A3826"/>
    <w:rsid w:val="000A4031"/>
    <w:rsid w:val="000A5C59"/>
    <w:rsid w:val="000A5CA7"/>
    <w:rsid w:val="000A6C26"/>
    <w:rsid w:val="000A7A5E"/>
    <w:rsid w:val="000B2B17"/>
    <w:rsid w:val="000B36C8"/>
    <w:rsid w:val="000B42EC"/>
    <w:rsid w:val="000B625F"/>
    <w:rsid w:val="000B7910"/>
    <w:rsid w:val="000B7D9E"/>
    <w:rsid w:val="000C2376"/>
    <w:rsid w:val="000C2E4E"/>
    <w:rsid w:val="000C2EF7"/>
    <w:rsid w:val="000C3BB2"/>
    <w:rsid w:val="000C5DC6"/>
    <w:rsid w:val="000C5E2F"/>
    <w:rsid w:val="000C6573"/>
    <w:rsid w:val="000C7727"/>
    <w:rsid w:val="000D24CB"/>
    <w:rsid w:val="000D52A4"/>
    <w:rsid w:val="000D6361"/>
    <w:rsid w:val="000D699A"/>
    <w:rsid w:val="000D76BE"/>
    <w:rsid w:val="000E07BC"/>
    <w:rsid w:val="000E1C48"/>
    <w:rsid w:val="000E1E94"/>
    <w:rsid w:val="000E2738"/>
    <w:rsid w:val="000E2E21"/>
    <w:rsid w:val="000E2F9D"/>
    <w:rsid w:val="000E5C07"/>
    <w:rsid w:val="000E6406"/>
    <w:rsid w:val="000E643E"/>
    <w:rsid w:val="000E6A55"/>
    <w:rsid w:val="000F0617"/>
    <w:rsid w:val="000F0C65"/>
    <w:rsid w:val="000F1CD4"/>
    <w:rsid w:val="000F3876"/>
    <w:rsid w:val="000F4103"/>
    <w:rsid w:val="000F48CC"/>
    <w:rsid w:val="000F6686"/>
    <w:rsid w:val="000F70A7"/>
    <w:rsid w:val="00102427"/>
    <w:rsid w:val="00103C28"/>
    <w:rsid w:val="0010509B"/>
    <w:rsid w:val="00105B6E"/>
    <w:rsid w:val="00106B88"/>
    <w:rsid w:val="001079C7"/>
    <w:rsid w:val="00107A3F"/>
    <w:rsid w:val="00107C29"/>
    <w:rsid w:val="00107D15"/>
    <w:rsid w:val="00107EDD"/>
    <w:rsid w:val="0011198B"/>
    <w:rsid w:val="00112945"/>
    <w:rsid w:val="00113CCA"/>
    <w:rsid w:val="00115DF3"/>
    <w:rsid w:val="00115E70"/>
    <w:rsid w:val="00117246"/>
    <w:rsid w:val="00117EA8"/>
    <w:rsid w:val="00120B04"/>
    <w:rsid w:val="00120BD9"/>
    <w:rsid w:val="001215EE"/>
    <w:rsid w:val="00121ED2"/>
    <w:rsid w:val="001228BA"/>
    <w:rsid w:val="00122BA4"/>
    <w:rsid w:val="00122F25"/>
    <w:rsid w:val="0012331E"/>
    <w:rsid w:val="00123640"/>
    <w:rsid w:val="00123CC9"/>
    <w:rsid w:val="001273DA"/>
    <w:rsid w:val="001322C0"/>
    <w:rsid w:val="001340DE"/>
    <w:rsid w:val="00135980"/>
    <w:rsid w:val="00135D66"/>
    <w:rsid w:val="0013786F"/>
    <w:rsid w:val="00142B08"/>
    <w:rsid w:val="00145409"/>
    <w:rsid w:val="00146496"/>
    <w:rsid w:val="00146ED7"/>
    <w:rsid w:val="00146F59"/>
    <w:rsid w:val="001518C4"/>
    <w:rsid w:val="0015190B"/>
    <w:rsid w:val="0015285E"/>
    <w:rsid w:val="001534F9"/>
    <w:rsid w:val="00155450"/>
    <w:rsid w:val="00157309"/>
    <w:rsid w:val="001574B0"/>
    <w:rsid w:val="00161588"/>
    <w:rsid w:val="0016171E"/>
    <w:rsid w:val="00162E15"/>
    <w:rsid w:val="00163857"/>
    <w:rsid w:val="0016412A"/>
    <w:rsid w:val="00164719"/>
    <w:rsid w:val="001664A6"/>
    <w:rsid w:val="001664DC"/>
    <w:rsid w:val="00166FC4"/>
    <w:rsid w:val="001677AC"/>
    <w:rsid w:val="001719DD"/>
    <w:rsid w:val="00172F55"/>
    <w:rsid w:val="001734E4"/>
    <w:rsid w:val="00173F4A"/>
    <w:rsid w:val="00174224"/>
    <w:rsid w:val="00175229"/>
    <w:rsid w:val="00176B46"/>
    <w:rsid w:val="001801BA"/>
    <w:rsid w:val="00180419"/>
    <w:rsid w:val="001804EA"/>
    <w:rsid w:val="00183C5E"/>
    <w:rsid w:val="0018438D"/>
    <w:rsid w:val="00185B6A"/>
    <w:rsid w:val="00185F56"/>
    <w:rsid w:val="0018666F"/>
    <w:rsid w:val="0018771D"/>
    <w:rsid w:val="001901BE"/>
    <w:rsid w:val="00190A61"/>
    <w:rsid w:val="001911B6"/>
    <w:rsid w:val="00193783"/>
    <w:rsid w:val="001944E0"/>
    <w:rsid w:val="00197179"/>
    <w:rsid w:val="001A2215"/>
    <w:rsid w:val="001A2EFF"/>
    <w:rsid w:val="001A3342"/>
    <w:rsid w:val="001A3E3D"/>
    <w:rsid w:val="001A6DD5"/>
    <w:rsid w:val="001A7049"/>
    <w:rsid w:val="001B107A"/>
    <w:rsid w:val="001B1B89"/>
    <w:rsid w:val="001B1E40"/>
    <w:rsid w:val="001B4703"/>
    <w:rsid w:val="001B4C17"/>
    <w:rsid w:val="001B6D54"/>
    <w:rsid w:val="001B76CF"/>
    <w:rsid w:val="001B7F45"/>
    <w:rsid w:val="001C037B"/>
    <w:rsid w:val="001C06E7"/>
    <w:rsid w:val="001C075A"/>
    <w:rsid w:val="001C1C18"/>
    <w:rsid w:val="001C2FF7"/>
    <w:rsid w:val="001C3668"/>
    <w:rsid w:val="001C3AC8"/>
    <w:rsid w:val="001C4EEE"/>
    <w:rsid w:val="001C764E"/>
    <w:rsid w:val="001D02DA"/>
    <w:rsid w:val="001D25C3"/>
    <w:rsid w:val="001D2F21"/>
    <w:rsid w:val="001D4407"/>
    <w:rsid w:val="001D47EE"/>
    <w:rsid w:val="001D5B1E"/>
    <w:rsid w:val="001D66BF"/>
    <w:rsid w:val="001D6A1E"/>
    <w:rsid w:val="001E02CA"/>
    <w:rsid w:val="001E1052"/>
    <w:rsid w:val="001E21B1"/>
    <w:rsid w:val="001E21B5"/>
    <w:rsid w:val="001E2F93"/>
    <w:rsid w:val="001E3A99"/>
    <w:rsid w:val="001E4554"/>
    <w:rsid w:val="001E4CD9"/>
    <w:rsid w:val="001E4D33"/>
    <w:rsid w:val="001E61E5"/>
    <w:rsid w:val="001E6967"/>
    <w:rsid w:val="001F1E30"/>
    <w:rsid w:val="001F2159"/>
    <w:rsid w:val="001F42F4"/>
    <w:rsid w:val="001F4721"/>
    <w:rsid w:val="001F53FD"/>
    <w:rsid w:val="001F6EB4"/>
    <w:rsid w:val="00200EA6"/>
    <w:rsid w:val="002024B6"/>
    <w:rsid w:val="00203185"/>
    <w:rsid w:val="00203663"/>
    <w:rsid w:val="00203877"/>
    <w:rsid w:val="00204272"/>
    <w:rsid w:val="002046C3"/>
    <w:rsid w:val="002052C0"/>
    <w:rsid w:val="00205843"/>
    <w:rsid w:val="00205BC9"/>
    <w:rsid w:val="00206ADB"/>
    <w:rsid w:val="00207117"/>
    <w:rsid w:val="002073F1"/>
    <w:rsid w:val="00210596"/>
    <w:rsid w:val="00210B8B"/>
    <w:rsid w:val="002116B5"/>
    <w:rsid w:val="0021315E"/>
    <w:rsid w:val="002132F9"/>
    <w:rsid w:val="00213398"/>
    <w:rsid w:val="00213864"/>
    <w:rsid w:val="00213C43"/>
    <w:rsid w:val="00214863"/>
    <w:rsid w:val="0021500D"/>
    <w:rsid w:val="002156B4"/>
    <w:rsid w:val="00215E75"/>
    <w:rsid w:val="00215EB3"/>
    <w:rsid w:val="0022092C"/>
    <w:rsid w:val="00221D4B"/>
    <w:rsid w:val="0022411B"/>
    <w:rsid w:val="00224FCD"/>
    <w:rsid w:val="002268D3"/>
    <w:rsid w:val="00227C64"/>
    <w:rsid w:val="00227D71"/>
    <w:rsid w:val="002304DF"/>
    <w:rsid w:val="0023330B"/>
    <w:rsid w:val="00236842"/>
    <w:rsid w:val="00240C56"/>
    <w:rsid w:val="002416B3"/>
    <w:rsid w:val="002421DC"/>
    <w:rsid w:val="00242734"/>
    <w:rsid w:val="00244B3C"/>
    <w:rsid w:val="00244B6D"/>
    <w:rsid w:val="00247D35"/>
    <w:rsid w:val="002523B9"/>
    <w:rsid w:val="00252F19"/>
    <w:rsid w:val="00253222"/>
    <w:rsid w:val="002533CE"/>
    <w:rsid w:val="00254F1A"/>
    <w:rsid w:val="00256437"/>
    <w:rsid w:val="00256F3C"/>
    <w:rsid w:val="002573CF"/>
    <w:rsid w:val="002604E0"/>
    <w:rsid w:val="00261C13"/>
    <w:rsid w:val="00262847"/>
    <w:rsid w:val="00263995"/>
    <w:rsid w:val="00266BA9"/>
    <w:rsid w:val="00267604"/>
    <w:rsid w:val="002704EC"/>
    <w:rsid w:val="002719F6"/>
    <w:rsid w:val="002742B7"/>
    <w:rsid w:val="00275B44"/>
    <w:rsid w:val="002761F5"/>
    <w:rsid w:val="00277572"/>
    <w:rsid w:val="002807C6"/>
    <w:rsid w:val="002815DF"/>
    <w:rsid w:val="00281A1D"/>
    <w:rsid w:val="00281BB2"/>
    <w:rsid w:val="00282823"/>
    <w:rsid w:val="002839CF"/>
    <w:rsid w:val="00285379"/>
    <w:rsid w:val="002873E0"/>
    <w:rsid w:val="00287790"/>
    <w:rsid w:val="00290173"/>
    <w:rsid w:val="00290DF1"/>
    <w:rsid w:val="00290F63"/>
    <w:rsid w:val="002914DD"/>
    <w:rsid w:val="0029174E"/>
    <w:rsid w:val="002919DD"/>
    <w:rsid w:val="00291A3D"/>
    <w:rsid w:val="00294262"/>
    <w:rsid w:val="0029492B"/>
    <w:rsid w:val="002954FA"/>
    <w:rsid w:val="00295FA8"/>
    <w:rsid w:val="002A03C3"/>
    <w:rsid w:val="002A08E8"/>
    <w:rsid w:val="002A2A80"/>
    <w:rsid w:val="002A3C39"/>
    <w:rsid w:val="002A6DEC"/>
    <w:rsid w:val="002B0DC7"/>
    <w:rsid w:val="002B254E"/>
    <w:rsid w:val="002B4CE8"/>
    <w:rsid w:val="002B696D"/>
    <w:rsid w:val="002B72E9"/>
    <w:rsid w:val="002C167E"/>
    <w:rsid w:val="002C1FD7"/>
    <w:rsid w:val="002C32FC"/>
    <w:rsid w:val="002C367E"/>
    <w:rsid w:val="002C45B3"/>
    <w:rsid w:val="002C6998"/>
    <w:rsid w:val="002C7998"/>
    <w:rsid w:val="002D0846"/>
    <w:rsid w:val="002D0DF1"/>
    <w:rsid w:val="002D0DF6"/>
    <w:rsid w:val="002D3936"/>
    <w:rsid w:val="002D54A8"/>
    <w:rsid w:val="002D5C5D"/>
    <w:rsid w:val="002E01C7"/>
    <w:rsid w:val="002E2934"/>
    <w:rsid w:val="002E34FD"/>
    <w:rsid w:val="002E3562"/>
    <w:rsid w:val="002E4253"/>
    <w:rsid w:val="002E516B"/>
    <w:rsid w:val="002E5B29"/>
    <w:rsid w:val="002E60AE"/>
    <w:rsid w:val="002E6A20"/>
    <w:rsid w:val="002E6CEE"/>
    <w:rsid w:val="002E6D60"/>
    <w:rsid w:val="002F1CC0"/>
    <w:rsid w:val="002F1E53"/>
    <w:rsid w:val="002F2CAA"/>
    <w:rsid w:val="002F4A41"/>
    <w:rsid w:val="002F4B8C"/>
    <w:rsid w:val="002F589D"/>
    <w:rsid w:val="002F5FA5"/>
    <w:rsid w:val="002F6AC1"/>
    <w:rsid w:val="0030052C"/>
    <w:rsid w:val="00300CCE"/>
    <w:rsid w:val="003017F6"/>
    <w:rsid w:val="003024DD"/>
    <w:rsid w:val="00302EF9"/>
    <w:rsid w:val="003039B4"/>
    <w:rsid w:val="00304278"/>
    <w:rsid w:val="00306AEE"/>
    <w:rsid w:val="00311E25"/>
    <w:rsid w:val="00313F31"/>
    <w:rsid w:val="0031455C"/>
    <w:rsid w:val="00315BF4"/>
    <w:rsid w:val="00316125"/>
    <w:rsid w:val="00316AE5"/>
    <w:rsid w:val="00317ED9"/>
    <w:rsid w:val="003214FB"/>
    <w:rsid w:val="00323CC7"/>
    <w:rsid w:val="00325D5F"/>
    <w:rsid w:val="00326B38"/>
    <w:rsid w:val="00327E2C"/>
    <w:rsid w:val="003306E1"/>
    <w:rsid w:val="003320E4"/>
    <w:rsid w:val="003331DB"/>
    <w:rsid w:val="0033525D"/>
    <w:rsid w:val="0033580C"/>
    <w:rsid w:val="00336021"/>
    <w:rsid w:val="00336C40"/>
    <w:rsid w:val="0033741B"/>
    <w:rsid w:val="00340B2E"/>
    <w:rsid w:val="003414F3"/>
    <w:rsid w:val="00341AB9"/>
    <w:rsid w:val="0034244E"/>
    <w:rsid w:val="00342E34"/>
    <w:rsid w:val="00345FC2"/>
    <w:rsid w:val="003469F9"/>
    <w:rsid w:val="00347FD4"/>
    <w:rsid w:val="003509C4"/>
    <w:rsid w:val="00350CEA"/>
    <w:rsid w:val="00354268"/>
    <w:rsid w:val="0035613E"/>
    <w:rsid w:val="00356362"/>
    <w:rsid w:val="00356D09"/>
    <w:rsid w:val="003572A2"/>
    <w:rsid w:val="00360C33"/>
    <w:rsid w:val="00360CBE"/>
    <w:rsid w:val="0036126C"/>
    <w:rsid w:val="00361F60"/>
    <w:rsid w:val="00363EE9"/>
    <w:rsid w:val="00367E51"/>
    <w:rsid w:val="00367E8E"/>
    <w:rsid w:val="0037061B"/>
    <w:rsid w:val="00370EF3"/>
    <w:rsid w:val="00370F02"/>
    <w:rsid w:val="00371252"/>
    <w:rsid w:val="00371A7E"/>
    <w:rsid w:val="00372228"/>
    <w:rsid w:val="0037263E"/>
    <w:rsid w:val="00376128"/>
    <w:rsid w:val="003773DE"/>
    <w:rsid w:val="0037742E"/>
    <w:rsid w:val="003776E7"/>
    <w:rsid w:val="00377D56"/>
    <w:rsid w:val="00380CAE"/>
    <w:rsid w:val="0038245A"/>
    <w:rsid w:val="003832DF"/>
    <w:rsid w:val="00383E74"/>
    <w:rsid w:val="003840E6"/>
    <w:rsid w:val="00385CFC"/>
    <w:rsid w:val="00386E26"/>
    <w:rsid w:val="00387461"/>
    <w:rsid w:val="00387BCF"/>
    <w:rsid w:val="00390553"/>
    <w:rsid w:val="003912F8"/>
    <w:rsid w:val="0039188F"/>
    <w:rsid w:val="00392567"/>
    <w:rsid w:val="003926CC"/>
    <w:rsid w:val="00392806"/>
    <w:rsid w:val="0039337A"/>
    <w:rsid w:val="00393B12"/>
    <w:rsid w:val="00394ACC"/>
    <w:rsid w:val="003960A4"/>
    <w:rsid w:val="00396529"/>
    <w:rsid w:val="00396ACD"/>
    <w:rsid w:val="00396FA2"/>
    <w:rsid w:val="0039764E"/>
    <w:rsid w:val="003A2590"/>
    <w:rsid w:val="003A27A0"/>
    <w:rsid w:val="003A3189"/>
    <w:rsid w:val="003A3CA7"/>
    <w:rsid w:val="003A4141"/>
    <w:rsid w:val="003A4F46"/>
    <w:rsid w:val="003B1395"/>
    <w:rsid w:val="003B18BB"/>
    <w:rsid w:val="003B33BD"/>
    <w:rsid w:val="003B4355"/>
    <w:rsid w:val="003B569D"/>
    <w:rsid w:val="003B6909"/>
    <w:rsid w:val="003B721F"/>
    <w:rsid w:val="003C11CA"/>
    <w:rsid w:val="003C2AFA"/>
    <w:rsid w:val="003C367E"/>
    <w:rsid w:val="003C3C0E"/>
    <w:rsid w:val="003C45A1"/>
    <w:rsid w:val="003C4CA8"/>
    <w:rsid w:val="003C56FD"/>
    <w:rsid w:val="003D0D4E"/>
    <w:rsid w:val="003D240F"/>
    <w:rsid w:val="003D286F"/>
    <w:rsid w:val="003D3627"/>
    <w:rsid w:val="003D3AEB"/>
    <w:rsid w:val="003D42A6"/>
    <w:rsid w:val="003D4F21"/>
    <w:rsid w:val="003D4FAC"/>
    <w:rsid w:val="003D6382"/>
    <w:rsid w:val="003D70E1"/>
    <w:rsid w:val="003D7A15"/>
    <w:rsid w:val="003E006D"/>
    <w:rsid w:val="003E1885"/>
    <w:rsid w:val="003E20E3"/>
    <w:rsid w:val="003E227B"/>
    <w:rsid w:val="003E2D3E"/>
    <w:rsid w:val="003E324C"/>
    <w:rsid w:val="003E5479"/>
    <w:rsid w:val="003E7906"/>
    <w:rsid w:val="003F000F"/>
    <w:rsid w:val="003F0BDB"/>
    <w:rsid w:val="003F2918"/>
    <w:rsid w:val="003F3C50"/>
    <w:rsid w:val="003F5A5C"/>
    <w:rsid w:val="003F79BE"/>
    <w:rsid w:val="00401199"/>
    <w:rsid w:val="004014B4"/>
    <w:rsid w:val="004016C5"/>
    <w:rsid w:val="004019B3"/>
    <w:rsid w:val="00401F78"/>
    <w:rsid w:val="004026D7"/>
    <w:rsid w:val="00402AE5"/>
    <w:rsid w:val="004032D3"/>
    <w:rsid w:val="00403B53"/>
    <w:rsid w:val="00406202"/>
    <w:rsid w:val="00406A6A"/>
    <w:rsid w:val="00406B22"/>
    <w:rsid w:val="00407147"/>
    <w:rsid w:val="004078FA"/>
    <w:rsid w:val="0041236B"/>
    <w:rsid w:val="00413D0F"/>
    <w:rsid w:val="00414469"/>
    <w:rsid w:val="004153DE"/>
    <w:rsid w:val="00415614"/>
    <w:rsid w:val="00415895"/>
    <w:rsid w:val="004167F2"/>
    <w:rsid w:val="00421C33"/>
    <w:rsid w:val="0042228A"/>
    <w:rsid w:val="00422611"/>
    <w:rsid w:val="00422A9B"/>
    <w:rsid w:val="00423F65"/>
    <w:rsid w:val="00425EA1"/>
    <w:rsid w:val="004272A3"/>
    <w:rsid w:val="00427761"/>
    <w:rsid w:val="00431E08"/>
    <w:rsid w:val="004328A7"/>
    <w:rsid w:val="00432B6E"/>
    <w:rsid w:val="004349C0"/>
    <w:rsid w:val="00434A12"/>
    <w:rsid w:val="00434C74"/>
    <w:rsid w:val="004352AB"/>
    <w:rsid w:val="0043587B"/>
    <w:rsid w:val="004369D9"/>
    <w:rsid w:val="00437C48"/>
    <w:rsid w:val="00440574"/>
    <w:rsid w:val="00440A2B"/>
    <w:rsid w:val="004412E0"/>
    <w:rsid w:val="004429F0"/>
    <w:rsid w:val="00443277"/>
    <w:rsid w:val="004477EF"/>
    <w:rsid w:val="00453347"/>
    <w:rsid w:val="00453A1D"/>
    <w:rsid w:val="004540E5"/>
    <w:rsid w:val="00456EB4"/>
    <w:rsid w:val="004575A2"/>
    <w:rsid w:val="00457697"/>
    <w:rsid w:val="00457827"/>
    <w:rsid w:val="00457C83"/>
    <w:rsid w:val="00457F1E"/>
    <w:rsid w:val="00462126"/>
    <w:rsid w:val="004634FE"/>
    <w:rsid w:val="00466186"/>
    <w:rsid w:val="00467554"/>
    <w:rsid w:val="00470544"/>
    <w:rsid w:val="004718F3"/>
    <w:rsid w:val="00475040"/>
    <w:rsid w:val="00475498"/>
    <w:rsid w:val="00475DD0"/>
    <w:rsid w:val="00476F6C"/>
    <w:rsid w:val="00477E44"/>
    <w:rsid w:val="00482E70"/>
    <w:rsid w:val="00484DB2"/>
    <w:rsid w:val="0048710E"/>
    <w:rsid w:val="004873DF"/>
    <w:rsid w:val="00490610"/>
    <w:rsid w:val="004908CE"/>
    <w:rsid w:val="00490C06"/>
    <w:rsid w:val="00491312"/>
    <w:rsid w:val="00492643"/>
    <w:rsid w:val="00493592"/>
    <w:rsid w:val="00493717"/>
    <w:rsid w:val="00493D40"/>
    <w:rsid w:val="00493EE3"/>
    <w:rsid w:val="004967B6"/>
    <w:rsid w:val="004A08A1"/>
    <w:rsid w:val="004A1E70"/>
    <w:rsid w:val="004A2C5E"/>
    <w:rsid w:val="004A355E"/>
    <w:rsid w:val="004A4310"/>
    <w:rsid w:val="004A504B"/>
    <w:rsid w:val="004A6911"/>
    <w:rsid w:val="004B0B56"/>
    <w:rsid w:val="004B178F"/>
    <w:rsid w:val="004B3652"/>
    <w:rsid w:val="004B54E0"/>
    <w:rsid w:val="004B6807"/>
    <w:rsid w:val="004B7384"/>
    <w:rsid w:val="004C0181"/>
    <w:rsid w:val="004C04C7"/>
    <w:rsid w:val="004C06A5"/>
    <w:rsid w:val="004C096D"/>
    <w:rsid w:val="004C1141"/>
    <w:rsid w:val="004C4269"/>
    <w:rsid w:val="004C5267"/>
    <w:rsid w:val="004D01F1"/>
    <w:rsid w:val="004D044B"/>
    <w:rsid w:val="004D20D8"/>
    <w:rsid w:val="004D6236"/>
    <w:rsid w:val="004D7F90"/>
    <w:rsid w:val="004E029F"/>
    <w:rsid w:val="004E0F69"/>
    <w:rsid w:val="004E1E50"/>
    <w:rsid w:val="004E1E9E"/>
    <w:rsid w:val="004E3044"/>
    <w:rsid w:val="004E3D98"/>
    <w:rsid w:val="004E4DBB"/>
    <w:rsid w:val="004E4E41"/>
    <w:rsid w:val="004E52AE"/>
    <w:rsid w:val="004E55F5"/>
    <w:rsid w:val="004E58C2"/>
    <w:rsid w:val="004E6A3F"/>
    <w:rsid w:val="004E73DB"/>
    <w:rsid w:val="004E7F9C"/>
    <w:rsid w:val="004F01D4"/>
    <w:rsid w:val="004F0B54"/>
    <w:rsid w:val="004F1B6C"/>
    <w:rsid w:val="004F20DA"/>
    <w:rsid w:val="004F3493"/>
    <w:rsid w:val="004F4662"/>
    <w:rsid w:val="004F47EA"/>
    <w:rsid w:val="004F4D56"/>
    <w:rsid w:val="004F5143"/>
    <w:rsid w:val="004F7136"/>
    <w:rsid w:val="004F7D3A"/>
    <w:rsid w:val="0051028D"/>
    <w:rsid w:val="00512B09"/>
    <w:rsid w:val="005137E9"/>
    <w:rsid w:val="00514176"/>
    <w:rsid w:val="00514517"/>
    <w:rsid w:val="0051730E"/>
    <w:rsid w:val="00517B09"/>
    <w:rsid w:val="005211DA"/>
    <w:rsid w:val="005220ED"/>
    <w:rsid w:val="005230C2"/>
    <w:rsid w:val="00523F3D"/>
    <w:rsid w:val="005269FD"/>
    <w:rsid w:val="00530BBB"/>
    <w:rsid w:val="00532AC0"/>
    <w:rsid w:val="00532F45"/>
    <w:rsid w:val="00533796"/>
    <w:rsid w:val="00535F42"/>
    <w:rsid w:val="00537343"/>
    <w:rsid w:val="00541D99"/>
    <w:rsid w:val="0054493D"/>
    <w:rsid w:val="00546652"/>
    <w:rsid w:val="00547587"/>
    <w:rsid w:val="005516F3"/>
    <w:rsid w:val="005539AB"/>
    <w:rsid w:val="00554F0B"/>
    <w:rsid w:val="00555D75"/>
    <w:rsid w:val="00556024"/>
    <w:rsid w:val="00557256"/>
    <w:rsid w:val="00557901"/>
    <w:rsid w:val="00560DF0"/>
    <w:rsid w:val="00562A79"/>
    <w:rsid w:val="0056759C"/>
    <w:rsid w:val="00570F06"/>
    <w:rsid w:val="0057209A"/>
    <w:rsid w:val="00572D10"/>
    <w:rsid w:val="00575397"/>
    <w:rsid w:val="00576FC5"/>
    <w:rsid w:val="00577184"/>
    <w:rsid w:val="0057738E"/>
    <w:rsid w:val="00577F27"/>
    <w:rsid w:val="00580A68"/>
    <w:rsid w:val="005814F0"/>
    <w:rsid w:val="0058313F"/>
    <w:rsid w:val="00583172"/>
    <w:rsid w:val="00583F40"/>
    <w:rsid w:val="005909ED"/>
    <w:rsid w:val="00590DAC"/>
    <w:rsid w:val="0059208B"/>
    <w:rsid w:val="00592711"/>
    <w:rsid w:val="0059369E"/>
    <w:rsid w:val="0059378D"/>
    <w:rsid w:val="00594303"/>
    <w:rsid w:val="0059513E"/>
    <w:rsid w:val="005957A0"/>
    <w:rsid w:val="00597122"/>
    <w:rsid w:val="00597F8F"/>
    <w:rsid w:val="005A0553"/>
    <w:rsid w:val="005A19CE"/>
    <w:rsid w:val="005A1E71"/>
    <w:rsid w:val="005A212A"/>
    <w:rsid w:val="005A6656"/>
    <w:rsid w:val="005A6AA4"/>
    <w:rsid w:val="005A6D9F"/>
    <w:rsid w:val="005B1B97"/>
    <w:rsid w:val="005B2156"/>
    <w:rsid w:val="005B48FF"/>
    <w:rsid w:val="005B5AF7"/>
    <w:rsid w:val="005C1E32"/>
    <w:rsid w:val="005C2C2C"/>
    <w:rsid w:val="005C4320"/>
    <w:rsid w:val="005C4CBC"/>
    <w:rsid w:val="005C4DD6"/>
    <w:rsid w:val="005C670D"/>
    <w:rsid w:val="005D0D49"/>
    <w:rsid w:val="005D171A"/>
    <w:rsid w:val="005D231F"/>
    <w:rsid w:val="005D319A"/>
    <w:rsid w:val="005D363F"/>
    <w:rsid w:val="005D41CC"/>
    <w:rsid w:val="005D4D0F"/>
    <w:rsid w:val="005D4DF1"/>
    <w:rsid w:val="005D58DC"/>
    <w:rsid w:val="005D5C9A"/>
    <w:rsid w:val="005D7011"/>
    <w:rsid w:val="005D72BD"/>
    <w:rsid w:val="005D79E1"/>
    <w:rsid w:val="005E0C27"/>
    <w:rsid w:val="005E46EB"/>
    <w:rsid w:val="005E7922"/>
    <w:rsid w:val="005F1389"/>
    <w:rsid w:val="005F27A4"/>
    <w:rsid w:val="005F2AB9"/>
    <w:rsid w:val="005F5147"/>
    <w:rsid w:val="005F7711"/>
    <w:rsid w:val="00601E47"/>
    <w:rsid w:val="0060291B"/>
    <w:rsid w:val="00604C15"/>
    <w:rsid w:val="006061AE"/>
    <w:rsid w:val="00606F8A"/>
    <w:rsid w:val="0060785D"/>
    <w:rsid w:val="006100D5"/>
    <w:rsid w:val="00612C57"/>
    <w:rsid w:val="00613D6B"/>
    <w:rsid w:val="00614852"/>
    <w:rsid w:val="006158D5"/>
    <w:rsid w:val="006165D9"/>
    <w:rsid w:val="006204B6"/>
    <w:rsid w:val="006213A3"/>
    <w:rsid w:val="00622493"/>
    <w:rsid w:val="00624072"/>
    <w:rsid w:val="00624BB5"/>
    <w:rsid w:val="00625D83"/>
    <w:rsid w:val="00626A46"/>
    <w:rsid w:val="00626B78"/>
    <w:rsid w:val="006274E2"/>
    <w:rsid w:val="00630232"/>
    <w:rsid w:val="00633FDD"/>
    <w:rsid w:val="0063636D"/>
    <w:rsid w:val="006413E0"/>
    <w:rsid w:val="006414CB"/>
    <w:rsid w:val="0064195C"/>
    <w:rsid w:val="0064277A"/>
    <w:rsid w:val="00642DF9"/>
    <w:rsid w:val="00644931"/>
    <w:rsid w:val="00644E5D"/>
    <w:rsid w:val="0064512E"/>
    <w:rsid w:val="006452AF"/>
    <w:rsid w:val="00650C1E"/>
    <w:rsid w:val="00651984"/>
    <w:rsid w:val="006540DA"/>
    <w:rsid w:val="0065431C"/>
    <w:rsid w:val="00654648"/>
    <w:rsid w:val="0065525D"/>
    <w:rsid w:val="00655280"/>
    <w:rsid w:val="00655BC8"/>
    <w:rsid w:val="006564EF"/>
    <w:rsid w:val="00656D95"/>
    <w:rsid w:val="00657F92"/>
    <w:rsid w:val="006607AC"/>
    <w:rsid w:val="006623E7"/>
    <w:rsid w:val="00662B80"/>
    <w:rsid w:val="00663DCB"/>
    <w:rsid w:val="0066560C"/>
    <w:rsid w:val="00666FA0"/>
    <w:rsid w:val="0066768F"/>
    <w:rsid w:val="00667E20"/>
    <w:rsid w:val="00670F6C"/>
    <w:rsid w:val="00671D97"/>
    <w:rsid w:val="00672525"/>
    <w:rsid w:val="006730F4"/>
    <w:rsid w:val="00676891"/>
    <w:rsid w:val="00676E58"/>
    <w:rsid w:val="00677378"/>
    <w:rsid w:val="00677684"/>
    <w:rsid w:val="00677A2B"/>
    <w:rsid w:val="00677AF3"/>
    <w:rsid w:val="00677CD4"/>
    <w:rsid w:val="00680F37"/>
    <w:rsid w:val="006822CB"/>
    <w:rsid w:val="00682CFE"/>
    <w:rsid w:val="006846A0"/>
    <w:rsid w:val="00684F01"/>
    <w:rsid w:val="006852C7"/>
    <w:rsid w:val="006852CE"/>
    <w:rsid w:val="00685724"/>
    <w:rsid w:val="006864C5"/>
    <w:rsid w:val="00690708"/>
    <w:rsid w:val="00690A26"/>
    <w:rsid w:val="00691163"/>
    <w:rsid w:val="00692D14"/>
    <w:rsid w:val="00696F14"/>
    <w:rsid w:val="006A09A9"/>
    <w:rsid w:val="006A2E1E"/>
    <w:rsid w:val="006A2EDF"/>
    <w:rsid w:val="006A30B2"/>
    <w:rsid w:val="006A4301"/>
    <w:rsid w:val="006A7125"/>
    <w:rsid w:val="006A73EB"/>
    <w:rsid w:val="006A775D"/>
    <w:rsid w:val="006A7A3B"/>
    <w:rsid w:val="006B0192"/>
    <w:rsid w:val="006B0A8F"/>
    <w:rsid w:val="006B2302"/>
    <w:rsid w:val="006B24BC"/>
    <w:rsid w:val="006B2DEF"/>
    <w:rsid w:val="006B3199"/>
    <w:rsid w:val="006B46C5"/>
    <w:rsid w:val="006B5495"/>
    <w:rsid w:val="006B5AFC"/>
    <w:rsid w:val="006B5E9B"/>
    <w:rsid w:val="006B6269"/>
    <w:rsid w:val="006B65C7"/>
    <w:rsid w:val="006C107A"/>
    <w:rsid w:val="006C1727"/>
    <w:rsid w:val="006C1EBC"/>
    <w:rsid w:val="006C32FD"/>
    <w:rsid w:val="006C3716"/>
    <w:rsid w:val="006C39CE"/>
    <w:rsid w:val="006C41F5"/>
    <w:rsid w:val="006C5319"/>
    <w:rsid w:val="006C5BDD"/>
    <w:rsid w:val="006C5EC1"/>
    <w:rsid w:val="006C6DEC"/>
    <w:rsid w:val="006C767F"/>
    <w:rsid w:val="006D0413"/>
    <w:rsid w:val="006D0FCC"/>
    <w:rsid w:val="006D1103"/>
    <w:rsid w:val="006D19C1"/>
    <w:rsid w:val="006D21F5"/>
    <w:rsid w:val="006D2F14"/>
    <w:rsid w:val="006D3089"/>
    <w:rsid w:val="006D30EF"/>
    <w:rsid w:val="006D66FD"/>
    <w:rsid w:val="006D7554"/>
    <w:rsid w:val="006E126D"/>
    <w:rsid w:val="006E1FC3"/>
    <w:rsid w:val="006E471D"/>
    <w:rsid w:val="006E4C71"/>
    <w:rsid w:val="006E6247"/>
    <w:rsid w:val="006E7943"/>
    <w:rsid w:val="006F0DA7"/>
    <w:rsid w:val="006F2CA0"/>
    <w:rsid w:val="006F2F2E"/>
    <w:rsid w:val="006F436E"/>
    <w:rsid w:val="006F4643"/>
    <w:rsid w:val="006F46EE"/>
    <w:rsid w:val="006F64AF"/>
    <w:rsid w:val="006F72A0"/>
    <w:rsid w:val="00700C9C"/>
    <w:rsid w:val="00702D8F"/>
    <w:rsid w:val="00703C3A"/>
    <w:rsid w:val="00704CE9"/>
    <w:rsid w:val="0070529B"/>
    <w:rsid w:val="00705FA1"/>
    <w:rsid w:val="0070616B"/>
    <w:rsid w:val="00706295"/>
    <w:rsid w:val="00706CD7"/>
    <w:rsid w:val="00706FDA"/>
    <w:rsid w:val="0070744C"/>
    <w:rsid w:val="007077C4"/>
    <w:rsid w:val="007104D2"/>
    <w:rsid w:val="00710D3B"/>
    <w:rsid w:val="00711256"/>
    <w:rsid w:val="00711F9A"/>
    <w:rsid w:val="00712E7F"/>
    <w:rsid w:val="00713182"/>
    <w:rsid w:val="00713269"/>
    <w:rsid w:val="00713810"/>
    <w:rsid w:val="00713E4F"/>
    <w:rsid w:val="00714C2B"/>
    <w:rsid w:val="00716B3C"/>
    <w:rsid w:val="007201AA"/>
    <w:rsid w:val="007228B3"/>
    <w:rsid w:val="00722C38"/>
    <w:rsid w:val="00724D87"/>
    <w:rsid w:val="00726644"/>
    <w:rsid w:val="00726BB1"/>
    <w:rsid w:val="007303A5"/>
    <w:rsid w:val="00730B3E"/>
    <w:rsid w:val="00731DC7"/>
    <w:rsid w:val="00732BEE"/>
    <w:rsid w:val="0073420B"/>
    <w:rsid w:val="00735ECF"/>
    <w:rsid w:val="00736367"/>
    <w:rsid w:val="00740213"/>
    <w:rsid w:val="0074243C"/>
    <w:rsid w:val="00742CEC"/>
    <w:rsid w:val="0074401C"/>
    <w:rsid w:val="00744DC2"/>
    <w:rsid w:val="00746AC1"/>
    <w:rsid w:val="0074760E"/>
    <w:rsid w:val="00751943"/>
    <w:rsid w:val="00751ADE"/>
    <w:rsid w:val="00752063"/>
    <w:rsid w:val="007548C4"/>
    <w:rsid w:val="00754ABA"/>
    <w:rsid w:val="00756614"/>
    <w:rsid w:val="0075798B"/>
    <w:rsid w:val="00761FFB"/>
    <w:rsid w:val="007624A2"/>
    <w:rsid w:val="00762E15"/>
    <w:rsid w:val="007661AC"/>
    <w:rsid w:val="007669DD"/>
    <w:rsid w:val="007710B5"/>
    <w:rsid w:val="00772285"/>
    <w:rsid w:val="007749C2"/>
    <w:rsid w:val="00774F23"/>
    <w:rsid w:val="007755E5"/>
    <w:rsid w:val="00776962"/>
    <w:rsid w:val="007804BF"/>
    <w:rsid w:val="00781FC9"/>
    <w:rsid w:val="00782B0D"/>
    <w:rsid w:val="00785A1F"/>
    <w:rsid w:val="00785E85"/>
    <w:rsid w:val="007874F4"/>
    <w:rsid w:val="00792D45"/>
    <w:rsid w:val="007935EA"/>
    <w:rsid w:val="007935FB"/>
    <w:rsid w:val="00793981"/>
    <w:rsid w:val="007956FE"/>
    <w:rsid w:val="00796232"/>
    <w:rsid w:val="007967EC"/>
    <w:rsid w:val="0079781A"/>
    <w:rsid w:val="007A003B"/>
    <w:rsid w:val="007A04FF"/>
    <w:rsid w:val="007A0F58"/>
    <w:rsid w:val="007A1546"/>
    <w:rsid w:val="007A211A"/>
    <w:rsid w:val="007A228C"/>
    <w:rsid w:val="007A368E"/>
    <w:rsid w:val="007A4310"/>
    <w:rsid w:val="007A4C16"/>
    <w:rsid w:val="007A4CC7"/>
    <w:rsid w:val="007A5868"/>
    <w:rsid w:val="007A6363"/>
    <w:rsid w:val="007B04CE"/>
    <w:rsid w:val="007B08C1"/>
    <w:rsid w:val="007B13EA"/>
    <w:rsid w:val="007B2497"/>
    <w:rsid w:val="007B4396"/>
    <w:rsid w:val="007B44B2"/>
    <w:rsid w:val="007B59B4"/>
    <w:rsid w:val="007B5F41"/>
    <w:rsid w:val="007B622A"/>
    <w:rsid w:val="007B6871"/>
    <w:rsid w:val="007B7A2F"/>
    <w:rsid w:val="007C03D2"/>
    <w:rsid w:val="007C0775"/>
    <w:rsid w:val="007C1ABB"/>
    <w:rsid w:val="007C22A4"/>
    <w:rsid w:val="007C2653"/>
    <w:rsid w:val="007C2B69"/>
    <w:rsid w:val="007C32EE"/>
    <w:rsid w:val="007C3D33"/>
    <w:rsid w:val="007C40BE"/>
    <w:rsid w:val="007C5F4B"/>
    <w:rsid w:val="007C66C7"/>
    <w:rsid w:val="007C7976"/>
    <w:rsid w:val="007D0646"/>
    <w:rsid w:val="007D2357"/>
    <w:rsid w:val="007D294A"/>
    <w:rsid w:val="007D47D2"/>
    <w:rsid w:val="007D5223"/>
    <w:rsid w:val="007D6EC0"/>
    <w:rsid w:val="007D7E1D"/>
    <w:rsid w:val="007E30C8"/>
    <w:rsid w:val="007E4663"/>
    <w:rsid w:val="007E503C"/>
    <w:rsid w:val="007E684B"/>
    <w:rsid w:val="007E7F9D"/>
    <w:rsid w:val="007F06DC"/>
    <w:rsid w:val="007F1F1A"/>
    <w:rsid w:val="007F2D38"/>
    <w:rsid w:val="007F5220"/>
    <w:rsid w:val="007F60D1"/>
    <w:rsid w:val="008008D7"/>
    <w:rsid w:val="00800A2F"/>
    <w:rsid w:val="00801311"/>
    <w:rsid w:val="00801DE4"/>
    <w:rsid w:val="00802994"/>
    <w:rsid w:val="00803005"/>
    <w:rsid w:val="0080345C"/>
    <w:rsid w:val="00803539"/>
    <w:rsid w:val="00804966"/>
    <w:rsid w:val="00805A27"/>
    <w:rsid w:val="008115BB"/>
    <w:rsid w:val="00811804"/>
    <w:rsid w:val="00812DE8"/>
    <w:rsid w:val="008164B7"/>
    <w:rsid w:val="00820078"/>
    <w:rsid w:val="00821058"/>
    <w:rsid w:val="00822A09"/>
    <w:rsid w:val="0082322D"/>
    <w:rsid w:val="008234C1"/>
    <w:rsid w:val="0082522F"/>
    <w:rsid w:val="00825D5D"/>
    <w:rsid w:val="00827506"/>
    <w:rsid w:val="00830BF3"/>
    <w:rsid w:val="00830EB5"/>
    <w:rsid w:val="008318F0"/>
    <w:rsid w:val="00831979"/>
    <w:rsid w:val="008335E3"/>
    <w:rsid w:val="008343A2"/>
    <w:rsid w:val="00834C14"/>
    <w:rsid w:val="00835180"/>
    <w:rsid w:val="00840616"/>
    <w:rsid w:val="0084128E"/>
    <w:rsid w:val="00842103"/>
    <w:rsid w:val="00842BC3"/>
    <w:rsid w:val="00842F34"/>
    <w:rsid w:val="00844FB6"/>
    <w:rsid w:val="008456AE"/>
    <w:rsid w:val="0084677E"/>
    <w:rsid w:val="00846C28"/>
    <w:rsid w:val="00850037"/>
    <w:rsid w:val="00851352"/>
    <w:rsid w:val="0085140A"/>
    <w:rsid w:val="008515FE"/>
    <w:rsid w:val="00853489"/>
    <w:rsid w:val="00855665"/>
    <w:rsid w:val="00856C2C"/>
    <w:rsid w:val="00857077"/>
    <w:rsid w:val="00857C4B"/>
    <w:rsid w:val="00860004"/>
    <w:rsid w:val="008613DA"/>
    <w:rsid w:val="00862F70"/>
    <w:rsid w:val="00863230"/>
    <w:rsid w:val="00864D35"/>
    <w:rsid w:val="00865BD0"/>
    <w:rsid w:val="008717D8"/>
    <w:rsid w:val="00871DDA"/>
    <w:rsid w:val="0087215C"/>
    <w:rsid w:val="008737EA"/>
    <w:rsid w:val="00873AF8"/>
    <w:rsid w:val="008748EE"/>
    <w:rsid w:val="00874B23"/>
    <w:rsid w:val="00874BAC"/>
    <w:rsid w:val="00874E67"/>
    <w:rsid w:val="008758EB"/>
    <w:rsid w:val="00875D25"/>
    <w:rsid w:val="00876CD0"/>
    <w:rsid w:val="00880043"/>
    <w:rsid w:val="00880E35"/>
    <w:rsid w:val="00884881"/>
    <w:rsid w:val="00885F6E"/>
    <w:rsid w:val="00886580"/>
    <w:rsid w:val="008875FE"/>
    <w:rsid w:val="00887F8E"/>
    <w:rsid w:val="00891137"/>
    <w:rsid w:val="0089118F"/>
    <w:rsid w:val="00891554"/>
    <w:rsid w:val="00891B19"/>
    <w:rsid w:val="00894760"/>
    <w:rsid w:val="0089500C"/>
    <w:rsid w:val="00896234"/>
    <w:rsid w:val="0089752C"/>
    <w:rsid w:val="00897E43"/>
    <w:rsid w:val="008A0A1E"/>
    <w:rsid w:val="008A24A1"/>
    <w:rsid w:val="008A46C8"/>
    <w:rsid w:val="008A73C1"/>
    <w:rsid w:val="008B4947"/>
    <w:rsid w:val="008C21AA"/>
    <w:rsid w:val="008C222B"/>
    <w:rsid w:val="008C27F0"/>
    <w:rsid w:val="008C30B9"/>
    <w:rsid w:val="008C5738"/>
    <w:rsid w:val="008C5825"/>
    <w:rsid w:val="008C7EAD"/>
    <w:rsid w:val="008D0CFE"/>
    <w:rsid w:val="008D1D24"/>
    <w:rsid w:val="008D2F32"/>
    <w:rsid w:val="008D43E8"/>
    <w:rsid w:val="008D6152"/>
    <w:rsid w:val="008D739B"/>
    <w:rsid w:val="008D7A1C"/>
    <w:rsid w:val="008E06F6"/>
    <w:rsid w:val="008E2287"/>
    <w:rsid w:val="008E2A0C"/>
    <w:rsid w:val="008E4905"/>
    <w:rsid w:val="008E4D37"/>
    <w:rsid w:val="008E5232"/>
    <w:rsid w:val="008E590B"/>
    <w:rsid w:val="008E6021"/>
    <w:rsid w:val="008E7BA9"/>
    <w:rsid w:val="008F0F81"/>
    <w:rsid w:val="008F242F"/>
    <w:rsid w:val="008F27BF"/>
    <w:rsid w:val="008F2E64"/>
    <w:rsid w:val="008F3510"/>
    <w:rsid w:val="008F53AC"/>
    <w:rsid w:val="008F6B65"/>
    <w:rsid w:val="009017A2"/>
    <w:rsid w:val="00903CD6"/>
    <w:rsid w:val="0090405F"/>
    <w:rsid w:val="00904A52"/>
    <w:rsid w:val="00906A83"/>
    <w:rsid w:val="00910468"/>
    <w:rsid w:val="0091215F"/>
    <w:rsid w:val="0091245C"/>
    <w:rsid w:val="009125D0"/>
    <w:rsid w:val="0091281F"/>
    <w:rsid w:val="00913CF1"/>
    <w:rsid w:val="009142EC"/>
    <w:rsid w:val="009145E4"/>
    <w:rsid w:val="00915392"/>
    <w:rsid w:val="009154C3"/>
    <w:rsid w:val="00917086"/>
    <w:rsid w:val="00917AFE"/>
    <w:rsid w:val="009229DD"/>
    <w:rsid w:val="009230E7"/>
    <w:rsid w:val="0092316F"/>
    <w:rsid w:val="009232FC"/>
    <w:rsid w:val="00923540"/>
    <w:rsid w:val="00923ADF"/>
    <w:rsid w:val="00924D58"/>
    <w:rsid w:val="009264C2"/>
    <w:rsid w:val="00926767"/>
    <w:rsid w:val="00931826"/>
    <w:rsid w:val="00931B76"/>
    <w:rsid w:val="009357DE"/>
    <w:rsid w:val="009361D5"/>
    <w:rsid w:val="00940699"/>
    <w:rsid w:val="0094180C"/>
    <w:rsid w:val="00941C3B"/>
    <w:rsid w:val="00941CD1"/>
    <w:rsid w:val="009421DA"/>
    <w:rsid w:val="009428A4"/>
    <w:rsid w:val="00942A94"/>
    <w:rsid w:val="00943213"/>
    <w:rsid w:val="0094683E"/>
    <w:rsid w:val="00950D9D"/>
    <w:rsid w:val="009565A7"/>
    <w:rsid w:val="00960D94"/>
    <w:rsid w:val="0096139B"/>
    <w:rsid w:val="00962413"/>
    <w:rsid w:val="0096316E"/>
    <w:rsid w:val="009633AA"/>
    <w:rsid w:val="009659F4"/>
    <w:rsid w:val="00965F7F"/>
    <w:rsid w:val="00966788"/>
    <w:rsid w:val="009667ED"/>
    <w:rsid w:val="00967A3F"/>
    <w:rsid w:val="00970D60"/>
    <w:rsid w:val="00970F9F"/>
    <w:rsid w:val="00971DF0"/>
    <w:rsid w:val="009735A8"/>
    <w:rsid w:val="00973FE7"/>
    <w:rsid w:val="0097463C"/>
    <w:rsid w:val="00976356"/>
    <w:rsid w:val="00983D81"/>
    <w:rsid w:val="00986390"/>
    <w:rsid w:val="009870FE"/>
    <w:rsid w:val="009874D0"/>
    <w:rsid w:val="009903C7"/>
    <w:rsid w:val="009912AA"/>
    <w:rsid w:val="0099152F"/>
    <w:rsid w:val="0099390E"/>
    <w:rsid w:val="009960E5"/>
    <w:rsid w:val="00996846"/>
    <w:rsid w:val="0099735E"/>
    <w:rsid w:val="009A0174"/>
    <w:rsid w:val="009A39B6"/>
    <w:rsid w:val="009A42B5"/>
    <w:rsid w:val="009A5298"/>
    <w:rsid w:val="009A774A"/>
    <w:rsid w:val="009A7ADC"/>
    <w:rsid w:val="009A7E20"/>
    <w:rsid w:val="009B02D9"/>
    <w:rsid w:val="009B0D30"/>
    <w:rsid w:val="009B2C1B"/>
    <w:rsid w:val="009B2E55"/>
    <w:rsid w:val="009B5157"/>
    <w:rsid w:val="009B60D3"/>
    <w:rsid w:val="009B6F21"/>
    <w:rsid w:val="009C19B7"/>
    <w:rsid w:val="009C1ED0"/>
    <w:rsid w:val="009C5ABB"/>
    <w:rsid w:val="009C6318"/>
    <w:rsid w:val="009C7273"/>
    <w:rsid w:val="009C7390"/>
    <w:rsid w:val="009C7930"/>
    <w:rsid w:val="009D08D5"/>
    <w:rsid w:val="009D20E5"/>
    <w:rsid w:val="009D4A0C"/>
    <w:rsid w:val="009D7768"/>
    <w:rsid w:val="009D7C51"/>
    <w:rsid w:val="009D7D4B"/>
    <w:rsid w:val="009E196C"/>
    <w:rsid w:val="009E2579"/>
    <w:rsid w:val="009E2EB0"/>
    <w:rsid w:val="009E645C"/>
    <w:rsid w:val="009E6488"/>
    <w:rsid w:val="009E6A0A"/>
    <w:rsid w:val="009E78A0"/>
    <w:rsid w:val="009F0D6C"/>
    <w:rsid w:val="009F1389"/>
    <w:rsid w:val="009F36BF"/>
    <w:rsid w:val="009F5A55"/>
    <w:rsid w:val="009F649F"/>
    <w:rsid w:val="009F6E24"/>
    <w:rsid w:val="009F76E1"/>
    <w:rsid w:val="00A00364"/>
    <w:rsid w:val="00A050D2"/>
    <w:rsid w:val="00A057AF"/>
    <w:rsid w:val="00A05E23"/>
    <w:rsid w:val="00A05E95"/>
    <w:rsid w:val="00A064FA"/>
    <w:rsid w:val="00A06CC0"/>
    <w:rsid w:val="00A07071"/>
    <w:rsid w:val="00A11113"/>
    <w:rsid w:val="00A111B6"/>
    <w:rsid w:val="00A14115"/>
    <w:rsid w:val="00A149D5"/>
    <w:rsid w:val="00A14E3D"/>
    <w:rsid w:val="00A17056"/>
    <w:rsid w:val="00A17F44"/>
    <w:rsid w:val="00A17FC3"/>
    <w:rsid w:val="00A21CD0"/>
    <w:rsid w:val="00A22ACD"/>
    <w:rsid w:val="00A245B6"/>
    <w:rsid w:val="00A2530C"/>
    <w:rsid w:val="00A25DDE"/>
    <w:rsid w:val="00A2674E"/>
    <w:rsid w:val="00A267E7"/>
    <w:rsid w:val="00A26D27"/>
    <w:rsid w:val="00A26F1F"/>
    <w:rsid w:val="00A26F81"/>
    <w:rsid w:val="00A3098F"/>
    <w:rsid w:val="00A3237F"/>
    <w:rsid w:val="00A325C0"/>
    <w:rsid w:val="00A32B93"/>
    <w:rsid w:val="00A34BD2"/>
    <w:rsid w:val="00A37554"/>
    <w:rsid w:val="00A376EE"/>
    <w:rsid w:val="00A40118"/>
    <w:rsid w:val="00A403FD"/>
    <w:rsid w:val="00A41232"/>
    <w:rsid w:val="00A41847"/>
    <w:rsid w:val="00A422E7"/>
    <w:rsid w:val="00A42952"/>
    <w:rsid w:val="00A42A99"/>
    <w:rsid w:val="00A42E87"/>
    <w:rsid w:val="00A4598F"/>
    <w:rsid w:val="00A5151A"/>
    <w:rsid w:val="00A544F6"/>
    <w:rsid w:val="00A54B0D"/>
    <w:rsid w:val="00A55990"/>
    <w:rsid w:val="00A56CD8"/>
    <w:rsid w:val="00A57057"/>
    <w:rsid w:val="00A57C91"/>
    <w:rsid w:val="00A57E0A"/>
    <w:rsid w:val="00A60FE9"/>
    <w:rsid w:val="00A610E1"/>
    <w:rsid w:val="00A61AA2"/>
    <w:rsid w:val="00A61CC8"/>
    <w:rsid w:val="00A62006"/>
    <w:rsid w:val="00A6227C"/>
    <w:rsid w:val="00A746FE"/>
    <w:rsid w:val="00A751D9"/>
    <w:rsid w:val="00A76D15"/>
    <w:rsid w:val="00A76EB2"/>
    <w:rsid w:val="00A76ECC"/>
    <w:rsid w:val="00A77919"/>
    <w:rsid w:val="00A80959"/>
    <w:rsid w:val="00A814FB"/>
    <w:rsid w:val="00A823F6"/>
    <w:rsid w:val="00A8261C"/>
    <w:rsid w:val="00A82794"/>
    <w:rsid w:val="00A83124"/>
    <w:rsid w:val="00A834CA"/>
    <w:rsid w:val="00A838B2"/>
    <w:rsid w:val="00A83BA2"/>
    <w:rsid w:val="00A84B0E"/>
    <w:rsid w:val="00A8719E"/>
    <w:rsid w:val="00A87C11"/>
    <w:rsid w:val="00A90188"/>
    <w:rsid w:val="00A906BE"/>
    <w:rsid w:val="00A924FC"/>
    <w:rsid w:val="00A94809"/>
    <w:rsid w:val="00A9493B"/>
    <w:rsid w:val="00A95B35"/>
    <w:rsid w:val="00A95F29"/>
    <w:rsid w:val="00A96214"/>
    <w:rsid w:val="00AA0385"/>
    <w:rsid w:val="00AA06F9"/>
    <w:rsid w:val="00AA0A89"/>
    <w:rsid w:val="00AA50DD"/>
    <w:rsid w:val="00AA5368"/>
    <w:rsid w:val="00AA6429"/>
    <w:rsid w:val="00AA6C91"/>
    <w:rsid w:val="00AB09CB"/>
    <w:rsid w:val="00AB09D8"/>
    <w:rsid w:val="00AB1B71"/>
    <w:rsid w:val="00AB3301"/>
    <w:rsid w:val="00AB57F8"/>
    <w:rsid w:val="00AB7113"/>
    <w:rsid w:val="00AB7141"/>
    <w:rsid w:val="00AC01AA"/>
    <w:rsid w:val="00AC2044"/>
    <w:rsid w:val="00AC2C3F"/>
    <w:rsid w:val="00AC2E42"/>
    <w:rsid w:val="00AC2F95"/>
    <w:rsid w:val="00AC3EE9"/>
    <w:rsid w:val="00AC4B61"/>
    <w:rsid w:val="00AC4F72"/>
    <w:rsid w:val="00AC5041"/>
    <w:rsid w:val="00AC5768"/>
    <w:rsid w:val="00AC7C8E"/>
    <w:rsid w:val="00AD0A6D"/>
    <w:rsid w:val="00AD2BEE"/>
    <w:rsid w:val="00AD526E"/>
    <w:rsid w:val="00AD7B84"/>
    <w:rsid w:val="00AD7D32"/>
    <w:rsid w:val="00AE0B16"/>
    <w:rsid w:val="00AE0C92"/>
    <w:rsid w:val="00AE0EA1"/>
    <w:rsid w:val="00AE1C4D"/>
    <w:rsid w:val="00AE482E"/>
    <w:rsid w:val="00AE4A79"/>
    <w:rsid w:val="00AE535F"/>
    <w:rsid w:val="00AE6253"/>
    <w:rsid w:val="00AF093A"/>
    <w:rsid w:val="00AF194F"/>
    <w:rsid w:val="00AF1B39"/>
    <w:rsid w:val="00AF25B2"/>
    <w:rsid w:val="00AF2BFC"/>
    <w:rsid w:val="00AF66EA"/>
    <w:rsid w:val="00AF741A"/>
    <w:rsid w:val="00AF76D9"/>
    <w:rsid w:val="00B01ADB"/>
    <w:rsid w:val="00B04161"/>
    <w:rsid w:val="00B056F9"/>
    <w:rsid w:val="00B0692B"/>
    <w:rsid w:val="00B0786C"/>
    <w:rsid w:val="00B079C0"/>
    <w:rsid w:val="00B11E3D"/>
    <w:rsid w:val="00B13AFE"/>
    <w:rsid w:val="00B14D2C"/>
    <w:rsid w:val="00B150F1"/>
    <w:rsid w:val="00B15477"/>
    <w:rsid w:val="00B1579A"/>
    <w:rsid w:val="00B160CA"/>
    <w:rsid w:val="00B17886"/>
    <w:rsid w:val="00B17E82"/>
    <w:rsid w:val="00B20EB5"/>
    <w:rsid w:val="00B21C53"/>
    <w:rsid w:val="00B22059"/>
    <w:rsid w:val="00B26348"/>
    <w:rsid w:val="00B276F7"/>
    <w:rsid w:val="00B30330"/>
    <w:rsid w:val="00B35FCB"/>
    <w:rsid w:val="00B375BC"/>
    <w:rsid w:val="00B400A5"/>
    <w:rsid w:val="00B407A0"/>
    <w:rsid w:val="00B41F1D"/>
    <w:rsid w:val="00B43083"/>
    <w:rsid w:val="00B4308B"/>
    <w:rsid w:val="00B432FB"/>
    <w:rsid w:val="00B44867"/>
    <w:rsid w:val="00B45195"/>
    <w:rsid w:val="00B4575A"/>
    <w:rsid w:val="00B50849"/>
    <w:rsid w:val="00B517ED"/>
    <w:rsid w:val="00B51D38"/>
    <w:rsid w:val="00B5266C"/>
    <w:rsid w:val="00B52C8B"/>
    <w:rsid w:val="00B54263"/>
    <w:rsid w:val="00B554BB"/>
    <w:rsid w:val="00B56523"/>
    <w:rsid w:val="00B575BA"/>
    <w:rsid w:val="00B607BA"/>
    <w:rsid w:val="00B628CD"/>
    <w:rsid w:val="00B641DF"/>
    <w:rsid w:val="00B6551C"/>
    <w:rsid w:val="00B66063"/>
    <w:rsid w:val="00B663B0"/>
    <w:rsid w:val="00B67BF5"/>
    <w:rsid w:val="00B71608"/>
    <w:rsid w:val="00B71A68"/>
    <w:rsid w:val="00B73FB9"/>
    <w:rsid w:val="00B7504C"/>
    <w:rsid w:val="00B76290"/>
    <w:rsid w:val="00B76429"/>
    <w:rsid w:val="00B76B6C"/>
    <w:rsid w:val="00B81552"/>
    <w:rsid w:val="00B8269E"/>
    <w:rsid w:val="00B857D1"/>
    <w:rsid w:val="00B86471"/>
    <w:rsid w:val="00B87C1E"/>
    <w:rsid w:val="00B87D8C"/>
    <w:rsid w:val="00B905E0"/>
    <w:rsid w:val="00B91C8D"/>
    <w:rsid w:val="00B9387F"/>
    <w:rsid w:val="00B93A7D"/>
    <w:rsid w:val="00B956D4"/>
    <w:rsid w:val="00B97446"/>
    <w:rsid w:val="00BA085C"/>
    <w:rsid w:val="00BA12D8"/>
    <w:rsid w:val="00BA1A4E"/>
    <w:rsid w:val="00BA2444"/>
    <w:rsid w:val="00BA2EEE"/>
    <w:rsid w:val="00BA3E80"/>
    <w:rsid w:val="00BA5315"/>
    <w:rsid w:val="00BA7432"/>
    <w:rsid w:val="00BB0AF1"/>
    <w:rsid w:val="00BB1907"/>
    <w:rsid w:val="00BB227F"/>
    <w:rsid w:val="00BB2764"/>
    <w:rsid w:val="00BB35A5"/>
    <w:rsid w:val="00BB401E"/>
    <w:rsid w:val="00BB53EC"/>
    <w:rsid w:val="00BB7EEA"/>
    <w:rsid w:val="00BC048A"/>
    <w:rsid w:val="00BC0CAB"/>
    <w:rsid w:val="00BC1AA0"/>
    <w:rsid w:val="00BC20BF"/>
    <w:rsid w:val="00BC2495"/>
    <w:rsid w:val="00BC314A"/>
    <w:rsid w:val="00BC3C78"/>
    <w:rsid w:val="00BC3DD2"/>
    <w:rsid w:val="00BC4938"/>
    <w:rsid w:val="00BC4A24"/>
    <w:rsid w:val="00BC4ADE"/>
    <w:rsid w:val="00BC5806"/>
    <w:rsid w:val="00BC77EA"/>
    <w:rsid w:val="00BC7EB9"/>
    <w:rsid w:val="00BD053E"/>
    <w:rsid w:val="00BD17CF"/>
    <w:rsid w:val="00BD17DB"/>
    <w:rsid w:val="00BD1A67"/>
    <w:rsid w:val="00BD2643"/>
    <w:rsid w:val="00BD2893"/>
    <w:rsid w:val="00BD331E"/>
    <w:rsid w:val="00BD4954"/>
    <w:rsid w:val="00BD56B1"/>
    <w:rsid w:val="00BD6509"/>
    <w:rsid w:val="00BD6558"/>
    <w:rsid w:val="00BD68C2"/>
    <w:rsid w:val="00BD79B8"/>
    <w:rsid w:val="00BE0262"/>
    <w:rsid w:val="00BE1036"/>
    <w:rsid w:val="00BE2A6B"/>
    <w:rsid w:val="00BE2BB6"/>
    <w:rsid w:val="00BE2E63"/>
    <w:rsid w:val="00BE4052"/>
    <w:rsid w:val="00BE6256"/>
    <w:rsid w:val="00BE79F2"/>
    <w:rsid w:val="00BF2AD7"/>
    <w:rsid w:val="00BF2F76"/>
    <w:rsid w:val="00BF3022"/>
    <w:rsid w:val="00BF3214"/>
    <w:rsid w:val="00BF3739"/>
    <w:rsid w:val="00BF5378"/>
    <w:rsid w:val="00BF5573"/>
    <w:rsid w:val="00C00FFE"/>
    <w:rsid w:val="00C0345F"/>
    <w:rsid w:val="00C04E3A"/>
    <w:rsid w:val="00C0598A"/>
    <w:rsid w:val="00C11D3F"/>
    <w:rsid w:val="00C11EC0"/>
    <w:rsid w:val="00C15867"/>
    <w:rsid w:val="00C161A8"/>
    <w:rsid w:val="00C176DC"/>
    <w:rsid w:val="00C1775D"/>
    <w:rsid w:val="00C17F3C"/>
    <w:rsid w:val="00C205E5"/>
    <w:rsid w:val="00C20D70"/>
    <w:rsid w:val="00C22398"/>
    <w:rsid w:val="00C2296D"/>
    <w:rsid w:val="00C23155"/>
    <w:rsid w:val="00C23209"/>
    <w:rsid w:val="00C23910"/>
    <w:rsid w:val="00C247A5"/>
    <w:rsid w:val="00C302EB"/>
    <w:rsid w:val="00C30D7B"/>
    <w:rsid w:val="00C32277"/>
    <w:rsid w:val="00C32CFF"/>
    <w:rsid w:val="00C346E2"/>
    <w:rsid w:val="00C36809"/>
    <w:rsid w:val="00C36C24"/>
    <w:rsid w:val="00C40C41"/>
    <w:rsid w:val="00C4356F"/>
    <w:rsid w:val="00C45885"/>
    <w:rsid w:val="00C47F45"/>
    <w:rsid w:val="00C50D68"/>
    <w:rsid w:val="00C50F22"/>
    <w:rsid w:val="00C52E53"/>
    <w:rsid w:val="00C52FDB"/>
    <w:rsid w:val="00C55859"/>
    <w:rsid w:val="00C56506"/>
    <w:rsid w:val="00C57628"/>
    <w:rsid w:val="00C57971"/>
    <w:rsid w:val="00C605FF"/>
    <w:rsid w:val="00C60677"/>
    <w:rsid w:val="00C6379A"/>
    <w:rsid w:val="00C65BD7"/>
    <w:rsid w:val="00C66570"/>
    <w:rsid w:val="00C74933"/>
    <w:rsid w:val="00C753E5"/>
    <w:rsid w:val="00C7680E"/>
    <w:rsid w:val="00C76BA4"/>
    <w:rsid w:val="00C82191"/>
    <w:rsid w:val="00C8230F"/>
    <w:rsid w:val="00C827F9"/>
    <w:rsid w:val="00C83A48"/>
    <w:rsid w:val="00C84FCA"/>
    <w:rsid w:val="00C85865"/>
    <w:rsid w:val="00C85E85"/>
    <w:rsid w:val="00C8629D"/>
    <w:rsid w:val="00C863CB"/>
    <w:rsid w:val="00C86729"/>
    <w:rsid w:val="00C87E85"/>
    <w:rsid w:val="00C913AE"/>
    <w:rsid w:val="00C91857"/>
    <w:rsid w:val="00C926C8"/>
    <w:rsid w:val="00C93FA3"/>
    <w:rsid w:val="00C943DA"/>
    <w:rsid w:val="00C948A3"/>
    <w:rsid w:val="00C977B2"/>
    <w:rsid w:val="00C97BD8"/>
    <w:rsid w:val="00CA031E"/>
    <w:rsid w:val="00CA2EAE"/>
    <w:rsid w:val="00CA377A"/>
    <w:rsid w:val="00CA4AC1"/>
    <w:rsid w:val="00CA52BF"/>
    <w:rsid w:val="00CA59FB"/>
    <w:rsid w:val="00CA6A66"/>
    <w:rsid w:val="00CA6D20"/>
    <w:rsid w:val="00CA752F"/>
    <w:rsid w:val="00CB0316"/>
    <w:rsid w:val="00CB0428"/>
    <w:rsid w:val="00CB0B11"/>
    <w:rsid w:val="00CB1DBA"/>
    <w:rsid w:val="00CB231E"/>
    <w:rsid w:val="00CB2914"/>
    <w:rsid w:val="00CB426A"/>
    <w:rsid w:val="00CB5017"/>
    <w:rsid w:val="00CB5143"/>
    <w:rsid w:val="00CB5354"/>
    <w:rsid w:val="00CB5A54"/>
    <w:rsid w:val="00CC0150"/>
    <w:rsid w:val="00CC1E8A"/>
    <w:rsid w:val="00CC3C9E"/>
    <w:rsid w:val="00CC48F8"/>
    <w:rsid w:val="00CC65F2"/>
    <w:rsid w:val="00CC6A14"/>
    <w:rsid w:val="00CC70A3"/>
    <w:rsid w:val="00CD12FD"/>
    <w:rsid w:val="00CD305F"/>
    <w:rsid w:val="00CD4442"/>
    <w:rsid w:val="00CD53C3"/>
    <w:rsid w:val="00CD574E"/>
    <w:rsid w:val="00CD6F7D"/>
    <w:rsid w:val="00CD7374"/>
    <w:rsid w:val="00CD7816"/>
    <w:rsid w:val="00CD7E1F"/>
    <w:rsid w:val="00CE0736"/>
    <w:rsid w:val="00CE09A5"/>
    <w:rsid w:val="00CE1DE6"/>
    <w:rsid w:val="00CE2122"/>
    <w:rsid w:val="00CE2565"/>
    <w:rsid w:val="00CE2EFB"/>
    <w:rsid w:val="00CE3A9C"/>
    <w:rsid w:val="00CE3C8F"/>
    <w:rsid w:val="00CE4743"/>
    <w:rsid w:val="00CE4C22"/>
    <w:rsid w:val="00CE5DFD"/>
    <w:rsid w:val="00CE6A1A"/>
    <w:rsid w:val="00CE6E06"/>
    <w:rsid w:val="00CE755A"/>
    <w:rsid w:val="00CE76E5"/>
    <w:rsid w:val="00CF0FEC"/>
    <w:rsid w:val="00CF2C4C"/>
    <w:rsid w:val="00CF33CC"/>
    <w:rsid w:val="00CF3E2C"/>
    <w:rsid w:val="00CF41EC"/>
    <w:rsid w:val="00CF5AC8"/>
    <w:rsid w:val="00CF5C5D"/>
    <w:rsid w:val="00CF5D04"/>
    <w:rsid w:val="00CF719C"/>
    <w:rsid w:val="00CF7ED7"/>
    <w:rsid w:val="00D007CD"/>
    <w:rsid w:val="00D00C96"/>
    <w:rsid w:val="00D03E52"/>
    <w:rsid w:val="00D04DE4"/>
    <w:rsid w:val="00D063F1"/>
    <w:rsid w:val="00D07566"/>
    <w:rsid w:val="00D10369"/>
    <w:rsid w:val="00D10B1B"/>
    <w:rsid w:val="00D10BBA"/>
    <w:rsid w:val="00D11735"/>
    <w:rsid w:val="00D117D7"/>
    <w:rsid w:val="00D14567"/>
    <w:rsid w:val="00D14F22"/>
    <w:rsid w:val="00D172E4"/>
    <w:rsid w:val="00D20FB6"/>
    <w:rsid w:val="00D259FF"/>
    <w:rsid w:val="00D2634C"/>
    <w:rsid w:val="00D26D68"/>
    <w:rsid w:val="00D27152"/>
    <w:rsid w:val="00D32206"/>
    <w:rsid w:val="00D3331F"/>
    <w:rsid w:val="00D34B41"/>
    <w:rsid w:val="00D36739"/>
    <w:rsid w:val="00D37B8E"/>
    <w:rsid w:val="00D41355"/>
    <w:rsid w:val="00D443F0"/>
    <w:rsid w:val="00D44E65"/>
    <w:rsid w:val="00D45F84"/>
    <w:rsid w:val="00D472DA"/>
    <w:rsid w:val="00D4741C"/>
    <w:rsid w:val="00D5099A"/>
    <w:rsid w:val="00D52365"/>
    <w:rsid w:val="00D526FA"/>
    <w:rsid w:val="00D52E98"/>
    <w:rsid w:val="00D53A43"/>
    <w:rsid w:val="00D57918"/>
    <w:rsid w:val="00D605D1"/>
    <w:rsid w:val="00D60AE5"/>
    <w:rsid w:val="00D623AF"/>
    <w:rsid w:val="00D6399B"/>
    <w:rsid w:val="00D6510D"/>
    <w:rsid w:val="00D67A25"/>
    <w:rsid w:val="00D67C48"/>
    <w:rsid w:val="00D70588"/>
    <w:rsid w:val="00D724CC"/>
    <w:rsid w:val="00D72E59"/>
    <w:rsid w:val="00D73519"/>
    <w:rsid w:val="00D73DC6"/>
    <w:rsid w:val="00D74C1A"/>
    <w:rsid w:val="00D754C1"/>
    <w:rsid w:val="00D75782"/>
    <w:rsid w:val="00D77393"/>
    <w:rsid w:val="00D77A35"/>
    <w:rsid w:val="00D77AD1"/>
    <w:rsid w:val="00D77DB9"/>
    <w:rsid w:val="00D81B3E"/>
    <w:rsid w:val="00D8257C"/>
    <w:rsid w:val="00D84127"/>
    <w:rsid w:val="00D87BDF"/>
    <w:rsid w:val="00D90C70"/>
    <w:rsid w:val="00D90E49"/>
    <w:rsid w:val="00D94177"/>
    <w:rsid w:val="00D94939"/>
    <w:rsid w:val="00D94C7C"/>
    <w:rsid w:val="00D96ADE"/>
    <w:rsid w:val="00DA0465"/>
    <w:rsid w:val="00DA0CE2"/>
    <w:rsid w:val="00DA1EF7"/>
    <w:rsid w:val="00DA2387"/>
    <w:rsid w:val="00DA31F7"/>
    <w:rsid w:val="00DA4779"/>
    <w:rsid w:val="00DA4847"/>
    <w:rsid w:val="00DA4E01"/>
    <w:rsid w:val="00DA7A7B"/>
    <w:rsid w:val="00DB37DB"/>
    <w:rsid w:val="00DB41F9"/>
    <w:rsid w:val="00DB46E9"/>
    <w:rsid w:val="00DB493B"/>
    <w:rsid w:val="00DB6983"/>
    <w:rsid w:val="00DB7644"/>
    <w:rsid w:val="00DB78DB"/>
    <w:rsid w:val="00DB7B3D"/>
    <w:rsid w:val="00DC028E"/>
    <w:rsid w:val="00DC19C8"/>
    <w:rsid w:val="00DC345C"/>
    <w:rsid w:val="00DC3494"/>
    <w:rsid w:val="00DC6A10"/>
    <w:rsid w:val="00DD0BA8"/>
    <w:rsid w:val="00DD2A68"/>
    <w:rsid w:val="00DD349C"/>
    <w:rsid w:val="00DD38A9"/>
    <w:rsid w:val="00DD59B2"/>
    <w:rsid w:val="00DD7C02"/>
    <w:rsid w:val="00DE29A9"/>
    <w:rsid w:val="00DE2FAB"/>
    <w:rsid w:val="00DE33F3"/>
    <w:rsid w:val="00DE417C"/>
    <w:rsid w:val="00DE657E"/>
    <w:rsid w:val="00DE722B"/>
    <w:rsid w:val="00DE7ED5"/>
    <w:rsid w:val="00DF08B4"/>
    <w:rsid w:val="00DF08E2"/>
    <w:rsid w:val="00DF23C7"/>
    <w:rsid w:val="00DF24E2"/>
    <w:rsid w:val="00DF2DAD"/>
    <w:rsid w:val="00DF3546"/>
    <w:rsid w:val="00DF4704"/>
    <w:rsid w:val="00DF4EC8"/>
    <w:rsid w:val="00DF6FAF"/>
    <w:rsid w:val="00DF7386"/>
    <w:rsid w:val="00E004B0"/>
    <w:rsid w:val="00E0055F"/>
    <w:rsid w:val="00E0156D"/>
    <w:rsid w:val="00E024AA"/>
    <w:rsid w:val="00E074A7"/>
    <w:rsid w:val="00E077B7"/>
    <w:rsid w:val="00E10943"/>
    <w:rsid w:val="00E11A48"/>
    <w:rsid w:val="00E11CBE"/>
    <w:rsid w:val="00E12292"/>
    <w:rsid w:val="00E130BB"/>
    <w:rsid w:val="00E1338B"/>
    <w:rsid w:val="00E13E72"/>
    <w:rsid w:val="00E14C19"/>
    <w:rsid w:val="00E15C77"/>
    <w:rsid w:val="00E1693E"/>
    <w:rsid w:val="00E171B1"/>
    <w:rsid w:val="00E202B0"/>
    <w:rsid w:val="00E2191A"/>
    <w:rsid w:val="00E220CC"/>
    <w:rsid w:val="00E2299F"/>
    <w:rsid w:val="00E22A4F"/>
    <w:rsid w:val="00E246A1"/>
    <w:rsid w:val="00E24893"/>
    <w:rsid w:val="00E250F1"/>
    <w:rsid w:val="00E31BC5"/>
    <w:rsid w:val="00E337C5"/>
    <w:rsid w:val="00E34819"/>
    <w:rsid w:val="00E3550D"/>
    <w:rsid w:val="00E42642"/>
    <w:rsid w:val="00E431B0"/>
    <w:rsid w:val="00E46580"/>
    <w:rsid w:val="00E50F57"/>
    <w:rsid w:val="00E52838"/>
    <w:rsid w:val="00E53143"/>
    <w:rsid w:val="00E54B83"/>
    <w:rsid w:val="00E56121"/>
    <w:rsid w:val="00E56BF5"/>
    <w:rsid w:val="00E614E0"/>
    <w:rsid w:val="00E62F8B"/>
    <w:rsid w:val="00E66C8A"/>
    <w:rsid w:val="00E70745"/>
    <w:rsid w:val="00E7219A"/>
    <w:rsid w:val="00E73386"/>
    <w:rsid w:val="00E738F1"/>
    <w:rsid w:val="00E73F7F"/>
    <w:rsid w:val="00E753E8"/>
    <w:rsid w:val="00E75567"/>
    <w:rsid w:val="00E75DB9"/>
    <w:rsid w:val="00E765BC"/>
    <w:rsid w:val="00E76AAC"/>
    <w:rsid w:val="00E76F4A"/>
    <w:rsid w:val="00E81548"/>
    <w:rsid w:val="00E825A0"/>
    <w:rsid w:val="00E82F57"/>
    <w:rsid w:val="00E85409"/>
    <w:rsid w:val="00E87FF7"/>
    <w:rsid w:val="00E918D8"/>
    <w:rsid w:val="00E91EA8"/>
    <w:rsid w:val="00E93211"/>
    <w:rsid w:val="00E9339B"/>
    <w:rsid w:val="00E9502D"/>
    <w:rsid w:val="00EA06DD"/>
    <w:rsid w:val="00EA0DF9"/>
    <w:rsid w:val="00EA1E1E"/>
    <w:rsid w:val="00EA429F"/>
    <w:rsid w:val="00EA45E9"/>
    <w:rsid w:val="00EA4F9E"/>
    <w:rsid w:val="00EA5490"/>
    <w:rsid w:val="00EA54CA"/>
    <w:rsid w:val="00EA63CA"/>
    <w:rsid w:val="00EA6588"/>
    <w:rsid w:val="00EA6D37"/>
    <w:rsid w:val="00EA6D3B"/>
    <w:rsid w:val="00EB00AD"/>
    <w:rsid w:val="00EB02D5"/>
    <w:rsid w:val="00EB136C"/>
    <w:rsid w:val="00EB480E"/>
    <w:rsid w:val="00EB5EC6"/>
    <w:rsid w:val="00EB653A"/>
    <w:rsid w:val="00EB6E1A"/>
    <w:rsid w:val="00EB788B"/>
    <w:rsid w:val="00EB7FC9"/>
    <w:rsid w:val="00EC0490"/>
    <w:rsid w:val="00EC10B9"/>
    <w:rsid w:val="00EC1357"/>
    <w:rsid w:val="00EC1EAC"/>
    <w:rsid w:val="00EC3071"/>
    <w:rsid w:val="00EC4E6B"/>
    <w:rsid w:val="00EC6F4F"/>
    <w:rsid w:val="00ED10C9"/>
    <w:rsid w:val="00ED152E"/>
    <w:rsid w:val="00ED1970"/>
    <w:rsid w:val="00ED27E8"/>
    <w:rsid w:val="00ED281B"/>
    <w:rsid w:val="00ED5F15"/>
    <w:rsid w:val="00ED7137"/>
    <w:rsid w:val="00ED7F02"/>
    <w:rsid w:val="00EE0F88"/>
    <w:rsid w:val="00EE1A07"/>
    <w:rsid w:val="00EE2FA2"/>
    <w:rsid w:val="00EE489B"/>
    <w:rsid w:val="00EE4C25"/>
    <w:rsid w:val="00EE4C91"/>
    <w:rsid w:val="00EF06EA"/>
    <w:rsid w:val="00EF205E"/>
    <w:rsid w:val="00EF2ADE"/>
    <w:rsid w:val="00EF5246"/>
    <w:rsid w:val="00EF56AA"/>
    <w:rsid w:val="00F02199"/>
    <w:rsid w:val="00F02541"/>
    <w:rsid w:val="00F0325E"/>
    <w:rsid w:val="00F04E00"/>
    <w:rsid w:val="00F059F6"/>
    <w:rsid w:val="00F0735E"/>
    <w:rsid w:val="00F07604"/>
    <w:rsid w:val="00F10452"/>
    <w:rsid w:val="00F133E5"/>
    <w:rsid w:val="00F13CBE"/>
    <w:rsid w:val="00F175DB"/>
    <w:rsid w:val="00F208A1"/>
    <w:rsid w:val="00F21088"/>
    <w:rsid w:val="00F2224E"/>
    <w:rsid w:val="00F230C3"/>
    <w:rsid w:val="00F247D2"/>
    <w:rsid w:val="00F24CAB"/>
    <w:rsid w:val="00F27A01"/>
    <w:rsid w:val="00F31665"/>
    <w:rsid w:val="00F325C2"/>
    <w:rsid w:val="00F326BF"/>
    <w:rsid w:val="00F327E7"/>
    <w:rsid w:val="00F32E78"/>
    <w:rsid w:val="00F32FD4"/>
    <w:rsid w:val="00F34FC6"/>
    <w:rsid w:val="00F35746"/>
    <w:rsid w:val="00F37D03"/>
    <w:rsid w:val="00F4135E"/>
    <w:rsid w:val="00F43A09"/>
    <w:rsid w:val="00F447C7"/>
    <w:rsid w:val="00F45603"/>
    <w:rsid w:val="00F459B4"/>
    <w:rsid w:val="00F46111"/>
    <w:rsid w:val="00F503EB"/>
    <w:rsid w:val="00F5140B"/>
    <w:rsid w:val="00F5211B"/>
    <w:rsid w:val="00F52A65"/>
    <w:rsid w:val="00F52BF1"/>
    <w:rsid w:val="00F5301A"/>
    <w:rsid w:val="00F548EA"/>
    <w:rsid w:val="00F554A9"/>
    <w:rsid w:val="00F572EF"/>
    <w:rsid w:val="00F61E47"/>
    <w:rsid w:val="00F6332F"/>
    <w:rsid w:val="00F63CF9"/>
    <w:rsid w:val="00F6411B"/>
    <w:rsid w:val="00F64FD7"/>
    <w:rsid w:val="00F6633C"/>
    <w:rsid w:val="00F6689D"/>
    <w:rsid w:val="00F66937"/>
    <w:rsid w:val="00F66FED"/>
    <w:rsid w:val="00F70FD5"/>
    <w:rsid w:val="00F71199"/>
    <w:rsid w:val="00F716FD"/>
    <w:rsid w:val="00F717E8"/>
    <w:rsid w:val="00F71FEE"/>
    <w:rsid w:val="00F72142"/>
    <w:rsid w:val="00F72EA9"/>
    <w:rsid w:val="00F731B4"/>
    <w:rsid w:val="00F734F7"/>
    <w:rsid w:val="00F74E4E"/>
    <w:rsid w:val="00F77B43"/>
    <w:rsid w:val="00F80355"/>
    <w:rsid w:val="00F81BCB"/>
    <w:rsid w:val="00F858CE"/>
    <w:rsid w:val="00F87C43"/>
    <w:rsid w:val="00F918C9"/>
    <w:rsid w:val="00F933BD"/>
    <w:rsid w:val="00F9364C"/>
    <w:rsid w:val="00F965FC"/>
    <w:rsid w:val="00F9673C"/>
    <w:rsid w:val="00FA1727"/>
    <w:rsid w:val="00FA18C2"/>
    <w:rsid w:val="00FA291B"/>
    <w:rsid w:val="00FA2D94"/>
    <w:rsid w:val="00FA5722"/>
    <w:rsid w:val="00FA58AA"/>
    <w:rsid w:val="00FA5C56"/>
    <w:rsid w:val="00FA5ECD"/>
    <w:rsid w:val="00FA6A6A"/>
    <w:rsid w:val="00FA6A8C"/>
    <w:rsid w:val="00FA7867"/>
    <w:rsid w:val="00FA7E8F"/>
    <w:rsid w:val="00FB0088"/>
    <w:rsid w:val="00FB0C81"/>
    <w:rsid w:val="00FB1AAC"/>
    <w:rsid w:val="00FB1B90"/>
    <w:rsid w:val="00FB3210"/>
    <w:rsid w:val="00FB33A5"/>
    <w:rsid w:val="00FB3D70"/>
    <w:rsid w:val="00FB4D6B"/>
    <w:rsid w:val="00FB52AF"/>
    <w:rsid w:val="00FB635E"/>
    <w:rsid w:val="00FB7ECD"/>
    <w:rsid w:val="00FC1232"/>
    <w:rsid w:val="00FC2200"/>
    <w:rsid w:val="00FC2540"/>
    <w:rsid w:val="00FC2DDD"/>
    <w:rsid w:val="00FC2EBA"/>
    <w:rsid w:val="00FC441E"/>
    <w:rsid w:val="00FC4FE8"/>
    <w:rsid w:val="00FC6150"/>
    <w:rsid w:val="00FD10AF"/>
    <w:rsid w:val="00FD12A1"/>
    <w:rsid w:val="00FD16B1"/>
    <w:rsid w:val="00FD3DB5"/>
    <w:rsid w:val="00FD432C"/>
    <w:rsid w:val="00FD5077"/>
    <w:rsid w:val="00FE1A4C"/>
    <w:rsid w:val="00FE2BF0"/>
    <w:rsid w:val="00FE331F"/>
    <w:rsid w:val="00FE7205"/>
    <w:rsid w:val="00FE73E3"/>
    <w:rsid w:val="00FE7BB3"/>
    <w:rsid w:val="00FF0204"/>
    <w:rsid w:val="00FF048A"/>
    <w:rsid w:val="00FF12DC"/>
    <w:rsid w:val="00FF160F"/>
    <w:rsid w:val="00FF27C3"/>
    <w:rsid w:val="00FF2AE3"/>
    <w:rsid w:val="00FF3906"/>
    <w:rsid w:val="00FF3AED"/>
    <w:rsid w:val="00FF70E5"/>
    <w:rsid w:val="0D6ECF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19E54"/>
  <w15:docId w15:val="{1BDDA8C9-5EBA-488C-A740-88FBFB2C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LU" w:eastAsia="fr-L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91B19"/>
    <w:rPr>
      <w:sz w:val="22"/>
      <w:szCs w:val="22"/>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891B19"/>
    <w:rPr>
      <w:sz w:val="22"/>
      <w:szCs w:val="22"/>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891B19"/>
    <w:rPr>
      <w:sz w:val="22"/>
      <w:szCs w:val="22"/>
    </w:rPr>
  </w:style>
  <w:style w:type="character" w:customStyle="1" w:styleId="Heading5Char">
    <w:name w:val="Heading 5 Char"/>
    <w:basedOn w:val="DefaultParagraphFont"/>
    <w:link w:val="Heading5"/>
    <w:rsid w:val="00891B19"/>
    <w:rPr>
      <w:sz w:val="22"/>
      <w:szCs w:val="22"/>
    </w:rPr>
  </w:style>
  <w:style w:type="character" w:customStyle="1" w:styleId="Heading6Char">
    <w:name w:val="Heading 6 Char"/>
    <w:basedOn w:val="DefaultParagraphFont"/>
    <w:link w:val="Heading6"/>
    <w:uiPriority w:val="9"/>
    <w:rsid w:val="00891B19"/>
    <w:rPr>
      <w:rFonts w:ascii="Arial" w:hAnsi="Arial"/>
      <w:i/>
      <w:sz w:val="22"/>
      <w:szCs w:val="22"/>
    </w:rPr>
  </w:style>
  <w:style w:type="character" w:customStyle="1" w:styleId="Heading7Char">
    <w:name w:val="Heading 7 Char"/>
    <w:basedOn w:val="DefaultParagraphFont"/>
    <w:link w:val="Heading7"/>
    <w:uiPriority w:val="9"/>
    <w:rsid w:val="00891B19"/>
    <w:rPr>
      <w:rFonts w:ascii="Arial" w:hAnsi="Arial"/>
      <w:sz w:val="22"/>
      <w:szCs w:val="22"/>
    </w:rPr>
  </w:style>
  <w:style w:type="character" w:customStyle="1" w:styleId="Heading8Char">
    <w:name w:val="Heading 8 Char"/>
    <w:basedOn w:val="DefaultParagraphFont"/>
    <w:link w:val="Heading8"/>
    <w:rsid w:val="00891B19"/>
    <w:rPr>
      <w:b/>
      <w:sz w:val="22"/>
      <w:szCs w:val="22"/>
    </w:rPr>
  </w:style>
  <w:style w:type="character" w:customStyle="1" w:styleId="Heading9Char">
    <w:name w:val="Heading 9 Char"/>
    <w:basedOn w:val="DefaultParagraphFont"/>
    <w:link w:val="Heading9"/>
    <w:uiPriority w:val="9"/>
    <w:rsid w:val="00891B19"/>
    <w:rPr>
      <w:rFonts w:ascii="Arial" w:hAnsi="Arial"/>
      <w:i/>
      <w:sz w:val="18"/>
      <w:szCs w:val="22"/>
    </w:rPr>
  </w:style>
  <w:style w:type="numbering" w:customStyle="1" w:styleId="1111111">
    <w:name w:val="1 / 1.1 / 1.1.11"/>
    <w:basedOn w:val="NoList"/>
    <w:next w:val="111111"/>
    <w:semiHidden/>
    <w:rsid w:val="00891B19"/>
  </w:style>
  <w:style w:type="character" w:customStyle="1" w:styleId="HeaderChar">
    <w:name w:val="Header Char"/>
    <w:basedOn w:val="DefaultParagraphFont"/>
    <w:link w:val="Header"/>
    <w:rsid w:val="00891B19"/>
    <w:rPr>
      <w:sz w:val="22"/>
      <w:szCs w:val="22"/>
    </w:rPr>
  </w:style>
  <w:style w:type="character" w:customStyle="1" w:styleId="FooterChar">
    <w:name w:val="Footer Char"/>
    <w:basedOn w:val="DefaultParagraphFont"/>
    <w:link w:val="Footer"/>
    <w:uiPriority w:val="99"/>
    <w:rsid w:val="00891B19"/>
    <w:rPr>
      <w:sz w:val="22"/>
      <w:szCs w:val="22"/>
    </w:rPr>
  </w:style>
  <w:style w:type="numbering" w:customStyle="1" w:styleId="1ai1">
    <w:name w:val="1 / a / i1"/>
    <w:basedOn w:val="NoList"/>
    <w:next w:val="1ai"/>
    <w:semiHidden/>
    <w:rsid w:val="00891B19"/>
  </w:style>
  <w:style w:type="numbering" w:customStyle="1" w:styleId="ArticleSection1">
    <w:name w:val="Article / Section1"/>
    <w:basedOn w:val="NoList"/>
    <w:next w:val="ArticleSection"/>
    <w:semiHidden/>
    <w:rsid w:val="00891B19"/>
  </w:style>
  <w:style w:type="character" w:customStyle="1" w:styleId="BodyText3Char">
    <w:name w:val="Body Text 3 Char"/>
    <w:basedOn w:val="DefaultParagraphFont"/>
    <w:link w:val="BodyText3"/>
    <w:semiHidden/>
    <w:rsid w:val="00891B19"/>
    <w:rPr>
      <w:sz w:val="16"/>
      <w:szCs w:val="16"/>
    </w:rPr>
  </w:style>
  <w:style w:type="character" w:customStyle="1" w:styleId="BodyTextIndent3Char">
    <w:name w:val="Body Text Indent 3 Char"/>
    <w:basedOn w:val="DefaultParagraphFont"/>
    <w:link w:val="BodyTextIndent3"/>
    <w:semiHidden/>
    <w:rsid w:val="00891B19"/>
    <w:rPr>
      <w:sz w:val="16"/>
      <w:szCs w:val="16"/>
    </w:rPr>
  </w:style>
  <w:style w:type="character" w:customStyle="1" w:styleId="PlainTextChar">
    <w:name w:val="Plain Text Char"/>
    <w:basedOn w:val="DefaultParagraphFont"/>
    <w:link w:val="PlainText"/>
    <w:semiHidden/>
    <w:rsid w:val="00891B19"/>
    <w:rPr>
      <w:rFonts w:ascii="Courier New" w:hAnsi="Courier New" w:cs="Courier New"/>
      <w:szCs w:val="22"/>
    </w:rPr>
  </w:style>
  <w:style w:type="character" w:customStyle="1" w:styleId="SubtitleChar">
    <w:name w:val="Subtitle Char"/>
    <w:basedOn w:val="DefaultParagraphFont"/>
    <w:link w:val="Subtitle"/>
    <w:rsid w:val="00891B19"/>
    <w:rPr>
      <w:rFonts w:ascii="Arial" w:hAnsi="Arial" w:cs="Arial"/>
      <w:sz w:val="22"/>
      <w:szCs w:val="22"/>
    </w:rPr>
  </w:style>
  <w:style w:type="character" w:customStyle="1" w:styleId="TitleChar">
    <w:name w:val="Title Char"/>
    <w:basedOn w:val="DefaultParagraphFont"/>
    <w:link w:val="Title"/>
    <w:rsid w:val="00891B19"/>
    <w:rPr>
      <w:rFonts w:ascii="Arial" w:hAnsi="Arial" w:cs="Arial"/>
      <w:b/>
      <w:bCs/>
      <w:kern w:val="28"/>
      <w:sz w:val="22"/>
      <w:szCs w:val="22"/>
    </w:rPr>
  </w:style>
  <w:style w:type="character" w:customStyle="1" w:styleId="DateChar">
    <w:name w:val="Date Char"/>
    <w:basedOn w:val="DefaultParagraphFont"/>
    <w:link w:val="Date"/>
    <w:rsid w:val="00891B19"/>
    <w:rPr>
      <w:sz w:val="22"/>
      <w:szCs w:val="22"/>
    </w:rPr>
  </w:style>
  <w:style w:type="numbering" w:customStyle="1" w:styleId="11111111">
    <w:name w:val="1 / 1.1 / 1.1.111"/>
    <w:basedOn w:val="NoList"/>
    <w:next w:val="111111"/>
    <w:semiHidden/>
    <w:rsid w:val="00891B19"/>
    <w:pPr>
      <w:numPr>
        <w:numId w:val="24"/>
      </w:numPr>
    </w:pPr>
  </w:style>
  <w:style w:type="numbering" w:customStyle="1" w:styleId="1ai11">
    <w:name w:val="1 / a / i11"/>
    <w:basedOn w:val="NoList"/>
    <w:next w:val="1ai"/>
    <w:semiHidden/>
    <w:rsid w:val="00891B19"/>
    <w:pPr>
      <w:numPr>
        <w:numId w:val="25"/>
      </w:numPr>
    </w:pPr>
  </w:style>
  <w:style w:type="numbering" w:customStyle="1" w:styleId="ArticleSection11">
    <w:name w:val="Article / Section11"/>
    <w:basedOn w:val="NoList"/>
    <w:next w:val="ArticleSection"/>
    <w:semiHidden/>
    <w:rsid w:val="00891B19"/>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891B19"/>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91B19"/>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91B19"/>
    <w:pPr>
      <w:spacing w:after="160" w:line="240" w:lineRule="exact"/>
    </w:pPr>
    <w:rPr>
      <w:sz w:val="20"/>
      <w:szCs w:val="20"/>
      <w:vertAlign w:val="superscript"/>
    </w:rPr>
  </w:style>
  <w:style w:type="character" w:customStyle="1" w:styleId="normaltextrun">
    <w:name w:val="normaltextrun"/>
    <w:basedOn w:val="DefaultParagraphFont"/>
    <w:rsid w:val="00891B19"/>
    <w:rPr>
      <w:rFonts w:ascii="Times New Roman" w:hAnsi="Times New Roman"/>
    </w:rPr>
  </w:style>
  <w:style w:type="paragraph" w:styleId="NoSpacing">
    <w:name w:val="No Spacing"/>
    <w:uiPriority w:val="1"/>
    <w:qFormat/>
    <w:rsid w:val="00891B19"/>
  </w:style>
  <w:style w:type="paragraph" w:styleId="Revision">
    <w:name w:val="Revision"/>
    <w:hidden/>
    <w:uiPriority w:val="99"/>
    <w:semiHidden/>
    <w:rsid w:val="00891B19"/>
    <w:rPr>
      <w:sz w:val="22"/>
      <w:szCs w:val="22"/>
    </w:rPr>
  </w:style>
  <w:style w:type="paragraph" w:customStyle="1" w:styleId="paragraph">
    <w:name w:val="paragraph"/>
    <w:basedOn w:val="Normal"/>
    <w:rsid w:val="00891B19"/>
    <w:pPr>
      <w:spacing w:before="100" w:beforeAutospacing="1" w:after="100" w:afterAutospacing="1"/>
      <w:jc w:val="left"/>
    </w:pPr>
    <w:rPr>
      <w:sz w:val="24"/>
      <w:szCs w:val="24"/>
    </w:rPr>
  </w:style>
  <w:style w:type="character" w:customStyle="1" w:styleId="eop">
    <w:name w:val="eop"/>
    <w:basedOn w:val="DefaultParagraphFont"/>
    <w:rsid w:val="00891B19"/>
    <w:rPr>
      <w:rFonts w:ascii="Times New Roman" w:hAnsi="Times New Roman"/>
    </w:rPr>
  </w:style>
  <w:style w:type="numbering" w:customStyle="1" w:styleId="CurrentList1">
    <w:name w:val="Current List1"/>
    <w:uiPriority w:val="99"/>
    <w:rsid w:val="00300CCE"/>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2780B42-07B4-46AF-8622-5712AFCA84E9}"/>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4354</Words>
  <Characters>24821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Proposition de projet : Sierra Leone</vt:lpstr>
    </vt:vector>
  </TitlesOfParts>
  <Company>UNMFS</Company>
  <LinksUpToDate>false</LinksUpToDate>
  <CharactersWithSpaces>29117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Sierra Leone</dc:title>
  <dc:creator>MS LD</dc:creator>
  <cp:lastModifiedBy>Angela Xue He Yan</cp:lastModifiedBy>
  <cp:revision>3</cp:revision>
  <cp:lastPrinted>2001-05-26T16:40:00Z</cp:lastPrinted>
  <dcterms:created xsi:type="dcterms:W3CDTF">2025-11-04T18:54:00Z</dcterms:created>
  <dcterms:modified xsi:type="dcterms:W3CDTF">2025-11-04T21:06:00Z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UNEP/OzL.Pro/ExCom/97/75</vt:lpwstr>
  </property>
  <property fmtid="{D5CDD505-2E9C-101B-9397-08002B2CF9AE}" pid="3" name="Revision date">
    <vt:lpwstr>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