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6" w:type="dxa"/>
        <w:tblInd w:w="-432" w:type="dxa"/>
        <w:tblLayout w:type="fixed"/>
        <w:tblLook w:val="0000" w:firstRow="0" w:lastRow="0" w:firstColumn="0" w:lastColumn="0" w:noHBand="0" w:noVBand="0"/>
      </w:tblPr>
      <w:tblGrid>
        <w:gridCol w:w="1820"/>
        <w:gridCol w:w="3890"/>
        <w:gridCol w:w="4036"/>
      </w:tblGrid>
      <w:tr w:rsidR="0087455A" w14:paraId="0A5D5A8C" w14:textId="77777777" w:rsidTr="006A4D88">
        <w:trPr>
          <w:trHeight w:val="678"/>
        </w:trPr>
        <w:tc>
          <w:tcPr>
            <w:tcW w:w="5710" w:type="dxa"/>
            <w:gridSpan w:val="2"/>
            <w:tcBorders>
              <w:bottom w:val="single" w:sz="18" w:space="0" w:color="auto"/>
            </w:tcBorders>
          </w:tcPr>
          <w:p w14:paraId="5F3B82AF" w14:textId="77777777" w:rsidR="0087455A" w:rsidRDefault="0024162E">
            <w:pPr>
              <w:rPr>
                <w:rFonts w:ascii="Univers" w:hAnsi="Univers"/>
                <w:b/>
                <w:sz w:val="28"/>
                <w:szCs w:val="28"/>
                <w:lang w:val="es-MX"/>
              </w:rPr>
            </w:pPr>
            <w:r>
              <w:rPr>
                <w:rFonts w:ascii="Univers" w:hAnsi="Univers"/>
                <w:b/>
                <w:sz w:val="28"/>
                <w:szCs w:val="28"/>
                <w:lang w:val="es-MX"/>
              </w:rPr>
              <w:t>NACIONES</w:t>
            </w:r>
          </w:p>
          <w:p w14:paraId="09115B8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36" w:type="dxa"/>
            <w:tcBorders>
              <w:bottom w:val="single" w:sz="18" w:space="0" w:color="auto"/>
            </w:tcBorders>
          </w:tcPr>
          <w:p w14:paraId="79F014D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5BE4BE1E" w14:textId="77777777" w:rsidTr="006A4D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2"/>
        </w:trPr>
        <w:tc>
          <w:tcPr>
            <w:tcW w:w="1820" w:type="dxa"/>
            <w:tcBorders>
              <w:top w:val="nil"/>
              <w:left w:val="nil"/>
              <w:bottom w:val="single" w:sz="36" w:space="0" w:color="auto"/>
              <w:right w:val="nil"/>
            </w:tcBorders>
          </w:tcPr>
          <w:p w14:paraId="3A6774D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EA6C346" wp14:editId="2E9DFDC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E1E1269" wp14:editId="62B532C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890" w:type="dxa"/>
            <w:tcBorders>
              <w:top w:val="nil"/>
              <w:left w:val="nil"/>
              <w:bottom w:val="single" w:sz="36" w:space="0" w:color="auto"/>
              <w:right w:val="nil"/>
            </w:tcBorders>
          </w:tcPr>
          <w:p w14:paraId="4E045634" w14:textId="77777777" w:rsidR="00AC613F" w:rsidRDefault="00AC61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8A60471" w14:textId="00F4E510"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40524D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463120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7B6E8F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F14FAF7" w14:textId="77777777" w:rsidR="0087455A" w:rsidRDefault="0087455A">
            <w:pPr>
              <w:spacing w:before="720"/>
              <w:ind w:left="158"/>
              <w:rPr>
                <w:lang w:val="es-ES"/>
              </w:rPr>
            </w:pPr>
          </w:p>
        </w:tc>
        <w:tc>
          <w:tcPr>
            <w:tcW w:w="4036" w:type="dxa"/>
            <w:tcBorders>
              <w:top w:val="nil"/>
              <w:left w:val="nil"/>
              <w:bottom w:val="single" w:sz="36" w:space="0" w:color="auto"/>
              <w:right w:val="nil"/>
            </w:tcBorders>
          </w:tcPr>
          <w:p w14:paraId="1EFD530F" w14:textId="77777777" w:rsidR="00AC613F" w:rsidRDefault="00AC613F">
            <w:pPr>
              <w:rPr>
                <w:lang w:val="es-ES"/>
              </w:rPr>
            </w:pPr>
          </w:p>
          <w:p w14:paraId="5DAADF1D" w14:textId="176BD5FF" w:rsidR="0087455A" w:rsidRDefault="0024162E">
            <w:pPr>
              <w:rPr>
                <w:lang w:val="es-ES"/>
              </w:rPr>
            </w:pPr>
            <w:proofErr w:type="spellStart"/>
            <w:r>
              <w:rPr>
                <w:lang w:val="es-ES"/>
              </w:rPr>
              <w:t>Distr</w:t>
            </w:r>
            <w:proofErr w:type="spellEnd"/>
            <w:r>
              <w:rPr>
                <w:lang w:val="es-ES"/>
              </w:rPr>
              <w:t>.</w:t>
            </w:r>
          </w:p>
          <w:p w14:paraId="7F3E48ED" w14:textId="77777777" w:rsidR="0087455A" w:rsidRDefault="0024162E">
            <w:pPr>
              <w:rPr>
                <w:lang w:val="es-ES"/>
              </w:rPr>
            </w:pPr>
            <w:r>
              <w:rPr>
                <w:lang w:val="es-ES"/>
              </w:rPr>
              <w:t>GENERAL</w:t>
            </w:r>
          </w:p>
          <w:p w14:paraId="1380B3CC" w14:textId="77777777" w:rsidR="0087455A" w:rsidRDefault="0087455A">
            <w:pPr>
              <w:rPr>
                <w:lang w:val="es-ES"/>
              </w:rPr>
            </w:pPr>
          </w:p>
          <w:p w14:paraId="4B7E4AC9" w14:textId="7169572B"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8F7576">
              <w:rPr>
                <w:lang w:val="es-AR"/>
              </w:rPr>
              <w:t>UNEP/</w:t>
            </w:r>
            <w:proofErr w:type="spellStart"/>
            <w:r w:rsidR="008F7576">
              <w:rPr>
                <w:lang w:val="es-AR"/>
              </w:rPr>
              <w:t>OzL.Pro</w:t>
            </w:r>
            <w:proofErr w:type="spellEnd"/>
            <w:r w:rsidR="008F7576">
              <w:rPr>
                <w:lang w:val="es-AR"/>
              </w:rPr>
              <w:t>/</w:t>
            </w:r>
            <w:proofErr w:type="spellStart"/>
            <w:r w:rsidR="008F7576">
              <w:rPr>
                <w:lang w:val="es-AR"/>
              </w:rPr>
              <w:t>ExCom</w:t>
            </w:r>
            <w:proofErr w:type="spellEnd"/>
            <w:r w:rsidR="008F7576">
              <w:rPr>
                <w:lang w:val="es-AR"/>
              </w:rPr>
              <w:t>/91/41</w:t>
            </w:r>
            <w:r>
              <w:fldChar w:fldCharType="end"/>
            </w:r>
          </w:p>
          <w:p w14:paraId="4707EB45" w14:textId="23F48533"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6A4D88">
              <w:rPr>
                <w:lang w:val="es-AR"/>
              </w:rPr>
              <w:t>15</w:t>
            </w:r>
            <w:r w:rsidR="00A0060F">
              <w:rPr>
                <w:lang w:val="es-AR"/>
              </w:rPr>
              <w:t xml:space="preserve"> </w:t>
            </w:r>
            <w:r w:rsidR="004C1EAF">
              <w:rPr>
                <w:lang w:val="es-AR"/>
              </w:rPr>
              <w:t>noviembre</w:t>
            </w:r>
            <w:r w:rsidR="00A0060F">
              <w:rPr>
                <w:lang w:val="es-AR"/>
              </w:rPr>
              <w:t xml:space="preserve"> 2022</w:t>
            </w:r>
            <w:r>
              <w:fldChar w:fldCharType="end"/>
            </w:r>
          </w:p>
          <w:p w14:paraId="15D97F46" w14:textId="77777777" w:rsidR="00114CAA" w:rsidRPr="00064429" w:rsidRDefault="00114CAA">
            <w:pPr>
              <w:rPr>
                <w:caps/>
                <w:lang w:val="es-AR"/>
              </w:rPr>
            </w:pPr>
          </w:p>
          <w:p w14:paraId="53F465AA" w14:textId="77777777" w:rsidR="0087455A" w:rsidRDefault="0024162E">
            <w:pPr>
              <w:rPr>
                <w:lang w:val="es-MX"/>
              </w:rPr>
            </w:pPr>
            <w:r>
              <w:rPr>
                <w:lang w:val="es-MX"/>
              </w:rPr>
              <w:t xml:space="preserve">ESPAÑOL </w:t>
            </w:r>
          </w:p>
          <w:p w14:paraId="61ECFE4D" w14:textId="77777777" w:rsidR="0087455A" w:rsidRDefault="0024162E">
            <w:pPr>
              <w:rPr>
                <w:lang w:val="es-ES"/>
              </w:rPr>
            </w:pPr>
            <w:r>
              <w:rPr>
                <w:lang w:val="es-ES"/>
              </w:rPr>
              <w:t xml:space="preserve">ORIGINAL: </w:t>
            </w:r>
            <w:r>
              <w:rPr>
                <w:lang w:val="es-MX"/>
              </w:rPr>
              <w:t>INGLÉS</w:t>
            </w:r>
          </w:p>
        </w:tc>
      </w:tr>
    </w:tbl>
    <w:p w14:paraId="4C76898E"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7A87F39C"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09679CAF" w14:textId="77777777" w:rsidR="004C1EAF" w:rsidRPr="004C1EAF" w:rsidRDefault="004C1EAF" w:rsidP="004C1EAF">
      <w:pPr>
        <w:jc w:val="left"/>
        <w:rPr>
          <w:sz w:val="24"/>
          <w:szCs w:val="24"/>
          <w:lang w:val="es-ES"/>
        </w:rPr>
      </w:pPr>
      <w:r w:rsidRPr="004C1EAF">
        <w:rPr>
          <w:lang w:val="es-ES"/>
        </w:rPr>
        <w:t>Cuestión 9 d) del orden del día provisional</w:t>
      </w:r>
      <w:r w:rsidRPr="00405151">
        <w:rPr>
          <w:rStyle w:val="FootnoteReference"/>
        </w:rPr>
        <w:footnoteReference w:id="1"/>
      </w:r>
      <w:r w:rsidRPr="004C1EAF">
        <w:rPr>
          <w:sz w:val="24"/>
          <w:szCs w:val="24"/>
          <w:lang w:val="es-ES"/>
        </w:rPr>
        <w:t xml:space="preserve"> </w:t>
      </w:r>
    </w:p>
    <w:p w14:paraId="4C999E82" w14:textId="77777777" w:rsidR="0087455A" w:rsidRDefault="0087455A">
      <w:pPr>
        <w:jc w:val="left"/>
        <w:rPr>
          <w:lang w:val="es-ES"/>
        </w:rPr>
      </w:pPr>
    </w:p>
    <w:p w14:paraId="3C62BE5D" w14:textId="77777777" w:rsidR="0087455A" w:rsidRDefault="0087455A">
      <w:pPr>
        <w:pStyle w:val="Heading3"/>
        <w:numPr>
          <w:ilvl w:val="0"/>
          <w:numId w:val="0"/>
        </w:numPr>
        <w:spacing w:after="0"/>
        <w:rPr>
          <w:lang w:val="es-ES"/>
        </w:rPr>
      </w:pPr>
    </w:p>
    <w:p w14:paraId="19C7CDF5" w14:textId="68C230F0" w:rsidR="004C1EAF" w:rsidRPr="004C1EAF" w:rsidRDefault="006A4D88" w:rsidP="004C1EAF">
      <w:pPr>
        <w:jc w:val="center"/>
        <w:rPr>
          <w:b/>
          <w:lang w:val="es-ES"/>
        </w:rPr>
      </w:pPr>
      <w:r w:rsidRPr="004C1EAF">
        <w:rPr>
          <w:b/>
          <w:lang w:val="es-ES"/>
        </w:rPr>
        <w:t>PROPUESTA DE PROYECTO: ERITREA</w:t>
      </w:r>
    </w:p>
    <w:p w14:paraId="2135013A" w14:textId="77777777" w:rsidR="004C1EAF" w:rsidRPr="004C1EAF" w:rsidRDefault="004C1EAF" w:rsidP="004C1EAF">
      <w:pPr>
        <w:rPr>
          <w:lang w:val="es-ES"/>
        </w:rPr>
      </w:pPr>
    </w:p>
    <w:p w14:paraId="097CE404" w14:textId="77777777" w:rsidR="004C1EAF" w:rsidRPr="004C1EAF" w:rsidRDefault="004C1EAF" w:rsidP="004C1EAF">
      <w:pPr>
        <w:rPr>
          <w:lang w:val="es-ES"/>
        </w:rPr>
      </w:pPr>
    </w:p>
    <w:p w14:paraId="17442E0B" w14:textId="77777777" w:rsidR="004C1EAF" w:rsidRPr="004C1EAF" w:rsidRDefault="004C1EAF" w:rsidP="004C1EAF">
      <w:pPr>
        <w:ind w:firstLine="720"/>
        <w:rPr>
          <w:lang w:val="es-ES"/>
        </w:rPr>
      </w:pPr>
      <w:r w:rsidRPr="004C1EAF">
        <w:rPr>
          <w:lang w:val="es-ES"/>
        </w:rPr>
        <w:t xml:space="preserve">Este documento consta de las observaciones y la recomendación de la Secretaría sobre la siguiente propuesta de proyecto: </w:t>
      </w:r>
    </w:p>
    <w:p w14:paraId="2DA72581" w14:textId="77777777" w:rsidR="004C1EAF" w:rsidRPr="004C1EAF" w:rsidRDefault="004C1EAF" w:rsidP="004C1EAF">
      <w:pPr>
        <w:rPr>
          <w:lang w:val="es-ES"/>
        </w:rPr>
      </w:pPr>
    </w:p>
    <w:p w14:paraId="0056809C" w14:textId="77777777" w:rsidR="004C1EAF" w:rsidRPr="004C1EAF" w:rsidRDefault="004C1EAF" w:rsidP="004C1EAF">
      <w:pPr>
        <w:rPr>
          <w:u w:val="single"/>
          <w:lang w:val="es-ES_tradnl"/>
        </w:rPr>
      </w:pPr>
      <w:r w:rsidRPr="004C1EAF">
        <w:rPr>
          <w:u w:val="single"/>
          <w:lang w:val="es-ES_tradnl"/>
        </w:rPr>
        <w:t>Eliminación</w:t>
      </w:r>
    </w:p>
    <w:p w14:paraId="1190A3BC" w14:textId="77777777" w:rsidR="004C1EAF" w:rsidRPr="00405151" w:rsidRDefault="004C1EAF" w:rsidP="004C1EAF"/>
    <w:p w14:paraId="74E62C93" w14:textId="77777777" w:rsidR="004C1EAF" w:rsidRPr="00405151" w:rsidRDefault="004C1EAF" w:rsidP="004C1EA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C1EAF" w:rsidRPr="00405151" w14:paraId="46A610F9" w14:textId="77777777" w:rsidTr="00C70454">
        <w:tc>
          <w:tcPr>
            <w:tcW w:w="6941" w:type="dxa"/>
          </w:tcPr>
          <w:p w14:paraId="3D490456" w14:textId="77777777" w:rsidR="004C1EAF" w:rsidRPr="00405151" w:rsidRDefault="004C1EAF" w:rsidP="004C1EAF">
            <w:pPr>
              <w:pStyle w:val="ListParagraph"/>
              <w:numPr>
                <w:ilvl w:val="0"/>
                <w:numId w:val="21"/>
              </w:numPr>
              <w:ind w:hanging="830"/>
            </w:pPr>
            <w:r>
              <w:t>Plan de gestión de la eliminación de los HCFC (etapa II, primer tramo)</w:t>
            </w:r>
          </w:p>
        </w:tc>
        <w:tc>
          <w:tcPr>
            <w:tcW w:w="2409" w:type="dxa"/>
          </w:tcPr>
          <w:p w14:paraId="353829BD" w14:textId="77777777" w:rsidR="004C1EAF" w:rsidRPr="00405151" w:rsidRDefault="004C1EAF" w:rsidP="00C70454">
            <w:pPr>
              <w:jc w:val="right"/>
            </w:pPr>
            <w:r>
              <w:t>PNUMA y ONUDI</w:t>
            </w:r>
          </w:p>
        </w:tc>
      </w:tr>
    </w:tbl>
    <w:p w14:paraId="6BE60E13" w14:textId="77777777" w:rsidR="004C1EAF" w:rsidRPr="00405151" w:rsidRDefault="004C1EAF" w:rsidP="004C1EAF"/>
    <w:p w14:paraId="73B6E523" w14:textId="77777777" w:rsidR="004C1EAF" w:rsidRPr="00405151" w:rsidRDefault="004C1EAF" w:rsidP="004C1EAF"/>
    <w:p w14:paraId="4A8161D5" w14:textId="77777777" w:rsidR="004C1EAF" w:rsidRPr="00405151" w:rsidRDefault="004C1EAF" w:rsidP="004C1EAF"/>
    <w:p w14:paraId="6092F46E" w14:textId="77777777" w:rsidR="004C1EAF" w:rsidRPr="00405151" w:rsidRDefault="004C1EAF" w:rsidP="004C1EAF">
      <w:pPr>
        <w:jc w:val="left"/>
      </w:pPr>
    </w:p>
    <w:p w14:paraId="00B807D1" w14:textId="77777777" w:rsidR="004C1EAF" w:rsidRPr="00405151" w:rsidRDefault="004C1EAF" w:rsidP="004C1EAF">
      <w:pPr>
        <w:jc w:val="left"/>
      </w:pPr>
      <w:r>
        <w:br w:type="page"/>
      </w:r>
    </w:p>
    <w:p w14:paraId="2F1086F6" w14:textId="77777777" w:rsidR="004C1EAF" w:rsidRPr="004C1EAF" w:rsidRDefault="004C1EAF" w:rsidP="004C1EAF">
      <w:pPr>
        <w:jc w:val="center"/>
        <w:rPr>
          <w:b/>
          <w:lang w:val="es-ES"/>
        </w:rPr>
      </w:pPr>
      <w:r w:rsidRPr="004C1EAF">
        <w:rPr>
          <w:b/>
          <w:lang w:val="es-ES"/>
        </w:rPr>
        <w:lastRenderedPageBreak/>
        <w:t>HOJA DE EVALUACIÓN DE PROYECTO - PROYECTOS PLURIANUALES</w:t>
      </w:r>
    </w:p>
    <w:p w14:paraId="28166163" w14:textId="77777777" w:rsidR="004C1EAF" w:rsidRPr="004C1EAF" w:rsidRDefault="004C1EAF" w:rsidP="004C1EAF">
      <w:pPr>
        <w:jc w:val="left"/>
        <w:rPr>
          <w:b/>
          <w:sz w:val="16"/>
          <w:szCs w:val="16"/>
          <w:lang w:val="es-ES_tradnl"/>
        </w:rPr>
      </w:pPr>
    </w:p>
    <w:p w14:paraId="7DA2E605" w14:textId="77777777" w:rsidR="004C1EAF" w:rsidRPr="00405151" w:rsidRDefault="004C1EAF" w:rsidP="004C1EAF">
      <w:pPr>
        <w:jc w:val="center"/>
        <w:rPr>
          <w:b/>
        </w:rPr>
      </w:pPr>
      <w:r>
        <w:rPr>
          <w:b/>
        </w:rPr>
        <w:t>ERITREA</w:t>
      </w:r>
    </w:p>
    <w:p w14:paraId="6D5F4836" w14:textId="77777777" w:rsidR="004C1EAF" w:rsidRPr="00405151" w:rsidRDefault="004C1EAF" w:rsidP="004C1EAF">
      <w:pPr>
        <w:jc w:val="center"/>
        <w:rPr>
          <w:b/>
        </w:rPr>
      </w:pPr>
    </w:p>
    <w:tbl>
      <w:tblPr>
        <w:tblStyle w:val="TableGrid"/>
        <w:tblW w:w="5309" w:type="pct"/>
        <w:tblInd w:w="-113" w:type="dxa"/>
        <w:tblLook w:val="04A0" w:firstRow="1" w:lastRow="0" w:firstColumn="1" w:lastColumn="0" w:noHBand="0" w:noVBand="1"/>
      </w:tblPr>
      <w:tblGrid>
        <w:gridCol w:w="5084"/>
        <w:gridCol w:w="5084"/>
      </w:tblGrid>
      <w:tr w:rsidR="004C1EAF" w:rsidRPr="004C1EAF" w14:paraId="6FA876DF" w14:textId="77777777" w:rsidTr="00C70454">
        <w:trPr>
          <w:trHeight w:val="240"/>
        </w:trPr>
        <w:tc>
          <w:tcPr>
            <w:tcW w:w="2500" w:type="pct"/>
            <w:shd w:val="clear" w:color="auto" w:fill="auto"/>
          </w:tcPr>
          <w:p w14:paraId="7B62218C" w14:textId="77777777" w:rsidR="004C1EAF" w:rsidRPr="004C1EAF" w:rsidRDefault="004C1EAF" w:rsidP="00C70454">
            <w:pPr>
              <w:rPr>
                <w:b/>
                <w:sz w:val="20"/>
                <w:lang w:val="es-ES_tradnl"/>
              </w:rPr>
            </w:pPr>
            <w:r w:rsidRPr="004C1EAF">
              <w:rPr>
                <w:b/>
                <w:sz w:val="20"/>
                <w:lang w:val="es-ES_tradnl"/>
              </w:rPr>
              <w:t>I) TÍTULO DEL PROYECTO</w:t>
            </w:r>
          </w:p>
        </w:tc>
        <w:tc>
          <w:tcPr>
            <w:tcW w:w="2500" w:type="pct"/>
            <w:shd w:val="clear" w:color="auto" w:fill="auto"/>
          </w:tcPr>
          <w:p w14:paraId="7EADE148" w14:textId="77777777" w:rsidR="004C1EAF" w:rsidRPr="004C1EAF" w:rsidRDefault="004C1EAF" w:rsidP="00C70454">
            <w:pPr>
              <w:jc w:val="center"/>
              <w:rPr>
                <w:b/>
                <w:sz w:val="20"/>
                <w:lang w:val="es-ES_tradnl"/>
              </w:rPr>
            </w:pPr>
            <w:r w:rsidRPr="004C1EAF">
              <w:rPr>
                <w:b/>
                <w:sz w:val="20"/>
                <w:lang w:val="es-ES_tradnl"/>
              </w:rPr>
              <w:t>ORGANISMO</w:t>
            </w:r>
          </w:p>
        </w:tc>
      </w:tr>
      <w:tr w:rsidR="004C1EAF" w:rsidRPr="004C1EAF" w14:paraId="27C01D8D" w14:textId="77777777" w:rsidTr="00C70454">
        <w:trPr>
          <w:trHeight w:val="103"/>
        </w:trPr>
        <w:tc>
          <w:tcPr>
            <w:tcW w:w="2500" w:type="pct"/>
            <w:shd w:val="clear" w:color="auto" w:fill="auto"/>
          </w:tcPr>
          <w:p w14:paraId="2CE5429F" w14:textId="77777777" w:rsidR="004C1EAF" w:rsidRPr="004C1EAF" w:rsidRDefault="004C1EAF" w:rsidP="00C70454">
            <w:pPr>
              <w:spacing w:after="80"/>
              <w:jc w:val="center"/>
              <w:rPr>
                <w:color w:val="000000" w:themeColor="text1"/>
                <w:sz w:val="20"/>
                <w:lang w:val="es-ES_tradnl"/>
              </w:rPr>
            </w:pPr>
            <w:r w:rsidRPr="004C1EAF">
              <w:rPr>
                <w:color w:val="000000" w:themeColor="text1"/>
                <w:sz w:val="20"/>
                <w:lang w:val="es-ES_tradnl"/>
              </w:rPr>
              <w:t>Plan de gestión de la eliminación de los HCFC (etapa II)</w:t>
            </w:r>
          </w:p>
        </w:tc>
        <w:tc>
          <w:tcPr>
            <w:tcW w:w="2500" w:type="pct"/>
            <w:shd w:val="clear" w:color="auto" w:fill="auto"/>
          </w:tcPr>
          <w:p w14:paraId="7239A01B" w14:textId="77777777" w:rsidR="004C1EAF" w:rsidRPr="004C1EAF" w:rsidRDefault="004C1EAF" w:rsidP="00C70454">
            <w:pPr>
              <w:spacing w:after="80"/>
              <w:jc w:val="center"/>
              <w:rPr>
                <w:color w:val="000000" w:themeColor="text1"/>
                <w:sz w:val="20"/>
                <w:lang w:val="es-ES_tradnl"/>
              </w:rPr>
            </w:pPr>
            <w:r w:rsidRPr="004C1EAF">
              <w:rPr>
                <w:color w:val="000000" w:themeColor="text1"/>
                <w:sz w:val="20"/>
                <w:lang w:val="es-ES_tradnl"/>
              </w:rPr>
              <w:t>PNUMA (principal), ONUDI</w:t>
            </w:r>
          </w:p>
        </w:tc>
      </w:tr>
    </w:tbl>
    <w:p w14:paraId="103A79E0" w14:textId="77777777" w:rsidR="004C1EAF" w:rsidRPr="004C1EAF" w:rsidRDefault="004C1EAF" w:rsidP="004C1EAF">
      <w:pPr>
        <w:jc w:val="left"/>
        <w:rPr>
          <w:b/>
          <w:sz w:val="16"/>
          <w:szCs w:val="16"/>
          <w:lang w:val="es-ES_tradnl"/>
        </w:rPr>
      </w:pPr>
    </w:p>
    <w:tbl>
      <w:tblPr>
        <w:tblStyle w:val="TableGrid"/>
        <w:tblW w:w="5309" w:type="pct"/>
        <w:tblInd w:w="-113" w:type="dxa"/>
        <w:tblLook w:val="04A0" w:firstRow="1" w:lastRow="0" w:firstColumn="1" w:lastColumn="0" w:noHBand="0" w:noVBand="1"/>
      </w:tblPr>
      <w:tblGrid>
        <w:gridCol w:w="5517"/>
        <w:gridCol w:w="2640"/>
        <w:gridCol w:w="2011"/>
      </w:tblGrid>
      <w:tr w:rsidR="004C1EAF" w:rsidRPr="004C1EAF" w14:paraId="6FCA2593" w14:textId="77777777" w:rsidTr="00C70454">
        <w:trPr>
          <w:trHeight w:val="195"/>
        </w:trPr>
        <w:tc>
          <w:tcPr>
            <w:tcW w:w="2713" w:type="pct"/>
            <w:shd w:val="clear" w:color="auto" w:fill="auto"/>
          </w:tcPr>
          <w:p w14:paraId="2E623D13" w14:textId="77777777" w:rsidR="004C1EAF" w:rsidRPr="004C1EAF" w:rsidRDefault="004C1EAF" w:rsidP="00C70454">
            <w:pPr>
              <w:spacing w:after="60"/>
              <w:jc w:val="left"/>
              <w:rPr>
                <w:b/>
                <w:sz w:val="20"/>
                <w:lang w:val="es-ES_tradnl"/>
              </w:rPr>
            </w:pPr>
            <w:r w:rsidRPr="004C1EAF">
              <w:rPr>
                <w:b/>
                <w:sz w:val="20"/>
                <w:lang w:val="es-ES_tradnl"/>
              </w:rPr>
              <w:t>II) DATOS MÁS RECIENTES CON ARREGLO AL ARTÍCULO 7 (Anexo C, Grupo l)</w:t>
            </w:r>
          </w:p>
        </w:tc>
        <w:tc>
          <w:tcPr>
            <w:tcW w:w="1298" w:type="pct"/>
            <w:shd w:val="clear" w:color="auto" w:fill="auto"/>
          </w:tcPr>
          <w:p w14:paraId="09CDCC4F" w14:textId="77777777" w:rsidR="004C1EAF" w:rsidRPr="004C1EAF" w:rsidRDefault="004C1EAF" w:rsidP="00C70454">
            <w:pPr>
              <w:spacing w:after="60"/>
              <w:jc w:val="center"/>
              <w:rPr>
                <w:sz w:val="20"/>
                <w:lang w:val="es-ES_tradnl"/>
              </w:rPr>
            </w:pPr>
            <w:r w:rsidRPr="004C1EAF">
              <w:rPr>
                <w:sz w:val="20"/>
                <w:lang w:val="es-ES_tradnl"/>
              </w:rPr>
              <w:t xml:space="preserve">Año: </w:t>
            </w:r>
            <w:r w:rsidRPr="004C1EAF">
              <w:rPr>
                <w:color w:val="000000" w:themeColor="text1"/>
                <w:sz w:val="20"/>
                <w:lang w:val="es-ES_tradnl"/>
              </w:rPr>
              <w:t>2021</w:t>
            </w:r>
          </w:p>
        </w:tc>
        <w:tc>
          <w:tcPr>
            <w:tcW w:w="989" w:type="pct"/>
            <w:shd w:val="clear" w:color="auto" w:fill="auto"/>
          </w:tcPr>
          <w:p w14:paraId="3723B456" w14:textId="77777777" w:rsidR="004C1EAF" w:rsidRPr="004C1EAF" w:rsidRDefault="004C1EAF" w:rsidP="00C70454">
            <w:pPr>
              <w:spacing w:after="60"/>
              <w:jc w:val="right"/>
              <w:rPr>
                <w:sz w:val="20"/>
                <w:lang w:val="es-ES_tradnl"/>
              </w:rPr>
            </w:pPr>
            <w:r w:rsidRPr="004C1EAF">
              <w:rPr>
                <w:sz w:val="20"/>
                <w:lang w:val="es-ES_tradnl"/>
              </w:rPr>
              <w:t>0,61 (toneladas PAO)</w:t>
            </w:r>
          </w:p>
        </w:tc>
      </w:tr>
    </w:tbl>
    <w:p w14:paraId="39106C8B" w14:textId="77777777" w:rsidR="004C1EAF" w:rsidRPr="004C1EAF" w:rsidRDefault="004C1EAF" w:rsidP="004C1EAF">
      <w:pPr>
        <w:jc w:val="left"/>
        <w:rPr>
          <w:b/>
          <w:sz w:val="16"/>
          <w:szCs w:val="16"/>
          <w:lang w:val="es-ES_tradnl"/>
        </w:rPr>
      </w:pPr>
    </w:p>
    <w:tbl>
      <w:tblPr>
        <w:tblStyle w:val="TableGrid"/>
        <w:tblW w:w="5309" w:type="pct"/>
        <w:tblInd w:w="-113" w:type="dxa"/>
        <w:tblLayout w:type="fixed"/>
        <w:tblLook w:val="04A0" w:firstRow="1" w:lastRow="0" w:firstColumn="1" w:lastColumn="0" w:noHBand="0" w:noVBand="1"/>
      </w:tblPr>
      <w:tblGrid>
        <w:gridCol w:w="1025"/>
        <w:gridCol w:w="1041"/>
        <w:gridCol w:w="992"/>
        <w:gridCol w:w="1275"/>
        <w:gridCol w:w="852"/>
        <w:gridCol w:w="10"/>
        <w:gridCol w:w="840"/>
        <w:gridCol w:w="1133"/>
        <w:gridCol w:w="1001"/>
        <w:gridCol w:w="710"/>
        <w:gridCol w:w="1289"/>
      </w:tblGrid>
      <w:tr w:rsidR="004C1EAF" w:rsidRPr="004C1EAF" w14:paraId="470811C3" w14:textId="77777777" w:rsidTr="004C1EAF">
        <w:trPr>
          <w:trHeight w:val="250"/>
        </w:trPr>
        <w:tc>
          <w:tcPr>
            <w:tcW w:w="4016" w:type="pct"/>
            <w:gridSpan w:val="9"/>
            <w:shd w:val="clear" w:color="auto" w:fill="auto"/>
          </w:tcPr>
          <w:p w14:paraId="4620D8F4" w14:textId="77777777" w:rsidR="004C1EAF" w:rsidRPr="004C1EAF" w:rsidRDefault="004C1EAF" w:rsidP="00C70454">
            <w:pPr>
              <w:jc w:val="left"/>
              <w:rPr>
                <w:b/>
                <w:sz w:val="20"/>
                <w:lang w:val="es-ES_tradnl"/>
              </w:rPr>
            </w:pPr>
            <w:r w:rsidRPr="004C1EAF">
              <w:rPr>
                <w:b/>
                <w:sz w:val="20"/>
                <w:lang w:val="es-ES_tradnl"/>
              </w:rPr>
              <w:t>III) DATOS SECTORIALES DEL PROGRAMA DE PAÍS MÁS RECIENTES (toneladas PAO)</w:t>
            </w:r>
          </w:p>
        </w:tc>
        <w:tc>
          <w:tcPr>
            <w:tcW w:w="984" w:type="pct"/>
            <w:gridSpan w:val="2"/>
            <w:shd w:val="clear" w:color="auto" w:fill="auto"/>
          </w:tcPr>
          <w:p w14:paraId="752FD4EA" w14:textId="77777777" w:rsidR="004C1EAF" w:rsidRPr="004C1EAF" w:rsidRDefault="004C1EAF" w:rsidP="00C70454">
            <w:pPr>
              <w:spacing w:after="60"/>
              <w:jc w:val="right"/>
              <w:rPr>
                <w:b/>
                <w:sz w:val="20"/>
                <w:highlight w:val="cyan"/>
                <w:lang w:val="es-ES_tradnl"/>
              </w:rPr>
            </w:pPr>
            <w:r w:rsidRPr="004C1EAF">
              <w:rPr>
                <w:b/>
                <w:sz w:val="20"/>
                <w:lang w:val="es-ES_tradnl"/>
              </w:rPr>
              <w:t xml:space="preserve">Año: </w:t>
            </w:r>
            <w:r w:rsidRPr="004C1EAF">
              <w:rPr>
                <w:b/>
                <w:color w:val="000000" w:themeColor="text1"/>
                <w:sz w:val="20"/>
                <w:lang w:val="es-ES_tradnl"/>
              </w:rPr>
              <w:t>2021</w:t>
            </w:r>
          </w:p>
        </w:tc>
      </w:tr>
      <w:tr w:rsidR="004C1EAF" w:rsidRPr="004C1EAF" w14:paraId="6A4F1C4C" w14:textId="77777777" w:rsidTr="004C1EAF">
        <w:trPr>
          <w:trHeight w:val="250"/>
        </w:trPr>
        <w:tc>
          <w:tcPr>
            <w:tcW w:w="504" w:type="pct"/>
            <w:shd w:val="clear" w:color="auto" w:fill="auto"/>
          </w:tcPr>
          <w:p w14:paraId="1B9E5051" w14:textId="77777777" w:rsidR="004C1EAF" w:rsidRPr="004C1EAF" w:rsidRDefault="004C1EAF" w:rsidP="00C70454">
            <w:pPr>
              <w:spacing w:after="60"/>
              <w:jc w:val="center"/>
              <w:rPr>
                <w:sz w:val="18"/>
                <w:szCs w:val="18"/>
                <w:lang w:val="es-ES_tradnl"/>
              </w:rPr>
            </w:pPr>
            <w:r w:rsidRPr="004C1EAF">
              <w:rPr>
                <w:sz w:val="18"/>
                <w:szCs w:val="18"/>
                <w:lang w:val="es-ES_tradnl"/>
              </w:rPr>
              <w:t>Sustancia química</w:t>
            </w:r>
          </w:p>
        </w:tc>
        <w:tc>
          <w:tcPr>
            <w:tcW w:w="512" w:type="pct"/>
            <w:shd w:val="clear" w:color="auto" w:fill="auto"/>
          </w:tcPr>
          <w:p w14:paraId="237BEB2D" w14:textId="77777777" w:rsidR="004C1EAF" w:rsidRPr="004C1EAF" w:rsidRDefault="004C1EAF" w:rsidP="00C70454">
            <w:pPr>
              <w:spacing w:after="60"/>
              <w:jc w:val="center"/>
              <w:rPr>
                <w:sz w:val="18"/>
                <w:szCs w:val="18"/>
                <w:lang w:val="es-ES_tradnl"/>
              </w:rPr>
            </w:pPr>
            <w:r w:rsidRPr="004C1EAF">
              <w:rPr>
                <w:sz w:val="18"/>
                <w:szCs w:val="18"/>
                <w:lang w:val="es-ES_tradnl"/>
              </w:rPr>
              <w:t>Aerosoles</w:t>
            </w:r>
          </w:p>
        </w:tc>
        <w:tc>
          <w:tcPr>
            <w:tcW w:w="488" w:type="pct"/>
            <w:shd w:val="clear" w:color="auto" w:fill="auto"/>
          </w:tcPr>
          <w:p w14:paraId="63F9D637" w14:textId="77777777" w:rsidR="004C1EAF" w:rsidRPr="004C1EAF" w:rsidRDefault="004C1EAF" w:rsidP="00C70454">
            <w:pPr>
              <w:spacing w:after="60"/>
              <w:jc w:val="center"/>
              <w:rPr>
                <w:sz w:val="18"/>
                <w:szCs w:val="18"/>
                <w:lang w:val="es-ES_tradnl"/>
              </w:rPr>
            </w:pPr>
            <w:r w:rsidRPr="004C1EAF">
              <w:rPr>
                <w:sz w:val="18"/>
                <w:szCs w:val="18"/>
                <w:lang w:val="es-ES_tradnl"/>
              </w:rPr>
              <w:t>Espumas</w:t>
            </w:r>
          </w:p>
        </w:tc>
        <w:tc>
          <w:tcPr>
            <w:tcW w:w="627" w:type="pct"/>
            <w:shd w:val="clear" w:color="auto" w:fill="auto"/>
          </w:tcPr>
          <w:p w14:paraId="029BF704" w14:textId="77777777" w:rsidR="004C1EAF" w:rsidRPr="004C1EAF" w:rsidRDefault="004C1EAF" w:rsidP="00C70454">
            <w:pPr>
              <w:spacing w:after="60"/>
              <w:jc w:val="center"/>
              <w:rPr>
                <w:sz w:val="18"/>
                <w:szCs w:val="18"/>
                <w:lang w:val="es-ES_tradnl"/>
              </w:rPr>
            </w:pPr>
            <w:r w:rsidRPr="004C1EAF">
              <w:rPr>
                <w:sz w:val="18"/>
                <w:szCs w:val="18"/>
                <w:lang w:val="es-ES_tradnl"/>
              </w:rPr>
              <w:t>Lucha contra incendios</w:t>
            </w:r>
          </w:p>
        </w:tc>
        <w:tc>
          <w:tcPr>
            <w:tcW w:w="837" w:type="pct"/>
            <w:gridSpan w:val="3"/>
            <w:shd w:val="clear" w:color="auto" w:fill="auto"/>
          </w:tcPr>
          <w:p w14:paraId="346011AC" w14:textId="77777777" w:rsidR="004C1EAF" w:rsidRPr="004C1EAF" w:rsidRDefault="004C1EAF" w:rsidP="00C70454">
            <w:pPr>
              <w:spacing w:after="60"/>
              <w:jc w:val="center"/>
              <w:rPr>
                <w:sz w:val="18"/>
                <w:szCs w:val="18"/>
                <w:lang w:val="es-ES_tradnl"/>
              </w:rPr>
            </w:pPr>
            <w:r w:rsidRPr="004C1EAF">
              <w:rPr>
                <w:sz w:val="18"/>
                <w:szCs w:val="18"/>
                <w:lang w:val="es-ES_tradnl"/>
              </w:rPr>
              <w:t>Refrigeración</w:t>
            </w:r>
          </w:p>
        </w:tc>
        <w:tc>
          <w:tcPr>
            <w:tcW w:w="557" w:type="pct"/>
            <w:shd w:val="clear" w:color="auto" w:fill="auto"/>
          </w:tcPr>
          <w:p w14:paraId="6492B652" w14:textId="77777777" w:rsidR="004C1EAF" w:rsidRPr="004C1EAF" w:rsidRDefault="004C1EAF" w:rsidP="00C70454">
            <w:pPr>
              <w:spacing w:after="60"/>
              <w:jc w:val="center"/>
              <w:rPr>
                <w:sz w:val="18"/>
                <w:szCs w:val="18"/>
                <w:lang w:val="es-ES_tradnl"/>
              </w:rPr>
            </w:pPr>
            <w:r w:rsidRPr="004C1EAF">
              <w:rPr>
                <w:sz w:val="18"/>
                <w:szCs w:val="18"/>
                <w:lang w:val="es-ES_tradnl"/>
              </w:rPr>
              <w:t>Disolventes</w:t>
            </w:r>
          </w:p>
        </w:tc>
        <w:tc>
          <w:tcPr>
            <w:tcW w:w="492" w:type="pct"/>
            <w:shd w:val="clear" w:color="auto" w:fill="auto"/>
          </w:tcPr>
          <w:p w14:paraId="6B695987" w14:textId="77777777" w:rsidR="004C1EAF" w:rsidRPr="004C1EAF" w:rsidRDefault="004C1EAF" w:rsidP="00C70454">
            <w:pPr>
              <w:spacing w:after="60"/>
              <w:jc w:val="center"/>
              <w:rPr>
                <w:sz w:val="18"/>
                <w:szCs w:val="18"/>
                <w:lang w:val="es-ES_tradnl"/>
              </w:rPr>
            </w:pPr>
            <w:r w:rsidRPr="004C1EAF">
              <w:rPr>
                <w:sz w:val="18"/>
                <w:szCs w:val="18"/>
                <w:lang w:val="es-ES_tradnl"/>
              </w:rPr>
              <w:t>Agentes de procesos</w:t>
            </w:r>
          </w:p>
        </w:tc>
        <w:tc>
          <w:tcPr>
            <w:tcW w:w="349" w:type="pct"/>
            <w:shd w:val="clear" w:color="auto" w:fill="auto"/>
          </w:tcPr>
          <w:p w14:paraId="439C85E8" w14:textId="77777777" w:rsidR="004C1EAF" w:rsidRPr="004C1EAF" w:rsidRDefault="004C1EAF" w:rsidP="00C70454">
            <w:pPr>
              <w:spacing w:after="60"/>
              <w:jc w:val="center"/>
              <w:rPr>
                <w:sz w:val="18"/>
                <w:szCs w:val="18"/>
                <w:lang w:val="es-ES_tradnl"/>
              </w:rPr>
            </w:pPr>
            <w:r w:rsidRPr="004C1EAF">
              <w:rPr>
                <w:sz w:val="18"/>
                <w:szCs w:val="18"/>
                <w:lang w:val="es-ES_tradnl"/>
              </w:rPr>
              <w:t>Uso en lab.</w:t>
            </w:r>
          </w:p>
        </w:tc>
        <w:tc>
          <w:tcPr>
            <w:tcW w:w="635" w:type="pct"/>
            <w:shd w:val="clear" w:color="auto" w:fill="auto"/>
          </w:tcPr>
          <w:p w14:paraId="66C9E47A" w14:textId="77777777" w:rsidR="004C1EAF" w:rsidRPr="004C1EAF" w:rsidRDefault="004C1EAF" w:rsidP="00C70454">
            <w:pPr>
              <w:spacing w:after="60"/>
              <w:jc w:val="center"/>
              <w:rPr>
                <w:sz w:val="18"/>
                <w:szCs w:val="18"/>
                <w:lang w:val="es-ES_tradnl"/>
              </w:rPr>
            </w:pPr>
            <w:r w:rsidRPr="004C1EAF">
              <w:rPr>
                <w:sz w:val="18"/>
                <w:szCs w:val="18"/>
                <w:lang w:val="es-ES_tradnl"/>
              </w:rPr>
              <w:t>Consumo total del sector</w:t>
            </w:r>
          </w:p>
        </w:tc>
      </w:tr>
      <w:tr w:rsidR="004C1EAF" w:rsidRPr="004C1EAF" w14:paraId="4DF9D045" w14:textId="77777777" w:rsidTr="004C1EAF">
        <w:trPr>
          <w:trHeight w:val="70"/>
        </w:trPr>
        <w:tc>
          <w:tcPr>
            <w:tcW w:w="2130" w:type="pct"/>
            <w:gridSpan w:val="4"/>
            <w:shd w:val="clear" w:color="auto" w:fill="auto"/>
          </w:tcPr>
          <w:p w14:paraId="77FD72BD" w14:textId="77777777" w:rsidR="004C1EAF" w:rsidRPr="004C1EAF" w:rsidRDefault="004C1EAF" w:rsidP="00C70454">
            <w:pPr>
              <w:spacing w:after="60"/>
              <w:jc w:val="center"/>
              <w:rPr>
                <w:sz w:val="20"/>
                <w:lang w:val="es-ES_tradnl"/>
              </w:rPr>
            </w:pPr>
            <w:r w:rsidRPr="004C1EAF">
              <w:rPr>
                <w:sz w:val="20"/>
                <w:lang w:val="es-ES_tradnl"/>
              </w:rPr>
              <w:t xml:space="preserve"> </w:t>
            </w:r>
          </w:p>
        </w:tc>
        <w:tc>
          <w:tcPr>
            <w:tcW w:w="419" w:type="pct"/>
            <w:shd w:val="clear" w:color="auto" w:fill="auto"/>
          </w:tcPr>
          <w:p w14:paraId="5127A269" w14:textId="474F98EB" w:rsidR="004C1EAF" w:rsidRPr="004C1EAF" w:rsidRDefault="004C1EAF" w:rsidP="00C70454">
            <w:pPr>
              <w:spacing w:after="60"/>
              <w:jc w:val="center"/>
              <w:rPr>
                <w:sz w:val="18"/>
                <w:szCs w:val="18"/>
                <w:lang w:val="es-ES_tradnl"/>
              </w:rPr>
            </w:pPr>
            <w:r w:rsidRPr="004C1EAF">
              <w:rPr>
                <w:sz w:val="18"/>
                <w:szCs w:val="18"/>
                <w:lang w:val="es-ES_tradnl"/>
              </w:rPr>
              <w:t>Fabric.</w:t>
            </w:r>
          </w:p>
        </w:tc>
        <w:tc>
          <w:tcPr>
            <w:tcW w:w="418" w:type="pct"/>
            <w:gridSpan w:val="2"/>
            <w:shd w:val="clear" w:color="auto" w:fill="auto"/>
          </w:tcPr>
          <w:p w14:paraId="788E89C1" w14:textId="6846C8E1" w:rsidR="004C1EAF" w:rsidRPr="004C1EAF" w:rsidRDefault="004C1EAF" w:rsidP="00C70454">
            <w:pPr>
              <w:spacing w:after="60"/>
              <w:jc w:val="center"/>
              <w:rPr>
                <w:sz w:val="18"/>
                <w:szCs w:val="18"/>
                <w:lang w:val="es-ES_tradnl"/>
              </w:rPr>
            </w:pPr>
            <w:r w:rsidRPr="004C1EAF">
              <w:rPr>
                <w:sz w:val="18"/>
                <w:szCs w:val="18"/>
                <w:lang w:val="es-ES_tradnl"/>
              </w:rPr>
              <w:t>Manten.</w:t>
            </w:r>
          </w:p>
        </w:tc>
        <w:tc>
          <w:tcPr>
            <w:tcW w:w="2033" w:type="pct"/>
            <w:gridSpan w:val="4"/>
            <w:shd w:val="clear" w:color="auto" w:fill="auto"/>
          </w:tcPr>
          <w:p w14:paraId="0F47BBBC" w14:textId="77777777" w:rsidR="004C1EAF" w:rsidRPr="004C1EAF" w:rsidRDefault="004C1EAF" w:rsidP="00C70454">
            <w:pPr>
              <w:spacing w:after="60"/>
              <w:jc w:val="center"/>
              <w:rPr>
                <w:sz w:val="20"/>
                <w:lang w:val="es-ES_tradnl"/>
              </w:rPr>
            </w:pPr>
          </w:p>
        </w:tc>
      </w:tr>
      <w:tr w:rsidR="004C1EAF" w:rsidRPr="004C1EAF" w14:paraId="2553D135" w14:textId="77777777" w:rsidTr="004C1EAF">
        <w:trPr>
          <w:trHeight w:val="250"/>
        </w:trPr>
        <w:tc>
          <w:tcPr>
            <w:tcW w:w="504" w:type="pct"/>
            <w:shd w:val="clear" w:color="auto" w:fill="auto"/>
          </w:tcPr>
          <w:p w14:paraId="03B7D105" w14:textId="77777777" w:rsidR="004C1EAF" w:rsidRPr="004C1EAF" w:rsidRDefault="004C1EAF" w:rsidP="00C70454">
            <w:pPr>
              <w:spacing w:after="60"/>
              <w:jc w:val="left"/>
              <w:rPr>
                <w:sz w:val="20"/>
                <w:lang w:val="es-ES_tradnl"/>
              </w:rPr>
            </w:pPr>
            <w:r w:rsidRPr="004C1EAF">
              <w:rPr>
                <w:color w:val="000000" w:themeColor="text1"/>
                <w:sz w:val="20"/>
                <w:lang w:val="es-ES_tradnl"/>
              </w:rPr>
              <w:t>HCFC-22</w:t>
            </w:r>
          </w:p>
        </w:tc>
        <w:tc>
          <w:tcPr>
            <w:tcW w:w="512" w:type="pct"/>
            <w:shd w:val="clear" w:color="auto" w:fill="auto"/>
          </w:tcPr>
          <w:p w14:paraId="3DDA5A26" w14:textId="77777777" w:rsidR="004C1EAF" w:rsidRPr="004C1EAF" w:rsidRDefault="004C1EAF" w:rsidP="00C70454">
            <w:pPr>
              <w:spacing w:after="60"/>
              <w:jc w:val="right"/>
              <w:rPr>
                <w:sz w:val="20"/>
                <w:lang w:val="es-ES_tradnl"/>
              </w:rPr>
            </w:pPr>
          </w:p>
        </w:tc>
        <w:tc>
          <w:tcPr>
            <w:tcW w:w="488" w:type="pct"/>
            <w:shd w:val="clear" w:color="auto" w:fill="auto"/>
          </w:tcPr>
          <w:p w14:paraId="7CC13985" w14:textId="77777777" w:rsidR="004C1EAF" w:rsidRPr="004C1EAF" w:rsidRDefault="004C1EAF" w:rsidP="00C70454">
            <w:pPr>
              <w:spacing w:after="60"/>
              <w:jc w:val="right"/>
              <w:rPr>
                <w:sz w:val="20"/>
                <w:lang w:val="es-ES_tradnl"/>
              </w:rPr>
            </w:pPr>
          </w:p>
        </w:tc>
        <w:tc>
          <w:tcPr>
            <w:tcW w:w="627" w:type="pct"/>
            <w:shd w:val="clear" w:color="auto" w:fill="auto"/>
          </w:tcPr>
          <w:p w14:paraId="1BC89BBB" w14:textId="77777777" w:rsidR="004C1EAF" w:rsidRPr="004C1EAF" w:rsidRDefault="004C1EAF" w:rsidP="00C70454">
            <w:pPr>
              <w:spacing w:after="60"/>
              <w:jc w:val="right"/>
              <w:rPr>
                <w:sz w:val="20"/>
                <w:lang w:val="es-ES_tradnl"/>
              </w:rPr>
            </w:pPr>
          </w:p>
        </w:tc>
        <w:tc>
          <w:tcPr>
            <w:tcW w:w="424" w:type="pct"/>
            <w:gridSpan w:val="2"/>
            <w:shd w:val="clear" w:color="auto" w:fill="auto"/>
          </w:tcPr>
          <w:p w14:paraId="7A0B0483" w14:textId="77777777" w:rsidR="004C1EAF" w:rsidRPr="004C1EAF" w:rsidRDefault="004C1EAF" w:rsidP="00C70454">
            <w:pPr>
              <w:spacing w:after="60"/>
              <w:jc w:val="right"/>
              <w:rPr>
                <w:sz w:val="20"/>
                <w:lang w:val="es-ES_tradnl"/>
              </w:rPr>
            </w:pPr>
          </w:p>
        </w:tc>
        <w:tc>
          <w:tcPr>
            <w:tcW w:w="413" w:type="pct"/>
            <w:shd w:val="clear" w:color="auto" w:fill="auto"/>
          </w:tcPr>
          <w:p w14:paraId="13B8FC8B" w14:textId="77777777" w:rsidR="004C1EAF" w:rsidRPr="004C1EAF" w:rsidRDefault="004C1EAF" w:rsidP="00C70454">
            <w:pPr>
              <w:spacing w:after="60"/>
              <w:jc w:val="right"/>
              <w:rPr>
                <w:sz w:val="20"/>
                <w:lang w:val="es-ES_tradnl"/>
              </w:rPr>
            </w:pPr>
            <w:r w:rsidRPr="004C1EAF">
              <w:rPr>
                <w:sz w:val="20"/>
                <w:lang w:val="es-ES_tradnl"/>
              </w:rPr>
              <w:t>0,61</w:t>
            </w:r>
          </w:p>
        </w:tc>
        <w:tc>
          <w:tcPr>
            <w:tcW w:w="557" w:type="pct"/>
            <w:shd w:val="clear" w:color="auto" w:fill="auto"/>
          </w:tcPr>
          <w:p w14:paraId="3ABD2A27" w14:textId="77777777" w:rsidR="004C1EAF" w:rsidRPr="004C1EAF" w:rsidRDefault="004C1EAF" w:rsidP="00C70454">
            <w:pPr>
              <w:spacing w:after="60"/>
              <w:jc w:val="right"/>
              <w:rPr>
                <w:sz w:val="20"/>
                <w:lang w:val="es-ES_tradnl"/>
              </w:rPr>
            </w:pPr>
          </w:p>
        </w:tc>
        <w:tc>
          <w:tcPr>
            <w:tcW w:w="492" w:type="pct"/>
            <w:shd w:val="clear" w:color="auto" w:fill="auto"/>
          </w:tcPr>
          <w:p w14:paraId="0606E2DA" w14:textId="77777777" w:rsidR="004C1EAF" w:rsidRPr="004C1EAF" w:rsidRDefault="004C1EAF" w:rsidP="00C70454">
            <w:pPr>
              <w:spacing w:after="60"/>
              <w:jc w:val="right"/>
              <w:rPr>
                <w:sz w:val="20"/>
                <w:lang w:val="es-ES_tradnl"/>
              </w:rPr>
            </w:pPr>
          </w:p>
        </w:tc>
        <w:tc>
          <w:tcPr>
            <w:tcW w:w="349" w:type="pct"/>
            <w:shd w:val="clear" w:color="auto" w:fill="auto"/>
          </w:tcPr>
          <w:p w14:paraId="51398003" w14:textId="77777777" w:rsidR="004C1EAF" w:rsidRPr="004C1EAF" w:rsidRDefault="004C1EAF" w:rsidP="00C70454">
            <w:pPr>
              <w:spacing w:after="60"/>
              <w:jc w:val="right"/>
              <w:rPr>
                <w:sz w:val="20"/>
                <w:lang w:val="es-ES_tradnl"/>
              </w:rPr>
            </w:pPr>
          </w:p>
        </w:tc>
        <w:tc>
          <w:tcPr>
            <w:tcW w:w="635" w:type="pct"/>
            <w:shd w:val="clear" w:color="auto" w:fill="auto"/>
          </w:tcPr>
          <w:p w14:paraId="25F0E37C" w14:textId="77777777" w:rsidR="004C1EAF" w:rsidRPr="004C1EAF" w:rsidRDefault="004C1EAF" w:rsidP="00C70454">
            <w:pPr>
              <w:spacing w:after="60"/>
              <w:jc w:val="right"/>
              <w:rPr>
                <w:sz w:val="20"/>
                <w:lang w:val="es-ES_tradnl"/>
              </w:rPr>
            </w:pPr>
            <w:r w:rsidRPr="004C1EAF">
              <w:rPr>
                <w:sz w:val="20"/>
                <w:lang w:val="es-ES_tradnl"/>
              </w:rPr>
              <w:t>0,61</w:t>
            </w:r>
          </w:p>
        </w:tc>
      </w:tr>
    </w:tbl>
    <w:p w14:paraId="1B8DAAD5" w14:textId="77777777" w:rsidR="004C1EAF" w:rsidRPr="004C1EAF" w:rsidRDefault="004C1EAF" w:rsidP="004C1EAF">
      <w:pPr>
        <w:jc w:val="left"/>
        <w:rPr>
          <w:b/>
          <w:sz w:val="16"/>
          <w:szCs w:val="16"/>
          <w:lang w:val="es-ES_tradnl"/>
        </w:rPr>
      </w:pPr>
    </w:p>
    <w:tbl>
      <w:tblPr>
        <w:tblStyle w:val="TableGrid"/>
        <w:tblW w:w="5309" w:type="pct"/>
        <w:tblInd w:w="-113" w:type="dxa"/>
        <w:tblLook w:val="04A0" w:firstRow="1" w:lastRow="0" w:firstColumn="1" w:lastColumn="0" w:noHBand="0" w:noVBand="1"/>
      </w:tblPr>
      <w:tblGrid>
        <w:gridCol w:w="3211"/>
        <w:gridCol w:w="916"/>
        <w:gridCol w:w="5475"/>
        <w:gridCol w:w="566"/>
      </w:tblGrid>
      <w:tr w:rsidR="004C1EAF" w:rsidRPr="00AC613F" w14:paraId="2C3C9912" w14:textId="77777777" w:rsidTr="00C70454">
        <w:trPr>
          <w:trHeight w:val="289"/>
        </w:trPr>
        <w:tc>
          <w:tcPr>
            <w:tcW w:w="5000" w:type="pct"/>
            <w:gridSpan w:val="4"/>
            <w:shd w:val="clear" w:color="auto" w:fill="auto"/>
          </w:tcPr>
          <w:p w14:paraId="24DF7949" w14:textId="77777777" w:rsidR="004C1EAF" w:rsidRPr="004C1EAF" w:rsidRDefault="004C1EAF" w:rsidP="00C70454">
            <w:pPr>
              <w:jc w:val="left"/>
              <w:rPr>
                <w:b/>
                <w:sz w:val="20"/>
                <w:lang w:val="es-ES_tradnl"/>
              </w:rPr>
            </w:pPr>
            <w:r w:rsidRPr="004C1EAF">
              <w:rPr>
                <w:b/>
                <w:sz w:val="20"/>
                <w:lang w:val="es-ES_tradnl"/>
              </w:rPr>
              <w:t>IV) DATOS SOBRE EL CONSUMO (toneladas PAO)</w:t>
            </w:r>
          </w:p>
        </w:tc>
      </w:tr>
      <w:tr w:rsidR="004C1EAF" w:rsidRPr="004C1EAF" w14:paraId="56891FFC" w14:textId="77777777" w:rsidTr="00C70454">
        <w:trPr>
          <w:trHeight w:val="289"/>
        </w:trPr>
        <w:tc>
          <w:tcPr>
            <w:tcW w:w="1600" w:type="pct"/>
            <w:shd w:val="clear" w:color="auto" w:fill="auto"/>
          </w:tcPr>
          <w:p w14:paraId="2BC9202E" w14:textId="77777777" w:rsidR="004C1EAF" w:rsidRPr="004C1EAF" w:rsidRDefault="004C1EAF" w:rsidP="00C70454">
            <w:pPr>
              <w:spacing w:after="60"/>
              <w:jc w:val="center"/>
              <w:rPr>
                <w:sz w:val="20"/>
                <w:lang w:val="es-ES_tradnl"/>
              </w:rPr>
            </w:pPr>
            <w:r w:rsidRPr="004C1EAF">
              <w:rPr>
                <w:sz w:val="20"/>
                <w:lang w:val="es-ES_tradnl"/>
              </w:rPr>
              <w:t>Nivel básico en 2009-2010:</w:t>
            </w:r>
          </w:p>
        </w:tc>
        <w:tc>
          <w:tcPr>
            <w:tcW w:w="471" w:type="pct"/>
            <w:shd w:val="clear" w:color="auto" w:fill="auto"/>
          </w:tcPr>
          <w:p w14:paraId="5DE459FA" w14:textId="77777777" w:rsidR="004C1EAF" w:rsidRPr="004C1EAF" w:rsidRDefault="004C1EAF" w:rsidP="00C70454">
            <w:pPr>
              <w:spacing w:after="60"/>
              <w:jc w:val="center"/>
              <w:rPr>
                <w:sz w:val="20"/>
                <w:lang w:val="es-ES_tradnl"/>
              </w:rPr>
            </w:pPr>
            <w:r w:rsidRPr="004C1EAF">
              <w:rPr>
                <w:color w:val="000000" w:themeColor="text1"/>
                <w:sz w:val="20"/>
                <w:lang w:val="es-ES_tradnl"/>
              </w:rPr>
              <w:t>1,09</w:t>
            </w:r>
          </w:p>
        </w:tc>
        <w:tc>
          <w:tcPr>
            <w:tcW w:w="2713" w:type="pct"/>
            <w:shd w:val="clear" w:color="auto" w:fill="auto"/>
          </w:tcPr>
          <w:p w14:paraId="1C5CC0C9" w14:textId="77777777" w:rsidR="004C1EAF" w:rsidRPr="004C1EAF" w:rsidRDefault="004C1EAF" w:rsidP="00C70454">
            <w:pPr>
              <w:spacing w:after="60"/>
              <w:jc w:val="center"/>
              <w:rPr>
                <w:sz w:val="20"/>
                <w:lang w:val="es-ES_tradnl"/>
              </w:rPr>
            </w:pPr>
            <w:r w:rsidRPr="004C1EAF">
              <w:rPr>
                <w:sz w:val="20"/>
                <w:lang w:val="es-ES_tradnl"/>
              </w:rPr>
              <w:t>Punto de partida para las reducciones acumuladas sostenidas:</w:t>
            </w:r>
          </w:p>
        </w:tc>
        <w:tc>
          <w:tcPr>
            <w:tcW w:w="216" w:type="pct"/>
            <w:shd w:val="clear" w:color="auto" w:fill="auto"/>
          </w:tcPr>
          <w:p w14:paraId="2D5CA740" w14:textId="77777777" w:rsidR="004C1EAF" w:rsidRPr="004C1EAF" w:rsidRDefault="004C1EAF" w:rsidP="00C70454">
            <w:pPr>
              <w:spacing w:after="60"/>
              <w:jc w:val="center"/>
              <w:rPr>
                <w:sz w:val="20"/>
                <w:lang w:val="es-ES_tradnl"/>
              </w:rPr>
            </w:pPr>
            <w:r w:rsidRPr="004C1EAF">
              <w:rPr>
                <w:color w:val="000000" w:themeColor="text1"/>
                <w:sz w:val="20"/>
                <w:lang w:val="es-ES_tradnl"/>
              </w:rPr>
              <w:t>1,08</w:t>
            </w:r>
          </w:p>
        </w:tc>
      </w:tr>
      <w:tr w:rsidR="004C1EAF" w:rsidRPr="00AC613F" w14:paraId="4FAF183F" w14:textId="77777777" w:rsidTr="00C70454">
        <w:trPr>
          <w:trHeight w:val="173"/>
        </w:trPr>
        <w:tc>
          <w:tcPr>
            <w:tcW w:w="5000" w:type="pct"/>
            <w:gridSpan w:val="4"/>
            <w:shd w:val="clear" w:color="auto" w:fill="auto"/>
          </w:tcPr>
          <w:p w14:paraId="659CE94D" w14:textId="77777777" w:rsidR="004C1EAF" w:rsidRPr="004C1EAF" w:rsidRDefault="004C1EAF" w:rsidP="00C70454">
            <w:pPr>
              <w:jc w:val="center"/>
              <w:rPr>
                <w:b/>
                <w:sz w:val="20"/>
                <w:lang w:val="es-ES_tradnl"/>
              </w:rPr>
            </w:pPr>
            <w:r w:rsidRPr="004C1EAF">
              <w:rPr>
                <w:b/>
                <w:sz w:val="20"/>
                <w:lang w:val="es-ES_tradnl"/>
              </w:rPr>
              <w:t>CONSUMO ADMISIBLE PARA LA FINANCIACIÓN (toneladas PAO)</w:t>
            </w:r>
          </w:p>
        </w:tc>
      </w:tr>
      <w:tr w:rsidR="004C1EAF" w:rsidRPr="004C1EAF" w14:paraId="3C8F7409" w14:textId="77777777" w:rsidTr="00C70454">
        <w:trPr>
          <w:trHeight w:val="289"/>
        </w:trPr>
        <w:tc>
          <w:tcPr>
            <w:tcW w:w="1600" w:type="pct"/>
            <w:shd w:val="clear" w:color="auto" w:fill="auto"/>
          </w:tcPr>
          <w:p w14:paraId="0B420A99" w14:textId="77777777" w:rsidR="004C1EAF" w:rsidRPr="004C1EAF" w:rsidRDefault="004C1EAF" w:rsidP="00C70454">
            <w:pPr>
              <w:spacing w:after="60"/>
              <w:jc w:val="center"/>
              <w:rPr>
                <w:sz w:val="20"/>
                <w:lang w:val="es-ES_tradnl"/>
              </w:rPr>
            </w:pPr>
            <w:r w:rsidRPr="004C1EAF">
              <w:rPr>
                <w:sz w:val="20"/>
                <w:lang w:val="es-ES_tradnl"/>
              </w:rPr>
              <w:t>Ya aprobado:</w:t>
            </w:r>
          </w:p>
        </w:tc>
        <w:tc>
          <w:tcPr>
            <w:tcW w:w="471" w:type="pct"/>
            <w:shd w:val="clear" w:color="auto" w:fill="auto"/>
          </w:tcPr>
          <w:p w14:paraId="7F9D3DA9" w14:textId="77777777" w:rsidR="004C1EAF" w:rsidRPr="004C1EAF" w:rsidRDefault="004C1EAF" w:rsidP="00C70454">
            <w:pPr>
              <w:spacing w:after="60"/>
              <w:jc w:val="center"/>
              <w:rPr>
                <w:sz w:val="20"/>
                <w:lang w:val="es-ES_tradnl"/>
              </w:rPr>
            </w:pPr>
            <w:r w:rsidRPr="004C1EAF">
              <w:rPr>
                <w:sz w:val="20"/>
                <w:lang w:val="es-ES_tradnl"/>
              </w:rPr>
              <w:t>0,38</w:t>
            </w:r>
          </w:p>
        </w:tc>
        <w:tc>
          <w:tcPr>
            <w:tcW w:w="2713" w:type="pct"/>
            <w:shd w:val="clear" w:color="auto" w:fill="auto"/>
          </w:tcPr>
          <w:p w14:paraId="4E53716F" w14:textId="77777777" w:rsidR="004C1EAF" w:rsidRPr="004C1EAF" w:rsidRDefault="004C1EAF" w:rsidP="00C70454">
            <w:pPr>
              <w:spacing w:after="60"/>
              <w:jc w:val="center"/>
              <w:rPr>
                <w:sz w:val="20"/>
                <w:lang w:val="es-ES_tradnl"/>
              </w:rPr>
            </w:pPr>
            <w:r w:rsidRPr="004C1EAF">
              <w:rPr>
                <w:sz w:val="20"/>
                <w:lang w:val="es-ES_tradnl"/>
              </w:rPr>
              <w:t>Restante:</w:t>
            </w:r>
          </w:p>
        </w:tc>
        <w:tc>
          <w:tcPr>
            <w:tcW w:w="216" w:type="pct"/>
            <w:shd w:val="clear" w:color="auto" w:fill="auto"/>
          </w:tcPr>
          <w:p w14:paraId="72337EAC" w14:textId="77777777" w:rsidR="004C1EAF" w:rsidRPr="004C1EAF" w:rsidRDefault="004C1EAF" w:rsidP="00C70454">
            <w:pPr>
              <w:spacing w:after="60"/>
              <w:jc w:val="center"/>
              <w:rPr>
                <w:sz w:val="20"/>
                <w:lang w:val="es-ES_tradnl"/>
              </w:rPr>
            </w:pPr>
            <w:r w:rsidRPr="004C1EAF">
              <w:rPr>
                <w:sz w:val="20"/>
                <w:lang w:val="es-ES_tradnl"/>
              </w:rPr>
              <w:t>0,71</w:t>
            </w:r>
          </w:p>
        </w:tc>
      </w:tr>
    </w:tbl>
    <w:p w14:paraId="6663584E" w14:textId="77777777" w:rsidR="004C1EAF" w:rsidRPr="004C1EAF" w:rsidRDefault="004C1EAF" w:rsidP="004C1EAF">
      <w:pPr>
        <w:jc w:val="left"/>
        <w:rPr>
          <w:b/>
          <w:sz w:val="16"/>
          <w:szCs w:val="16"/>
          <w:lang w:val="es-ES_tradnl"/>
        </w:rPr>
      </w:pPr>
    </w:p>
    <w:tbl>
      <w:tblPr>
        <w:tblStyle w:val="TableGrid"/>
        <w:tblW w:w="5309" w:type="pct"/>
        <w:tblInd w:w="-113" w:type="dxa"/>
        <w:tblLook w:val="04A0" w:firstRow="1" w:lastRow="0" w:firstColumn="1" w:lastColumn="0" w:noHBand="0" w:noVBand="1"/>
      </w:tblPr>
      <w:tblGrid>
        <w:gridCol w:w="1331"/>
        <w:gridCol w:w="3293"/>
        <w:gridCol w:w="1415"/>
        <w:gridCol w:w="1417"/>
        <w:gridCol w:w="1415"/>
        <w:gridCol w:w="1297"/>
      </w:tblGrid>
      <w:tr w:rsidR="004C1EAF" w:rsidRPr="004C1EAF" w14:paraId="25254C74" w14:textId="77777777" w:rsidTr="004C1EAF">
        <w:trPr>
          <w:trHeight w:val="258"/>
        </w:trPr>
        <w:tc>
          <w:tcPr>
            <w:tcW w:w="2272" w:type="pct"/>
            <w:gridSpan w:val="2"/>
            <w:shd w:val="clear" w:color="auto" w:fill="auto"/>
          </w:tcPr>
          <w:p w14:paraId="0C3F9CC7" w14:textId="77777777" w:rsidR="004C1EAF" w:rsidRPr="004C1EAF" w:rsidRDefault="004C1EAF" w:rsidP="00C70454">
            <w:pPr>
              <w:spacing w:after="60"/>
              <w:jc w:val="left"/>
              <w:rPr>
                <w:b/>
                <w:sz w:val="20"/>
                <w:lang w:val="es-ES_tradnl"/>
              </w:rPr>
            </w:pPr>
            <w:r w:rsidRPr="004C1EAF">
              <w:rPr>
                <w:b/>
                <w:sz w:val="20"/>
                <w:lang w:val="es-ES_tradnl"/>
              </w:rPr>
              <w:t>V) PLAN ADMINISTRATIVO AVALADO</w:t>
            </w:r>
          </w:p>
        </w:tc>
        <w:tc>
          <w:tcPr>
            <w:tcW w:w="696" w:type="pct"/>
          </w:tcPr>
          <w:p w14:paraId="7F6E3C1B" w14:textId="77777777" w:rsidR="004C1EAF" w:rsidRPr="004C1EAF" w:rsidRDefault="004C1EAF" w:rsidP="00C70454">
            <w:pPr>
              <w:spacing w:after="60"/>
              <w:jc w:val="center"/>
              <w:rPr>
                <w:b/>
                <w:sz w:val="20"/>
                <w:lang w:val="es-ES_tradnl"/>
              </w:rPr>
            </w:pPr>
            <w:r w:rsidRPr="004C1EAF">
              <w:rPr>
                <w:b/>
                <w:sz w:val="20"/>
                <w:lang w:val="es-ES_tradnl"/>
              </w:rPr>
              <w:t>2022</w:t>
            </w:r>
          </w:p>
        </w:tc>
        <w:tc>
          <w:tcPr>
            <w:tcW w:w="697" w:type="pct"/>
          </w:tcPr>
          <w:p w14:paraId="4304D264" w14:textId="77777777" w:rsidR="004C1EAF" w:rsidRPr="004C1EAF" w:rsidRDefault="004C1EAF" w:rsidP="00C70454">
            <w:pPr>
              <w:spacing w:after="60"/>
              <w:jc w:val="center"/>
              <w:rPr>
                <w:b/>
                <w:sz w:val="20"/>
                <w:lang w:val="es-ES_tradnl"/>
              </w:rPr>
            </w:pPr>
            <w:r w:rsidRPr="004C1EAF">
              <w:rPr>
                <w:b/>
                <w:sz w:val="20"/>
                <w:lang w:val="es-ES_tradnl"/>
              </w:rPr>
              <w:t>2023</w:t>
            </w:r>
          </w:p>
        </w:tc>
        <w:tc>
          <w:tcPr>
            <w:tcW w:w="696" w:type="pct"/>
          </w:tcPr>
          <w:p w14:paraId="2B082676" w14:textId="77777777" w:rsidR="004C1EAF" w:rsidRPr="004C1EAF" w:rsidRDefault="004C1EAF" w:rsidP="00C70454">
            <w:pPr>
              <w:spacing w:after="60"/>
              <w:jc w:val="center"/>
              <w:rPr>
                <w:b/>
                <w:sz w:val="20"/>
                <w:lang w:val="es-ES_tradnl"/>
              </w:rPr>
            </w:pPr>
            <w:r w:rsidRPr="004C1EAF">
              <w:rPr>
                <w:b/>
                <w:sz w:val="20"/>
                <w:lang w:val="es-ES_tradnl"/>
              </w:rPr>
              <w:t>2024</w:t>
            </w:r>
          </w:p>
        </w:tc>
        <w:tc>
          <w:tcPr>
            <w:tcW w:w="639" w:type="pct"/>
            <w:shd w:val="clear" w:color="auto" w:fill="auto"/>
          </w:tcPr>
          <w:p w14:paraId="72B8586D" w14:textId="77777777" w:rsidR="004C1EAF" w:rsidRPr="004C1EAF" w:rsidRDefault="004C1EAF" w:rsidP="00C70454">
            <w:pPr>
              <w:spacing w:after="60"/>
              <w:jc w:val="center"/>
              <w:rPr>
                <w:b/>
                <w:sz w:val="20"/>
                <w:lang w:val="es-ES_tradnl"/>
              </w:rPr>
            </w:pPr>
            <w:r w:rsidRPr="004C1EAF">
              <w:rPr>
                <w:b/>
                <w:sz w:val="20"/>
                <w:lang w:val="es-ES_tradnl"/>
              </w:rPr>
              <w:t>Total</w:t>
            </w:r>
          </w:p>
        </w:tc>
      </w:tr>
      <w:tr w:rsidR="004C1EAF" w:rsidRPr="004C1EAF" w14:paraId="587C69C2" w14:textId="77777777" w:rsidTr="004C1EAF">
        <w:trPr>
          <w:trHeight w:val="258"/>
        </w:trPr>
        <w:tc>
          <w:tcPr>
            <w:tcW w:w="654" w:type="pct"/>
            <w:vMerge w:val="restart"/>
            <w:shd w:val="clear" w:color="auto" w:fill="auto"/>
          </w:tcPr>
          <w:p w14:paraId="22F2C58D" w14:textId="77777777" w:rsidR="004C1EAF" w:rsidRPr="004C1EAF" w:rsidRDefault="004C1EAF" w:rsidP="00C70454">
            <w:pPr>
              <w:spacing w:after="60"/>
              <w:jc w:val="center"/>
              <w:rPr>
                <w:sz w:val="20"/>
                <w:lang w:val="es-ES_tradnl"/>
              </w:rPr>
            </w:pPr>
            <w:r w:rsidRPr="004C1EAF">
              <w:rPr>
                <w:color w:val="000000" w:themeColor="text1"/>
                <w:sz w:val="20"/>
                <w:lang w:val="es-ES_tradnl"/>
              </w:rPr>
              <w:t>PNUMA</w:t>
            </w:r>
          </w:p>
        </w:tc>
        <w:tc>
          <w:tcPr>
            <w:tcW w:w="1619" w:type="pct"/>
            <w:shd w:val="clear" w:color="auto" w:fill="auto"/>
          </w:tcPr>
          <w:p w14:paraId="569169AB" w14:textId="77777777" w:rsidR="004C1EAF" w:rsidRPr="004C1EAF" w:rsidRDefault="004C1EAF" w:rsidP="00C70454">
            <w:pPr>
              <w:spacing w:after="60"/>
              <w:jc w:val="left"/>
              <w:rPr>
                <w:sz w:val="20"/>
                <w:lang w:val="es-ES_tradnl"/>
              </w:rPr>
            </w:pPr>
            <w:r w:rsidRPr="004C1EAF">
              <w:rPr>
                <w:sz w:val="20"/>
                <w:lang w:val="es-ES_tradnl"/>
              </w:rPr>
              <w:t>Eliminación de SAO (toneladas PAO)</w:t>
            </w:r>
          </w:p>
        </w:tc>
        <w:tc>
          <w:tcPr>
            <w:tcW w:w="696" w:type="pct"/>
            <w:shd w:val="clear" w:color="auto" w:fill="auto"/>
          </w:tcPr>
          <w:p w14:paraId="238FAED9" w14:textId="77777777" w:rsidR="004C1EAF" w:rsidRPr="004C1EAF" w:rsidRDefault="004C1EAF" w:rsidP="00C70454">
            <w:pPr>
              <w:spacing w:after="60"/>
              <w:jc w:val="right"/>
              <w:rPr>
                <w:sz w:val="20"/>
                <w:lang w:val="es-ES_tradnl"/>
              </w:rPr>
            </w:pPr>
            <w:r w:rsidRPr="004C1EAF">
              <w:rPr>
                <w:sz w:val="20"/>
                <w:lang w:val="es-ES_tradnl"/>
              </w:rPr>
              <w:t>0,1</w:t>
            </w:r>
          </w:p>
        </w:tc>
        <w:tc>
          <w:tcPr>
            <w:tcW w:w="697" w:type="pct"/>
          </w:tcPr>
          <w:p w14:paraId="5A33799F" w14:textId="77777777" w:rsidR="004C1EAF" w:rsidRPr="004C1EAF" w:rsidRDefault="004C1EAF" w:rsidP="00C70454">
            <w:pPr>
              <w:spacing w:after="60"/>
              <w:jc w:val="right"/>
              <w:rPr>
                <w:sz w:val="20"/>
                <w:lang w:val="es-ES_tradnl"/>
              </w:rPr>
            </w:pPr>
            <w:r w:rsidRPr="004C1EAF">
              <w:rPr>
                <w:sz w:val="20"/>
                <w:lang w:val="es-ES_tradnl"/>
              </w:rPr>
              <w:t>0,0</w:t>
            </w:r>
          </w:p>
        </w:tc>
        <w:tc>
          <w:tcPr>
            <w:tcW w:w="696" w:type="pct"/>
            <w:shd w:val="clear" w:color="auto" w:fill="auto"/>
          </w:tcPr>
          <w:p w14:paraId="03CDAAD9" w14:textId="77777777" w:rsidR="004C1EAF" w:rsidRPr="004C1EAF" w:rsidRDefault="004C1EAF" w:rsidP="00C70454">
            <w:pPr>
              <w:spacing w:after="60"/>
              <w:jc w:val="right"/>
              <w:rPr>
                <w:sz w:val="20"/>
                <w:lang w:val="es-ES_tradnl"/>
              </w:rPr>
            </w:pPr>
            <w:r w:rsidRPr="004C1EAF">
              <w:rPr>
                <w:sz w:val="20"/>
                <w:lang w:val="es-ES_tradnl"/>
              </w:rPr>
              <w:t>0,0</w:t>
            </w:r>
          </w:p>
        </w:tc>
        <w:tc>
          <w:tcPr>
            <w:tcW w:w="639" w:type="pct"/>
            <w:shd w:val="clear" w:color="auto" w:fill="auto"/>
          </w:tcPr>
          <w:p w14:paraId="041FF165" w14:textId="77777777" w:rsidR="004C1EAF" w:rsidRPr="004C1EAF" w:rsidRDefault="004C1EAF" w:rsidP="00C70454">
            <w:pPr>
              <w:spacing w:after="60"/>
              <w:jc w:val="right"/>
              <w:rPr>
                <w:sz w:val="20"/>
                <w:lang w:val="es-ES_tradnl"/>
              </w:rPr>
            </w:pPr>
            <w:r w:rsidRPr="004C1EAF">
              <w:rPr>
                <w:sz w:val="20"/>
                <w:lang w:val="es-ES_tradnl"/>
              </w:rPr>
              <w:fldChar w:fldCharType="begin"/>
            </w:r>
            <w:r w:rsidRPr="004C1EAF">
              <w:rPr>
                <w:sz w:val="20"/>
                <w:lang w:val="es-ES_tradnl"/>
              </w:rPr>
              <w:instrText xml:space="preserve"> =SUM(LEFT) </w:instrText>
            </w:r>
            <w:r w:rsidRPr="004C1EAF">
              <w:rPr>
                <w:sz w:val="20"/>
                <w:lang w:val="es-ES_tradnl"/>
              </w:rPr>
              <w:fldChar w:fldCharType="separate"/>
            </w:r>
            <w:r w:rsidRPr="004C1EAF">
              <w:rPr>
                <w:noProof/>
                <w:sz w:val="20"/>
                <w:lang w:val="es-ES_tradnl"/>
              </w:rPr>
              <w:t>0,1</w:t>
            </w:r>
            <w:r w:rsidRPr="004C1EAF">
              <w:rPr>
                <w:sz w:val="20"/>
                <w:lang w:val="es-ES_tradnl"/>
              </w:rPr>
              <w:fldChar w:fldCharType="end"/>
            </w:r>
          </w:p>
        </w:tc>
      </w:tr>
      <w:tr w:rsidR="004C1EAF" w:rsidRPr="004C1EAF" w14:paraId="44A2062B" w14:textId="77777777" w:rsidTr="004C1EAF">
        <w:trPr>
          <w:trHeight w:val="258"/>
        </w:trPr>
        <w:tc>
          <w:tcPr>
            <w:tcW w:w="654" w:type="pct"/>
            <w:vMerge/>
            <w:shd w:val="clear" w:color="auto" w:fill="auto"/>
          </w:tcPr>
          <w:p w14:paraId="37F22EEA" w14:textId="77777777" w:rsidR="004C1EAF" w:rsidRPr="004C1EAF" w:rsidRDefault="004C1EAF" w:rsidP="00C70454">
            <w:pPr>
              <w:spacing w:after="60"/>
              <w:jc w:val="center"/>
              <w:rPr>
                <w:sz w:val="20"/>
                <w:lang w:val="es-ES_tradnl"/>
              </w:rPr>
            </w:pPr>
          </w:p>
        </w:tc>
        <w:tc>
          <w:tcPr>
            <w:tcW w:w="1619" w:type="pct"/>
            <w:shd w:val="clear" w:color="auto" w:fill="auto"/>
          </w:tcPr>
          <w:p w14:paraId="60FE8F03" w14:textId="77777777" w:rsidR="004C1EAF" w:rsidRPr="004C1EAF" w:rsidRDefault="004C1EAF" w:rsidP="00C70454">
            <w:pPr>
              <w:spacing w:after="60"/>
              <w:jc w:val="left"/>
              <w:rPr>
                <w:sz w:val="20"/>
                <w:lang w:val="es-ES_tradnl"/>
              </w:rPr>
            </w:pPr>
            <w:r w:rsidRPr="004C1EAF">
              <w:rPr>
                <w:sz w:val="20"/>
                <w:lang w:val="es-ES_tradnl"/>
              </w:rPr>
              <w:t>Financiación ($EUA)</w:t>
            </w:r>
          </w:p>
        </w:tc>
        <w:tc>
          <w:tcPr>
            <w:tcW w:w="696" w:type="pct"/>
            <w:shd w:val="clear" w:color="auto" w:fill="auto"/>
          </w:tcPr>
          <w:p w14:paraId="20C15549" w14:textId="77777777" w:rsidR="004C1EAF" w:rsidRPr="004C1EAF" w:rsidRDefault="004C1EAF" w:rsidP="00C70454">
            <w:pPr>
              <w:spacing w:after="60"/>
              <w:jc w:val="right"/>
              <w:rPr>
                <w:sz w:val="20"/>
                <w:lang w:val="es-ES_tradnl"/>
              </w:rPr>
            </w:pPr>
            <w:r w:rsidRPr="004C1EAF">
              <w:rPr>
                <w:sz w:val="20"/>
                <w:lang w:val="es-ES_tradnl"/>
              </w:rPr>
              <w:t>59.250</w:t>
            </w:r>
          </w:p>
        </w:tc>
        <w:tc>
          <w:tcPr>
            <w:tcW w:w="697" w:type="pct"/>
          </w:tcPr>
          <w:p w14:paraId="33F19A47" w14:textId="77777777" w:rsidR="004C1EAF" w:rsidRPr="004C1EAF" w:rsidRDefault="004C1EAF" w:rsidP="00C70454">
            <w:pPr>
              <w:spacing w:after="60"/>
              <w:jc w:val="right"/>
              <w:rPr>
                <w:sz w:val="20"/>
                <w:lang w:val="es-ES_tradnl"/>
              </w:rPr>
            </w:pPr>
            <w:r w:rsidRPr="004C1EAF">
              <w:rPr>
                <w:sz w:val="20"/>
                <w:lang w:val="es-ES_tradnl"/>
              </w:rPr>
              <w:t>0</w:t>
            </w:r>
          </w:p>
        </w:tc>
        <w:tc>
          <w:tcPr>
            <w:tcW w:w="696" w:type="pct"/>
            <w:shd w:val="clear" w:color="auto" w:fill="auto"/>
          </w:tcPr>
          <w:p w14:paraId="56B85794" w14:textId="77777777" w:rsidR="004C1EAF" w:rsidRPr="004C1EAF" w:rsidRDefault="004C1EAF" w:rsidP="00C70454">
            <w:pPr>
              <w:spacing w:after="60"/>
              <w:jc w:val="right"/>
              <w:rPr>
                <w:sz w:val="20"/>
                <w:lang w:val="es-ES_tradnl"/>
              </w:rPr>
            </w:pPr>
            <w:r w:rsidRPr="004C1EAF">
              <w:rPr>
                <w:sz w:val="20"/>
                <w:lang w:val="es-ES_tradnl"/>
              </w:rPr>
              <w:t>0</w:t>
            </w:r>
          </w:p>
        </w:tc>
        <w:tc>
          <w:tcPr>
            <w:tcW w:w="639" w:type="pct"/>
            <w:shd w:val="clear" w:color="auto" w:fill="auto"/>
          </w:tcPr>
          <w:p w14:paraId="7904B509" w14:textId="77777777" w:rsidR="004C1EAF" w:rsidRPr="004C1EAF" w:rsidRDefault="004C1EAF" w:rsidP="00C70454">
            <w:pPr>
              <w:spacing w:after="60"/>
              <w:jc w:val="right"/>
              <w:rPr>
                <w:sz w:val="20"/>
                <w:lang w:val="es-ES_tradnl"/>
              </w:rPr>
            </w:pPr>
            <w:r w:rsidRPr="004C1EAF">
              <w:rPr>
                <w:sz w:val="20"/>
                <w:lang w:val="es-ES_tradnl"/>
              </w:rPr>
              <w:fldChar w:fldCharType="begin"/>
            </w:r>
            <w:r w:rsidRPr="004C1EAF">
              <w:rPr>
                <w:sz w:val="20"/>
                <w:lang w:val="es-ES_tradnl"/>
              </w:rPr>
              <w:instrText xml:space="preserve"> =SUM(LEFT) </w:instrText>
            </w:r>
            <w:r w:rsidRPr="004C1EAF">
              <w:rPr>
                <w:sz w:val="20"/>
                <w:lang w:val="es-ES_tradnl"/>
              </w:rPr>
              <w:fldChar w:fldCharType="separate"/>
            </w:r>
            <w:r w:rsidRPr="004C1EAF">
              <w:rPr>
                <w:noProof/>
                <w:sz w:val="20"/>
                <w:lang w:val="es-ES_tradnl"/>
              </w:rPr>
              <w:t>59.250</w:t>
            </w:r>
            <w:r w:rsidRPr="004C1EAF">
              <w:rPr>
                <w:sz w:val="20"/>
                <w:lang w:val="es-ES_tradnl"/>
              </w:rPr>
              <w:fldChar w:fldCharType="end"/>
            </w:r>
          </w:p>
        </w:tc>
      </w:tr>
      <w:tr w:rsidR="004C1EAF" w:rsidRPr="004C1EAF" w14:paraId="294FA22C" w14:textId="77777777" w:rsidTr="004C1EAF">
        <w:trPr>
          <w:trHeight w:val="258"/>
        </w:trPr>
        <w:tc>
          <w:tcPr>
            <w:tcW w:w="654" w:type="pct"/>
            <w:vMerge w:val="restart"/>
            <w:shd w:val="clear" w:color="auto" w:fill="auto"/>
          </w:tcPr>
          <w:p w14:paraId="16D368AE" w14:textId="77777777" w:rsidR="004C1EAF" w:rsidRPr="004C1EAF" w:rsidRDefault="004C1EAF" w:rsidP="00C70454">
            <w:pPr>
              <w:spacing w:after="60"/>
              <w:jc w:val="center"/>
              <w:rPr>
                <w:sz w:val="20"/>
                <w:lang w:val="es-ES_tradnl"/>
              </w:rPr>
            </w:pPr>
            <w:r w:rsidRPr="004C1EAF">
              <w:rPr>
                <w:color w:val="000000" w:themeColor="text1"/>
                <w:sz w:val="20"/>
                <w:lang w:val="es-ES_tradnl"/>
              </w:rPr>
              <w:t>ONUDI</w:t>
            </w:r>
          </w:p>
        </w:tc>
        <w:tc>
          <w:tcPr>
            <w:tcW w:w="1619" w:type="pct"/>
            <w:shd w:val="clear" w:color="auto" w:fill="auto"/>
          </w:tcPr>
          <w:p w14:paraId="47639282" w14:textId="77777777" w:rsidR="004C1EAF" w:rsidRPr="004C1EAF" w:rsidRDefault="004C1EAF" w:rsidP="00C70454">
            <w:pPr>
              <w:spacing w:after="60"/>
              <w:jc w:val="left"/>
              <w:rPr>
                <w:sz w:val="20"/>
                <w:lang w:val="es-ES_tradnl"/>
              </w:rPr>
            </w:pPr>
            <w:r w:rsidRPr="004C1EAF">
              <w:rPr>
                <w:sz w:val="20"/>
                <w:lang w:val="es-ES_tradnl"/>
              </w:rPr>
              <w:t>Eliminación de SAO (toneladas PAO)</w:t>
            </w:r>
          </w:p>
        </w:tc>
        <w:tc>
          <w:tcPr>
            <w:tcW w:w="696" w:type="pct"/>
            <w:shd w:val="clear" w:color="auto" w:fill="auto"/>
          </w:tcPr>
          <w:p w14:paraId="51F86103" w14:textId="77777777" w:rsidR="004C1EAF" w:rsidRPr="004C1EAF" w:rsidRDefault="004C1EAF" w:rsidP="00C70454">
            <w:pPr>
              <w:spacing w:after="60"/>
              <w:jc w:val="right"/>
              <w:rPr>
                <w:sz w:val="20"/>
                <w:lang w:val="es-ES_tradnl"/>
              </w:rPr>
            </w:pPr>
            <w:r w:rsidRPr="004C1EAF">
              <w:rPr>
                <w:sz w:val="20"/>
                <w:lang w:val="es-ES_tradnl"/>
              </w:rPr>
              <w:t>0,1</w:t>
            </w:r>
          </w:p>
        </w:tc>
        <w:tc>
          <w:tcPr>
            <w:tcW w:w="697" w:type="pct"/>
          </w:tcPr>
          <w:p w14:paraId="40AE9D7C" w14:textId="77777777" w:rsidR="004C1EAF" w:rsidRPr="004C1EAF" w:rsidRDefault="004C1EAF" w:rsidP="00C70454">
            <w:pPr>
              <w:spacing w:after="60"/>
              <w:jc w:val="right"/>
              <w:rPr>
                <w:sz w:val="20"/>
                <w:lang w:val="es-ES_tradnl"/>
              </w:rPr>
            </w:pPr>
            <w:r w:rsidRPr="004C1EAF">
              <w:rPr>
                <w:sz w:val="20"/>
                <w:lang w:val="es-ES_tradnl"/>
              </w:rPr>
              <w:t>0,0</w:t>
            </w:r>
          </w:p>
        </w:tc>
        <w:tc>
          <w:tcPr>
            <w:tcW w:w="696" w:type="pct"/>
            <w:shd w:val="clear" w:color="auto" w:fill="auto"/>
          </w:tcPr>
          <w:p w14:paraId="05DC7F62" w14:textId="77777777" w:rsidR="004C1EAF" w:rsidRPr="004C1EAF" w:rsidRDefault="004C1EAF" w:rsidP="00C70454">
            <w:pPr>
              <w:spacing w:after="60"/>
              <w:jc w:val="right"/>
              <w:rPr>
                <w:sz w:val="20"/>
                <w:lang w:val="es-ES_tradnl"/>
              </w:rPr>
            </w:pPr>
            <w:r w:rsidRPr="004C1EAF">
              <w:rPr>
                <w:sz w:val="20"/>
                <w:lang w:val="es-ES_tradnl"/>
              </w:rPr>
              <w:t>0,1</w:t>
            </w:r>
          </w:p>
        </w:tc>
        <w:tc>
          <w:tcPr>
            <w:tcW w:w="639" w:type="pct"/>
            <w:shd w:val="clear" w:color="auto" w:fill="auto"/>
          </w:tcPr>
          <w:p w14:paraId="770F8433" w14:textId="77777777" w:rsidR="004C1EAF" w:rsidRPr="004C1EAF" w:rsidRDefault="004C1EAF" w:rsidP="00C70454">
            <w:pPr>
              <w:spacing w:after="60"/>
              <w:jc w:val="right"/>
              <w:rPr>
                <w:sz w:val="20"/>
                <w:lang w:val="es-ES_tradnl"/>
              </w:rPr>
            </w:pPr>
            <w:r w:rsidRPr="004C1EAF">
              <w:rPr>
                <w:sz w:val="20"/>
                <w:lang w:val="es-ES_tradnl"/>
              </w:rPr>
              <w:fldChar w:fldCharType="begin"/>
            </w:r>
            <w:r w:rsidRPr="004C1EAF">
              <w:rPr>
                <w:sz w:val="20"/>
                <w:lang w:val="es-ES_tradnl"/>
              </w:rPr>
              <w:instrText xml:space="preserve"> =SUM(LEFT) </w:instrText>
            </w:r>
            <w:r w:rsidRPr="004C1EAF">
              <w:rPr>
                <w:sz w:val="20"/>
                <w:lang w:val="es-ES_tradnl"/>
              </w:rPr>
              <w:fldChar w:fldCharType="separate"/>
            </w:r>
            <w:r w:rsidRPr="004C1EAF">
              <w:rPr>
                <w:noProof/>
                <w:sz w:val="20"/>
                <w:lang w:val="es-ES_tradnl"/>
              </w:rPr>
              <w:t>0,2</w:t>
            </w:r>
            <w:r w:rsidRPr="004C1EAF">
              <w:rPr>
                <w:sz w:val="20"/>
                <w:lang w:val="es-ES_tradnl"/>
              </w:rPr>
              <w:fldChar w:fldCharType="end"/>
            </w:r>
          </w:p>
        </w:tc>
      </w:tr>
      <w:tr w:rsidR="004C1EAF" w:rsidRPr="004C1EAF" w14:paraId="0AE54638" w14:textId="77777777" w:rsidTr="004C1EAF">
        <w:trPr>
          <w:trHeight w:val="258"/>
        </w:trPr>
        <w:tc>
          <w:tcPr>
            <w:tcW w:w="654" w:type="pct"/>
            <w:vMerge/>
            <w:shd w:val="clear" w:color="auto" w:fill="auto"/>
          </w:tcPr>
          <w:p w14:paraId="6F0D3F62" w14:textId="77777777" w:rsidR="004C1EAF" w:rsidRPr="004C1EAF" w:rsidRDefault="004C1EAF" w:rsidP="00C70454">
            <w:pPr>
              <w:spacing w:after="60"/>
              <w:jc w:val="center"/>
              <w:rPr>
                <w:sz w:val="20"/>
                <w:lang w:val="es-ES_tradnl"/>
              </w:rPr>
            </w:pPr>
          </w:p>
        </w:tc>
        <w:tc>
          <w:tcPr>
            <w:tcW w:w="1619" w:type="pct"/>
            <w:shd w:val="clear" w:color="auto" w:fill="auto"/>
          </w:tcPr>
          <w:p w14:paraId="6A4584CA" w14:textId="77777777" w:rsidR="004C1EAF" w:rsidRPr="004C1EAF" w:rsidRDefault="004C1EAF" w:rsidP="00C70454">
            <w:pPr>
              <w:spacing w:after="60"/>
              <w:jc w:val="left"/>
              <w:rPr>
                <w:sz w:val="20"/>
                <w:lang w:val="es-ES_tradnl"/>
              </w:rPr>
            </w:pPr>
            <w:r w:rsidRPr="004C1EAF">
              <w:rPr>
                <w:sz w:val="20"/>
                <w:lang w:val="es-ES_tradnl"/>
              </w:rPr>
              <w:t>Financiación ($EUA)</w:t>
            </w:r>
          </w:p>
        </w:tc>
        <w:tc>
          <w:tcPr>
            <w:tcW w:w="696" w:type="pct"/>
            <w:shd w:val="clear" w:color="auto" w:fill="auto"/>
          </w:tcPr>
          <w:p w14:paraId="080432B2" w14:textId="77777777" w:rsidR="004C1EAF" w:rsidRPr="004C1EAF" w:rsidRDefault="004C1EAF" w:rsidP="00C70454">
            <w:pPr>
              <w:spacing w:after="60"/>
              <w:jc w:val="right"/>
              <w:rPr>
                <w:sz w:val="20"/>
                <w:lang w:val="es-ES_tradnl"/>
              </w:rPr>
            </w:pPr>
            <w:r w:rsidRPr="004C1EAF">
              <w:rPr>
                <w:sz w:val="20"/>
                <w:lang w:val="es-ES_tradnl"/>
              </w:rPr>
              <w:t>95.000</w:t>
            </w:r>
          </w:p>
        </w:tc>
        <w:tc>
          <w:tcPr>
            <w:tcW w:w="697" w:type="pct"/>
          </w:tcPr>
          <w:p w14:paraId="24198D10" w14:textId="77777777" w:rsidR="004C1EAF" w:rsidRPr="004C1EAF" w:rsidRDefault="004C1EAF" w:rsidP="00C70454">
            <w:pPr>
              <w:spacing w:after="60"/>
              <w:jc w:val="right"/>
              <w:rPr>
                <w:sz w:val="20"/>
                <w:lang w:val="es-ES_tradnl"/>
              </w:rPr>
            </w:pPr>
            <w:r w:rsidRPr="004C1EAF">
              <w:rPr>
                <w:sz w:val="20"/>
                <w:lang w:val="es-ES_tradnl"/>
              </w:rPr>
              <w:t>0</w:t>
            </w:r>
          </w:p>
        </w:tc>
        <w:tc>
          <w:tcPr>
            <w:tcW w:w="696" w:type="pct"/>
            <w:shd w:val="clear" w:color="auto" w:fill="auto"/>
          </w:tcPr>
          <w:p w14:paraId="034573B6" w14:textId="77777777" w:rsidR="004C1EAF" w:rsidRPr="004C1EAF" w:rsidRDefault="004C1EAF" w:rsidP="00C70454">
            <w:pPr>
              <w:spacing w:after="60"/>
              <w:jc w:val="right"/>
              <w:rPr>
                <w:sz w:val="20"/>
                <w:lang w:val="es-ES_tradnl"/>
              </w:rPr>
            </w:pPr>
            <w:r w:rsidRPr="004C1EAF">
              <w:rPr>
                <w:sz w:val="20"/>
                <w:lang w:val="es-ES_tradnl"/>
              </w:rPr>
              <w:t>95.000</w:t>
            </w:r>
          </w:p>
        </w:tc>
        <w:tc>
          <w:tcPr>
            <w:tcW w:w="639" w:type="pct"/>
            <w:shd w:val="clear" w:color="auto" w:fill="auto"/>
          </w:tcPr>
          <w:p w14:paraId="1A74B8E1" w14:textId="77777777" w:rsidR="004C1EAF" w:rsidRPr="004C1EAF" w:rsidRDefault="004C1EAF" w:rsidP="00C70454">
            <w:pPr>
              <w:spacing w:after="60"/>
              <w:jc w:val="right"/>
              <w:rPr>
                <w:sz w:val="20"/>
                <w:lang w:val="es-ES_tradnl"/>
              </w:rPr>
            </w:pPr>
            <w:r w:rsidRPr="004C1EAF">
              <w:rPr>
                <w:sz w:val="20"/>
                <w:lang w:val="es-ES_tradnl"/>
              </w:rPr>
              <w:fldChar w:fldCharType="begin"/>
            </w:r>
            <w:r w:rsidRPr="004C1EAF">
              <w:rPr>
                <w:sz w:val="20"/>
                <w:lang w:val="es-ES_tradnl"/>
              </w:rPr>
              <w:instrText xml:space="preserve"> =SUM(LEFT) </w:instrText>
            </w:r>
            <w:r w:rsidRPr="004C1EAF">
              <w:rPr>
                <w:sz w:val="20"/>
                <w:lang w:val="es-ES_tradnl"/>
              </w:rPr>
              <w:fldChar w:fldCharType="separate"/>
            </w:r>
            <w:r w:rsidRPr="004C1EAF">
              <w:rPr>
                <w:noProof/>
                <w:sz w:val="20"/>
                <w:lang w:val="es-ES_tradnl"/>
              </w:rPr>
              <w:t>190.000</w:t>
            </w:r>
            <w:r w:rsidRPr="004C1EAF">
              <w:rPr>
                <w:sz w:val="20"/>
                <w:lang w:val="es-ES_tradnl"/>
              </w:rPr>
              <w:fldChar w:fldCharType="end"/>
            </w:r>
          </w:p>
        </w:tc>
      </w:tr>
    </w:tbl>
    <w:p w14:paraId="18C3787C" w14:textId="77777777" w:rsidR="004C1EAF" w:rsidRPr="004C1EAF" w:rsidRDefault="004C1EAF" w:rsidP="004C1EAF">
      <w:pPr>
        <w:jc w:val="center"/>
        <w:rPr>
          <w:sz w:val="16"/>
          <w:szCs w:val="16"/>
          <w:lang w:val="es-ES_tradnl"/>
        </w:rPr>
      </w:pPr>
    </w:p>
    <w:tbl>
      <w:tblPr>
        <w:tblStyle w:val="TableGrid"/>
        <w:tblW w:w="5309" w:type="pct"/>
        <w:tblInd w:w="-113" w:type="dxa"/>
        <w:tblLook w:val="04A0" w:firstRow="1" w:lastRow="0" w:firstColumn="1" w:lastColumn="0" w:noHBand="0" w:noVBand="1"/>
      </w:tblPr>
      <w:tblGrid>
        <w:gridCol w:w="1273"/>
        <w:gridCol w:w="1096"/>
        <w:gridCol w:w="1950"/>
        <w:gridCol w:w="972"/>
        <w:gridCol w:w="1155"/>
        <w:gridCol w:w="866"/>
        <w:gridCol w:w="1113"/>
        <w:gridCol w:w="772"/>
        <w:gridCol w:w="971"/>
      </w:tblGrid>
      <w:tr w:rsidR="004C1EAF" w:rsidRPr="004C1EAF" w14:paraId="00A1A5B0" w14:textId="77777777" w:rsidTr="004C1EAF">
        <w:trPr>
          <w:trHeight w:val="209"/>
        </w:trPr>
        <w:tc>
          <w:tcPr>
            <w:tcW w:w="2127" w:type="pct"/>
            <w:gridSpan w:val="3"/>
            <w:shd w:val="clear" w:color="auto" w:fill="auto"/>
          </w:tcPr>
          <w:p w14:paraId="1DF1F1FC" w14:textId="77777777" w:rsidR="004C1EAF" w:rsidRPr="004C1EAF" w:rsidRDefault="004C1EAF" w:rsidP="00C70454">
            <w:pPr>
              <w:jc w:val="left"/>
              <w:rPr>
                <w:b/>
                <w:sz w:val="20"/>
                <w:lang w:val="es-ES_tradnl"/>
              </w:rPr>
            </w:pPr>
            <w:bookmarkStart w:id="0" w:name="_Hlk117681088"/>
            <w:bookmarkStart w:id="1" w:name="_Hlk118193163"/>
            <w:r w:rsidRPr="004C1EAF">
              <w:rPr>
                <w:b/>
                <w:sz w:val="20"/>
                <w:lang w:val="es-ES_tradnl"/>
              </w:rPr>
              <w:t>VI) DATOS DEL PROYECTO</w:t>
            </w:r>
          </w:p>
        </w:tc>
        <w:tc>
          <w:tcPr>
            <w:tcW w:w="479" w:type="pct"/>
            <w:shd w:val="clear" w:color="auto" w:fill="auto"/>
          </w:tcPr>
          <w:p w14:paraId="65DD0837" w14:textId="77777777" w:rsidR="004C1EAF" w:rsidRPr="004C1EAF" w:rsidRDefault="004C1EAF" w:rsidP="00C70454">
            <w:pPr>
              <w:jc w:val="center"/>
              <w:rPr>
                <w:b/>
                <w:sz w:val="20"/>
                <w:lang w:val="es-ES_tradnl"/>
              </w:rPr>
            </w:pPr>
            <w:r w:rsidRPr="004C1EAF">
              <w:rPr>
                <w:b/>
                <w:bCs/>
                <w:color w:val="000000"/>
                <w:sz w:val="20"/>
                <w:szCs w:val="20"/>
                <w:lang w:val="es-ES_tradnl"/>
              </w:rPr>
              <w:t>2022</w:t>
            </w:r>
          </w:p>
        </w:tc>
        <w:tc>
          <w:tcPr>
            <w:tcW w:w="569" w:type="pct"/>
            <w:shd w:val="clear" w:color="auto" w:fill="auto"/>
          </w:tcPr>
          <w:p w14:paraId="6B91249B" w14:textId="77777777" w:rsidR="004C1EAF" w:rsidRPr="004C1EAF" w:rsidRDefault="004C1EAF" w:rsidP="00C70454">
            <w:pPr>
              <w:jc w:val="center"/>
              <w:rPr>
                <w:b/>
                <w:sz w:val="20"/>
                <w:lang w:val="es-ES_tradnl"/>
              </w:rPr>
            </w:pPr>
            <w:r w:rsidRPr="004C1EAF">
              <w:rPr>
                <w:b/>
                <w:bCs/>
                <w:color w:val="000000"/>
                <w:sz w:val="20"/>
                <w:szCs w:val="20"/>
                <w:lang w:val="es-ES_tradnl"/>
              </w:rPr>
              <w:t>2023-2024</w:t>
            </w:r>
          </w:p>
        </w:tc>
        <w:tc>
          <w:tcPr>
            <w:tcW w:w="418" w:type="pct"/>
            <w:shd w:val="clear" w:color="auto" w:fill="auto"/>
          </w:tcPr>
          <w:p w14:paraId="3A364D76" w14:textId="77777777" w:rsidR="004C1EAF" w:rsidRPr="004C1EAF" w:rsidRDefault="004C1EAF" w:rsidP="00C70454">
            <w:pPr>
              <w:jc w:val="center"/>
              <w:rPr>
                <w:b/>
                <w:sz w:val="20"/>
                <w:lang w:val="es-ES_tradnl"/>
              </w:rPr>
            </w:pPr>
            <w:r w:rsidRPr="004C1EAF">
              <w:rPr>
                <w:b/>
                <w:bCs/>
                <w:color w:val="000000"/>
                <w:sz w:val="20"/>
                <w:szCs w:val="20"/>
                <w:lang w:val="es-ES_tradnl"/>
              </w:rPr>
              <w:t>2025</w:t>
            </w:r>
          </w:p>
        </w:tc>
        <w:tc>
          <w:tcPr>
            <w:tcW w:w="548" w:type="pct"/>
          </w:tcPr>
          <w:p w14:paraId="50468B26" w14:textId="77777777" w:rsidR="004C1EAF" w:rsidRPr="004C1EAF" w:rsidRDefault="004C1EAF" w:rsidP="00C70454">
            <w:pPr>
              <w:jc w:val="center"/>
              <w:rPr>
                <w:b/>
                <w:sz w:val="20"/>
                <w:lang w:val="es-ES_tradnl"/>
              </w:rPr>
            </w:pPr>
            <w:r w:rsidRPr="004C1EAF">
              <w:rPr>
                <w:b/>
                <w:bCs/>
                <w:color w:val="000000"/>
                <w:sz w:val="20"/>
                <w:szCs w:val="20"/>
                <w:lang w:val="es-ES_tradnl"/>
              </w:rPr>
              <w:t>2026-2029</w:t>
            </w:r>
          </w:p>
        </w:tc>
        <w:tc>
          <w:tcPr>
            <w:tcW w:w="380" w:type="pct"/>
          </w:tcPr>
          <w:p w14:paraId="3D54FE22" w14:textId="77777777" w:rsidR="004C1EAF" w:rsidRPr="004C1EAF" w:rsidRDefault="004C1EAF" w:rsidP="00C70454">
            <w:pPr>
              <w:jc w:val="center"/>
              <w:rPr>
                <w:b/>
                <w:sz w:val="20"/>
                <w:lang w:val="es-ES_tradnl"/>
              </w:rPr>
            </w:pPr>
            <w:r w:rsidRPr="004C1EAF">
              <w:rPr>
                <w:b/>
                <w:bCs/>
                <w:color w:val="000000"/>
                <w:sz w:val="20"/>
                <w:szCs w:val="20"/>
                <w:lang w:val="es-ES_tradnl"/>
              </w:rPr>
              <w:t>2030</w:t>
            </w:r>
          </w:p>
        </w:tc>
        <w:tc>
          <w:tcPr>
            <w:tcW w:w="478" w:type="pct"/>
            <w:shd w:val="clear" w:color="auto" w:fill="auto"/>
          </w:tcPr>
          <w:p w14:paraId="00A62337" w14:textId="77777777" w:rsidR="004C1EAF" w:rsidRPr="004C1EAF" w:rsidRDefault="004C1EAF" w:rsidP="00C70454">
            <w:pPr>
              <w:jc w:val="center"/>
              <w:rPr>
                <w:b/>
                <w:sz w:val="20"/>
                <w:lang w:val="es-ES_tradnl"/>
              </w:rPr>
            </w:pPr>
            <w:r w:rsidRPr="004C1EAF">
              <w:rPr>
                <w:b/>
                <w:sz w:val="20"/>
                <w:lang w:val="es-ES_tradnl"/>
              </w:rPr>
              <w:t>Total</w:t>
            </w:r>
          </w:p>
        </w:tc>
      </w:tr>
      <w:tr w:rsidR="004C1EAF" w:rsidRPr="004C1EAF" w14:paraId="2DD2D28D" w14:textId="77777777" w:rsidTr="004C1EAF">
        <w:trPr>
          <w:trHeight w:val="65"/>
        </w:trPr>
        <w:tc>
          <w:tcPr>
            <w:tcW w:w="2127" w:type="pct"/>
            <w:gridSpan w:val="3"/>
            <w:shd w:val="clear" w:color="auto" w:fill="auto"/>
          </w:tcPr>
          <w:p w14:paraId="545E06F6" w14:textId="77777777" w:rsidR="004C1EAF" w:rsidRPr="004C1EAF" w:rsidRDefault="004C1EAF" w:rsidP="00C70454">
            <w:pPr>
              <w:tabs>
                <w:tab w:val="left" w:pos="8280"/>
              </w:tabs>
              <w:spacing w:after="60"/>
              <w:jc w:val="left"/>
              <w:rPr>
                <w:sz w:val="20"/>
                <w:lang w:val="es-ES_tradnl"/>
              </w:rPr>
            </w:pPr>
            <w:r w:rsidRPr="004C1EAF">
              <w:rPr>
                <w:sz w:val="20"/>
                <w:lang w:val="es-ES_tradnl"/>
              </w:rPr>
              <w:t>Límites de consumo del Protocolo de Montreal (toneladas PAO)</w:t>
            </w:r>
          </w:p>
        </w:tc>
        <w:tc>
          <w:tcPr>
            <w:tcW w:w="479" w:type="pct"/>
            <w:shd w:val="clear" w:color="auto" w:fill="auto"/>
          </w:tcPr>
          <w:p w14:paraId="363DEF48"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0,71</w:t>
            </w:r>
          </w:p>
        </w:tc>
        <w:tc>
          <w:tcPr>
            <w:tcW w:w="569" w:type="pct"/>
          </w:tcPr>
          <w:p w14:paraId="01117B92"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0,71</w:t>
            </w:r>
          </w:p>
        </w:tc>
        <w:tc>
          <w:tcPr>
            <w:tcW w:w="418" w:type="pct"/>
          </w:tcPr>
          <w:p w14:paraId="16BE3E6C"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0,35</w:t>
            </w:r>
          </w:p>
        </w:tc>
        <w:tc>
          <w:tcPr>
            <w:tcW w:w="548" w:type="pct"/>
          </w:tcPr>
          <w:p w14:paraId="1B6D796C"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0,35</w:t>
            </w:r>
          </w:p>
        </w:tc>
        <w:tc>
          <w:tcPr>
            <w:tcW w:w="380" w:type="pct"/>
          </w:tcPr>
          <w:p w14:paraId="51D7EE7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78" w:type="pct"/>
          </w:tcPr>
          <w:p w14:paraId="63E39B89" w14:textId="77777777" w:rsidR="004C1EAF" w:rsidRPr="004C1EAF" w:rsidRDefault="004C1EAF" w:rsidP="00C70454">
            <w:pPr>
              <w:tabs>
                <w:tab w:val="left" w:pos="8280"/>
              </w:tabs>
              <w:spacing w:after="60"/>
              <w:jc w:val="right"/>
              <w:rPr>
                <w:sz w:val="20"/>
                <w:lang w:val="es-ES_tradnl"/>
              </w:rPr>
            </w:pPr>
            <w:r w:rsidRPr="004C1EAF">
              <w:rPr>
                <w:sz w:val="20"/>
                <w:lang w:val="es-ES_tradnl"/>
              </w:rPr>
              <w:t>n/c</w:t>
            </w:r>
          </w:p>
        </w:tc>
      </w:tr>
      <w:tr w:rsidR="004C1EAF" w:rsidRPr="004C1EAF" w14:paraId="6B2E18F3" w14:textId="77777777" w:rsidTr="004C1EAF">
        <w:trPr>
          <w:trHeight w:val="65"/>
        </w:trPr>
        <w:tc>
          <w:tcPr>
            <w:tcW w:w="2127" w:type="pct"/>
            <w:gridSpan w:val="3"/>
            <w:shd w:val="clear" w:color="auto" w:fill="auto"/>
          </w:tcPr>
          <w:p w14:paraId="0BE447C3" w14:textId="77777777" w:rsidR="004C1EAF" w:rsidRPr="004C1EAF" w:rsidRDefault="004C1EAF" w:rsidP="00C70454">
            <w:pPr>
              <w:tabs>
                <w:tab w:val="left" w:pos="8280"/>
              </w:tabs>
              <w:spacing w:after="60"/>
              <w:jc w:val="left"/>
              <w:rPr>
                <w:sz w:val="20"/>
                <w:lang w:val="es-ES_tradnl"/>
              </w:rPr>
            </w:pPr>
            <w:r w:rsidRPr="004C1EAF">
              <w:rPr>
                <w:sz w:val="20"/>
                <w:lang w:val="es-ES_tradnl"/>
              </w:rPr>
              <w:t>Consumo máximo permitido (toneladas PAO)</w:t>
            </w:r>
          </w:p>
        </w:tc>
        <w:tc>
          <w:tcPr>
            <w:tcW w:w="479" w:type="pct"/>
            <w:shd w:val="clear" w:color="auto" w:fill="auto"/>
          </w:tcPr>
          <w:p w14:paraId="4FA1C3D4"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0,67</w:t>
            </w:r>
          </w:p>
        </w:tc>
        <w:tc>
          <w:tcPr>
            <w:tcW w:w="569" w:type="pct"/>
          </w:tcPr>
          <w:p w14:paraId="0BE27A81"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0,60</w:t>
            </w:r>
          </w:p>
        </w:tc>
        <w:tc>
          <w:tcPr>
            <w:tcW w:w="418" w:type="pct"/>
          </w:tcPr>
          <w:p w14:paraId="0A825C37"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0,35</w:t>
            </w:r>
          </w:p>
        </w:tc>
        <w:tc>
          <w:tcPr>
            <w:tcW w:w="548" w:type="pct"/>
          </w:tcPr>
          <w:p w14:paraId="46186A0B"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0,35</w:t>
            </w:r>
          </w:p>
        </w:tc>
        <w:tc>
          <w:tcPr>
            <w:tcW w:w="380" w:type="pct"/>
          </w:tcPr>
          <w:p w14:paraId="31A90D7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78" w:type="pct"/>
          </w:tcPr>
          <w:p w14:paraId="3D75CC5E" w14:textId="77777777" w:rsidR="004C1EAF" w:rsidRPr="004C1EAF" w:rsidRDefault="004C1EAF" w:rsidP="00C70454">
            <w:pPr>
              <w:tabs>
                <w:tab w:val="left" w:pos="8280"/>
              </w:tabs>
              <w:spacing w:after="60"/>
              <w:jc w:val="right"/>
              <w:rPr>
                <w:sz w:val="20"/>
                <w:lang w:val="es-ES_tradnl"/>
              </w:rPr>
            </w:pPr>
            <w:r w:rsidRPr="004C1EAF">
              <w:rPr>
                <w:sz w:val="20"/>
                <w:lang w:val="es-ES_tradnl"/>
              </w:rPr>
              <w:t>n/c</w:t>
            </w:r>
          </w:p>
        </w:tc>
      </w:tr>
      <w:tr w:rsidR="004C1EAF" w:rsidRPr="004C1EAF" w14:paraId="172F6878" w14:textId="77777777" w:rsidTr="004C1EAF">
        <w:trPr>
          <w:trHeight w:val="205"/>
        </w:trPr>
        <w:tc>
          <w:tcPr>
            <w:tcW w:w="627" w:type="pct"/>
            <w:vMerge w:val="restart"/>
            <w:shd w:val="clear" w:color="auto" w:fill="auto"/>
          </w:tcPr>
          <w:p w14:paraId="62800435" w14:textId="77777777" w:rsidR="004C1EAF" w:rsidRPr="004C1EAF" w:rsidRDefault="004C1EAF" w:rsidP="00C70454">
            <w:pPr>
              <w:tabs>
                <w:tab w:val="left" w:pos="8280"/>
              </w:tabs>
              <w:spacing w:after="60"/>
              <w:jc w:val="left"/>
              <w:rPr>
                <w:sz w:val="20"/>
                <w:lang w:val="es-ES_tradnl"/>
              </w:rPr>
            </w:pPr>
            <w:r w:rsidRPr="004C1EAF">
              <w:rPr>
                <w:sz w:val="20"/>
                <w:szCs w:val="20"/>
                <w:lang w:val="es-ES_tradnl"/>
              </w:rPr>
              <w:t>Costo</w:t>
            </w:r>
            <w:r w:rsidRPr="004C1EAF">
              <w:rPr>
                <w:sz w:val="20"/>
                <w:lang w:val="es-ES_tradnl"/>
              </w:rPr>
              <w:t xml:space="preserve"> del proyecto solicitado en principio ($EUA)</w:t>
            </w:r>
          </w:p>
        </w:tc>
        <w:tc>
          <w:tcPr>
            <w:tcW w:w="540" w:type="pct"/>
            <w:vMerge w:val="restart"/>
            <w:shd w:val="clear" w:color="auto" w:fill="auto"/>
            <w:vAlign w:val="center"/>
          </w:tcPr>
          <w:p w14:paraId="642E4EAD" w14:textId="77777777" w:rsidR="004C1EAF" w:rsidRPr="004C1EAF" w:rsidRDefault="004C1EAF" w:rsidP="00C70454">
            <w:pPr>
              <w:tabs>
                <w:tab w:val="left" w:pos="8280"/>
              </w:tabs>
              <w:spacing w:after="60"/>
              <w:jc w:val="center"/>
              <w:rPr>
                <w:sz w:val="20"/>
                <w:lang w:val="es-ES_tradnl"/>
              </w:rPr>
            </w:pPr>
            <w:r w:rsidRPr="004C1EAF">
              <w:rPr>
                <w:color w:val="000000" w:themeColor="text1"/>
                <w:sz w:val="20"/>
                <w:lang w:val="es-ES_tradnl"/>
              </w:rPr>
              <w:t>PNUMA</w:t>
            </w:r>
          </w:p>
        </w:tc>
        <w:tc>
          <w:tcPr>
            <w:tcW w:w="960" w:type="pct"/>
            <w:shd w:val="clear" w:color="auto" w:fill="auto"/>
          </w:tcPr>
          <w:p w14:paraId="5F8D327D" w14:textId="77777777" w:rsidR="004C1EAF" w:rsidRPr="004C1EAF" w:rsidRDefault="004C1EAF" w:rsidP="00C70454">
            <w:pPr>
              <w:tabs>
                <w:tab w:val="left" w:pos="8280"/>
              </w:tabs>
              <w:spacing w:after="60"/>
              <w:jc w:val="left"/>
              <w:rPr>
                <w:sz w:val="20"/>
                <w:lang w:val="es-ES_tradnl"/>
              </w:rPr>
            </w:pPr>
            <w:r w:rsidRPr="004C1EAF">
              <w:rPr>
                <w:sz w:val="20"/>
                <w:lang w:val="es-ES_tradnl"/>
              </w:rPr>
              <w:t>Costo del proyecto</w:t>
            </w:r>
          </w:p>
        </w:tc>
        <w:tc>
          <w:tcPr>
            <w:tcW w:w="479" w:type="pct"/>
            <w:shd w:val="clear" w:color="auto" w:fill="auto"/>
          </w:tcPr>
          <w:p w14:paraId="46D6D7FA"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115.000</w:t>
            </w:r>
          </w:p>
        </w:tc>
        <w:tc>
          <w:tcPr>
            <w:tcW w:w="569" w:type="pct"/>
          </w:tcPr>
          <w:p w14:paraId="3B28613F"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18" w:type="pct"/>
          </w:tcPr>
          <w:p w14:paraId="1727760C"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135.000</w:t>
            </w:r>
          </w:p>
        </w:tc>
        <w:tc>
          <w:tcPr>
            <w:tcW w:w="548" w:type="pct"/>
          </w:tcPr>
          <w:p w14:paraId="5FE85AC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380" w:type="pct"/>
          </w:tcPr>
          <w:p w14:paraId="6FEED1B7"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75.000</w:t>
            </w:r>
          </w:p>
        </w:tc>
        <w:tc>
          <w:tcPr>
            <w:tcW w:w="478" w:type="pct"/>
          </w:tcPr>
          <w:p w14:paraId="37F04262"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325.000</w:t>
            </w:r>
          </w:p>
        </w:tc>
      </w:tr>
      <w:tr w:rsidR="004C1EAF" w:rsidRPr="004C1EAF" w14:paraId="2E139D2D" w14:textId="77777777" w:rsidTr="004C1EAF">
        <w:trPr>
          <w:trHeight w:val="267"/>
        </w:trPr>
        <w:tc>
          <w:tcPr>
            <w:tcW w:w="627" w:type="pct"/>
            <w:vMerge/>
            <w:shd w:val="clear" w:color="auto" w:fill="auto"/>
          </w:tcPr>
          <w:p w14:paraId="10C78648" w14:textId="77777777" w:rsidR="004C1EAF" w:rsidRPr="004C1EAF" w:rsidRDefault="004C1EAF" w:rsidP="00C70454">
            <w:pPr>
              <w:tabs>
                <w:tab w:val="left" w:pos="8280"/>
              </w:tabs>
              <w:spacing w:after="60"/>
              <w:jc w:val="left"/>
              <w:rPr>
                <w:sz w:val="20"/>
                <w:lang w:val="es-ES_tradnl"/>
              </w:rPr>
            </w:pPr>
          </w:p>
        </w:tc>
        <w:tc>
          <w:tcPr>
            <w:tcW w:w="540" w:type="pct"/>
            <w:vMerge/>
            <w:shd w:val="clear" w:color="auto" w:fill="auto"/>
            <w:vAlign w:val="center"/>
          </w:tcPr>
          <w:p w14:paraId="517744F5" w14:textId="77777777" w:rsidR="004C1EAF" w:rsidRPr="004C1EAF" w:rsidRDefault="004C1EAF" w:rsidP="00C70454">
            <w:pPr>
              <w:tabs>
                <w:tab w:val="left" w:pos="8280"/>
              </w:tabs>
              <w:spacing w:after="60"/>
              <w:jc w:val="center"/>
              <w:rPr>
                <w:sz w:val="20"/>
                <w:lang w:val="es-ES_tradnl"/>
              </w:rPr>
            </w:pPr>
          </w:p>
        </w:tc>
        <w:tc>
          <w:tcPr>
            <w:tcW w:w="960" w:type="pct"/>
            <w:shd w:val="clear" w:color="auto" w:fill="auto"/>
          </w:tcPr>
          <w:p w14:paraId="679D4BCF" w14:textId="77777777" w:rsidR="004C1EAF" w:rsidRPr="004C1EAF" w:rsidRDefault="004C1EAF" w:rsidP="00C70454">
            <w:pPr>
              <w:tabs>
                <w:tab w:val="left" w:pos="8280"/>
              </w:tabs>
              <w:spacing w:after="60"/>
              <w:jc w:val="left"/>
              <w:rPr>
                <w:sz w:val="20"/>
                <w:lang w:val="es-ES_tradnl"/>
              </w:rPr>
            </w:pPr>
            <w:r w:rsidRPr="004C1EAF">
              <w:rPr>
                <w:sz w:val="20"/>
                <w:lang w:val="es-ES_tradnl"/>
              </w:rPr>
              <w:t>Gastos de apoyo</w:t>
            </w:r>
          </w:p>
        </w:tc>
        <w:tc>
          <w:tcPr>
            <w:tcW w:w="479" w:type="pct"/>
            <w:shd w:val="clear" w:color="auto" w:fill="auto"/>
          </w:tcPr>
          <w:p w14:paraId="1872381E"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14.950</w:t>
            </w:r>
          </w:p>
        </w:tc>
        <w:tc>
          <w:tcPr>
            <w:tcW w:w="569" w:type="pct"/>
          </w:tcPr>
          <w:p w14:paraId="70DF8A4C"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18" w:type="pct"/>
          </w:tcPr>
          <w:p w14:paraId="4AC976AD"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17.550</w:t>
            </w:r>
          </w:p>
        </w:tc>
        <w:tc>
          <w:tcPr>
            <w:tcW w:w="548" w:type="pct"/>
          </w:tcPr>
          <w:p w14:paraId="2DDAA86F"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380" w:type="pct"/>
          </w:tcPr>
          <w:p w14:paraId="387C7F25"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9.750</w:t>
            </w:r>
          </w:p>
        </w:tc>
        <w:tc>
          <w:tcPr>
            <w:tcW w:w="478" w:type="pct"/>
          </w:tcPr>
          <w:p w14:paraId="1B267999"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42.250</w:t>
            </w:r>
          </w:p>
        </w:tc>
      </w:tr>
      <w:tr w:rsidR="004C1EAF" w:rsidRPr="004C1EAF" w14:paraId="3817DB64" w14:textId="77777777" w:rsidTr="004C1EAF">
        <w:trPr>
          <w:trHeight w:val="65"/>
        </w:trPr>
        <w:tc>
          <w:tcPr>
            <w:tcW w:w="627" w:type="pct"/>
            <w:vMerge/>
            <w:shd w:val="clear" w:color="auto" w:fill="auto"/>
          </w:tcPr>
          <w:p w14:paraId="4181A2D6" w14:textId="77777777" w:rsidR="004C1EAF" w:rsidRPr="004C1EAF" w:rsidRDefault="004C1EAF" w:rsidP="00C70454">
            <w:pPr>
              <w:tabs>
                <w:tab w:val="left" w:pos="8280"/>
              </w:tabs>
              <w:spacing w:after="60"/>
              <w:jc w:val="left"/>
              <w:rPr>
                <w:sz w:val="20"/>
                <w:lang w:val="es-ES_tradnl"/>
              </w:rPr>
            </w:pPr>
          </w:p>
        </w:tc>
        <w:tc>
          <w:tcPr>
            <w:tcW w:w="540" w:type="pct"/>
            <w:vMerge w:val="restart"/>
            <w:shd w:val="clear" w:color="auto" w:fill="auto"/>
            <w:vAlign w:val="center"/>
          </w:tcPr>
          <w:p w14:paraId="2550BD44" w14:textId="77777777" w:rsidR="004C1EAF" w:rsidRPr="004C1EAF" w:rsidRDefault="004C1EAF" w:rsidP="00C70454">
            <w:pPr>
              <w:tabs>
                <w:tab w:val="left" w:pos="8280"/>
              </w:tabs>
              <w:spacing w:after="60"/>
              <w:jc w:val="center"/>
              <w:rPr>
                <w:sz w:val="20"/>
                <w:lang w:val="es-ES_tradnl"/>
              </w:rPr>
            </w:pPr>
            <w:r w:rsidRPr="004C1EAF">
              <w:rPr>
                <w:color w:val="000000" w:themeColor="text1"/>
                <w:sz w:val="20"/>
                <w:lang w:val="es-ES_tradnl"/>
              </w:rPr>
              <w:t>ONUDI</w:t>
            </w:r>
          </w:p>
        </w:tc>
        <w:tc>
          <w:tcPr>
            <w:tcW w:w="960" w:type="pct"/>
            <w:shd w:val="clear" w:color="auto" w:fill="auto"/>
          </w:tcPr>
          <w:p w14:paraId="2579A528" w14:textId="77777777" w:rsidR="004C1EAF" w:rsidRPr="004C1EAF" w:rsidRDefault="004C1EAF" w:rsidP="00C70454">
            <w:pPr>
              <w:tabs>
                <w:tab w:val="left" w:pos="8280"/>
              </w:tabs>
              <w:spacing w:after="60"/>
              <w:jc w:val="left"/>
              <w:rPr>
                <w:sz w:val="20"/>
                <w:lang w:val="es-ES_tradnl"/>
              </w:rPr>
            </w:pPr>
            <w:r w:rsidRPr="004C1EAF">
              <w:rPr>
                <w:sz w:val="20"/>
                <w:lang w:val="es-ES_tradnl"/>
              </w:rPr>
              <w:t>Costo del proyecto</w:t>
            </w:r>
          </w:p>
        </w:tc>
        <w:tc>
          <w:tcPr>
            <w:tcW w:w="479" w:type="pct"/>
            <w:shd w:val="clear" w:color="auto" w:fill="auto"/>
          </w:tcPr>
          <w:p w14:paraId="46C1C600"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105.000</w:t>
            </w:r>
          </w:p>
        </w:tc>
        <w:tc>
          <w:tcPr>
            <w:tcW w:w="569" w:type="pct"/>
          </w:tcPr>
          <w:p w14:paraId="12D5B902"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18" w:type="pct"/>
          </w:tcPr>
          <w:p w14:paraId="2C272E6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110.000</w:t>
            </w:r>
          </w:p>
        </w:tc>
        <w:tc>
          <w:tcPr>
            <w:tcW w:w="548" w:type="pct"/>
          </w:tcPr>
          <w:p w14:paraId="762B4954"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380" w:type="pct"/>
          </w:tcPr>
          <w:p w14:paraId="75A912A6"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78" w:type="pct"/>
          </w:tcPr>
          <w:p w14:paraId="723D6350"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215.000</w:t>
            </w:r>
          </w:p>
        </w:tc>
      </w:tr>
      <w:tr w:rsidR="004C1EAF" w:rsidRPr="004C1EAF" w14:paraId="0CF770A2" w14:textId="77777777" w:rsidTr="004C1EAF">
        <w:trPr>
          <w:trHeight w:val="77"/>
        </w:trPr>
        <w:tc>
          <w:tcPr>
            <w:tcW w:w="627" w:type="pct"/>
            <w:vMerge/>
            <w:shd w:val="clear" w:color="auto" w:fill="auto"/>
          </w:tcPr>
          <w:p w14:paraId="06485164" w14:textId="77777777" w:rsidR="004C1EAF" w:rsidRPr="004C1EAF" w:rsidRDefault="004C1EAF" w:rsidP="00C70454">
            <w:pPr>
              <w:tabs>
                <w:tab w:val="left" w:pos="8280"/>
              </w:tabs>
              <w:spacing w:after="60"/>
              <w:jc w:val="center"/>
              <w:rPr>
                <w:sz w:val="20"/>
                <w:lang w:val="es-ES_tradnl"/>
              </w:rPr>
            </w:pPr>
          </w:p>
        </w:tc>
        <w:tc>
          <w:tcPr>
            <w:tcW w:w="540" w:type="pct"/>
            <w:vMerge/>
            <w:shd w:val="clear" w:color="auto" w:fill="auto"/>
          </w:tcPr>
          <w:p w14:paraId="1F671670" w14:textId="77777777" w:rsidR="004C1EAF" w:rsidRPr="004C1EAF" w:rsidRDefault="004C1EAF" w:rsidP="00C70454">
            <w:pPr>
              <w:tabs>
                <w:tab w:val="left" w:pos="8280"/>
              </w:tabs>
              <w:spacing w:after="60"/>
              <w:jc w:val="center"/>
              <w:rPr>
                <w:sz w:val="20"/>
                <w:lang w:val="es-ES_tradnl"/>
              </w:rPr>
            </w:pPr>
          </w:p>
        </w:tc>
        <w:tc>
          <w:tcPr>
            <w:tcW w:w="960" w:type="pct"/>
            <w:shd w:val="clear" w:color="auto" w:fill="auto"/>
          </w:tcPr>
          <w:p w14:paraId="50D48780" w14:textId="77777777" w:rsidR="004C1EAF" w:rsidRPr="004C1EAF" w:rsidRDefault="004C1EAF" w:rsidP="00C70454">
            <w:pPr>
              <w:tabs>
                <w:tab w:val="left" w:pos="8280"/>
              </w:tabs>
              <w:spacing w:after="60"/>
              <w:jc w:val="left"/>
              <w:rPr>
                <w:sz w:val="20"/>
                <w:lang w:val="es-ES_tradnl"/>
              </w:rPr>
            </w:pPr>
            <w:r w:rsidRPr="004C1EAF">
              <w:rPr>
                <w:sz w:val="20"/>
                <w:lang w:val="es-ES_tradnl"/>
              </w:rPr>
              <w:t>Gastos de apoyo</w:t>
            </w:r>
          </w:p>
        </w:tc>
        <w:tc>
          <w:tcPr>
            <w:tcW w:w="479" w:type="pct"/>
            <w:shd w:val="clear" w:color="auto" w:fill="auto"/>
          </w:tcPr>
          <w:p w14:paraId="045F17EA"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9.450</w:t>
            </w:r>
          </w:p>
        </w:tc>
        <w:tc>
          <w:tcPr>
            <w:tcW w:w="569" w:type="pct"/>
          </w:tcPr>
          <w:p w14:paraId="4F251A6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18" w:type="pct"/>
          </w:tcPr>
          <w:p w14:paraId="5D72328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9.900</w:t>
            </w:r>
          </w:p>
        </w:tc>
        <w:tc>
          <w:tcPr>
            <w:tcW w:w="548" w:type="pct"/>
          </w:tcPr>
          <w:p w14:paraId="0108B0AC"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380" w:type="pct"/>
          </w:tcPr>
          <w:p w14:paraId="456E6B3C"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78" w:type="pct"/>
          </w:tcPr>
          <w:p w14:paraId="3814B1D8"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19.350</w:t>
            </w:r>
          </w:p>
        </w:tc>
      </w:tr>
      <w:tr w:rsidR="004C1EAF" w:rsidRPr="004C1EAF" w14:paraId="16CBD31D" w14:textId="77777777" w:rsidTr="004C1EAF">
        <w:trPr>
          <w:trHeight w:val="153"/>
        </w:trPr>
        <w:tc>
          <w:tcPr>
            <w:tcW w:w="2127" w:type="pct"/>
            <w:gridSpan w:val="3"/>
            <w:shd w:val="clear" w:color="auto" w:fill="auto"/>
          </w:tcPr>
          <w:p w14:paraId="0BA89D12" w14:textId="77777777" w:rsidR="004C1EAF" w:rsidRPr="004C1EAF" w:rsidRDefault="004C1EAF" w:rsidP="00C70454">
            <w:pPr>
              <w:tabs>
                <w:tab w:val="left" w:pos="8280"/>
              </w:tabs>
              <w:spacing w:after="60"/>
              <w:jc w:val="left"/>
              <w:rPr>
                <w:sz w:val="20"/>
                <w:lang w:val="es-ES_tradnl"/>
              </w:rPr>
            </w:pPr>
            <w:r w:rsidRPr="004C1EAF">
              <w:rPr>
                <w:sz w:val="20"/>
                <w:lang w:val="es-ES_tradnl"/>
              </w:rPr>
              <w:t>Costo total del proyecto recomendado en principio ($EUA)</w:t>
            </w:r>
          </w:p>
        </w:tc>
        <w:tc>
          <w:tcPr>
            <w:tcW w:w="479" w:type="pct"/>
            <w:shd w:val="clear" w:color="auto" w:fill="auto"/>
          </w:tcPr>
          <w:p w14:paraId="5E9E6114"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220.000</w:t>
            </w:r>
          </w:p>
        </w:tc>
        <w:tc>
          <w:tcPr>
            <w:tcW w:w="569" w:type="pct"/>
          </w:tcPr>
          <w:p w14:paraId="7CFF162D"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18" w:type="pct"/>
          </w:tcPr>
          <w:p w14:paraId="6102BB59"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245.000</w:t>
            </w:r>
          </w:p>
        </w:tc>
        <w:tc>
          <w:tcPr>
            <w:tcW w:w="548" w:type="pct"/>
          </w:tcPr>
          <w:p w14:paraId="40DA410A"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380" w:type="pct"/>
          </w:tcPr>
          <w:p w14:paraId="0FFDF234"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75.000</w:t>
            </w:r>
          </w:p>
        </w:tc>
        <w:tc>
          <w:tcPr>
            <w:tcW w:w="478" w:type="pct"/>
          </w:tcPr>
          <w:p w14:paraId="1C417901"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540.000</w:t>
            </w:r>
          </w:p>
        </w:tc>
      </w:tr>
      <w:tr w:rsidR="004C1EAF" w:rsidRPr="004C1EAF" w14:paraId="19312BDC" w14:textId="77777777" w:rsidTr="004C1EAF">
        <w:trPr>
          <w:trHeight w:val="194"/>
        </w:trPr>
        <w:tc>
          <w:tcPr>
            <w:tcW w:w="2127" w:type="pct"/>
            <w:gridSpan w:val="3"/>
            <w:shd w:val="clear" w:color="auto" w:fill="auto"/>
          </w:tcPr>
          <w:p w14:paraId="246EB868" w14:textId="77777777" w:rsidR="004C1EAF" w:rsidRPr="004C1EAF" w:rsidRDefault="004C1EAF" w:rsidP="00C70454">
            <w:pPr>
              <w:tabs>
                <w:tab w:val="left" w:pos="8280"/>
              </w:tabs>
              <w:spacing w:after="60"/>
              <w:jc w:val="left"/>
              <w:rPr>
                <w:sz w:val="20"/>
                <w:lang w:val="es-ES_tradnl"/>
              </w:rPr>
            </w:pPr>
            <w:r w:rsidRPr="004C1EAF">
              <w:rPr>
                <w:sz w:val="20"/>
                <w:lang w:val="es-ES_tradnl"/>
              </w:rPr>
              <w:t>Total de gastos de apoyo recomendados en principio ($EUA)</w:t>
            </w:r>
          </w:p>
        </w:tc>
        <w:tc>
          <w:tcPr>
            <w:tcW w:w="479" w:type="pct"/>
            <w:shd w:val="clear" w:color="auto" w:fill="auto"/>
          </w:tcPr>
          <w:p w14:paraId="46A5427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24.400</w:t>
            </w:r>
          </w:p>
        </w:tc>
        <w:tc>
          <w:tcPr>
            <w:tcW w:w="569" w:type="pct"/>
          </w:tcPr>
          <w:p w14:paraId="4CF3195B"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18" w:type="pct"/>
          </w:tcPr>
          <w:p w14:paraId="2520A14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27.450</w:t>
            </w:r>
          </w:p>
        </w:tc>
        <w:tc>
          <w:tcPr>
            <w:tcW w:w="548" w:type="pct"/>
          </w:tcPr>
          <w:p w14:paraId="6FD73BB6"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380" w:type="pct"/>
          </w:tcPr>
          <w:p w14:paraId="2F1AB40C"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9.750</w:t>
            </w:r>
          </w:p>
        </w:tc>
        <w:tc>
          <w:tcPr>
            <w:tcW w:w="478" w:type="pct"/>
          </w:tcPr>
          <w:p w14:paraId="2E79FED0"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61.600</w:t>
            </w:r>
          </w:p>
        </w:tc>
      </w:tr>
      <w:tr w:rsidR="004C1EAF" w:rsidRPr="004C1EAF" w14:paraId="035406B0" w14:textId="77777777" w:rsidTr="004C1EAF">
        <w:trPr>
          <w:trHeight w:val="92"/>
        </w:trPr>
        <w:tc>
          <w:tcPr>
            <w:tcW w:w="2127" w:type="pct"/>
            <w:gridSpan w:val="3"/>
            <w:shd w:val="clear" w:color="auto" w:fill="auto"/>
          </w:tcPr>
          <w:p w14:paraId="0E6C568A" w14:textId="77777777" w:rsidR="004C1EAF" w:rsidRPr="004C1EAF" w:rsidRDefault="004C1EAF" w:rsidP="00C70454">
            <w:pPr>
              <w:tabs>
                <w:tab w:val="left" w:pos="8280"/>
              </w:tabs>
              <w:spacing w:after="60"/>
              <w:jc w:val="left"/>
              <w:rPr>
                <w:sz w:val="20"/>
                <w:lang w:val="es-ES_tradnl"/>
              </w:rPr>
            </w:pPr>
            <w:r w:rsidRPr="004C1EAF">
              <w:rPr>
                <w:sz w:val="20"/>
                <w:lang w:val="es-ES_tradnl"/>
              </w:rPr>
              <w:t>Total de financiación recomendada en principio ($EUA)</w:t>
            </w:r>
          </w:p>
        </w:tc>
        <w:tc>
          <w:tcPr>
            <w:tcW w:w="479" w:type="pct"/>
            <w:shd w:val="clear" w:color="auto" w:fill="auto"/>
          </w:tcPr>
          <w:p w14:paraId="6D40A7C6"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244.400</w:t>
            </w:r>
          </w:p>
        </w:tc>
        <w:tc>
          <w:tcPr>
            <w:tcW w:w="569" w:type="pct"/>
          </w:tcPr>
          <w:p w14:paraId="6471473F"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418" w:type="pct"/>
          </w:tcPr>
          <w:p w14:paraId="68C72083"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272.450</w:t>
            </w:r>
          </w:p>
        </w:tc>
        <w:tc>
          <w:tcPr>
            <w:tcW w:w="548" w:type="pct"/>
          </w:tcPr>
          <w:p w14:paraId="3A373F9F"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0</w:t>
            </w:r>
          </w:p>
        </w:tc>
        <w:tc>
          <w:tcPr>
            <w:tcW w:w="380" w:type="pct"/>
          </w:tcPr>
          <w:p w14:paraId="74907E2A"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84.750</w:t>
            </w:r>
          </w:p>
        </w:tc>
        <w:tc>
          <w:tcPr>
            <w:tcW w:w="478" w:type="pct"/>
          </w:tcPr>
          <w:p w14:paraId="6645156E" w14:textId="77777777" w:rsidR="004C1EAF" w:rsidRPr="004C1EAF" w:rsidRDefault="004C1EAF" w:rsidP="00C70454">
            <w:pPr>
              <w:tabs>
                <w:tab w:val="left" w:pos="8280"/>
              </w:tabs>
              <w:spacing w:after="60"/>
              <w:jc w:val="right"/>
              <w:rPr>
                <w:sz w:val="20"/>
                <w:lang w:val="es-ES_tradnl"/>
              </w:rPr>
            </w:pPr>
            <w:r w:rsidRPr="004C1EAF">
              <w:rPr>
                <w:color w:val="000000"/>
                <w:sz w:val="20"/>
                <w:szCs w:val="20"/>
                <w:lang w:val="es-ES_tradnl"/>
              </w:rPr>
              <w:t>601.600</w:t>
            </w:r>
          </w:p>
        </w:tc>
      </w:tr>
      <w:bookmarkEnd w:id="0"/>
    </w:tbl>
    <w:p w14:paraId="49914CBA" w14:textId="77777777" w:rsidR="004C1EAF" w:rsidRPr="004C1EAF" w:rsidRDefault="004C1EAF" w:rsidP="004C1EAF">
      <w:pPr>
        <w:rPr>
          <w:sz w:val="16"/>
          <w:szCs w:val="16"/>
          <w:lang w:val="es-ES_tradnl"/>
        </w:rPr>
      </w:pPr>
    </w:p>
    <w:tbl>
      <w:tblPr>
        <w:tblStyle w:val="TableGrid10"/>
        <w:tblW w:w="5309" w:type="pct"/>
        <w:tblInd w:w="-113" w:type="dxa"/>
        <w:tblLook w:val="04A0" w:firstRow="1" w:lastRow="0" w:firstColumn="1" w:lastColumn="0" w:noHBand="0" w:noVBand="1"/>
      </w:tblPr>
      <w:tblGrid>
        <w:gridCol w:w="3187"/>
        <w:gridCol w:w="3412"/>
        <w:gridCol w:w="3569"/>
      </w:tblGrid>
      <w:tr w:rsidR="004C1EAF" w:rsidRPr="00AC613F" w14:paraId="41CAB798" w14:textId="77777777" w:rsidTr="00C70454">
        <w:trPr>
          <w:trHeight w:hRule="exact" w:val="227"/>
        </w:trPr>
        <w:tc>
          <w:tcPr>
            <w:tcW w:w="5000" w:type="pct"/>
            <w:gridSpan w:val="3"/>
            <w:shd w:val="clear" w:color="auto" w:fill="auto"/>
          </w:tcPr>
          <w:p w14:paraId="66395DA7" w14:textId="77777777" w:rsidR="004C1EAF" w:rsidRPr="004C1EAF" w:rsidRDefault="004C1EAF" w:rsidP="00C70454">
            <w:pPr>
              <w:rPr>
                <w:b/>
                <w:color w:val="000000" w:themeColor="text1"/>
                <w:sz w:val="20"/>
                <w:lang w:val="es-ES_tradnl"/>
              </w:rPr>
            </w:pPr>
            <w:r w:rsidRPr="004C1EAF">
              <w:rPr>
                <w:b/>
                <w:color w:val="000000" w:themeColor="text1"/>
                <w:sz w:val="20"/>
                <w:lang w:val="es-ES_tradnl"/>
              </w:rPr>
              <w:t>VII) Solicitud de financiación del primer tramo (2022)</w:t>
            </w:r>
          </w:p>
        </w:tc>
      </w:tr>
      <w:tr w:rsidR="004C1EAF" w:rsidRPr="004C1EAF" w14:paraId="605A2933" w14:textId="77777777" w:rsidTr="00C70454">
        <w:trPr>
          <w:trHeight w:hRule="exact" w:val="227"/>
        </w:trPr>
        <w:tc>
          <w:tcPr>
            <w:tcW w:w="1567" w:type="pct"/>
            <w:shd w:val="clear" w:color="auto" w:fill="auto"/>
          </w:tcPr>
          <w:p w14:paraId="18F21996" w14:textId="77777777" w:rsidR="004C1EAF" w:rsidRPr="004C1EAF" w:rsidRDefault="004C1EAF" w:rsidP="00C70454">
            <w:pPr>
              <w:jc w:val="center"/>
              <w:rPr>
                <w:b/>
                <w:color w:val="000000" w:themeColor="text1"/>
                <w:sz w:val="20"/>
                <w:lang w:val="es-ES_tradnl"/>
              </w:rPr>
            </w:pPr>
            <w:r w:rsidRPr="004C1EAF">
              <w:rPr>
                <w:b/>
                <w:color w:val="000000" w:themeColor="text1"/>
                <w:sz w:val="20"/>
                <w:lang w:val="es-ES_tradnl"/>
              </w:rPr>
              <w:t>Organismo de ejecución</w:t>
            </w:r>
          </w:p>
        </w:tc>
        <w:tc>
          <w:tcPr>
            <w:tcW w:w="1678" w:type="pct"/>
            <w:shd w:val="clear" w:color="auto" w:fill="auto"/>
          </w:tcPr>
          <w:p w14:paraId="1ACC6164" w14:textId="77777777" w:rsidR="004C1EAF" w:rsidRPr="004C1EAF" w:rsidRDefault="004C1EAF" w:rsidP="00C70454">
            <w:pPr>
              <w:jc w:val="center"/>
              <w:rPr>
                <w:b/>
                <w:color w:val="000000" w:themeColor="text1"/>
                <w:sz w:val="20"/>
                <w:lang w:val="es-ES_tradnl"/>
              </w:rPr>
            </w:pPr>
            <w:r w:rsidRPr="004C1EAF">
              <w:rPr>
                <w:b/>
                <w:color w:val="000000" w:themeColor="text1"/>
                <w:sz w:val="20"/>
                <w:lang w:val="es-ES_tradnl"/>
              </w:rPr>
              <w:t>Financiación recomendada ($EUA)</w:t>
            </w:r>
          </w:p>
        </w:tc>
        <w:tc>
          <w:tcPr>
            <w:tcW w:w="1755" w:type="pct"/>
            <w:shd w:val="clear" w:color="auto" w:fill="auto"/>
          </w:tcPr>
          <w:p w14:paraId="2DC10143" w14:textId="77777777" w:rsidR="004C1EAF" w:rsidRPr="004C1EAF" w:rsidRDefault="004C1EAF" w:rsidP="00C70454">
            <w:pPr>
              <w:jc w:val="center"/>
              <w:rPr>
                <w:b/>
                <w:color w:val="000000" w:themeColor="text1"/>
                <w:sz w:val="20"/>
                <w:lang w:val="es-ES_tradnl"/>
              </w:rPr>
            </w:pPr>
            <w:r w:rsidRPr="004C1EAF">
              <w:rPr>
                <w:b/>
                <w:color w:val="000000" w:themeColor="text1"/>
                <w:sz w:val="20"/>
                <w:lang w:val="es-ES_tradnl"/>
              </w:rPr>
              <w:t>Gastos de apoyo ($EUA)</w:t>
            </w:r>
          </w:p>
        </w:tc>
      </w:tr>
      <w:tr w:rsidR="004C1EAF" w:rsidRPr="004C1EAF" w14:paraId="5DF2B10B" w14:textId="77777777" w:rsidTr="00C70454">
        <w:trPr>
          <w:trHeight w:hRule="exact" w:val="227"/>
        </w:trPr>
        <w:tc>
          <w:tcPr>
            <w:tcW w:w="1567" w:type="pct"/>
            <w:shd w:val="clear" w:color="auto" w:fill="auto"/>
          </w:tcPr>
          <w:p w14:paraId="7DEB7CC3" w14:textId="77777777" w:rsidR="004C1EAF" w:rsidRPr="004C1EAF" w:rsidRDefault="004C1EAF" w:rsidP="00C70454">
            <w:pPr>
              <w:rPr>
                <w:color w:val="000000" w:themeColor="text1"/>
                <w:sz w:val="20"/>
                <w:lang w:val="es-ES_tradnl"/>
              </w:rPr>
            </w:pPr>
            <w:r w:rsidRPr="004C1EAF">
              <w:rPr>
                <w:color w:val="000000" w:themeColor="text1"/>
                <w:sz w:val="20"/>
                <w:lang w:val="es-ES_tradnl"/>
              </w:rPr>
              <w:t>PNUMA</w:t>
            </w:r>
          </w:p>
        </w:tc>
        <w:tc>
          <w:tcPr>
            <w:tcW w:w="1678" w:type="pct"/>
            <w:shd w:val="clear" w:color="auto" w:fill="auto"/>
          </w:tcPr>
          <w:p w14:paraId="4E1E52FA" w14:textId="77777777" w:rsidR="004C1EAF" w:rsidRPr="004C1EAF" w:rsidRDefault="004C1EAF" w:rsidP="00C70454">
            <w:pPr>
              <w:jc w:val="right"/>
              <w:rPr>
                <w:color w:val="000000" w:themeColor="text1"/>
                <w:sz w:val="20"/>
                <w:lang w:val="es-ES_tradnl"/>
              </w:rPr>
            </w:pPr>
            <w:r w:rsidRPr="004C1EAF">
              <w:rPr>
                <w:color w:val="000000"/>
                <w:sz w:val="20"/>
                <w:szCs w:val="20"/>
                <w:lang w:val="es-ES_tradnl"/>
              </w:rPr>
              <w:t>115.000</w:t>
            </w:r>
          </w:p>
        </w:tc>
        <w:tc>
          <w:tcPr>
            <w:tcW w:w="1755" w:type="pct"/>
            <w:shd w:val="clear" w:color="auto" w:fill="auto"/>
          </w:tcPr>
          <w:p w14:paraId="7C6230AF" w14:textId="77777777" w:rsidR="004C1EAF" w:rsidRPr="004C1EAF" w:rsidRDefault="004C1EAF" w:rsidP="00C70454">
            <w:pPr>
              <w:jc w:val="right"/>
              <w:rPr>
                <w:color w:val="000000" w:themeColor="text1"/>
                <w:sz w:val="20"/>
                <w:lang w:val="es-ES_tradnl"/>
              </w:rPr>
            </w:pPr>
            <w:r w:rsidRPr="004C1EAF">
              <w:rPr>
                <w:color w:val="000000"/>
                <w:sz w:val="20"/>
                <w:szCs w:val="20"/>
                <w:lang w:val="es-ES_tradnl"/>
              </w:rPr>
              <w:t>14.950</w:t>
            </w:r>
          </w:p>
        </w:tc>
      </w:tr>
      <w:tr w:rsidR="004C1EAF" w:rsidRPr="004C1EAF" w14:paraId="3D1195F5" w14:textId="77777777" w:rsidTr="00C70454">
        <w:trPr>
          <w:trHeight w:hRule="exact" w:val="227"/>
        </w:trPr>
        <w:tc>
          <w:tcPr>
            <w:tcW w:w="1567" w:type="pct"/>
            <w:shd w:val="clear" w:color="auto" w:fill="auto"/>
          </w:tcPr>
          <w:p w14:paraId="427EDC6C" w14:textId="77777777" w:rsidR="004C1EAF" w:rsidRPr="004C1EAF" w:rsidRDefault="004C1EAF" w:rsidP="00C70454">
            <w:pPr>
              <w:rPr>
                <w:color w:val="000000" w:themeColor="text1"/>
                <w:sz w:val="20"/>
                <w:lang w:val="es-ES_tradnl"/>
              </w:rPr>
            </w:pPr>
            <w:r w:rsidRPr="004C1EAF">
              <w:rPr>
                <w:color w:val="000000" w:themeColor="text1"/>
                <w:sz w:val="20"/>
                <w:lang w:val="es-ES_tradnl"/>
              </w:rPr>
              <w:t>ONUDI</w:t>
            </w:r>
          </w:p>
        </w:tc>
        <w:tc>
          <w:tcPr>
            <w:tcW w:w="1678" w:type="pct"/>
            <w:shd w:val="clear" w:color="auto" w:fill="auto"/>
          </w:tcPr>
          <w:p w14:paraId="17DAE484" w14:textId="77777777" w:rsidR="004C1EAF" w:rsidRPr="004C1EAF" w:rsidRDefault="004C1EAF" w:rsidP="00C70454">
            <w:pPr>
              <w:jc w:val="right"/>
              <w:rPr>
                <w:color w:val="000000" w:themeColor="text1"/>
                <w:sz w:val="20"/>
                <w:lang w:val="es-ES_tradnl"/>
              </w:rPr>
            </w:pPr>
            <w:r w:rsidRPr="004C1EAF">
              <w:rPr>
                <w:color w:val="000000"/>
                <w:sz w:val="20"/>
                <w:szCs w:val="20"/>
                <w:lang w:val="es-ES_tradnl"/>
              </w:rPr>
              <w:t>105.000</w:t>
            </w:r>
          </w:p>
        </w:tc>
        <w:tc>
          <w:tcPr>
            <w:tcW w:w="1755" w:type="pct"/>
            <w:shd w:val="clear" w:color="auto" w:fill="auto"/>
          </w:tcPr>
          <w:p w14:paraId="437D6828" w14:textId="77777777" w:rsidR="004C1EAF" w:rsidRPr="004C1EAF" w:rsidRDefault="004C1EAF" w:rsidP="00C70454">
            <w:pPr>
              <w:jc w:val="right"/>
              <w:rPr>
                <w:color w:val="000000" w:themeColor="text1"/>
                <w:sz w:val="20"/>
                <w:lang w:val="es-ES_tradnl"/>
              </w:rPr>
            </w:pPr>
            <w:r w:rsidRPr="004C1EAF">
              <w:rPr>
                <w:color w:val="000000" w:themeColor="text1"/>
                <w:sz w:val="20"/>
                <w:lang w:val="es-ES_tradnl"/>
              </w:rPr>
              <w:t>9.450</w:t>
            </w:r>
          </w:p>
        </w:tc>
      </w:tr>
      <w:tr w:rsidR="004C1EAF" w:rsidRPr="004C1EAF" w14:paraId="1D49850B" w14:textId="77777777" w:rsidTr="00C70454">
        <w:trPr>
          <w:trHeight w:hRule="exact" w:val="227"/>
        </w:trPr>
        <w:tc>
          <w:tcPr>
            <w:tcW w:w="1567" w:type="pct"/>
            <w:shd w:val="clear" w:color="auto" w:fill="auto"/>
          </w:tcPr>
          <w:p w14:paraId="66B2A028" w14:textId="77777777" w:rsidR="004C1EAF" w:rsidRPr="004C1EAF" w:rsidRDefault="004C1EAF" w:rsidP="00C70454">
            <w:pPr>
              <w:rPr>
                <w:color w:val="000000" w:themeColor="text1"/>
                <w:sz w:val="20"/>
                <w:lang w:val="es-ES_tradnl"/>
              </w:rPr>
            </w:pPr>
            <w:r w:rsidRPr="004C1EAF">
              <w:rPr>
                <w:color w:val="000000" w:themeColor="text1"/>
                <w:sz w:val="20"/>
                <w:lang w:val="es-ES_tradnl"/>
              </w:rPr>
              <w:t>Total</w:t>
            </w:r>
          </w:p>
        </w:tc>
        <w:tc>
          <w:tcPr>
            <w:tcW w:w="1678" w:type="pct"/>
            <w:shd w:val="clear" w:color="auto" w:fill="auto"/>
          </w:tcPr>
          <w:p w14:paraId="6DB71BA9" w14:textId="77777777" w:rsidR="004C1EAF" w:rsidRPr="004C1EAF" w:rsidRDefault="004C1EAF" w:rsidP="00C70454">
            <w:pPr>
              <w:jc w:val="right"/>
              <w:rPr>
                <w:color w:val="000000" w:themeColor="text1"/>
                <w:sz w:val="20"/>
                <w:lang w:val="es-ES_tradnl"/>
              </w:rPr>
            </w:pPr>
            <w:r w:rsidRPr="004C1EAF">
              <w:rPr>
                <w:color w:val="000000"/>
                <w:sz w:val="20"/>
                <w:szCs w:val="20"/>
                <w:lang w:val="es-ES_tradnl"/>
              </w:rPr>
              <w:t>220.000</w:t>
            </w:r>
          </w:p>
        </w:tc>
        <w:tc>
          <w:tcPr>
            <w:tcW w:w="1755" w:type="pct"/>
            <w:shd w:val="clear" w:color="auto" w:fill="auto"/>
          </w:tcPr>
          <w:p w14:paraId="24AD0946" w14:textId="77777777" w:rsidR="004C1EAF" w:rsidRPr="004C1EAF" w:rsidRDefault="004C1EAF" w:rsidP="00C70454">
            <w:pPr>
              <w:jc w:val="right"/>
              <w:rPr>
                <w:color w:val="000000" w:themeColor="text1"/>
                <w:sz w:val="20"/>
                <w:lang w:val="es-ES_tradnl"/>
              </w:rPr>
            </w:pPr>
            <w:r w:rsidRPr="004C1EAF">
              <w:rPr>
                <w:color w:val="000000"/>
                <w:sz w:val="20"/>
                <w:szCs w:val="20"/>
                <w:lang w:val="es-ES_tradnl"/>
              </w:rPr>
              <w:t>24.400</w:t>
            </w:r>
          </w:p>
        </w:tc>
      </w:tr>
    </w:tbl>
    <w:p w14:paraId="2881BCD5" w14:textId="77777777" w:rsidR="004C1EAF" w:rsidRPr="00405151" w:rsidRDefault="004C1EAF" w:rsidP="004C1EAF">
      <w:pPr>
        <w:ind w:left="-567"/>
        <w:rPr>
          <w:sz w:val="20"/>
        </w:rPr>
      </w:pPr>
    </w:p>
    <w:tbl>
      <w:tblPr>
        <w:tblStyle w:val="TableGrid"/>
        <w:tblW w:w="5309" w:type="pct"/>
        <w:tblInd w:w="-113" w:type="dxa"/>
        <w:tblLook w:val="04A0" w:firstRow="1" w:lastRow="0" w:firstColumn="1" w:lastColumn="0" w:noHBand="0" w:noVBand="1"/>
      </w:tblPr>
      <w:tblGrid>
        <w:gridCol w:w="3197"/>
        <w:gridCol w:w="6971"/>
      </w:tblGrid>
      <w:tr w:rsidR="004C1EAF" w:rsidRPr="004C1EAF" w14:paraId="43A7D9A4" w14:textId="77777777" w:rsidTr="00C70454">
        <w:trPr>
          <w:trHeight w:hRule="exact" w:val="281"/>
        </w:trPr>
        <w:tc>
          <w:tcPr>
            <w:tcW w:w="1572" w:type="pct"/>
            <w:shd w:val="clear" w:color="auto" w:fill="auto"/>
          </w:tcPr>
          <w:p w14:paraId="1435F5F2" w14:textId="77777777" w:rsidR="004C1EAF" w:rsidRPr="004C1EAF" w:rsidRDefault="004C1EAF" w:rsidP="00C70454">
            <w:pPr>
              <w:jc w:val="left"/>
              <w:rPr>
                <w:b/>
                <w:color w:val="000000" w:themeColor="text1"/>
                <w:sz w:val="20"/>
                <w:lang w:val="es-ES"/>
              </w:rPr>
            </w:pPr>
            <w:r w:rsidRPr="004C1EAF">
              <w:rPr>
                <w:b/>
                <w:color w:val="000000" w:themeColor="text1"/>
                <w:sz w:val="20"/>
                <w:lang w:val="es-ES"/>
              </w:rPr>
              <w:t>Recomendación de la Secretaría:</w:t>
            </w:r>
          </w:p>
        </w:tc>
        <w:tc>
          <w:tcPr>
            <w:tcW w:w="3428" w:type="pct"/>
            <w:shd w:val="clear" w:color="auto" w:fill="auto"/>
          </w:tcPr>
          <w:p w14:paraId="75291216" w14:textId="77777777" w:rsidR="004C1EAF" w:rsidRPr="004C1EAF" w:rsidRDefault="004C1EAF" w:rsidP="00C70454">
            <w:pPr>
              <w:jc w:val="center"/>
              <w:rPr>
                <w:color w:val="000000" w:themeColor="text1"/>
                <w:sz w:val="20"/>
                <w:lang w:val="es-ES"/>
              </w:rPr>
            </w:pPr>
            <w:r w:rsidRPr="004C1EAF">
              <w:rPr>
                <w:color w:val="000000" w:themeColor="text1"/>
                <w:sz w:val="20"/>
                <w:lang w:val="es-ES"/>
              </w:rPr>
              <w:t>Para su consideración individual</w:t>
            </w:r>
          </w:p>
        </w:tc>
      </w:tr>
      <w:bookmarkEnd w:id="1"/>
    </w:tbl>
    <w:p w14:paraId="77B68AF8" w14:textId="4F167518" w:rsidR="004C1EAF" w:rsidRPr="00405151" w:rsidRDefault="004C1EAF" w:rsidP="00AC613F">
      <w:pPr>
        <w:jc w:val="left"/>
        <w:rPr>
          <w:b/>
        </w:rPr>
      </w:pPr>
      <w:r>
        <w:br w:type="page"/>
      </w:r>
      <w:r>
        <w:rPr>
          <w:b/>
        </w:rPr>
        <w:lastRenderedPageBreak/>
        <w:t>DESCRIPCIÓN DEL PROYECTO</w:t>
      </w:r>
    </w:p>
    <w:p w14:paraId="30FE4DCC" w14:textId="77777777" w:rsidR="004C1EAF" w:rsidRPr="004C1EAF" w:rsidRDefault="004C1EAF" w:rsidP="004C1EAF">
      <w:pPr>
        <w:rPr>
          <w:b/>
          <w:lang w:val="es-ES_tradnl"/>
        </w:rPr>
      </w:pPr>
      <w:r w:rsidRPr="004C1EAF">
        <w:rPr>
          <w:b/>
          <w:lang w:val="es-ES_tradnl"/>
        </w:rPr>
        <w:t>Antecedentes</w:t>
      </w:r>
    </w:p>
    <w:p w14:paraId="26FB4EC5" w14:textId="77777777" w:rsidR="004C1EAF" w:rsidRPr="00405151" w:rsidRDefault="004C1EAF" w:rsidP="004C1EAF"/>
    <w:p w14:paraId="1209B63C" w14:textId="77777777" w:rsidR="004C1EAF" w:rsidRPr="004C1EAF" w:rsidRDefault="004C1EAF" w:rsidP="004C1EAF">
      <w:pPr>
        <w:numPr>
          <w:ilvl w:val="0"/>
          <w:numId w:val="1"/>
        </w:numPr>
        <w:spacing w:after="240"/>
        <w:outlineLvl w:val="0"/>
        <w:rPr>
          <w:lang w:val="es-ES"/>
        </w:rPr>
      </w:pPr>
      <w:r w:rsidRPr="004C1EAF">
        <w:rPr>
          <w:lang w:val="es-ES"/>
        </w:rPr>
        <w:t>El PNUMA, en calidad de organismo de ejecución principal, ha presentado en nombre del Gobierno de Eritrea una solicitud de financiación para la etapa II del plan de gestión de eliminación de los HCFC (PGEH) por un costo total de 601.600 $EUA, desglosado en 325.000 $EUA más unos gastos de apoyo del organismo de 42.250 $EUA para el PNUMA y 215.000 $EUA más unos gastos de apoyo al organismo de 19.350 $EUA para la ONUDI, de conformidad con la comunicación inicial</w:t>
      </w:r>
      <w:r w:rsidRPr="00405151">
        <w:rPr>
          <w:vertAlign w:val="superscript"/>
        </w:rPr>
        <w:footnoteReference w:id="2"/>
      </w:r>
      <w:r w:rsidRPr="004C1EAF">
        <w:rPr>
          <w:lang w:val="es-ES"/>
        </w:rPr>
        <w:t>. La ejecución de la etapa II del PGEH permitirá eliminar el consumo remanente de HCFC en 2030.</w:t>
      </w:r>
    </w:p>
    <w:p w14:paraId="19A0C708" w14:textId="77777777" w:rsidR="004C1EAF" w:rsidRPr="004C1EAF" w:rsidRDefault="004C1EAF" w:rsidP="004C1EAF">
      <w:pPr>
        <w:numPr>
          <w:ilvl w:val="0"/>
          <w:numId w:val="1"/>
        </w:numPr>
        <w:spacing w:after="240"/>
        <w:outlineLvl w:val="0"/>
        <w:rPr>
          <w:lang w:val="es-ES"/>
        </w:rPr>
      </w:pPr>
      <w:r w:rsidRPr="004C1EAF">
        <w:rPr>
          <w:lang w:val="es-ES"/>
        </w:rPr>
        <w:t>El primer tramo de la etapa II del PGEH que se solicita en esta reunión asciende a 277.100 $EUA, que comprenden 115.000 $EUA más unos gastos de apoyo al organismo de 14.950 $EUA para el PNUMA y 135.000 $EUA más unos gastos de apoyo al organismo de 12.150 $EUA para la ONUDI, de conformidad con la comunicación inicial.</w:t>
      </w:r>
    </w:p>
    <w:p w14:paraId="48005054" w14:textId="77777777" w:rsidR="004C1EAF" w:rsidRPr="004C1EAF" w:rsidRDefault="004C1EAF" w:rsidP="004C1EAF">
      <w:pPr>
        <w:spacing w:after="240"/>
        <w:outlineLvl w:val="0"/>
        <w:rPr>
          <w:b/>
          <w:lang w:val="es-ES"/>
        </w:rPr>
      </w:pPr>
      <w:bookmarkStart w:id="2" w:name="_Hlk111545696"/>
      <w:r w:rsidRPr="004C1EAF">
        <w:rPr>
          <w:b/>
          <w:lang w:val="es-ES"/>
        </w:rPr>
        <w:t>Estado de la ejecución de la etapa I del PGEH</w:t>
      </w:r>
    </w:p>
    <w:bookmarkEnd w:id="2"/>
    <w:p w14:paraId="4F1678DC" w14:textId="77777777" w:rsidR="004C1EAF" w:rsidRPr="004C1EAF" w:rsidRDefault="004C1EAF" w:rsidP="004C1EAF">
      <w:pPr>
        <w:numPr>
          <w:ilvl w:val="0"/>
          <w:numId w:val="1"/>
        </w:numPr>
        <w:tabs>
          <w:tab w:val="num" w:pos="709"/>
        </w:tabs>
        <w:spacing w:after="240"/>
        <w:outlineLvl w:val="0"/>
        <w:rPr>
          <w:lang w:val="es-ES"/>
        </w:rPr>
      </w:pPr>
      <w:r w:rsidRPr="004C1EAF">
        <w:rPr>
          <w:lang w:val="es-ES"/>
        </w:rPr>
        <w:t>La etapa I del PGEH de Eritrea se aprobó originalmente en la 67ª reunión</w:t>
      </w:r>
      <w:r w:rsidRPr="00405151">
        <w:rPr>
          <w:vertAlign w:val="superscript"/>
        </w:rPr>
        <w:footnoteReference w:id="3"/>
      </w:r>
      <w:r w:rsidRPr="004C1EAF">
        <w:rPr>
          <w:lang w:val="es-ES"/>
        </w:rPr>
        <w:t xml:space="preserve"> y se revisó en la 77ª reunión</w:t>
      </w:r>
      <w:r w:rsidRPr="00405151">
        <w:rPr>
          <w:vertAlign w:val="superscript"/>
        </w:rPr>
        <w:footnoteReference w:id="4"/>
      </w:r>
      <w:r w:rsidRPr="004C1EAF">
        <w:rPr>
          <w:lang w:val="es-ES"/>
        </w:rPr>
        <w:t xml:space="preserve"> con el objetivo de eliminar, a partir de 2012, 0,38 toneladas PAO de los HCFC utilizados en el sector de mantenimiento de equipos de refrigeración y aire acondicionado y cumplir en 2020 con la reducción del 35 por ciento respecto del nivel básico de consumo, por un costo total de 210.000$EUA, más los gastos de apoyo a los organismos. La etapa I del PGEH finalizó en diciembre de 2021, tal como se estipula en el Acuerdo entre el Gobierno de Eritrea y el Comité Ejecutivo.</w:t>
      </w:r>
    </w:p>
    <w:p w14:paraId="2C2781AA" w14:textId="77777777" w:rsidR="004C1EAF" w:rsidRPr="004C1EAF" w:rsidRDefault="004C1EAF" w:rsidP="004C1EAF">
      <w:pPr>
        <w:rPr>
          <w:lang w:val="es-ES_tradnl"/>
        </w:rPr>
      </w:pPr>
      <w:bookmarkStart w:id="3" w:name="_Hlk111545699"/>
      <w:r w:rsidRPr="004C1EAF">
        <w:rPr>
          <w:u w:val="single"/>
          <w:lang w:val="es-ES_tradnl"/>
        </w:rPr>
        <w:t>Consumo de HCFC</w:t>
      </w:r>
    </w:p>
    <w:bookmarkEnd w:id="3"/>
    <w:p w14:paraId="02A62643" w14:textId="77777777" w:rsidR="004C1EAF" w:rsidRPr="004C1EAF" w:rsidRDefault="004C1EAF" w:rsidP="004C1EAF">
      <w:pPr>
        <w:rPr>
          <w:lang w:val="es-ES_tradnl"/>
        </w:rPr>
      </w:pPr>
    </w:p>
    <w:p w14:paraId="3B16811A" w14:textId="0E30195E" w:rsidR="004C1EAF" w:rsidRPr="004C1EAF" w:rsidRDefault="004C1EAF" w:rsidP="004C1EAF">
      <w:pPr>
        <w:numPr>
          <w:ilvl w:val="0"/>
          <w:numId w:val="1"/>
        </w:numPr>
        <w:spacing w:after="240"/>
        <w:outlineLvl w:val="0"/>
        <w:rPr>
          <w:lang w:val="es-ES_tradnl"/>
        </w:rPr>
      </w:pPr>
      <w:r w:rsidRPr="004C1EAF">
        <w:rPr>
          <w:lang w:val="es-ES_tradnl"/>
        </w:rPr>
        <w:t>El Gobierno de Eritrea ha informado de un consumo de 0,61 toneladas PAO de HCFC en 2021, un 44 por ciento inferior al nivel básico de HCFC para el cumplimiento. En el cuadro 1 se muestra el consumo de HCFC en el periodo 2017-2021.</w:t>
      </w:r>
    </w:p>
    <w:p w14:paraId="69639517" w14:textId="77777777" w:rsidR="004C1EAF" w:rsidRPr="004C1EAF" w:rsidRDefault="004C1EAF" w:rsidP="004C1EAF">
      <w:pPr>
        <w:rPr>
          <w:b/>
          <w:lang w:val="es-ES_tradnl"/>
        </w:rPr>
      </w:pPr>
      <w:r w:rsidRPr="004C1EAF">
        <w:rPr>
          <w:b/>
          <w:lang w:val="es-ES_tradnl"/>
        </w:rPr>
        <w:t>Cuadro 1. Consumo de HCFC en Eritrea (datos de 2017-2021, conforme al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1179"/>
        <w:gridCol w:w="1182"/>
        <w:gridCol w:w="1180"/>
        <w:gridCol w:w="1182"/>
        <w:gridCol w:w="1180"/>
        <w:gridCol w:w="1244"/>
      </w:tblGrid>
      <w:tr w:rsidR="004C1EAF" w:rsidRPr="004C1EAF" w14:paraId="557D799D" w14:textId="77777777" w:rsidTr="00C70454">
        <w:trPr>
          <w:trHeight w:val="248"/>
          <w:tblHeader/>
        </w:trPr>
        <w:tc>
          <w:tcPr>
            <w:tcW w:w="1248" w:type="pct"/>
            <w:shd w:val="clear" w:color="auto" w:fill="auto"/>
            <w:noWrap/>
            <w:tcMar>
              <w:left w:w="43" w:type="dxa"/>
              <w:right w:w="43" w:type="dxa"/>
            </w:tcMar>
            <w:vAlign w:val="center"/>
            <w:hideMark/>
          </w:tcPr>
          <w:p w14:paraId="2C5B919C" w14:textId="77777777" w:rsidR="004C1EAF" w:rsidRPr="004C1EAF" w:rsidRDefault="004C1EAF" w:rsidP="00C70454">
            <w:pPr>
              <w:jc w:val="left"/>
              <w:rPr>
                <w:b/>
                <w:color w:val="000000"/>
                <w:sz w:val="20"/>
                <w:szCs w:val="20"/>
                <w:lang w:val="es-ES_tradnl"/>
              </w:rPr>
            </w:pPr>
            <w:r w:rsidRPr="004C1EAF">
              <w:rPr>
                <w:b/>
                <w:color w:val="000000"/>
                <w:sz w:val="20"/>
                <w:szCs w:val="20"/>
                <w:lang w:val="es-ES_tradnl"/>
              </w:rPr>
              <w:t>HCFC-22</w:t>
            </w:r>
          </w:p>
        </w:tc>
        <w:tc>
          <w:tcPr>
            <w:tcW w:w="625" w:type="pct"/>
            <w:shd w:val="clear" w:color="auto" w:fill="auto"/>
            <w:noWrap/>
            <w:vAlign w:val="center"/>
            <w:hideMark/>
          </w:tcPr>
          <w:p w14:paraId="4FEDE9FC" w14:textId="77777777" w:rsidR="004C1EAF" w:rsidRPr="004C1EAF" w:rsidRDefault="004C1EAF" w:rsidP="00C70454">
            <w:pPr>
              <w:jc w:val="center"/>
              <w:rPr>
                <w:b/>
                <w:color w:val="000000"/>
                <w:sz w:val="20"/>
                <w:szCs w:val="20"/>
                <w:lang w:val="es-ES_tradnl"/>
              </w:rPr>
            </w:pPr>
            <w:r w:rsidRPr="004C1EAF">
              <w:rPr>
                <w:b/>
                <w:color w:val="000000"/>
                <w:sz w:val="20"/>
                <w:szCs w:val="20"/>
                <w:lang w:val="es-ES_tradnl"/>
              </w:rPr>
              <w:t>2017</w:t>
            </w:r>
          </w:p>
        </w:tc>
        <w:tc>
          <w:tcPr>
            <w:tcW w:w="626" w:type="pct"/>
          </w:tcPr>
          <w:p w14:paraId="753639FE" w14:textId="77777777" w:rsidR="004C1EAF" w:rsidRPr="004C1EAF" w:rsidRDefault="004C1EAF" w:rsidP="00C70454">
            <w:pPr>
              <w:jc w:val="center"/>
              <w:rPr>
                <w:b/>
                <w:color w:val="000000"/>
                <w:sz w:val="20"/>
                <w:szCs w:val="20"/>
                <w:lang w:val="es-ES_tradnl"/>
              </w:rPr>
            </w:pPr>
            <w:r w:rsidRPr="004C1EAF">
              <w:rPr>
                <w:b/>
                <w:color w:val="000000"/>
                <w:sz w:val="20"/>
                <w:szCs w:val="20"/>
                <w:lang w:val="es-ES_tradnl"/>
              </w:rPr>
              <w:t>2018</w:t>
            </w:r>
          </w:p>
        </w:tc>
        <w:tc>
          <w:tcPr>
            <w:tcW w:w="625" w:type="pct"/>
          </w:tcPr>
          <w:p w14:paraId="3C5BB01F" w14:textId="77777777" w:rsidR="004C1EAF" w:rsidRPr="004C1EAF" w:rsidRDefault="004C1EAF" w:rsidP="00C70454">
            <w:pPr>
              <w:jc w:val="center"/>
              <w:rPr>
                <w:b/>
                <w:color w:val="000000"/>
                <w:sz w:val="20"/>
                <w:szCs w:val="20"/>
                <w:lang w:val="es-ES_tradnl"/>
              </w:rPr>
            </w:pPr>
            <w:r w:rsidRPr="004C1EAF">
              <w:rPr>
                <w:b/>
                <w:color w:val="000000"/>
                <w:sz w:val="20"/>
                <w:szCs w:val="20"/>
                <w:lang w:val="es-ES_tradnl"/>
              </w:rPr>
              <w:t>2019</w:t>
            </w:r>
          </w:p>
        </w:tc>
        <w:tc>
          <w:tcPr>
            <w:tcW w:w="626" w:type="pct"/>
          </w:tcPr>
          <w:p w14:paraId="24807000" w14:textId="77777777" w:rsidR="004C1EAF" w:rsidRPr="004C1EAF" w:rsidRDefault="004C1EAF" w:rsidP="00C70454">
            <w:pPr>
              <w:jc w:val="center"/>
              <w:rPr>
                <w:b/>
                <w:color w:val="000000"/>
                <w:sz w:val="20"/>
                <w:szCs w:val="20"/>
                <w:lang w:val="es-ES_tradnl"/>
              </w:rPr>
            </w:pPr>
            <w:r w:rsidRPr="004C1EAF">
              <w:rPr>
                <w:b/>
                <w:color w:val="000000"/>
                <w:sz w:val="20"/>
                <w:szCs w:val="20"/>
                <w:lang w:val="es-ES_tradnl"/>
              </w:rPr>
              <w:t>2020</w:t>
            </w:r>
          </w:p>
        </w:tc>
        <w:tc>
          <w:tcPr>
            <w:tcW w:w="625" w:type="pct"/>
            <w:vAlign w:val="center"/>
          </w:tcPr>
          <w:p w14:paraId="6E558890" w14:textId="77777777" w:rsidR="004C1EAF" w:rsidRPr="004C1EAF" w:rsidRDefault="004C1EAF" w:rsidP="00C70454">
            <w:pPr>
              <w:jc w:val="center"/>
              <w:rPr>
                <w:b/>
                <w:color w:val="000000"/>
                <w:sz w:val="20"/>
                <w:szCs w:val="20"/>
                <w:lang w:val="es-ES_tradnl"/>
              </w:rPr>
            </w:pPr>
            <w:r w:rsidRPr="004C1EAF">
              <w:rPr>
                <w:b/>
                <w:color w:val="000000"/>
                <w:sz w:val="20"/>
                <w:szCs w:val="20"/>
                <w:lang w:val="es-ES_tradnl"/>
              </w:rPr>
              <w:t>2021</w:t>
            </w:r>
          </w:p>
        </w:tc>
        <w:tc>
          <w:tcPr>
            <w:tcW w:w="625" w:type="pct"/>
            <w:shd w:val="clear" w:color="auto" w:fill="auto"/>
            <w:noWrap/>
            <w:vAlign w:val="center"/>
            <w:hideMark/>
          </w:tcPr>
          <w:p w14:paraId="6264F0F9" w14:textId="77777777" w:rsidR="004C1EAF" w:rsidRPr="004C1EAF" w:rsidRDefault="004C1EAF" w:rsidP="00C70454">
            <w:pPr>
              <w:jc w:val="center"/>
              <w:rPr>
                <w:b/>
                <w:color w:val="000000"/>
                <w:sz w:val="20"/>
                <w:szCs w:val="20"/>
                <w:lang w:val="es-ES_tradnl"/>
              </w:rPr>
            </w:pPr>
            <w:r w:rsidRPr="004C1EAF">
              <w:rPr>
                <w:b/>
                <w:color w:val="000000"/>
                <w:sz w:val="20"/>
                <w:szCs w:val="20"/>
                <w:lang w:val="es-ES_tradnl"/>
              </w:rPr>
              <w:t>Nivel básico</w:t>
            </w:r>
          </w:p>
        </w:tc>
      </w:tr>
      <w:tr w:rsidR="004C1EAF" w:rsidRPr="004C1EAF" w14:paraId="562EC595" w14:textId="77777777" w:rsidTr="00C70454">
        <w:trPr>
          <w:trHeight w:val="240"/>
        </w:trPr>
        <w:tc>
          <w:tcPr>
            <w:tcW w:w="1248" w:type="pct"/>
            <w:shd w:val="clear" w:color="auto" w:fill="auto"/>
            <w:noWrap/>
            <w:tcMar>
              <w:left w:w="43" w:type="dxa"/>
              <w:right w:w="43" w:type="dxa"/>
            </w:tcMar>
            <w:vAlign w:val="center"/>
            <w:hideMark/>
          </w:tcPr>
          <w:p w14:paraId="49AF7139" w14:textId="77777777" w:rsidR="004C1EAF" w:rsidRPr="004C1EAF" w:rsidRDefault="004C1EAF" w:rsidP="00C70454">
            <w:pPr>
              <w:jc w:val="left"/>
              <w:rPr>
                <w:color w:val="000000"/>
                <w:sz w:val="20"/>
                <w:szCs w:val="20"/>
                <w:lang w:val="es-ES_tradnl"/>
              </w:rPr>
            </w:pPr>
            <w:r w:rsidRPr="004C1EAF">
              <w:rPr>
                <w:color w:val="000000"/>
                <w:sz w:val="20"/>
                <w:szCs w:val="20"/>
                <w:lang w:val="es-ES_tradnl"/>
              </w:rPr>
              <w:t>Toneladas métricas (tm)</w:t>
            </w:r>
          </w:p>
        </w:tc>
        <w:tc>
          <w:tcPr>
            <w:tcW w:w="625" w:type="pct"/>
            <w:shd w:val="clear" w:color="auto" w:fill="auto"/>
            <w:noWrap/>
            <w:tcMar>
              <w:left w:w="115" w:type="dxa"/>
              <w:right w:w="230" w:type="dxa"/>
            </w:tcMar>
          </w:tcPr>
          <w:p w14:paraId="6A9774D7" w14:textId="77777777" w:rsidR="004C1EAF" w:rsidRPr="004C1EAF" w:rsidRDefault="004C1EAF" w:rsidP="00C70454">
            <w:pPr>
              <w:jc w:val="right"/>
              <w:rPr>
                <w:sz w:val="20"/>
                <w:szCs w:val="20"/>
                <w:lang w:val="es-ES_tradnl"/>
              </w:rPr>
            </w:pPr>
            <w:r w:rsidRPr="004C1EAF">
              <w:rPr>
                <w:sz w:val="20"/>
                <w:szCs w:val="20"/>
                <w:lang w:val="es-ES_tradnl"/>
              </w:rPr>
              <w:t>16,30</w:t>
            </w:r>
          </w:p>
        </w:tc>
        <w:tc>
          <w:tcPr>
            <w:tcW w:w="626" w:type="pct"/>
            <w:tcMar>
              <w:left w:w="115" w:type="dxa"/>
              <w:right w:w="230" w:type="dxa"/>
            </w:tcMar>
          </w:tcPr>
          <w:p w14:paraId="4F6A53D7" w14:textId="77777777" w:rsidR="004C1EAF" w:rsidRPr="004C1EAF" w:rsidRDefault="004C1EAF" w:rsidP="00C70454">
            <w:pPr>
              <w:jc w:val="right"/>
              <w:rPr>
                <w:sz w:val="20"/>
                <w:szCs w:val="20"/>
                <w:lang w:val="es-ES_tradnl"/>
              </w:rPr>
            </w:pPr>
            <w:r w:rsidRPr="004C1EAF">
              <w:rPr>
                <w:sz w:val="20"/>
                <w:szCs w:val="20"/>
                <w:lang w:val="es-ES_tradnl"/>
              </w:rPr>
              <w:t>14,80</w:t>
            </w:r>
          </w:p>
        </w:tc>
        <w:tc>
          <w:tcPr>
            <w:tcW w:w="625" w:type="pct"/>
            <w:tcMar>
              <w:left w:w="115" w:type="dxa"/>
              <w:right w:w="230" w:type="dxa"/>
            </w:tcMar>
          </w:tcPr>
          <w:p w14:paraId="3D1F42FC" w14:textId="77777777" w:rsidR="004C1EAF" w:rsidRPr="004C1EAF" w:rsidRDefault="004C1EAF" w:rsidP="00C70454">
            <w:pPr>
              <w:jc w:val="right"/>
              <w:rPr>
                <w:sz w:val="20"/>
                <w:szCs w:val="20"/>
                <w:lang w:val="es-ES_tradnl"/>
              </w:rPr>
            </w:pPr>
            <w:r w:rsidRPr="004C1EAF">
              <w:rPr>
                <w:sz w:val="20"/>
                <w:szCs w:val="20"/>
                <w:lang w:val="es-ES_tradnl"/>
              </w:rPr>
              <w:t>13,80</w:t>
            </w:r>
          </w:p>
        </w:tc>
        <w:tc>
          <w:tcPr>
            <w:tcW w:w="626" w:type="pct"/>
            <w:tcMar>
              <w:left w:w="115" w:type="dxa"/>
              <w:right w:w="230" w:type="dxa"/>
            </w:tcMar>
          </w:tcPr>
          <w:p w14:paraId="73599C41" w14:textId="77777777" w:rsidR="004C1EAF" w:rsidRPr="004C1EAF" w:rsidRDefault="004C1EAF" w:rsidP="00C70454">
            <w:pPr>
              <w:jc w:val="right"/>
              <w:rPr>
                <w:rFonts w:eastAsiaTheme="minorHAnsi"/>
                <w:color w:val="000000"/>
                <w:sz w:val="20"/>
                <w:szCs w:val="20"/>
                <w:lang w:val="es-ES_tradnl"/>
              </w:rPr>
            </w:pPr>
            <w:r w:rsidRPr="004C1EAF">
              <w:rPr>
                <w:sz w:val="20"/>
                <w:szCs w:val="20"/>
                <w:lang w:val="es-ES_tradnl"/>
              </w:rPr>
              <w:t>11,20</w:t>
            </w:r>
          </w:p>
        </w:tc>
        <w:tc>
          <w:tcPr>
            <w:tcW w:w="625" w:type="pct"/>
            <w:shd w:val="clear" w:color="auto" w:fill="auto"/>
            <w:tcMar>
              <w:left w:w="115" w:type="dxa"/>
              <w:right w:w="230" w:type="dxa"/>
            </w:tcMar>
            <w:vAlign w:val="bottom"/>
          </w:tcPr>
          <w:p w14:paraId="4FCC5A3B" w14:textId="77777777" w:rsidR="004C1EAF" w:rsidRPr="004C1EAF" w:rsidRDefault="004C1EAF" w:rsidP="00C70454">
            <w:pPr>
              <w:jc w:val="right"/>
              <w:rPr>
                <w:color w:val="000000"/>
                <w:sz w:val="20"/>
                <w:szCs w:val="20"/>
                <w:lang w:val="es-ES_tradnl"/>
              </w:rPr>
            </w:pPr>
            <w:r w:rsidRPr="004C1EAF">
              <w:rPr>
                <w:sz w:val="20"/>
                <w:szCs w:val="20"/>
                <w:lang w:val="es-ES_tradnl"/>
              </w:rPr>
              <w:t>11,00</w:t>
            </w:r>
          </w:p>
        </w:tc>
        <w:tc>
          <w:tcPr>
            <w:tcW w:w="625" w:type="pct"/>
            <w:shd w:val="clear" w:color="auto" w:fill="auto"/>
            <w:noWrap/>
            <w:tcMar>
              <w:left w:w="115" w:type="dxa"/>
              <w:right w:w="230" w:type="dxa"/>
            </w:tcMar>
            <w:vAlign w:val="center"/>
          </w:tcPr>
          <w:p w14:paraId="6DAE6392" w14:textId="77777777" w:rsidR="004C1EAF" w:rsidRPr="004C1EAF" w:rsidRDefault="004C1EAF" w:rsidP="00C70454">
            <w:pPr>
              <w:jc w:val="right"/>
              <w:rPr>
                <w:color w:val="000000"/>
                <w:sz w:val="20"/>
                <w:szCs w:val="20"/>
                <w:lang w:val="es-ES_tradnl"/>
              </w:rPr>
            </w:pPr>
            <w:r w:rsidRPr="004C1EAF">
              <w:rPr>
                <w:sz w:val="20"/>
                <w:szCs w:val="20"/>
                <w:lang w:val="es-ES_tradnl"/>
              </w:rPr>
              <w:t>19,70</w:t>
            </w:r>
          </w:p>
        </w:tc>
      </w:tr>
      <w:tr w:rsidR="004C1EAF" w:rsidRPr="004C1EAF" w14:paraId="3B46E99B" w14:textId="77777777" w:rsidTr="00C70454">
        <w:trPr>
          <w:trHeight w:val="40"/>
        </w:trPr>
        <w:tc>
          <w:tcPr>
            <w:tcW w:w="1248" w:type="pct"/>
            <w:shd w:val="clear" w:color="auto" w:fill="auto"/>
            <w:noWrap/>
            <w:tcMar>
              <w:left w:w="43" w:type="dxa"/>
              <w:right w:w="43" w:type="dxa"/>
            </w:tcMar>
            <w:vAlign w:val="center"/>
            <w:hideMark/>
          </w:tcPr>
          <w:p w14:paraId="5B5ED48C" w14:textId="77777777" w:rsidR="004C1EAF" w:rsidRPr="004C1EAF" w:rsidRDefault="004C1EAF" w:rsidP="00C70454">
            <w:pPr>
              <w:jc w:val="left"/>
              <w:rPr>
                <w:color w:val="000000"/>
                <w:sz w:val="20"/>
                <w:szCs w:val="20"/>
                <w:lang w:val="es-ES_tradnl"/>
              </w:rPr>
            </w:pPr>
            <w:r w:rsidRPr="004C1EAF">
              <w:rPr>
                <w:color w:val="000000"/>
                <w:sz w:val="20"/>
                <w:szCs w:val="20"/>
                <w:lang w:val="es-ES_tradnl"/>
              </w:rPr>
              <w:t>Toneladas PAO</w:t>
            </w:r>
          </w:p>
        </w:tc>
        <w:tc>
          <w:tcPr>
            <w:tcW w:w="625" w:type="pct"/>
            <w:shd w:val="clear" w:color="auto" w:fill="auto"/>
            <w:noWrap/>
            <w:tcMar>
              <w:left w:w="115" w:type="dxa"/>
              <w:right w:w="230" w:type="dxa"/>
            </w:tcMar>
          </w:tcPr>
          <w:p w14:paraId="600CDC85" w14:textId="77777777" w:rsidR="004C1EAF" w:rsidRPr="004C1EAF" w:rsidRDefault="004C1EAF" w:rsidP="00C70454">
            <w:pPr>
              <w:jc w:val="right"/>
              <w:rPr>
                <w:sz w:val="20"/>
                <w:szCs w:val="20"/>
                <w:lang w:val="es-ES_tradnl"/>
              </w:rPr>
            </w:pPr>
            <w:r w:rsidRPr="004C1EAF">
              <w:rPr>
                <w:sz w:val="20"/>
                <w:szCs w:val="20"/>
                <w:lang w:val="es-ES_tradnl"/>
              </w:rPr>
              <w:t>0,90</w:t>
            </w:r>
          </w:p>
        </w:tc>
        <w:tc>
          <w:tcPr>
            <w:tcW w:w="626" w:type="pct"/>
            <w:tcMar>
              <w:left w:w="115" w:type="dxa"/>
              <w:right w:w="230" w:type="dxa"/>
            </w:tcMar>
          </w:tcPr>
          <w:p w14:paraId="6874B61A" w14:textId="77777777" w:rsidR="004C1EAF" w:rsidRPr="004C1EAF" w:rsidRDefault="004C1EAF" w:rsidP="00C70454">
            <w:pPr>
              <w:jc w:val="right"/>
              <w:rPr>
                <w:sz w:val="20"/>
                <w:szCs w:val="20"/>
                <w:lang w:val="es-ES_tradnl"/>
              </w:rPr>
            </w:pPr>
            <w:r w:rsidRPr="004C1EAF">
              <w:rPr>
                <w:sz w:val="20"/>
                <w:szCs w:val="20"/>
                <w:lang w:val="es-ES_tradnl"/>
              </w:rPr>
              <w:t>0,81</w:t>
            </w:r>
          </w:p>
        </w:tc>
        <w:tc>
          <w:tcPr>
            <w:tcW w:w="625" w:type="pct"/>
            <w:tcMar>
              <w:left w:w="115" w:type="dxa"/>
              <w:right w:w="230" w:type="dxa"/>
            </w:tcMar>
          </w:tcPr>
          <w:p w14:paraId="607AF0D7" w14:textId="77777777" w:rsidR="004C1EAF" w:rsidRPr="004C1EAF" w:rsidRDefault="004C1EAF" w:rsidP="00C70454">
            <w:pPr>
              <w:jc w:val="right"/>
              <w:rPr>
                <w:sz w:val="20"/>
                <w:szCs w:val="20"/>
                <w:lang w:val="es-ES_tradnl"/>
              </w:rPr>
            </w:pPr>
            <w:r w:rsidRPr="004C1EAF">
              <w:rPr>
                <w:sz w:val="20"/>
                <w:szCs w:val="20"/>
                <w:lang w:val="es-ES_tradnl"/>
              </w:rPr>
              <w:t>0,76</w:t>
            </w:r>
          </w:p>
        </w:tc>
        <w:tc>
          <w:tcPr>
            <w:tcW w:w="626" w:type="pct"/>
            <w:tcMar>
              <w:left w:w="115" w:type="dxa"/>
              <w:right w:w="230" w:type="dxa"/>
            </w:tcMar>
          </w:tcPr>
          <w:p w14:paraId="6776496F" w14:textId="77777777" w:rsidR="004C1EAF" w:rsidRPr="004C1EAF" w:rsidRDefault="004C1EAF" w:rsidP="00C70454">
            <w:pPr>
              <w:jc w:val="right"/>
              <w:rPr>
                <w:rFonts w:eastAsiaTheme="minorHAnsi"/>
                <w:color w:val="000000"/>
                <w:sz w:val="20"/>
                <w:szCs w:val="20"/>
                <w:lang w:val="es-ES_tradnl"/>
              </w:rPr>
            </w:pPr>
            <w:r w:rsidRPr="004C1EAF">
              <w:rPr>
                <w:sz w:val="20"/>
                <w:szCs w:val="20"/>
                <w:lang w:val="es-ES_tradnl"/>
              </w:rPr>
              <w:t>0,62</w:t>
            </w:r>
          </w:p>
        </w:tc>
        <w:tc>
          <w:tcPr>
            <w:tcW w:w="625" w:type="pct"/>
            <w:tcMar>
              <w:left w:w="115" w:type="dxa"/>
              <w:right w:w="230" w:type="dxa"/>
            </w:tcMar>
          </w:tcPr>
          <w:p w14:paraId="3FEC25A7" w14:textId="77777777" w:rsidR="004C1EAF" w:rsidRPr="004C1EAF" w:rsidRDefault="004C1EAF" w:rsidP="00C70454">
            <w:pPr>
              <w:jc w:val="right"/>
              <w:rPr>
                <w:rFonts w:eastAsiaTheme="minorHAnsi"/>
                <w:color w:val="000000"/>
                <w:sz w:val="20"/>
                <w:szCs w:val="20"/>
                <w:lang w:val="es-ES_tradnl"/>
              </w:rPr>
            </w:pPr>
            <w:r w:rsidRPr="004C1EAF">
              <w:rPr>
                <w:color w:val="000000"/>
                <w:sz w:val="20"/>
                <w:szCs w:val="20"/>
                <w:lang w:val="es-ES_tradnl"/>
              </w:rPr>
              <w:t>0,61</w:t>
            </w:r>
          </w:p>
        </w:tc>
        <w:tc>
          <w:tcPr>
            <w:tcW w:w="625" w:type="pct"/>
            <w:shd w:val="clear" w:color="auto" w:fill="auto"/>
            <w:noWrap/>
            <w:tcMar>
              <w:left w:w="115" w:type="dxa"/>
              <w:right w:w="230" w:type="dxa"/>
            </w:tcMar>
          </w:tcPr>
          <w:p w14:paraId="616D5AF2" w14:textId="77777777" w:rsidR="004C1EAF" w:rsidRPr="004C1EAF" w:rsidRDefault="004C1EAF" w:rsidP="00C70454">
            <w:pPr>
              <w:jc w:val="right"/>
              <w:rPr>
                <w:rFonts w:eastAsiaTheme="minorHAnsi"/>
                <w:color w:val="000000"/>
                <w:sz w:val="20"/>
                <w:szCs w:val="20"/>
                <w:lang w:val="es-ES_tradnl"/>
              </w:rPr>
            </w:pPr>
            <w:r w:rsidRPr="004C1EAF">
              <w:rPr>
                <w:sz w:val="20"/>
                <w:szCs w:val="20"/>
                <w:lang w:val="es-ES_tradnl"/>
              </w:rPr>
              <w:t>1,09</w:t>
            </w:r>
          </w:p>
        </w:tc>
      </w:tr>
    </w:tbl>
    <w:p w14:paraId="2A7CA42B" w14:textId="77777777" w:rsidR="004C1EAF" w:rsidRPr="004C1EAF" w:rsidRDefault="004C1EAF" w:rsidP="004C1EAF">
      <w:pPr>
        <w:rPr>
          <w:sz w:val="18"/>
          <w:lang w:val="es-ES_tradnl"/>
        </w:rPr>
      </w:pPr>
    </w:p>
    <w:p w14:paraId="0AB2DCB1" w14:textId="77777777" w:rsidR="004C1EAF" w:rsidRPr="004C1EAF" w:rsidRDefault="004C1EAF" w:rsidP="004C1EAF">
      <w:pPr>
        <w:numPr>
          <w:ilvl w:val="0"/>
          <w:numId w:val="1"/>
        </w:numPr>
        <w:spacing w:after="240"/>
        <w:outlineLvl w:val="0"/>
        <w:rPr>
          <w:lang w:val="es-ES_tradnl"/>
        </w:rPr>
      </w:pPr>
      <w:r w:rsidRPr="004C1EAF">
        <w:rPr>
          <w:lang w:val="es-ES_tradnl"/>
        </w:rPr>
        <w:t>Desde 2017, Eritrea ha experimentado una tendencia descendente del consumo de HCFC</w:t>
      </w:r>
      <w:r w:rsidRPr="004C1EAF">
        <w:rPr>
          <w:lang w:val="es-ES_tradnl"/>
        </w:rPr>
        <w:noBreakHyphen/>
        <w:t>22, debido a la implantación de un sistema de concesión de licencias y cuotas, la ejecución de las actividades del PGEH y las fluctuaciones del mercado. El menor consumo en 2020 y 2021 se atribuye a las dificultades económicas provocadas por la pandemia de la COVID-19. La cuota de importaciones para 2022 es de 12,01 tm.</w:t>
      </w:r>
    </w:p>
    <w:p w14:paraId="0AC92854" w14:textId="77777777" w:rsidR="004C1EAF" w:rsidRPr="004C1EAF" w:rsidRDefault="004C1EAF" w:rsidP="004C1EAF">
      <w:pPr>
        <w:tabs>
          <w:tab w:val="num" w:pos="709"/>
        </w:tabs>
        <w:spacing w:after="240"/>
        <w:outlineLvl w:val="0"/>
        <w:rPr>
          <w:i/>
          <w:lang w:val="es-ES"/>
        </w:rPr>
      </w:pPr>
      <w:r w:rsidRPr="004C1EAF">
        <w:rPr>
          <w:i/>
          <w:lang w:val="es-ES"/>
        </w:rPr>
        <w:t>Informe de ejecución del programa del país</w:t>
      </w:r>
    </w:p>
    <w:p w14:paraId="621CD091" w14:textId="77777777" w:rsidR="004C1EAF" w:rsidRPr="004C1EAF" w:rsidRDefault="004C1EAF" w:rsidP="004C1EAF">
      <w:pPr>
        <w:numPr>
          <w:ilvl w:val="0"/>
          <w:numId w:val="1"/>
        </w:numPr>
        <w:spacing w:after="240"/>
        <w:outlineLvl w:val="0"/>
        <w:rPr>
          <w:lang w:val="es-ES"/>
        </w:rPr>
      </w:pPr>
      <w:r w:rsidRPr="004C1EAF">
        <w:rPr>
          <w:lang w:val="es-ES"/>
        </w:rPr>
        <w:t>En el informe sobre la ejecución del programa de país de 2021, el Gobierno de Eritrea ha notificado datos sobre el consumo de HCFC por sectores que concuerdan con los datos comunicados con arreglo al artículo 7 del Protocolo de Montreal.</w:t>
      </w:r>
    </w:p>
    <w:p w14:paraId="067A3168" w14:textId="6649EAD6" w:rsidR="004C1EAF" w:rsidRPr="004C1EAF" w:rsidRDefault="004C1EAF" w:rsidP="004C1EAF">
      <w:pPr>
        <w:spacing w:after="240"/>
        <w:outlineLvl w:val="0"/>
        <w:rPr>
          <w:u w:val="single"/>
          <w:lang w:val="es-ES"/>
        </w:rPr>
      </w:pPr>
      <w:bookmarkStart w:id="4" w:name="_Hlk111545704"/>
      <w:r w:rsidRPr="004C1EAF">
        <w:rPr>
          <w:u w:val="single"/>
          <w:lang w:val="es-ES"/>
        </w:rPr>
        <w:lastRenderedPageBreak/>
        <w:t>Estado de ejecución y desembolsos</w:t>
      </w:r>
      <w:bookmarkStart w:id="5" w:name="_Hlk113983658"/>
      <w:bookmarkEnd w:id="4"/>
    </w:p>
    <w:p w14:paraId="18C61762" w14:textId="77777777" w:rsidR="004C1EAF" w:rsidRPr="00405151" w:rsidRDefault="004C1EAF" w:rsidP="004C1EAF">
      <w:pPr>
        <w:pStyle w:val="ListParagraph"/>
        <w:ind w:left="0"/>
        <w:rPr>
          <w:i/>
        </w:rPr>
      </w:pPr>
      <w:r>
        <w:rPr>
          <w:i/>
        </w:rPr>
        <w:t>Marco jurídico</w:t>
      </w:r>
    </w:p>
    <w:bookmarkEnd w:id="5"/>
    <w:p w14:paraId="027BD1B6" w14:textId="77777777" w:rsidR="004C1EAF" w:rsidRPr="00F16401" w:rsidRDefault="004C1EAF" w:rsidP="004C1EAF">
      <w:pPr>
        <w:pStyle w:val="ListParagraph"/>
        <w:ind w:left="0"/>
        <w:rPr>
          <w:i/>
        </w:rPr>
      </w:pPr>
    </w:p>
    <w:p w14:paraId="6328F50D" w14:textId="77777777" w:rsidR="004C1EAF" w:rsidRPr="004C1EAF" w:rsidRDefault="004C1EAF" w:rsidP="004C1EAF">
      <w:pPr>
        <w:pStyle w:val="Heading1"/>
        <w:rPr>
          <w:lang w:val="es-ES"/>
        </w:rPr>
      </w:pPr>
      <w:r w:rsidRPr="004C1EAF">
        <w:rPr>
          <w:lang w:val="es-ES"/>
        </w:rPr>
        <w:t>El Gobierno de Eritrea ha promulgado legislación (nota legal 117/2010) que prohíbe la importación de equipos que emplean sustancias que agotan la capa de ozono (SAO), obliga a los importadores de SAO a registrarse y establece cuotas de importación anuales. Desde 2013, hay en vigor un sistema eficaz de concesión de licencias y cuotas de importación de HCFC. El Gobierno ha iniciado el proceso de ratificación de la Enmienda de Kigali. Se han proporcionado dos equipos portátiles de identificación de SAO al departamento de aduanas. Se ha impartido formación a 145 funcionarios de aduanas y de vigilancia de las leyes sobre la normativa actualizada de las SAO, su supervisión y vigilancia, incluido el uso de equipos de identificación de refrigerantes y la prevención del comercio ilegal.</w:t>
      </w:r>
    </w:p>
    <w:p w14:paraId="354DEDEF" w14:textId="749FA6A9" w:rsidR="004C1EAF" w:rsidRPr="004C1EAF" w:rsidRDefault="004C1EAF" w:rsidP="004C1EAF">
      <w:pPr>
        <w:pStyle w:val="Heading1"/>
        <w:rPr>
          <w:lang w:val="es-ES"/>
        </w:rPr>
      </w:pPr>
      <w:r w:rsidRPr="004C1EAF">
        <w:rPr>
          <w:lang w:val="es-ES"/>
        </w:rPr>
        <w:t>En respuesta a las recomendaciones incluidas en el informe de verificación presentado en la 85</w:t>
      </w:r>
      <w:r w:rsidRPr="004C1EAF">
        <w:rPr>
          <w:vertAlign w:val="superscript"/>
          <w:lang w:val="es-ES"/>
        </w:rPr>
        <w:t>a</w:t>
      </w:r>
      <w:r w:rsidR="006A4D88">
        <w:rPr>
          <w:lang w:val="es-ES"/>
        </w:rPr>
        <w:t> </w:t>
      </w:r>
      <w:r w:rsidRPr="004C1EAF">
        <w:rPr>
          <w:lang w:val="es-ES"/>
        </w:rPr>
        <w:t>reunión, se ha mejorado la normativa relativa a las SAO, así como la vigilancia de su cumplimiento, de la siguiente manera: Se han mantenido dos reuniones anuales entre la Dependencia Nacional del Ozono y los importadores de HCFC en relación a la asignación de cuotas y la comprobación cruzada de los datos de importaciones; se ha vuelto a firmar un memorando de entendimiento entre la Dependencia Nacional del Ozono y el departamento de aduanas sobre la vigilancia de la normativa relativa a las SAO; se han facilitado copias de las licencias de importación al departamento de aduanas; y se han mantenido reuniones periódicas entre la Dependencia Nacional del Ozono y los organismos de imposición a fin de compartir información, incluidos datos de importaciones.</w:t>
      </w:r>
    </w:p>
    <w:p w14:paraId="09ADBE1F" w14:textId="77777777" w:rsidR="004C1EAF" w:rsidRPr="00405151" w:rsidRDefault="004C1EAF" w:rsidP="004C1EAF">
      <w:pPr>
        <w:pStyle w:val="ListParagraph"/>
        <w:ind w:left="0"/>
        <w:rPr>
          <w:i/>
        </w:rPr>
      </w:pPr>
      <w:r>
        <w:rPr>
          <w:i/>
        </w:rPr>
        <w:t>Sector de mantenimiento de equipos de refrigeración</w:t>
      </w:r>
    </w:p>
    <w:p w14:paraId="69636BFF" w14:textId="77777777" w:rsidR="004C1EAF" w:rsidRPr="00F16401" w:rsidRDefault="004C1EAF" w:rsidP="004C1EAF">
      <w:pPr>
        <w:pStyle w:val="ListParagraph"/>
        <w:ind w:left="0"/>
        <w:rPr>
          <w:i/>
        </w:rPr>
      </w:pPr>
    </w:p>
    <w:p w14:paraId="26331371" w14:textId="6DDF63A4" w:rsidR="004C1EAF" w:rsidRPr="004C1EAF" w:rsidRDefault="004C1EAF" w:rsidP="004C1EAF">
      <w:pPr>
        <w:pStyle w:val="Heading1"/>
        <w:rPr>
          <w:lang w:val="es-ES"/>
        </w:rPr>
      </w:pPr>
      <w:r w:rsidRPr="004C1EAF">
        <w:rPr>
          <w:lang w:val="es-ES"/>
        </w:rPr>
        <w:t>Se ha capacitado a treinta instructores sobre buenas prácticas de refrigeración, quieres han recibido una certificación de la Unión Europea. Se han llevado a cabo seis talleres destinados a 236</w:t>
      </w:r>
      <w:r w:rsidR="006A4D88">
        <w:rPr>
          <w:lang w:val="es-ES"/>
        </w:rPr>
        <w:t> </w:t>
      </w:r>
      <w:r w:rsidRPr="004C1EAF">
        <w:rPr>
          <w:lang w:val="es-ES"/>
        </w:rPr>
        <w:t>técnicos sobre buenas prácticas en refrigeración, incluido el uso seguro de refrigerantes de hidrocarburos. Se ha reforzado el sector de los equipos de refrigeración y aire acondicionado mediante la adopción de un código de conducta y el registro de todos los técnicos, lo que facilita el flujo de información y el seguimiento de las formaciones. Por otra parte, la Dependencia Nacional del Ozono ha dado apoyo a la organización de dos reuniones de la asociación de refrigeración y aire acondicionado sobre eficiencia energética y tecnologías con un bajo potencial de calentamiento atmosférico.</w:t>
      </w:r>
    </w:p>
    <w:p w14:paraId="107DAEEB" w14:textId="77777777" w:rsidR="004C1EAF" w:rsidRPr="004C1EAF" w:rsidRDefault="004C1EAF" w:rsidP="004C1EAF">
      <w:pPr>
        <w:pStyle w:val="Heading1"/>
        <w:rPr>
          <w:szCs w:val="24"/>
          <w:lang w:val="es-ES"/>
        </w:rPr>
      </w:pPr>
      <w:r w:rsidRPr="004C1EAF">
        <w:rPr>
          <w:lang w:val="es-ES"/>
        </w:rPr>
        <w:t>Se ha creado un centro de regeneración y se han proporcionado equipos a cuatro centros regionales de excelencia (varios tipos de manómetros y herramientas de mantenimiento</w:t>
      </w:r>
      <w:r w:rsidRPr="00405151">
        <w:rPr>
          <w:rStyle w:val="FootnoteReference"/>
        </w:rPr>
        <w:footnoteReference w:id="5"/>
      </w:r>
      <w:r w:rsidRPr="004C1EAF">
        <w:rPr>
          <w:lang w:val="es-ES"/>
        </w:rPr>
        <w:t>, incluido un equipo de identificación de SAO). Se ha capacitado a un experto en recuperación de refrigerantes para que proporcione asistencia técnica y se ha capacitado a más de 120 técnicos y 40 funcionarios del Gobierno en la identificación de posibles refrigerantes falsos.</w:t>
      </w:r>
      <w:r w:rsidRPr="004C1EAF">
        <w:rPr>
          <w:color w:val="FF0000"/>
          <w:lang w:val="es-ES"/>
        </w:rPr>
        <w:t xml:space="preserve"> </w:t>
      </w:r>
    </w:p>
    <w:p w14:paraId="40AC312E" w14:textId="77777777" w:rsidR="004C1EAF" w:rsidRPr="004C1EAF" w:rsidRDefault="004C1EAF" w:rsidP="004C1EAF">
      <w:pPr>
        <w:pStyle w:val="Heading1"/>
        <w:rPr>
          <w:szCs w:val="24"/>
          <w:lang w:val="es-ES"/>
        </w:rPr>
      </w:pPr>
      <w:r w:rsidRPr="004C1EAF">
        <w:rPr>
          <w:lang w:val="es-ES"/>
        </w:rPr>
        <w:t xml:space="preserve">Se han llevado a cabo actividades de concienciación utilizando documentos impresos y electrónicos y celebrando tres reuniones destinadas a importadores, proveedores, profesionales de la refrigeración, técnicos y el público general. Por otra parte, se ha involucrado totalmente a los expertos en </w:t>
      </w:r>
      <w:r w:rsidRPr="004C1EAF">
        <w:rPr>
          <w:lang w:val="es-ES"/>
        </w:rPr>
        <w:lastRenderedPageBreak/>
        <w:t>refrigeración para aumentar la concienciación sobre tecnologías de refrigeración respetuosas con el medio ambiente.</w:t>
      </w:r>
    </w:p>
    <w:p w14:paraId="28E79A50" w14:textId="77777777" w:rsidR="004C1EAF" w:rsidRPr="00405151" w:rsidRDefault="004C1EAF" w:rsidP="004C1EAF">
      <w:pPr>
        <w:pStyle w:val="ListParagraph"/>
        <w:ind w:left="0"/>
        <w:rPr>
          <w:i/>
        </w:rPr>
      </w:pPr>
      <w:bookmarkStart w:id="7" w:name="_Hlk111545763"/>
      <w:r>
        <w:rPr>
          <w:i/>
        </w:rPr>
        <w:t>Ejecución de proyectos y seguimiento</w:t>
      </w:r>
    </w:p>
    <w:bookmarkEnd w:id="7"/>
    <w:p w14:paraId="5817B86B" w14:textId="77777777" w:rsidR="004C1EAF" w:rsidRPr="00405151" w:rsidRDefault="004C1EAF" w:rsidP="004C1EAF">
      <w:pPr>
        <w:pStyle w:val="ListParagraph"/>
        <w:ind w:left="0"/>
        <w:rPr>
          <w:i/>
          <w:lang w:val="en-CA"/>
        </w:rPr>
      </w:pPr>
    </w:p>
    <w:p w14:paraId="210AB40B" w14:textId="77777777" w:rsidR="004C1EAF" w:rsidRPr="004C1EAF" w:rsidRDefault="004C1EAF" w:rsidP="004C1EAF">
      <w:pPr>
        <w:pStyle w:val="Heading1"/>
        <w:rPr>
          <w:lang w:val="es-ES"/>
        </w:rPr>
      </w:pPr>
      <w:r w:rsidRPr="004C1EAF">
        <w:rPr>
          <w:lang w:val="es-ES"/>
        </w:rPr>
        <w:t>La ejecución del PGEH se supervisa por la Dependencia Nacional del Ozono con la ayuda de un consultor, e incluye su seguimiento, la redacción de informes y la realización de inspecciones nacionales. Los gastos correspondientes a la etapa I fueron de 19.000 $EUA (10.500 $EUA destinados a gastos de personal y consultoría, 2.500 $EUA a viajes,4.000 $EUA a reuniones y 2.000 a gastos varios).</w:t>
      </w:r>
    </w:p>
    <w:p w14:paraId="32A9D54D" w14:textId="77777777" w:rsidR="004C1EAF" w:rsidRPr="004C1EAF" w:rsidRDefault="004C1EAF" w:rsidP="004C1EAF">
      <w:pPr>
        <w:rPr>
          <w:i/>
          <w:iCs/>
          <w:lang w:val="es-ES"/>
        </w:rPr>
      </w:pPr>
      <w:bookmarkStart w:id="8" w:name="_Hlk111545767"/>
      <w:r w:rsidRPr="004C1EAF">
        <w:rPr>
          <w:i/>
          <w:iCs/>
          <w:lang w:val="es-ES"/>
        </w:rPr>
        <w:t xml:space="preserve">Nivel de desembolsos de los fondos </w:t>
      </w:r>
    </w:p>
    <w:bookmarkEnd w:id="8"/>
    <w:p w14:paraId="3868B381" w14:textId="77777777" w:rsidR="004C1EAF" w:rsidRPr="004C1EAF" w:rsidRDefault="004C1EAF" w:rsidP="004C1EAF">
      <w:pPr>
        <w:rPr>
          <w:u w:val="single"/>
          <w:lang w:val="es-ES"/>
        </w:rPr>
      </w:pPr>
    </w:p>
    <w:p w14:paraId="23BB2F1C" w14:textId="77777777" w:rsidR="004C1EAF" w:rsidRPr="004C1EAF" w:rsidRDefault="004C1EAF" w:rsidP="004C1EAF">
      <w:pPr>
        <w:numPr>
          <w:ilvl w:val="0"/>
          <w:numId w:val="1"/>
        </w:numPr>
        <w:spacing w:after="240"/>
        <w:outlineLvl w:val="0"/>
        <w:rPr>
          <w:u w:val="single"/>
          <w:lang w:val="es-ES"/>
        </w:rPr>
      </w:pPr>
      <w:r w:rsidRPr="004C1EAF">
        <w:rPr>
          <w:lang w:val="es-ES"/>
        </w:rPr>
        <w:t>A fecha de diciembre de 2021, se había desembolsado el 100 por ciento de la financiación total aprobada para la etapa I del PGEH (210.000 $EUA) y se había finalizado el proyecto.</w:t>
      </w:r>
    </w:p>
    <w:p w14:paraId="5F0B1771" w14:textId="77777777" w:rsidR="004C1EAF" w:rsidRPr="004C1EAF" w:rsidRDefault="004C1EAF" w:rsidP="004C1EAF">
      <w:pPr>
        <w:keepNext/>
        <w:autoSpaceDE w:val="0"/>
        <w:autoSpaceDN w:val="0"/>
        <w:adjustRightInd w:val="0"/>
        <w:rPr>
          <w:b/>
          <w:lang w:val="es-ES"/>
        </w:rPr>
      </w:pPr>
      <w:r w:rsidRPr="004C1EAF">
        <w:rPr>
          <w:b/>
          <w:lang w:val="es-ES"/>
        </w:rPr>
        <w:t>Etapa II del PGEH</w:t>
      </w:r>
    </w:p>
    <w:p w14:paraId="478F34D3" w14:textId="77777777" w:rsidR="004C1EAF" w:rsidRPr="004C1EAF" w:rsidRDefault="004C1EAF" w:rsidP="004C1EAF">
      <w:pPr>
        <w:keepNext/>
        <w:rPr>
          <w:lang w:val="es-ES"/>
        </w:rPr>
      </w:pPr>
    </w:p>
    <w:p w14:paraId="5BEA5645" w14:textId="77777777" w:rsidR="004C1EAF" w:rsidRPr="004C1EAF" w:rsidRDefault="004C1EAF" w:rsidP="004C1EAF">
      <w:pPr>
        <w:keepNext/>
        <w:spacing w:after="240"/>
        <w:outlineLvl w:val="0"/>
        <w:rPr>
          <w:u w:val="single"/>
          <w:lang w:val="es-ES"/>
        </w:rPr>
      </w:pPr>
      <w:r w:rsidRPr="004C1EAF">
        <w:rPr>
          <w:u w:val="single"/>
          <w:lang w:val="es-ES"/>
        </w:rPr>
        <w:t>Consumo restante admisible para la financiación</w:t>
      </w:r>
    </w:p>
    <w:p w14:paraId="47FC8A2E" w14:textId="77777777" w:rsidR="004C1EAF" w:rsidRPr="004C1EAF" w:rsidRDefault="004C1EAF" w:rsidP="004C1EAF">
      <w:pPr>
        <w:numPr>
          <w:ilvl w:val="0"/>
          <w:numId w:val="1"/>
        </w:numPr>
        <w:tabs>
          <w:tab w:val="clear" w:pos="0"/>
        </w:tabs>
        <w:spacing w:after="240"/>
        <w:outlineLvl w:val="0"/>
        <w:rPr>
          <w:lang w:val="es-ES"/>
        </w:rPr>
      </w:pPr>
      <w:r w:rsidRPr="004C1EAF">
        <w:rPr>
          <w:lang w:val="es-ES"/>
        </w:rPr>
        <w:t>Una vez descontadas las 0,38 toneladas PAO de HCFC asociadas con la etapa I del PGEH, el consumo restante admisible para la financiación en la etapa II es de 0,71 toneladas PAO de HCFC</w:t>
      </w:r>
      <w:r w:rsidRPr="004C1EAF">
        <w:rPr>
          <w:lang w:val="es-ES"/>
        </w:rPr>
        <w:noBreakHyphen/>
        <w:t>22.</w:t>
      </w:r>
    </w:p>
    <w:p w14:paraId="3E4DDCE1" w14:textId="77777777" w:rsidR="004C1EAF" w:rsidRPr="004C1EAF" w:rsidRDefault="004C1EAF" w:rsidP="004C1EAF">
      <w:pPr>
        <w:spacing w:after="240"/>
        <w:outlineLvl w:val="0"/>
        <w:rPr>
          <w:u w:val="single"/>
          <w:lang w:val="es-ES"/>
        </w:rPr>
      </w:pPr>
      <w:r w:rsidRPr="004C1EAF">
        <w:rPr>
          <w:u w:val="single"/>
          <w:lang w:val="es-ES"/>
        </w:rPr>
        <w:t>Distribución de los HCFC por sectores</w:t>
      </w:r>
    </w:p>
    <w:p w14:paraId="4C1F793B" w14:textId="77777777" w:rsidR="004C1EAF" w:rsidRPr="004C1EAF" w:rsidRDefault="004C1EAF" w:rsidP="004C1EAF">
      <w:pPr>
        <w:numPr>
          <w:ilvl w:val="0"/>
          <w:numId w:val="1"/>
        </w:numPr>
        <w:spacing w:after="240"/>
        <w:outlineLvl w:val="0"/>
        <w:rPr>
          <w:lang w:val="es-ES"/>
        </w:rPr>
      </w:pPr>
      <w:r w:rsidRPr="004C1EAF">
        <w:rPr>
          <w:lang w:val="es-ES"/>
        </w:rPr>
        <w:t>En el sector de mantenimiento, hay aproximadamente 300 técnicos y 83 talleres, que consumen HCFC</w:t>
      </w:r>
      <w:r w:rsidRPr="004C1EAF">
        <w:rPr>
          <w:lang w:val="es-ES"/>
        </w:rPr>
        <w:noBreakHyphen/>
        <w:t xml:space="preserve">22 para mantenimiento de equipos domésticos de aire acondicionado (unitarios y </w:t>
      </w:r>
      <w:r w:rsidRPr="004C1EAF">
        <w:rPr>
          <w:i/>
          <w:iCs/>
          <w:lang w:val="es-ES"/>
        </w:rPr>
        <w:t>split</w:t>
      </w:r>
      <w:r w:rsidRPr="004C1EAF">
        <w:rPr>
          <w:lang w:val="es-ES"/>
        </w:rPr>
        <w:t>), almacenes frigoríficos comerciales (individuales, de condensación y sistemas centrales) y refrigeración en el transporte (aire acondicionado de vehículos y camiones refrigerados), tal como se muestra en el cuadro 2. El HCFC</w:t>
      </w:r>
      <w:r w:rsidRPr="004C1EAF">
        <w:rPr>
          <w:lang w:val="es-ES"/>
        </w:rPr>
        <w:noBreakHyphen/>
        <w:t xml:space="preserve">22 representa el 11 por ciento de los refrigerantes empleados en el sector de mantenimiento, mientras que el HFC-134a corresponde al 34 por ciento, el R-404A y el R-507 representan un 29 por ciento y el R-410A el 12 por ciento. El uso de HC está empezando, con un 3 por ciento de R-600A y un 1 por ciento de R-290. </w:t>
      </w:r>
    </w:p>
    <w:p w14:paraId="6E7AAFF0" w14:textId="77777777" w:rsidR="004C1EAF" w:rsidRPr="004C1EAF" w:rsidRDefault="004C1EAF" w:rsidP="004C1EAF">
      <w:pPr>
        <w:numPr>
          <w:ilvl w:val="0"/>
          <w:numId w:val="1"/>
        </w:numPr>
        <w:spacing w:after="240"/>
        <w:outlineLvl w:val="0"/>
        <w:rPr>
          <w:lang w:val="es-ES"/>
        </w:rPr>
      </w:pPr>
      <w:r w:rsidRPr="004C1EAF">
        <w:rPr>
          <w:lang w:val="es-ES"/>
        </w:rPr>
        <w:t>Sigue existiendo consumo de HCFC-22 en el sector de la refrigeración comercial, lo que puede atribuirse al crecimiento de la industria y al desarrollo de la infraestructura en el país.</w:t>
      </w:r>
    </w:p>
    <w:p w14:paraId="73BC6C6A" w14:textId="77777777" w:rsidR="004C1EAF" w:rsidRPr="004C1EAF" w:rsidRDefault="004C1EAF" w:rsidP="004C1EAF">
      <w:pPr>
        <w:spacing w:after="40"/>
        <w:rPr>
          <w:lang w:val="es-ES"/>
        </w:rPr>
      </w:pPr>
      <w:r w:rsidRPr="004C1EAF">
        <w:rPr>
          <w:b/>
          <w:lang w:val="es-ES"/>
        </w:rPr>
        <w:t xml:space="preserve">Cuadro 2. Demanda estimada de HCFC-22 en el sector de mantenimiento de equipos de refrigeración y aire acondicionado en Eritrea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155"/>
        <w:gridCol w:w="1170"/>
        <w:gridCol w:w="1260"/>
        <w:gridCol w:w="762"/>
        <w:gridCol w:w="992"/>
        <w:gridCol w:w="1560"/>
        <w:gridCol w:w="1456"/>
      </w:tblGrid>
      <w:tr w:rsidR="004C1EAF" w:rsidRPr="00405151" w14:paraId="0A8F83A3" w14:textId="77777777" w:rsidTr="004C1EAF">
        <w:trPr>
          <w:trHeight w:val="274"/>
        </w:trPr>
        <w:tc>
          <w:tcPr>
            <w:tcW w:w="2155" w:type="dxa"/>
            <w:vMerge w:val="restart"/>
            <w:vAlign w:val="center"/>
          </w:tcPr>
          <w:p w14:paraId="1E9823CF" w14:textId="77777777" w:rsidR="004C1EAF" w:rsidRPr="004C1EAF" w:rsidRDefault="004C1EAF" w:rsidP="00C70454">
            <w:pPr>
              <w:tabs>
                <w:tab w:val="left" w:pos="2220"/>
              </w:tabs>
              <w:jc w:val="center"/>
              <w:rPr>
                <w:b/>
                <w:sz w:val="18"/>
                <w:szCs w:val="18"/>
                <w:lang w:val="es-ES_tradnl"/>
              </w:rPr>
            </w:pPr>
            <w:bookmarkStart w:id="9" w:name="_Hlk26931131"/>
            <w:r w:rsidRPr="004C1EAF">
              <w:rPr>
                <w:b/>
                <w:sz w:val="18"/>
                <w:szCs w:val="18"/>
                <w:lang w:val="es-ES_tradnl"/>
              </w:rPr>
              <w:t>Sector/</w:t>
            </w:r>
          </w:p>
          <w:p w14:paraId="4DA27512"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Aplicación</w:t>
            </w:r>
          </w:p>
        </w:tc>
        <w:tc>
          <w:tcPr>
            <w:tcW w:w="1170" w:type="dxa"/>
            <w:vMerge w:val="restart"/>
            <w:shd w:val="clear" w:color="auto" w:fill="auto"/>
            <w:vAlign w:val="center"/>
            <w:hideMark/>
          </w:tcPr>
          <w:p w14:paraId="6C720835"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Inventario de equipos</w:t>
            </w:r>
          </w:p>
        </w:tc>
        <w:tc>
          <w:tcPr>
            <w:tcW w:w="1260" w:type="dxa"/>
          </w:tcPr>
          <w:p w14:paraId="6DB1BCD5"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a)</w:t>
            </w:r>
          </w:p>
        </w:tc>
        <w:tc>
          <w:tcPr>
            <w:tcW w:w="762" w:type="dxa"/>
            <w:vAlign w:val="center"/>
          </w:tcPr>
          <w:p w14:paraId="56A620A7"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b)</w:t>
            </w:r>
          </w:p>
        </w:tc>
        <w:tc>
          <w:tcPr>
            <w:tcW w:w="992" w:type="dxa"/>
            <w:shd w:val="clear" w:color="auto" w:fill="auto"/>
            <w:vAlign w:val="center"/>
            <w:hideMark/>
          </w:tcPr>
          <w:p w14:paraId="3E3F8873" w14:textId="77777777" w:rsidR="004C1EAF" w:rsidRPr="004C1EAF" w:rsidRDefault="004C1EAF" w:rsidP="00C70454">
            <w:pPr>
              <w:tabs>
                <w:tab w:val="left" w:pos="2220"/>
              </w:tabs>
              <w:jc w:val="center"/>
              <w:rPr>
                <w:b/>
                <w:spacing w:val="-6"/>
                <w:sz w:val="18"/>
                <w:szCs w:val="18"/>
                <w:lang w:val="es-ES_tradnl"/>
              </w:rPr>
            </w:pPr>
            <w:r w:rsidRPr="004C1EAF">
              <w:rPr>
                <w:b/>
                <w:sz w:val="18"/>
                <w:szCs w:val="18"/>
                <w:lang w:val="es-ES_tradnl"/>
              </w:rPr>
              <w:t>c) = a)*b)</w:t>
            </w:r>
          </w:p>
        </w:tc>
        <w:tc>
          <w:tcPr>
            <w:tcW w:w="1560" w:type="dxa"/>
            <w:shd w:val="clear" w:color="auto" w:fill="auto"/>
            <w:vAlign w:val="center"/>
            <w:hideMark/>
          </w:tcPr>
          <w:p w14:paraId="26627F31"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d)</w:t>
            </w:r>
          </w:p>
        </w:tc>
        <w:tc>
          <w:tcPr>
            <w:tcW w:w="1456" w:type="dxa"/>
            <w:shd w:val="clear" w:color="auto" w:fill="auto"/>
            <w:vAlign w:val="center"/>
            <w:hideMark/>
          </w:tcPr>
          <w:p w14:paraId="2BB6455B"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c)*d)</w:t>
            </w:r>
          </w:p>
        </w:tc>
      </w:tr>
      <w:tr w:rsidR="004C1EAF" w:rsidRPr="00AC613F" w14:paraId="205FEE7D" w14:textId="77777777" w:rsidTr="004C1EAF">
        <w:trPr>
          <w:trHeight w:val="480"/>
        </w:trPr>
        <w:tc>
          <w:tcPr>
            <w:tcW w:w="2155" w:type="dxa"/>
            <w:vMerge/>
            <w:vAlign w:val="center"/>
          </w:tcPr>
          <w:p w14:paraId="3EB9B3F2" w14:textId="77777777" w:rsidR="004C1EAF" w:rsidRPr="004C1EAF" w:rsidRDefault="004C1EAF" w:rsidP="00C70454">
            <w:pPr>
              <w:tabs>
                <w:tab w:val="left" w:pos="2220"/>
              </w:tabs>
              <w:jc w:val="center"/>
              <w:rPr>
                <w:b/>
                <w:sz w:val="18"/>
                <w:szCs w:val="18"/>
                <w:lang w:val="es-ES_tradnl"/>
              </w:rPr>
            </w:pPr>
          </w:p>
        </w:tc>
        <w:tc>
          <w:tcPr>
            <w:tcW w:w="1170" w:type="dxa"/>
            <w:vMerge/>
            <w:shd w:val="clear" w:color="auto" w:fill="auto"/>
            <w:vAlign w:val="center"/>
          </w:tcPr>
          <w:p w14:paraId="75391970" w14:textId="77777777" w:rsidR="004C1EAF" w:rsidRPr="004C1EAF" w:rsidRDefault="004C1EAF" w:rsidP="00C70454">
            <w:pPr>
              <w:tabs>
                <w:tab w:val="left" w:pos="2220"/>
              </w:tabs>
              <w:jc w:val="center"/>
              <w:rPr>
                <w:b/>
                <w:sz w:val="18"/>
                <w:szCs w:val="18"/>
                <w:lang w:val="es-ES_tradnl"/>
              </w:rPr>
            </w:pPr>
          </w:p>
        </w:tc>
        <w:tc>
          <w:tcPr>
            <w:tcW w:w="1260" w:type="dxa"/>
          </w:tcPr>
          <w:p w14:paraId="2A91C551" w14:textId="77777777" w:rsidR="004C1EAF" w:rsidRPr="004C1EAF" w:rsidRDefault="004C1EAF" w:rsidP="00C70454">
            <w:pPr>
              <w:tabs>
                <w:tab w:val="left" w:pos="2220"/>
              </w:tabs>
              <w:jc w:val="center"/>
              <w:rPr>
                <w:b/>
                <w:bCs/>
                <w:sz w:val="18"/>
                <w:szCs w:val="18"/>
                <w:lang w:val="es-ES_tradnl"/>
              </w:rPr>
            </w:pPr>
            <w:r w:rsidRPr="004C1EAF">
              <w:rPr>
                <w:b/>
                <w:bCs/>
                <w:color w:val="000000"/>
                <w:sz w:val="18"/>
                <w:szCs w:val="18"/>
                <w:lang w:val="es-ES_tradnl"/>
              </w:rPr>
              <w:t>Equipos mantenidos (unidades)</w:t>
            </w:r>
          </w:p>
        </w:tc>
        <w:tc>
          <w:tcPr>
            <w:tcW w:w="762" w:type="dxa"/>
            <w:vAlign w:val="center"/>
          </w:tcPr>
          <w:p w14:paraId="354B6FFF"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 xml:space="preserve">Carga media </w:t>
            </w:r>
          </w:p>
          <w:p w14:paraId="2A144CA0"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(kg)</w:t>
            </w:r>
          </w:p>
        </w:tc>
        <w:tc>
          <w:tcPr>
            <w:tcW w:w="992" w:type="dxa"/>
            <w:shd w:val="clear" w:color="auto" w:fill="auto"/>
            <w:vAlign w:val="center"/>
          </w:tcPr>
          <w:p w14:paraId="67CC586F"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Banco de HCFC</w:t>
            </w:r>
          </w:p>
          <w:p w14:paraId="25699103"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(tm)</w:t>
            </w:r>
          </w:p>
        </w:tc>
        <w:tc>
          <w:tcPr>
            <w:tcW w:w="1560" w:type="dxa"/>
            <w:shd w:val="clear" w:color="auto" w:fill="auto"/>
            <w:vAlign w:val="center"/>
          </w:tcPr>
          <w:p w14:paraId="5DECEF23"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Banco rellenado en tareas de mantenimiento, estimación (%)</w:t>
            </w:r>
          </w:p>
        </w:tc>
        <w:tc>
          <w:tcPr>
            <w:tcW w:w="1456" w:type="dxa"/>
            <w:shd w:val="clear" w:color="auto" w:fill="auto"/>
            <w:vAlign w:val="center"/>
          </w:tcPr>
          <w:p w14:paraId="659F03C1" w14:textId="77777777" w:rsidR="004C1EAF" w:rsidRPr="004C1EAF" w:rsidRDefault="004C1EAF" w:rsidP="00C70454">
            <w:pPr>
              <w:tabs>
                <w:tab w:val="left" w:pos="2220"/>
              </w:tabs>
              <w:jc w:val="center"/>
              <w:rPr>
                <w:b/>
                <w:sz w:val="18"/>
                <w:szCs w:val="18"/>
                <w:lang w:val="es-ES_tradnl"/>
              </w:rPr>
            </w:pPr>
            <w:r w:rsidRPr="004C1EAF">
              <w:rPr>
                <w:b/>
                <w:sz w:val="18"/>
                <w:szCs w:val="18"/>
                <w:lang w:val="es-ES_tradnl"/>
              </w:rPr>
              <w:t>Necesidades anuales de mantenimiento (tm)</w:t>
            </w:r>
          </w:p>
        </w:tc>
      </w:tr>
      <w:bookmarkEnd w:id="9"/>
      <w:tr w:rsidR="004C1EAF" w:rsidRPr="00405151" w14:paraId="5F0EA582" w14:textId="77777777" w:rsidTr="004C1EAF">
        <w:trPr>
          <w:trHeight w:val="242"/>
        </w:trPr>
        <w:tc>
          <w:tcPr>
            <w:tcW w:w="2155" w:type="dxa"/>
          </w:tcPr>
          <w:p w14:paraId="1B4CF00E" w14:textId="77777777" w:rsidR="004C1EAF" w:rsidRPr="004C1EAF" w:rsidRDefault="004C1EAF" w:rsidP="00C70454">
            <w:pPr>
              <w:jc w:val="left"/>
              <w:rPr>
                <w:sz w:val="20"/>
                <w:szCs w:val="20"/>
                <w:vertAlign w:val="superscript"/>
                <w:lang w:val="es-ES_tradnl"/>
              </w:rPr>
            </w:pPr>
            <w:r w:rsidRPr="004C1EAF">
              <w:rPr>
                <w:sz w:val="20"/>
                <w:szCs w:val="20"/>
                <w:lang w:val="es-ES_tradnl"/>
              </w:rPr>
              <w:t xml:space="preserve">Equipos para habitación (individuales y </w:t>
            </w:r>
            <w:r w:rsidRPr="004C1EAF">
              <w:rPr>
                <w:i/>
                <w:iCs/>
                <w:sz w:val="20"/>
                <w:szCs w:val="20"/>
                <w:lang w:val="es-ES_tradnl"/>
              </w:rPr>
              <w:t>split</w:t>
            </w:r>
            <w:r w:rsidRPr="004C1EAF">
              <w:rPr>
                <w:sz w:val="20"/>
                <w:szCs w:val="20"/>
                <w:lang w:val="es-ES_tradnl"/>
              </w:rPr>
              <w:t>)</w:t>
            </w:r>
          </w:p>
        </w:tc>
        <w:tc>
          <w:tcPr>
            <w:tcW w:w="1170" w:type="dxa"/>
          </w:tcPr>
          <w:p w14:paraId="71A1F6DD"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450.700</w:t>
            </w:r>
          </w:p>
        </w:tc>
        <w:tc>
          <w:tcPr>
            <w:tcW w:w="1260" w:type="dxa"/>
          </w:tcPr>
          <w:p w14:paraId="6D887BD0"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10.700</w:t>
            </w:r>
          </w:p>
        </w:tc>
        <w:tc>
          <w:tcPr>
            <w:tcW w:w="762" w:type="dxa"/>
          </w:tcPr>
          <w:p w14:paraId="2802BA66"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2</w:t>
            </w:r>
          </w:p>
        </w:tc>
        <w:tc>
          <w:tcPr>
            <w:tcW w:w="992" w:type="dxa"/>
          </w:tcPr>
          <w:p w14:paraId="0BB59AD2"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21,4</w:t>
            </w:r>
          </w:p>
        </w:tc>
        <w:tc>
          <w:tcPr>
            <w:tcW w:w="1560" w:type="dxa"/>
          </w:tcPr>
          <w:p w14:paraId="510133DE"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15</w:t>
            </w:r>
          </w:p>
        </w:tc>
        <w:tc>
          <w:tcPr>
            <w:tcW w:w="1456" w:type="dxa"/>
          </w:tcPr>
          <w:p w14:paraId="362FB3BA"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3,21</w:t>
            </w:r>
          </w:p>
        </w:tc>
      </w:tr>
      <w:tr w:rsidR="004C1EAF" w:rsidRPr="00405151" w14:paraId="082B8715" w14:textId="77777777" w:rsidTr="004C1EAF">
        <w:trPr>
          <w:trHeight w:val="242"/>
        </w:trPr>
        <w:tc>
          <w:tcPr>
            <w:tcW w:w="2155" w:type="dxa"/>
          </w:tcPr>
          <w:p w14:paraId="4FF05C3E" w14:textId="77777777" w:rsidR="004C1EAF" w:rsidRPr="004C1EAF" w:rsidRDefault="004C1EAF" w:rsidP="00C70454">
            <w:pPr>
              <w:tabs>
                <w:tab w:val="left" w:pos="2220"/>
              </w:tabs>
              <w:jc w:val="left"/>
              <w:rPr>
                <w:sz w:val="20"/>
                <w:szCs w:val="20"/>
                <w:lang w:val="es-ES_tradnl"/>
              </w:rPr>
            </w:pPr>
            <w:r w:rsidRPr="004C1EAF">
              <w:rPr>
                <w:sz w:val="20"/>
                <w:szCs w:val="20"/>
                <w:lang w:val="es-ES_tradnl"/>
              </w:rPr>
              <w:t>Refrigeradores comerciales/industriales (individuales, de condensación y sistemas centralizados)</w:t>
            </w:r>
          </w:p>
        </w:tc>
        <w:tc>
          <w:tcPr>
            <w:tcW w:w="1170" w:type="dxa"/>
          </w:tcPr>
          <w:p w14:paraId="530FA591"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45.256</w:t>
            </w:r>
          </w:p>
        </w:tc>
        <w:tc>
          <w:tcPr>
            <w:tcW w:w="1260" w:type="dxa"/>
          </w:tcPr>
          <w:p w14:paraId="1A4F8CDC"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556</w:t>
            </w:r>
          </w:p>
        </w:tc>
        <w:tc>
          <w:tcPr>
            <w:tcW w:w="762" w:type="dxa"/>
          </w:tcPr>
          <w:p w14:paraId="78DB9DF3"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80</w:t>
            </w:r>
          </w:p>
        </w:tc>
        <w:tc>
          <w:tcPr>
            <w:tcW w:w="992" w:type="dxa"/>
          </w:tcPr>
          <w:p w14:paraId="1C475ECD"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44,5</w:t>
            </w:r>
          </w:p>
        </w:tc>
        <w:tc>
          <w:tcPr>
            <w:tcW w:w="1560" w:type="dxa"/>
          </w:tcPr>
          <w:p w14:paraId="790CAB1F"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15</w:t>
            </w:r>
          </w:p>
        </w:tc>
        <w:tc>
          <w:tcPr>
            <w:tcW w:w="1456" w:type="dxa"/>
          </w:tcPr>
          <w:p w14:paraId="760DBD7E"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6,68</w:t>
            </w:r>
          </w:p>
        </w:tc>
      </w:tr>
      <w:tr w:rsidR="004C1EAF" w:rsidRPr="00405151" w14:paraId="3DCB1B16" w14:textId="77777777" w:rsidTr="004C1EAF">
        <w:trPr>
          <w:trHeight w:val="242"/>
        </w:trPr>
        <w:tc>
          <w:tcPr>
            <w:tcW w:w="2155" w:type="dxa"/>
          </w:tcPr>
          <w:p w14:paraId="08E9F14C" w14:textId="77777777" w:rsidR="004C1EAF" w:rsidRPr="004C1EAF" w:rsidRDefault="004C1EAF" w:rsidP="00C70454">
            <w:pPr>
              <w:tabs>
                <w:tab w:val="left" w:pos="2220"/>
              </w:tabs>
              <w:jc w:val="left"/>
              <w:rPr>
                <w:sz w:val="20"/>
                <w:szCs w:val="20"/>
                <w:vertAlign w:val="superscript"/>
                <w:lang w:val="es-ES_tradnl"/>
              </w:rPr>
            </w:pPr>
            <w:r w:rsidRPr="004C1EAF">
              <w:rPr>
                <w:sz w:val="20"/>
                <w:szCs w:val="20"/>
                <w:lang w:val="es-ES_tradnl"/>
              </w:rPr>
              <w:t>Transporte refrigerado</w:t>
            </w:r>
          </w:p>
        </w:tc>
        <w:tc>
          <w:tcPr>
            <w:tcW w:w="1170" w:type="dxa"/>
          </w:tcPr>
          <w:p w14:paraId="11DA9AB9"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2.325</w:t>
            </w:r>
          </w:p>
        </w:tc>
        <w:tc>
          <w:tcPr>
            <w:tcW w:w="1260" w:type="dxa"/>
          </w:tcPr>
          <w:p w14:paraId="0A6E61D5"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240</w:t>
            </w:r>
          </w:p>
        </w:tc>
        <w:tc>
          <w:tcPr>
            <w:tcW w:w="762" w:type="dxa"/>
          </w:tcPr>
          <w:p w14:paraId="47ABEBD0"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50</w:t>
            </w:r>
          </w:p>
        </w:tc>
        <w:tc>
          <w:tcPr>
            <w:tcW w:w="992" w:type="dxa"/>
          </w:tcPr>
          <w:p w14:paraId="298276B0"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12,0</w:t>
            </w:r>
          </w:p>
        </w:tc>
        <w:tc>
          <w:tcPr>
            <w:tcW w:w="1560" w:type="dxa"/>
          </w:tcPr>
          <w:p w14:paraId="0D0FF58A"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10</w:t>
            </w:r>
          </w:p>
        </w:tc>
        <w:tc>
          <w:tcPr>
            <w:tcW w:w="1456" w:type="dxa"/>
          </w:tcPr>
          <w:p w14:paraId="384B5A11" w14:textId="77777777" w:rsidR="004C1EAF" w:rsidRPr="004C1EAF" w:rsidRDefault="004C1EAF" w:rsidP="00C70454">
            <w:pPr>
              <w:tabs>
                <w:tab w:val="left" w:pos="2220"/>
              </w:tabs>
              <w:jc w:val="right"/>
              <w:rPr>
                <w:sz w:val="20"/>
                <w:szCs w:val="20"/>
                <w:lang w:val="es-ES_tradnl"/>
              </w:rPr>
            </w:pPr>
            <w:r w:rsidRPr="004C1EAF">
              <w:rPr>
                <w:sz w:val="20"/>
                <w:szCs w:val="20"/>
                <w:lang w:val="es-ES_tradnl"/>
              </w:rPr>
              <w:t>1,20</w:t>
            </w:r>
          </w:p>
        </w:tc>
      </w:tr>
      <w:tr w:rsidR="004C1EAF" w:rsidRPr="00405151" w14:paraId="69EDE405" w14:textId="77777777" w:rsidTr="004C1EAF">
        <w:trPr>
          <w:trHeight w:val="147"/>
        </w:trPr>
        <w:tc>
          <w:tcPr>
            <w:tcW w:w="2155" w:type="dxa"/>
          </w:tcPr>
          <w:p w14:paraId="33DAFDD3" w14:textId="77777777" w:rsidR="004C1EAF" w:rsidRPr="004C1EAF" w:rsidRDefault="004C1EAF" w:rsidP="00C70454">
            <w:pPr>
              <w:tabs>
                <w:tab w:val="left" w:pos="2220"/>
              </w:tabs>
              <w:jc w:val="left"/>
              <w:rPr>
                <w:b/>
                <w:sz w:val="20"/>
                <w:szCs w:val="20"/>
                <w:vertAlign w:val="superscript"/>
                <w:lang w:val="es-ES_tradnl"/>
              </w:rPr>
            </w:pPr>
            <w:r w:rsidRPr="004C1EAF">
              <w:rPr>
                <w:b/>
                <w:sz w:val="20"/>
                <w:szCs w:val="20"/>
                <w:lang w:val="es-ES_tradnl"/>
              </w:rPr>
              <w:t xml:space="preserve">Total </w:t>
            </w:r>
          </w:p>
        </w:tc>
        <w:tc>
          <w:tcPr>
            <w:tcW w:w="1170" w:type="dxa"/>
            <w:vAlign w:val="bottom"/>
          </w:tcPr>
          <w:p w14:paraId="73485187" w14:textId="77777777" w:rsidR="004C1EAF" w:rsidRPr="004C1EAF" w:rsidRDefault="004C1EAF" w:rsidP="00C70454">
            <w:pPr>
              <w:tabs>
                <w:tab w:val="left" w:pos="2220"/>
              </w:tabs>
              <w:jc w:val="right"/>
              <w:rPr>
                <w:b/>
                <w:sz w:val="20"/>
                <w:szCs w:val="20"/>
                <w:lang w:val="es-ES_tradnl"/>
              </w:rPr>
            </w:pPr>
          </w:p>
        </w:tc>
        <w:tc>
          <w:tcPr>
            <w:tcW w:w="1260" w:type="dxa"/>
          </w:tcPr>
          <w:p w14:paraId="386CABFE" w14:textId="77777777" w:rsidR="004C1EAF" w:rsidRPr="004C1EAF" w:rsidRDefault="004C1EAF" w:rsidP="00C70454">
            <w:pPr>
              <w:tabs>
                <w:tab w:val="left" w:pos="2220"/>
              </w:tabs>
              <w:jc w:val="right"/>
              <w:rPr>
                <w:b/>
                <w:sz w:val="20"/>
                <w:szCs w:val="20"/>
                <w:lang w:val="es-ES_tradnl"/>
              </w:rPr>
            </w:pPr>
          </w:p>
        </w:tc>
        <w:tc>
          <w:tcPr>
            <w:tcW w:w="762" w:type="dxa"/>
          </w:tcPr>
          <w:p w14:paraId="3C0F042B" w14:textId="77777777" w:rsidR="004C1EAF" w:rsidRPr="004C1EAF" w:rsidRDefault="004C1EAF" w:rsidP="00C70454">
            <w:pPr>
              <w:tabs>
                <w:tab w:val="left" w:pos="2220"/>
              </w:tabs>
              <w:jc w:val="right"/>
              <w:rPr>
                <w:b/>
                <w:sz w:val="20"/>
                <w:szCs w:val="20"/>
                <w:lang w:val="es-ES_tradnl"/>
              </w:rPr>
            </w:pPr>
          </w:p>
        </w:tc>
        <w:tc>
          <w:tcPr>
            <w:tcW w:w="992" w:type="dxa"/>
            <w:vAlign w:val="bottom"/>
          </w:tcPr>
          <w:p w14:paraId="271FB7BF" w14:textId="77777777" w:rsidR="004C1EAF" w:rsidRPr="004C1EAF" w:rsidRDefault="004C1EAF" w:rsidP="00C70454">
            <w:pPr>
              <w:tabs>
                <w:tab w:val="left" w:pos="2220"/>
              </w:tabs>
              <w:jc w:val="right"/>
              <w:rPr>
                <w:b/>
                <w:sz w:val="20"/>
                <w:szCs w:val="20"/>
                <w:lang w:val="es-ES_tradnl"/>
              </w:rPr>
            </w:pPr>
          </w:p>
        </w:tc>
        <w:tc>
          <w:tcPr>
            <w:tcW w:w="1560" w:type="dxa"/>
            <w:vAlign w:val="bottom"/>
          </w:tcPr>
          <w:p w14:paraId="06D8D0DD" w14:textId="77777777" w:rsidR="004C1EAF" w:rsidRPr="004C1EAF" w:rsidRDefault="004C1EAF" w:rsidP="00C70454">
            <w:pPr>
              <w:tabs>
                <w:tab w:val="left" w:pos="2220"/>
              </w:tabs>
              <w:jc w:val="right"/>
              <w:rPr>
                <w:b/>
                <w:sz w:val="20"/>
                <w:szCs w:val="20"/>
                <w:lang w:val="es-ES_tradnl"/>
              </w:rPr>
            </w:pPr>
          </w:p>
        </w:tc>
        <w:tc>
          <w:tcPr>
            <w:tcW w:w="1456" w:type="dxa"/>
            <w:vAlign w:val="bottom"/>
          </w:tcPr>
          <w:p w14:paraId="46D163C9" w14:textId="77777777" w:rsidR="004C1EAF" w:rsidRPr="004C1EAF" w:rsidRDefault="004C1EAF" w:rsidP="00C70454">
            <w:pPr>
              <w:tabs>
                <w:tab w:val="left" w:pos="2220"/>
              </w:tabs>
              <w:jc w:val="right"/>
              <w:rPr>
                <w:b/>
                <w:sz w:val="20"/>
                <w:szCs w:val="20"/>
                <w:lang w:val="es-ES_tradnl"/>
              </w:rPr>
            </w:pPr>
            <w:r w:rsidRPr="004C1EAF">
              <w:rPr>
                <w:b/>
                <w:sz w:val="20"/>
                <w:szCs w:val="20"/>
                <w:lang w:val="es-ES_tradnl"/>
              </w:rPr>
              <w:t>11,09</w:t>
            </w:r>
          </w:p>
        </w:tc>
      </w:tr>
    </w:tbl>
    <w:p w14:paraId="66517106" w14:textId="77777777" w:rsidR="004C1EAF" w:rsidRPr="004C1EAF" w:rsidRDefault="004C1EAF" w:rsidP="006A4D88">
      <w:pPr>
        <w:keepNext/>
        <w:keepLines/>
        <w:widowControl w:val="0"/>
        <w:spacing w:before="240" w:after="240"/>
        <w:rPr>
          <w:u w:val="single"/>
          <w:lang w:val="es-ES"/>
        </w:rPr>
      </w:pPr>
      <w:r w:rsidRPr="004C1EAF">
        <w:rPr>
          <w:u w:val="single"/>
          <w:lang w:val="es-ES"/>
        </w:rPr>
        <w:lastRenderedPageBreak/>
        <w:t>Estrategia de eliminación de la etapa II del PGEH</w:t>
      </w:r>
    </w:p>
    <w:p w14:paraId="5D69F1E2" w14:textId="77777777" w:rsidR="004C1EAF" w:rsidRPr="004C1EAF" w:rsidRDefault="004C1EAF" w:rsidP="006A4D88">
      <w:pPr>
        <w:keepNext/>
        <w:keepLines/>
        <w:widowControl w:val="0"/>
        <w:numPr>
          <w:ilvl w:val="0"/>
          <w:numId w:val="1"/>
        </w:numPr>
        <w:spacing w:after="240"/>
        <w:outlineLvl w:val="0"/>
        <w:rPr>
          <w:lang w:val="es-ES"/>
        </w:rPr>
      </w:pPr>
      <w:r w:rsidRPr="004C1EAF">
        <w:rPr>
          <w:lang w:val="es-ES"/>
        </w:rPr>
        <w:t>La etapa II del plan de gestión de eliminación de los HCFC se centrará en reforzar el sistema de concesión de licencias y cuotas de los HCFC, fomentar la transición a tecnologías con bajo potencial de calentamiento atmosférico para equipos de refrigeración y aire acondicionado, aplicar instrumentos jurídicos relacionados con el uso seguro de las nuevas tecnologías, seguir fortaleciendo la capacidad del sector de mantenimiento y poner en marcha un programa de certificación para técnicos. En la ejecución de la etapa II se aprovecharán las lecciones aprendidas y la infraestructura creada durante la ejecución de la etapa I.</w:t>
      </w:r>
    </w:p>
    <w:p w14:paraId="44714ADC" w14:textId="77777777" w:rsidR="004C1EAF" w:rsidRPr="004C1EAF" w:rsidRDefault="004C1EAF" w:rsidP="004C1EAF">
      <w:pPr>
        <w:rPr>
          <w:u w:val="single"/>
          <w:lang w:val="es-ES"/>
        </w:rPr>
      </w:pPr>
      <w:r w:rsidRPr="004C1EAF">
        <w:rPr>
          <w:u w:val="single"/>
          <w:lang w:val="es-ES"/>
        </w:rPr>
        <w:t>Actividades propuestas para la etapa II del PGEH</w:t>
      </w:r>
    </w:p>
    <w:p w14:paraId="4951B901" w14:textId="77777777" w:rsidR="004C1EAF" w:rsidRPr="004C1EAF" w:rsidRDefault="004C1EAF" w:rsidP="004C1EAF">
      <w:pPr>
        <w:rPr>
          <w:lang w:val="es-ES"/>
        </w:rPr>
      </w:pPr>
    </w:p>
    <w:p w14:paraId="5F334875" w14:textId="77777777" w:rsidR="004C1EAF" w:rsidRPr="004C1EAF" w:rsidRDefault="004C1EAF" w:rsidP="004C1EAF">
      <w:pPr>
        <w:numPr>
          <w:ilvl w:val="0"/>
          <w:numId w:val="1"/>
        </w:numPr>
        <w:spacing w:after="240"/>
        <w:outlineLvl w:val="0"/>
        <w:rPr>
          <w:lang w:val="es-ES"/>
        </w:rPr>
      </w:pPr>
      <w:r w:rsidRPr="004C1EAF">
        <w:rPr>
          <w:lang w:val="es-ES"/>
        </w:rPr>
        <w:t>Para la etapa II se proponen las siguientes actividades:</w:t>
      </w:r>
    </w:p>
    <w:p w14:paraId="4D6F9C53" w14:textId="77777777" w:rsidR="004C1EAF" w:rsidRPr="004C1EAF" w:rsidRDefault="004C1EAF" w:rsidP="004C1EAF">
      <w:pPr>
        <w:numPr>
          <w:ilvl w:val="1"/>
          <w:numId w:val="1"/>
        </w:numPr>
        <w:spacing w:after="240"/>
        <w:outlineLvl w:val="1"/>
        <w:rPr>
          <w:lang w:val="es-ES"/>
        </w:rPr>
      </w:pPr>
      <w:bookmarkStart w:id="10" w:name="_Hlk111623573"/>
      <w:r w:rsidRPr="004C1EAF">
        <w:rPr>
          <w:i/>
          <w:iCs/>
          <w:lang w:val="es-ES"/>
        </w:rPr>
        <w:t>Actualización de la legislación relativa a las SAO y refuerzo de la vigilancia del cumplimiento de la normativa:</w:t>
      </w:r>
      <w:r w:rsidRPr="004C1EAF">
        <w:rPr>
          <w:lang w:val="es-ES"/>
        </w:rPr>
        <w:t xml:space="preserve"> Ejecución y mantenimiento del sistema de concesión de licencias y cuotas; actualización de la normativa actual de las SAO para incluir los HFC en el sistema de concesión de licencias de importación a partir del 1 de enero de 2024 y prohibición de importar HCFC (excepto el remanente destinado a tareas de mantenimiento) a partir del 1 de enero de 2030; adopción del </w:t>
      </w:r>
      <w:r w:rsidRPr="004C1EAF">
        <w:rPr>
          <w:shd w:val="clear" w:color="auto" w:fill="FFFFFF"/>
          <w:lang w:val="es-ES"/>
        </w:rPr>
        <w:t>sistema armonizado de designación y de codificación de mercancías de 2022</w:t>
      </w:r>
      <w:r w:rsidRPr="004C1EAF">
        <w:rPr>
          <w:lang w:val="es-ES"/>
        </w:rPr>
        <w:t xml:space="preserve"> </w:t>
      </w:r>
      <w:r w:rsidRPr="004C1EAF">
        <w:rPr>
          <w:shd w:val="clear" w:color="auto" w:fill="FFFFFF"/>
          <w:lang w:val="es-ES"/>
        </w:rPr>
        <w:t>a partir del 1 de enero de 2024;</w:t>
      </w:r>
      <w:r w:rsidRPr="004C1EAF">
        <w:rPr>
          <w:rFonts w:ascii="Arial" w:hAnsi="Arial"/>
          <w:sz w:val="20"/>
          <w:szCs w:val="20"/>
          <w:shd w:val="clear" w:color="auto" w:fill="FFFFFF"/>
          <w:lang w:val="es-ES"/>
        </w:rPr>
        <w:t xml:space="preserve"> </w:t>
      </w:r>
      <w:r w:rsidRPr="004C1EAF">
        <w:rPr>
          <w:lang w:val="es-ES"/>
        </w:rPr>
        <w:t xml:space="preserve">capacitación de 200 funcionarios de aduanas y de vigilancia sobre los cambios a la legislación, la prevención del comercio ilegal y el reconocimiento de refrigerantes falsos; contratación de un experto para revisar el manual de formación con la información actualizada, incluidos los códigos arancelarios del </w:t>
      </w:r>
      <w:r w:rsidRPr="004C1EAF">
        <w:rPr>
          <w:shd w:val="clear" w:color="auto" w:fill="FFFFFF"/>
          <w:lang w:val="es-ES"/>
        </w:rPr>
        <w:t xml:space="preserve">sistema armonizado del 2022 correspondientes a las sustancias controladas por el Protocolo de Montreal; y </w:t>
      </w:r>
      <w:r w:rsidRPr="004C1EAF">
        <w:rPr>
          <w:lang w:val="es-ES"/>
        </w:rPr>
        <w:t>facilitación de tres encuentros con representantes de países vecinos para intercambiar información sobre el posible comercio ilegal</w:t>
      </w:r>
      <w:r w:rsidRPr="004C1EAF">
        <w:rPr>
          <w:rFonts w:ascii="Arial" w:hAnsi="Arial"/>
          <w:sz w:val="20"/>
          <w:szCs w:val="20"/>
          <w:shd w:val="clear" w:color="auto" w:fill="FFFFFF"/>
          <w:lang w:val="es-ES"/>
        </w:rPr>
        <w:t xml:space="preserve"> </w:t>
      </w:r>
      <w:r w:rsidRPr="004C1EAF">
        <w:rPr>
          <w:lang w:val="es-ES"/>
        </w:rPr>
        <w:t>de los HCFC (PNUMA) (105.000 $EUA);</w:t>
      </w:r>
    </w:p>
    <w:p w14:paraId="4DCD049A" w14:textId="77777777" w:rsidR="004C1EAF" w:rsidRPr="004C1EAF" w:rsidRDefault="004C1EAF" w:rsidP="004C1EAF">
      <w:pPr>
        <w:numPr>
          <w:ilvl w:val="1"/>
          <w:numId w:val="1"/>
        </w:numPr>
        <w:spacing w:after="240"/>
        <w:outlineLvl w:val="1"/>
        <w:rPr>
          <w:lang w:val="es-ES"/>
        </w:rPr>
      </w:pPr>
      <w:r w:rsidRPr="004C1EAF">
        <w:rPr>
          <w:i/>
          <w:iCs/>
          <w:lang w:val="es-ES"/>
        </w:rPr>
        <w:t>Refuerzo de la capacidad de los técnicos de mantenimiento de equipos de refrigeración y aire acondicionado</w:t>
      </w:r>
      <w:r w:rsidRPr="004C1EAF">
        <w:rPr>
          <w:lang w:val="es-ES"/>
        </w:rPr>
        <w:t xml:space="preserve"> Desarrollo de un plan voluntario de certificación de equipos de refrigeración y aire acondicionado que entre en vigor el 1 de enero de 2024 y certificación de 250 técnicos de mantenimiento; realización de seis talleres para capacitar a 150 técnicos en buenas prácticas de mantenimiento de equipos de refrigeración; revisión del código nacional de buenas prácticas para técnicos y actualización del manual de formación de técnicos para incluir cuestiones relacionadas con los HFC y buenas prácticas de trabajo con HC; realización de un taller para 40 integrantes de grupos de interés sobre el código de buenas prácticas y la gestión del plan de certificación; y divulgación de información sobre nuevos refrigerantes (PNUMA) (100.000 $EUA);</w:t>
      </w:r>
    </w:p>
    <w:p w14:paraId="4D3669BA" w14:textId="77777777" w:rsidR="004C1EAF" w:rsidRPr="004C1EAF" w:rsidRDefault="004C1EAF" w:rsidP="004C1EAF">
      <w:pPr>
        <w:numPr>
          <w:ilvl w:val="1"/>
          <w:numId w:val="1"/>
        </w:numPr>
        <w:spacing w:after="240"/>
        <w:outlineLvl w:val="1"/>
        <w:rPr>
          <w:lang w:val="es-ES"/>
        </w:rPr>
      </w:pPr>
      <w:r w:rsidRPr="004C1EAF">
        <w:rPr>
          <w:i/>
          <w:iCs/>
          <w:lang w:val="es-ES"/>
        </w:rPr>
        <w:t xml:space="preserve">Desarrollo de normas técnicas nacionales y fomento de la compra verde: </w:t>
      </w:r>
      <w:r w:rsidRPr="004C1EAF">
        <w:rPr>
          <w:lang w:val="es-ES"/>
        </w:rPr>
        <w:t>Desarrollo de normas técnicas para el mantenimiento de equipos de refrigeración y aire acondicionado en las que se incorporen la eficiencia energética y el uso seguro de tecnologías de bajo PCA en el país a partir del 1 de enero de 2024, seguido de dos talleres de mejora de capacidad</w:t>
      </w:r>
      <w:r w:rsidRPr="004C1EAF">
        <w:rPr>
          <w:lang w:val="es-ES"/>
        </w:rPr>
        <w:noBreakHyphen/>
        <w:t xml:space="preserve"> destinados a 40</w:t>
      </w:r>
      <w:r w:rsidRPr="004C1EAF">
        <w:rPr>
          <w:color w:val="FF0000"/>
          <w:lang w:val="es-ES"/>
        </w:rPr>
        <w:t xml:space="preserve"> </w:t>
      </w:r>
      <w:r w:rsidRPr="004C1EAF">
        <w:rPr>
          <w:lang w:val="es-ES"/>
        </w:rPr>
        <w:t>funcionarios encargados de las normas, inspectores ambientales y otros grupos de interés relevantes sobre la vigilancia de dichas normas; y desarrollo de un plan de compra verde de sistemas de equipos de refrigeración y aire acondicionado, tanto públicos como privados a partir del 1 de enero de 2026, seguido por dos talleres de creación de capacidad destinados a 50 funcionarios de compras con el objetivo de fomentar la adquisición de tecnologías respetuosas con el medio ambiente (PNUMA) (70.000 $EUA); y</w:t>
      </w:r>
      <w:r w:rsidRPr="004C1EAF">
        <w:rPr>
          <w:color w:val="4F81BD" w:themeColor="accent1"/>
          <w:lang w:val="es-ES"/>
        </w:rPr>
        <w:t xml:space="preserve"> </w:t>
      </w:r>
    </w:p>
    <w:p w14:paraId="3B82DFFC" w14:textId="77777777" w:rsidR="004C1EAF" w:rsidRPr="00405151" w:rsidRDefault="004C1EAF" w:rsidP="004C1EAF">
      <w:pPr>
        <w:numPr>
          <w:ilvl w:val="1"/>
          <w:numId w:val="1"/>
        </w:numPr>
        <w:spacing w:after="240"/>
        <w:outlineLvl w:val="1"/>
      </w:pPr>
      <w:r w:rsidRPr="004C1EAF">
        <w:rPr>
          <w:i/>
          <w:iCs/>
          <w:lang w:val="es-ES"/>
        </w:rPr>
        <w:lastRenderedPageBreak/>
        <w:t xml:space="preserve">Asistencia técnica y refuerzo de los centros de excelencia: </w:t>
      </w:r>
      <w:r w:rsidRPr="004C1EAF">
        <w:rPr>
          <w:lang w:val="es-ES"/>
        </w:rPr>
        <w:t>Adquisición de juegos de herramientas destinados a tres centros de excelencia, en función de sus necesidades</w:t>
      </w:r>
      <w:r w:rsidRPr="00405151">
        <w:rPr>
          <w:rStyle w:val="FootnoteReference"/>
          <w:szCs w:val="24"/>
        </w:rPr>
        <w:footnoteReference w:id="6"/>
      </w:r>
      <w:r w:rsidRPr="004C1EAF">
        <w:rPr>
          <w:lang w:val="es-ES"/>
        </w:rPr>
        <w:t xml:space="preserve">; adquisición de ocho equipos de identificación de refrigerantes; </w:t>
      </w:r>
      <w:bookmarkStart w:id="11" w:name="_Hlk117595915"/>
      <w:r w:rsidRPr="004C1EAF">
        <w:rPr>
          <w:lang w:val="es-ES"/>
        </w:rPr>
        <w:t>asistencia técnica para fomentar la introducción de R</w:t>
      </w:r>
      <w:r w:rsidRPr="004C1EAF">
        <w:rPr>
          <w:lang w:val="es-ES"/>
        </w:rPr>
        <w:noBreakHyphen/>
        <w:t>290 en el país;</w:t>
      </w:r>
      <w:bookmarkEnd w:id="11"/>
      <w:r w:rsidRPr="004C1EAF">
        <w:rPr>
          <w:lang w:val="es-ES"/>
        </w:rPr>
        <w:t xml:space="preserve"> y desarrollo de la infraestructura de regeneración y reutilización de refrigerantes estableciendo dos centros más de regeneración, lo que incluye la compra de equipos de regeneración y recuperación, bombonas y otros artículos</w:t>
      </w:r>
      <w:r w:rsidRPr="00405151">
        <w:rPr>
          <w:rStyle w:val="FootnoteReference"/>
          <w:szCs w:val="24"/>
        </w:rPr>
        <w:footnoteReference w:id="7"/>
      </w:r>
      <w:r w:rsidRPr="004C1EAF">
        <w:rPr>
          <w:lang w:val="es-ES"/>
        </w:rPr>
        <w:t xml:space="preserve">. </w:t>
      </w:r>
      <w:r>
        <w:t>(ONUDI) (215.000 $EUA).</w:t>
      </w:r>
    </w:p>
    <w:bookmarkEnd w:id="10"/>
    <w:p w14:paraId="26D7911A" w14:textId="77777777" w:rsidR="004C1EAF" w:rsidRPr="00405151" w:rsidRDefault="004C1EAF" w:rsidP="004C1EAF">
      <w:pPr>
        <w:pStyle w:val="ListParagraph"/>
        <w:ind w:left="0"/>
        <w:rPr>
          <w:i/>
        </w:rPr>
      </w:pPr>
      <w:r>
        <w:rPr>
          <w:i/>
        </w:rPr>
        <w:t>Ejecución de proyectos y seguimiento</w:t>
      </w:r>
    </w:p>
    <w:p w14:paraId="36E66205" w14:textId="77777777" w:rsidR="004C1EAF" w:rsidRPr="00405151" w:rsidRDefault="004C1EAF" w:rsidP="004C1EAF"/>
    <w:p w14:paraId="3F4B2FE9" w14:textId="77777777" w:rsidR="004C1EAF" w:rsidRPr="004C1EAF" w:rsidRDefault="004C1EAF" w:rsidP="004C1EAF">
      <w:pPr>
        <w:numPr>
          <w:ilvl w:val="0"/>
          <w:numId w:val="1"/>
        </w:numPr>
        <w:tabs>
          <w:tab w:val="clear" w:pos="0"/>
        </w:tabs>
        <w:spacing w:after="240"/>
        <w:outlineLvl w:val="0"/>
        <w:rPr>
          <w:lang w:val="es-ES"/>
        </w:rPr>
      </w:pPr>
      <w:r w:rsidRPr="004C1EAF">
        <w:rPr>
          <w:lang w:val="es-ES"/>
        </w:rPr>
        <w:t>El sistema establecido en el marco de la etapa I del PGEH continuará en la etapa II, de forma que la Dependencia Nacional del Ozono y el PNUMA supervisarán las actividades, informarán sobre los progresos realizados y trabajarán con las partes interesadas para la eliminación de los HCFC. El costo de estas actividades para el PNUMA asciende a 50,000 $EUA, que se destinarán a personal y consultores (22.000 $EUA), viajes de supervisión (5.000 $EUA), reuniones y talleres (21.000 $EUA) y otros costos varios (2.000 $EUA).</w:t>
      </w:r>
    </w:p>
    <w:p w14:paraId="4279CC2B" w14:textId="77777777" w:rsidR="004C1EAF" w:rsidRPr="004C1EAF" w:rsidRDefault="004C1EAF" w:rsidP="004C1EAF">
      <w:pPr>
        <w:rPr>
          <w:i/>
          <w:lang w:val="es-ES"/>
        </w:rPr>
      </w:pPr>
      <w:r w:rsidRPr="004C1EAF">
        <w:rPr>
          <w:i/>
          <w:lang w:val="es-ES"/>
        </w:rPr>
        <w:t>Implantación de los criterios de género</w:t>
      </w:r>
      <w:r w:rsidRPr="00405151">
        <w:rPr>
          <w:i/>
          <w:vertAlign w:val="superscript"/>
        </w:rPr>
        <w:footnoteReference w:id="8"/>
      </w:r>
    </w:p>
    <w:p w14:paraId="559A753F" w14:textId="77777777" w:rsidR="004C1EAF" w:rsidRPr="00F16401" w:rsidRDefault="004C1EAF" w:rsidP="004C1EAF">
      <w:pPr>
        <w:pStyle w:val="Default"/>
        <w:widowControl/>
        <w:jc w:val="both"/>
      </w:pPr>
    </w:p>
    <w:p w14:paraId="2190D3BF" w14:textId="77777777" w:rsidR="004C1EAF" w:rsidRPr="004C1EAF" w:rsidRDefault="004C1EAF" w:rsidP="004C1EAF">
      <w:pPr>
        <w:pStyle w:val="Heading1"/>
        <w:rPr>
          <w:lang w:val="es-ES"/>
        </w:rPr>
      </w:pPr>
      <w:r w:rsidRPr="004C1EAF">
        <w:rPr>
          <w:lang w:val="es-ES"/>
        </w:rPr>
        <w:t>El Gobierno de Eritrea y el PNUMA siguen comprometidos con la implantación de los criterios de género del Fondo y tienen previsto incorporar igualdad de género en las actividades y la gestión de la etapa II del PGEH; se tomarán como directriz los propios criterios de género del Gobierno, la Política Nacional de Género de Eritrea. Se recopilarán datos desagregados por género, que se revisarán durante las actividades de supervisión del proyecto, y los destinatarios de las actividad de extensión estarán equilibrados en cuanto a género. La Dependencia Nacional del Ozono consultará a los grupos de interés sobre la incorporación de indicadores específicos de género en el proceso de planificación, ejecución y elaboración de informes de cada uno de los componentes de la etapa II, y se centrará en apoyar una participación equilibrada por géneros en las actividades de capacitación y de creación de capacidad reservando cuotas para las mujeres.</w:t>
      </w:r>
    </w:p>
    <w:p w14:paraId="4C180267" w14:textId="77777777" w:rsidR="004C1EAF" w:rsidRPr="004C1EAF" w:rsidRDefault="004C1EAF" w:rsidP="004C1EAF">
      <w:pPr>
        <w:spacing w:after="240"/>
        <w:outlineLvl w:val="0"/>
        <w:rPr>
          <w:u w:val="single"/>
          <w:lang w:val="es-ES"/>
        </w:rPr>
      </w:pPr>
      <w:r w:rsidRPr="004C1EAF">
        <w:rPr>
          <w:u w:val="single"/>
          <w:lang w:val="es-ES"/>
        </w:rPr>
        <w:t>Costo total de la etapa II del PGEH</w:t>
      </w:r>
    </w:p>
    <w:p w14:paraId="50211637" w14:textId="77777777" w:rsidR="004C1EAF" w:rsidRPr="004C1EAF" w:rsidRDefault="004C1EAF" w:rsidP="004C1EAF">
      <w:pPr>
        <w:numPr>
          <w:ilvl w:val="0"/>
          <w:numId w:val="1"/>
        </w:numPr>
        <w:spacing w:after="240"/>
        <w:outlineLvl w:val="0"/>
        <w:rPr>
          <w:lang w:val="es-ES"/>
        </w:rPr>
      </w:pPr>
      <w:r w:rsidRPr="004C1EAF">
        <w:rPr>
          <w:lang w:val="es-ES"/>
        </w:rPr>
        <w:t>El costo total de la etapa II del PGEH de Eritrea se ha estimado en 540.000 $EUA (más gastos de apoyo a los organismos), tal como se comunicó inicialmente, con el objetivo de alcanzar en 2025 un 67,5 por ciento de reducción respecto al nivel básico de consumo de HCFC y un 100 por ciento de reducción en 2030. Las actividades propuestas y el desglose de costos se resumen en los apartados 18 y 20 anteriores.</w:t>
      </w:r>
    </w:p>
    <w:p w14:paraId="205E0BEE" w14:textId="77777777" w:rsidR="004C1EAF" w:rsidRPr="004C1EAF" w:rsidRDefault="004C1EAF" w:rsidP="006A4D88">
      <w:pPr>
        <w:keepNext/>
        <w:keepLines/>
        <w:widowControl w:val="0"/>
        <w:spacing w:after="240"/>
        <w:rPr>
          <w:u w:val="single"/>
          <w:lang w:val="es-ES"/>
        </w:rPr>
      </w:pPr>
      <w:r w:rsidRPr="004C1EAF">
        <w:rPr>
          <w:u w:val="single"/>
          <w:lang w:val="es-ES"/>
        </w:rPr>
        <w:lastRenderedPageBreak/>
        <w:t xml:space="preserve">Actividades planificadas para el primer tramo de la etapa II </w:t>
      </w:r>
    </w:p>
    <w:p w14:paraId="52FC7C08" w14:textId="77777777" w:rsidR="004C1EAF" w:rsidRPr="004C1EAF" w:rsidRDefault="004C1EAF" w:rsidP="006A4D88">
      <w:pPr>
        <w:pStyle w:val="Heading1"/>
        <w:keepNext/>
        <w:keepLines/>
        <w:widowControl w:val="0"/>
        <w:rPr>
          <w:lang w:val="es-ES"/>
        </w:rPr>
      </w:pPr>
      <w:r w:rsidRPr="004C1EAF">
        <w:rPr>
          <w:lang w:val="es-ES"/>
        </w:rPr>
        <w:t>El primer tramo de financiación de la etapa II del PGEH, con un costo total de 250.000 $EUA, se ejecutará entre enero de 2023 y diciembre de 2025 e incluirá las siguientes actividades:</w:t>
      </w:r>
    </w:p>
    <w:p w14:paraId="3B2F1F31" w14:textId="77777777" w:rsidR="004C1EAF" w:rsidRPr="004C1EAF" w:rsidRDefault="004C1EAF" w:rsidP="004C1EAF">
      <w:pPr>
        <w:numPr>
          <w:ilvl w:val="1"/>
          <w:numId w:val="1"/>
        </w:numPr>
        <w:spacing w:after="240"/>
        <w:outlineLvl w:val="1"/>
        <w:rPr>
          <w:lang w:val="es-ES"/>
        </w:rPr>
      </w:pPr>
      <w:bookmarkStart w:id="12" w:name="_Hlk118188661"/>
      <w:r w:rsidRPr="004C1EAF">
        <w:rPr>
          <w:i/>
          <w:iCs/>
          <w:lang w:val="es-ES"/>
        </w:rPr>
        <w:t xml:space="preserve">Actualización de la legislación relativa a las SAO y refuerzo de la vigilancia del cumplimiento de la normativa: </w:t>
      </w:r>
      <w:r w:rsidRPr="004C1EAF">
        <w:rPr>
          <w:lang w:val="es-ES"/>
        </w:rPr>
        <w:t>Ejecución y mantenimiento del sistema de concesión de licencias y cuotas; actualización de la normativa actual de las SAO para incluir los HFC en el sistema de concesión de licencias de importación a partir del 1 de enero de 2024; adopción del sistema armonizado de designación y de codificación de mercancías de 2022 a partir del 1 de enero de 2024;</w:t>
      </w:r>
      <w:r w:rsidRPr="004C1EAF">
        <w:rPr>
          <w:shd w:val="clear" w:color="auto" w:fill="FFFFFF"/>
          <w:lang w:val="es-ES"/>
        </w:rPr>
        <w:t xml:space="preserve"> </w:t>
      </w:r>
      <w:r w:rsidRPr="004C1EAF">
        <w:rPr>
          <w:lang w:val="es-ES"/>
        </w:rPr>
        <w:t xml:space="preserve">capacitación de 40 funcionarios de aduanas y de vigilancia sobre los cambios realizados a la legislación, la prevención del comercio ilegal y el reconocimiento de refrigerantes falsos; contratación de un experto para revisar el manual de formación con la información actualizada, incluidos los códigos arancelarios del </w:t>
      </w:r>
      <w:r w:rsidRPr="004C1EAF">
        <w:rPr>
          <w:shd w:val="clear" w:color="auto" w:fill="FFFFFF"/>
          <w:lang w:val="es-ES"/>
        </w:rPr>
        <w:t xml:space="preserve">sistema armonizado del 2022 correspondientes a las sustancias controladas por el Protocolo de Montreal; y </w:t>
      </w:r>
      <w:r w:rsidRPr="004C1EAF">
        <w:rPr>
          <w:lang w:val="es-ES"/>
        </w:rPr>
        <w:t>facilitación de tres encuentros con representantes de países vecinos para intercambiar información sobre el posible comercio ilegal de los HCFC (PNUMA) (35.000 $EUA);</w:t>
      </w:r>
    </w:p>
    <w:p w14:paraId="19CC5DF0" w14:textId="77777777" w:rsidR="004C1EAF" w:rsidRPr="004C1EAF" w:rsidRDefault="004C1EAF" w:rsidP="004C1EAF">
      <w:pPr>
        <w:numPr>
          <w:ilvl w:val="1"/>
          <w:numId w:val="1"/>
        </w:numPr>
        <w:spacing w:after="240"/>
        <w:outlineLvl w:val="1"/>
        <w:rPr>
          <w:lang w:val="es-ES"/>
        </w:rPr>
      </w:pPr>
      <w:r w:rsidRPr="004C1EAF">
        <w:rPr>
          <w:i/>
          <w:iCs/>
          <w:lang w:val="es-ES"/>
        </w:rPr>
        <w:t>Refuerzo de la capacidad de los técnicos de mantenimiento de equipos de refrigeración y aire acondicionado</w:t>
      </w:r>
      <w:r w:rsidRPr="004C1EAF">
        <w:rPr>
          <w:lang w:val="es-ES"/>
        </w:rPr>
        <w:t xml:space="preserve"> Contratación de un experto para dar apoyo al desarrollo de un plan voluntario de certificación en equipos de refrigeración y aire acondicionado</w:t>
      </w:r>
      <w:r w:rsidRPr="00405151">
        <w:rPr>
          <w:rStyle w:val="FootnoteReference"/>
        </w:rPr>
        <w:footnoteReference w:id="9"/>
      </w:r>
      <w:r w:rsidRPr="004C1EAF">
        <w:rPr>
          <w:lang w:val="es-ES"/>
        </w:rPr>
        <w:t xml:space="preserve"> y certificación de 50 técnicos de mantenimiento; revisión del manual de formación de técnicos; realización de un taller para capacitar a 30 técnicos en buenas prácticas de mantenimiento de equipos de refrigeración; realización de un taller para 40 integrantes de grupos de interés sobre el código de buenas prácticas y la gestión del plan de certificación (PNUMA) (35.000 $EUA);</w:t>
      </w:r>
    </w:p>
    <w:p w14:paraId="503C906F" w14:textId="77777777" w:rsidR="004C1EAF" w:rsidRPr="004C1EAF" w:rsidRDefault="004C1EAF" w:rsidP="004C1EAF">
      <w:pPr>
        <w:numPr>
          <w:ilvl w:val="1"/>
          <w:numId w:val="1"/>
        </w:numPr>
        <w:spacing w:after="240"/>
        <w:outlineLvl w:val="1"/>
        <w:rPr>
          <w:lang w:val="es-ES"/>
        </w:rPr>
      </w:pPr>
      <w:r w:rsidRPr="004C1EAF">
        <w:rPr>
          <w:i/>
          <w:iCs/>
          <w:lang w:val="es-ES"/>
        </w:rPr>
        <w:t xml:space="preserve">Desarrollo de normas técnicas nacionales y fomento de la compra verde: </w:t>
      </w:r>
      <w:r w:rsidRPr="004C1EAF">
        <w:rPr>
          <w:lang w:val="es-ES"/>
        </w:rPr>
        <w:t>Contratación de un consultor para la elaboración de normas técnicas para el mantenimiento de equipos de refrigeración y aire acondicionado que incorporen la eficiencia energética y el uso seguro de tecnologías de bajo PCA en el país a partir del 1 de enero de 2024; realización de un taller de mejora de capacidad destinados a 20 funcionarios encargados de las normas, inspectores ambientales y otros grupos de interés relevantes sobre la vigilancia de dichas normas (PNUMA) (25.000 $EUA);</w:t>
      </w:r>
    </w:p>
    <w:p w14:paraId="3E7DE0C5" w14:textId="77777777" w:rsidR="004C1EAF" w:rsidRPr="004C1EAF" w:rsidRDefault="004C1EAF" w:rsidP="004C1EAF">
      <w:pPr>
        <w:numPr>
          <w:ilvl w:val="1"/>
          <w:numId w:val="1"/>
        </w:numPr>
        <w:spacing w:after="240"/>
        <w:outlineLvl w:val="1"/>
        <w:rPr>
          <w:lang w:val="es-ES"/>
        </w:rPr>
      </w:pPr>
      <w:r w:rsidRPr="004C1EAF">
        <w:rPr>
          <w:i/>
          <w:iCs/>
          <w:lang w:val="es-ES"/>
        </w:rPr>
        <w:t xml:space="preserve">Asistencia técnica y refuerzo de los centros de excelencia: </w:t>
      </w:r>
      <w:r w:rsidRPr="004C1EAF">
        <w:rPr>
          <w:lang w:val="es-ES"/>
        </w:rPr>
        <w:t>Ayuda</w:t>
      </w:r>
      <w:r w:rsidRPr="004C1EAF">
        <w:rPr>
          <w:i/>
          <w:iCs/>
          <w:lang w:val="es-ES"/>
        </w:rPr>
        <w:t xml:space="preserve"> </w:t>
      </w:r>
      <w:r w:rsidRPr="004C1EAF">
        <w:rPr>
          <w:lang w:val="es-ES"/>
        </w:rPr>
        <w:t xml:space="preserve"> al desarrollo de la infraestructura de recuperación y reutilización de refrigerantes proporcionando asistencia técnica para elaborar un modelo de negocio y creando un centro de regeneración; asistencia técnica para fomentar la introducción de R</w:t>
      </w:r>
      <w:r w:rsidRPr="004C1EAF">
        <w:rPr>
          <w:lang w:val="es-ES"/>
        </w:rPr>
        <w:noBreakHyphen/>
        <w:t>290; y adquisición y distribución de herramientas y equipos</w:t>
      </w:r>
      <w:r w:rsidRPr="00405151">
        <w:rPr>
          <w:rStyle w:val="FootnoteReference"/>
          <w:szCs w:val="24"/>
        </w:rPr>
        <w:footnoteReference w:id="10"/>
      </w:r>
      <w:r w:rsidRPr="004C1EAF">
        <w:rPr>
          <w:lang w:val="es-ES"/>
        </w:rPr>
        <w:t xml:space="preserve"> destinados a tres centros de excelencia (ONUDI) (135.000 $EUA); y</w:t>
      </w:r>
    </w:p>
    <w:p w14:paraId="7E24B55D" w14:textId="77777777" w:rsidR="004C1EAF" w:rsidRPr="004C1EAF" w:rsidRDefault="004C1EAF" w:rsidP="004C1EAF">
      <w:pPr>
        <w:numPr>
          <w:ilvl w:val="1"/>
          <w:numId w:val="1"/>
        </w:numPr>
        <w:spacing w:after="240"/>
        <w:outlineLvl w:val="1"/>
        <w:rPr>
          <w:lang w:val="es-ES"/>
        </w:rPr>
      </w:pPr>
      <w:r w:rsidRPr="004C1EAF">
        <w:rPr>
          <w:i/>
          <w:iCs/>
          <w:lang w:val="es-ES"/>
        </w:rPr>
        <w:t xml:space="preserve">Ejecución de proyectos y seguimiento: </w:t>
      </w:r>
      <w:r w:rsidRPr="004C1EAF">
        <w:rPr>
          <w:lang w:val="es-ES"/>
        </w:rPr>
        <w:t>Coordinación, supervisión, evaluación y generación de informes sobre las actividades del PGEH, incluidas seis visitas de seguimiento (PNUMA) (20,000 $EUA).</w:t>
      </w:r>
    </w:p>
    <w:bookmarkEnd w:id="12"/>
    <w:p w14:paraId="614E9BC8" w14:textId="77777777" w:rsidR="004C1EAF" w:rsidRPr="004C1EAF" w:rsidRDefault="004C1EAF" w:rsidP="006A4D88">
      <w:pPr>
        <w:keepNext/>
        <w:keepLines/>
        <w:widowControl w:val="0"/>
        <w:spacing w:after="240"/>
        <w:jc w:val="center"/>
        <w:rPr>
          <w:b/>
          <w:lang w:val="es-ES"/>
        </w:rPr>
      </w:pPr>
      <w:r w:rsidRPr="004C1EAF">
        <w:rPr>
          <w:b/>
          <w:lang w:val="es-ES"/>
        </w:rPr>
        <w:lastRenderedPageBreak/>
        <w:t>OBSERVACIONES Y RECOMENDACIÓN DE LA SECRETARÍA</w:t>
      </w:r>
    </w:p>
    <w:p w14:paraId="1FBB302F" w14:textId="77777777" w:rsidR="004C1EAF" w:rsidRPr="00405151" w:rsidRDefault="004C1EAF" w:rsidP="006A4D88">
      <w:pPr>
        <w:keepNext/>
        <w:keepLines/>
        <w:widowControl w:val="0"/>
        <w:spacing w:after="240"/>
        <w:rPr>
          <w:b/>
        </w:rPr>
      </w:pPr>
      <w:r>
        <w:rPr>
          <w:b/>
        </w:rPr>
        <w:t>OBSERVACIONES</w:t>
      </w:r>
    </w:p>
    <w:p w14:paraId="6B343D75" w14:textId="77777777" w:rsidR="004C1EAF" w:rsidRPr="004C1EAF" w:rsidRDefault="004C1EAF" w:rsidP="006A4D88">
      <w:pPr>
        <w:keepNext/>
        <w:keepLines/>
        <w:widowControl w:val="0"/>
        <w:numPr>
          <w:ilvl w:val="0"/>
          <w:numId w:val="1"/>
        </w:numPr>
        <w:spacing w:after="240"/>
        <w:outlineLvl w:val="0"/>
        <w:rPr>
          <w:lang w:val="es-ES"/>
        </w:rPr>
      </w:pPr>
      <w:r w:rsidRPr="004C1EAF">
        <w:rPr>
          <w:lang w:val="es-ES"/>
        </w:rPr>
        <w:t xml:space="preserve">La Secretaría ha examinado la etapa II del PGEH a la luz de la etapa I, las políticas y directrices del Fondo Multilateral, incluidos los criterios para financiar la eliminación de los HCFC en el sector de consumo en la etapa II de los PGEH (decisión 74/50), y el plan administrativo para el período 2022-2024 del Fondo Multilateral. </w:t>
      </w:r>
    </w:p>
    <w:p w14:paraId="4E26AF28" w14:textId="77777777" w:rsidR="004C1EAF" w:rsidRPr="008E5609" w:rsidRDefault="004C1EAF" w:rsidP="004C1EAF">
      <w:pPr>
        <w:spacing w:after="240"/>
        <w:outlineLvl w:val="0"/>
        <w:rPr>
          <w:u w:val="single"/>
          <w:lang w:val="es-ES_tradnl"/>
        </w:rPr>
      </w:pPr>
      <w:r w:rsidRPr="008E5609">
        <w:rPr>
          <w:u w:val="single"/>
          <w:lang w:val="es-ES_tradnl"/>
        </w:rPr>
        <w:t>Eliminación de los HCFC</w:t>
      </w:r>
    </w:p>
    <w:p w14:paraId="3D1A82E6" w14:textId="77777777" w:rsidR="004C1EAF" w:rsidRPr="004C1EAF" w:rsidRDefault="004C1EAF" w:rsidP="004C1EAF">
      <w:pPr>
        <w:pStyle w:val="Heading1"/>
        <w:rPr>
          <w:lang w:val="es-ES"/>
        </w:rPr>
      </w:pPr>
      <w:r w:rsidRPr="008E5609">
        <w:rPr>
          <w:lang w:val="es-ES_tradnl"/>
        </w:rPr>
        <w:t>La Secretaría ha debatido los objetivos de eliminación para</w:t>
      </w:r>
      <w:r w:rsidRPr="004C1EAF">
        <w:rPr>
          <w:lang w:val="es-ES"/>
        </w:rPr>
        <w:t xml:space="preserve"> el periodo de 2022 a 2030 teniendo en cuenta la tendencia de reducción del consumo del HCFC-22 notificada de 2017 a 2021 y la cuota de HCFC asignada para 2022, de 0,67 toneladas PAO (un 38,5 por ciento de reducción respecto del nivel básico). Posteriormente, el PNUMA indicó que el Gobierno de Eritrea había acordado revisar el calendario de eliminación gradual con los pasos de reducción acelerados del 38,5 por ciento, el 45 por ciento, el 67,5 por ciento y el 100 por ciento en 2022, 2023, 2025 y 2030 respectivamente.</w:t>
      </w:r>
    </w:p>
    <w:p w14:paraId="3D1C8493" w14:textId="77777777" w:rsidR="004C1EAF" w:rsidRPr="008E5609" w:rsidRDefault="004C1EAF" w:rsidP="004C1EAF">
      <w:pPr>
        <w:spacing w:after="240"/>
        <w:rPr>
          <w:u w:val="single"/>
          <w:lang w:val="es-ES_tradnl"/>
        </w:rPr>
      </w:pPr>
      <w:r w:rsidRPr="008E5609">
        <w:rPr>
          <w:u w:val="single"/>
          <w:lang w:val="es-ES_tradnl"/>
        </w:rPr>
        <w:t>Estrategia general</w:t>
      </w:r>
    </w:p>
    <w:p w14:paraId="0A16DF23" w14:textId="77777777" w:rsidR="004C1EAF" w:rsidRPr="004C1EAF" w:rsidRDefault="004C1EAF" w:rsidP="004C1EAF">
      <w:pPr>
        <w:numPr>
          <w:ilvl w:val="0"/>
          <w:numId w:val="1"/>
        </w:numPr>
        <w:spacing w:after="240"/>
        <w:outlineLvl w:val="0"/>
        <w:rPr>
          <w:lang w:val="es-ES"/>
        </w:rPr>
      </w:pPr>
      <w:r w:rsidRPr="008E5609">
        <w:rPr>
          <w:lang w:val="es-ES_tradnl"/>
        </w:rPr>
        <w:t>El Gobierno de Eritrea propone cumplir con el 100 por ciento de reducción de su nivel básico de consumo de HCFC en 2030, y mantener un consumo anual máximo de HCFC durante el período 2030-2040 en consonancia con el párrafo 8 ter. e) i) del artículo 5 del Protocolo de Montreal</w:t>
      </w:r>
      <w:r w:rsidRPr="008E5609">
        <w:rPr>
          <w:vertAlign w:val="superscript"/>
          <w:lang w:val="es-ES_tradnl"/>
        </w:rPr>
        <w:footnoteReference w:id="11"/>
      </w:r>
      <w:r w:rsidRPr="008E5609">
        <w:rPr>
          <w:lang w:val="es-ES_tradnl"/>
        </w:rPr>
        <w:t>. El Gobierno de Eritrea está comprometido con</w:t>
      </w:r>
      <w:r w:rsidRPr="004C1EAF">
        <w:rPr>
          <w:lang w:val="es-ES"/>
        </w:rPr>
        <w:t xml:space="preserve"> seguir estableciendo un control estricto de las importaciones, supervisando los niveles de importación y los usos de los HCFC durante ese período para asegurar que se cumple con el Protocolo de Montreal.</w:t>
      </w:r>
    </w:p>
    <w:p w14:paraId="2A7AEC20" w14:textId="77777777" w:rsidR="004C1EAF" w:rsidRPr="004C1EAF" w:rsidRDefault="004C1EAF" w:rsidP="004C1EAF">
      <w:pPr>
        <w:pStyle w:val="Heading1"/>
        <w:rPr>
          <w:lang w:val="es-ES"/>
        </w:rPr>
      </w:pPr>
      <w:r w:rsidRPr="004C1EAF">
        <w:rPr>
          <w:lang w:val="es-ES"/>
        </w:rPr>
        <w:t>En línea con la decisión 86/51, para permitir el examen del tramo final de su PGEH, el Gobierno de Eritrea conviene en presentar una descripción detallada del marco normativo y de políticas para aplicar medidas destinadas a garantizar que el consumo de HCFC sea conforme con el apartado 8 ter. e) i) del artículo 5 del Protocolo de Montreal en el período 2030-2040 y con el consumo anual previsto en Eritrea para el mismo período.</w:t>
      </w:r>
    </w:p>
    <w:p w14:paraId="48C15A1F" w14:textId="77777777" w:rsidR="004C1EAF" w:rsidRPr="004C1EAF" w:rsidRDefault="004C1EAF" w:rsidP="004C1EAF">
      <w:pPr>
        <w:spacing w:after="240"/>
        <w:rPr>
          <w:u w:val="single"/>
          <w:lang w:val="es-ES"/>
        </w:rPr>
      </w:pPr>
      <w:r w:rsidRPr="004C1EAF">
        <w:rPr>
          <w:u w:val="single"/>
          <w:lang w:val="es-ES"/>
        </w:rPr>
        <w:t xml:space="preserve">Normativa que da soporte a la eliminación de los HCFC </w:t>
      </w:r>
    </w:p>
    <w:p w14:paraId="3CAB3094" w14:textId="77777777" w:rsidR="004C1EAF" w:rsidRPr="004C1EAF" w:rsidRDefault="004C1EAF" w:rsidP="004C1EAF">
      <w:pPr>
        <w:pStyle w:val="Heading1"/>
        <w:rPr>
          <w:lang w:val="es-ES"/>
        </w:rPr>
      </w:pPr>
      <w:r w:rsidRPr="004C1EAF">
        <w:rPr>
          <w:lang w:val="es-ES"/>
        </w:rPr>
        <w:t>La Secretaría ha pedido al PNUMA y al Gobierno de Eritrea que evaluaran la posibilidad de prohibir en un plazo breve la importaciones de equipos que empleen HCFC</w:t>
      </w:r>
      <w:r w:rsidRPr="004C1EAF">
        <w:rPr>
          <w:lang w:val="es-ES"/>
        </w:rPr>
        <w:noBreakHyphen/>
        <w:t>22</w:t>
      </w:r>
      <w:r w:rsidRPr="004C1EAF">
        <w:rPr>
          <w:lang w:val="es-ES"/>
        </w:rPr>
        <w:noBreakHyphen/>
        <w:t>. El PNUMA respondió que el marco legal actual (nota legal 117/2010) prohíbe la importación y exportación de equipos que emplean SAO, excepto si dichos equipos se hubieran considerado exentos por el Ministerio de Medio Ambiente, quien ha definido los criterios para dichas exenciones</w:t>
      </w:r>
      <w:r w:rsidRPr="00405151">
        <w:rPr>
          <w:rStyle w:val="FootnoteReference"/>
        </w:rPr>
        <w:footnoteReference w:id="12"/>
      </w:r>
      <w:r w:rsidRPr="004C1EAF">
        <w:rPr>
          <w:lang w:val="es-ES"/>
        </w:rPr>
        <w:t>. Por otra parte, en el informe sobre importaciones de los últimos tres años no hay reflejado ningún equipo que emplee HCFC. La Secretaría preguntó sobre las importaciones de equipos de refrigeración y aire acondicionado de segunda mano y el PNUMA respondió que dichas importaciones se habían frenado como consecuencia de los aranceles aduaneros. El PNUMA destacó que el Gobierno tiene previsto prohibir, a partir del 1 de enero de 2023, las importaciones de HCFC para usos diferentes al remanente destinado a tareas de mantenimiento.</w:t>
      </w:r>
    </w:p>
    <w:p w14:paraId="0E736507" w14:textId="77777777" w:rsidR="004C1EAF" w:rsidRPr="008E5609" w:rsidRDefault="004C1EAF" w:rsidP="004C1EAF">
      <w:pPr>
        <w:spacing w:after="240"/>
        <w:rPr>
          <w:u w:val="single"/>
          <w:lang w:val="es-ES_tradnl"/>
        </w:rPr>
      </w:pPr>
      <w:r w:rsidRPr="008E5609">
        <w:rPr>
          <w:u w:val="single"/>
          <w:lang w:val="es-ES_tradnl"/>
        </w:rPr>
        <w:lastRenderedPageBreak/>
        <w:t>Aspectos técnicos y de costes</w:t>
      </w:r>
    </w:p>
    <w:p w14:paraId="7BF7670D" w14:textId="77777777" w:rsidR="004C1EAF" w:rsidRPr="004C1EAF" w:rsidRDefault="004C1EAF" w:rsidP="004C1EAF">
      <w:pPr>
        <w:pStyle w:val="Heading1"/>
        <w:rPr>
          <w:lang w:val="es-ES"/>
        </w:rPr>
      </w:pPr>
      <w:r w:rsidRPr="004C1EAF">
        <w:rPr>
          <w:lang w:val="es-ES"/>
        </w:rPr>
        <w:t xml:space="preserve">La Secretaría mostró su preocupación por el hecho de que, en este momento, las importaciones de HCFC de Eritrea representan un 85 por ciento del mercado de refrigerantes, mientras que las importaciones de HC corresponden a un 4 por ciento. Como consecuencia, la Secretaría preguntó cuáles son las principales barreras a una adopción más amplia de las alternativas de bajo o nulo potencial de calentamiento atmosférico en el sector de equipos de refrigeración y aire acondicionado. </w:t>
      </w:r>
      <w:bookmarkStart w:id="13" w:name="_Hlk117927267"/>
      <w:r w:rsidRPr="004C1EAF">
        <w:rPr>
          <w:lang w:val="es-ES"/>
        </w:rPr>
        <w:t>El PNUMA respondió que había cuestiones de seguridad asociadas con la inflamabilidad y la toxicidad: El país no ha adoptado aún normas de seguridad para gestionar las alternativas inflamables y la cantidad de técnicos formados y de herramientas específicas disponibles siguen siendo insuficientes para dar respuesta a los retos asociados con el mantenimiento de equipos con refrigerantes inflamables</w:t>
      </w:r>
      <w:bookmarkEnd w:id="13"/>
      <w:r w:rsidRPr="004C1EAF">
        <w:rPr>
          <w:lang w:val="es-ES"/>
        </w:rPr>
        <w:t>, dificultades que se resolverán durante la ejecución de la etapa II. Por otra parte, el PNUMA destacó que el Gobierno de Eritrea se había comprometido a modificar los criterios de compra verde para asegurarse de que las entidades públicas adquieran equipos de refrigeración y aire acondicionado energéticamente eficientes y de bajo PCA, y que se espera que las iniciativas de concienciación animen a los compradores con influencia del mercado a adoptar una política de compras verdes que reduzca la demanda actual de HFC.</w:t>
      </w:r>
    </w:p>
    <w:p w14:paraId="5D394FB0" w14:textId="77777777" w:rsidR="004C1EAF" w:rsidRPr="004C1EAF" w:rsidRDefault="004C1EAF" w:rsidP="004C1EAF">
      <w:pPr>
        <w:pStyle w:val="Heading1"/>
        <w:rPr>
          <w:lang w:val="es-ES"/>
        </w:rPr>
      </w:pPr>
      <w:r w:rsidRPr="004C1EAF">
        <w:rPr>
          <w:lang w:val="es-ES"/>
        </w:rPr>
        <w:t>En cuanto al plan de certificación, el PNUMA informó de que inicialmente se aplicaría de forma voluntaria, cobrando una tarifa que permita sostener el programa y cubrir los costos asociados con el proceso. Sin embargo, hasta que se haya creado capacidad adicional en el sector de mantenimiento, el requisito de que solo los técnicos certificados puedan proporcionar mantenimiento en Eritrea sigue siendo un objetivo al que aspirar. Mientras tanto, se irá informando a los usuarios finales y al público general de la necesidad de contratar únicamente a técnicos certificados, a fin de animar a los técnicos a que soliciten la certificación.</w:t>
      </w:r>
    </w:p>
    <w:p w14:paraId="7AB2F76A" w14:textId="77777777" w:rsidR="004C1EAF" w:rsidRPr="004C1EAF" w:rsidRDefault="004C1EAF" w:rsidP="004C1EAF">
      <w:pPr>
        <w:pStyle w:val="Heading1"/>
        <w:suppressAutoHyphens/>
        <w:rPr>
          <w:lang w:val="es-ES"/>
        </w:rPr>
      </w:pPr>
      <w:r w:rsidRPr="004C1EAF">
        <w:rPr>
          <w:lang w:val="es-ES"/>
        </w:rPr>
        <w:t xml:space="preserve">En las conversaciones con la ONUDI sobre la adquisición de equipos adicionales, la Secretaría observó que estaba previsto distribuir una estación de regeneración y 34 equipos de recuperación entre cuatro centros de excelencia, lo que resulta insuficiente para establecer un plan de recuperación y reutilización de refrigerantes en el país. Por este motivo, se decidió que, como parte del primer tramo, la ONUDI daría soporte a Eritrea para desarrollar un modelo de negocio que permita rediseñar un plan de recuperación y reutilización adecuado. Si el estudio que se llevará a cabo para desarrollar el modelo de negocio concluyera que no es necesario añadir nuevas estaciones de regeneración, la adquisición de otros equipos de formación, como simuladores de sistemas de refrigeración, se propondría en la comunicación correspondiente al segundo tramo. </w:t>
      </w:r>
      <w:r w:rsidRPr="004C1EAF">
        <w:rPr>
          <w:color w:val="000000"/>
          <w:lang w:val="es-ES"/>
        </w:rPr>
        <w:t>Por otra parte, la ONUDI confirmó que el soporte a los centros de excelencia incluye formación en el uso de herramientas y equipos.</w:t>
      </w:r>
    </w:p>
    <w:p w14:paraId="3ECA8D9A" w14:textId="77777777" w:rsidR="004C1EAF" w:rsidRPr="004C1EAF" w:rsidRDefault="004C1EAF" w:rsidP="004C1EAF">
      <w:pPr>
        <w:pStyle w:val="Heading1"/>
        <w:rPr>
          <w:lang w:val="es-ES"/>
        </w:rPr>
      </w:pPr>
      <w:r w:rsidRPr="004C1EAF">
        <w:rPr>
          <w:lang w:val="es-ES"/>
        </w:rPr>
        <w:t>El plan inicial del primer tramo incluía la adquisición de una estación de regeneración adicional, mientras que la compra de los equipos de identificación de SAO estaba prevista para el segundo tramo. No obstante, hay una necesidad urgente de adquirir dichos equipos de identificación de SAO, puesto que los instalados actualmente en el país están fuera de servicio. Esto ha obligado a redistribuir las asignaciones del primer y segundo tramo para conseguir una ejecución más eficaz en materia de costos. La redistribución incluye un aumento de 30.000 $EUA para el primer tramo y la reducción correspondiente en el segundo tramo.</w:t>
      </w:r>
    </w:p>
    <w:p w14:paraId="7BA71C97" w14:textId="77777777" w:rsidR="004C1EAF" w:rsidRPr="004C1EAF" w:rsidRDefault="004C1EAF" w:rsidP="004C1EAF">
      <w:pPr>
        <w:pStyle w:val="Heading1"/>
        <w:rPr>
          <w:lang w:val="es-ES"/>
        </w:rPr>
      </w:pPr>
      <w:r w:rsidRPr="004C1EAF">
        <w:rPr>
          <w:lang w:val="es-ES"/>
        </w:rPr>
        <w:t>La Secretaría consultó con la ONUDI la posibilidad de ampliar el alcance de la asistencia técnica a la introducción de R-290 en Eritrea a fin de abarcar todas las sustancias alternativa de bajo PCA, incluidos los refrigerantes inflamables. Como resultado, la ONUDI aceptó el cambio e indicó que contratarán un experto internacional para impartir formación teórica y práctica de 80 instructores en equipos de refrigeración y aire acondicionado en las dos ciudades principales del país</w:t>
      </w:r>
      <w:r w:rsidRPr="004C1EAF">
        <w:rPr>
          <w:color w:val="000000"/>
          <w:lang w:val="es-ES"/>
        </w:rPr>
        <w:t xml:space="preserve">. </w:t>
      </w:r>
    </w:p>
    <w:p w14:paraId="5500D047" w14:textId="77777777" w:rsidR="004C1EAF" w:rsidRPr="00405151" w:rsidRDefault="004C1EAF" w:rsidP="006A4D88">
      <w:pPr>
        <w:pStyle w:val="ListParagraph"/>
        <w:keepNext/>
        <w:keepLines/>
        <w:widowControl w:val="0"/>
        <w:spacing w:after="240"/>
        <w:ind w:left="0"/>
        <w:outlineLvl w:val="0"/>
        <w:rPr>
          <w:iCs/>
        </w:rPr>
      </w:pPr>
      <w:r>
        <w:rPr>
          <w:iCs/>
          <w:u w:val="single"/>
        </w:rPr>
        <w:lastRenderedPageBreak/>
        <w:t>Sostenibilidad de la eliminación de los HCFC y evaluación de los riesgos</w:t>
      </w:r>
    </w:p>
    <w:p w14:paraId="1B4324B6" w14:textId="77777777" w:rsidR="004C1EAF" w:rsidRPr="004C1EAF" w:rsidRDefault="004C1EAF" w:rsidP="006A4D88">
      <w:pPr>
        <w:pStyle w:val="Heading1"/>
        <w:keepNext/>
        <w:keepLines/>
        <w:widowControl w:val="0"/>
        <w:rPr>
          <w:lang w:val="es-ES"/>
        </w:rPr>
      </w:pPr>
      <w:r w:rsidRPr="004C1EAF">
        <w:rPr>
          <w:lang w:val="es-ES"/>
        </w:rPr>
        <w:t xml:space="preserve">La Secretaría comentó con el PNUMA, como organismo de ejecución principal en Eritrea, los factores que pueden poner en riesgos la eliminación total de los HCFC y la sostenibilidad de los logros del PGEH. Los principales riesgos identificados en dicho análisis fueron debidos a causas externas, como una nueva pandemia o epidemia, la posibilidad de que se produzcan conflictos políticos internos y el comercio ilegal, debido a la "permeabilidad" de las fronteras del país. Por tanto, los organismos de ejecución prestarán atención a las posibles crisis políticas o de salud a que pueda enfrentarse el país, de forma que puedan ajustar la ejecución del proyecto, tal como ya han hecho como respuesta a la pandemia del COVID-19. Además, los organismos de ejecución informarán al Comité Ejecutivo y lucharán porque se tomen decisiones para gestionar las situaciones críticas cuando sea necesario. </w:t>
      </w:r>
    </w:p>
    <w:p w14:paraId="79E429B0" w14:textId="77777777" w:rsidR="004C1EAF" w:rsidRPr="004C1EAF" w:rsidRDefault="004C1EAF" w:rsidP="004C1EAF">
      <w:pPr>
        <w:pStyle w:val="Heading1"/>
        <w:spacing w:before="240"/>
        <w:rPr>
          <w:lang w:val="es-ES"/>
        </w:rPr>
      </w:pPr>
      <w:r w:rsidRPr="004C1EAF">
        <w:rPr>
          <w:lang w:val="es-ES"/>
        </w:rPr>
        <w:t xml:space="preserve">En cuanto a la detección de un posible comercio ilegal, las aduanas y la Dependencia Nacional del Ozono están realizando actividades conjuntas de supervisión del mercado como parte de la ejecución del proyecto de fortalecimiento institucional. Además, hay una buena colaboración entre los funcionarios de la policía fronteriza y los funcionarios de aduanas situados en las entradas del país a fin de prevenir el comercio ilegal de todos los productos peligrosos para el medio ambiente. El PNUMA ha informado de que se ha introducido un módulo sobre las SAO en el plan de estudios de la escuela de formación del personal de aduanas a fin de forma a los funcionarios que acaban de incorporarse en los conceptos relacionados con las SAO. Además, en colaboración con las autoridades de aduanas y la Dependencia Nacional del Ozono, prosiguen las actividades de formación y la mejora de la capacidad de los funcionarios de aduanas y funcionarios encargados de hacer cumplir la ley. </w:t>
      </w:r>
    </w:p>
    <w:p w14:paraId="41204165" w14:textId="77777777" w:rsidR="004C1EAF" w:rsidRPr="00405151" w:rsidRDefault="004C1EAF" w:rsidP="004C1EAF">
      <w:pPr>
        <w:pStyle w:val="ListParagraph"/>
        <w:numPr>
          <w:ilvl w:val="0"/>
          <w:numId w:val="1"/>
        </w:numPr>
        <w:spacing w:before="240"/>
      </w:pPr>
      <w:r>
        <w:t>Para asegurar la sostenibilidad de la capacitación de técnicos, se está animando a los centros de formación en refrigeración y aire acondicionado a que incorporen buenas prácticas de mantenimiento en los cursos de sus planes de estudio, y en la etapa II se ha planificado desarrollar un plan de certificación de los técnicos de equipos de refrigeración y aire acondicionado. Por otra parte, los centros de excelencia asesorarán sobre asuntos tecnológicos y prestarán herramientas a los técnicos para llevar a cabo el mantenimiento de los equipos; de esta manera se da respuesta a dificultades a que se enfrenta el sector de equipos de refrigeración y aire acondicionado para introducir buenas práctica y reducir fugas. Se dará responsabilidad a los centros de excelencia sobre el proceso de recuperación y reutilización y para introducir programas comerciales que permitan la sostenibilidad de dicho proceso a largo plazo.</w:t>
      </w:r>
    </w:p>
    <w:p w14:paraId="0D798E4B" w14:textId="77777777" w:rsidR="004C1EAF" w:rsidRPr="008E5609" w:rsidRDefault="004C1EAF" w:rsidP="004C1EAF">
      <w:pPr>
        <w:spacing w:before="240" w:after="240"/>
        <w:outlineLvl w:val="0"/>
        <w:rPr>
          <w:u w:val="single"/>
          <w:lang w:val="es-ES_tradnl"/>
        </w:rPr>
      </w:pPr>
      <w:r w:rsidRPr="008E5609">
        <w:rPr>
          <w:u w:val="single"/>
          <w:lang w:val="es-ES_tradnl"/>
        </w:rPr>
        <w:t>Costo total del proyecto</w:t>
      </w:r>
    </w:p>
    <w:p w14:paraId="0B549B7B" w14:textId="77777777" w:rsidR="004C1EAF" w:rsidRPr="008E5609" w:rsidRDefault="004C1EAF" w:rsidP="004C1EAF">
      <w:pPr>
        <w:pStyle w:val="Heading1"/>
        <w:rPr>
          <w:u w:val="single"/>
          <w:lang w:val="es-ES_tradnl"/>
        </w:rPr>
      </w:pPr>
      <w:r w:rsidRPr="008E5609">
        <w:rPr>
          <w:lang w:val="es-ES_tradnl"/>
        </w:rPr>
        <w:t>El coste total de la etapa II del PGEH asciende a 540.000 $EUA,</w:t>
      </w:r>
      <w:r w:rsidRPr="008E5609">
        <w:rPr>
          <w:color w:val="000000"/>
          <w:lang w:val="es-ES_tradnl"/>
        </w:rPr>
        <w:t xml:space="preserve"> </w:t>
      </w:r>
      <w:r w:rsidRPr="008E5609">
        <w:rPr>
          <w:lang w:val="es-ES_tradnl"/>
        </w:rPr>
        <w:t xml:space="preserve">de acuerdo con la decisión 74/50 c) xii) relativa a los niveles de financiación admisibles para los países de bajo volumen de consumo. En relación con la redistribución de las asignaciones para el primer y el segundo tramo a que se hace referencia en el párrafo 31, la financiación del primer tramo se ha acordado en </w:t>
      </w:r>
      <w:r w:rsidRPr="008E5609">
        <w:rPr>
          <w:color w:val="000000"/>
          <w:lang w:val="es-ES_tradnl"/>
        </w:rPr>
        <w:t>220.000 $EUA más unos gastos de apoyo al proyecto de 24.400 $EUA, y la del segundo tramo en 245.000 $EUA</w:t>
      </w:r>
      <w:r w:rsidRPr="008E5609">
        <w:rPr>
          <w:lang w:val="es-ES_tradnl"/>
        </w:rPr>
        <w:t xml:space="preserve"> más unos gastos de apoyo al proyecto de 27.450 $EUA.</w:t>
      </w:r>
    </w:p>
    <w:p w14:paraId="47DD750E" w14:textId="77777777" w:rsidR="004C1EAF" w:rsidRPr="008E5609" w:rsidRDefault="004C1EAF" w:rsidP="004C1EAF">
      <w:pPr>
        <w:pStyle w:val="Heading1"/>
        <w:numPr>
          <w:ilvl w:val="0"/>
          <w:numId w:val="0"/>
        </w:numPr>
        <w:rPr>
          <w:u w:val="single"/>
          <w:lang w:val="es-ES_tradnl"/>
        </w:rPr>
      </w:pPr>
      <w:r w:rsidRPr="008E5609">
        <w:rPr>
          <w:u w:val="single"/>
          <w:lang w:val="es-ES_tradnl"/>
        </w:rPr>
        <w:t>Efectos sobre el clima</w:t>
      </w:r>
    </w:p>
    <w:p w14:paraId="15E07CD8" w14:textId="77777777" w:rsidR="004C1EAF" w:rsidRPr="004C1EAF" w:rsidRDefault="004C1EAF" w:rsidP="004C1EAF">
      <w:pPr>
        <w:pStyle w:val="Heading1"/>
        <w:rPr>
          <w:lang w:val="es-ES"/>
        </w:rPr>
      </w:pPr>
      <w:r w:rsidRPr="004C1EAF">
        <w:rPr>
          <w:lang w:val="es-ES"/>
        </w:rPr>
        <w:t>Las actividades propuestas en el sector de mantenimiento de equipos, que incluyen mejorar el confinamiento de los refrigerantes mediante la capacitación y el suministro de equipos, reducirán aún más la cantidad de HCFC</w:t>
      </w:r>
      <w:r w:rsidRPr="004C1EAF">
        <w:rPr>
          <w:lang w:val="es-ES"/>
        </w:rPr>
        <w:noBreakHyphen/>
        <w:t>22 utilizada para el mantenimiento de los equipos de refrigeración y aire acondicionado. Cada kilogramo de HCFC-22 no emitido debido a mejores prácticas de refrigeración produce un ahorro de 1,8 toneladas eq. de CO</w:t>
      </w:r>
      <w:r w:rsidRPr="004C1EAF">
        <w:rPr>
          <w:vertAlign w:val="subscript"/>
          <w:lang w:val="es-ES"/>
        </w:rPr>
        <w:t>2</w:t>
      </w:r>
      <w:r w:rsidRPr="004C1EAF">
        <w:rPr>
          <w:lang w:val="es-ES"/>
        </w:rPr>
        <w:t xml:space="preserve"> aproximadamente. En el PGEH se incluye un cálculo de los efectos sobre el clima. Las actividades previstas por Eritrea, incluidos sus esfuerzos para promover el uso de sustancias alternativas con bajo potencial de calentamiento atmosférico, las buenas prácticas de mantenimiento de equipos de refrigeración y la recuperación y reutilización de refrigerantes, indican que la ejecución del PGEH reducirá la emisión de refrigerantes a la atmósfera, lo que beneficiará al clima.</w:t>
      </w:r>
    </w:p>
    <w:p w14:paraId="60222D61" w14:textId="77777777" w:rsidR="004C1EAF" w:rsidRPr="008E5609" w:rsidRDefault="004C1EAF" w:rsidP="004C1EAF">
      <w:pPr>
        <w:spacing w:after="240"/>
        <w:outlineLvl w:val="0"/>
        <w:rPr>
          <w:b/>
          <w:lang w:val="es-ES_tradnl"/>
        </w:rPr>
      </w:pPr>
      <w:r w:rsidRPr="008E5609">
        <w:rPr>
          <w:b/>
          <w:lang w:val="es-ES_tradnl"/>
        </w:rPr>
        <w:lastRenderedPageBreak/>
        <w:t>Cofinanciación</w:t>
      </w:r>
    </w:p>
    <w:p w14:paraId="1A33C3F3" w14:textId="77777777" w:rsidR="004C1EAF" w:rsidRPr="004C1EAF" w:rsidRDefault="004C1EAF" w:rsidP="004C1EAF">
      <w:pPr>
        <w:pStyle w:val="Heading1"/>
        <w:rPr>
          <w:lang w:val="es-ES"/>
        </w:rPr>
      </w:pPr>
      <w:r w:rsidRPr="004C1EAF">
        <w:rPr>
          <w:lang w:val="es-ES"/>
        </w:rPr>
        <w:t>Como parte de la etapa II del PGEH, el Gobierno de Eritrea proporcionará personal y soporte logístico a través de la Dependencia Nacional del Ozono como apoyo en especie.</w:t>
      </w:r>
    </w:p>
    <w:p w14:paraId="4EF0EF5C" w14:textId="77777777" w:rsidR="004C1EAF" w:rsidRPr="004C1EAF" w:rsidRDefault="004C1EAF" w:rsidP="004C1EAF">
      <w:pPr>
        <w:spacing w:after="240"/>
        <w:outlineLvl w:val="0"/>
        <w:rPr>
          <w:b/>
          <w:lang w:val="es-ES"/>
        </w:rPr>
      </w:pPr>
      <w:r w:rsidRPr="004C1EAF">
        <w:rPr>
          <w:b/>
          <w:lang w:val="es-ES"/>
        </w:rPr>
        <w:t xml:space="preserve">Proyecto de plan administrativo del Fondo Multilateral para el período 2022-2024 </w:t>
      </w:r>
    </w:p>
    <w:p w14:paraId="0C1B6B1A" w14:textId="77777777" w:rsidR="004C1EAF" w:rsidRPr="004C1EAF" w:rsidRDefault="004C1EAF" w:rsidP="004C1EAF">
      <w:pPr>
        <w:numPr>
          <w:ilvl w:val="0"/>
          <w:numId w:val="1"/>
        </w:numPr>
        <w:spacing w:after="240"/>
        <w:outlineLvl w:val="0"/>
        <w:rPr>
          <w:lang w:val="es-ES"/>
        </w:rPr>
      </w:pPr>
      <w:r w:rsidRPr="004C1EAF">
        <w:rPr>
          <w:lang w:val="es-ES"/>
        </w:rPr>
        <w:t>La ONUDI y el PNUMA solicitan 540.000 $EUA, más los gastos de apoyo a los organismos, para la ejecución de la etapa II del PGEH de Eritrea. El valor total solicitado de 244.400 $EUA, incluidos los gastos de apoyo a los organismos, para el período 2022-2024 es inferior en 4.850 $EUA al monto del plan administrativo.</w:t>
      </w:r>
    </w:p>
    <w:p w14:paraId="12E86D49" w14:textId="77777777" w:rsidR="004C1EAF" w:rsidRPr="008E5609" w:rsidRDefault="004C1EAF" w:rsidP="004C1EAF">
      <w:pPr>
        <w:spacing w:after="240"/>
        <w:outlineLvl w:val="0"/>
        <w:rPr>
          <w:b/>
          <w:lang w:val="es-ES_tradnl"/>
        </w:rPr>
      </w:pPr>
      <w:r w:rsidRPr="008E5609">
        <w:rPr>
          <w:b/>
          <w:lang w:val="es-ES_tradnl"/>
        </w:rPr>
        <w:t xml:space="preserve">Proyecto de Acuerdo </w:t>
      </w:r>
    </w:p>
    <w:p w14:paraId="79B53CC4" w14:textId="77777777" w:rsidR="004C1EAF" w:rsidRPr="004C1EAF" w:rsidRDefault="004C1EAF" w:rsidP="004C1EAF">
      <w:pPr>
        <w:numPr>
          <w:ilvl w:val="0"/>
          <w:numId w:val="1"/>
        </w:numPr>
        <w:tabs>
          <w:tab w:val="clear" w:pos="0"/>
        </w:tabs>
        <w:spacing w:after="240"/>
        <w:outlineLvl w:val="0"/>
        <w:rPr>
          <w:lang w:val="es-ES"/>
        </w:rPr>
      </w:pPr>
      <w:bookmarkStart w:id="14" w:name="_Hlk108449123"/>
      <w:r w:rsidRPr="008E5609">
        <w:rPr>
          <w:lang w:val="es-ES_tradnl"/>
        </w:rPr>
        <w:t>En el anexo I</w:t>
      </w:r>
      <w:bookmarkEnd w:id="14"/>
      <w:r w:rsidRPr="008E5609">
        <w:rPr>
          <w:lang w:val="es-ES_tradnl"/>
        </w:rPr>
        <w:t xml:space="preserve"> de este documento se</w:t>
      </w:r>
      <w:r w:rsidRPr="004C1EAF">
        <w:rPr>
          <w:lang w:val="es-ES"/>
        </w:rPr>
        <w:t xml:space="preserve"> incluye un borrador de acuerdo entre el Gobierno de Eritrea y el Comité Ejecutivo para etapa II del PGEH.</w:t>
      </w:r>
    </w:p>
    <w:p w14:paraId="38E934B3" w14:textId="64F887C4" w:rsidR="004C1EAF" w:rsidRPr="00405151" w:rsidRDefault="004C1EAF" w:rsidP="004C1EAF">
      <w:pPr>
        <w:autoSpaceDE w:val="0"/>
        <w:autoSpaceDN w:val="0"/>
        <w:adjustRightInd w:val="0"/>
        <w:spacing w:after="240"/>
        <w:outlineLvl w:val="0"/>
        <w:rPr>
          <w:b/>
        </w:rPr>
      </w:pPr>
      <w:r>
        <w:rPr>
          <w:b/>
        </w:rPr>
        <w:t>RECOMENDACIÓN</w:t>
      </w:r>
    </w:p>
    <w:p w14:paraId="6597767D" w14:textId="77777777" w:rsidR="004C1EAF" w:rsidRPr="004C1EAF" w:rsidRDefault="004C1EAF" w:rsidP="004C1EAF">
      <w:pPr>
        <w:numPr>
          <w:ilvl w:val="0"/>
          <w:numId w:val="1"/>
        </w:numPr>
        <w:tabs>
          <w:tab w:val="clear" w:pos="0"/>
        </w:tabs>
        <w:spacing w:after="240"/>
        <w:outlineLvl w:val="0"/>
        <w:rPr>
          <w:lang w:val="es-ES"/>
        </w:rPr>
      </w:pPr>
      <w:r w:rsidRPr="004C1EAF">
        <w:rPr>
          <w:lang w:val="es-ES"/>
        </w:rPr>
        <w:t>El Comité Ejecutivo podría estimar oportuno:</w:t>
      </w:r>
    </w:p>
    <w:p w14:paraId="7EA993D7" w14:textId="77777777" w:rsidR="004C1EAF" w:rsidRPr="008E5609" w:rsidRDefault="004C1EAF" w:rsidP="004C1EAF">
      <w:pPr>
        <w:numPr>
          <w:ilvl w:val="1"/>
          <w:numId w:val="1"/>
        </w:numPr>
        <w:spacing w:after="240"/>
        <w:outlineLvl w:val="1"/>
        <w:rPr>
          <w:lang w:val="es-ES_tradnl"/>
        </w:rPr>
      </w:pPr>
      <w:r w:rsidRPr="004C1EAF">
        <w:rPr>
          <w:lang w:val="es-ES"/>
        </w:rPr>
        <w:t>Aprobar, en principio</w:t>
      </w:r>
      <w:r w:rsidRPr="008E5609">
        <w:rPr>
          <w:lang w:val="es-ES_tradnl"/>
        </w:rPr>
        <w:t xml:space="preserve">, la etapa II del plan de gestión de la eliminación de los HCFC (PGEH) de Eritrea para el período comprendido entre 2022 y 2030, a fin de eliminar por completo el consumo de HCFC, por una suma total de 601.600 $EUA, que comprende 325.000 $EUA más unos gastos de apoyo al organismo de 42.250 $EUA para el PNUMA y 215.000 $EUA más unos gastos de apoyo al organismo de 19.350 $EUA para la ONUDI, en el entendimiento de que el Fondo Multilateral no proporcionará más financiación para la eliminación de los HCFC; </w:t>
      </w:r>
    </w:p>
    <w:p w14:paraId="4A9997AA" w14:textId="77777777" w:rsidR="004C1EAF" w:rsidRPr="008E5609" w:rsidRDefault="004C1EAF" w:rsidP="004C1EAF">
      <w:pPr>
        <w:numPr>
          <w:ilvl w:val="1"/>
          <w:numId w:val="1"/>
        </w:numPr>
        <w:spacing w:after="240"/>
        <w:outlineLvl w:val="1"/>
        <w:rPr>
          <w:lang w:val="es-ES_tradnl"/>
        </w:rPr>
      </w:pPr>
      <w:r w:rsidRPr="008E5609">
        <w:rPr>
          <w:lang w:val="es-ES_tradnl"/>
        </w:rPr>
        <w:t xml:space="preserve">Tomar nota del compromiso del Gobierno de Eritrea de reducir el consumo de HCFC en un </w:t>
      </w:r>
      <w:bookmarkStart w:id="15" w:name="_Hlk118194404"/>
      <w:r w:rsidRPr="008E5609">
        <w:rPr>
          <w:lang w:val="es-ES_tradnl"/>
        </w:rPr>
        <w:t xml:space="preserve">38,5 por ciento respecto al nivel de referencia del país para 2023, en un 67,5 por ciento para 2025 </w:t>
      </w:r>
      <w:bookmarkEnd w:id="15"/>
      <w:r w:rsidRPr="008E5609">
        <w:rPr>
          <w:lang w:val="es-ES_tradnl"/>
        </w:rPr>
        <w:t xml:space="preserve"> y de eliminar completamente los HCFC el 1 de enero de 2030, sin que se importen HCFC después de esa fecha, salvo los permitidos para tareas de mantenimiento entre 2030 y 2040, en los casos en que sea necesario y de conformidad con las disposiciones del Protocolo de Montreal;</w:t>
      </w:r>
    </w:p>
    <w:p w14:paraId="015C38A4" w14:textId="77777777" w:rsidR="004C1EAF" w:rsidRPr="008E5609" w:rsidRDefault="004C1EAF" w:rsidP="004C1EAF">
      <w:pPr>
        <w:numPr>
          <w:ilvl w:val="1"/>
          <w:numId w:val="1"/>
        </w:numPr>
        <w:spacing w:after="240"/>
        <w:outlineLvl w:val="1"/>
        <w:rPr>
          <w:lang w:val="es-ES_tradnl"/>
        </w:rPr>
      </w:pPr>
      <w:r w:rsidRPr="008E5609">
        <w:rPr>
          <w:lang w:val="es-ES_tradnl"/>
        </w:rPr>
        <w:t>Descontar 0,71 toneladas PAO de HCFC del consumo remanente de HCFC admisible para la financiación;</w:t>
      </w:r>
    </w:p>
    <w:p w14:paraId="49F5A3ED" w14:textId="77777777" w:rsidR="004C1EAF" w:rsidRPr="008E5609" w:rsidRDefault="004C1EAF" w:rsidP="004C1EAF">
      <w:pPr>
        <w:numPr>
          <w:ilvl w:val="1"/>
          <w:numId w:val="1"/>
        </w:numPr>
        <w:spacing w:after="240"/>
        <w:outlineLvl w:val="1"/>
        <w:rPr>
          <w:lang w:val="es-ES_tradnl"/>
        </w:rPr>
      </w:pPr>
      <w:r w:rsidRPr="008E5609">
        <w:rPr>
          <w:lang w:val="es-ES_tradnl"/>
        </w:rPr>
        <w:t>Aprobar el proyecto de Acuerdo entre el Gobierno de Eritrea y el Comité Ejecutivo para reducir el consumo de HCFC de acuerdo con la etapa II del PGEH, tal como queda redactado en el anexo I del presente documento;</w:t>
      </w:r>
    </w:p>
    <w:p w14:paraId="6F9E855A" w14:textId="77777777" w:rsidR="004C1EAF" w:rsidRPr="008E5609" w:rsidRDefault="004C1EAF" w:rsidP="004C1EAF">
      <w:pPr>
        <w:pStyle w:val="Heading2"/>
        <w:widowControl/>
        <w:rPr>
          <w:lang w:val="es-ES_tradnl"/>
        </w:rPr>
      </w:pPr>
      <w:r w:rsidRPr="008E5609">
        <w:rPr>
          <w:lang w:val="es-ES_tradnl"/>
        </w:rPr>
        <w:t>Que, para permitir el examen del último tramo de su plan de gestión de eliminación de los HCFC, el gobierno de Eritrea debería presentar:</w:t>
      </w:r>
    </w:p>
    <w:p w14:paraId="2F6EB339" w14:textId="77777777" w:rsidR="004C1EAF" w:rsidRPr="008E5609" w:rsidRDefault="004C1EAF" w:rsidP="004C1EAF">
      <w:pPr>
        <w:numPr>
          <w:ilvl w:val="2"/>
          <w:numId w:val="1"/>
        </w:numPr>
        <w:spacing w:after="240"/>
        <w:outlineLvl w:val="2"/>
        <w:rPr>
          <w:lang w:val="es-ES_tradnl"/>
        </w:rPr>
      </w:pPr>
      <w:r w:rsidRPr="008E5609">
        <w:rPr>
          <w:lang w:val="es-ES_tradnl"/>
        </w:rPr>
        <w:t>Una descripción detallada del marco reglamentario y normativo vigente para aplicar medidas destinadas a garantizar que el consumo de HCFC se ajuste al apartado 8 ter. e) i) del Artículo 5 del Protocolo de Montreal para el período 2030</w:t>
      </w:r>
      <w:r w:rsidRPr="008E5609">
        <w:rPr>
          <w:lang w:val="es-ES_tradnl"/>
        </w:rPr>
        <w:noBreakHyphen/>
        <w:t>2040;</w:t>
      </w:r>
    </w:p>
    <w:p w14:paraId="44DE7057" w14:textId="7472F736" w:rsidR="004C1EAF" w:rsidRPr="008E5609" w:rsidRDefault="004C1EAF" w:rsidP="004C1EAF">
      <w:pPr>
        <w:pStyle w:val="Heading3"/>
        <w:widowControl/>
        <w:rPr>
          <w:lang w:val="es-ES_tradnl"/>
        </w:rPr>
      </w:pPr>
      <w:r w:rsidRPr="008E5609">
        <w:rPr>
          <w:lang w:val="es-ES_tradnl"/>
        </w:rPr>
        <w:t>El informe del consumo de HCFC anual previsto para Eritrea en el período 2030</w:t>
      </w:r>
      <w:r w:rsidR="006070E9">
        <w:rPr>
          <w:lang w:val="es-ES_tradnl"/>
        </w:rPr>
        <w:noBreakHyphen/>
      </w:r>
      <w:r w:rsidRPr="008E5609">
        <w:rPr>
          <w:lang w:val="es-ES_tradnl"/>
        </w:rPr>
        <w:t xml:space="preserve">2040; y </w:t>
      </w:r>
    </w:p>
    <w:p w14:paraId="2488A342" w14:textId="6D226F9B" w:rsidR="008F7576" w:rsidRDefault="004C1EAF" w:rsidP="00093394">
      <w:pPr>
        <w:numPr>
          <w:ilvl w:val="1"/>
          <w:numId w:val="1"/>
        </w:numPr>
        <w:spacing w:after="240"/>
        <w:outlineLvl w:val="1"/>
        <w:rPr>
          <w:lang w:val="es-ES_tradnl"/>
        </w:rPr>
      </w:pPr>
      <w:r w:rsidRPr="006070E9">
        <w:rPr>
          <w:lang w:val="es-ES_tradnl"/>
        </w:rPr>
        <w:lastRenderedPageBreak/>
        <w:t>Aprobar el primer tramo de la etapa II del plan de gestión de eliminación de los HCFC de Eritrea, y el plan de ejecución del tramo correspondiente, por la cantidad de 244.400 $EUA, que comprenden 115.000 $EUA más unos gastos de apoyo al organismo de 14.950 $EUA para el PNUMA y de 105.000 $EUA más unos gastos de apoyo al organismo de 9.450 $EUA para la ONUDI.</w:t>
      </w:r>
      <w:r w:rsidR="008F7576">
        <w:rPr>
          <w:lang w:val="es-ES_tradnl"/>
        </w:rPr>
        <w:br w:type="page"/>
      </w:r>
    </w:p>
    <w:p w14:paraId="40837EB8" w14:textId="77777777" w:rsidR="008F7576" w:rsidRDefault="008F7576" w:rsidP="008F7576">
      <w:pPr>
        <w:spacing w:after="240"/>
        <w:ind w:left="1440"/>
        <w:outlineLvl w:val="1"/>
        <w:rPr>
          <w:lang w:val="es-ES_tradnl"/>
        </w:rPr>
        <w:sectPr w:rsidR="008F757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5A636DDE" w14:textId="77777777" w:rsidR="008F7576" w:rsidRPr="00A40451" w:rsidRDefault="008F7576" w:rsidP="008F7576">
      <w:pPr>
        <w:jc w:val="center"/>
        <w:rPr>
          <w:b/>
          <w:bCs/>
          <w:lang w:val="es-ES"/>
        </w:rPr>
      </w:pPr>
      <w:r w:rsidRPr="00A40451">
        <w:rPr>
          <w:b/>
          <w:bCs/>
          <w:lang w:val="es-ES"/>
        </w:rPr>
        <w:lastRenderedPageBreak/>
        <w:t>Anexo I</w:t>
      </w:r>
    </w:p>
    <w:p w14:paraId="337ABB89" w14:textId="77777777" w:rsidR="008F7576" w:rsidRPr="00A40451" w:rsidRDefault="008F7576" w:rsidP="008F7576">
      <w:pPr>
        <w:jc w:val="center"/>
        <w:rPr>
          <w:b/>
          <w:bCs/>
          <w:lang w:val="es-ES"/>
        </w:rPr>
      </w:pPr>
    </w:p>
    <w:p w14:paraId="0679411A" w14:textId="77777777" w:rsidR="008F7576" w:rsidRPr="00A40451" w:rsidRDefault="008F7576" w:rsidP="008F7576">
      <w:pPr>
        <w:jc w:val="center"/>
        <w:rPr>
          <w:b/>
          <w:bCs/>
          <w:lang w:val="es-ES"/>
        </w:rPr>
      </w:pPr>
      <w:r w:rsidRPr="00A40451">
        <w:rPr>
          <w:b/>
          <w:bCs/>
          <w:lang w:val="es-ES"/>
        </w:rPr>
        <w:t xml:space="preserve">PROYECTO DE ACUERDO ENTRE EL GOBIERNO DE </w:t>
      </w:r>
      <w:r w:rsidRPr="00A40451">
        <w:rPr>
          <w:b/>
          <w:lang w:val="es-ES"/>
        </w:rPr>
        <w:t xml:space="preserve">ERITREA </w:t>
      </w:r>
      <w:r w:rsidRPr="00A40451">
        <w:rPr>
          <w:b/>
          <w:bCs/>
          <w:lang w:val="es-ES"/>
        </w:rPr>
        <w:t xml:space="preserve">Y EL COMITÉ EJECUTIVO DEL FONDO MULTILATERAL PARA LA REDUCCIÓN DEL CONSUMO DE HIDROCLOROFLUOROCARBONOS EN EL MARCO DE LA ETAPA II DEL </w:t>
      </w:r>
    </w:p>
    <w:p w14:paraId="74C33D1C" w14:textId="77777777" w:rsidR="008F7576" w:rsidRPr="00A40451" w:rsidRDefault="008F7576" w:rsidP="008F7576">
      <w:pPr>
        <w:jc w:val="center"/>
        <w:rPr>
          <w:b/>
          <w:bCs/>
          <w:lang w:val="es-ES"/>
        </w:rPr>
      </w:pPr>
      <w:r w:rsidRPr="00A40451">
        <w:rPr>
          <w:b/>
          <w:bCs/>
          <w:lang w:val="es-ES"/>
        </w:rPr>
        <w:t>PLAN DE GESTIÓN DE ELIMINACIÓN DE LOS HCFC</w:t>
      </w:r>
    </w:p>
    <w:p w14:paraId="010C63FF" w14:textId="77777777" w:rsidR="008F7576" w:rsidRPr="00A40451" w:rsidRDefault="008F7576" w:rsidP="008F7576">
      <w:pPr>
        <w:jc w:val="center"/>
        <w:rPr>
          <w:b/>
          <w:bCs/>
          <w:lang w:val="es-ES"/>
        </w:rPr>
      </w:pPr>
    </w:p>
    <w:p w14:paraId="5364D4D3" w14:textId="77777777" w:rsidR="008F7576" w:rsidRPr="00A40451" w:rsidRDefault="008F7576" w:rsidP="008F7576">
      <w:pPr>
        <w:rPr>
          <w:b/>
          <w:lang w:val="es-ES"/>
        </w:rPr>
      </w:pPr>
      <w:r w:rsidRPr="00A40451">
        <w:rPr>
          <w:b/>
          <w:bCs/>
          <w:lang w:val="es-ES"/>
        </w:rPr>
        <w:t>Finalidad</w:t>
      </w:r>
    </w:p>
    <w:p w14:paraId="5E457C6B" w14:textId="77777777" w:rsidR="008F7576" w:rsidRPr="00A40451" w:rsidRDefault="008F7576" w:rsidP="008F7576">
      <w:pPr>
        <w:rPr>
          <w:lang w:val="es-ES"/>
        </w:rPr>
      </w:pPr>
    </w:p>
    <w:p w14:paraId="2AC2EB0A" w14:textId="77777777" w:rsidR="008F7576" w:rsidRPr="00A40451" w:rsidRDefault="008F7576" w:rsidP="008F7576">
      <w:pPr>
        <w:pStyle w:val="Heading1"/>
        <w:numPr>
          <w:ilvl w:val="0"/>
          <w:numId w:val="22"/>
        </w:numPr>
        <w:tabs>
          <w:tab w:val="clear" w:pos="0"/>
          <w:tab w:val="num" w:pos="720"/>
        </w:tabs>
        <w:rPr>
          <w:lang w:val="es-ES"/>
        </w:rPr>
      </w:pPr>
      <w:r w:rsidRPr="00A40451">
        <w:rPr>
          <w:lang w:val="es-ES"/>
        </w:rPr>
        <w:t>El presente Acuerdo representa el entendimiento a que han llegado el Gobierno de Eritrea</w:t>
      </w:r>
      <w:r w:rsidRPr="00A40451">
        <w:rPr>
          <w:b/>
          <w:lang w:val="es-ES"/>
        </w:rPr>
        <w:t xml:space="preserve"> </w:t>
      </w:r>
      <w:r w:rsidRPr="00A40451">
        <w:rPr>
          <w:lang w:val="es-ES"/>
        </w:rPr>
        <w:t>(el “País”) y el Comité Ejecutivo con respecto a la reducción del uso controlado de las sustancias que agotan la capa de ozono (SAO) indicadas en el Apéndice 1</w:t>
      </w:r>
      <w:r w:rsidRPr="00A40451">
        <w:rPr>
          <w:lang w:val="es-ES"/>
        </w:rPr>
        <w:noBreakHyphen/>
        <w:t xml:space="preserve">A (las “Sustancias”) hasta un nivel sostenido de cero toneladas PAO antes del 1 de enero de 2030 en cumplimiento del calendario del Protocolo de Montreal. </w:t>
      </w:r>
    </w:p>
    <w:p w14:paraId="12BFB421" w14:textId="77777777" w:rsidR="008F7576" w:rsidRPr="00A40451" w:rsidRDefault="008F7576" w:rsidP="008F7576">
      <w:pPr>
        <w:numPr>
          <w:ilvl w:val="0"/>
          <w:numId w:val="1"/>
        </w:numPr>
        <w:spacing w:after="240"/>
        <w:outlineLvl w:val="0"/>
        <w:rPr>
          <w:lang w:val="es-ES"/>
        </w:rPr>
      </w:pPr>
      <w:r w:rsidRPr="00A40451">
        <w:rPr>
          <w:lang w:val="es-ES"/>
        </w:rPr>
        <w:t>El País conviene en cumplir con los límites anuales de consumo de las Sustancias tal como se establecen en la fila 1.2 del Apéndice 2</w:t>
      </w:r>
      <w:r w:rsidRPr="00A40451">
        <w:rPr>
          <w:lang w:val="es-ES"/>
        </w:rPr>
        <w:noBreakHyphen/>
        <w:t>A (“Los Objetivos y la Financiación”) del presente Acuerdo, así como en el calendario de reducción del Protocolo de Montreal para todas las Sustancias mencionadas en el Apéndice 1</w:t>
      </w:r>
      <w:r w:rsidRPr="00A40451">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A40451">
        <w:rPr>
          <w:lang w:val="es-ES"/>
        </w:rPr>
        <w:noBreakHyphen/>
        <w:t>A como medida de reducción final conforme a este Acuerdo para todas las Sustancias especificadas en el Apéndice 1</w:t>
      </w:r>
      <w:r w:rsidRPr="00A40451">
        <w:rPr>
          <w:lang w:val="es-ES"/>
        </w:rPr>
        <w:noBreakHyphen/>
        <w:t>A y en relación con cualquier consumo de cada una de las Sustancias que supere el nivel definido en la fila 4.1.3 (consumo restante admisible para la financiación).</w:t>
      </w:r>
    </w:p>
    <w:p w14:paraId="5F6E1321" w14:textId="77777777" w:rsidR="008F7576" w:rsidRPr="00A40451" w:rsidRDefault="008F7576" w:rsidP="008F7576">
      <w:pPr>
        <w:numPr>
          <w:ilvl w:val="0"/>
          <w:numId w:val="1"/>
        </w:numPr>
        <w:spacing w:after="240"/>
        <w:outlineLvl w:val="0"/>
        <w:rPr>
          <w:lang w:val="es-ES"/>
        </w:rPr>
      </w:pPr>
      <w:r w:rsidRPr="00A40451">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A40451">
        <w:rPr>
          <w:lang w:val="es-ES"/>
        </w:rPr>
        <w:noBreakHyphen/>
        <w:t>A (“Calendario de Aprobación de la Financiación”).</w:t>
      </w:r>
    </w:p>
    <w:p w14:paraId="1CE0BB39" w14:textId="77777777" w:rsidR="008F7576" w:rsidRPr="00A40451" w:rsidRDefault="008F7576" w:rsidP="008F7576">
      <w:pPr>
        <w:numPr>
          <w:ilvl w:val="0"/>
          <w:numId w:val="1"/>
        </w:numPr>
        <w:spacing w:after="240"/>
        <w:outlineLvl w:val="0"/>
        <w:rPr>
          <w:lang w:val="es-ES"/>
        </w:rPr>
      </w:pPr>
      <w:r w:rsidRPr="00A40451">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747B3233" w14:textId="77777777" w:rsidR="008F7576" w:rsidRPr="00A40451" w:rsidRDefault="008F7576" w:rsidP="008F7576">
      <w:pPr>
        <w:spacing w:after="240"/>
        <w:outlineLvl w:val="0"/>
        <w:rPr>
          <w:b/>
          <w:lang w:val="es-ES"/>
        </w:rPr>
      </w:pPr>
      <w:r w:rsidRPr="00A40451">
        <w:rPr>
          <w:b/>
          <w:lang w:val="es-ES"/>
        </w:rPr>
        <w:t>Condiciones para la liberación de los fondos</w:t>
      </w:r>
    </w:p>
    <w:p w14:paraId="3541CD15" w14:textId="77777777" w:rsidR="008F7576" w:rsidRPr="00A40451" w:rsidRDefault="008F7576" w:rsidP="008F7576">
      <w:pPr>
        <w:numPr>
          <w:ilvl w:val="0"/>
          <w:numId w:val="1"/>
        </w:numPr>
        <w:spacing w:after="120"/>
        <w:outlineLvl w:val="0"/>
        <w:rPr>
          <w:lang w:val="es-ES"/>
        </w:rPr>
      </w:pPr>
      <w:r w:rsidRPr="00A40451">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38657087" w14:textId="77777777" w:rsidR="008F7576" w:rsidRPr="00A40451" w:rsidRDefault="008F7576" w:rsidP="008F7576">
      <w:pPr>
        <w:widowControl w:val="0"/>
        <w:numPr>
          <w:ilvl w:val="1"/>
          <w:numId w:val="1"/>
        </w:numPr>
        <w:spacing w:after="120"/>
        <w:outlineLvl w:val="1"/>
        <w:rPr>
          <w:lang w:val="es-ES"/>
        </w:rPr>
      </w:pPr>
      <w:r w:rsidRPr="00A40451">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69AB2FA" w14:textId="77777777" w:rsidR="008F7576" w:rsidRPr="00A40451" w:rsidRDefault="008F7576" w:rsidP="008F7576">
      <w:pPr>
        <w:widowControl w:val="0"/>
        <w:numPr>
          <w:ilvl w:val="1"/>
          <w:numId w:val="1"/>
        </w:numPr>
        <w:spacing w:after="120"/>
        <w:outlineLvl w:val="1"/>
        <w:rPr>
          <w:lang w:val="es-ES"/>
        </w:rPr>
      </w:pPr>
      <w:r w:rsidRPr="00A40451">
        <w:rPr>
          <w:lang w:val="es-ES"/>
        </w:rPr>
        <w:t>Que el cumplimiento de estos Objetivos haya sido verificado independientemente para todos los años pertinentes, a menos que el Comité Ejecutivo decidiese que no se requiere dicha verificación;</w:t>
      </w:r>
    </w:p>
    <w:p w14:paraId="17D0E2AF" w14:textId="77777777" w:rsidR="008F7576" w:rsidRPr="00A40451" w:rsidRDefault="008F7576" w:rsidP="008F7576">
      <w:pPr>
        <w:widowControl w:val="0"/>
        <w:numPr>
          <w:ilvl w:val="1"/>
          <w:numId w:val="1"/>
        </w:numPr>
        <w:spacing w:after="240"/>
        <w:outlineLvl w:val="1"/>
        <w:rPr>
          <w:lang w:val="es-ES"/>
        </w:rPr>
      </w:pPr>
      <w:r w:rsidRPr="00A40451">
        <w:rPr>
          <w:lang w:val="es-ES"/>
        </w:rPr>
        <w:lastRenderedPageBreak/>
        <w:t>Que el País haya presentado un Informe de Ejecución de Tramos en el formulario del Apéndice 4</w:t>
      </w:r>
      <w:r w:rsidRPr="00A40451">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43952073" w14:textId="77777777" w:rsidR="008F7576" w:rsidRPr="00A40451" w:rsidRDefault="008F7576" w:rsidP="008F7576">
      <w:pPr>
        <w:widowControl w:val="0"/>
        <w:numPr>
          <w:ilvl w:val="1"/>
          <w:numId w:val="1"/>
        </w:numPr>
        <w:spacing w:after="240"/>
        <w:outlineLvl w:val="1"/>
        <w:rPr>
          <w:lang w:val="es-ES"/>
        </w:rPr>
      </w:pPr>
      <w:r w:rsidRPr="00A40451">
        <w:rPr>
          <w:lang w:val="es-ES"/>
        </w:rPr>
        <w:t>Que el País haya presentado un Plan de Ejecución de Tramos en el formulario del Apéndice 4</w:t>
      </w:r>
      <w:r w:rsidRPr="00A40451">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B0AC38D" w14:textId="77777777" w:rsidR="008F7576" w:rsidRPr="00A40451" w:rsidRDefault="008F7576" w:rsidP="008F7576">
      <w:pPr>
        <w:widowControl w:val="0"/>
        <w:spacing w:after="240"/>
        <w:outlineLvl w:val="1"/>
        <w:rPr>
          <w:b/>
          <w:lang w:val="es-ES"/>
        </w:rPr>
      </w:pPr>
      <w:r w:rsidRPr="00A40451">
        <w:rPr>
          <w:b/>
          <w:lang w:val="es-ES"/>
        </w:rPr>
        <w:t>Supervisión</w:t>
      </w:r>
    </w:p>
    <w:p w14:paraId="76FCE803" w14:textId="77777777" w:rsidR="008F7576" w:rsidRPr="00A40451" w:rsidRDefault="008F7576" w:rsidP="008F7576">
      <w:pPr>
        <w:numPr>
          <w:ilvl w:val="0"/>
          <w:numId w:val="1"/>
        </w:numPr>
        <w:spacing w:after="240"/>
        <w:outlineLvl w:val="0"/>
        <w:rPr>
          <w:lang w:val="es-ES"/>
        </w:rPr>
      </w:pPr>
      <w:r w:rsidRPr="00A40451">
        <w:rPr>
          <w:lang w:val="es-ES"/>
        </w:rPr>
        <w:t>El País garantizará que realiza una supervisión precisa de sus actividades en virtud del presente Acuerdo. Las instituciones indicadas en el Apéndice 5</w:t>
      </w:r>
      <w:r w:rsidRPr="00A40451">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F5DBB97" w14:textId="77777777" w:rsidR="008F7576" w:rsidRPr="00A40451" w:rsidRDefault="008F7576" w:rsidP="008F7576">
      <w:pPr>
        <w:spacing w:after="240"/>
        <w:outlineLvl w:val="0"/>
        <w:rPr>
          <w:b/>
          <w:lang w:val="es-ES"/>
        </w:rPr>
      </w:pPr>
      <w:r w:rsidRPr="00A40451">
        <w:rPr>
          <w:b/>
          <w:lang w:val="es-ES"/>
        </w:rPr>
        <w:t>Flexibilidad para reasignación de fondos</w:t>
      </w:r>
    </w:p>
    <w:p w14:paraId="29F27D7A" w14:textId="77777777" w:rsidR="008F7576" w:rsidRPr="00A40451" w:rsidRDefault="008F7576" w:rsidP="008F7576">
      <w:pPr>
        <w:numPr>
          <w:ilvl w:val="0"/>
          <w:numId w:val="1"/>
        </w:numPr>
        <w:spacing w:after="240"/>
        <w:outlineLvl w:val="0"/>
        <w:rPr>
          <w:lang w:val="es-ES"/>
        </w:rPr>
      </w:pPr>
      <w:r w:rsidRPr="00A40451">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A40451">
        <w:rPr>
          <w:lang w:val="es-ES"/>
        </w:rPr>
        <w:noBreakHyphen/>
        <w:t>A:</w:t>
      </w:r>
    </w:p>
    <w:p w14:paraId="56C48131"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Las reasignaciones que se consideren cambios importantes deberán documentarse por adelantado, ya sea en un Plan de Ejecución de Tramo según lo descrito en el inciso 5 d) </w:t>
      </w:r>
      <w:r w:rsidRPr="00A40451">
        <w:rPr>
          <w:i/>
          <w:iCs/>
          <w:lang w:val="es-ES"/>
        </w:rPr>
        <w:t>supra</w:t>
      </w:r>
      <w:r w:rsidRPr="00A40451">
        <w:rPr>
          <w:lang w:val="es-ES"/>
        </w:rPr>
        <w:t>, o bien como una revisión de un Plan de Ejecución de Tramo existente a presentarse ocho semanas antes de cualquier reunión del Comité Ejecutivo para su aprobación. Los cambios importantes se relacionarían con:</w:t>
      </w:r>
    </w:p>
    <w:p w14:paraId="4B9D26C4" w14:textId="77777777" w:rsidR="008F7576" w:rsidRPr="00A40451" w:rsidRDefault="008F7576" w:rsidP="008F7576">
      <w:pPr>
        <w:widowControl w:val="0"/>
        <w:numPr>
          <w:ilvl w:val="2"/>
          <w:numId w:val="1"/>
        </w:numPr>
        <w:spacing w:after="240"/>
        <w:outlineLvl w:val="2"/>
        <w:rPr>
          <w:lang w:val="es-ES"/>
        </w:rPr>
      </w:pPr>
      <w:r w:rsidRPr="00A40451">
        <w:rPr>
          <w:lang w:val="es-ES"/>
        </w:rPr>
        <w:t xml:space="preserve">Asuntos que pudieran afectar al reglamento y las políticas del Fondo Multilateral; </w:t>
      </w:r>
    </w:p>
    <w:p w14:paraId="66E5119B" w14:textId="77777777" w:rsidR="008F7576" w:rsidRPr="00A40451" w:rsidRDefault="008F7576" w:rsidP="008F7576">
      <w:pPr>
        <w:widowControl w:val="0"/>
        <w:numPr>
          <w:ilvl w:val="2"/>
          <w:numId w:val="1"/>
        </w:numPr>
        <w:spacing w:after="240"/>
        <w:outlineLvl w:val="2"/>
        <w:rPr>
          <w:lang w:val="es-ES"/>
        </w:rPr>
      </w:pPr>
      <w:r w:rsidRPr="00A40451">
        <w:rPr>
          <w:lang w:val="es-ES"/>
        </w:rPr>
        <w:t xml:space="preserve">Cambios que modificarían cualquier cláusula de este Acuerdo; </w:t>
      </w:r>
    </w:p>
    <w:p w14:paraId="7CE1506E" w14:textId="77777777" w:rsidR="008F7576" w:rsidRPr="00A40451" w:rsidRDefault="008F7576" w:rsidP="008F7576">
      <w:pPr>
        <w:widowControl w:val="0"/>
        <w:numPr>
          <w:ilvl w:val="2"/>
          <w:numId w:val="1"/>
        </w:numPr>
        <w:spacing w:after="240"/>
        <w:outlineLvl w:val="2"/>
        <w:rPr>
          <w:lang w:val="es-ES"/>
        </w:rPr>
      </w:pPr>
      <w:r w:rsidRPr="00A40451">
        <w:rPr>
          <w:lang w:val="es-ES"/>
        </w:rPr>
        <w:t xml:space="preserve">Cambios en los niveles anuales de financiación asignados a organismos bilaterales o de ejecución individuales para los diferentes tramos; </w:t>
      </w:r>
    </w:p>
    <w:p w14:paraId="6AD78617" w14:textId="77777777" w:rsidR="008F7576" w:rsidRPr="00A40451" w:rsidRDefault="008F7576" w:rsidP="008F7576">
      <w:pPr>
        <w:widowControl w:val="0"/>
        <w:numPr>
          <w:ilvl w:val="2"/>
          <w:numId w:val="1"/>
        </w:numPr>
        <w:spacing w:after="240"/>
        <w:outlineLvl w:val="2"/>
        <w:rPr>
          <w:lang w:val="es-ES"/>
        </w:rPr>
      </w:pPr>
      <w:r w:rsidRPr="00A40451">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6940238D" w14:textId="77777777" w:rsidR="008F7576" w:rsidRPr="00A40451" w:rsidRDefault="008F7576" w:rsidP="008F7576">
      <w:pPr>
        <w:widowControl w:val="0"/>
        <w:numPr>
          <w:ilvl w:val="2"/>
          <w:numId w:val="1"/>
        </w:numPr>
        <w:spacing w:after="240"/>
        <w:outlineLvl w:val="2"/>
        <w:rPr>
          <w:lang w:val="es-ES"/>
        </w:rPr>
      </w:pPr>
      <w:r w:rsidRPr="00A40451">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CA0DA86" w14:textId="77777777" w:rsidR="008F7576" w:rsidRPr="00A40451" w:rsidRDefault="008F7576" w:rsidP="008F7576">
      <w:pPr>
        <w:widowControl w:val="0"/>
        <w:numPr>
          <w:ilvl w:val="1"/>
          <w:numId w:val="1"/>
        </w:numPr>
        <w:spacing w:after="240"/>
        <w:outlineLvl w:val="1"/>
        <w:rPr>
          <w:lang w:val="es-ES"/>
        </w:rPr>
      </w:pPr>
      <w:r w:rsidRPr="00A40451">
        <w:rPr>
          <w:lang w:val="es-ES"/>
        </w:rPr>
        <w:t>Las reasignaciones no clasificadas como cambios importantes pueden incorporarse al Plan de Ejecución de Tramo aprobado que esté en curso de ejecución en esa fecha, y notificarse al Comité Ejecutivo en el Informe de Ejecución de Tramo subsiguiente; y</w:t>
      </w:r>
    </w:p>
    <w:p w14:paraId="21EC1BA7" w14:textId="77777777" w:rsidR="008F7576" w:rsidRPr="00A40451" w:rsidRDefault="008F7576" w:rsidP="008F7576">
      <w:pPr>
        <w:keepNext/>
        <w:keepLines/>
        <w:widowControl w:val="0"/>
        <w:numPr>
          <w:ilvl w:val="1"/>
          <w:numId w:val="1"/>
        </w:numPr>
        <w:spacing w:after="240"/>
        <w:outlineLvl w:val="1"/>
        <w:rPr>
          <w:lang w:val="es-ES"/>
        </w:rPr>
      </w:pPr>
      <w:r w:rsidRPr="00A40451">
        <w:rPr>
          <w:lang w:val="es-ES"/>
        </w:rPr>
        <w:lastRenderedPageBreak/>
        <w:t xml:space="preserve">Los fondos remanentes que conserven los organismos bilaterales o de ejecución o el país en virtud del Plan serán devueltos al Fondo Multilateral al concluirse el último tramo previsto conforme a este Acuerdo. </w:t>
      </w:r>
    </w:p>
    <w:p w14:paraId="79ED8864" w14:textId="77777777" w:rsidR="008F7576" w:rsidRPr="00A40451" w:rsidRDefault="008F7576" w:rsidP="008F7576">
      <w:pPr>
        <w:widowControl w:val="0"/>
        <w:spacing w:after="240"/>
        <w:outlineLvl w:val="1"/>
        <w:rPr>
          <w:b/>
          <w:lang w:val="es-ES"/>
        </w:rPr>
      </w:pPr>
      <w:r w:rsidRPr="00A40451">
        <w:rPr>
          <w:b/>
          <w:lang w:val="es-ES"/>
        </w:rPr>
        <w:t>Consideraciones para el sector de servicio y mantenimiento de equipos de refrigeración</w:t>
      </w:r>
    </w:p>
    <w:p w14:paraId="28966369" w14:textId="77777777" w:rsidR="008F7576" w:rsidRPr="00A40451" w:rsidRDefault="008F7576" w:rsidP="008F7576">
      <w:pPr>
        <w:numPr>
          <w:ilvl w:val="0"/>
          <w:numId w:val="1"/>
        </w:numPr>
        <w:spacing w:after="240"/>
        <w:outlineLvl w:val="0"/>
        <w:rPr>
          <w:lang w:val="es-ES"/>
        </w:rPr>
      </w:pPr>
      <w:r w:rsidRPr="00A40451">
        <w:rPr>
          <w:lang w:val="es-ES"/>
        </w:rPr>
        <w:t>Se prestará especial atención a la ejecución de las actividades en el subsector de servicio y mantenimiento de equipos de refrigeración incluidas en el Plan, en particular:</w:t>
      </w:r>
    </w:p>
    <w:p w14:paraId="2C706905" w14:textId="77777777" w:rsidR="008F7576" w:rsidRPr="00A40451" w:rsidRDefault="008F7576" w:rsidP="008F7576">
      <w:pPr>
        <w:widowControl w:val="0"/>
        <w:numPr>
          <w:ilvl w:val="1"/>
          <w:numId w:val="1"/>
        </w:numPr>
        <w:spacing w:after="240"/>
        <w:outlineLvl w:val="1"/>
        <w:rPr>
          <w:lang w:val="es-ES"/>
        </w:rPr>
      </w:pPr>
      <w:r w:rsidRPr="00A40451">
        <w:rPr>
          <w:lang w:val="es-ES"/>
        </w:rPr>
        <w:t>El País utilizaría la flexibilidad disponible conforme a este Acuerdo para atender a las necesidades específicas que pudieran presentarse durante la ejecución del proyecto; y</w:t>
      </w:r>
    </w:p>
    <w:p w14:paraId="6F79AF4B" w14:textId="77777777" w:rsidR="008F7576" w:rsidRPr="00A40451" w:rsidRDefault="008F7576" w:rsidP="008F7576">
      <w:pPr>
        <w:widowControl w:val="0"/>
        <w:numPr>
          <w:ilvl w:val="1"/>
          <w:numId w:val="1"/>
        </w:numPr>
        <w:spacing w:after="240"/>
        <w:outlineLvl w:val="1"/>
        <w:rPr>
          <w:lang w:val="es-ES"/>
        </w:rPr>
      </w:pPr>
      <w:r w:rsidRPr="00A40451">
        <w:rPr>
          <w:lang w:val="es-ES"/>
        </w:rPr>
        <w:t>El País y los organismos bilaterales y/o de ejecución pertinentes tomarían en consideración las decisiones pertinentes sobre el sector de servicio y mantenimiento de equipos de refrigeración durante la ejecución del Plan.</w:t>
      </w:r>
    </w:p>
    <w:p w14:paraId="2A46BF37" w14:textId="77777777" w:rsidR="008F7576" w:rsidRPr="00A40451" w:rsidRDefault="008F7576" w:rsidP="008F7576">
      <w:pPr>
        <w:widowControl w:val="0"/>
        <w:spacing w:after="240"/>
        <w:outlineLvl w:val="1"/>
        <w:rPr>
          <w:b/>
          <w:strike/>
          <w:lang w:val="es-ES"/>
        </w:rPr>
      </w:pPr>
      <w:r w:rsidRPr="00A40451">
        <w:rPr>
          <w:b/>
          <w:lang w:val="es-ES"/>
        </w:rPr>
        <w:t>Organismos bilaterales y de ejecución</w:t>
      </w:r>
    </w:p>
    <w:p w14:paraId="77227B44" w14:textId="77777777" w:rsidR="008F7576" w:rsidRPr="00A40451" w:rsidRDefault="008F7576" w:rsidP="008F7576">
      <w:pPr>
        <w:pStyle w:val="Heading1"/>
        <w:rPr>
          <w:lang w:val="es-ES"/>
        </w:rPr>
      </w:pPr>
      <w:r w:rsidRPr="00A40451">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00DFDB30" w14:textId="77777777" w:rsidR="008F7576" w:rsidRPr="00A40451" w:rsidRDefault="008F7576" w:rsidP="008F7576">
      <w:pPr>
        <w:pStyle w:val="Heading1"/>
        <w:rPr>
          <w:lang w:val="es-ES"/>
        </w:rPr>
      </w:pPr>
      <w:r w:rsidRPr="00A40451">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A40451">
        <w:rPr>
          <w:lang w:val="es-ES"/>
        </w:rPr>
        <w:noBreakHyphen/>
        <w:t>A.</w:t>
      </w:r>
    </w:p>
    <w:p w14:paraId="26E8811A" w14:textId="77777777" w:rsidR="008F7576" w:rsidRPr="00A40451" w:rsidRDefault="008F7576" w:rsidP="008F7576">
      <w:pPr>
        <w:keepNext/>
        <w:keepLines/>
        <w:spacing w:after="240"/>
        <w:outlineLvl w:val="0"/>
        <w:rPr>
          <w:b/>
          <w:lang w:val="es-ES"/>
        </w:rPr>
      </w:pPr>
      <w:r w:rsidRPr="00A40451">
        <w:rPr>
          <w:b/>
          <w:lang w:val="es-ES"/>
        </w:rPr>
        <w:t>Incumplimiento del Acuerdo</w:t>
      </w:r>
    </w:p>
    <w:p w14:paraId="40AD92EB" w14:textId="77777777" w:rsidR="008F7576" w:rsidRPr="00A40451" w:rsidRDefault="008F7576" w:rsidP="008F7576">
      <w:pPr>
        <w:pStyle w:val="Heading1"/>
        <w:numPr>
          <w:ilvl w:val="0"/>
          <w:numId w:val="24"/>
        </w:numPr>
        <w:rPr>
          <w:lang w:val="es-ES"/>
        </w:rPr>
      </w:pPr>
      <w:r w:rsidRPr="00A40451">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Pr="00A40451">
        <w:rPr>
          <w:lang w:val="es-ES"/>
        </w:rPr>
        <w:t>la misma</w:t>
      </w:r>
      <w:proofErr w:type="gramEnd"/>
      <w:r w:rsidRPr="00A40451">
        <w:rPr>
          <w:lang w:val="es-ES"/>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A40451">
        <w:rPr>
          <w:i/>
          <w:iCs/>
          <w:lang w:val="es-ES"/>
        </w:rPr>
        <w:t>supra</w:t>
      </w:r>
      <w:r w:rsidRPr="00A40451">
        <w:rPr>
          <w:lang w:val="es-ES"/>
        </w:rPr>
        <w:t>.</w:t>
      </w:r>
    </w:p>
    <w:p w14:paraId="5DEA29DB" w14:textId="77777777" w:rsidR="008F7576" w:rsidRPr="00A40451" w:rsidRDefault="008F7576" w:rsidP="008F7576">
      <w:pPr>
        <w:numPr>
          <w:ilvl w:val="0"/>
          <w:numId w:val="1"/>
        </w:numPr>
        <w:spacing w:after="240"/>
        <w:outlineLvl w:val="0"/>
        <w:rPr>
          <w:lang w:val="es-ES"/>
        </w:rPr>
      </w:pPr>
      <w:r w:rsidRPr="00A40451">
        <w:rPr>
          <w:lang w:val="es-ES"/>
        </w:rPr>
        <w:lastRenderedPageBreak/>
        <w:t>No se modificará la Financiación del presente Acuerdo en virtud de decisiones futuras del Comité Ejecutivo que pudieran afectar a la financiación de cualquier otro proyecto en el sector de consumo o de otras actividades afines en el País.</w:t>
      </w:r>
    </w:p>
    <w:p w14:paraId="7B54AF0A" w14:textId="77777777" w:rsidR="008F7576" w:rsidRPr="00A40451" w:rsidRDefault="008F7576" w:rsidP="008F7576">
      <w:pPr>
        <w:pStyle w:val="Heading1"/>
        <w:rPr>
          <w:lang w:val="es-ES"/>
        </w:rPr>
      </w:pPr>
      <w:r w:rsidRPr="00A40451">
        <w:rPr>
          <w:lang w:val="es-ES"/>
        </w:rPr>
        <w:t>El País satisfará cualquier solicitud razonable del Comité Ejecutivo, el Organismo de Ejecución Principal y</w:t>
      </w:r>
      <w:r w:rsidRPr="00A40451">
        <w:rPr>
          <w:b/>
          <w:lang w:val="es-ES"/>
        </w:rPr>
        <w:t xml:space="preserve"> </w:t>
      </w:r>
      <w:r w:rsidRPr="00A40451">
        <w:rPr>
          <w:lang w:val="es-ES"/>
        </w:rPr>
        <w:t>el Organismo de Ejecución Cooperante para facilitar la aplicación del presente Acuerdo. En particular, proporcionará al Organismo de Ejecución Principal y</w:t>
      </w:r>
      <w:r w:rsidRPr="00A40451">
        <w:rPr>
          <w:b/>
          <w:lang w:val="es-ES"/>
        </w:rPr>
        <w:t xml:space="preserve"> </w:t>
      </w:r>
      <w:r w:rsidRPr="00A40451">
        <w:rPr>
          <w:lang w:val="es-ES"/>
        </w:rPr>
        <w:t>al Organismo de Ejecución Cooperante el acceso a la información necesaria para verificar el cumplimiento del presente Acuerdo.</w:t>
      </w:r>
    </w:p>
    <w:p w14:paraId="7ACC15D4" w14:textId="77777777" w:rsidR="008F7576" w:rsidRPr="00A40451" w:rsidRDefault="008F7576" w:rsidP="008F7576">
      <w:pPr>
        <w:spacing w:after="240"/>
        <w:outlineLvl w:val="0"/>
        <w:rPr>
          <w:b/>
          <w:lang w:val="es-ES"/>
        </w:rPr>
      </w:pPr>
      <w:r w:rsidRPr="00A40451">
        <w:rPr>
          <w:b/>
          <w:lang w:val="es-ES"/>
        </w:rPr>
        <w:t>Fecha de terminación</w:t>
      </w:r>
    </w:p>
    <w:p w14:paraId="026E6852" w14:textId="77777777" w:rsidR="008F7576" w:rsidRPr="00A40451" w:rsidRDefault="008F7576" w:rsidP="008F7576">
      <w:pPr>
        <w:numPr>
          <w:ilvl w:val="0"/>
          <w:numId w:val="1"/>
        </w:numPr>
        <w:spacing w:after="240"/>
        <w:outlineLvl w:val="0"/>
        <w:rPr>
          <w:lang w:val="es-ES"/>
        </w:rPr>
      </w:pPr>
      <w:r w:rsidRPr="00A40451">
        <w:rPr>
          <w:lang w:val="es-ES"/>
        </w:rPr>
        <w:t>La terminación del Plan y el Acuerdo conexo concluirán al final del año siguiente al último año para el que se haya especificado un nivel de consumo total máximo permitido en el Apéndice 2</w:t>
      </w:r>
      <w:r w:rsidRPr="00A40451">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A40451">
        <w:rPr>
          <w:lang w:val="es-ES"/>
        </w:rPr>
        <w:noBreakHyphen/>
        <w:t>A continuarán vigentes hasta la conclusión del Plan, a menos que el Comité Ejecutivo estipule otra cosa.</w:t>
      </w:r>
    </w:p>
    <w:p w14:paraId="60A4C078" w14:textId="77777777" w:rsidR="008F7576" w:rsidRPr="00A40451" w:rsidRDefault="008F7576" w:rsidP="008F7576">
      <w:pPr>
        <w:keepNext/>
        <w:keepLines/>
        <w:spacing w:after="240"/>
        <w:outlineLvl w:val="0"/>
        <w:rPr>
          <w:b/>
          <w:lang w:val="es-ES"/>
        </w:rPr>
      </w:pPr>
      <w:r w:rsidRPr="00A40451">
        <w:rPr>
          <w:b/>
          <w:lang w:val="es-ES"/>
        </w:rPr>
        <w:t>Validez</w:t>
      </w:r>
    </w:p>
    <w:p w14:paraId="2B789BA8" w14:textId="77777777" w:rsidR="008F7576" w:rsidRPr="00A40451" w:rsidRDefault="008F7576" w:rsidP="008F7576">
      <w:pPr>
        <w:keepNext/>
        <w:keepLines/>
        <w:numPr>
          <w:ilvl w:val="0"/>
          <w:numId w:val="1"/>
        </w:numPr>
        <w:spacing w:after="240"/>
        <w:outlineLvl w:val="0"/>
        <w:rPr>
          <w:lang w:val="es-ES"/>
        </w:rPr>
      </w:pPr>
      <w:r w:rsidRPr="00A40451">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4CF84144" w14:textId="77777777" w:rsidR="008F7576" w:rsidRPr="00A40451" w:rsidRDefault="008F7576" w:rsidP="008F7576">
      <w:pPr>
        <w:numPr>
          <w:ilvl w:val="0"/>
          <w:numId w:val="1"/>
        </w:numPr>
        <w:spacing w:after="240"/>
        <w:outlineLvl w:val="0"/>
        <w:rPr>
          <w:lang w:val="es-ES"/>
        </w:rPr>
      </w:pPr>
      <w:r w:rsidRPr="00A40451">
        <w:rPr>
          <w:lang w:val="es-ES"/>
        </w:rPr>
        <w:t>Este Acuerdo puede modificarse o rescindirse únicamente por un acuerdo mutuo escrito del País y del Comité Ejecutivo del Fondo Multilateral.</w:t>
      </w:r>
    </w:p>
    <w:p w14:paraId="6AECA13F" w14:textId="77777777" w:rsidR="008F7576" w:rsidRPr="00A40451" w:rsidRDefault="008F7576" w:rsidP="008F7576">
      <w:pPr>
        <w:keepNext/>
        <w:keepLines/>
        <w:jc w:val="left"/>
        <w:rPr>
          <w:b/>
          <w:bCs/>
          <w:lang w:val="es-ES"/>
        </w:rPr>
      </w:pPr>
    </w:p>
    <w:p w14:paraId="12F2DC09" w14:textId="77777777" w:rsidR="008F7576" w:rsidRDefault="008F7576" w:rsidP="008F7576">
      <w:pPr>
        <w:jc w:val="left"/>
        <w:rPr>
          <w:b/>
          <w:bCs/>
          <w:lang w:val="es-ES"/>
        </w:rPr>
      </w:pPr>
      <w:r>
        <w:rPr>
          <w:b/>
          <w:bCs/>
          <w:lang w:val="es-ES"/>
        </w:rPr>
        <w:br w:type="page"/>
      </w:r>
    </w:p>
    <w:p w14:paraId="09EFF959" w14:textId="77777777" w:rsidR="008F7576" w:rsidRPr="00A40451" w:rsidRDefault="008F7576" w:rsidP="008F7576">
      <w:pPr>
        <w:keepNext/>
        <w:keepLines/>
        <w:jc w:val="left"/>
        <w:rPr>
          <w:b/>
          <w:bCs/>
          <w:lang w:val="es-ES"/>
        </w:rPr>
      </w:pPr>
      <w:r w:rsidRPr="00A40451">
        <w:rPr>
          <w:b/>
          <w:bCs/>
          <w:lang w:val="es-ES"/>
        </w:rPr>
        <w:lastRenderedPageBreak/>
        <w:t xml:space="preserve">APÉNDICES </w:t>
      </w:r>
    </w:p>
    <w:p w14:paraId="563D8806" w14:textId="77777777" w:rsidR="008F7576" w:rsidRPr="00A40451" w:rsidRDefault="008F7576" w:rsidP="008F7576">
      <w:pPr>
        <w:keepNext/>
        <w:keepLines/>
        <w:rPr>
          <w:b/>
          <w:lang w:val="es-ES"/>
        </w:rPr>
      </w:pPr>
    </w:p>
    <w:p w14:paraId="11982CF8" w14:textId="77777777" w:rsidR="008F7576" w:rsidRPr="00A40451" w:rsidRDefault="008F7576" w:rsidP="008F7576">
      <w:pPr>
        <w:keepNext/>
        <w:keepLines/>
        <w:spacing w:before="120"/>
        <w:rPr>
          <w:b/>
          <w:bCs/>
          <w:lang w:val="es-ES"/>
        </w:rPr>
      </w:pPr>
      <w:r w:rsidRPr="00A40451">
        <w:rPr>
          <w:b/>
          <w:bCs/>
          <w:lang w:val="es-ES"/>
        </w:rPr>
        <w:t>APÉNDICE 1-A: LAS SUSTANCIAS</w:t>
      </w:r>
    </w:p>
    <w:p w14:paraId="1601D0F5" w14:textId="77777777" w:rsidR="008F7576" w:rsidRPr="00A40451" w:rsidRDefault="008F7576" w:rsidP="008F7576">
      <w:pPr>
        <w:keepNext/>
        <w:keepLines/>
        <w:rPr>
          <w:b/>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8F7576" w:rsidRPr="00AC613F" w14:paraId="06258AEF" w14:textId="77777777" w:rsidTr="00C14C6F">
        <w:trPr>
          <w:trHeight w:val="413"/>
        </w:trPr>
        <w:tc>
          <w:tcPr>
            <w:tcW w:w="2262" w:type="pct"/>
            <w:shd w:val="clear" w:color="auto" w:fill="auto"/>
          </w:tcPr>
          <w:p w14:paraId="5EB9F695" w14:textId="77777777" w:rsidR="008F7576" w:rsidRPr="00A40451" w:rsidRDefault="008F7576" w:rsidP="00C14C6F">
            <w:pPr>
              <w:keepNext/>
              <w:jc w:val="center"/>
              <w:rPr>
                <w:sz w:val="20"/>
                <w:szCs w:val="20"/>
                <w:lang w:val="es-ES"/>
              </w:rPr>
            </w:pPr>
            <w:r w:rsidRPr="002F1F29">
              <w:rPr>
                <w:sz w:val="20"/>
                <w:szCs w:val="20"/>
                <w:lang w:val="es-ES"/>
              </w:rPr>
              <w:t>Sustancia</w:t>
            </w:r>
          </w:p>
        </w:tc>
        <w:tc>
          <w:tcPr>
            <w:tcW w:w="604" w:type="pct"/>
            <w:shd w:val="clear" w:color="auto" w:fill="auto"/>
          </w:tcPr>
          <w:p w14:paraId="1F359915" w14:textId="77777777" w:rsidR="008F7576" w:rsidRPr="00A40451" w:rsidRDefault="008F7576" w:rsidP="00C14C6F">
            <w:pPr>
              <w:keepNext/>
              <w:jc w:val="center"/>
              <w:rPr>
                <w:sz w:val="20"/>
                <w:szCs w:val="20"/>
                <w:lang w:val="es-ES"/>
              </w:rPr>
            </w:pPr>
            <w:r w:rsidRPr="002F1F29">
              <w:rPr>
                <w:sz w:val="20"/>
                <w:szCs w:val="20"/>
                <w:lang w:val="es-ES"/>
              </w:rPr>
              <w:t>Anexo</w:t>
            </w:r>
          </w:p>
        </w:tc>
        <w:tc>
          <w:tcPr>
            <w:tcW w:w="584" w:type="pct"/>
            <w:shd w:val="clear" w:color="auto" w:fill="auto"/>
          </w:tcPr>
          <w:p w14:paraId="663E8422" w14:textId="77777777" w:rsidR="008F7576" w:rsidRPr="00A40451" w:rsidRDefault="008F7576" w:rsidP="00C14C6F">
            <w:pPr>
              <w:keepNext/>
              <w:jc w:val="center"/>
              <w:rPr>
                <w:sz w:val="20"/>
                <w:szCs w:val="20"/>
                <w:lang w:val="es-ES"/>
              </w:rPr>
            </w:pPr>
            <w:r w:rsidRPr="002F1F29">
              <w:rPr>
                <w:sz w:val="20"/>
                <w:szCs w:val="20"/>
                <w:lang w:val="es-ES"/>
              </w:rPr>
              <w:t>Grupo</w:t>
            </w:r>
          </w:p>
        </w:tc>
        <w:tc>
          <w:tcPr>
            <w:tcW w:w="1550" w:type="pct"/>
            <w:shd w:val="clear" w:color="auto" w:fill="auto"/>
          </w:tcPr>
          <w:p w14:paraId="075FED76" w14:textId="77777777" w:rsidR="008F7576" w:rsidRPr="00A40451" w:rsidRDefault="008F7576" w:rsidP="00C14C6F">
            <w:pPr>
              <w:keepNext/>
              <w:jc w:val="center"/>
              <w:rPr>
                <w:sz w:val="20"/>
                <w:szCs w:val="20"/>
                <w:lang w:val="es-ES"/>
              </w:rPr>
            </w:pPr>
            <w:r w:rsidRPr="002F1F29">
              <w:rPr>
                <w:sz w:val="20"/>
                <w:szCs w:val="20"/>
                <w:lang w:val="es-ES"/>
              </w:rPr>
              <w:t>Punto de partida para las reducciones acumulativas del consumo (toneladas PAO)</w:t>
            </w:r>
          </w:p>
        </w:tc>
      </w:tr>
      <w:tr w:rsidR="008F7576" w:rsidRPr="00A40451" w14:paraId="158A2204" w14:textId="77777777" w:rsidTr="00C14C6F">
        <w:tc>
          <w:tcPr>
            <w:tcW w:w="2262" w:type="pct"/>
            <w:shd w:val="clear" w:color="auto" w:fill="auto"/>
          </w:tcPr>
          <w:p w14:paraId="694F95BD" w14:textId="77777777" w:rsidR="008F7576" w:rsidRPr="00A40451" w:rsidRDefault="008F7576" w:rsidP="00C14C6F">
            <w:pPr>
              <w:keepNext/>
              <w:rPr>
                <w:sz w:val="20"/>
                <w:szCs w:val="20"/>
                <w:lang w:val="es-ES"/>
              </w:rPr>
            </w:pPr>
            <w:r w:rsidRPr="00A40451">
              <w:rPr>
                <w:sz w:val="20"/>
                <w:szCs w:val="20"/>
                <w:lang w:val="es-ES"/>
              </w:rPr>
              <w:t>HCFC-22</w:t>
            </w:r>
          </w:p>
        </w:tc>
        <w:tc>
          <w:tcPr>
            <w:tcW w:w="604" w:type="pct"/>
            <w:shd w:val="clear" w:color="auto" w:fill="auto"/>
          </w:tcPr>
          <w:p w14:paraId="2D30663A" w14:textId="77777777" w:rsidR="008F7576" w:rsidRPr="00A40451" w:rsidRDefault="008F7576" w:rsidP="00C14C6F">
            <w:pPr>
              <w:keepNext/>
              <w:rPr>
                <w:sz w:val="20"/>
                <w:szCs w:val="20"/>
                <w:lang w:val="es-ES"/>
              </w:rPr>
            </w:pPr>
            <w:r w:rsidRPr="00A40451">
              <w:rPr>
                <w:sz w:val="20"/>
                <w:szCs w:val="20"/>
                <w:lang w:val="es-ES"/>
              </w:rPr>
              <w:t>C</w:t>
            </w:r>
          </w:p>
        </w:tc>
        <w:tc>
          <w:tcPr>
            <w:tcW w:w="584" w:type="pct"/>
            <w:shd w:val="clear" w:color="auto" w:fill="auto"/>
          </w:tcPr>
          <w:p w14:paraId="34CE8E7F" w14:textId="77777777" w:rsidR="008F7576" w:rsidRPr="00A40451" w:rsidRDefault="008F7576" w:rsidP="00C14C6F">
            <w:pPr>
              <w:keepNext/>
              <w:rPr>
                <w:sz w:val="20"/>
                <w:szCs w:val="20"/>
                <w:lang w:val="es-ES"/>
              </w:rPr>
            </w:pPr>
            <w:r w:rsidRPr="00A40451">
              <w:rPr>
                <w:sz w:val="20"/>
                <w:szCs w:val="20"/>
                <w:lang w:val="es-ES"/>
              </w:rPr>
              <w:t>I</w:t>
            </w:r>
          </w:p>
        </w:tc>
        <w:tc>
          <w:tcPr>
            <w:tcW w:w="1550" w:type="pct"/>
            <w:shd w:val="clear" w:color="auto" w:fill="auto"/>
          </w:tcPr>
          <w:p w14:paraId="733D664A" w14:textId="77777777" w:rsidR="008F7576" w:rsidRPr="00A40451" w:rsidRDefault="008F7576" w:rsidP="00C14C6F">
            <w:pPr>
              <w:keepNext/>
              <w:jc w:val="right"/>
              <w:rPr>
                <w:sz w:val="20"/>
                <w:szCs w:val="20"/>
                <w:lang w:val="es-ES"/>
              </w:rPr>
            </w:pPr>
            <w:r w:rsidRPr="00A40451">
              <w:rPr>
                <w:sz w:val="20"/>
                <w:szCs w:val="20"/>
                <w:lang w:val="es-ES"/>
              </w:rPr>
              <w:t>1.09</w:t>
            </w:r>
          </w:p>
        </w:tc>
      </w:tr>
      <w:tr w:rsidR="008F7576" w:rsidRPr="00A40451" w14:paraId="5DDE3DBA" w14:textId="77777777" w:rsidTr="00C14C6F">
        <w:tc>
          <w:tcPr>
            <w:tcW w:w="2262" w:type="pct"/>
            <w:shd w:val="clear" w:color="auto" w:fill="auto"/>
          </w:tcPr>
          <w:p w14:paraId="6F47B41D" w14:textId="77777777" w:rsidR="008F7576" w:rsidRPr="00A40451" w:rsidRDefault="008F7576" w:rsidP="00C14C6F">
            <w:pPr>
              <w:pStyle w:val="Default"/>
              <w:rPr>
                <w:sz w:val="20"/>
                <w:szCs w:val="20"/>
              </w:rPr>
            </w:pPr>
            <w:r w:rsidRPr="00A40451">
              <w:rPr>
                <w:sz w:val="20"/>
                <w:szCs w:val="20"/>
              </w:rPr>
              <w:t>Total</w:t>
            </w:r>
          </w:p>
        </w:tc>
        <w:tc>
          <w:tcPr>
            <w:tcW w:w="604" w:type="pct"/>
            <w:shd w:val="clear" w:color="auto" w:fill="auto"/>
          </w:tcPr>
          <w:p w14:paraId="2CD5B35F" w14:textId="77777777" w:rsidR="008F7576" w:rsidRPr="00A40451" w:rsidRDefault="008F7576" w:rsidP="00C14C6F">
            <w:pPr>
              <w:pStyle w:val="Default"/>
              <w:rPr>
                <w:sz w:val="20"/>
                <w:szCs w:val="20"/>
              </w:rPr>
            </w:pPr>
          </w:p>
        </w:tc>
        <w:tc>
          <w:tcPr>
            <w:tcW w:w="584" w:type="pct"/>
            <w:shd w:val="clear" w:color="auto" w:fill="auto"/>
          </w:tcPr>
          <w:p w14:paraId="1D4F20A6" w14:textId="77777777" w:rsidR="008F7576" w:rsidRPr="00A40451" w:rsidRDefault="008F7576" w:rsidP="00C14C6F">
            <w:pPr>
              <w:pStyle w:val="Default"/>
              <w:rPr>
                <w:sz w:val="20"/>
                <w:szCs w:val="20"/>
              </w:rPr>
            </w:pPr>
          </w:p>
        </w:tc>
        <w:tc>
          <w:tcPr>
            <w:tcW w:w="1550" w:type="pct"/>
            <w:shd w:val="clear" w:color="auto" w:fill="auto"/>
          </w:tcPr>
          <w:p w14:paraId="7FA451AC" w14:textId="77777777" w:rsidR="008F7576" w:rsidRPr="00A40451" w:rsidRDefault="008F7576" w:rsidP="00C14C6F">
            <w:pPr>
              <w:pStyle w:val="Default"/>
              <w:jc w:val="right"/>
              <w:rPr>
                <w:sz w:val="20"/>
                <w:szCs w:val="20"/>
              </w:rPr>
            </w:pPr>
            <w:r w:rsidRPr="00A40451">
              <w:rPr>
                <w:sz w:val="20"/>
                <w:szCs w:val="20"/>
              </w:rPr>
              <w:t>1.09</w:t>
            </w:r>
          </w:p>
        </w:tc>
      </w:tr>
    </w:tbl>
    <w:p w14:paraId="31F2E75B" w14:textId="77777777" w:rsidR="008F7576" w:rsidRPr="00A40451" w:rsidRDefault="008F7576" w:rsidP="008F7576">
      <w:pPr>
        <w:pStyle w:val="Heading1"/>
        <w:numPr>
          <w:ilvl w:val="0"/>
          <w:numId w:val="0"/>
        </w:numPr>
        <w:rPr>
          <w:lang w:val="es-ES"/>
        </w:rPr>
      </w:pPr>
    </w:p>
    <w:p w14:paraId="4EA25F48" w14:textId="77777777" w:rsidR="008F7576" w:rsidRPr="00A40451" w:rsidRDefault="008F7576" w:rsidP="008F7576">
      <w:pPr>
        <w:rPr>
          <w:b/>
          <w:bCs/>
          <w:lang w:val="es-ES"/>
        </w:rPr>
      </w:pPr>
      <w:r w:rsidRPr="00A40451">
        <w:rPr>
          <w:b/>
          <w:bCs/>
          <w:lang w:val="es-ES"/>
        </w:rPr>
        <w:t>APÉNDICE 2-A: LOS OBJETIVOS Y LA FINANCIACIÓN</w:t>
      </w:r>
    </w:p>
    <w:p w14:paraId="462E2319" w14:textId="77777777" w:rsidR="008F7576" w:rsidRPr="00A40451" w:rsidRDefault="008F7576" w:rsidP="008F7576">
      <w:pPr>
        <w:rPr>
          <w:b/>
          <w:bCs/>
          <w:lang w:val="es-ES"/>
        </w:rPr>
      </w:pPr>
    </w:p>
    <w:tbl>
      <w:tblPr>
        <w:tblW w:w="5000" w:type="pct"/>
        <w:jc w:val="center"/>
        <w:tblLook w:val="04A0" w:firstRow="1" w:lastRow="0" w:firstColumn="1" w:lastColumn="0" w:noHBand="0" w:noVBand="1"/>
      </w:tblPr>
      <w:tblGrid>
        <w:gridCol w:w="629"/>
        <w:gridCol w:w="3865"/>
        <w:gridCol w:w="887"/>
        <w:gridCol w:w="856"/>
        <w:gridCol w:w="887"/>
        <w:gridCol w:w="778"/>
        <w:gridCol w:w="787"/>
        <w:gridCol w:w="887"/>
      </w:tblGrid>
      <w:tr w:rsidR="008F7576" w:rsidRPr="00A40451" w14:paraId="42C50EA4" w14:textId="77777777" w:rsidTr="00C14C6F">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73055D08" w14:textId="77777777" w:rsidR="008F7576" w:rsidRPr="00A40451" w:rsidRDefault="008F7576" w:rsidP="00C14C6F">
            <w:pPr>
              <w:jc w:val="left"/>
              <w:rPr>
                <w:b/>
                <w:bCs/>
                <w:color w:val="000000"/>
                <w:sz w:val="20"/>
                <w:szCs w:val="20"/>
                <w:lang w:val="es-ES" w:eastAsia="en-CA"/>
              </w:rPr>
            </w:pPr>
            <w:r w:rsidRPr="009B5B1A">
              <w:rPr>
                <w:b/>
                <w:bCs/>
                <w:color w:val="000000"/>
                <w:sz w:val="20"/>
                <w:szCs w:val="20"/>
                <w:lang w:val="es-ES" w:eastAsia="en-CA"/>
              </w:rPr>
              <w:t>Fila</w:t>
            </w:r>
          </w:p>
        </w:tc>
        <w:tc>
          <w:tcPr>
            <w:tcW w:w="2018" w:type="pct"/>
            <w:tcBorders>
              <w:top w:val="single" w:sz="4" w:space="0" w:color="auto"/>
              <w:left w:val="nil"/>
              <w:bottom w:val="single" w:sz="4" w:space="0" w:color="auto"/>
              <w:right w:val="single" w:sz="4" w:space="0" w:color="auto"/>
            </w:tcBorders>
            <w:shd w:val="clear" w:color="auto" w:fill="auto"/>
            <w:hideMark/>
          </w:tcPr>
          <w:p w14:paraId="2FCEEBC7" w14:textId="77777777" w:rsidR="008F7576" w:rsidRPr="00A40451" w:rsidRDefault="008F7576" w:rsidP="00C14C6F">
            <w:pPr>
              <w:jc w:val="center"/>
              <w:rPr>
                <w:b/>
                <w:bCs/>
                <w:color w:val="000000"/>
                <w:sz w:val="20"/>
                <w:szCs w:val="20"/>
                <w:lang w:val="es-ES" w:eastAsia="en-CA"/>
              </w:rPr>
            </w:pPr>
            <w:r w:rsidRPr="009B5B1A">
              <w:rPr>
                <w:b/>
                <w:bCs/>
                <w:color w:val="000000"/>
                <w:sz w:val="20"/>
                <w:szCs w:val="20"/>
                <w:lang w:val="es-ES" w:eastAsia="en-CA"/>
              </w:rPr>
              <w:t>Detalles</w:t>
            </w:r>
          </w:p>
        </w:tc>
        <w:tc>
          <w:tcPr>
            <w:tcW w:w="463" w:type="pct"/>
            <w:tcBorders>
              <w:top w:val="single" w:sz="4" w:space="0" w:color="auto"/>
              <w:left w:val="nil"/>
              <w:bottom w:val="single" w:sz="4" w:space="0" w:color="auto"/>
              <w:right w:val="single" w:sz="4" w:space="0" w:color="auto"/>
            </w:tcBorders>
            <w:shd w:val="clear" w:color="auto" w:fill="auto"/>
            <w:hideMark/>
          </w:tcPr>
          <w:p w14:paraId="3037EC1D" w14:textId="77777777" w:rsidR="008F7576" w:rsidRPr="00A40451" w:rsidRDefault="008F7576" w:rsidP="00C14C6F">
            <w:pPr>
              <w:jc w:val="center"/>
              <w:rPr>
                <w:b/>
                <w:bCs/>
                <w:color w:val="000000"/>
                <w:sz w:val="20"/>
                <w:szCs w:val="20"/>
                <w:lang w:val="es-ES" w:eastAsia="en-CA"/>
              </w:rPr>
            </w:pPr>
            <w:r w:rsidRPr="00A40451">
              <w:rPr>
                <w:b/>
                <w:bCs/>
                <w:color w:val="000000"/>
                <w:sz w:val="20"/>
                <w:szCs w:val="20"/>
                <w:lang w:val="es-ES" w:eastAsia="en-CA"/>
              </w:rPr>
              <w:t>2022</w:t>
            </w:r>
          </w:p>
        </w:tc>
        <w:tc>
          <w:tcPr>
            <w:tcW w:w="447" w:type="pct"/>
            <w:tcBorders>
              <w:top w:val="single" w:sz="4" w:space="0" w:color="auto"/>
              <w:left w:val="nil"/>
              <w:bottom w:val="single" w:sz="4" w:space="0" w:color="auto"/>
              <w:right w:val="single" w:sz="4" w:space="0" w:color="auto"/>
            </w:tcBorders>
            <w:shd w:val="clear" w:color="auto" w:fill="auto"/>
            <w:hideMark/>
          </w:tcPr>
          <w:p w14:paraId="6C69DE90" w14:textId="77777777" w:rsidR="008F7576" w:rsidRPr="00A40451" w:rsidRDefault="008F7576" w:rsidP="00C14C6F">
            <w:pPr>
              <w:jc w:val="center"/>
              <w:rPr>
                <w:b/>
                <w:bCs/>
                <w:color w:val="000000"/>
                <w:sz w:val="20"/>
                <w:szCs w:val="20"/>
                <w:lang w:val="es-ES" w:eastAsia="en-CA"/>
              </w:rPr>
            </w:pPr>
            <w:r w:rsidRPr="00A40451">
              <w:rPr>
                <w:b/>
                <w:bCs/>
                <w:color w:val="000000"/>
                <w:sz w:val="20"/>
                <w:szCs w:val="20"/>
                <w:lang w:val="es-ES" w:eastAsia="en-CA"/>
              </w:rPr>
              <w:t>2023- 2024</w:t>
            </w:r>
          </w:p>
        </w:tc>
        <w:tc>
          <w:tcPr>
            <w:tcW w:w="463" w:type="pct"/>
            <w:tcBorders>
              <w:top w:val="single" w:sz="4" w:space="0" w:color="auto"/>
              <w:left w:val="nil"/>
              <w:bottom w:val="single" w:sz="4" w:space="0" w:color="auto"/>
              <w:right w:val="single" w:sz="4" w:space="0" w:color="auto"/>
            </w:tcBorders>
            <w:shd w:val="clear" w:color="auto" w:fill="auto"/>
            <w:hideMark/>
          </w:tcPr>
          <w:p w14:paraId="348C25D6" w14:textId="77777777" w:rsidR="008F7576" w:rsidRPr="00A40451" w:rsidRDefault="008F7576" w:rsidP="00C14C6F">
            <w:pPr>
              <w:jc w:val="center"/>
              <w:rPr>
                <w:b/>
                <w:bCs/>
                <w:color w:val="000000"/>
                <w:sz w:val="20"/>
                <w:szCs w:val="20"/>
                <w:lang w:val="es-ES" w:eastAsia="en-CA"/>
              </w:rPr>
            </w:pPr>
            <w:r w:rsidRPr="00A40451">
              <w:rPr>
                <w:b/>
                <w:bCs/>
                <w:color w:val="000000"/>
                <w:sz w:val="20"/>
                <w:szCs w:val="20"/>
                <w:lang w:val="es-ES" w:eastAsia="en-CA"/>
              </w:rPr>
              <w:t>2025</w:t>
            </w:r>
          </w:p>
        </w:tc>
        <w:tc>
          <w:tcPr>
            <w:tcW w:w="406" w:type="pct"/>
            <w:tcBorders>
              <w:top w:val="single" w:sz="4" w:space="0" w:color="auto"/>
              <w:left w:val="nil"/>
              <w:bottom w:val="single" w:sz="4" w:space="0" w:color="auto"/>
              <w:right w:val="single" w:sz="4" w:space="0" w:color="auto"/>
            </w:tcBorders>
            <w:shd w:val="clear" w:color="auto" w:fill="auto"/>
            <w:hideMark/>
          </w:tcPr>
          <w:p w14:paraId="7F944F64" w14:textId="77777777" w:rsidR="008F7576" w:rsidRPr="00A40451" w:rsidRDefault="008F7576" w:rsidP="00C14C6F">
            <w:pPr>
              <w:jc w:val="center"/>
              <w:rPr>
                <w:b/>
                <w:bCs/>
                <w:color w:val="000000"/>
                <w:sz w:val="20"/>
                <w:szCs w:val="20"/>
                <w:lang w:val="es-ES" w:eastAsia="en-CA"/>
              </w:rPr>
            </w:pPr>
            <w:r w:rsidRPr="00A40451">
              <w:rPr>
                <w:b/>
                <w:bCs/>
                <w:color w:val="000000"/>
                <w:sz w:val="20"/>
                <w:szCs w:val="20"/>
                <w:lang w:val="es-ES" w:eastAsia="en-CA"/>
              </w:rPr>
              <w:t>2026-2029</w:t>
            </w:r>
          </w:p>
        </w:tc>
        <w:tc>
          <w:tcPr>
            <w:tcW w:w="411" w:type="pct"/>
            <w:tcBorders>
              <w:top w:val="single" w:sz="4" w:space="0" w:color="auto"/>
              <w:left w:val="nil"/>
              <w:bottom w:val="single" w:sz="4" w:space="0" w:color="auto"/>
              <w:right w:val="single" w:sz="4" w:space="0" w:color="auto"/>
            </w:tcBorders>
            <w:shd w:val="clear" w:color="auto" w:fill="auto"/>
            <w:hideMark/>
          </w:tcPr>
          <w:p w14:paraId="77B6A88F" w14:textId="77777777" w:rsidR="008F7576" w:rsidRPr="00A40451" w:rsidRDefault="008F7576" w:rsidP="00C14C6F">
            <w:pPr>
              <w:jc w:val="center"/>
              <w:rPr>
                <w:b/>
                <w:bCs/>
                <w:color w:val="000000"/>
                <w:sz w:val="20"/>
                <w:szCs w:val="20"/>
                <w:lang w:val="es-ES" w:eastAsia="en-CA"/>
              </w:rPr>
            </w:pPr>
            <w:r w:rsidRPr="00A40451">
              <w:rPr>
                <w:b/>
                <w:bCs/>
                <w:color w:val="000000"/>
                <w:sz w:val="20"/>
                <w:szCs w:val="20"/>
                <w:lang w:val="es-ES" w:eastAsia="en-CA"/>
              </w:rPr>
              <w:t>2030</w:t>
            </w:r>
          </w:p>
        </w:tc>
        <w:tc>
          <w:tcPr>
            <w:tcW w:w="463" w:type="pct"/>
            <w:tcBorders>
              <w:top w:val="single" w:sz="4" w:space="0" w:color="auto"/>
              <w:left w:val="nil"/>
              <w:bottom w:val="single" w:sz="4" w:space="0" w:color="auto"/>
              <w:right w:val="single" w:sz="4" w:space="0" w:color="auto"/>
            </w:tcBorders>
            <w:shd w:val="clear" w:color="auto" w:fill="auto"/>
            <w:hideMark/>
          </w:tcPr>
          <w:p w14:paraId="356D7242" w14:textId="77777777" w:rsidR="008F7576" w:rsidRPr="00A40451" w:rsidRDefault="008F7576" w:rsidP="00C14C6F">
            <w:pPr>
              <w:jc w:val="center"/>
              <w:rPr>
                <w:b/>
                <w:bCs/>
                <w:color w:val="000000"/>
                <w:sz w:val="20"/>
                <w:szCs w:val="20"/>
                <w:lang w:val="es-ES" w:eastAsia="en-CA"/>
              </w:rPr>
            </w:pPr>
            <w:r w:rsidRPr="00A40451">
              <w:rPr>
                <w:b/>
                <w:bCs/>
                <w:color w:val="000000"/>
                <w:sz w:val="20"/>
                <w:szCs w:val="20"/>
                <w:lang w:val="es-ES" w:eastAsia="en-CA"/>
              </w:rPr>
              <w:t>Total</w:t>
            </w:r>
          </w:p>
        </w:tc>
      </w:tr>
      <w:tr w:rsidR="008F7576" w:rsidRPr="00A40451" w14:paraId="69E6555B" w14:textId="77777777" w:rsidTr="00C14C6F">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1CCF7A0E"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1.1</w:t>
            </w:r>
          </w:p>
        </w:tc>
        <w:tc>
          <w:tcPr>
            <w:tcW w:w="2018" w:type="pct"/>
            <w:tcBorders>
              <w:top w:val="nil"/>
              <w:left w:val="nil"/>
              <w:bottom w:val="single" w:sz="4" w:space="0" w:color="auto"/>
              <w:right w:val="single" w:sz="4" w:space="0" w:color="auto"/>
            </w:tcBorders>
            <w:shd w:val="clear" w:color="auto" w:fill="auto"/>
            <w:hideMark/>
          </w:tcPr>
          <w:p w14:paraId="5E8A21B5"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Calendario de reducción del Protocolo de Montreal para las sustancias del Anexo C, Grupo I (toneladas PAO)</w:t>
            </w:r>
          </w:p>
        </w:tc>
        <w:tc>
          <w:tcPr>
            <w:tcW w:w="463" w:type="pct"/>
            <w:tcBorders>
              <w:top w:val="nil"/>
              <w:left w:val="nil"/>
              <w:bottom w:val="single" w:sz="4" w:space="0" w:color="auto"/>
              <w:right w:val="single" w:sz="4" w:space="0" w:color="auto"/>
            </w:tcBorders>
            <w:shd w:val="clear" w:color="auto" w:fill="auto"/>
          </w:tcPr>
          <w:p w14:paraId="743C068D"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0,71</w:t>
            </w:r>
          </w:p>
        </w:tc>
        <w:tc>
          <w:tcPr>
            <w:tcW w:w="447" w:type="pct"/>
            <w:tcBorders>
              <w:top w:val="nil"/>
              <w:left w:val="nil"/>
              <w:bottom w:val="single" w:sz="4" w:space="0" w:color="auto"/>
              <w:right w:val="single" w:sz="4" w:space="0" w:color="auto"/>
            </w:tcBorders>
            <w:shd w:val="clear" w:color="auto" w:fill="auto"/>
          </w:tcPr>
          <w:p w14:paraId="3DD43B58"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0,71</w:t>
            </w:r>
          </w:p>
        </w:tc>
        <w:tc>
          <w:tcPr>
            <w:tcW w:w="463" w:type="pct"/>
            <w:tcBorders>
              <w:top w:val="nil"/>
              <w:left w:val="nil"/>
              <w:bottom w:val="single" w:sz="4" w:space="0" w:color="auto"/>
              <w:right w:val="single" w:sz="4" w:space="0" w:color="auto"/>
            </w:tcBorders>
            <w:shd w:val="clear" w:color="auto" w:fill="auto"/>
          </w:tcPr>
          <w:p w14:paraId="11F57D02"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0,35</w:t>
            </w:r>
          </w:p>
        </w:tc>
        <w:tc>
          <w:tcPr>
            <w:tcW w:w="406" w:type="pct"/>
            <w:tcBorders>
              <w:top w:val="nil"/>
              <w:left w:val="nil"/>
              <w:bottom w:val="single" w:sz="4" w:space="0" w:color="auto"/>
              <w:right w:val="single" w:sz="4" w:space="0" w:color="auto"/>
            </w:tcBorders>
            <w:shd w:val="clear" w:color="auto" w:fill="auto"/>
          </w:tcPr>
          <w:p w14:paraId="11C967A2"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0,35</w:t>
            </w:r>
          </w:p>
        </w:tc>
        <w:tc>
          <w:tcPr>
            <w:tcW w:w="411" w:type="pct"/>
            <w:tcBorders>
              <w:top w:val="nil"/>
              <w:left w:val="nil"/>
              <w:bottom w:val="single" w:sz="4" w:space="0" w:color="auto"/>
              <w:right w:val="single" w:sz="4" w:space="0" w:color="auto"/>
            </w:tcBorders>
            <w:shd w:val="clear" w:color="auto" w:fill="auto"/>
          </w:tcPr>
          <w:p w14:paraId="76996446"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75A8DAFF"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n/a</w:t>
            </w:r>
          </w:p>
        </w:tc>
      </w:tr>
      <w:tr w:rsidR="008F7576" w:rsidRPr="00A40451" w14:paraId="368D5948" w14:textId="77777777" w:rsidTr="00C14C6F">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4465737A"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1.2</w:t>
            </w:r>
          </w:p>
        </w:tc>
        <w:tc>
          <w:tcPr>
            <w:tcW w:w="2018" w:type="pct"/>
            <w:tcBorders>
              <w:top w:val="nil"/>
              <w:left w:val="nil"/>
              <w:bottom w:val="single" w:sz="4" w:space="0" w:color="auto"/>
              <w:right w:val="single" w:sz="4" w:space="0" w:color="auto"/>
            </w:tcBorders>
            <w:shd w:val="clear" w:color="auto" w:fill="auto"/>
            <w:hideMark/>
          </w:tcPr>
          <w:p w14:paraId="030BECFC"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Consumo total permisible máximo para las substancias incluidas en el Anexo C, Grupo I (toneladas PAO)</w:t>
            </w:r>
          </w:p>
        </w:tc>
        <w:tc>
          <w:tcPr>
            <w:tcW w:w="463" w:type="pct"/>
            <w:tcBorders>
              <w:top w:val="nil"/>
              <w:left w:val="nil"/>
              <w:bottom w:val="single" w:sz="4" w:space="0" w:color="auto"/>
              <w:right w:val="single" w:sz="4" w:space="0" w:color="auto"/>
            </w:tcBorders>
            <w:shd w:val="clear" w:color="auto" w:fill="auto"/>
          </w:tcPr>
          <w:p w14:paraId="7B8F34F8"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0,67</w:t>
            </w:r>
          </w:p>
        </w:tc>
        <w:tc>
          <w:tcPr>
            <w:tcW w:w="447" w:type="pct"/>
            <w:tcBorders>
              <w:top w:val="nil"/>
              <w:left w:val="nil"/>
              <w:bottom w:val="single" w:sz="4" w:space="0" w:color="auto"/>
              <w:right w:val="single" w:sz="4" w:space="0" w:color="auto"/>
            </w:tcBorders>
            <w:shd w:val="clear" w:color="auto" w:fill="auto"/>
          </w:tcPr>
          <w:p w14:paraId="3FEFFB7E"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0,60</w:t>
            </w:r>
          </w:p>
        </w:tc>
        <w:tc>
          <w:tcPr>
            <w:tcW w:w="463" w:type="pct"/>
            <w:tcBorders>
              <w:top w:val="nil"/>
              <w:left w:val="nil"/>
              <w:bottom w:val="single" w:sz="4" w:space="0" w:color="auto"/>
              <w:right w:val="single" w:sz="4" w:space="0" w:color="auto"/>
            </w:tcBorders>
            <w:shd w:val="clear" w:color="auto" w:fill="auto"/>
          </w:tcPr>
          <w:p w14:paraId="748FE2D1"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0,35</w:t>
            </w:r>
          </w:p>
        </w:tc>
        <w:tc>
          <w:tcPr>
            <w:tcW w:w="406" w:type="pct"/>
            <w:tcBorders>
              <w:top w:val="nil"/>
              <w:left w:val="nil"/>
              <w:bottom w:val="single" w:sz="4" w:space="0" w:color="auto"/>
              <w:right w:val="single" w:sz="4" w:space="0" w:color="auto"/>
            </w:tcBorders>
            <w:shd w:val="clear" w:color="auto" w:fill="auto"/>
          </w:tcPr>
          <w:p w14:paraId="4EFD6828"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0,35</w:t>
            </w:r>
          </w:p>
        </w:tc>
        <w:tc>
          <w:tcPr>
            <w:tcW w:w="411" w:type="pct"/>
            <w:tcBorders>
              <w:top w:val="nil"/>
              <w:left w:val="nil"/>
              <w:bottom w:val="single" w:sz="4" w:space="0" w:color="auto"/>
              <w:right w:val="single" w:sz="4" w:space="0" w:color="auto"/>
            </w:tcBorders>
            <w:shd w:val="clear" w:color="auto" w:fill="auto"/>
          </w:tcPr>
          <w:p w14:paraId="6A91A6A9"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70B3A351"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n/a</w:t>
            </w:r>
          </w:p>
        </w:tc>
      </w:tr>
      <w:tr w:rsidR="008F7576" w:rsidRPr="00A40451" w14:paraId="0886B289" w14:textId="77777777" w:rsidTr="00C14C6F">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67A6E690"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2.1</w:t>
            </w:r>
          </w:p>
        </w:tc>
        <w:tc>
          <w:tcPr>
            <w:tcW w:w="2018" w:type="pct"/>
            <w:tcBorders>
              <w:top w:val="nil"/>
              <w:left w:val="nil"/>
              <w:bottom w:val="single" w:sz="4" w:space="0" w:color="auto"/>
              <w:right w:val="single" w:sz="4" w:space="0" w:color="auto"/>
            </w:tcBorders>
            <w:shd w:val="clear" w:color="auto" w:fill="auto"/>
            <w:hideMark/>
          </w:tcPr>
          <w:p w14:paraId="08E80020"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Financiación convenida para el organismo de ejecución principal (PNUMA) ($EUA)</w:t>
            </w:r>
          </w:p>
        </w:tc>
        <w:tc>
          <w:tcPr>
            <w:tcW w:w="463" w:type="pct"/>
            <w:tcBorders>
              <w:top w:val="nil"/>
              <w:left w:val="nil"/>
              <w:bottom w:val="single" w:sz="4" w:space="0" w:color="auto"/>
              <w:right w:val="single" w:sz="4" w:space="0" w:color="auto"/>
            </w:tcBorders>
            <w:shd w:val="clear" w:color="auto" w:fill="auto"/>
          </w:tcPr>
          <w:p w14:paraId="47598EFC"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115.000</w:t>
            </w:r>
          </w:p>
        </w:tc>
        <w:tc>
          <w:tcPr>
            <w:tcW w:w="447" w:type="pct"/>
            <w:tcBorders>
              <w:top w:val="nil"/>
              <w:left w:val="nil"/>
              <w:bottom w:val="single" w:sz="4" w:space="0" w:color="auto"/>
              <w:right w:val="single" w:sz="4" w:space="0" w:color="auto"/>
            </w:tcBorders>
            <w:shd w:val="clear" w:color="auto" w:fill="auto"/>
          </w:tcPr>
          <w:p w14:paraId="51CF3EB3"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16A53B1C"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135.000</w:t>
            </w:r>
          </w:p>
        </w:tc>
        <w:tc>
          <w:tcPr>
            <w:tcW w:w="406" w:type="pct"/>
            <w:tcBorders>
              <w:top w:val="nil"/>
              <w:left w:val="nil"/>
              <w:bottom w:val="single" w:sz="4" w:space="0" w:color="auto"/>
              <w:right w:val="single" w:sz="4" w:space="0" w:color="auto"/>
            </w:tcBorders>
            <w:shd w:val="clear" w:color="auto" w:fill="auto"/>
          </w:tcPr>
          <w:p w14:paraId="5BD97218"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11" w:type="pct"/>
            <w:tcBorders>
              <w:top w:val="nil"/>
              <w:left w:val="nil"/>
              <w:bottom w:val="single" w:sz="4" w:space="0" w:color="auto"/>
              <w:right w:val="single" w:sz="4" w:space="0" w:color="auto"/>
            </w:tcBorders>
            <w:shd w:val="clear" w:color="auto" w:fill="auto"/>
          </w:tcPr>
          <w:p w14:paraId="3FFAE327"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75.000</w:t>
            </w:r>
          </w:p>
        </w:tc>
        <w:tc>
          <w:tcPr>
            <w:tcW w:w="463" w:type="pct"/>
            <w:tcBorders>
              <w:top w:val="nil"/>
              <w:left w:val="nil"/>
              <w:bottom w:val="single" w:sz="4" w:space="0" w:color="auto"/>
              <w:right w:val="single" w:sz="4" w:space="0" w:color="auto"/>
            </w:tcBorders>
            <w:shd w:val="clear" w:color="auto" w:fill="auto"/>
          </w:tcPr>
          <w:p w14:paraId="16E9203E"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325.000</w:t>
            </w:r>
          </w:p>
        </w:tc>
      </w:tr>
      <w:tr w:rsidR="008F7576" w:rsidRPr="00A40451" w14:paraId="778B2C4E" w14:textId="77777777" w:rsidTr="00C14C6F">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327BD43D"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2.2</w:t>
            </w:r>
          </w:p>
        </w:tc>
        <w:tc>
          <w:tcPr>
            <w:tcW w:w="2018" w:type="pct"/>
            <w:tcBorders>
              <w:top w:val="nil"/>
              <w:left w:val="nil"/>
              <w:bottom w:val="single" w:sz="4" w:space="0" w:color="auto"/>
              <w:right w:val="single" w:sz="4" w:space="0" w:color="auto"/>
            </w:tcBorders>
            <w:shd w:val="clear" w:color="auto" w:fill="auto"/>
            <w:hideMark/>
          </w:tcPr>
          <w:p w14:paraId="5389F0EA"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Gastos de apoyo para el organismo de ejecución principal ($EUA)</w:t>
            </w:r>
          </w:p>
        </w:tc>
        <w:tc>
          <w:tcPr>
            <w:tcW w:w="463" w:type="pct"/>
            <w:tcBorders>
              <w:top w:val="nil"/>
              <w:left w:val="nil"/>
              <w:bottom w:val="single" w:sz="4" w:space="0" w:color="auto"/>
              <w:right w:val="single" w:sz="4" w:space="0" w:color="auto"/>
            </w:tcBorders>
            <w:shd w:val="clear" w:color="auto" w:fill="auto"/>
          </w:tcPr>
          <w:p w14:paraId="6DEC2928"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14.950</w:t>
            </w:r>
          </w:p>
        </w:tc>
        <w:tc>
          <w:tcPr>
            <w:tcW w:w="447" w:type="pct"/>
            <w:tcBorders>
              <w:top w:val="nil"/>
              <w:left w:val="nil"/>
              <w:bottom w:val="single" w:sz="4" w:space="0" w:color="auto"/>
              <w:right w:val="single" w:sz="4" w:space="0" w:color="auto"/>
            </w:tcBorders>
            <w:shd w:val="clear" w:color="auto" w:fill="auto"/>
          </w:tcPr>
          <w:p w14:paraId="17F3CFCE"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7F77D771"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17.550</w:t>
            </w:r>
          </w:p>
        </w:tc>
        <w:tc>
          <w:tcPr>
            <w:tcW w:w="406" w:type="pct"/>
            <w:tcBorders>
              <w:top w:val="nil"/>
              <w:left w:val="nil"/>
              <w:bottom w:val="single" w:sz="4" w:space="0" w:color="auto"/>
              <w:right w:val="single" w:sz="4" w:space="0" w:color="auto"/>
            </w:tcBorders>
            <w:shd w:val="clear" w:color="auto" w:fill="auto"/>
          </w:tcPr>
          <w:p w14:paraId="33910070"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11" w:type="pct"/>
            <w:tcBorders>
              <w:top w:val="nil"/>
              <w:left w:val="nil"/>
              <w:bottom w:val="single" w:sz="4" w:space="0" w:color="auto"/>
              <w:right w:val="single" w:sz="4" w:space="0" w:color="auto"/>
            </w:tcBorders>
            <w:shd w:val="clear" w:color="auto" w:fill="auto"/>
          </w:tcPr>
          <w:p w14:paraId="5CCAA23A"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9.750</w:t>
            </w:r>
          </w:p>
        </w:tc>
        <w:tc>
          <w:tcPr>
            <w:tcW w:w="463" w:type="pct"/>
            <w:tcBorders>
              <w:top w:val="nil"/>
              <w:left w:val="nil"/>
              <w:bottom w:val="single" w:sz="4" w:space="0" w:color="auto"/>
              <w:right w:val="single" w:sz="4" w:space="0" w:color="auto"/>
            </w:tcBorders>
            <w:shd w:val="clear" w:color="auto" w:fill="auto"/>
          </w:tcPr>
          <w:p w14:paraId="64BE673B"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42.250</w:t>
            </w:r>
          </w:p>
        </w:tc>
      </w:tr>
      <w:tr w:rsidR="008F7576" w:rsidRPr="00A40451" w14:paraId="2113A098" w14:textId="77777777" w:rsidTr="00C14C6F">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312F9F6D"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2.3</w:t>
            </w:r>
          </w:p>
        </w:tc>
        <w:tc>
          <w:tcPr>
            <w:tcW w:w="2018" w:type="pct"/>
            <w:tcBorders>
              <w:top w:val="nil"/>
              <w:left w:val="nil"/>
              <w:bottom w:val="single" w:sz="4" w:space="0" w:color="auto"/>
              <w:right w:val="single" w:sz="4" w:space="0" w:color="auto"/>
            </w:tcBorders>
            <w:shd w:val="clear" w:color="auto" w:fill="auto"/>
            <w:hideMark/>
          </w:tcPr>
          <w:p w14:paraId="0B03F271"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Financiación convenida para el organismo de ejecución cooperante (ONUDI) ($EUA)</w:t>
            </w:r>
          </w:p>
        </w:tc>
        <w:tc>
          <w:tcPr>
            <w:tcW w:w="463" w:type="pct"/>
            <w:tcBorders>
              <w:top w:val="nil"/>
              <w:left w:val="nil"/>
              <w:bottom w:val="single" w:sz="4" w:space="0" w:color="auto"/>
              <w:right w:val="single" w:sz="4" w:space="0" w:color="auto"/>
            </w:tcBorders>
            <w:shd w:val="clear" w:color="auto" w:fill="auto"/>
          </w:tcPr>
          <w:p w14:paraId="3178845C"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105.000</w:t>
            </w:r>
          </w:p>
        </w:tc>
        <w:tc>
          <w:tcPr>
            <w:tcW w:w="447" w:type="pct"/>
            <w:tcBorders>
              <w:top w:val="nil"/>
              <w:left w:val="nil"/>
              <w:bottom w:val="single" w:sz="4" w:space="0" w:color="auto"/>
              <w:right w:val="single" w:sz="4" w:space="0" w:color="auto"/>
            </w:tcBorders>
            <w:shd w:val="clear" w:color="auto" w:fill="auto"/>
          </w:tcPr>
          <w:p w14:paraId="777A96CF"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34F877CA"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110.000</w:t>
            </w:r>
          </w:p>
        </w:tc>
        <w:tc>
          <w:tcPr>
            <w:tcW w:w="406" w:type="pct"/>
            <w:tcBorders>
              <w:top w:val="nil"/>
              <w:left w:val="nil"/>
              <w:bottom w:val="single" w:sz="4" w:space="0" w:color="auto"/>
              <w:right w:val="single" w:sz="4" w:space="0" w:color="auto"/>
            </w:tcBorders>
            <w:shd w:val="clear" w:color="auto" w:fill="auto"/>
          </w:tcPr>
          <w:p w14:paraId="3B184C23"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11" w:type="pct"/>
            <w:tcBorders>
              <w:top w:val="nil"/>
              <w:left w:val="nil"/>
              <w:bottom w:val="single" w:sz="4" w:space="0" w:color="auto"/>
              <w:right w:val="single" w:sz="4" w:space="0" w:color="auto"/>
            </w:tcBorders>
            <w:shd w:val="clear" w:color="auto" w:fill="auto"/>
          </w:tcPr>
          <w:p w14:paraId="2E2DA6B2"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2860B52F"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215.000</w:t>
            </w:r>
          </w:p>
        </w:tc>
      </w:tr>
      <w:tr w:rsidR="008F7576" w:rsidRPr="00A40451" w14:paraId="37D1922E" w14:textId="77777777" w:rsidTr="00C14C6F">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0904BCDE"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2.4</w:t>
            </w:r>
          </w:p>
        </w:tc>
        <w:tc>
          <w:tcPr>
            <w:tcW w:w="2018" w:type="pct"/>
            <w:tcBorders>
              <w:top w:val="nil"/>
              <w:left w:val="nil"/>
              <w:bottom w:val="single" w:sz="4" w:space="0" w:color="auto"/>
              <w:right w:val="single" w:sz="4" w:space="0" w:color="auto"/>
            </w:tcBorders>
            <w:shd w:val="clear" w:color="auto" w:fill="auto"/>
            <w:hideMark/>
          </w:tcPr>
          <w:p w14:paraId="15CE355E"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Gastos de apoyo para el organismo de ejecución cooperante ($EUA)</w:t>
            </w:r>
          </w:p>
        </w:tc>
        <w:tc>
          <w:tcPr>
            <w:tcW w:w="463" w:type="pct"/>
            <w:tcBorders>
              <w:top w:val="nil"/>
              <w:left w:val="nil"/>
              <w:bottom w:val="single" w:sz="4" w:space="0" w:color="auto"/>
              <w:right w:val="single" w:sz="4" w:space="0" w:color="auto"/>
            </w:tcBorders>
            <w:shd w:val="clear" w:color="auto" w:fill="auto"/>
          </w:tcPr>
          <w:p w14:paraId="22E20AC7"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9.450</w:t>
            </w:r>
          </w:p>
        </w:tc>
        <w:tc>
          <w:tcPr>
            <w:tcW w:w="447" w:type="pct"/>
            <w:tcBorders>
              <w:top w:val="nil"/>
              <w:left w:val="nil"/>
              <w:bottom w:val="single" w:sz="4" w:space="0" w:color="auto"/>
              <w:right w:val="single" w:sz="4" w:space="0" w:color="auto"/>
            </w:tcBorders>
            <w:shd w:val="clear" w:color="auto" w:fill="auto"/>
          </w:tcPr>
          <w:p w14:paraId="54C42D8A"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0513D849"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9.900</w:t>
            </w:r>
          </w:p>
        </w:tc>
        <w:tc>
          <w:tcPr>
            <w:tcW w:w="406" w:type="pct"/>
            <w:tcBorders>
              <w:top w:val="nil"/>
              <w:left w:val="nil"/>
              <w:bottom w:val="single" w:sz="4" w:space="0" w:color="auto"/>
              <w:right w:val="single" w:sz="4" w:space="0" w:color="auto"/>
            </w:tcBorders>
            <w:shd w:val="clear" w:color="auto" w:fill="auto"/>
          </w:tcPr>
          <w:p w14:paraId="655D1121"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11" w:type="pct"/>
            <w:tcBorders>
              <w:top w:val="nil"/>
              <w:left w:val="nil"/>
              <w:bottom w:val="single" w:sz="4" w:space="0" w:color="auto"/>
              <w:right w:val="single" w:sz="4" w:space="0" w:color="auto"/>
            </w:tcBorders>
            <w:shd w:val="clear" w:color="auto" w:fill="auto"/>
          </w:tcPr>
          <w:p w14:paraId="3E670A10"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11F9D0F2"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19.350</w:t>
            </w:r>
          </w:p>
        </w:tc>
      </w:tr>
      <w:tr w:rsidR="008F7576" w:rsidRPr="00A40451" w14:paraId="7B6168E5" w14:textId="77777777" w:rsidTr="00C14C6F">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7DE1C660"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3.1</w:t>
            </w:r>
          </w:p>
        </w:tc>
        <w:tc>
          <w:tcPr>
            <w:tcW w:w="2018" w:type="pct"/>
            <w:tcBorders>
              <w:top w:val="nil"/>
              <w:left w:val="nil"/>
              <w:bottom w:val="single" w:sz="4" w:space="0" w:color="auto"/>
              <w:right w:val="single" w:sz="4" w:space="0" w:color="auto"/>
            </w:tcBorders>
            <w:shd w:val="clear" w:color="auto" w:fill="auto"/>
            <w:hideMark/>
          </w:tcPr>
          <w:p w14:paraId="59843EA5"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Financiación total convenida ($EUA)</w:t>
            </w:r>
          </w:p>
        </w:tc>
        <w:tc>
          <w:tcPr>
            <w:tcW w:w="463" w:type="pct"/>
            <w:tcBorders>
              <w:top w:val="nil"/>
              <w:left w:val="nil"/>
              <w:bottom w:val="single" w:sz="4" w:space="0" w:color="auto"/>
              <w:right w:val="single" w:sz="4" w:space="0" w:color="auto"/>
            </w:tcBorders>
            <w:shd w:val="clear" w:color="auto" w:fill="auto"/>
          </w:tcPr>
          <w:p w14:paraId="41641DD4"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220.000</w:t>
            </w:r>
          </w:p>
        </w:tc>
        <w:tc>
          <w:tcPr>
            <w:tcW w:w="447" w:type="pct"/>
            <w:tcBorders>
              <w:top w:val="nil"/>
              <w:left w:val="nil"/>
              <w:bottom w:val="single" w:sz="4" w:space="0" w:color="auto"/>
              <w:right w:val="single" w:sz="4" w:space="0" w:color="auto"/>
            </w:tcBorders>
            <w:shd w:val="clear" w:color="auto" w:fill="auto"/>
          </w:tcPr>
          <w:p w14:paraId="38D91858"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7B87C8FF"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245.000</w:t>
            </w:r>
          </w:p>
        </w:tc>
        <w:tc>
          <w:tcPr>
            <w:tcW w:w="406" w:type="pct"/>
            <w:tcBorders>
              <w:top w:val="nil"/>
              <w:left w:val="nil"/>
              <w:bottom w:val="single" w:sz="4" w:space="0" w:color="auto"/>
              <w:right w:val="single" w:sz="4" w:space="0" w:color="auto"/>
            </w:tcBorders>
            <w:shd w:val="clear" w:color="auto" w:fill="auto"/>
          </w:tcPr>
          <w:p w14:paraId="2336E775"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11" w:type="pct"/>
            <w:tcBorders>
              <w:top w:val="nil"/>
              <w:left w:val="nil"/>
              <w:bottom w:val="single" w:sz="4" w:space="0" w:color="auto"/>
              <w:right w:val="single" w:sz="4" w:space="0" w:color="auto"/>
            </w:tcBorders>
            <w:shd w:val="clear" w:color="auto" w:fill="auto"/>
          </w:tcPr>
          <w:p w14:paraId="0C5A410F"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75.000</w:t>
            </w:r>
          </w:p>
        </w:tc>
        <w:tc>
          <w:tcPr>
            <w:tcW w:w="463" w:type="pct"/>
            <w:tcBorders>
              <w:top w:val="nil"/>
              <w:left w:val="nil"/>
              <w:bottom w:val="single" w:sz="4" w:space="0" w:color="auto"/>
              <w:right w:val="single" w:sz="4" w:space="0" w:color="auto"/>
            </w:tcBorders>
            <w:shd w:val="clear" w:color="auto" w:fill="auto"/>
          </w:tcPr>
          <w:p w14:paraId="7D7E8FD9"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540.000</w:t>
            </w:r>
          </w:p>
        </w:tc>
      </w:tr>
      <w:tr w:rsidR="008F7576" w:rsidRPr="00A40451" w14:paraId="0261EDA7" w14:textId="77777777" w:rsidTr="00C14C6F">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63021D23"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3.2</w:t>
            </w:r>
          </w:p>
        </w:tc>
        <w:tc>
          <w:tcPr>
            <w:tcW w:w="2018" w:type="pct"/>
            <w:tcBorders>
              <w:top w:val="nil"/>
              <w:left w:val="nil"/>
              <w:bottom w:val="single" w:sz="4" w:space="0" w:color="auto"/>
              <w:right w:val="single" w:sz="4" w:space="0" w:color="auto"/>
            </w:tcBorders>
            <w:shd w:val="clear" w:color="auto" w:fill="auto"/>
            <w:hideMark/>
          </w:tcPr>
          <w:p w14:paraId="6324C2F8" w14:textId="77777777" w:rsidR="008F7576" w:rsidRPr="00A40451" w:rsidRDefault="008F7576" w:rsidP="00C14C6F">
            <w:pPr>
              <w:jc w:val="left"/>
              <w:rPr>
                <w:color w:val="000000"/>
                <w:sz w:val="20"/>
                <w:szCs w:val="20"/>
                <w:lang w:val="es-ES" w:eastAsia="en-CA"/>
              </w:rPr>
            </w:pPr>
            <w:proofErr w:type="gramStart"/>
            <w:r w:rsidRPr="00A40451">
              <w:rPr>
                <w:color w:val="000000"/>
                <w:sz w:val="20"/>
                <w:szCs w:val="20"/>
                <w:lang w:val="es-ES" w:eastAsia="en-CA"/>
              </w:rPr>
              <w:t>Total</w:t>
            </w:r>
            <w:proofErr w:type="gramEnd"/>
            <w:r w:rsidRPr="00A40451">
              <w:rPr>
                <w:color w:val="000000"/>
                <w:sz w:val="20"/>
                <w:szCs w:val="20"/>
                <w:lang w:val="es-ES" w:eastAsia="en-CA"/>
              </w:rPr>
              <w:t xml:space="preserve"> gastos de apoyo ($EUA)</w:t>
            </w:r>
          </w:p>
        </w:tc>
        <w:tc>
          <w:tcPr>
            <w:tcW w:w="463" w:type="pct"/>
            <w:tcBorders>
              <w:top w:val="nil"/>
              <w:left w:val="nil"/>
              <w:bottom w:val="single" w:sz="4" w:space="0" w:color="auto"/>
              <w:right w:val="single" w:sz="4" w:space="0" w:color="auto"/>
            </w:tcBorders>
            <w:shd w:val="clear" w:color="auto" w:fill="auto"/>
          </w:tcPr>
          <w:p w14:paraId="14589C95"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24.400</w:t>
            </w:r>
          </w:p>
        </w:tc>
        <w:tc>
          <w:tcPr>
            <w:tcW w:w="447" w:type="pct"/>
            <w:tcBorders>
              <w:top w:val="nil"/>
              <w:left w:val="nil"/>
              <w:bottom w:val="single" w:sz="4" w:space="0" w:color="auto"/>
              <w:right w:val="single" w:sz="4" w:space="0" w:color="auto"/>
            </w:tcBorders>
            <w:shd w:val="clear" w:color="auto" w:fill="auto"/>
          </w:tcPr>
          <w:p w14:paraId="267BB69B"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73190DCE"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27.450</w:t>
            </w:r>
          </w:p>
        </w:tc>
        <w:tc>
          <w:tcPr>
            <w:tcW w:w="406" w:type="pct"/>
            <w:tcBorders>
              <w:top w:val="nil"/>
              <w:left w:val="nil"/>
              <w:bottom w:val="single" w:sz="4" w:space="0" w:color="auto"/>
              <w:right w:val="single" w:sz="4" w:space="0" w:color="auto"/>
            </w:tcBorders>
            <w:shd w:val="clear" w:color="auto" w:fill="auto"/>
          </w:tcPr>
          <w:p w14:paraId="23338C34"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11" w:type="pct"/>
            <w:tcBorders>
              <w:top w:val="nil"/>
              <w:left w:val="nil"/>
              <w:bottom w:val="single" w:sz="4" w:space="0" w:color="auto"/>
              <w:right w:val="single" w:sz="4" w:space="0" w:color="auto"/>
            </w:tcBorders>
            <w:shd w:val="clear" w:color="auto" w:fill="auto"/>
          </w:tcPr>
          <w:p w14:paraId="0B965DD1"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9.750</w:t>
            </w:r>
          </w:p>
        </w:tc>
        <w:tc>
          <w:tcPr>
            <w:tcW w:w="463" w:type="pct"/>
            <w:tcBorders>
              <w:top w:val="nil"/>
              <w:left w:val="nil"/>
              <w:bottom w:val="single" w:sz="4" w:space="0" w:color="auto"/>
              <w:right w:val="single" w:sz="4" w:space="0" w:color="auto"/>
            </w:tcBorders>
            <w:shd w:val="clear" w:color="auto" w:fill="auto"/>
          </w:tcPr>
          <w:p w14:paraId="2299D3E0"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61.600</w:t>
            </w:r>
          </w:p>
        </w:tc>
      </w:tr>
      <w:tr w:rsidR="008F7576" w:rsidRPr="00A40451" w14:paraId="74190BAF" w14:textId="77777777" w:rsidTr="00C14C6F">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01E6D8C4"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3.3</w:t>
            </w:r>
          </w:p>
        </w:tc>
        <w:tc>
          <w:tcPr>
            <w:tcW w:w="2018" w:type="pct"/>
            <w:tcBorders>
              <w:top w:val="nil"/>
              <w:left w:val="nil"/>
              <w:bottom w:val="single" w:sz="4" w:space="0" w:color="auto"/>
              <w:right w:val="single" w:sz="4" w:space="0" w:color="auto"/>
            </w:tcBorders>
            <w:shd w:val="clear" w:color="auto" w:fill="auto"/>
            <w:hideMark/>
          </w:tcPr>
          <w:p w14:paraId="10169A6B" w14:textId="77777777" w:rsidR="008F7576" w:rsidRPr="00A40451" w:rsidRDefault="008F7576" w:rsidP="00C14C6F">
            <w:pPr>
              <w:jc w:val="left"/>
              <w:rPr>
                <w:color w:val="000000"/>
                <w:sz w:val="20"/>
                <w:szCs w:val="20"/>
                <w:lang w:val="es-ES" w:eastAsia="en-CA"/>
              </w:rPr>
            </w:pPr>
            <w:proofErr w:type="gramStart"/>
            <w:r w:rsidRPr="00A40451">
              <w:rPr>
                <w:color w:val="000000"/>
                <w:sz w:val="20"/>
                <w:szCs w:val="20"/>
                <w:lang w:val="es-ES" w:eastAsia="en-CA"/>
              </w:rPr>
              <w:t>Total</w:t>
            </w:r>
            <w:proofErr w:type="gramEnd"/>
            <w:r w:rsidRPr="00A40451">
              <w:rPr>
                <w:color w:val="000000"/>
                <w:sz w:val="20"/>
                <w:szCs w:val="20"/>
                <w:lang w:val="es-ES" w:eastAsia="en-CA"/>
              </w:rPr>
              <w:t xml:space="preserve"> de costos convenidos ($EUA)</w:t>
            </w:r>
          </w:p>
        </w:tc>
        <w:tc>
          <w:tcPr>
            <w:tcW w:w="463" w:type="pct"/>
            <w:tcBorders>
              <w:top w:val="nil"/>
              <w:left w:val="nil"/>
              <w:bottom w:val="single" w:sz="4" w:space="0" w:color="auto"/>
              <w:right w:val="single" w:sz="4" w:space="0" w:color="auto"/>
            </w:tcBorders>
            <w:shd w:val="clear" w:color="auto" w:fill="auto"/>
          </w:tcPr>
          <w:p w14:paraId="4E2EC2B9"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244.400</w:t>
            </w:r>
          </w:p>
        </w:tc>
        <w:tc>
          <w:tcPr>
            <w:tcW w:w="447" w:type="pct"/>
            <w:tcBorders>
              <w:top w:val="nil"/>
              <w:left w:val="nil"/>
              <w:bottom w:val="single" w:sz="4" w:space="0" w:color="auto"/>
              <w:right w:val="single" w:sz="4" w:space="0" w:color="auto"/>
            </w:tcBorders>
            <w:shd w:val="clear" w:color="auto" w:fill="auto"/>
          </w:tcPr>
          <w:p w14:paraId="72F10CD6"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63" w:type="pct"/>
            <w:tcBorders>
              <w:top w:val="nil"/>
              <w:left w:val="nil"/>
              <w:bottom w:val="single" w:sz="4" w:space="0" w:color="auto"/>
              <w:right w:val="single" w:sz="4" w:space="0" w:color="auto"/>
            </w:tcBorders>
            <w:shd w:val="clear" w:color="auto" w:fill="auto"/>
          </w:tcPr>
          <w:p w14:paraId="24866F5F"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272.450</w:t>
            </w:r>
          </w:p>
        </w:tc>
        <w:tc>
          <w:tcPr>
            <w:tcW w:w="406" w:type="pct"/>
            <w:tcBorders>
              <w:top w:val="nil"/>
              <w:left w:val="nil"/>
              <w:bottom w:val="single" w:sz="4" w:space="0" w:color="auto"/>
              <w:right w:val="single" w:sz="4" w:space="0" w:color="auto"/>
            </w:tcBorders>
            <w:shd w:val="clear" w:color="auto" w:fill="auto"/>
          </w:tcPr>
          <w:p w14:paraId="546B4C47"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c>
          <w:tcPr>
            <w:tcW w:w="411" w:type="pct"/>
            <w:tcBorders>
              <w:top w:val="nil"/>
              <w:left w:val="nil"/>
              <w:bottom w:val="single" w:sz="4" w:space="0" w:color="auto"/>
              <w:right w:val="single" w:sz="4" w:space="0" w:color="auto"/>
            </w:tcBorders>
            <w:shd w:val="clear" w:color="auto" w:fill="auto"/>
          </w:tcPr>
          <w:p w14:paraId="335A258C"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84.750</w:t>
            </w:r>
          </w:p>
        </w:tc>
        <w:tc>
          <w:tcPr>
            <w:tcW w:w="463" w:type="pct"/>
            <w:tcBorders>
              <w:top w:val="nil"/>
              <w:left w:val="nil"/>
              <w:bottom w:val="single" w:sz="4" w:space="0" w:color="auto"/>
              <w:right w:val="single" w:sz="4" w:space="0" w:color="auto"/>
            </w:tcBorders>
            <w:shd w:val="clear" w:color="auto" w:fill="auto"/>
          </w:tcPr>
          <w:p w14:paraId="245F38F6"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601.600</w:t>
            </w:r>
          </w:p>
        </w:tc>
      </w:tr>
      <w:tr w:rsidR="008F7576" w:rsidRPr="00A40451" w14:paraId="2DC9CB63" w14:textId="77777777" w:rsidTr="00C14C6F">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7FE21C00"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4.1.1</w:t>
            </w:r>
          </w:p>
        </w:tc>
        <w:tc>
          <w:tcPr>
            <w:tcW w:w="4207" w:type="pct"/>
            <w:gridSpan w:val="6"/>
            <w:tcBorders>
              <w:top w:val="single" w:sz="4" w:space="0" w:color="auto"/>
              <w:left w:val="nil"/>
              <w:bottom w:val="single" w:sz="4" w:space="0" w:color="auto"/>
              <w:right w:val="single" w:sz="4" w:space="0" w:color="000000"/>
            </w:tcBorders>
            <w:shd w:val="clear" w:color="auto" w:fill="auto"/>
            <w:vAlign w:val="center"/>
            <w:hideMark/>
          </w:tcPr>
          <w:p w14:paraId="20592DB4"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Eliminación total convenida de HCFC-22 por lograr conforme a este Acuerdo (toneladas PAO)</w:t>
            </w:r>
          </w:p>
        </w:tc>
        <w:tc>
          <w:tcPr>
            <w:tcW w:w="463" w:type="pct"/>
            <w:tcBorders>
              <w:top w:val="single" w:sz="4" w:space="0" w:color="auto"/>
              <w:left w:val="nil"/>
              <w:bottom w:val="single" w:sz="4" w:space="0" w:color="auto"/>
              <w:right w:val="single" w:sz="4" w:space="0" w:color="auto"/>
            </w:tcBorders>
            <w:shd w:val="clear" w:color="auto" w:fill="auto"/>
          </w:tcPr>
          <w:p w14:paraId="183B160E"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0,71</w:t>
            </w:r>
          </w:p>
        </w:tc>
      </w:tr>
      <w:tr w:rsidR="008F7576" w:rsidRPr="00A40451" w14:paraId="157BDF66" w14:textId="77777777" w:rsidTr="00C14C6F">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318C6690"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4.1.2</w:t>
            </w:r>
          </w:p>
        </w:tc>
        <w:tc>
          <w:tcPr>
            <w:tcW w:w="4207" w:type="pct"/>
            <w:gridSpan w:val="6"/>
            <w:tcBorders>
              <w:top w:val="single" w:sz="4" w:space="0" w:color="auto"/>
              <w:left w:val="nil"/>
              <w:bottom w:val="single" w:sz="4" w:space="0" w:color="auto"/>
              <w:right w:val="single" w:sz="4" w:space="0" w:color="000000"/>
            </w:tcBorders>
            <w:shd w:val="clear" w:color="auto" w:fill="auto"/>
            <w:vAlign w:val="center"/>
            <w:hideMark/>
          </w:tcPr>
          <w:p w14:paraId="724774BB"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Eliminación de HCFC-22 por lograr en la etapa previa (toneladas PAO)</w:t>
            </w:r>
          </w:p>
        </w:tc>
        <w:tc>
          <w:tcPr>
            <w:tcW w:w="463" w:type="pct"/>
            <w:tcBorders>
              <w:top w:val="nil"/>
              <w:left w:val="nil"/>
              <w:bottom w:val="single" w:sz="4" w:space="0" w:color="auto"/>
              <w:right w:val="single" w:sz="4" w:space="0" w:color="auto"/>
            </w:tcBorders>
            <w:shd w:val="clear" w:color="auto" w:fill="auto"/>
          </w:tcPr>
          <w:p w14:paraId="3A5622A5"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0,38</w:t>
            </w:r>
          </w:p>
        </w:tc>
      </w:tr>
      <w:tr w:rsidR="008F7576" w:rsidRPr="00A40451" w14:paraId="6B8B6021" w14:textId="77777777" w:rsidTr="00C14C6F">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4C35FC29"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4.1.3</w:t>
            </w:r>
          </w:p>
        </w:tc>
        <w:tc>
          <w:tcPr>
            <w:tcW w:w="4207" w:type="pct"/>
            <w:gridSpan w:val="6"/>
            <w:tcBorders>
              <w:top w:val="single" w:sz="4" w:space="0" w:color="auto"/>
              <w:left w:val="nil"/>
              <w:bottom w:val="single" w:sz="4" w:space="0" w:color="auto"/>
              <w:right w:val="single" w:sz="4" w:space="0" w:color="000000"/>
            </w:tcBorders>
            <w:shd w:val="clear" w:color="auto" w:fill="auto"/>
            <w:vAlign w:val="center"/>
            <w:hideMark/>
          </w:tcPr>
          <w:p w14:paraId="4E177BE6" w14:textId="77777777" w:rsidR="008F7576" w:rsidRPr="00A40451" w:rsidRDefault="008F7576" w:rsidP="00C14C6F">
            <w:pPr>
              <w:jc w:val="left"/>
              <w:rPr>
                <w:color w:val="000000"/>
                <w:sz w:val="20"/>
                <w:szCs w:val="20"/>
                <w:lang w:val="es-ES" w:eastAsia="en-CA"/>
              </w:rPr>
            </w:pPr>
            <w:r w:rsidRPr="00A40451">
              <w:rPr>
                <w:color w:val="000000"/>
                <w:sz w:val="20"/>
                <w:szCs w:val="20"/>
                <w:lang w:val="es-ES" w:eastAsia="en-CA"/>
              </w:rPr>
              <w:t xml:space="preserve">Consumo admisible remanente de HCFC-22 </w:t>
            </w:r>
          </w:p>
        </w:tc>
        <w:tc>
          <w:tcPr>
            <w:tcW w:w="463" w:type="pct"/>
            <w:tcBorders>
              <w:top w:val="nil"/>
              <w:left w:val="nil"/>
              <w:bottom w:val="single" w:sz="4" w:space="0" w:color="auto"/>
              <w:right w:val="single" w:sz="4" w:space="0" w:color="auto"/>
            </w:tcBorders>
            <w:shd w:val="clear" w:color="auto" w:fill="auto"/>
          </w:tcPr>
          <w:p w14:paraId="75F8F993" w14:textId="77777777" w:rsidR="008F7576" w:rsidRPr="00A40451" w:rsidRDefault="008F7576" w:rsidP="00C14C6F">
            <w:pPr>
              <w:jc w:val="right"/>
              <w:rPr>
                <w:color w:val="000000"/>
                <w:sz w:val="20"/>
                <w:szCs w:val="20"/>
                <w:lang w:val="es-ES" w:eastAsia="en-CA"/>
              </w:rPr>
            </w:pPr>
            <w:r w:rsidRPr="00A40451">
              <w:rPr>
                <w:color w:val="000000"/>
                <w:sz w:val="20"/>
                <w:szCs w:val="20"/>
                <w:lang w:val="es-ES" w:eastAsia="en-CA"/>
              </w:rPr>
              <w:t>0</w:t>
            </w:r>
          </w:p>
        </w:tc>
      </w:tr>
    </w:tbl>
    <w:p w14:paraId="5CF3C933" w14:textId="77777777" w:rsidR="008F7576" w:rsidRPr="000E79E6" w:rsidRDefault="008F7576" w:rsidP="008F7576">
      <w:pPr>
        <w:pStyle w:val="Heading1"/>
        <w:numPr>
          <w:ilvl w:val="0"/>
          <w:numId w:val="0"/>
        </w:numPr>
        <w:rPr>
          <w:sz w:val="18"/>
          <w:szCs w:val="16"/>
          <w:lang w:val="es-ES"/>
        </w:rPr>
      </w:pPr>
      <w:r w:rsidRPr="008F7576">
        <w:rPr>
          <w:sz w:val="18"/>
          <w:szCs w:val="16"/>
          <w:lang w:val="es-ES"/>
        </w:rPr>
        <w:t>*Fecha de finalización de la etapa I conforme al Acuerdo de la etapa I: 31 de diciembre de 2021.</w:t>
      </w:r>
    </w:p>
    <w:p w14:paraId="0F7A8312" w14:textId="77777777" w:rsidR="008F7576" w:rsidRPr="000E79E6" w:rsidRDefault="008F7576" w:rsidP="008F7576">
      <w:pPr>
        <w:rPr>
          <w:b/>
          <w:lang w:val="es-ES"/>
        </w:rPr>
      </w:pPr>
    </w:p>
    <w:p w14:paraId="6A02FF56" w14:textId="77777777" w:rsidR="008F7576" w:rsidRPr="00A40451" w:rsidRDefault="008F7576" w:rsidP="008F7576">
      <w:pPr>
        <w:widowControl w:val="0"/>
        <w:rPr>
          <w:b/>
          <w:lang w:val="es-ES"/>
        </w:rPr>
      </w:pPr>
      <w:r w:rsidRPr="00A40451">
        <w:rPr>
          <w:b/>
          <w:bCs/>
          <w:lang w:val="es-ES"/>
        </w:rPr>
        <w:t>APÉNDICE 3-A: CALENDARIO DE APROBACIÓN DE LA FINANCIACIÓN</w:t>
      </w:r>
    </w:p>
    <w:p w14:paraId="100A701E" w14:textId="77777777" w:rsidR="008F7576" w:rsidRPr="00A40451" w:rsidRDefault="008F7576" w:rsidP="008F7576">
      <w:pPr>
        <w:widowControl w:val="0"/>
        <w:rPr>
          <w:lang w:val="es-ES"/>
        </w:rPr>
      </w:pPr>
    </w:p>
    <w:p w14:paraId="7B7BFB9F" w14:textId="77777777" w:rsidR="008F7576" w:rsidRPr="009B5B1A" w:rsidRDefault="008F7576" w:rsidP="008F7576">
      <w:pPr>
        <w:pStyle w:val="Heading1"/>
        <w:widowControl w:val="0"/>
        <w:numPr>
          <w:ilvl w:val="0"/>
          <w:numId w:val="25"/>
        </w:numPr>
        <w:tabs>
          <w:tab w:val="clear" w:pos="0"/>
          <w:tab w:val="num" w:pos="360"/>
        </w:tabs>
        <w:ind w:left="360" w:hanging="360"/>
        <w:rPr>
          <w:lang w:val="es-ES"/>
        </w:rPr>
      </w:pPr>
      <w:r w:rsidRPr="009B5B1A">
        <w:rPr>
          <w:lang w:val="es-ES"/>
        </w:rPr>
        <w:t>La financiación para los tramos futuros se considerará para aprobación en la segunda reunión del año especificado en el Apéndice 2</w:t>
      </w:r>
      <w:r w:rsidRPr="009B5B1A">
        <w:rPr>
          <w:lang w:val="es-ES"/>
        </w:rPr>
        <w:noBreakHyphen/>
        <w:t>A.</w:t>
      </w:r>
    </w:p>
    <w:p w14:paraId="5E7102F6" w14:textId="77777777" w:rsidR="008F7576" w:rsidRPr="00A40451" w:rsidRDefault="008F7576" w:rsidP="008F7576">
      <w:pPr>
        <w:keepNext/>
        <w:keepLines/>
        <w:widowControl w:val="0"/>
        <w:rPr>
          <w:b/>
          <w:bCs/>
          <w:lang w:val="es-ES"/>
        </w:rPr>
      </w:pPr>
    </w:p>
    <w:p w14:paraId="308B8F7A" w14:textId="77777777" w:rsidR="008F7576" w:rsidRPr="00A40451" w:rsidRDefault="008F7576" w:rsidP="008F7576">
      <w:pPr>
        <w:keepNext/>
        <w:keepLines/>
        <w:widowControl w:val="0"/>
        <w:rPr>
          <w:b/>
          <w:lang w:val="es-ES"/>
        </w:rPr>
      </w:pPr>
      <w:r w:rsidRPr="00A40451">
        <w:rPr>
          <w:b/>
          <w:bCs/>
          <w:lang w:val="es-ES"/>
        </w:rPr>
        <w:t>APÉNDICE 4-A: FORMATO DE LOS INFORMES Y PLANES DE EJECUCIÓN DE TRAMOS</w:t>
      </w:r>
    </w:p>
    <w:p w14:paraId="750C1BAD" w14:textId="77777777" w:rsidR="008F7576" w:rsidRPr="00A40451" w:rsidRDefault="008F7576" w:rsidP="008F7576">
      <w:pPr>
        <w:keepNext/>
        <w:keepLines/>
        <w:widowControl w:val="0"/>
        <w:rPr>
          <w:lang w:val="es-ES"/>
        </w:rPr>
      </w:pPr>
    </w:p>
    <w:p w14:paraId="6C8EAC50" w14:textId="77777777" w:rsidR="008F7576" w:rsidRPr="009B5B1A" w:rsidRDefault="008F7576" w:rsidP="008F7576">
      <w:pPr>
        <w:pStyle w:val="Heading1"/>
        <w:keepNext/>
        <w:keepLines/>
        <w:widowControl w:val="0"/>
        <w:numPr>
          <w:ilvl w:val="0"/>
          <w:numId w:val="26"/>
        </w:numPr>
        <w:tabs>
          <w:tab w:val="clear" w:pos="0"/>
          <w:tab w:val="num" w:pos="1440"/>
        </w:tabs>
        <w:rPr>
          <w:lang w:val="es-ES"/>
        </w:rPr>
      </w:pPr>
      <w:r w:rsidRPr="009B5B1A">
        <w:rPr>
          <w:lang w:val="es-ES"/>
        </w:rPr>
        <w:t>La presentación del Informe de Ejecución de Tramo y de los Planes para cada tramo solicitado constará de cinco partes:</w:t>
      </w:r>
    </w:p>
    <w:p w14:paraId="38756BA1"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w:t>
      </w:r>
      <w:r w:rsidRPr="00A40451">
        <w:rPr>
          <w:lang w:val="es-ES"/>
        </w:rPr>
        <w:lastRenderedPageBreak/>
        <w:t xml:space="preserve">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0BAECEFE" w14:textId="77777777" w:rsidR="008F7576" w:rsidRPr="00A40451" w:rsidRDefault="008F7576" w:rsidP="008F7576">
      <w:pPr>
        <w:widowControl w:val="0"/>
        <w:numPr>
          <w:ilvl w:val="1"/>
          <w:numId w:val="1"/>
        </w:numPr>
        <w:spacing w:after="240"/>
        <w:outlineLvl w:val="1"/>
        <w:rPr>
          <w:lang w:val="es-ES"/>
        </w:rPr>
      </w:pPr>
      <w:r w:rsidRPr="00A40451">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4C478F09"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A40451">
        <w:rPr>
          <w:i/>
          <w:iCs/>
          <w:lang w:val="es-ES"/>
        </w:rPr>
        <w:t>supra</w:t>
      </w:r>
      <w:r w:rsidRPr="00A40451">
        <w:rPr>
          <w:lang w:val="es-ES"/>
        </w:rPr>
        <w:t xml:space="preserve">; </w:t>
      </w:r>
    </w:p>
    <w:p w14:paraId="70471EEA" w14:textId="77777777" w:rsidR="008F7576" w:rsidRPr="00A40451" w:rsidRDefault="008F7576" w:rsidP="008F7576">
      <w:pPr>
        <w:widowControl w:val="0"/>
        <w:numPr>
          <w:ilvl w:val="1"/>
          <w:numId w:val="1"/>
        </w:numPr>
        <w:spacing w:after="240"/>
        <w:outlineLvl w:val="1"/>
        <w:rPr>
          <w:lang w:val="es-ES"/>
        </w:rPr>
      </w:pPr>
      <w:r w:rsidRPr="00A40451">
        <w:rPr>
          <w:lang w:val="es-ES"/>
        </w:rPr>
        <w:t>Un conjunto de información cuantitativa para todos los Informes y Planes de Ejecución de Tramos, presentada a través de una base de datos en Internet; y</w:t>
      </w:r>
    </w:p>
    <w:p w14:paraId="7379DE42"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Un Resumen Ejecutivo de unos cinco párrafos con una síntesis de la información estipulada en los incisos 1 a) a 1 d) </w:t>
      </w:r>
      <w:r w:rsidRPr="00A40451">
        <w:rPr>
          <w:i/>
          <w:iCs/>
          <w:lang w:val="es-ES"/>
        </w:rPr>
        <w:t>supra</w:t>
      </w:r>
      <w:r w:rsidRPr="00A40451">
        <w:rPr>
          <w:lang w:val="es-ES"/>
        </w:rPr>
        <w:t xml:space="preserve">. </w:t>
      </w:r>
    </w:p>
    <w:p w14:paraId="25506F82" w14:textId="77777777" w:rsidR="008F7576" w:rsidRPr="00A40451" w:rsidRDefault="008F7576" w:rsidP="008F7576">
      <w:pPr>
        <w:numPr>
          <w:ilvl w:val="0"/>
          <w:numId w:val="1"/>
        </w:numPr>
        <w:spacing w:after="240"/>
        <w:outlineLvl w:val="0"/>
        <w:rPr>
          <w:lang w:val="es-ES"/>
        </w:rPr>
      </w:pPr>
      <w:r w:rsidRPr="00A40451">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19D28680" w14:textId="77777777" w:rsidR="008F7576" w:rsidRPr="00A40451" w:rsidRDefault="008F7576" w:rsidP="008F7576">
      <w:pPr>
        <w:widowControl w:val="0"/>
        <w:numPr>
          <w:ilvl w:val="1"/>
          <w:numId w:val="1"/>
        </w:numPr>
        <w:spacing w:after="240"/>
        <w:outlineLvl w:val="1"/>
        <w:rPr>
          <w:lang w:val="es-ES"/>
        </w:rPr>
      </w:pPr>
      <w:r w:rsidRPr="00A40451">
        <w:rPr>
          <w:lang w:val="es-ES"/>
        </w:rPr>
        <w:t>Los Informes y Planes de Ejecución de Tramos a los que se haga referencia como parte de este Acuerdo harán referencia exclusivamente a las actividades y fondos cubiertos por este Acuerdo; y</w:t>
      </w:r>
    </w:p>
    <w:p w14:paraId="3C7E9FC9" w14:textId="77777777" w:rsidR="008F7576" w:rsidRPr="00A40451" w:rsidRDefault="008F7576" w:rsidP="008F7576">
      <w:pPr>
        <w:widowControl w:val="0"/>
        <w:numPr>
          <w:ilvl w:val="1"/>
          <w:numId w:val="1"/>
        </w:numPr>
        <w:spacing w:after="240"/>
        <w:outlineLvl w:val="1"/>
        <w:rPr>
          <w:lang w:val="es-ES"/>
        </w:rPr>
      </w:pPr>
      <w:r w:rsidRPr="00A40451">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60C4C034" w14:textId="77777777" w:rsidR="008F7576" w:rsidRPr="00A40451" w:rsidRDefault="008F7576" w:rsidP="008F7576">
      <w:pPr>
        <w:rPr>
          <w:lang w:val="es-ES"/>
        </w:rPr>
      </w:pPr>
    </w:p>
    <w:p w14:paraId="770E7117" w14:textId="77777777" w:rsidR="008F7576" w:rsidRPr="00A40451" w:rsidRDefault="008F7576" w:rsidP="008F7576">
      <w:pPr>
        <w:keepNext/>
        <w:keepLines/>
        <w:rPr>
          <w:lang w:val="es-ES"/>
        </w:rPr>
      </w:pPr>
      <w:r w:rsidRPr="00A40451">
        <w:rPr>
          <w:b/>
          <w:bCs/>
          <w:lang w:val="es-ES"/>
        </w:rPr>
        <w:t>APÉNDICE 5-A: INSTITUCIONES DE SUPERVISIÓN Y FUNCIONES</w:t>
      </w:r>
      <w:r w:rsidRPr="00A40451">
        <w:rPr>
          <w:bCs/>
          <w:lang w:val="es-ES"/>
        </w:rPr>
        <w:t xml:space="preserve"> </w:t>
      </w:r>
    </w:p>
    <w:p w14:paraId="00157645" w14:textId="77777777" w:rsidR="008F7576" w:rsidRPr="00A40451" w:rsidRDefault="008F7576" w:rsidP="008F7576">
      <w:pPr>
        <w:keepNext/>
        <w:keepLines/>
        <w:rPr>
          <w:lang w:val="es-ES"/>
        </w:rPr>
      </w:pPr>
    </w:p>
    <w:p w14:paraId="5266F2BB" w14:textId="77777777" w:rsidR="008F7576" w:rsidRPr="008F7576" w:rsidRDefault="008F7576" w:rsidP="008F7576">
      <w:pPr>
        <w:pStyle w:val="Heading1"/>
        <w:numPr>
          <w:ilvl w:val="0"/>
          <w:numId w:val="23"/>
        </w:numPr>
        <w:tabs>
          <w:tab w:val="clear" w:pos="0"/>
          <w:tab w:val="num" w:pos="90"/>
        </w:tabs>
        <w:ind w:left="90"/>
        <w:rPr>
          <w:lang w:val="es-ES"/>
        </w:rPr>
      </w:pPr>
      <w:r w:rsidRPr="008F7576">
        <w:rPr>
          <w:lang w:val="es-ES"/>
        </w:rPr>
        <w:t>La Dependencia Nacional del Ozono presentará al Organismo de Ejecución Principal informes anuales sobre la marcha de las actividades.</w:t>
      </w:r>
    </w:p>
    <w:p w14:paraId="527ADC95" w14:textId="77777777" w:rsidR="008F7576" w:rsidRPr="008F7576" w:rsidRDefault="008F7576" w:rsidP="008F7576">
      <w:pPr>
        <w:pStyle w:val="Heading1"/>
        <w:tabs>
          <w:tab w:val="clear" w:pos="0"/>
        </w:tabs>
        <w:rPr>
          <w:lang w:val="es-ES"/>
        </w:rPr>
      </w:pPr>
      <w:r w:rsidRPr="008F7576">
        <w:rPr>
          <w:lang w:val="es-ES"/>
        </w:rPr>
        <w:lastRenderedPageBreak/>
        <w:t>El Organismo de Ejecución Principal asignará la supervisión del desarrollo del Plan y la verificación del cumplimiento de los objetivos de desempeño establecidos en el Plan preferentemente a empresas locales independientes o a consultores locales independientes.</w:t>
      </w:r>
    </w:p>
    <w:p w14:paraId="4E6D0FC7" w14:textId="77777777" w:rsidR="008F7576" w:rsidRPr="000E79E6" w:rsidRDefault="008F7576" w:rsidP="008F7576">
      <w:pPr>
        <w:rPr>
          <w:lang w:val="es-ES"/>
        </w:rPr>
      </w:pPr>
    </w:p>
    <w:p w14:paraId="4903225B" w14:textId="77777777" w:rsidR="008F7576" w:rsidRPr="00A40451" w:rsidRDefault="008F7576" w:rsidP="008F7576">
      <w:pPr>
        <w:keepNext/>
        <w:keepLines/>
        <w:rPr>
          <w:b/>
          <w:lang w:val="es-ES"/>
        </w:rPr>
      </w:pPr>
      <w:r w:rsidRPr="00A40451">
        <w:rPr>
          <w:b/>
          <w:bCs/>
          <w:lang w:val="es-ES"/>
        </w:rPr>
        <w:t xml:space="preserve">APÉNDICE 6-A: FUNCIÓN DEL ORGANISMO DE EJECUCIÓN PRINCIPAL </w:t>
      </w:r>
    </w:p>
    <w:p w14:paraId="1849C777" w14:textId="77777777" w:rsidR="008F7576" w:rsidRPr="00A40451" w:rsidRDefault="008F7576" w:rsidP="008F7576">
      <w:pPr>
        <w:keepNext/>
        <w:keepLines/>
        <w:rPr>
          <w:lang w:val="es-ES"/>
        </w:rPr>
      </w:pPr>
    </w:p>
    <w:p w14:paraId="6175E1DE" w14:textId="77777777" w:rsidR="008F7576" w:rsidRPr="009B5B1A" w:rsidRDefault="008F7576" w:rsidP="008F7576">
      <w:pPr>
        <w:pStyle w:val="Heading1"/>
        <w:keepNext/>
        <w:keepLines/>
        <w:numPr>
          <w:ilvl w:val="0"/>
          <w:numId w:val="27"/>
        </w:numPr>
        <w:tabs>
          <w:tab w:val="clear" w:pos="0"/>
        </w:tabs>
        <w:rPr>
          <w:lang w:val="es-ES"/>
        </w:rPr>
      </w:pPr>
      <w:r w:rsidRPr="009B5B1A">
        <w:rPr>
          <w:lang w:val="es-ES"/>
        </w:rPr>
        <w:t>El Organismo de Ejecución Principal tendrá a su cargo diversas responsabilidades, entre las que se incluyen como mínimo las siguientes:</w:t>
      </w:r>
    </w:p>
    <w:p w14:paraId="0266DFFD" w14:textId="77777777" w:rsidR="008F7576" w:rsidRPr="00A40451" w:rsidRDefault="008F7576" w:rsidP="008F7576">
      <w:pPr>
        <w:keepNext/>
        <w:keepLines/>
        <w:widowControl w:val="0"/>
        <w:numPr>
          <w:ilvl w:val="1"/>
          <w:numId w:val="1"/>
        </w:numPr>
        <w:spacing w:after="240"/>
        <w:outlineLvl w:val="1"/>
        <w:rPr>
          <w:lang w:val="es-ES"/>
        </w:rPr>
      </w:pPr>
      <w:r w:rsidRPr="00A40451">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3FAB9453" w14:textId="77777777" w:rsidR="008F7576" w:rsidRPr="00A40451" w:rsidRDefault="008F7576" w:rsidP="008F7576">
      <w:pPr>
        <w:widowControl w:val="0"/>
        <w:numPr>
          <w:ilvl w:val="1"/>
          <w:numId w:val="1"/>
        </w:numPr>
        <w:spacing w:after="240"/>
        <w:outlineLvl w:val="1"/>
        <w:rPr>
          <w:lang w:val="es-ES"/>
        </w:rPr>
      </w:pPr>
      <w:r w:rsidRPr="00A40451">
        <w:rPr>
          <w:lang w:val="es-ES"/>
        </w:rPr>
        <w:t>Brindar asistencia al País para preparar los Informes y Planes de Ejecución de Tramos conforme al Apéndice 4</w:t>
      </w:r>
      <w:r w:rsidRPr="00A40451">
        <w:rPr>
          <w:lang w:val="es-ES"/>
        </w:rPr>
        <w:noBreakHyphen/>
        <w:t>A;</w:t>
      </w:r>
    </w:p>
    <w:p w14:paraId="3465FC76" w14:textId="77777777" w:rsidR="008F7576" w:rsidRPr="00A40451" w:rsidRDefault="008F7576" w:rsidP="008F7576">
      <w:pPr>
        <w:widowControl w:val="0"/>
        <w:numPr>
          <w:ilvl w:val="1"/>
          <w:numId w:val="1"/>
        </w:numPr>
        <w:spacing w:after="240"/>
        <w:outlineLvl w:val="1"/>
        <w:rPr>
          <w:lang w:val="es-ES"/>
        </w:rPr>
      </w:pPr>
      <w:r w:rsidRPr="00A40451">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A40451">
        <w:rPr>
          <w:lang w:val="es-ES"/>
        </w:rPr>
        <w:noBreakHyphen/>
        <w:t xml:space="preserve">A; </w:t>
      </w:r>
    </w:p>
    <w:p w14:paraId="47931036" w14:textId="77777777" w:rsidR="008F7576" w:rsidRPr="00A40451" w:rsidRDefault="008F7576" w:rsidP="008F7576">
      <w:pPr>
        <w:widowControl w:val="0"/>
        <w:numPr>
          <w:ilvl w:val="1"/>
          <w:numId w:val="1"/>
        </w:numPr>
        <w:spacing w:after="240"/>
        <w:outlineLvl w:val="1"/>
        <w:rPr>
          <w:lang w:val="es-ES"/>
        </w:rPr>
      </w:pPr>
      <w:proofErr w:type="gramStart"/>
      <w:r w:rsidRPr="00A40451">
        <w:rPr>
          <w:lang w:val="es-ES"/>
        </w:rPr>
        <w:t>Asegurar</w:t>
      </w:r>
      <w:proofErr w:type="gramEnd"/>
      <w:r w:rsidRPr="00A40451">
        <w:rPr>
          <w:lang w:val="es-ES"/>
        </w:rPr>
        <w:t xml:space="preserve"> que las experiencias y logros se reflejen en actualizaciones del plan general y en los Planes de Ejecución de Tramos futuros, de conformidad con los incisos 1 c) y 1 d) del Apéndice 4</w:t>
      </w:r>
      <w:r w:rsidRPr="00A40451">
        <w:rPr>
          <w:lang w:val="es-ES"/>
        </w:rPr>
        <w:noBreakHyphen/>
        <w:t>A;</w:t>
      </w:r>
    </w:p>
    <w:p w14:paraId="6FE1BD2F" w14:textId="77777777" w:rsidR="008F7576" w:rsidRPr="00A40451" w:rsidRDefault="008F7576" w:rsidP="008F7576">
      <w:pPr>
        <w:widowControl w:val="0"/>
        <w:numPr>
          <w:ilvl w:val="1"/>
          <w:numId w:val="1"/>
        </w:numPr>
        <w:spacing w:after="240"/>
        <w:outlineLvl w:val="1"/>
        <w:rPr>
          <w:lang w:val="es-ES"/>
        </w:rPr>
      </w:pPr>
      <w:r w:rsidRPr="00A40451">
        <w:rPr>
          <w:lang w:val="es-ES"/>
        </w:rPr>
        <w:t>Cumplir los requisitos de información respecto de los Informes y Planes de Ejecución de Tramos y el plan general especificados en el Apéndice 4</w:t>
      </w:r>
      <w:r w:rsidRPr="00A40451">
        <w:rPr>
          <w:lang w:val="es-ES"/>
        </w:rPr>
        <w:noBreakHyphen/>
        <w:t>A que se deben presentar al Comité Ejecutivo. Este debería incluir las actividades desempeñadas por el Organismo de Ejecución Cooperante;</w:t>
      </w:r>
    </w:p>
    <w:p w14:paraId="42239E8C"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6B863F0B" w14:textId="77777777" w:rsidR="008F7576" w:rsidRPr="00A40451" w:rsidRDefault="008F7576" w:rsidP="008F7576">
      <w:pPr>
        <w:widowControl w:val="0"/>
        <w:numPr>
          <w:ilvl w:val="1"/>
          <w:numId w:val="1"/>
        </w:numPr>
        <w:spacing w:after="240"/>
        <w:outlineLvl w:val="1"/>
        <w:rPr>
          <w:lang w:val="es-ES"/>
        </w:rPr>
      </w:pPr>
      <w:proofErr w:type="gramStart"/>
      <w:r w:rsidRPr="00A40451">
        <w:rPr>
          <w:lang w:val="es-ES"/>
        </w:rPr>
        <w:t>Asegurar</w:t>
      </w:r>
      <w:proofErr w:type="gramEnd"/>
      <w:r w:rsidRPr="00A40451">
        <w:rPr>
          <w:lang w:val="es-ES"/>
        </w:rPr>
        <w:t xml:space="preserve"> que expertos técnicos independientes competentes lleven a cabo las revisiones técnicas;</w:t>
      </w:r>
    </w:p>
    <w:p w14:paraId="182D6F33" w14:textId="77777777" w:rsidR="008F7576" w:rsidRPr="00A40451" w:rsidRDefault="008F7576" w:rsidP="008F7576">
      <w:pPr>
        <w:widowControl w:val="0"/>
        <w:numPr>
          <w:ilvl w:val="1"/>
          <w:numId w:val="1"/>
        </w:numPr>
        <w:spacing w:after="240"/>
        <w:outlineLvl w:val="1"/>
        <w:rPr>
          <w:lang w:val="es-ES"/>
        </w:rPr>
      </w:pPr>
      <w:r w:rsidRPr="00A40451">
        <w:rPr>
          <w:lang w:val="es-ES"/>
        </w:rPr>
        <w:t>Emprender las misiones de supervisión requeridas;</w:t>
      </w:r>
    </w:p>
    <w:p w14:paraId="220FC814" w14:textId="77777777" w:rsidR="008F7576" w:rsidRPr="00A40451" w:rsidRDefault="008F7576" w:rsidP="008F7576">
      <w:pPr>
        <w:widowControl w:val="0"/>
        <w:numPr>
          <w:ilvl w:val="1"/>
          <w:numId w:val="1"/>
        </w:numPr>
        <w:spacing w:after="240"/>
        <w:outlineLvl w:val="1"/>
        <w:rPr>
          <w:lang w:val="es-ES"/>
        </w:rPr>
      </w:pPr>
      <w:r w:rsidRPr="00A40451">
        <w:rPr>
          <w:lang w:val="es-ES"/>
        </w:rPr>
        <w:t>Asegurar la existencia de un mecanismo operativo que permita la ejecución eficaz y transparente del Plan de Ejecución de Tramo y la presentación de datos exactos;</w:t>
      </w:r>
    </w:p>
    <w:p w14:paraId="527B64DB"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Coordinar las actividades del Organismo de Ejecución Cooperante y asegurar que las actividades se ejecuten en la secuencia apropiada; </w:t>
      </w:r>
    </w:p>
    <w:p w14:paraId="62D90B3C"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3B90E94B" w14:textId="77777777" w:rsidR="008F7576" w:rsidRPr="00A40451" w:rsidRDefault="008F7576" w:rsidP="008F7576">
      <w:pPr>
        <w:widowControl w:val="0"/>
        <w:numPr>
          <w:ilvl w:val="1"/>
          <w:numId w:val="1"/>
        </w:numPr>
        <w:spacing w:after="240"/>
        <w:outlineLvl w:val="1"/>
        <w:rPr>
          <w:lang w:val="es-ES"/>
        </w:rPr>
      </w:pPr>
      <w:proofErr w:type="gramStart"/>
      <w:r w:rsidRPr="00A40451">
        <w:rPr>
          <w:lang w:val="es-ES"/>
        </w:rPr>
        <w:lastRenderedPageBreak/>
        <w:t>Asegurar</w:t>
      </w:r>
      <w:proofErr w:type="gramEnd"/>
      <w:r w:rsidRPr="00A40451">
        <w:rPr>
          <w:lang w:val="es-ES"/>
        </w:rPr>
        <w:t xml:space="preserve"> que los desembolsos a favor del País se basen en el uso de los indicadores; </w:t>
      </w:r>
    </w:p>
    <w:p w14:paraId="4152BCAF" w14:textId="77777777" w:rsidR="008F7576" w:rsidRPr="00A40451" w:rsidRDefault="008F7576" w:rsidP="008F7576">
      <w:pPr>
        <w:widowControl w:val="0"/>
        <w:numPr>
          <w:ilvl w:val="1"/>
          <w:numId w:val="1"/>
        </w:numPr>
        <w:spacing w:after="240"/>
        <w:outlineLvl w:val="1"/>
        <w:rPr>
          <w:lang w:val="es-ES"/>
        </w:rPr>
      </w:pPr>
      <w:r w:rsidRPr="00A40451">
        <w:rPr>
          <w:lang w:val="es-ES"/>
        </w:rPr>
        <w:t>Brindar asistencia respecto de políticas, gestión y apoyo técnico, cuando sea necesario;</w:t>
      </w:r>
    </w:p>
    <w:p w14:paraId="1E1D68A2" w14:textId="77777777" w:rsidR="008F7576" w:rsidRPr="00A40451" w:rsidRDefault="008F7576" w:rsidP="008F7576">
      <w:pPr>
        <w:widowControl w:val="0"/>
        <w:numPr>
          <w:ilvl w:val="1"/>
          <w:numId w:val="1"/>
        </w:numPr>
        <w:spacing w:after="240"/>
        <w:outlineLvl w:val="1"/>
        <w:rPr>
          <w:lang w:val="es-ES"/>
        </w:rPr>
      </w:pPr>
      <w:r w:rsidRPr="00A40451">
        <w:rPr>
          <w:lang w:val="es-ES"/>
        </w:rPr>
        <w:t>Lograr un consenso con el Organismo de Ejecución Cooperante sobre toda planificación, coordinación y presentación de informes requeridas para facilitar la ejecución del Plan; y</w:t>
      </w:r>
    </w:p>
    <w:p w14:paraId="6943C745" w14:textId="77777777" w:rsidR="008F7576" w:rsidRPr="00A40451" w:rsidRDefault="008F7576" w:rsidP="008F7576">
      <w:pPr>
        <w:widowControl w:val="0"/>
        <w:numPr>
          <w:ilvl w:val="1"/>
          <w:numId w:val="1"/>
        </w:numPr>
        <w:spacing w:after="240"/>
        <w:outlineLvl w:val="1"/>
        <w:rPr>
          <w:lang w:val="es-ES"/>
        </w:rPr>
      </w:pPr>
      <w:r w:rsidRPr="00A40451">
        <w:rPr>
          <w:lang w:val="es-ES"/>
        </w:rPr>
        <w:t>Liberar de fondos en fecha al País/empresas participantes para terminar las actividades relacionadas con el proyecto.</w:t>
      </w:r>
    </w:p>
    <w:p w14:paraId="684099A6" w14:textId="77777777" w:rsidR="008F7576" w:rsidRPr="00A40451" w:rsidRDefault="008F7576" w:rsidP="008F7576">
      <w:pPr>
        <w:widowControl w:val="0"/>
        <w:numPr>
          <w:ilvl w:val="0"/>
          <w:numId w:val="1"/>
        </w:numPr>
        <w:spacing w:after="240"/>
        <w:outlineLvl w:val="0"/>
        <w:rPr>
          <w:lang w:val="es-ES"/>
        </w:rPr>
      </w:pPr>
      <w:r w:rsidRPr="00A40451">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A40451">
        <w:rPr>
          <w:lang w:val="es-ES"/>
        </w:rPr>
        <w:noBreakHyphen/>
        <w:t>A, conforme al inciso 5 b) del Acuerdo y el inciso 1 b) del Apéndice 4</w:t>
      </w:r>
      <w:r w:rsidRPr="00A40451">
        <w:rPr>
          <w:lang w:val="es-ES"/>
        </w:rPr>
        <w:noBreakHyphen/>
        <w:t>A.</w:t>
      </w:r>
    </w:p>
    <w:p w14:paraId="1153719D" w14:textId="77777777" w:rsidR="008F7576" w:rsidRPr="00A40451" w:rsidRDefault="008F7576" w:rsidP="008F7576">
      <w:pPr>
        <w:widowControl w:val="0"/>
        <w:rPr>
          <w:b/>
          <w:bCs/>
          <w:lang w:val="es-ES"/>
        </w:rPr>
      </w:pPr>
    </w:p>
    <w:p w14:paraId="493A54A0" w14:textId="77777777" w:rsidR="008F7576" w:rsidRPr="00A40451" w:rsidRDefault="008F7576" w:rsidP="008F7576">
      <w:pPr>
        <w:widowControl w:val="0"/>
        <w:rPr>
          <w:b/>
          <w:lang w:val="es-ES"/>
        </w:rPr>
      </w:pPr>
      <w:r w:rsidRPr="00A40451">
        <w:rPr>
          <w:b/>
          <w:bCs/>
          <w:lang w:val="es-ES"/>
        </w:rPr>
        <w:t>APÉNDICE 6</w:t>
      </w:r>
      <w:r w:rsidRPr="00A40451">
        <w:rPr>
          <w:b/>
          <w:bCs/>
          <w:lang w:val="es-ES"/>
        </w:rPr>
        <w:noBreakHyphen/>
        <w:t>B: FUNCIÓN DE LOS ORGANISMOS DE EJECUCIÓN COOPERANTES</w:t>
      </w:r>
    </w:p>
    <w:p w14:paraId="5DCD47A1" w14:textId="77777777" w:rsidR="008F7576" w:rsidRPr="00A40451" w:rsidRDefault="008F7576" w:rsidP="008F7576">
      <w:pPr>
        <w:widowControl w:val="0"/>
        <w:rPr>
          <w:lang w:val="es-ES"/>
        </w:rPr>
      </w:pPr>
    </w:p>
    <w:p w14:paraId="2741CC99" w14:textId="77777777" w:rsidR="008F7576" w:rsidRPr="00157A35" w:rsidRDefault="008F7576" w:rsidP="008F7576">
      <w:pPr>
        <w:pStyle w:val="Heading1"/>
        <w:widowControl w:val="0"/>
        <w:numPr>
          <w:ilvl w:val="0"/>
          <w:numId w:val="28"/>
        </w:numPr>
        <w:tabs>
          <w:tab w:val="clear" w:pos="0"/>
        </w:tabs>
        <w:ind w:left="90"/>
        <w:rPr>
          <w:lang w:val="es-ES"/>
        </w:rPr>
      </w:pPr>
      <w:r w:rsidRPr="00157A35">
        <w:rPr>
          <w:lang w:val="es-ES"/>
        </w:rPr>
        <w:t xml:space="preserve">El Organismo de Ejecución Cooperante tendrá a su cargo diversas actividades. Estas se especifican con más detalle en el Plan, e incluyen como mínimo las siguientes: </w:t>
      </w:r>
    </w:p>
    <w:p w14:paraId="2252CCA5"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Proporcionar asistencia para la elaboración de políticas cuando se requiera; </w:t>
      </w:r>
    </w:p>
    <w:p w14:paraId="5D819F38" w14:textId="77777777" w:rsidR="008F7576" w:rsidRPr="00A40451" w:rsidRDefault="008F7576" w:rsidP="008F7576">
      <w:pPr>
        <w:widowControl w:val="0"/>
        <w:numPr>
          <w:ilvl w:val="1"/>
          <w:numId w:val="1"/>
        </w:numPr>
        <w:spacing w:after="240"/>
        <w:outlineLvl w:val="1"/>
        <w:rPr>
          <w:lang w:val="es-ES"/>
        </w:rPr>
      </w:pPr>
      <w:r w:rsidRPr="00A40451">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50C619E9" w14:textId="77777777" w:rsidR="008F7576" w:rsidRPr="00A40451" w:rsidRDefault="008F7576" w:rsidP="008F7576">
      <w:pPr>
        <w:widowControl w:val="0"/>
        <w:numPr>
          <w:ilvl w:val="1"/>
          <w:numId w:val="1"/>
        </w:numPr>
        <w:spacing w:after="240"/>
        <w:outlineLvl w:val="1"/>
        <w:rPr>
          <w:lang w:val="es-ES"/>
        </w:rPr>
      </w:pPr>
      <w:r w:rsidRPr="00A40451">
        <w:rPr>
          <w:lang w:val="es-ES"/>
        </w:rPr>
        <w:t>Dar informes al Organismo de Ejecución Principal sobre estas actividades para su inclusión en los informes refundidos con arreglo al Apéndice 4</w:t>
      </w:r>
      <w:r w:rsidRPr="00A40451">
        <w:rPr>
          <w:lang w:val="es-ES"/>
        </w:rPr>
        <w:noBreakHyphen/>
        <w:t>A; y</w:t>
      </w:r>
    </w:p>
    <w:p w14:paraId="5ADCCF11" w14:textId="77777777" w:rsidR="008F7576" w:rsidRPr="00A40451" w:rsidRDefault="008F7576" w:rsidP="008F7576">
      <w:pPr>
        <w:widowControl w:val="0"/>
        <w:numPr>
          <w:ilvl w:val="1"/>
          <w:numId w:val="1"/>
        </w:numPr>
        <w:spacing w:after="240"/>
        <w:outlineLvl w:val="1"/>
        <w:rPr>
          <w:lang w:val="es-ES"/>
        </w:rPr>
      </w:pPr>
      <w:r w:rsidRPr="00A40451">
        <w:rPr>
          <w:lang w:val="es-ES"/>
        </w:rPr>
        <w:t>Lograr un consenso con el Organismo de Ejecución Principal sobre toda planificación, coordinación y presentación de informes requeridas para facilitar la ejecución del Plan.</w:t>
      </w:r>
    </w:p>
    <w:p w14:paraId="6400ADB1" w14:textId="77777777" w:rsidR="008F7576" w:rsidRPr="00A40451" w:rsidRDefault="008F7576" w:rsidP="008F7576">
      <w:pPr>
        <w:widowControl w:val="0"/>
        <w:rPr>
          <w:b/>
          <w:bCs/>
          <w:lang w:val="es-ES"/>
        </w:rPr>
      </w:pPr>
    </w:p>
    <w:p w14:paraId="09145C6F" w14:textId="77777777" w:rsidR="008F7576" w:rsidRPr="00A40451" w:rsidRDefault="008F7576" w:rsidP="008F7576">
      <w:pPr>
        <w:widowControl w:val="0"/>
        <w:rPr>
          <w:b/>
          <w:lang w:val="es-ES"/>
        </w:rPr>
      </w:pPr>
      <w:r w:rsidRPr="00A40451">
        <w:rPr>
          <w:b/>
          <w:bCs/>
          <w:lang w:val="es-ES"/>
        </w:rPr>
        <w:t>APÉNDICE 7-A: REDUCCIONES DE LA FINANCIACIÓN EN CASO DE INCUMPLIMIENTO</w:t>
      </w:r>
    </w:p>
    <w:p w14:paraId="6D2ACED6" w14:textId="77777777" w:rsidR="008F7576" w:rsidRPr="00A40451" w:rsidRDefault="008F7576" w:rsidP="008F7576">
      <w:pPr>
        <w:widowControl w:val="0"/>
        <w:rPr>
          <w:lang w:val="es-ES"/>
        </w:rPr>
      </w:pPr>
    </w:p>
    <w:p w14:paraId="1E4DD0A5" w14:textId="77777777" w:rsidR="008F7576" w:rsidRPr="00157A35" w:rsidRDefault="008F7576" w:rsidP="008F7576">
      <w:pPr>
        <w:pStyle w:val="Heading1"/>
        <w:widowControl w:val="0"/>
        <w:numPr>
          <w:ilvl w:val="0"/>
          <w:numId w:val="29"/>
        </w:numPr>
        <w:tabs>
          <w:tab w:val="clear" w:pos="0"/>
        </w:tabs>
        <w:rPr>
          <w:lang w:val="es-ES"/>
        </w:rPr>
      </w:pPr>
      <w:r w:rsidRPr="00157A35">
        <w:rPr>
          <w:lang w:val="es-ES"/>
        </w:rPr>
        <w:t>De conformidad con el párrafo 11 del Acuerdo, el monto de financiación proporcionada podrá reducirse en 180</w:t>
      </w:r>
      <w:r w:rsidRPr="00157A35">
        <w:rPr>
          <w:b/>
          <w:lang w:val="es-ES"/>
        </w:rPr>
        <w:t xml:space="preserve"> </w:t>
      </w:r>
      <w:r w:rsidRPr="00157A35">
        <w:rPr>
          <w:lang w:val="es-ES"/>
        </w:rPr>
        <w:t>$EUA por kg PAO de consumo que supere el nivel definido en la fila 1.2 del Apéndice 2</w:t>
      </w:r>
      <w:r w:rsidRPr="00157A35">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A4A08CF" w14:textId="77777777" w:rsidR="008F7576" w:rsidRPr="00A40451" w:rsidRDefault="008F7576" w:rsidP="008F7576">
      <w:pPr>
        <w:keepNext/>
        <w:keepLines/>
        <w:widowControl w:val="0"/>
        <w:numPr>
          <w:ilvl w:val="0"/>
          <w:numId w:val="22"/>
        </w:numPr>
        <w:spacing w:after="240"/>
        <w:outlineLvl w:val="0"/>
        <w:rPr>
          <w:lang w:val="es-ES"/>
        </w:rPr>
      </w:pPr>
      <w:r w:rsidRPr="00A40451">
        <w:rPr>
          <w:lang w:val="es-ES"/>
        </w:rPr>
        <w:t xml:space="preserve">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F7576" w:rsidRPr="00AC613F" w14:paraId="07698F74" w14:textId="77777777" w:rsidTr="00C14C6F">
        <w:tc>
          <w:tcPr>
            <w:tcW w:w="1871" w:type="dxa"/>
          </w:tcPr>
          <w:p w14:paraId="7BBE90FD" w14:textId="77777777" w:rsidR="008F7576" w:rsidRPr="00AC613F" w:rsidRDefault="008F7576" w:rsidP="00C14C6F">
            <w:pPr>
              <w:rPr>
                <w:lang w:val="es-ES"/>
              </w:rPr>
            </w:pPr>
          </w:p>
        </w:tc>
        <w:tc>
          <w:tcPr>
            <w:tcW w:w="1872" w:type="dxa"/>
          </w:tcPr>
          <w:p w14:paraId="58CD450D" w14:textId="77777777" w:rsidR="008F7576" w:rsidRPr="00AC613F" w:rsidRDefault="008F7576" w:rsidP="00C14C6F">
            <w:pPr>
              <w:rPr>
                <w:lang w:val="es-ES"/>
              </w:rPr>
            </w:pPr>
          </w:p>
        </w:tc>
        <w:tc>
          <w:tcPr>
            <w:tcW w:w="1872" w:type="dxa"/>
            <w:tcBorders>
              <w:bottom w:val="single" w:sz="4" w:space="0" w:color="auto"/>
            </w:tcBorders>
          </w:tcPr>
          <w:p w14:paraId="55DEE966" w14:textId="77777777" w:rsidR="008F7576" w:rsidRPr="00AC613F" w:rsidRDefault="008F7576" w:rsidP="00C14C6F">
            <w:pPr>
              <w:rPr>
                <w:lang w:val="es-ES"/>
              </w:rPr>
            </w:pPr>
          </w:p>
        </w:tc>
        <w:tc>
          <w:tcPr>
            <w:tcW w:w="1872" w:type="dxa"/>
          </w:tcPr>
          <w:p w14:paraId="63ACDA8D" w14:textId="77777777" w:rsidR="008F7576" w:rsidRPr="00AC613F" w:rsidRDefault="008F7576" w:rsidP="00C14C6F">
            <w:pPr>
              <w:rPr>
                <w:lang w:val="es-ES"/>
              </w:rPr>
            </w:pPr>
          </w:p>
        </w:tc>
        <w:tc>
          <w:tcPr>
            <w:tcW w:w="1873" w:type="dxa"/>
          </w:tcPr>
          <w:p w14:paraId="79492DA8" w14:textId="77777777" w:rsidR="008F7576" w:rsidRPr="00AC613F" w:rsidRDefault="008F7576" w:rsidP="00C14C6F">
            <w:pPr>
              <w:rPr>
                <w:lang w:val="es-ES"/>
              </w:rPr>
            </w:pPr>
          </w:p>
        </w:tc>
      </w:tr>
    </w:tbl>
    <w:p w14:paraId="5D20705D" w14:textId="77777777" w:rsidR="004C1EAF" w:rsidRPr="008F7576" w:rsidRDefault="004C1EAF" w:rsidP="008F7576">
      <w:pPr>
        <w:spacing w:after="240"/>
        <w:ind w:left="1440"/>
        <w:outlineLvl w:val="1"/>
        <w:rPr>
          <w:lang w:val="es-ES"/>
        </w:rPr>
      </w:pPr>
    </w:p>
    <w:sectPr w:rsidR="004C1EAF" w:rsidRPr="008F7576" w:rsidSect="00FF5C4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C89EA" w14:textId="77777777" w:rsidR="00EA1ED2" w:rsidRDefault="00EA1ED2">
      <w:r>
        <w:separator/>
      </w:r>
    </w:p>
  </w:endnote>
  <w:endnote w:type="continuationSeparator" w:id="0">
    <w:p w14:paraId="19F97FB2" w14:textId="77777777" w:rsidR="00EA1ED2" w:rsidRDefault="00EA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912022"/>
      <w:docPartObj>
        <w:docPartGallery w:val="Page Numbers (Bottom of Page)"/>
        <w:docPartUnique/>
      </w:docPartObj>
    </w:sdtPr>
    <w:sdtEndPr>
      <w:rPr>
        <w:noProof/>
      </w:rPr>
    </w:sdtEndPr>
    <w:sdtContent>
      <w:p w14:paraId="2AFD01FA" w14:textId="147AEC83" w:rsidR="006070E9" w:rsidRDefault="00607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174BA" w14:textId="77777777" w:rsidR="006070E9" w:rsidRDefault="006070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930183"/>
      <w:docPartObj>
        <w:docPartGallery w:val="Page Numbers (Bottom of Page)"/>
        <w:docPartUnique/>
      </w:docPartObj>
    </w:sdtPr>
    <w:sdtEndPr>
      <w:rPr>
        <w:noProof/>
      </w:rPr>
    </w:sdtEndPr>
    <w:sdtContent>
      <w:p w14:paraId="77C0FE13" w14:textId="6EDAF9B1" w:rsidR="006070E9" w:rsidRDefault="00607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03846D" w14:textId="77777777" w:rsidR="006070E9" w:rsidRDefault="006070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A3231" w14:textId="0660C8A5" w:rsidR="0087455A" w:rsidRPr="006070E9" w:rsidRDefault="006070E9" w:rsidP="006070E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2330B" w14:textId="77777777" w:rsidR="009B7710" w:rsidRPr="0033525D" w:rsidRDefault="00AC613F">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F455" w14:textId="77777777" w:rsidR="009B7710" w:rsidRPr="0033525D" w:rsidRDefault="00AC613F">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7F7BCF9C" w14:textId="77777777" w:rsidR="009B7710" w:rsidRDefault="00AC613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0178A" w14:textId="77777777" w:rsidR="00EA1ED2" w:rsidRDefault="00EA1ED2">
      <w:r>
        <w:separator/>
      </w:r>
    </w:p>
  </w:footnote>
  <w:footnote w:type="continuationSeparator" w:id="0">
    <w:p w14:paraId="774BFEDC" w14:textId="77777777" w:rsidR="00EA1ED2" w:rsidRDefault="00EA1ED2">
      <w:r>
        <w:continuationSeparator/>
      </w:r>
    </w:p>
  </w:footnote>
  <w:footnote w:id="1">
    <w:p w14:paraId="66F29214" w14:textId="7F6CA6BB" w:rsidR="004C1EAF" w:rsidRPr="00AC613F" w:rsidRDefault="004C1EAF" w:rsidP="004C1EAF">
      <w:pPr>
        <w:pStyle w:val="FootnoteText"/>
        <w:spacing w:after="60"/>
        <w:rPr>
          <w:lang w:val="es-ES"/>
        </w:rPr>
      </w:pPr>
      <w:r>
        <w:rPr>
          <w:rStyle w:val="FootnoteReference"/>
        </w:rPr>
        <w:footnoteRef/>
      </w:r>
      <w:r w:rsidRPr="00AC613F">
        <w:rPr>
          <w:lang w:val="es-ES"/>
        </w:rPr>
        <w:t xml:space="preserve"> UNEP/</w:t>
      </w:r>
      <w:proofErr w:type="spellStart"/>
      <w:r w:rsidRPr="00AC613F">
        <w:rPr>
          <w:lang w:val="es-ES"/>
        </w:rPr>
        <w:t>OzL.Pro</w:t>
      </w:r>
      <w:proofErr w:type="spellEnd"/>
      <w:r w:rsidRPr="00AC613F">
        <w:rPr>
          <w:lang w:val="es-ES"/>
        </w:rPr>
        <w:t>/</w:t>
      </w:r>
      <w:proofErr w:type="spellStart"/>
      <w:r w:rsidRPr="00AC613F">
        <w:rPr>
          <w:lang w:val="es-ES"/>
        </w:rPr>
        <w:t>ExCom</w:t>
      </w:r>
      <w:proofErr w:type="spellEnd"/>
      <w:r w:rsidRPr="00AC613F">
        <w:rPr>
          <w:lang w:val="es-ES"/>
        </w:rPr>
        <w:t>/91/1</w:t>
      </w:r>
    </w:p>
    <w:p w14:paraId="064561DA" w14:textId="77777777" w:rsidR="00AC613F" w:rsidRPr="00AC613F" w:rsidRDefault="00AC613F" w:rsidP="004C1EAF">
      <w:pPr>
        <w:pStyle w:val="FootnoteText"/>
        <w:spacing w:after="60"/>
        <w:rPr>
          <w:lang w:val="es-ES"/>
        </w:rPr>
      </w:pPr>
    </w:p>
  </w:footnote>
  <w:footnote w:id="2">
    <w:p w14:paraId="28EBD2CD" w14:textId="77777777" w:rsidR="004C1EAF" w:rsidRPr="004C1EAF" w:rsidRDefault="004C1EAF" w:rsidP="004C1EAF">
      <w:pPr>
        <w:pStyle w:val="FootnoteText"/>
        <w:rPr>
          <w:lang w:val="es-ES"/>
        </w:rPr>
      </w:pPr>
      <w:r>
        <w:rPr>
          <w:rStyle w:val="FootnoteReference"/>
        </w:rPr>
        <w:footnoteRef/>
      </w:r>
      <w:r w:rsidRPr="004C1EAF">
        <w:rPr>
          <w:lang w:val="es-ES"/>
        </w:rPr>
        <w:t xml:space="preserve"> Según la nota del 15 de agosto de 2022 enviada por el Ministerio de Tierras, Aguas y Medio Ambiente de Eritrea a la Secretaría.</w:t>
      </w:r>
    </w:p>
  </w:footnote>
  <w:footnote w:id="3">
    <w:p w14:paraId="7A02C24F" w14:textId="77777777" w:rsidR="004C1EAF" w:rsidRPr="004C1EAF" w:rsidRDefault="004C1EAF" w:rsidP="004C1EAF">
      <w:pPr>
        <w:pStyle w:val="FootnoteText"/>
        <w:rPr>
          <w:lang w:val="es-ES"/>
        </w:rPr>
      </w:pPr>
      <w:r>
        <w:rPr>
          <w:rStyle w:val="FootnoteReference"/>
        </w:rPr>
        <w:footnoteRef/>
      </w:r>
      <w:r w:rsidRPr="004C1EAF">
        <w:rPr>
          <w:lang w:val="es-ES"/>
        </w:rPr>
        <w:t xml:space="preserve"> Decisión 67/27, documento UNEP/OzL.Pro/ExCom/67/39</w:t>
      </w:r>
    </w:p>
  </w:footnote>
  <w:footnote w:id="4">
    <w:p w14:paraId="56E5479C" w14:textId="77777777" w:rsidR="004C1EAF" w:rsidRPr="004C1EAF" w:rsidRDefault="004C1EAF" w:rsidP="004C1EAF">
      <w:pPr>
        <w:pStyle w:val="FootnoteText"/>
        <w:rPr>
          <w:lang w:val="es-ES"/>
        </w:rPr>
      </w:pPr>
      <w:r>
        <w:rPr>
          <w:rStyle w:val="FootnoteReference"/>
        </w:rPr>
        <w:footnoteRef/>
      </w:r>
      <w:r w:rsidRPr="004C1EAF">
        <w:rPr>
          <w:lang w:val="es-ES"/>
        </w:rPr>
        <w:t xml:space="preserve"> Anexo XI del documento UNEP/OzL.Pro/ExCom/77/76</w:t>
      </w:r>
    </w:p>
    <w:p w14:paraId="34F90FB4" w14:textId="77777777" w:rsidR="004C1EAF" w:rsidRPr="004C1EAF" w:rsidRDefault="004C1EAF" w:rsidP="004C1EAF">
      <w:pPr>
        <w:pStyle w:val="FootnoteText"/>
        <w:rPr>
          <w:lang w:val="es-ES"/>
        </w:rPr>
      </w:pPr>
    </w:p>
  </w:footnote>
  <w:footnote w:id="5">
    <w:p w14:paraId="51DC32AC" w14:textId="77777777" w:rsidR="004C1EAF" w:rsidRPr="004C1EAF" w:rsidRDefault="004C1EAF" w:rsidP="004C1EAF">
      <w:pPr>
        <w:widowControl w:val="0"/>
        <w:tabs>
          <w:tab w:val="left" w:pos="720"/>
        </w:tabs>
        <w:overflowPunct w:val="0"/>
        <w:adjustRightInd w:val="0"/>
        <w:rPr>
          <w:sz w:val="20"/>
          <w:szCs w:val="20"/>
          <w:lang w:val="es-ES"/>
        </w:rPr>
      </w:pPr>
      <w:r>
        <w:rPr>
          <w:rStyle w:val="FootnoteReference"/>
          <w:sz w:val="20"/>
          <w:szCs w:val="20"/>
        </w:rPr>
        <w:footnoteRef/>
      </w:r>
      <w:r w:rsidRPr="004C1EAF">
        <w:rPr>
          <w:sz w:val="20"/>
          <w:szCs w:val="20"/>
          <w:lang w:val="es-ES"/>
        </w:rPr>
        <w:t xml:space="preserve"> Un equipo de regeneración de HCFC/HFC, 36 medidores electrónicos de vacío, 34 bombas de vacío, 30 máquinas de recuperación, 70 bombonas para la recuperación de refrigerantes y dos bombonas de 100 lb de almacenamiento, 30 básculas electrónicas, 30 juegos de herramientas para mantenimiento (</w:t>
      </w:r>
      <w:bookmarkStart w:id="6" w:name="_Hlk117506901"/>
      <w:r w:rsidRPr="004C1EAF">
        <w:rPr>
          <w:sz w:val="20"/>
          <w:szCs w:val="20"/>
          <w:lang w:val="es-ES"/>
        </w:rPr>
        <w:t>p. ej., colectores, alicates, llaves inglesas, tubos de carga y liberación de refrigerantes, cortatubos, juego de quemado de gas, herramientas de prensado, dobladora de tubos, juegos de llaves de tubo, válvulas, conexiones</w:t>
      </w:r>
      <w:bookmarkEnd w:id="6"/>
      <w:r w:rsidRPr="004C1EAF">
        <w:rPr>
          <w:sz w:val="20"/>
          <w:szCs w:val="20"/>
          <w:lang w:val="es-ES"/>
        </w:rPr>
        <w:t>, agujas de recambio, gafas de seguridad y guantes de protección), seis multímetros, seis termómetros Penta, seis equipos de soldadura MAPP y cuatro detectores de fugas.</w:t>
      </w:r>
    </w:p>
  </w:footnote>
  <w:footnote w:id="6">
    <w:p w14:paraId="0790D8DD" w14:textId="77777777" w:rsidR="004C1EAF" w:rsidRPr="004C1EAF" w:rsidRDefault="004C1EAF" w:rsidP="004C1EAF">
      <w:pPr>
        <w:pStyle w:val="FootnoteText"/>
        <w:rPr>
          <w:lang w:val="es-ES"/>
        </w:rPr>
      </w:pPr>
      <w:r>
        <w:rPr>
          <w:rStyle w:val="FootnoteReference"/>
        </w:rPr>
        <w:footnoteRef/>
      </w:r>
      <w:r w:rsidRPr="004C1EAF">
        <w:rPr>
          <w:lang w:val="es-ES"/>
        </w:rPr>
        <w:t xml:space="preserve"> En la lista preliminar de compras se incluyen bombas de vacío, manómetros para colectores y tubos estándar (HCFC, HC y HFC), detectores de fugas portátiles, estaciones de carga de HC, un equipo de soldadura, una herramienta de montaje por compresión, equipos portátiles de recuperación y reciclaje, alicates sacabocados y cortadores de tubos, multímetros y herramientas de mantenimiento relacionadas con la seguridad.</w:t>
      </w:r>
    </w:p>
  </w:footnote>
  <w:footnote w:id="7">
    <w:p w14:paraId="5ADC4ABC" w14:textId="1E0086FB" w:rsidR="004C1EAF" w:rsidRPr="004C1EAF" w:rsidRDefault="004C1EAF" w:rsidP="004C1EAF">
      <w:pPr>
        <w:widowControl w:val="0"/>
        <w:overflowPunct w:val="0"/>
        <w:adjustRightInd w:val="0"/>
        <w:contextualSpacing/>
        <w:rPr>
          <w:iCs/>
          <w:sz w:val="20"/>
          <w:szCs w:val="20"/>
          <w:lang w:val="es-ES"/>
        </w:rPr>
      </w:pPr>
      <w:r>
        <w:rPr>
          <w:rStyle w:val="FootnoteReference"/>
          <w:sz w:val="20"/>
          <w:szCs w:val="20"/>
        </w:rPr>
        <w:footnoteRef/>
      </w:r>
      <w:r w:rsidRPr="004C1EAF">
        <w:rPr>
          <w:sz w:val="20"/>
          <w:szCs w:val="20"/>
          <w:lang w:val="es-ES"/>
        </w:rPr>
        <w:t xml:space="preserve"> </w:t>
      </w:r>
      <w:r w:rsidRPr="004C1EAF">
        <w:rPr>
          <w:color w:val="000000"/>
          <w:sz w:val="20"/>
          <w:szCs w:val="20"/>
          <w:lang w:val="es-ES"/>
        </w:rPr>
        <w:t xml:space="preserve">Dos equipos de regeneración para varios refrigerantes (no inflamables); </w:t>
      </w:r>
      <w:r w:rsidRPr="004C1EAF">
        <w:rPr>
          <w:sz w:val="20"/>
          <w:szCs w:val="20"/>
          <w:lang w:val="es-ES"/>
        </w:rPr>
        <w:t>nueve bombas de vacío, manómetros para colectores y tubos estándar (HCFC, HC y HFC); útiles de laboratorio para ensayos aproximados de control de</w:t>
      </w:r>
      <w:r w:rsidR="002400E5">
        <w:rPr>
          <w:sz w:val="20"/>
          <w:szCs w:val="20"/>
          <w:lang w:val="es-ES"/>
        </w:rPr>
        <w:t xml:space="preserve"> </w:t>
      </w:r>
      <w:r w:rsidRPr="004C1EAF">
        <w:rPr>
          <w:color w:val="000000"/>
          <w:sz w:val="20"/>
          <w:szCs w:val="20"/>
          <w:lang w:val="es-ES"/>
        </w:rPr>
        <w:t>calidad de los refrigerantes regenerados; 20 bombonas (100 lb) y 50 bombonas (30 lb); un depósito de almacenamiento de 1.000 lb para mezclas accidentales con balanza; diez unidades de regeneración y mangueras; y piezas de recambio de los equipos de regeneración.</w:t>
      </w:r>
    </w:p>
  </w:footnote>
  <w:footnote w:id="8">
    <w:p w14:paraId="502BEDD4" w14:textId="77777777" w:rsidR="004C1EAF" w:rsidRPr="004C1EAF" w:rsidRDefault="004C1EAF" w:rsidP="004C1EAF">
      <w:pPr>
        <w:pStyle w:val="FootnoteText"/>
        <w:rPr>
          <w:lang w:val="es-ES"/>
        </w:rPr>
      </w:pPr>
      <w:r>
        <w:rPr>
          <w:rStyle w:val="FootnoteReference"/>
        </w:rPr>
        <w:footnoteRef/>
      </w:r>
      <w:r w:rsidRPr="004C1EAF">
        <w:rPr>
          <w:lang w:val="es-ES"/>
        </w:rPr>
        <w:t xml:space="preserve"> En línea con la decisión 84/92 d), en la decisión 90/48 c) se animaba a los organismos bilaterales y de ejecución a seguir asegurándose de que se incorpore la perspectiva de género en todos los proyectos, teniendo en cuenta las actividades concretas presentadas en el cuadro 2 del documento UNEP/OzL.Pro/ExCom/90/37.</w:t>
      </w:r>
    </w:p>
  </w:footnote>
  <w:footnote w:id="9">
    <w:p w14:paraId="404FCE8F" w14:textId="77777777" w:rsidR="004C1EAF" w:rsidRPr="004C1EAF" w:rsidRDefault="004C1EAF" w:rsidP="004C1EAF">
      <w:pPr>
        <w:pStyle w:val="FootnoteText"/>
        <w:rPr>
          <w:lang w:val="es-ES"/>
        </w:rPr>
      </w:pPr>
      <w:r>
        <w:rPr>
          <w:rStyle w:val="FootnoteReference"/>
        </w:rPr>
        <w:footnoteRef/>
      </w:r>
      <w:r w:rsidRPr="004C1EAF">
        <w:rPr>
          <w:lang w:val="es-ES"/>
        </w:rPr>
        <w:t xml:space="preserve"> Incluye un procedimiento que describe el proceso de certificación, la identificación de las personas que deberán examinarse, bien teóricamente o de forma práctica, y la definición del grado de conocimientos necesarios.</w:t>
      </w:r>
    </w:p>
  </w:footnote>
  <w:footnote w:id="10">
    <w:p w14:paraId="50B4170B" w14:textId="77777777" w:rsidR="004C1EAF" w:rsidRPr="004C1EAF" w:rsidRDefault="004C1EAF" w:rsidP="004C1EAF">
      <w:pPr>
        <w:pStyle w:val="FootnoteText"/>
        <w:rPr>
          <w:lang w:val="es-ES"/>
        </w:rPr>
      </w:pPr>
      <w:r>
        <w:rPr>
          <w:rStyle w:val="FootnoteReference"/>
        </w:rPr>
        <w:footnoteRef/>
      </w:r>
      <w:r w:rsidRPr="004C1EAF">
        <w:rPr>
          <w:lang w:val="es-ES"/>
        </w:rPr>
        <w:t xml:space="preserve"> La lista de los productos que se adquirirán se definirá después de evaluar las necesidades de cada centro.</w:t>
      </w:r>
    </w:p>
  </w:footnote>
  <w:footnote w:id="11">
    <w:p w14:paraId="27E4EBB2" w14:textId="77777777" w:rsidR="004C1EAF" w:rsidRPr="004C1EAF" w:rsidRDefault="004C1EAF" w:rsidP="004C1EAF">
      <w:pPr>
        <w:pStyle w:val="FootnoteText"/>
        <w:rPr>
          <w:lang w:val="es-ES"/>
        </w:rPr>
      </w:pPr>
      <w:r>
        <w:rPr>
          <w:rStyle w:val="FootnoteReference"/>
        </w:rPr>
        <w:footnoteRef/>
      </w:r>
      <w:r w:rsidRPr="004C1EAF">
        <w:rPr>
          <w:lang w:val="es-ES"/>
        </w:rP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 w:id="12">
    <w:p w14:paraId="1432D852" w14:textId="77777777" w:rsidR="004C1EAF" w:rsidRPr="004C1EAF" w:rsidRDefault="004C1EAF" w:rsidP="004C1EAF">
      <w:pPr>
        <w:pStyle w:val="FootnoteText"/>
        <w:rPr>
          <w:lang w:val="es-ES"/>
        </w:rPr>
      </w:pPr>
      <w:r>
        <w:rPr>
          <w:rStyle w:val="FootnoteReference"/>
        </w:rPr>
        <w:footnoteRef/>
      </w:r>
      <w:r w:rsidRPr="004C1EAF">
        <w:rPr>
          <w:lang w:val="es-ES"/>
        </w:rPr>
        <w:t xml:space="preserve"> El Ministerio puede declarar exentos a los equipos que emplean SAO hasta que haya disponibles alternativas sostenibles y eficaces y en los casos en que no se hayan eliminado los equipos de SAO en el momento de otorgar las excepciones para las importaciones y exportaciones.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A825" w14:textId="78393291" w:rsidR="006070E9" w:rsidRPr="00405151" w:rsidRDefault="006070E9" w:rsidP="006070E9">
    <w:r>
      <w:fldChar w:fldCharType="begin"/>
    </w:r>
    <w:r>
      <w:instrText xml:space="preserve"> DOCPROPERTY "Document number"  \* MERGEFORMAT </w:instrText>
    </w:r>
    <w:r>
      <w:fldChar w:fldCharType="separate"/>
    </w:r>
    <w:r w:rsidR="008F7576">
      <w:t>UNEP/</w:t>
    </w:r>
    <w:proofErr w:type="spellStart"/>
    <w:r w:rsidR="008F7576">
      <w:t>OzL.Pro</w:t>
    </w:r>
    <w:proofErr w:type="spellEnd"/>
    <w:r w:rsidR="008F7576">
      <w:t>/ExCom/91/41</w:t>
    </w:r>
    <w:r>
      <w:fldChar w:fldCharType="end"/>
    </w:r>
  </w:p>
  <w:p w14:paraId="5FFABF1A" w14:textId="764E90BB" w:rsidR="006070E9" w:rsidRDefault="006070E9">
    <w:pPr>
      <w:pStyle w:val="Header"/>
    </w:pPr>
  </w:p>
  <w:p w14:paraId="3F13596F" w14:textId="77777777" w:rsidR="00AC613F" w:rsidRDefault="00AC61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6D74E" w14:textId="6F64C777" w:rsidR="006070E9" w:rsidRPr="00405151" w:rsidRDefault="006070E9" w:rsidP="006070E9">
    <w:pPr>
      <w:jc w:val="right"/>
    </w:pPr>
    <w:r>
      <w:fldChar w:fldCharType="begin"/>
    </w:r>
    <w:r>
      <w:instrText xml:space="preserve"> DOCPROPERTY "Document number"  \* MERGEFORMAT </w:instrText>
    </w:r>
    <w:r>
      <w:fldChar w:fldCharType="separate"/>
    </w:r>
    <w:r w:rsidR="008F7576">
      <w:t>UNEP/</w:t>
    </w:r>
    <w:proofErr w:type="spellStart"/>
    <w:r w:rsidR="008F7576">
      <w:t>OzL.Pro</w:t>
    </w:r>
    <w:proofErr w:type="spellEnd"/>
    <w:r w:rsidR="008F7576">
      <w:t>/ExCom/91/41</w:t>
    </w:r>
    <w:r>
      <w:fldChar w:fldCharType="end"/>
    </w:r>
  </w:p>
  <w:p w14:paraId="699DAE5A" w14:textId="645AC8C5" w:rsidR="006070E9" w:rsidRDefault="006070E9">
    <w:pPr>
      <w:pStyle w:val="Header"/>
    </w:pPr>
  </w:p>
  <w:p w14:paraId="09D5186B" w14:textId="77777777" w:rsidR="00AC613F" w:rsidRDefault="00AC61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B45DE" w14:textId="4275152A" w:rsidR="008F7576" w:rsidRPr="00405151" w:rsidRDefault="008F7576" w:rsidP="008F7576">
    <w:pPr>
      <w:jc w:val="lef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46150003" w14:textId="77777777" w:rsidR="001A6901" w:rsidRPr="000E79E6" w:rsidRDefault="00AC613F" w:rsidP="001A6901">
    <w:pPr>
      <w:jc w:val="left"/>
      <w:rPr>
        <w:lang w:val="pt-BR"/>
      </w:rPr>
    </w:pPr>
    <w:r w:rsidRPr="000E79E6">
      <w:rPr>
        <w:lang w:val="pt-BR"/>
      </w:rPr>
      <w:t>Anexo I</w:t>
    </w:r>
  </w:p>
  <w:p w14:paraId="2EAE48BC" w14:textId="77777777" w:rsidR="00375762" w:rsidRPr="000E79E6" w:rsidRDefault="00AC613F">
    <w:pPr>
      <w:pStyle w:val="Heade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CF51" w14:textId="0E105F4F" w:rsidR="008F7576" w:rsidRPr="00405151" w:rsidRDefault="008F7576" w:rsidP="008F7576">
    <w:pPr>
      <w:jc w:val="righ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432720F8" w14:textId="77777777" w:rsidR="001A6901" w:rsidRPr="000E79E6" w:rsidRDefault="00AC613F" w:rsidP="001A6901">
    <w:pPr>
      <w:jc w:val="right"/>
      <w:rPr>
        <w:lang w:val="pt-BR"/>
      </w:rPr>
    </w:pPr>
    <w:r w:rsidRPr="000E79E6">
      <w:rPr>
        <w:lang w:val="pt-BR"/>
      </w:rPr>
      <w:t>Anexo I</w:t>
    </w:r>
  </w:p>
  <w:p w14:paraId="4F28A235" w14:textId="77777777" w:rsidR="00375762" w:rsidRPr="000E79E6" w:rsidRDefault="00AC613F" w:rsidP="001A6901">
    <w:pPr>
      <w:pStyle w:val="Heade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28FF" w14:textId="100FD42C" w:rsidR="008F7576" w:rsidRPr="00405151" w:rsidRDefault="008F7576" w:rsidP="008F7576">
    <w:pPr>
      <w:jc w:val="righ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62F3D7C7" w14:textId="77777777" w:rsidR="001A6901" w:rsidRPr="000E79E6" w:rsidRDefault="00AC613F" w:rsidP="00375762">
    <w:pPr>
      <w:jc w:val="right"/>
      <w:rPr>
        <w:lang w:val="pt-BR"/>
      </w:rPr>
    </w:pPr>
    <w:r w:rsidRPr="000E79E6">
      <w:rPr>
        <w:lang w:val="pt-BR"/>
      </w:rPr>
      <w:t>Anexo I</w:t>
    </w:r>
  </w:p>
  <w:p w14:paraId="3FA9E075" w14:textId="77777777" w:rsidR="00946DC8" w:rsidRPr="000E79E6" w:rsidRDefault="00AC613F" w:rsidP="001A6901">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812864490">
    <w:abstractNumId w:val="15"/>
  </w:num>
  <w:num w:numId="22" w16cid:durableId="6033442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6988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101935">
    <w:abstractNumId w:val="10"/>
    <w:lvlOverride w:ilvl="0">
      <w:startOverride w:val="11"/>
    </w:lvlOverride>
  </w:num>
  <w:num w:numId="25" w16cid:durableId="10297170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25325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00112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24093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41256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0060F"/>
    <w:rsid w:val="00064429"/>
    <w:rsid w:val="00075409"/>
    <w:rsid w:val="000D6841"/>
    <w:rsid w:val="00106F6E"/>
    <w:rsid w:val="00114CAA"/>
    <w:rsid w:val="001C2D22"/>
    <w:rsid w:val="001F4047"/>
    <w:rsid w:val="00235D4C"/>
    <w:rsid w:val="002400E5"/>
    <w:rsid w:val="0024162E"/>
    <w:rsid w:val="002425B4"/>
    <w:rsid w:val="00244477"/>
    <w:rsid w:val="002959B4"/>
    <w:rsid w:val="002D5A1A"/>
    <w:rsid w:val="00344EAB"/>
    <w:rsid w:val="00384BC2"/>
    <w:rsid w:val="003863A4"/>
    <w:rsid w:val="003B7115"/>
    <w:rsid w:val="00455352"/>
    <w:rsid w:val="00476E28"/>
    <w:rsid w:val="004C1EAF"/>
    <w:rsid w:val="006070E9"/>
    <w:rsid w:val="006A4D88"/>
    <w:rsid w:val="00792A47"/>
    <w:rsid w:val="00816265"/>
    <w:rsid w:val="00831BC5"/>
    <w:rsid w:val="0087455A"/>
    <w:rsid w:val="008E5609"/>
    <w:rsid w:val="008F7576"/>
    <w:rsid w:val="009B756F"/>
    <w:rsid w:val="00A0060F"/>
    <w:rsid w:val="00AA29EB"/>
    <w:rsid w:val="00AB56E5"/>
    <w:rsid w:val="00AC613F"/>
    <w:rsid w:val="00AC7A52"/>
    <w:rsid w:val="00B51140"/>
    <w:rsid w:val="00B60EEC"/>
    <w:rsid w:val="00B84ACF"/>
    <w:rsid w:val="00BF7D29"/>
    <w:rsid w:val="00C14E67"/>
    <w:rsid w:val="00CD59B7"/>
    <w:rsid w:val="00D84B6F"/>
    <w:rsid w:val="00DB795B"/>
    <w:rsid w:val="00DC3B22"/>
    <w:rsid w:val="00E17F97"/>
    <w:rsid w:val="00E83FD7"/>
    <w:rsid w:val="00EA1ED2"/>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014C1"/>
  <w15:docId w15:val="{32838BA8-6210-4940-AF30-D48A20DB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C1EAF"/>
    <w:pPr>
      <w:spacing w:after="160" w:line="240" w:lineRule="exact"/>
    </w:pPr>
    <w:rPr>
      <w:sz w:val="20"/>
      <w:szCs w:val="20"/>
      <w:vertAlign w:val="superscript"/>
      <w:lang w:val="en-US"/>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4C1EAF"/>
    <w:pPr>
      <w:ind w:left="720"/>
      <w:contextualSpacing/>
    </w:pPr>
    <w:rPr>
      <w:lang w:val="es-E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C1EAF"/>
    <w:rPr>
      <w:sz w:val="22"/>
      <w:szCs w:val="22"/>
      <w:lang w:val="es-ES"/>
    </w:rPr>
  </w:style>
  <w:style w:type="paragraph" w:customStyle="1" w:styleId="Default">
    <w:name w:val="Default"/>
    <w:rsid w:val="004C1EAF"/>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4C1EAF"/>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1EAF"/>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locked/>
    <w:rsid w:val="004C1EAF"/>
    <w:rPr>
      <w:sz w:val="22"/>
      <w:szCs w:val="22"/>
      <w:lang w:val="en-GB"/>
    </w:rPr>
  </w:style>
  <w:style w:type="character" w:customStyle="1" w:styleId="HeaderChar">
    <w:name w:val="Header Char"/>
    <w:aliases w:val="EthylHeader Char"/>
    <w:basedOn w:val="DefaultParagraphFont"/>
    <w:link w:val="Header"/>
    <w:locked/>
    <w:rsid w:val="008F75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2_11_Presession%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F4BB884B-FDCF-4504-A3F0-BA8D24DFFD7C}"/>
</file>

<file path=customXml/itemProps3.xml><?xml version="1.0" encoding="utf-8"?>
<ds:datastoreItem xmlns:ds="http://schemas.openxmlformats.org/officeDocument/2006/customXml" ds:itemID="{A77B8147-FC54-4949-A817-328530F024D5}"/>
</file>

<file path=customXml/itemProps4.xml><?xml version="1.0" encoding="utf-8"?>
<ds:datastoreItem xmlns:ds="http://schemas.openxmlformats.org/officeDocument/2006/customXml" ds:itemID="{F331F3B5-465B-417A-BA34-D0702A817E01}"/>
</file>

<file path=docProps/app.xml><?xml version="1.0" encoding="utf-8"?>
<Properties xmlns="http://schemas.openxmlformats.org/officeDocument/2006/extended-properties" xmlns:vt="http://schemas.openxmlformats.org/officeDocument/2006/docPropsVTypes">
  <Template>S91-template</Template>
  <TotalTime>3</TotalTime>
  <Pages>22</Pages>
  <Words>8807</Words>
  <Characters>50206</Characters>
  <Application>Microsoft Office Word</Application>
  <DocSecurity>0</DocSecurity>
  <Lines>418</Lines>
  <Paragraphs>117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Eritrea</vt:lpstr>
      <vt:lpstr/>
    </vt:vector>
  </TitlesOfParts>
  <Company>UNMFS</Company>
  <LinksUpToDate>false</LinksUpToDate>
  <CharactersWithSpaces>58896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Eritrea</dc:title>
  <dc:creator>Diana Llorente</dc:creator>
  <cp:lastModifiedBy>HBE</cp:lastModifiedBy>
  <cp:revision>3</cp:revision>
  <cp:lastPrinted>2001-05-26T16:40:00Z</cp:lastPrinted>
  <dcterms:created xsi:type="dcterms:W3CDTF">2022-12-02T04:18:00Z</dcterms:created>
  <dcterms:modified xsi:type="dcterms:W3CDTF">2022-12-02T22:15:00Z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UNEP/OzL.Pro/ExCom/91/41</vt:lpwstr>
  </property>
  <property fmtid="{D5CDD505-2E9C-101B-9397-08002B2CF9AE}" pid="3" name="Revision date">
    <vt:lpwstr>11/15/2022</vt:lpwstr>
  </property>
  <property fmtid="{D5CDD505-2E9C-101B-9397-08002B2CF9AE}" pid="4" name="ContentTypeId">
    <vt:lpwstr>0x0101001C72A589EFF2AE459ADB5508C5E286F5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